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 xml:space="preserve"> </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义乌市廿三里辖区路灯能源管理服务</w:t>
      </w:r>
    </w:p>
    <w:p>
      <w:pPr>
        <w:shd w:val="clea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采购项目</w:t>
      </w:r>
    </w:p>
    <w:p>
      <w:pPr>
        <w:pStyle w:val="25"/>
        <w:shd w:val="clear"/>
        <w:ind w:firstLine="0" w:firstLineChars="0"/>
        <w:rPr>
          <w:rFonts w:ascii="宋体" w:hAnsi="宋体" w:cs="宋体"/>
          <w:b/>
          <w:color w:val="auto"/>
          <w:sz w:val="48"/>
          <w:szCs w:val="48"/>
          <w:highlight w:val="none"/>
        </w:rPr>
      </w:pPr>
    </w:p>
    <w:p>
      <w:pPr>
        <w:shd w:val="clear"/>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采购文件</w:t>
      </w:r>
    </w:p>
    <w:p>
      <w:pPr>
        <w:shd w:val="clear"/>
        <w:spacing w:line="360" w:lineRule="auto"/>
        <w:ind w:firstLine="1440" w:firstLineChars="200"/>
        <w:jc w:val="center"/>
        <w:rPr>
          <w:rFonts w:ascii="宋体" w:hAnsi="宋体" w:cs="宋体"/>
          <w:color w:val="auto"/>
          <w:sz w:val="72"/>
          <w:szCs w:val="72"/>
          <w:highlight w:val="none"/>
        </w:rPr>
      </w:pPr>
    </w:p>
    <w:p>
      <w:pPr>
        <w:pStyle w:val="13"/>
        <w:shd w:val="clear"/>
        <w:snapToGrid w:val="0"/>
        <w:spacing w:before="120" w:after="120" w:line="360" w:lineRule="auto"/>
        <w:jc w:val="center"/>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采购编号：</w:t>
      </w:r>
      <w:r>
        <w:rPr>
          <w:rFonts w:hint="eastAsia" w:hAnsi="宋体" w:cs="宋体"/>
          <w:b/>
          <w:bCs/>
          <w:color w:val="auto"/>
          <w:sz w:val="32"/>
          <w:szCs w:val="32"/>
          <w:highlight w:val="none"/>
          <w:lang w:eastAsia="zh-CN"/>
        </w:rPr>
        <w:t>ZJMD2022045GK-1</w:t>
      </w:r>
    </w:p>
    <w:p>
      <w:pPr>
        <w:shd w:val="clear"/>
        <w:snapToGrid w:val="0"/>
        <w:spacing w:line="360" w:lineRule="auto"/>
        <w:rPr>
          <w:rFonts w:ascii="宋体" w:hAnsi="宋体" w:cs="宋体"/>
          <w:color w:val="auto"/>
          <w:sz w:val="30"/>
          <w:szCs w:val="72"/>
          <w:highlight w:val="none"/>
        </w:rPr>
      </w:pPr>
    </w:p>
    <w:p>
      <w:pPr>
        <w:pStyle w:val="26"/>
        <w:shd w:val="clear"/>
        <w:rPr>
          <w:rFonts w:ascii="宋体" w:hAnsi="宋体" w:eastAsia="宋体" w:cs="宋体"/>
          <w:color w:val="auto"/>
          <w:highlight w:val="none"/>
        </w:rPr>
      </w:pPr>
    </w:p>
    <w:p>
      <w:pPr>
        <w:pStyle w:val="13"/>
        <w:shd w:val="clear"/>
        <w:snapToGrid w:val="0"/>
        <w:spacing w:before="120" w:after="120" w:line="360" w:lineRule="auto"/>
        <w:rPr>
          <w:rFonts w:hAnsi="宋体" w:cs="宋体"/>
          <w:color w:val="auto"/>
          <w:sz w:val="30"/>
          <w:szCs w:val="72"/>
          <w:highlight w:val="none"/>
        </w:rPr>
      </w:pPr>
    </w:p>
    <w:p>
      <w:pPr>
        <w:pStyle w:val="13"/>
        <w:shd w:val="clear"/>
        <w:snapToGrid w:val="0"/>
        <w:spacing w:before="120" w:after="120" w:line="360" w:lineRule="auto"/>
        <w:ind w:firstLine="611" w:firstLineChars="200"/>
        <w:rPr>
          <w:rFonts w:hAnsi="宋体" w:cs="宋体"/>
          <w:b/>
          <w:bCs/>
          <w:color w:val="auto"/>
          <w:w w:val="95"/>
          <w:sz w:val="32"/>
          <w:szCs w:val="32"/>
          <w:highlight w:val="none"/>
        </w:rPr>
      </w:pPr>
      <w:r>
        <w:rPr>
          <w:rFonts w:hint="eastAsia" w:hAnsi="宋体" w:cs="宋体"/>
          <w:b/>
          <w:bCs/>
          <w:color w:val="auto"/>
          <w:w w:val="95"/>
          <w:sz w:val="32"/>
          <w:szCs w:val="32"/>
          <w:highlight w:val="none"/>
        </w:rPr>
        <w:t>采　购　 人：</w:t>
      </w:r>
      <w:r>
        <w:rPr>
          <w:rFonts w:hint="eastAsia" w:hAnsi="宋体" w:cs="宋体"/>
          <w:b/>
          <w:color w:val="auto"/>
          <w:sz w:val="32"/>
          <w:szCs w:val="32"/>
          <w:highlight w:val="none"/>
          <w:u w:val="single"/>
        </w:rPr>
        <w:t>义乌市人民政府廿三里街道办事处</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ind w:firstLine="611" w:firstLineChars="200"/>
        <w:rPr>
          <w:rFonts w:hAnsi="宋体" w:cs="宋体"/>
          <w:b/>
          <w:color w:val="auto"/>
          <w:sz w:val="32"/>
          <w:szCs w:val="32"/>
          <w:highlight w:val="none"/>
        </w:rPr>
      </w:pPr>
      <w:r>
        <w:rPr>
          <w:rFonts w:hint="eastAsia" w:hAnsi="宋体" w:cs="宋体"/>
          <w:b/>
          <w:bCs/>
          <w:color w:val="auto"/>
          <w:w w:val="95"/>
          <w:sz w:val="32"/>
          <w:szCs w:val="32"/>
          <w:highlight w:val="none"/>
        </w:rPr>
        <w:t>采购代理机构：</w:t>
      </w:r>
      <w:r>
        <w:rPr>
          <w:rFonts w:hint="eastAsia" w:hAnsi="宋体" w:cs="宋体"/>
          <w:b/>
          <w:color w:val="auto"/>
          <w:sz w:val="32"/>
          <w:szCs w:val="32"/>
          <w:highlight w:val="none"/>
          <w:u w:val="single"/>
        </w:rPr>
        <w:t>浙江明达工程造价咨询有限公司</w:t>
      </w:r>
      <w:r>
        <w:rPr>
          <w:rFonts w:hint="eastAsia" w:hAnsi="宋体" w:cs="宋体"/>
          <w:b/>
          <w:color w:val="auto"/>
          <w:sz w:val="32"/>
          <w:szCs w:val="32"/>
          <w:highlight w:val="none"/>
        </w:rPr>
        <w:t>（盖章）</w:t>
      </w:r>
    </w:p>
    <w:p>
      <w:pPr>
        <w:pStyle w:val="13"/>
        <w:shd w:val="clear"/>
        <w:snapToGrid w:val="0"/>
        <w:spacing w:before="120" w:after="120" w:line="360" w:lineRule="auto"/>
        <w:ind w:firstLine="643" w:firstLineChars="200"/>
        <w:rPr>
          <w:rFonts w:hAnsi="宋体" w:cs="宋体"/>
          <w:b/>
          <w:color w:val="auto"/>
          <w:sz w:val="32"/>
          <w:szCs w:val="32"/>
          <w:highlight w:val="none"/>
        </w:rPr>
      </w:pPr>
      <w:r>
        <w:rPr>
          <w:rFonts w:hint="eastAsia" w:hAnsi="宋体" w:cs="宋体"/>
          <w:b/>
          <w:color w:val="auto"/>
          <w:sz w:val="32"/>
          <w:szCs w:val="32"/>
          <w:highlight w:val="none"/>
        </w:rPr>
        <w:t>法定代表人或其授权委托人：</w:t>
      </w:r>
      <w:r>
        <w:rPr>
          <w:rFonts w:hint="eastAsia" w:hAnsi="宋体" w:cs="宋体"/>
          <w:b/>
          <w:color w:val="auto"/>
          <w:sz w:val="32"/>
          <w:szCs w:val="32"/>
          <w:highlight w:val="none"/>
          <w:u w:val="single"/>
        </w:rPr>
        <w:t xml:space="preserve">             </w:t>
      </w:r>
      <w:r>
        <w:rPr>
          <w:rFonts w:hint="eastAsia" w:hAnsi="宋体" w:cs="宋体"/>
          <w:b/>
          <w:color w:val="auto"/>
          <w:sz w:val="32"/>
          <w:szCs w:val="32"/>
          <w:highlight w:val="none"/>
        </w:rPr>
        <w:t>（签字或盖章）</w:t>
      </w:r>
    </w:p>
    <w:p>
      <w:pPr>
        <w:pStyle w:val="13"/>
        <w:shd w:val="clear"/>
        <w:snapToGrid w:val="0"/>
        <w:spacing w:before="120" w:after="120" w:line="360" w:lineRule="auto"/>
        <w:jc w:val="center"/>
        <w:rPr>
          <w:rFonts w:hAnsi="宋体" w:cs="宋体"/>
          <w:b/>
          <w:color w:val="auto"/>
          <w:sz w:val="32"/>
          <w:szCs w:val="32"/>
          <w:highlight w:val="none"/>
        </w:rPr>
      </w:pPr>
      <w:r>
        <w:rPr>
          <w:rFonts w:hint="eastAsia" w:hAnsi="宋体" w:cs="宋体"/>
          <w:b/>
          <w:color w:val="auto"/>
          <w:sz w:val="32"/>
          <w:szCs w:val="32"/>
          <w:highlight w:val="none"/>
        </w:rPr>
        <w:t>日　 期：2022年</w:t>
      </w:r>
      <w:r>
        <w:rPr>
          <w:rFonts w:hint="eastAsia" w:hAnsi="宋体" w:cs="宋体"/>
          <w:b/>
          <w:color w:val="auto"/>
          <w:sz w:val="32"/>
          <w:szCs w:val="32"/>
          <w:highlight w:val="none"/>
          <w:lang w:val="en-US" w:eastAsia="zh-CN"/>
        </w:rPr>
        <w:t>11</w:t>
      </w:r>
      <w:r>
        <w:rPr>
          <w:rFonts w:hint="eastAsia" w:hAnsi="宋体" w:cs="宋体"/>
          <w:b/>
          <w:color w:val="auto"/>
          <w:sz w:val="32"/>
          <w:szCs w:val="32"/>
          <w:highlight w:val="none"/>
        </w:rPr>
        <w:t>月</w:t>
      </w:r>
    </w:p>
    <w:p>
      <w:pPr>
        <w:pStyle w:val="13"/>
        <w:shd w:val="clear"/>
        <w:spacing w:before="120" w:after="120" w:line="360" w:lineRule="auto"/>
        <w:ind w:firstLine="883" w:firstLineChars="200"/>
        <w:jc w:val="center"/>
        <w:rPr>
          <w:rFonts w:hAnsi="宋体" w:cs="宋体"/>
          <w:b/>
          <w:color w:val="auto"/>
          <w:sz w:val="44"/>
          <w:szCs w:val="44"/>
          <w:highlight w:val="none"/>
        </w:rPr>
        <w:sectPr>
          <w:headerReference r:id="rId5" w:type="first"/>
          <w:headerReference r:id="rId3" w:type="default"/>
          <w:footerReference r:id="rId6" w:type="default"/>
          <w:headerReference r:id="rId4" w:type="even"/>
          <w:footerReference r:id="rId7" w:type="even"/>
          <w:pgSz w:w="11906" w:h="16838"/>
          <w:pgMar w:top="1020" w:right="1134" w:bottom="1134" w:left="1418" w:header="851" w:footer="992" w:gutter="0"/>
          <w:pgNumType w:fmt="decimal" w:start="1"/>
          <w:cols w:space="720" w:num="1"/>
          <w:titlePg/>
          <w:docGrid w:type="lines" w:linePitch="312" w:charSpace="0"/>
        </w:sectPr>
      </w:pPr>
    </w:p>
    <w:p>
      <w:pPr>
        <w:pStyle w:val="13"/>
        <w:shd w:val="clear"/>
        <w:spacing w:before="120" w:after="120" w:line="360" w:lineRule="auto"/>
        <w:jc w:val="center"/>
        <w:rPr>
          <w:rFonts w:hAnsi="宋体" w:cs="宋体"/>
          <w:b/>
          <w:color w:val="auto"/>
          <w:sz w:val="36"/>
          <w:szCs w:val="36"/>
          <w:highlight w:val="none"/>
        </w:rPr>
      </w:pPr>
    </w:p>
    <w:p>
      <w:pPr>
        <w:pStyle w:val="13"/>
        <w:shd w:val="clear"/>
        <w:snapToGrid w:val="0"/>
        <w:spacing w:before="120" w:after="624" w:afterLines="200" w:line="480" w:lineRule="auto"/>
        <w:jc w:val="center"/>
        <w:rPr>
          <w:rFonts w:hAnsi="宋体" w:cs="宋体"/>
          <w:b/>
          <w:color w:val="auto"/>
          <w:sz w:val="44"/>
          <w:szCs w:val="44"/>
          <w:highlight w:val="none"/>
        </w:rPr>
      </w:pPr>
      <w:r>
        <w:rPr>
          <w:rFonts w:hint="eastAsia" w:hAnsi="宋体" w:cs="宋体"/>
          <w:b/>
          <w:color w:val="auto"/>
          <w:sz w:val="36"/>
          <w:szCs w:val="36"/>
          <w:highlight w:val="none"/>
        </w:rPr>
        <w:t>目   录</w:t>
      </w:r>
    </w:p>
    <w:p>
      <w:pPr>
        <w:pStyle w:val="17"/>
        <w:shd w:val="clear"/>
        <w:tabs>
          <w:tab w:val="right" w:leader="dot" w:pos="9354"/>
        </w:tabs>
        <w:rPr>
          <w:color w:val="auto"/>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TOC \o "1-3" \h \z \u </w:instrText>
      </w:r>
      <w:r>
        <w:rPr>
          <w:rFonts w:hint="eastAsia" w:ascii="宋体" w:hAnsi="宋体" w:cs="宋体"/>
          <w:b w:val="0"/>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_Toc21508 </w:instrText>
      </w:r>
      <w:r>
        <w:rPr>
          <w:rFonts w:hint="eastAsia" w:ascii="宋体" w:hAnsi="宋体" w:cs="宋体"/>
          <w:color w:val="auto"/>
          <w:highlight w:val="none"/>
        </w:rPr>
        <w:fldChar w:fldCharType="separate"/>
      </w:r>
      <w:r>
        <w:rPr>
          <w:rFonts w:hint="eastAsia" w:ascii="宋体" w:hAnsi="宋体" w:cs="宋体"/>
          <w:color w:val="auto"/>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_Toc21508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lang w:val="en-US" w:eastAsia="zh-CN"/>
        </w:rPr>
        <w:t xml:space="preserve">第二章  </w:t>
      </w: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_Toc23978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投标须知和投标须知前附表</w:t>
      </w:r>
      <w:r>
        <w:rPr>
          <w:color w:val="auto"/>
          <w:highlight w:val="none"/>
        </w:rPr>
        <w:tab/>
      </w:r>
      <w:r>
        <w:rPr>
          <w:color w:val="auto"/>
          <w:highlight w:val="none"/>
        </w:rPr>
        <w:fldChar w:fldCharType="begin"/>
      </w:r>
      <w:r>
        <w:rPr>
          <w:color w:val="auto"/>
          <w:highlight w:val="none"/>
        </w:rPr>
        <w:instrText xml:space="preserve"> PAGEREF _Toc23978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_Toc9924 </w:instrText>
      </w:r>
      <w:r>
        <w:rPr>
          <w:rFonts w:hint="eastAsia" w:ascii="宋体" w:hAnsi="宋体" w:cs="宋体"/>
          <w:color w:val="auto"/>
          <w:kern w:val="2"/>
          <w:szCs w:val="30"/>
          <w:highlight w:val="none"/>
        </w:rPr>
        <w:fldChar w:fldCharType="separate"/>
      </w:r>
      <w:r>
        <w:rPr>
          <w:rFonts w:hint="eastAsia" w:ascii="宋体" w:hAnsi="宋体" w:cs="宋体"/>
          <w:color w:val="auto"/>
          <w:highlight w:val="none"/>
        </w:rPr>
        <w:t>第三章  采购项目需求</w:t>
      </w:r>
      <w:r>
        <w:rPr>
          <w:color w:val="auto"/>
          <w:highlight w:val="none"/>
        </w:rPr>
        <w:tab/>
      </w:r>
      <w:r>
        <w:rPr>
          <w:color w:val="auto"/>
          <w:highlight w:val="none"/>
        </w:rPr>
        <w:fldChar w:fldCharType="begin"/>
      </w:r>
      <w:r>
        <w:rPr>
          <w:color w:val="auto"/>
          <w:highlight w:val="none"/>
        </w:rPr>
        <w:instrText xml:space="preserve"> PAGEREF _Toc9924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_Toc1819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第四章 </w:t>
      </w:r>
      <w:r>
        <w:rPr>
          <w:rFonts w:hint="eastAsia" w:ascii="宋体" w:hAnsi="宋体" w:cs="宋体"/>
          <w:color w:val="auto"/>
          <w:highlight w:val="none"/>
        </w:rPr>
        <w:t>开标、评标和定标须知</w:t>
      </w:r>
      <w:r>
        <w:rPr>
          <w:color w:val="auto"/>
          <w:highlight w:val="none"/>
        </w:rPr>
        <w:tab/>
      </w:r>
      <w:r>
        <w:rPr>
          <w:color w:val="auto"/>
          <w:highlight w:val="none"/>
        </w:rPr>
        <w:fldChar w:fldCharType="begin"/>
      </w:r>
      <w:r>
        <w:rPr>
          <w:color w:val="auto"/>
          <w:highlight w:val="none"/>
        </w:rPr>
        <w:instrText xml:space="preserve"> PAGEREF _Toc1819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_Toc24286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一、开标</w:t>
      </w:r>
      <w:r>
        <w:rPr>
          <w:color w:val="auto"/>
          <w:highlight w:val="none"/>
        </w:rPr>
        <w:tab/>
      </w:r>
      <w:r>
        <w:rPr>
          <w:color w:val="auto"/>
          <w:highlight w:val="none"/>
        </w:rPr>
        <w:fldChar w:fldCharType="begin"/>
      </w:r>
      <w:r>
        <w:rPr>
          <w:color w:val="auto"/>
          <w:highlight w:val="none"/>
        </w:rPr>
        <w:instrText xml:space="preserve"> PAGEREF _Toc24286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_Toc7234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二、评标</w:t>
      </w:r>
      <w:r>
        <w:rPr>
          <w:color w:val="auto"/>
          <w:highlight w:val="none"/>
        </w:rPr>
        <w:tab/>
      </w:r>
      <w:r>
        <w:rPr>
          <w:color w:val="auto"/>
          <w:highlight w:val="none"/>
        </w:rPr>
        <w:fldChar w:fldCharType="begin"/>
      </w:r>
      <w:r>
        <w:rPr>
          <w:color w:val="auto"/>
          <w:highlight w:val="none"/>
        </w:rPr>
        <w:instrText xml:space="preserve"> PAGEREF _Toc7234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kern w:val="2"/>
          <w:szCs w:val="30"/>
          <w:highlight w:val="none"/>
        </w:rPr>
        <w:fldChar w:fldCharType="end"/>
      </w:r>
    </w:p>
    <w:p>
      <w:pPr>
        <w:pStyle w:val="19"/>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_Toc9919 </w:instrText>
      </w:r>
      <w:r>
        <w:rPr>
          <w:rFonts w:hint="eastAsia" w:ascii="宋体" w:hAnsi="宋体" w:cs="宋体"/>
          <w:color w:val="auto"/>
          <w:kern w:val="2"/>
          <w:szCs w:val="30"/>
          <w:highlight w:val="none"/>
        </w:rPr>
        <w:fldChar w:fldCharType="separate"/>
      </w:r>
      <w:r>
        <w:rPr>
          <w:rFonts w:hint="eastAsia" w:ascii="宋体" w:hAnsi="宋体" w:eastAsia="宋体" w:cs="宋体"/>
          <w:color w:val="auto"/>
          <w:szCs w:val="28"/>
          <w:highlight w:val="none"/>
        </w:rPr>
        <w:t>三、定标</w:t>
      </w:r>
      <w:r>
        <w:rPr>
          <w:color w:val="auto"/>
          <w:highlight w:val="none"/>
        </w:rPr>
        <w:tab/>
      </w:r>
      <w:r>
        <w:rPr>
          <w:color w:val="auto"/>
          <w:highlight w:val="none"/>
        </w:rPr>
        <w:fldChar w:fldCharType="begin"/>
      </w:r>
      <w:r>
        <w:rPr>
          <w:color w:val="auto"/>
          <w:highlight w:val="none"/>
        </w:rPr>
        <w:instrText xml:space="preserve"> PAGEREF _Toc9919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_Toc19770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第五章 </w:t>
      </w:r>
      <w:r>
        <w:rPr>
          <w:rFonts w:hint="eastAsia" w:ascii="宋体" w:hAnsi="宋体" w:cs="宋体"/>
          <w:color w:val="auto"/>
          <w:highlight w:val="none"/>
        </w:rPr>
        <w:t>投标文件的有效性</w:t>
      </w:r>
      <w:r>
        <w:rPr>
          <w:color w:val="auto"/>
          <w:highlight w:val="none"/>
        </w:rPr>
        <w:tab/>
      </w:r>
      <w:r>
        <w:rPr>
          <w:color w:val="auto"/>
          <w:highlight w:val="none"/>
        </w:rPr>
        <w:fldChar w:fldCharType="begin"/>
      </w:r>
      <w:r>
        <w:rPr>
          <w:color w:val="auto"/>
          <w:highlight w:val="none"/>
        </w:rPr>
        <w:instrText xml:space="preserve"> PAGEREF _Toc19770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_Toc7721 </w:instrText>
      </w:r>
      <w:r>
        <w:rPr>
          <w:rFonts w:hint="eastAsia" w:ascii="宋体" w:hAnsi="宋体" w:cs="宋体"/>
          <w:color w:val="auto"/>
          <w:kern w:val="2"/>
          <w:szCs w:val="30"/>
          <w:highlight w:val="none"/>
        </w:rPr>
        <w:fldChar w:fldCharType="separate"/>
      </w:r>
      <w:r>
        <w:rPr>
          <w:rFonts w:hint="default" w:ascii="宋体" w:hAnsi="Times New Roman" w:cs="宋体"/>
          <w:color w:val="auto"/>
          <w:highlight w:val="none"/>
        </w:rPr>
        <w:t xml:space="preserve">第六章 </w:t>
      </w:r>
      <w:r>
        <w:rPr>
          <w:rFonts w:hint="eastAsia" w:ascii="宋体" w:hAnsi="宋体" w:cs="宋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_Toc7721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_Toc23465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第七章 拟签订的合同文本</w:t>
      </w:r>
      <w:r>
        <w:rPr>
          <w:color w:val="auto"/>
          <w:highlight w:val="none"/>
        </w:rPr>
        <w:tab/>
      </w:r>
      <w:r>
        <w:rPr>
          <w:color w:val="auto"/>
          <w:highlight w:val="none"/>
        </w:rPr>
        <w:fldChar w:fldCharType="begin"/>
      </w:r>
      <w:r>
        <w:rPr>
          <w:color w:val="auto"/>
          <w:highlight w:val="none"/>
        </w:rPr>
        <w:instrText xml:space="preserve"> PAGEREF _Toc23465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kern w:val="2"/>
          <w:szCs w:val="30"/>
          <w:highlight w:val="none"/>
        </w:rPr>
        <w:fldChar w:fldCharType="end"/>
      </w:r>
    </w:p>
    <w:p>
      <w:pPr>
        <w:pStyle w:val="17"/>
        <w:shd w:val="clear"/>
        <w:tabs>
          <w:tab w:val="right" w:leader="dot" w:pos="9354"/>
        </w:tabs>
        <w:rPr>
          <w:color w:val="auto"/>
          <w:highlight w:val="none"/>
        </w:rPr>
      </w:pPr>
      <w:r>
        <w:rPr>
          <w:rFonts w:hint="eastAsia" w:ascii="宋体" w:hAnsi="宋体" w:cs="宋体"/>
          <w:color w:val="auto"/>
          <w:kern w:val="2"/>
          <w:szCs w:val="30"/>
          <w:highlight w:val="none"/>
        </w:rPr>
        <w:fldChar w:fldCharType="begin"/>
      </w:r>
      <w:r>
        <w:rPr>
          <w:rFonts w:hint="eastAsia" w:ascii="宋体" w:hAnsi="宋体" w:cs="宋体"/>
          <w:color w:val="auto"/>
          <w:kern w:val="2"/>
          <w:szCs w:val="30"/>
          <w:highlight w:val="none"/>
        </w:rPr>
        <w:instrText xml:space="preserve"> HYPERLINK \l _Toc23023 </w:instrText>
      </w:r>
      <w:r>
        <w:rPr>
          <w:rFonts w:hint="eastAsia" w:ascii="宋体" w:hAnsi="宋体" w:cs="宋体"/>
          <w:color w:val="auto"/>
          <w:kern w:val="2"/>
          <w:szCs w:val="30"/>
          <w:highlight w:val="none"/>
        </w:rPr>
        <w:fldChar w:fldCharType="separate"/>
      </w:r>
      <w:r>
        <w:rPr>
          <w:rFonts w:hint="eastAsia" w:ascii="宋体" w:hAnsi="宋体" w:cs="宋体"/>
          <w:color w:val="auto"/>
          <w:szCs w:val="36"/>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_Toc23023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kern w:val="2"/>
          <w:szCs w:val="30"/>
          <w:highlight w:val="none"/>
        </w:rPr>
        <w:fldChar w:fldCharType="end"/>
      </w:r>
    </w:p>
    <w:p>
      <w:pPr>
        <w:pStyle w:val="5"/>
        <w:shd w:val="clear"/>
        <w:spacing w:before="0" w:after="0" w:line="360" w:lineRule="exact"/>
        <w:rPr>
          <w:rFonts w:ascii="宋体" w:hAnsi="宋体" w:cs="宋体"/>
          <w:color w:val="auto"/>
          <w:kern w:val="2"/>
          <w:szCs w:val="30"/>
          <w:highlight w:val="none"/>
        </w:rPr>
      </w:pPr>
      <w:r>
        <w:rPr>
          <w:rFonts w:hint="eastAsia" w:ascii="宋体" w:hAnsi="宋体" w:cs="宋体"/>
          <w:color w:val="auto"/>
          <w:kern w:val="2"/>
          <w:szCs w:val="30"/>
          <w:highlight w:val="none"/>
        </w:rPr>
        <w:fldChar w:fldCharType="end"/>
      </w:r>
    </w:p>
    <w:p>
      <w:pPr>
        <w:shd w:val="clear"/>
        <w:rPr>
          <w:rFonts w:ascii="宋体" w:hAnsi="宋体" w:cs="宋体"/>
          <w:bCs/>
          <w:color w:val="auto"/>
          <w:szCs w:val="30"/>
          <w:highlight w:val="none"/>
        </w:rPr>
      </w:pPr>
    </w:p>
    <w:p>
      <w:pPr>
        <w:shd w:val="clear"/>
        <w:rPr>
          <w:rFonts w:ascii="宋体" w:hAnsi="宋体" w:cs="宋体"/>
          <w:bCs/>
          <w:color w:val="auto"/>
          <w:szCs w:val="30"/>
          <w:highlight w:val="none"/>
        </w:rPr>
      </w:pPr>
    </w:p>
    <w:p>
      <w:pPr>
        <w:pStyle w:val="2"/>
        <w:shd w:val="clear"/>
        <w:rPr>
          <w:rFonts w:cs="宋体"/>
          <w:color w:val="auto"/>
          <w:szCs w:val="30"/>
          <w:highlight w:val="none"/>
        </w:rPr>
      </w:pPr>
    </w:p>
    <w:p>
      <w:pPr>
        <w:pStyle w:val="2"/>
        <w:shd w:val="clear"/>
        <w:rPr>
          <w:rFonts w:cs="宋体"/>
          <w:color w:val="auto"/>
          <w:szCs w:val="30"/>
          <w:highlight w:val="none"/>
        </w:rPr>
      </w:pPr>
    </w:p>
    <w:p>
      <w:pPr>
        <w:shd w:val="clear"/>
        <w:rPr>
          <w:rFonts w:ascii="宋体" w:hAnsi="宋体" w:cs="宋体"/>
          <w:color w:val="auto"/>
          <w:szCs w:val="30"/>
          <w:highlight w:val="none"/>
        </w:rPr>
      </w:pPr>
    </w:p>
    <w:p>
      <w:pPr>
        <w:pStyle w:val="2"/>
        <w:shd w:val="clear"/>
        <w:rPr>
          <w:rFonts w:cs="宋体"/>
          <w:color w:val="auto"/>
          <w:szCs w:val="30"/>
          <w:highlight w:val="none"/>
        </w:rPr>
      </w:pPr>
    </w:p>
    <w:p>
      <w:pPr>
        <w:pStyle w:val="3"/>
        <w:shd w:val="clear"/>
        <w:rPr>
          <w:rFonts w:cs="宋体"/>
          <w:color w:val="auto"/>
          <w:szCs w:val="30"/>
          <w:highlight w:val="none"/>
        </w:rPr>
      </w:pPr>
    </w:p>
    <w:p>
      <w:pPr>
        <w:pStyle w:val="4"/>
        <w:shd w:val="clear"/>
        <w:rPr>
          <w:rFonts w:cs="宋体"/>
          <w:color w:val="auto"/>
          <w:szCs w:val="30"/>
          <w:highlight w:val="none"/>
        </w:rPr>
      </w:pPr>
    </w:p>
    <w:p>
      <w:pPr>
        <w:shd w:val="clear"/>
        <w:rPr>
          <w:color w:val="auto"/>
          <w:highlight w:val="none"/>
        </w:rPr>
      </w:pPr>
    </w:p>
    <w:p>
      <w:pPr>
        <w:pStyle w:val="2"/>
        <w:shd w:val="clear"/>
        <w:rPr>
          <w:rFonts w:cs="宋体"/>
          <w:color w:val="auto"/>
          <w:szCs w:val="30"/>
          <w:highlight w:val="none"/>
        </w:rPr>
      </w:pPr>
    </w:p>
    <w:p>
      <w:pPr>
        <w:pStyle w:val="5"/>
        <w:shd w:val="clear"/>
        <w:spacing w:before="0" w:after="0" w:line="360" w:lineRule="auto"/>
        <w:jc w:val="center"/>
        <w:rPr>
          <w:rFonts w:ascii="宋体" w:hAnsi="宋体" w:cs="宋体"/>
          <w:b w:val="0"/>
          <w:color w:val="auto"/>
          <w:kern w:val="2"/>
          <w:sz w:val="24"/>
          <w:szCs w:val="30"/>
          <w:highlight w:val="none"/>
        </w:rPr>
      </w:pPr>
      <w:bookmarkStart w:id="0" w:name="_Toc368140162"/>
      <w:r>
        <w:rPr>
          <w:rFonts w:hint="eastAsia" w:ascii="宋体" w:hAnsi="宋体" w:cs="宋体"/>
          <w:color w:val="auto"/>
          <w:sz w:val="36"/>
          <w:highlight w:val="none"/>
        </w:rPr>
        <w:t xml:space="preserve"> </w:t>
      </w:r>
      <w:bookmarkStart w:id="1" w:name="_Toc21508"/>
      <w:bookmarkStart w:id="2" w:name="_Toc25919"/>
      <w:bookmarkStart w:id="3" w:name="_Toc10089"/>
      <w:r>
        <w:rPr>
          <w:rFonts w:hint="eastAsia" w:ascii="宋体" w:hAnsi="宋体" w:cs="宋体"/>
          <w:color w:val="auto"/>
          <w:sz w:val="36"/>
          <w:highlight w:val="none"/>
        </w:rPr>
        <w:t>第一章  采购公告</w:t>
      </w:r>
      <w:bookmarkEnd w:id="0"/>
      <w:bookmarkEnd w:id="1"/>
      <w:bookmarkEnd w:id="2"/>
      <w:bookmarkEnd w:id="3"/>
    </w:p>
    <w:p>
      <w:pPr>
        <w:shd w:val="clear"/>
        <w:spacing w:line="360" w:lineRule="auto"/>
        <w:ind w:firstLine="480" w:firstLineChars="200"/>
        <w:rPr>
          <w:rFonts w:ascii="宋体" w:hAnsi="宋体" w:cs="宋体"/>
          <w:color w:val="auto"/>
          <w:sz w:val="48"/>
          <w:szCs w:val="48"/>
          <w:highlight w:val="none"/>
        </w:rPr>
      </w:pPr>
      <w:r>
        <w:rPr>
          <w:rFonts w:hint="eastAsia" w:ascii="宋体" w:hAnsi="宋体" w:cs="宋体"/>
          <w:color w:val="auto"/>
          <w:sz w:val="24"/>
          <w:highlight w:val="none"/>
        </w:rPr>
        <w:t>义乌市廿三里辖区路灯能源管理服务采购项目</w:t>
      </w:r>
      <w:r>
        <w:rPr>
          <w:rFonts w:hint="eastAsia" w:ascii="宋体" w:hAnsi="宋体" w:cs="宋体"/>
          <w:color w:val="auto"/>
          <w:sz w:val="24"/>
          <w:highlight w:val="none"/>
          <w:shd w:val="clear" w:color="auto" w:fill="FFFFFF"/>
        </w:rPr>
        <w:t>的潜在投标人应在 </w:t>
      </w:r>
      <w:r>
        <w:rPr>
          <w:rFonts w:hint="eastAsia" w:ascii="宋体" w:hAnsi="宋体" w:cs="宋体"/>
          <w:color w:val="auto"/>
          <w:sz w:val="24"/>
          <w:highlight w:val="none"/>
          <w:u w:val="single"/>
          <w:shd w:val="clear" w:color="auto" w:fill="FFFFFF"/>
        </w:rPr>
        <w:t>浙江政府采购网 </w:t>
      </w:r>
      <w:r>
        <w:rPr>
          <w:rFonts w:hint="eastAsia" w:ascii="宋体" w:hAnsi="宋体" w:cs="宋体"/>
          <w:color w:val="auto"/>
          <w:sz w:val="24"/>
          <w:highlight w:val="none"/>
          <w:shd w:val="clear" w:color="auto" w:fill="FFFFFF"/>
        </w:rPr>
        <w:t>获取（下载）采购文件，并于</w:t>
      </w:r>
      <w:r>
        <w:rPr>
          <w:rFonts w:hint="eastAsia" w:ascii="宋体" w:hAnsi="宋体" w:cs="宋体"/>
          <w:color w:val="auto"/>
          <w:sz w:val="24"/>
          <w:highlight w:val="none"/>
          <w:u w:val="single"/>
          <w:shd w:val="clear" w:color="auto" w:fill="FFFFFF"/>
          <w:lang w:val="en-US" w:eastAsia="zh-CN"/>
        </w:rPr>
        <w:t>2023</w:t>
      </w:r>
      <w:r>
        <w:rPr>
          <w:rFonts w:hint="eastAsia" w:ascii="宋体" w:hAnsi="宋体" w:cs="宋体"/>
          <w:color w:val="auto"/>
          <w:sz w:val="24"/>
          <w:highlight w:val="none"/>
          <w:u w:val="single"/>
          <w:shd w:val="clear" w:color="auto" w:fill="FFFFFF"/>
        </w:rPr>
        <w:t>年</w:t>
      </w:r>
      <w:r>
        <w:rPr>
          <w:rFonts w:hint="eastAsia" w:ascii="宋体" w:hAnsi="宋体" w:cs="宋体"/>
          <w:color w:val="auto"/>
          <w:sz w:val="24"/>
          <w:highlight w:val="none"/>
          <w:u w:val="single"/>
          <w:shd w:val="clear" w:color="auto" w:fill="FFFFFF"/>
          <w:lang w:val="en-US" w:eastAsia="zh-CN"/>
        </w:rPr>
        <w:t>1</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9</w:t>
      </w:r>
      <w:r>
        <w:rPr>
          <w:rFonts w:hint="eastAsia" w:ascii="宋体" w:hAnsi="宋体" w:cs="宋体"/>
          <w:color w:val="auto"/>
          <w:sz w:val="24"/>
          <w:highlight w:val="none"/>
          <w:u w:val="single"/>
          <w:shd w:val="clear" w:color="auto" w:fill="FFFFFF"/>
        </w:rPr>
        <w:t>:</w:t>
      </w:r>
      <w:r>
        <w:rPr>
          <w:rFonts w:hint="eastAsia" w:ascii="宋体" w:hAnsi="宋体" w:cs="宋体"/>
          <w:color w:val="auto"/>
          <w:sz w:val="24"/>
          <w:highlight w:val="none"/>
          <w:u w:val="single"/>
          <w:shd w:val="clear" w:color="auto" w:fill="FFFFFF"/>
          <w:lang w:val="en-US" w:eastAsia="zh-CN"/>
        </w:rPr>
        <w:t>30</w:t>
      </w:r>
      <w:r>
        <w:rPr>
          <w:rFonts w:hint="eastAsia" w:ascii="宋体" w:hAnsi="宋体" w:cs="宋体"/>
          <w:color w:val="auto"/>
          <w:sz w:val="24"/>
          <w:highlight w:val="none"/>
          <w:shd w:val="clear" w:color="auto" w:fill="FFFFFF"/>
        </w:rPr>
        <w:t>（北京时间）前递交（上传）投标文件。</w:t>
      </w:r>
    </w:p>
    <w:p>
      <w:pPr>
        <w:pStyle w:val="20"/>
        <w:widowControl/>
        <w:numPr>
          <w:ilvl w:val="0"/>
          <w:numId w:val="1"/>
        </w:numPr>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项目基本情况</w:t>
      </w:r>
    </w:p>
    <w:p>
      <w:pPr>
        <w:pStyle w:val="20"/>
        <w:widowControl/>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shd w:val="clear" w:color="auto" w:fill="FFFFFF"/>
        </w:rPr>
        <w:t>1、项目编号：</w:t>
      </w:r>
      <w:r>
        <w:rPr>
          <w:rFonts w:hint="eastAsia" w:ascii="宋体" w:hAnsi="宋体" w:cs="宋体"/>
          <w:color w:val="auto"/>
          <w:highlight w:val="none"/>
          <w:lang w:eastAsia="zh-CN"/>
        </w:rPr>
        <w:t>ZJMD2022045GK-1</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2、项目名称：</w:t>
      </w:r>
      <w:r>
        <w:rPr>
          <w:rFonts w:hint="eastAsia" w:ascii="宋体" w:hAnsi="宋体" w:cs="宋体"/>
          <w:color w:val="auto"/>
          <w:highlight w:val="none"/>
        </w:rPr>
        <w:t>义乌市廿三里辖区路灯能源管理服务采购项目</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3、预算金额（元）：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4、最高限价（元）：</w:t>
      </w:r>
      <w:r>
        <w:rPr>
          <w:rFonts w:hint="eastAsia" w:ascii="宋体" w:hAnsi="宋体" w:cs="宋体"/>
          <w:color w:val="auto"/>
          <w:highlight w:val="none"/>
          <w:shd w:val="clear" w:color="auto" w:fill="FFFFFF"/>
          <w:lang w:val="en-US" w:eastAsia="zh-CN"/>
        </w:rPr>
        <w:t>8910000</w:t>
      </w:r>
      <w:r>
        <w:rPr>
          <w:rFonts w:hint="eastAsia" w:ascii="宋体" w:hAnsi="宋体" w:cs="宋体"/>
          <w:color w:val="auto"/>
          <w:highlight w:val="none"/>
          <w:shd w:val="clear" w:color="auto" w:fill="FFFFFF"/>
        </w:rPr>
        <w:t>元 </w:t>
      </w:r>
    </w:p>
    <w:p>
      <w:pPr>
        <w:pStyle w:val="20"/>
        <w:widowControl/>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5、采购需求：                          </w:t>
      </w:r>
    </w:p>
    <w:tbl>
      <w:tblPr>
        <w:tblStyle w:val="22"/>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3"/>
        <w:gridCol w:w="3005"/>
        <w:gridCol w:w="1047"/>
        <w:gridCol w:w="1760"/>
        <w:gridCol w:w="988"/>
        <w:gridCol w:w="137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标项</w:t>
            </w:r>
          </w:p>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标项名称</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数量</w:t>
            </w:r>
          </w:p>
        </w:tc>
        <w:tc>
          <w:tcPr>
            <w:tcW w:w="86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预算金额(元)</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单位</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简要规格描述</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527"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义乌市廿三里辖区路灯能源管理服务采购项目</w:t>
            </w:r>
          </w:p>
        </w:tc>
        <w:tc>
          <w:tcPr>
            <w:tcW w:w="514"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64" w:type="pct"/>
            <w:tcMar>
              <w:top w:w="75" w:type="dxa"/>
              <w:left w:w="150" w:type="dxa"/>
              <w:bottom w:w="75" w:type="dxa"/>
              <w:right w:w="150" w:type="dxa"/>
            </w:tcMar>
            <w:vAlign w:val="center"/>
          </w:tcPr>
          <w:p>
            <w:pPr>
              <w:widowControl/>
              <w:shd w:val="clear"/>
              <w:wordWrap w:val="0"/>
              <w:snapToGrid w:val="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8910000</w:t>
            </w:r>
          </w:p>
        </w:tc>
        <w:tc>
          <w:tcPr>
            <w:tcW w:w="48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年</w:t>
            </w:r>
          </w:p>
        </w:tc>
        <w:tc>
          <w:tcPr>
            <w:tcW w:w="67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r>
              <w:rPr>
                <w:rFonts w:hint="eastAsia" w:ascii="宋体" w:hAnsi="宋体" w:cs="宋体"/>
                <w:color w:val="auto"/>
                <w:kern w:val="0"/>
                <w:sz w:val="24"/>
                <w:highlight w:val="none"/>
              </w:rPr>
              <w:t>详见采购文件</w:t>
            </w:r>
          </w:p>
        </w:tc>
        <w:tc>
          <w:tcPr>
            <w:tcW w:w="455" w:type="pct"/>
            <w:tcMar>
              <w:top w:w="75" w:type="dxa"/>
              <w:left w:w="150" w:type="dxa"/>
              <w:bottom w:w="75" w:type="dxa"/>
              <w:right w:w="150" w:type="dxa"/>
            </w:tcMar>
            <w:vAlign w:val="center"/>
          </w:tcPr>
          <w:p>
            <w:pPr>
              <w:widowControl/>
              <w:shd w:val="clear"/>
              <w:wordWrap w:val="0"/>
              <w:snapToGrid w:val="0"/>
              <w:jc w:val="center"/>
              <w:rPr>
                <w:rFonts w:ascii="宋体" w:hAnsi="宋体" w:cs="宋体"/>
                <w:color w:val="auto"/>
                <w:sz w:val="24"/>
                <w:highlight w:val="none"/>
              </w:rPr>
            </w:pPr>
          </w:p>
        </w:tc>
      </w:tr>
    </w:tbl>
    <w:p>
      <w:pPr>
        <w:pStyle w:val="20"/>
        <w:widowControl/>
        <w:shd w:val="clear"/>
        <w:spacing w:line="360" w:lineRule="auto"/>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二、申请人的资格要求：</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1、满足《中华人民共和国政府采购法》第二十二条规定或符合浙财采监【2013】24号《关于规范政府采购投标人资格设定及资格审查的通知》第六条规定的投标人；</w:t>
      </w:r>
    </w:p>
    <w:p>
      <w:pPr>
        <w:shd w:val="clear"/>
        <w:spacing w:line="400" w:lineRule="exact"/>
        <w:ind w:firstLine="480" w:firstLineChars="200"/>
        <w:rPr>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本项目专门面向中小企业；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参加本次政府采购活动前三年内，在经营活动中没有重大违法记录，同时供应商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自2019年01月01日起到中标公告期结束前无行贿犯罪记录［评审结束后，发放成交通知书前由采购人通过中国裁判文书网（http://wenshu.court.gov.cn/）按照采购文件约定对拟中标人的行贿犯罪记录进行查询，查询结果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关于在全市公共资源交易活动中应用信用报告的通知》（义行服管〔2017〕17号）的规定，综合信用报告评级不属于D类或E类的（无信用评价供应商不受此项条件限制，查询结果以开标当日网站页面显示内容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、单位负责人为同一人或者存在直接控股、管理关系的不同供应商，不得参加同一合同项下（同一标项）的政府采购活动；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、为采购项目提供整体设计、规范编制或者项目管理、监理、检测等服务的供应商，不得再参加该采购项目的其他采购活动；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、本项目接受联合体投标； </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.公益一类事业单位不属于政府购买服务的承接主体，不得参与承接购买服务。</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三、获取采购文件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获取时间：公告发布日期至2023年1月11日（开标截止当天为</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），每天上午00:00至12:00，下午12:00至23:59（北京时间，线上获取法定节假日均可，线下获取文件法定节假日除外）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获取地点（网址）：浙江政府采购网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获取方式：登录浙江政府采购网账号获取或直接在招标公告下方获取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四、提交投标文件截止时间、开标时间和地点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提交投标文件截止时间：2023年1月11日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（北京时间）</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投标地点（网址）：登录浙江政府采购网上传电子投标文件 </w:t>
      </w:r>
    </w:p>
    <w:p>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开标时间：2023年1月11日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开标地点（网址）：义乌市望道路300号行政服务中心四楼电子开标室。</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五、公告期限</w:t>
      </w:r>
    </w:p>
    <w:p>
      <w:pPr>
        <w:pStyle w:val="20"/>
        <w:widowControl/>
        <w:shd w:val="clear"/>
        <w:spacing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自本公告发布之日起5个工作日。</w:t>
      </w:r>
    </w:p>
    <w:p>
      <w:pPr>
        <w:pStyle w:val="20"/>
        <w:widowControl/>
        <w:shd w:val="clear"/>
        <w:spacing w:line="360" w:lineRule="auto"/>
        <w:jc w:val="left"/>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六、其他补充事宜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①本项目实行网上投标，以潜在投标人身份获取文件后投标人即可参投，投标方在投标截止时间之前上传电子投标文件。投标人参与投标，需自行承担投标一切费用。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②标前准备：各投标人应在开标前确保成为浙江省政府采购网正式注册入库供应商，并完成CA数字证书办理。【办理流程详见</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https://middle.zcygov.cn/v-settle-front/registry下载，（目前“政采云”平台仅支持浙江汇信或天谷CA锁，个体工商户投标仅支持浙江汇信CA锁），申领操作流程】。因未注册入库、未办理CA数字证书等原因造成无法投标或投标失败等后果由供应商自行承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投标文件制作：投标人通过“政采云”平台电子投标工具制作投标文件，电子投标工具请供应商自行前往https://middle.zcygov.cn/v-settle-front/registry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　　　　</w:t>
      </w:r>
      <w:bookmarkStart w:id="141" w:name="_GoBack"/>
    </w:p>
    <w:p>
      <w:pPr>
        <w:pStyle w:val="20"/>
        <w:widowControl/>
        <w:shd w:val="clear"/>
        <w:spacing w:line="360" w:lineRule="auto"/>
        <w:rPr>
          <w:rFonts w:ascii="宋体" w:hAnsi="宋体" w:cs="宋体"/>
          <w:color w:val="auto"/>
          <w:highlight w:val="none"/>
        </w:rPr>
      </w:pPr>
      <w:r>
        <w:rPr>
          <w:rFonts w:hint="eastAsia" w:ascii="宋体" w:hAnsi="宋体" w:cs="宋体"/>
          <w:b/>
          <w:bCs/>
          <w:color w:val="auto"/>
          <w:sz w:val="28"/>
          <w:szCs w:val="28"/>
          <w:highlight w:val="none"/>
          <w:shd w:val="clear" w:color="auto" w:fill="FFFFFF"/>
        </w:rPr>
        <w:t>七、对本次招标提出询问、质疑、投诉，请按以下方</w:t>
      </w:r>
      <w:bookmarkEnd w:id="141"/>
      <w:r>
        <w:rPr>
          <w:rFonts w:hint="eastAsia" w:ascii="宋体" w:hAnsi="宋体" w:cs="宋体"/>
          <w:b/>
          <w:bCs/>
          <w:color w:val="auto"/>
          <w:sz w:val="28"/>
          <w:szCs w:val="28"/>
          <w:highlight w:val="none"/>
          <w:shd w:val="clear" w:color="auto" w:fill="FFFFFF"/>
        </w:rPr>
        <w:t>式联系。　　</w:t>
      </w:r>
      <w:r>
        <w:rPr>
          <w:rFonts w:hint="eastAsia" w:ascii="宋体" w:hAnsi="宋体" w:cs="宋体"/>
          <w:color w:val="auto"/>
          <w:highlight w:val="none"/>
          <w:shd w:val="clear" w:color="auto" w:fill="FFFFFF"/>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义乌市人民政府廿三里街道办事处</w:t>
      </w:r>
    </w:p>
    <w:p>
      <w:pPr>
        <w:shd w:val="clea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lang w:val="en-US" w:eastAsia="zh-CN"/>
        </w:rPr>
        <w:t>吕先生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lang w:val="en-US" w:eastAsia="zh-CN"/>
        </w:rPr>
        <w:t>13516892070</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王先生</w:t>
      </w:r>
    </w:p>
    <w:p>
      <w:pPr>
        <w:shd w:val="clea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0579-85018051</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浙江明达工程造价咨询有限公司</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w:t>
      </w:r>
      <w:r>
        <w:rPr>
          <w:rFonts w:hint="eastAsia" w:ascii="宋体" w:hAnsi="宋体" w:cs="宋体"/>
          <w:color w:val="auto"/>
          <w:sz w:val="24"/>
          <w:highlight w:val="none"/>
          <w:u w:val="single"/>
        </w:rPr>
        <w:t>义乌市雪峰西路968号科技大楼A区6楼</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吕茜美</w:t>
      </w:r>
      <w:r>
        <w:rPr>
          <w:rFonts w:hint="eastAsia" w:ascii="宋体" w:hAnsi="宋体" w:cs="宋体"/>
          <w:color w:val="auto"/>
          <w:sz w:val="24"/>
          <w:highlight w:val="none"/>
        </w:rPr>
        <w:t xml:space="preserve"> </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项目联系方式（询问）：</w:t>
      </w:r>
      <w:r>
        <w:rPr>
          <w:rFonts w:hint="eastAsia" w:ascii="宋体" w:hAnsi="宋体" w:cs="宋体"/>
          <w:color w:val="auto"/>
          <w:sz w:val="24"/>
          <w:highlight w:val="none"/>
          <w:u w:val="single"/>
        </w:rPr>
        <w:t>18157970625</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lang w:val="en-US" w:eastAsia="zh-CN"/>
        </w:rPr>
        <w:t>吴志豪</w:t>
      </w:r>
    </w:p>
    <w:p>
      <w:pPr>
        <w:shd w:val="clea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lang w:val="en-US" w:eastAsia="zh-CN"/>
        </w:rPr>
        <w:t>18868804803</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义乌市财政局</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u w:val="single"/>
        </w:rPr>
        <w:t> 骆女士</w:t>
      </w:r>
      <w:r>
        <w:rPr>
          <w:rFonts w:hint="eastAsia" w:ascii="宋体" w:hAnsi="宋体" w:cs="宋体"/>
          <w:color w:val="auto"/>
          <w:sz w:val="24"/>
          <w:highlight w:val="none"/>
        </w:rPr>
        <w:t>　　　　　　　　　　</w:t>
      </w:r>
    </w:p>
    <w:p>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u w:val="single"/>
        </w:rPr>
        <w:t>0579—89915066</w:t>
      </w:r>
      <w:r>
        <w:rPr>
          <w:rFonts w:hint="eastAsia" w:ascii="宋体" w:hAnsi="宋体" w:cs="宋体"/>
          <w:color w:val="auto"/>
          <w:sz w:val="24"/>
          <w:highlight w:val="none"/>
        </w:rPr>
        <w:t>　</w:t>
      </w:r>
    </w:p>
    <w:p>
      <w:pPr>
        <w:shd w:val="clea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eastAsia="宋体" w:cs="宋体"/>
          <w:b/>
          <w:bCs/>
          <w:color w:val="auto"/>
          <w:kern w:val="44"/>
          <w:sz w:val="36"/>
          <w:szCs w:val="44"/>
          <w:highlight w:val="none"/>
          <w:lang w:val="en-US" w:eastAsia="zh-CN" w:bidi="ar-SA"/>
        </w:rPr>
        <w:t>第二章　投标须知和投标须知前附表</w:t>
      </w:r>
    </w:p>
    <w:p>
      <w:pPr>
        <w:shd w:val="clea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投标须知前附表</w:t>
      </w:r>
    </w:p>
    <w:tbl>
      <w:tblPr>
        <w:tblStyle w:val="22"/>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409"/>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438" w:type="dxa"/>
            <w:gridSpan w:val="2"/>
            <w:vAlign w:val="center"/>
          </w:tcPr>
          <w:p>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01" w:type="dxa"/>
            <w:vAlign w:val="center"/>
          </w:tcPr>
          <w:p>
            <w:pPr>
              <w:shd w:val="clear"/>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项目综合</w:t>
            </w:r>
          </w:p>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c>
          <w:tcPr>
            <w:tcW w:w="7029" w:type="dxa"/>
            <w:vAlign w:val="center"/>
          </w:tcPr>
          <w:p>
            <w:pPr>
              <w:shd w:val="clear"/>
              <w:snapToGrid w:val="0"/>
              <w:spacing w:before="156"/>
              <w:jc w:val="left"/>
              <w:rPr>
                <w:rFonts w:ascii="宋体" w:hAnsi="宋体" w:cs="宋体"/>
                <w:b/>
                <w:bCs/>
                <w:color w:val="auto"/>
                <w:sz w:val="48"/>
                <w:szCs w:val="48"/>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：义乌市廿三里辖区路灯能源管理服务采购项目</w:t>
            </w:r>
          </w:p>
          <w:p>
            <w:pPr>
              <w:shd w:val="clear"/>
              <w:snapToGrid w:val="0"/>
              <w:spacing w:line="400" w:lineRule="exact"/>
              <w:rPr>
                <w:rFonts w:ascii="宋体" w:hAnsi="宋体" w:cs="宋体"/>
                <w:color w:val="auto"/>
                <w:sz w:val="24"/>
                <w:highlight w:val="none"/>
              </w:rPr>
            </w:pPr>
            <w:r>
              <w:rPr>
                <w:rFonts w:hint="eastAsia" w:ascii="宋体" w:hAnsi="宋体" w:cs="宋体"/>
                <w:b/>
                <w:color w:val="auto"/>
                <w:sz w:val="24"/>
                <w:highlight w:val="none"/>
              </w:rPr>
              <w:t>采购内容及数量:</w:t>
            </w:r>
            <w:r>
              <w:rPr>
                <w:rFonts w:hint="eastAsia" w:ascii="宋体" w:hAnsi="宋体" w:cs="宋体"/>
                <w:color w:val="auto"/>
                <w:sz w:val="24"/>
                <w:highlight w:val="none"/>
              </w:rPr>
              <w:t>廿三里辖区路灯能源管理服务，对廿三里全域高压钠灯具2197套进行LED灯具升级，并对其老旧载体1678盏路灯进行单灯智慧管控，对辖区内25台箱变进行智慧化控制提升，建设具备可远程控制平台，可与区智慧平台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了解</w:t>
            </w:r>
            <w:r>
              <w:rPr>
                <w:rFonts w:hint="eastAsia" w:ascii="宋体" w:hAnsi="宋体" w:cs="宋体"/>
                <w:color w:val="auto"/>
                <w:sz w:val="24"/>
                <w:highlight w:val="none"/>
              </w:rPr>
              <w:t>并信息共享。具体内容及要求详见采购文件第三章《采购项目需求》。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招标方式</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投标单位资格要求</w:t>
            </w:r>
          </w:p>
        </w:tc>
        <w:tc>
          <w:tcPr>
            <w:tcW w:w="7029" w:type="dxa"/>
            <w:vAlign w:val="center"/>
          </w:tcPr>
          <w:p>
            <w:pPr>
              <w:shd w:val="clear"/>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7029" w:type="dxa"/>
            <w:vAlign w:val="center"/>
          </w:tcPr>
          <w:p>
            <w:pPr>
              <w:shd w:val="clear"/>
              <w:snapToGrid w:val="0"/>
              <w:jc w:val="left"/>
              <w:rPr>
                <w:rFonts w:ascii="宋体" w:hAnsi="宋体" w:cs="宋体"/>
                <w:color w:val="auto"/>
                <w:sz w:val="24"/>
                <w:highlight w:val="none"/>
              </w:rPr>
            </w:pPr>
            <w:r>
              <w:rPr>
                <w:rFonts w:hint="eastAsia" w:ascii="宋体" w:hAnsi="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采购文件发售时间和地点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现场踏勘时间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b/>
                <w:bCs/>
                <w:color w:val="auto"/>
                <w:sz w:val="24"/>
                <w:highlight w:val="none"/>
              </w:rPr>
              <w:t>投标前，投标人</w:t>
            </w:r>
            <w:r>
              <w:rPr>
                <w:rFonts w:hint="eastAsia" w:ascii="宋体" w:hAnsi="宋体" w:cs="宋体"/>
                <w:b/>
                <w:bCs/>
                <w:color w:val="auto"/>
                <w:sz w:val="24"/>
                <w:highlight w:val="none"/>
                <w:lang w:val="en-US" w:eastAsia="zh-CN"/>
              </w:rPr>
              <w:t>可</w:t>
            </w:r>
            <w:r>
              <w:rPr>
                <w:rFonts w:hint="eastAsia" w:ascii="宋体" w:hAnsi="宋体" w:cs="宋体"/>
                <w:b/>
                <w:bCs/>
                <w:color w:val="auto"/>
                <w:sz w:val="24"/>
                <w:highlight w:val="none"/>
              </w:rPr>
              <w:t>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招标答疑截止时间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投标文件递交地点</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登录浙江政府采购网“政采云”平台上上传电子投标文件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上传电子投标文件时间</w:t>
            </w:r>
          </w:p>
        </w:tc>
        <w:tc>
          <w:tcPr>
            <w:tcW w:w="7029" w:type="dxa"/>
            <w:vAlign w:val="center"/>
          </w:tcPr>
          <w:p>
            <w:pPr>
              <w:pStyle w:val="13"/>
              <w:shd w:val="clear"/>
              <w:snapToGrid w:val="0"/>
              <w:spacing w:line="460" w:lineRule="exact"/>
              <w:rPr>
                <w:rFonts w:hAnsi="宋体" w:cs="宋体"/>
                <w:b/>
                <w:bCs/>
                <w:color w:val="auto"/>
                <w:sz w:val="24"/>
                <w:szCs w:val="24"/>
                <w:highlight w:val="none"/>
              </w:rPr>
            </w:pPr>
            <w:r>
              <w:rPr>
                <w:rFonts w:hint="eastAsia" w:hAnsi="宋体" w:cs="宋体"/>
                <w:color w:val="auto"/>
                <w:sz w:val="24"/>
                <w:highlight w:val="none"/>
              </w:rPr>
              <w:t>投标人应于2023年1月11日</w:t>
            </w:r>
            <w:r>
              <w:rPr>
                <w:rFonts w:hint="eastAsia" w:hAnsi="宋体" w:cs="宋体"/>
                <w:color w:val="auto"/>
                <w:sz w:val="24"/>
                <w:highlight w:val="none"/>
                <w:lang w:val="en-US" w:eastAsia="zh-CN"/>
              </w:rPr>
              <w:t>9</w:t>
            </w:r>
            <w:r>
              <w:rPr>
                <w:rFonts w:hint="eastAsia" w:hAnsi="宋体" w:cs="宋体"/>
                <w:color w:val="auto"/>
                <w:sz w:val="24"/>
                <w:highlight w:val="none"/>
              </w:rPr>
              <w:t>:</w:t>
            </w:r>
            <w:r>
              <w:rPr>
                <w:rFonts w:hint="eastAsia" w:hAnsi="宋体" w:cs="宋体"/>
                <w:color w:val="auto"/>
                <w:sz w:val="24"/>
                <w:highlight w:val="none"/>
                <w:lang w:val="en-US" w:eastAsia="zh-CN"/>
              </w:rPr>
              <w:t>30</w:t>
            </w:r>
            <w:r>
              <w:rPr>
                <w:rFonts w:hint="eastAsia" w:hAnsi="宋体" w:cs="宋体"/>
                <w:color w:val="auto"/>
                <w:sz w:val="24"/>
                <w:highlight w:val="none"/>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b/>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开标时间</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开标时间：2023年1月11日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开标地点</w:t>
            </w:r>
          </w:p>
        </w:tc>
        <w:tc>
          <w:tcPr>
            <w:tcW w:w="7029" w:type="dxa"/>
            <w:vAlign w:val="center"/>
          </w:tcPr>
          <w:p>
            <w:pPr>
              <w:shd w:val="clear"/>
              <w:snapToGrid w:val="0"/>
              <w:rPr>
                <w:rFonts w:ascii="宋体" w:hAnsi="宋体" w:cs="宋体"/>
                <w:b/>
                <w:bCs/>
                <w:color w:val="auto"/>
                <w:sz w:val="24"/>
                <w:highlight w:val="none"/>
              </w:rPr>
            </w:pPr>
            <w:r>
              <w:rPr>
                <w:rFonts w:hint="eastAsia" w:ascii="宋体" w:hAnsi="宋体" w:cs="宋体"/>
                <w:b/>
                <w:bCs/>
                <w:color w:val="auto"/>
                <w:sz w:val="24"/>
                <w:highlight w:val="none"/>
              </w:rPr>
              <w:t>开标地点：义乌市望道路300号义乌市行政服务中心大楼4楼电子开标室</w:t>
            </w:r>
          </w:p>
          <w:p>
            <w:pPr>
              <w:shd w:val="clear"/>
              <w:snapToGrid w:val="0"/>
              <w:rPr>
                <w:rFonts w:ascii="宋体" w:hAnsi="宋体" w:cs="宋体"/>
                <w:color w:val="auto"/>
                <w:sz w:val="24"/>
                <w:highlight w:val="none"/>
              </w:rPr>
            </w:pPr>
            <w:r>
              <w:rPr>
                <w:rFonts w:hint="eastAsia" w:ascii="宋体" w:hAnsi="宋体" w:cs="宋体"/>
                <w:color w:val="auto"/>
                <w:sz w:val="24"/>
                <w:highlight w:val="none"/>
              </w:rPr>
              <w:t>开标时间后1小时内（2023年1月11日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前）投标人可以登录“政采云”平台，用“项目采购-开标评标”功能进行解密投标文件。若投标人在规定时间内无法解密或解密失败，将导致投标无效或失败。</w:t>
            </w:r>
          </w:p>
          <w:p>
            <w:pPr>
              <w:shd w:val="clear"/>
              <w:snapToGrid w:val="0"/>
              <w:rPr>
                <w:rFonts w:ascii="宋体" w:hAnsi="宋体" w:cs="宋体"/>
                <w:color w:val="auto"/>
                <w:sz w:val="24"/>
                <w:highlight w:val="none"/>
              </w:rPr>
            </w:pPr>
            <w:r>
              <w:rPr>
                <w:rFonts w:hint="eastAsia" w:ascii="宋体" w:hAnsi="宋体" w:cs="宋体"/>
                <w:b/>
                <w:bCs/>
                <w:color w:val="auto"/>
                <w:sz w:val="24"/>
                <w:highlight w:val="none"/>
              </w:rPr>
              <w:t>备注</w:t>
            </w:r>
            <w:r>
              <w:rPr>
                <w:rFonts w:hint="eastAsia" w:ascii="宋体" w:hAnsi="宋体" w:cs="宋体"/>
                <w:color w:val="auto"/>
                <w:sz w:val="24"/>
                <w:highlight w:val="none"/>
              </w:rPr>
              <w:t>：为确保采购项目顺利实施，避免因政采云上电子投标文件解密失败导致投标方投标无效，投标方可在2023年1月11日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w:t>
            </w:r>
            <w:r>
              <w:rPr>
                <w:color w:val="auto"/>
                <w:highlight w:val="none"/>
              </w:rPr>
              <w:fldChar w:fldCharType="begin"/>
            </w:r>
            <w:r>
              <w:rPr>
                <w:color w:val="auto"/>
                <w:highlight w:val="none"/>
              </w:rPr>
              <w:instrText xml:space="preserve"> HYPERLINK "mailto: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 </w:instrText>
            </w:r>
            <w:r>
              <w:rPr>
                <w:color w:val="auto"/>
                <w:highlight w:val="none"/>
              </w:rPr>
              <w:fldChar w:fldCharType="separate"/>
            </w:r>
            <w:r>
              <w:rPr>
                <w:rFonts w:hint="eastAsia" w:ascii="宋体" w:hAnsi="宋体" w:cs="宋体"/>
                <w:color w:val="auto"/>
                <w:sz w:val="24"/>
                <w:highlight w:val="none"/>
              </w:rPr>
              <w:t>时前将在政采云平台上最后生成的具备电子签章的备份加密投标文件（文件名后缀为备份文件四字的首字母）以电子邮件方式传送至浙江明达工程造价咨询有限公司邮箱（619980053@qq.com），传送的备份电子投标文件需打包压缩并加密，加密密码由投标方自行保管，如政采云上电子投标文件出现解密失败情况（开标当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color w:val="auto"/>
                <w:highlight w:val="none"/>
              </w:rPr>
              <w:fldChar w:fldCharType="begin"/>
            </w:r>
            <w:r>
              <w:rPr>
                <w:color w:val="auto"/>
                <w:highlight w:val="none"/>
              </w:rPr>
              <w:instrText xml:space="preserve"> HYPERLINK "mailto:期间进行解密），投标方可按照自身意愿确认是否同意提供加密密码解密传送至浙江明达工程造价咨询有限公司邮箱（619980053@qq.com）的备份文件，并以备份文件作为替代电子投标文件，如投标方未按照规定时间（2021年" </w:instrText>
            </w:r>
            <w:r>
              <w:rPr>
                <w:color w:val="auto"/>
                <w:highlight w:val="none"/>
              </w:rPr>
              <w:fldChar w:fldCharType="separate"/>
            </w:r>
            <w:r>
              <w:rPr>
                <w:rFonts w:hint="eastAsia" w:ascii="宋体" w:hAnsi="宋体" w:cs="宋体"/>
                <w:color w:val="auto"/>
                <w:sz w:val="24"/>
                <w:highlight w:val="none"/>
              </w:rPr>
              <w:t>期间进行解密），投标方可按照自身意愿确认是否同意提供加密密码解密传送至浙江明达工程造价咨询有限公司邮箱（619980053@qq.com）的备份文件，并以备份文件作为替代电子投标文件，如投标方未按照规定时间（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评标办法</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029" w:type="dxa"/>
            <w:vAlign w:val="center"/>
          </w:tcPr>
          <w:p>
            <w:pPr>
              <w:pStyle w:val="25"/>
              <w:shd w:val="clear"/>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合同签订后</w:t>
            </w:r>
            <w:r>
              <w:rPr>
                <w:rFonts w:hint="eastAsia" w:ascii="宋体" w:hAnsi="宋体" w:cs="宋体"/>
                <w:color w:val="auto"/>
                <w:highlight w:val="none"/>
                <w:lang w:val="en-US" w:eastAsia="zh-CN"/>
              </w:rPr>
              <w:t>7个工作日内</w:t>
            </w:r>
            <w:r>
              <w:rPr>
                <w:rFonts w:hint="eastAsia" w:ascii="宋体" w:hAnsi="宋体" w:cs="宋体"/>
                <w:color w:val="auto"/>
                <w:highlight w:val="none"/>
              </w:rPr>
              <w:t>支付第一年合同金额的</w:t>
            </w:r>
            <w:r>
              <w:rPr>
                <w:rFonts w:hint="eastAsia" w:ascii="宋体" w:hAnsi="宋体" w:cs="宋体"/>
                <w:color w:val="auto"/>
                <w:highlight w:val="none"/>
                <w:lang w:val="en-US"/>
              </w:rPr>
              <w:t>4</w:t>
            </w:r>
            <w:r>
              <w:rPr>
                <w:rFonts w:hint="eastAsia" w:ascii="宋体" w:hAnsi="宋体" w:cs="宋体"/>
                <w:color w:val="auto"/>
                <w:highlight w:val="none"/>
              </w:rPr>
              <w:t>0%作为预付款；（在签订合同时，供应商明确表示无需预付款或者主动要求降低预付款比例的，采购单位可进行相应调整）</w:t>
            </w:r>
          </w:p>
          <w:p>
            <w:pPr>
              <w:pStyle w:val="25"/>
              <w:shd w:val="clear"/>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每</w:t>
            </w:r>
            <w:r>
              <w:rPr>
                <w:rFonts w:hint="eastAsia" w:ascii="宋体" w:hAnsi="宋体" w:cs="宋体"/>
                <w:color w:val="auto"/>
                <w:highlight w:val="none"/>
                <w:lang w:val="en-US"/>
              </w:rPr>
              <w:t>季度</w:t>
            </w:r>
            <w:r>
              <w:rPr>
                <w:rFonts w:hint="eastAsia" w:ascii="宋体" w:hAnsi="宋体" w:cs="宋体"/>
                <w:color w:val="auto"/>
                <w:highlight w:val="none"/>
              </w:rPr>
              <w:t>结束后，采购人在收到供应商该</w:t>
            </w:r>
            <w:r>
              <w:rPr>
                <w:rFonts w:hint="eastAsia" w:ascii="宋体" w:hAnsi="宋体" w:cs="宋体"/>
                <w:color w:val="auto"/>
                <w:highlight w:val="none"/>
                <w:lang w:val="en-US"/>
              </w:rPr>
              <w:t>季度</w:t>
            </w:r>
            <w:r>
              <w:rPr>
                <w:rFonts w:hint="eastAsia" w:ascii="宋体" w:hAnsi="宋体" w:cs="宋体"/>
                <w:color w:val="auto"/>
                <w:highlight w:val="none"/>
              </w:rPr>
              <w:t>服务发票（</w:t>
            </w:r>
            <w:r>
              <w:rPr>
                <w:rFonts w:hint="eastAsia" w:ascii="宋体" w:hAnsi="宋体" w:cs="宋体"/>
                <w:color w:val="auto"/>
                <w:highlight w:val="none"/>
                <w:lang w:val="en-US"/>
              </w:rPr>
              <w:t>季度</w:t>
            </w:r>
            <w:r>
              <w:rPr>
                <w:rFonts w:hint="eastAsia" w:ascii="宋体" w:hAnsi="宋体" w:cs="宋体"/>
                <w:color w:val="auto"/>
                <w:highlight w:val="none"/>
              </w:rPr>
              <w:t>服务=</w:t>
            </w:r>
            <w:r>
              <w:rPr>
                <w:rFonts w:hint="eastAsia" w:ascii="宋体" w:hAnsi="宋体" w:cs="宋体"/>
                <w:color w:val="auto"/>
                <w:highlight w:val="none"/>
                <w:lang w:val="en-US"/>
              </w:rPr>
              <w:t>总</w:t>
            </w:r>
            <w:r>
              <w:rPr>
                <w:rFonts w:hint="eastAsia" w:ascii="宋体" w:hAnsi="宋体" w:cs="宋体"/>
                <w:color w:val="auto"/>
                <w:highlight w:val="none"/>
              </w:rPr>
              <w:t>中标价</w:t>
            </w:r>
            <w:r>
              <w:rPr>
                <w:rFonts w:hint="eastAsia" w:ascii="宋体" w:hAnsi="宋体" w:cs="宋体"/>
                <w:color w:val="auto"/>
                <w:highlight w:val="none"/>
                <w:lang w:val="en-US"/>
              </w:rPr>
              <w:t>1</w:t>
            </w:r>
            <w:r>
              <w:rPr>
                <w:rFonts w:hint="eastAsia" w:ascii="宋体" w:hAnsi="宋体" w:cs="宋体"/>
                <w:color w:val="auto"/>
                <w:highlight w:val="none"/>
              </w:rPr>
              <w:t>/</w:t>
            </w:r>
            <w:r>
              <w:rPr>
                <w:rFonts w:hint="eastAsia" w:ascii="宋体" w:hAnsi="宋体" w:cs="宋体"/>
                <w:color w:val="auto"/>
                <w:highlight w:val="none"/>
                <w:lang w:val="en-US"/>
              </w:rPr>
              <w:t>12</w:t>
            </w:r>
            <w:r>
              <w:rPr>
                <w:rFonts w:hint="eastAsia" w:ascii="宋体" w:hAnsi="宋体" w:cs="宋体"/>
                <w:color w:val="auto"/>
                <w:highlight w:val="none"/>
              </w:rPr>
              <w:t>）后</w:t>
            </w:r>
            <w:r>
              <w:rPr>
                <w:rFonts w:hint="eastAsia" w:ascii="宋体" w:hAnsi="宋体" w:cs="宋体"/>
                <w:color w:val="auto"/>
                <w:highlight w:val="none"/>
                <w:lang w:val="en-US" w:eastAsia="zh-CN"/>
              </w:rPr>
              <w:t>7个工作</w:t>
            </w:r>
            <w:r>
              <w:rPr>
                <w:rFonts w:hint="eastAsia" w:ascii="宋体" w:hAnsi="宋体" w:cs="宋体"/>
                <w:color w:val="auto"/>
                <w:highlight w:val="none"/>
              </w:rPr>
              <w:t>日内，向供应商指定账户支付该</w:t>
            </w:r>
            <w:r>
              <w:rPr>
                <w:rFonts w:hint="eastAsia" w:ascii="宋体" w:hAnsi="宋体" w:cs="宋体"/>
                <w:color w:val="auto"/>
                <w:highlight w:val="none"/>
                <w:lang w:val="en-US"/>
              </w:rPr>
              <w:t>季</w:t>
            </w:r>
            <w:r>
              <w:rPr>
                <w:rFonts w:hint="eastAsia" w:ascii="宋体" w:hAnsi="宋体" w:cs="宋体"/>
                <w:color w:val="auto"/>
                <w:highlight w:val="none"/>
              </w:rPr>
              <w:t>度的托管费用。</w:t>
            </w:r>
            <w:r>
              <w:rPr>
                <w:rFonts w:hint="eastAsia" w:ascii="宋体" w:hAnsi="宋体" w:cs="宋体"/>
                <w:color w:val="auto"/>
                <w:highlight w:val="none"/>
                <w:u w:val="none"/>
                <w:lang w:val="en-US"/>
              </w:rPr>
              <w:t>（第一年从第二季度开始支付，第二季度扣除预付款后，支付剩余应支付款项）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029"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2409" w:type="dxa"/>
            <w:vAlign w:val="center"/>
          </w:tcPr>
          <w:p>
            <w:pPr>
              <w:shd w:val="clear"/>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履约保证金退还</w:t>
            </w:r>
          </w:p>
        </w:tc>
        <w:tc>
          <w:tcPr>
            <w:tcW w:w="7029" w:type="dxa"/>
            <w:vAlign w:val="center"/>
          </w:tcPr>
          <w:p>
            <w:pPr>
              <w:shd w:val="clea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18</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政府采购节能环保产品</w:t>
            </w:r>
          </w:p>
        </w:tc>
        <w:tc>
          <w:tcPr>
            <w:tcW w:w="7029" w:type="dxa"/>
            <w:vAlign w:val="center"/>
          </w:tcPr>
          <w:p>
            <w:pPr>
              <w:widowControl/>
              <w:shd w:val="clear"/>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并提供相应的承诺。</w:t>
            </w:r>
          </w:p>
          <w:p>
            <w:pPr>
              <w:widowControl/>
              <w:shd w:val="clear"/>
              <w:snapToGrid w:val="0"/>
              <w:jc w:val="left"/>
              <w:rPr>
                <w:rFonts w:ascii="宋体" w:hAnsi="宋体" w:cs="宋体"/>
                <w:color w:val="auto"/>
                <w:sz w:val="24"/>
                <w:highlight w:val="none"/>
              </w:rPr>
            </w:pPr>
            <w:r>
              <w:rPr>
                <w:rFonts w:hint="eastAsia" w:ascii="宋体" w:hAnsi="宋体" w:cs="宋体"/>
                <w:color w:val="auto"/>
                <w:kern w:val="0"/>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19</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信用记录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投标人如出现下列情形之一的，其投标将被拒绝：</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20</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小微企业有关政策说明</w:t>
            </w:r>
          </w:p>
        </w:tc>
        <w:tc>
          <w:tcPr>
            <w:tcW w:w="7029" w:type="dxa"/>
            <w:vAlign w:val="center"/>
          </w:tcPr>
          <w:p>
            <w:pPr>
              <w:shd w:val="clear"/>
              <w:snapToGrid/>
              <w:spacing w:line="400" w:lineRule="exact"/>
              <w:rPr>
                <w:rFonts w:hint="eastAsia" w:ascii="宋体" w:hAnsi="宋体" w:eastAsia="宋体" w:cs="宋体"/>
                <w:color w:val="auto"/>
                <w:sz w:val="24"/>
                <w:highlight w:val="none"/>
              </w:rPr>
            </w:pPr>
            <w:r>
              <w:rPr>
                <w:rFonts w:hint="eastAsia"/>
                <w:color w:val="auto"/>
                <w:sz w:val="24"/>
                <w:highlight w:val="none"/>
              </w:rPr>
              <w:t>本项目执行有关政策说明。</w:t>
            </w:r>
          </w:p>
          <w:p>
            <w:pPr>
              <w:shd w:val="clea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color w:val="auto"/>
                <w:sz w:val="24"/>
                <w:highlight w:val="none"/>
              </w:rPr>
              <w:t>专门面向中小企业</w:t>
            </w:r>
            <w:r>
              <w:rPr>
                <w:rFonts w:hint="eastAsia"/>
                <w:color w:val="auto"/>
                <w:sz w:val="24"/>
                <w:highlight w:val="none"/>
                <w:lang w:eastAsia="zh-CN"/>
              </w:rPr>
              <w:t>，</w:t>
            </w:r>
            <w:r>
              <w:rPr>
                <w:rFonts w:hint="eastAsia" w:ascii="宋体" w:hAnsi="宋体" w:cs="宋体"/>
                <w:color w:val="auto"/>
                <w:sz w:val="24"/>
                <w:highlight w:val="none"/>
              </w:rPr>
              <w:t>属于其他未</w:t>
            </w:r>
            <w:r>
              <w:rPr>
                <w:rFonts w:hint="eastAsia" w:ascii="宋体" w:hAnsi="宋体" w:cs="宋体"/>
                <w:color w:val="auto"/>
                <w:sz w:val="24"/>
                <w:highlight w:val="none"/>
                <w:lang w:val="en-US" w:eastAsia="zh-CN"/>
              </w:rPr>
              <w:t>列明</w:t>
            </w:r>
            <w:r>
              <w:rPr>
                <w:rFonts w:hint="eastAsia" w:ascii="宋体" w:hAnsi="宋体" w:cs="宋体"/>
                <w:color w:val="auto"/>
                <w:sz w:val="24"/>
                <w:highlight w:val="none"/>
              </w:rPr>
              <w:t>行业。</w:t>
            </w:r>
          </w:p>
          <w:p>
            <w:pPr>
              <w:widowControl/>
              <w:shd w:val="clear"/>
              <w:snapToGrid w:val="0"/>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
              </w:rPr>
              <w:t>从业人员300人以下的为中小微型企业。其中，从业人员100人及以上的为中型企业；从业人员10人及以上的为小型企业；从业人员10人 以下的为微型企业。</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特别说明：</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1.小微企业有关政策：</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1）中型、小型和微型企业参与本项目的，投标文件中必须同时提供《中小企业声明函》。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（2）财库〔2017〕141号的相关规定，在政府采购活动中，残疾人福利性单位视同小型、微型企业。属于享受政府采购支持政策的残疾人福利性单位，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hd w:val="clear"/>
              <w:spacing w:line="4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（3）财库[2014]68号的相关规定，在政府采购活动中，监狱企业视同小型、微型企业。属于监狱企业的，应当提供由省级以上监狱管理局、戒毒管理局(含新疆生产建设兵团)出具的属于监狱企业的说明文件。</w:t>
            </w:r>
          </w:p>
          <w:p>
            <w:pPr>
              <w:shd w:val="clear"/>
              <w:snapToGrid w:val="0"/>
              <w:spacing w:line="360" w:lineRule="exact"/>
              <w:rPr>
                <w:rFonts w:ascii="宋体" w:hAnsi="宋体" w:cs="宋体"/>
                <w:color w:val="auto"/>
                <w:highlight w:val="none"/>
              </w:rPr>
            </w:pPr>
            <w:r>
              <w:rPr>
                <w:rFonts w:hint="eastAsia" w:ascii="新宋体" w:hAnsi="新宋体" w:eastAsia="新宋体"/>
                <w:color w:val="auto"/>
                <w:sz w:val="24"/>
                <w:highlight w:val="none"/>
              </w:rPr>
              <w:t>（注：未提供以上材料的，均不得参加本项目的投标）。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21</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信用融资</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本项目中标人与采购人签订的政府采购合同适用于义乌市政府采购贷款政策，简称“政采贷”，具体内容可参阅《义乌市政府采购支持中小企业信用融资暂行办法》（http://www.yw.gov.cn/art/2021/8/12/art_1229559413_1754526.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22</w:t>
            </w:r>
          </w:p>
        </w:tc>
        <w:tc>
          <w:tcPr>
            <w:tcW w:w="2409" w:type="dxa"/>
            <w:vAlign w:val="center"/>
          </w:tcPr>
          <w:p>
            <w:pPr>
              <w:shd w:val="clea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不良行为、信用信息查询平台</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信用信息查询以开标当天查询结果为准，凡超出以下途径的查询结果在投标文件评审时一律不作为无效标依据：</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1.义乌市公共资源交易平台（网址：http://ywjypt.yw.gov.cn/）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2.浙江政府采购网（http://www.zjzfcg.gov.cn/）</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3.信用中国（https://www.creditchina.gov.cn/）</w:t>
            </w:r>
          </w:p>
          <w:p>
            <w:pPr>
              <w:shd w:val="clear"/>
              <w:snapToGrid w:val="0"/>
              <w:spacing w:line="400" w:lineRule="exact"/>
              <w:rPr>
                <w:rFonts w:ascii="宋体" w:hAnsi="宋体" w:cs="宋体"/>
                <w:color w:val="auto"/>
                <w:highlight w:val="none"/>
              </w:rPr>
            </w:pPr>
            <w:r>
              <w:rPr>
                <w:rFonts w:hint="eastAsia" w:ascii="宋体" w:hAnsi="宋体" w:cs="宋体"/>
                <w:color w:val="auto"/>
                <w:sz w:val="24"/>
                <w:highlight w:val="none"/>
              </w:rPr>
              <w:t>4.中国政府采购网（http://www.ccgp.gov.cn）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23</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投标人发生下列情况之一时，将按严重失信行为上报信用办记入政府采购严重失信行为记录名单</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1.投标人在规定的投标有效期内撤回投标或放弃中标的；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2.有意串标或提供虚假材料的；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3.中标人在收到中标通知书后，因自身原因不能在投标有效期内和采购人签订合同；</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4.中标供应商在标后履约过程中未按合同约定的期限和要求履约的；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5.因中标供应商原因在标后履约过程中擅自终止合同的；</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6.不符合采购文件要求的其他失信行为；</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7.中标人未按采购文件规定缴纳招标代理费的。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24</w:t>
            </w:r>
          </w:p>
        </w:tc>
        <w:tc>
          <w:tcPr>
            <w:tcW w:w="2409"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29" w:type="dxa"/>
            <w:vAlign w:val="center"/>
          </w:tcPr>
          <w:p>
            <w:pPr>
              <w:shd w:val="clear"/>
              <w:snapToGrid w:val="0"/>
              <w:spacing w:line="400" w:lineRule="exact"/>
              <w:rPr>
                <w:rFonts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本项目设有预算价(最高限价)</w:t>
            </w:r>
            <w:r>
              <w:rPr>
                <w:rFonts w:hint="eastAsia" w:ascii="宋体" w:hAnsi="宋体" w:cs="宋体"/>
                <w:color w:val="auto"/>
                <w:sz w:val="24"/>
                <w:highlight w:val="none"/>
              </w:rPr>
              <w:t>，投标报价超过</w:t>
            </w:r>
            <w:r>
              <w:rPr>
                <w:rFonts w:hint="eastAsia" w:ascii="宋体" w:hAnsi="宋体" w:cs="宋体"/>
                <w:b/>
                <w:color w:val="auto"/>
                <w:sz w:val="24"/>
                <w:highlight w:val="none"/>
              </w:rPr>
              <w:t>预算价(最高限价)</w:t>
            </w:r>
            <w:r>
              <w:rPr>
                <w:rFonts w:hint="eastAsia" w:ascii="宋体" w:hAnsi="宋体" w:cs="宋体"/>
                <w:color w:val="auto"/>
                <w:sz w:val="24"/>
                <w:highlight w:val="none"/>
              </w:rPr>
              <w:t>的，其投标均为无效标。</w:t>
            </w:r>
          </w:p>
          <w:p>
            <w:pPr>
              <w:shd w:val="clea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w:t>
            </w:r>
            <w:r>
              <w:rPr>
                <w:rFonts w:hint="eastAsia" w:ascii="宋体" w:hAnsi="宋体" w:cs="宋体"/>
                <w:color w:val="auto"/>
                <w:sz w:val="24"/>
                <w:highlight w:val="none"/>
              </w:rPr>
              <w:t>采购文件中要求投标人在制作投标文件时，提供的复印件必须根据评审细则对评审的内容复印完整、清晰可辨，否则在评审时以最不利于投标人原则评审。</w:t>
            </w:r>
          </w:p>
        </w:tc>
      </w:tr>
    </w:tbl>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注：投标须知前附表内容与本采购文件后述内容不一致的，以投标须知前附表为准。</w:t>
      </w:r>
    </w:p>
    <w:p>
      <w:pPr>
        <w:pStyle w:val="5"/>
        <w:shd w:val="clear"/>
        <w:spacing w:before="0" w:after="0" w:line="360" w:lineRule="auto"/>
        <w:jc w:val="center"/>
        <w:rPr>
          <w:rFonts w:ascii="宋体" w:hAnsi="宋体" w:cs="宋体"/>
          <w:color w:val="auto"/>
          <w:sz w:val="36"/>
          <w:szCs w:val="36"/>
          <w:highlight w:val="none"/>
        </w:rPr>
      </w:pPr>
      <w:bookmarkStart w:id="4" w:name="_Toc362250686"/>
      <w:bookmarkStart w:id="5" w:name="_Toc274303228"/>
      <w:r>
        <w:rPr>
          <w:rFonts w:hint="eastAsia" w:ascii="宋体" w:hAnsi="宋体" w:cs="宋体"/>
          <w:color w:val="auto"/>
          <w:sz w:val="36"/>
          <w:szCs w:val="36"/>
          <w:highlight w:val="none"/>
        </w:rPr>
        <w:br w:type="page"/>
      </w:r>
      <w:bookmarkStart w:id="6" w:name="_Toc23978"/>
      <w:bookmarkStart w:id="7" w:name="_Toc30784"/>
      <w:bookmarkStart w:id="8" w:name="_Toc12246"/>
      <w:r>
        <w:rPr>
          <w:rFonts w:hint="eastAsia" w:ascii="宋体" w:hAnsi="宋体" w:cs="宋体"/>
          <w:color w:val="auto"/>
          <w:sz w:val="36"/>
          <w:szCs w:val="36"/>
          <w:highlight w:val="none"/>
        </w:rPr>
        <w:t>投标须知</w:t>
      </w:r>
      <w:bookmarkEnd w:id="4"/>
      <w:bookmarkEnd w:id="5"/>
      <w:bookmarkEnd w:id="6"/>
      <w:bookmarkEnd w:id="7"/>
      <w:bookmarkEnd w:id="8"/>
    </w:p>
    <w:p>
      <w:pPr>
        <w:shd w:val="clear"/>
        <w:spacing w:line="360" w:lineRule="auto"/>
        <w:rPr>
          <w:rFonts w:ascii="宋体" w:hAnsi="宋体" w:cs="宋体"/>
          <w:b/>
          <w:bCs/>
          <w:color w:val="auto"/>
          <w:sz w:val="28"/>
          <w:szCs w:val="28"/>
          <w:highlight w:val="none"/>
        </w:rPr>
      </w:pPr>
      <w:bookmarkStart w:id="9" w:name="_Ref444162953"/>
      <w:bookmarkStart w:id="10" w:name="_Ref444162956"/>
      <w:bookmarkStart w:id="11" w:name="_Toc274303229"/>
      <w:bookmarkStart w:id="12" w:name="_Toc20504"/>
      <w:bookmarkStart w:id="13" w:name="_Ref444162955"/>
      <w:bookmarkStart w:id="14" w:name="_Toc362250687"/>
      <w:bookmarkStart w:id="15" w:name="_Toc8423"/>
      <w:r>
        <w:rPr>
          <w:rFonts w:hint="eastAsia" w:ascii="宋体" w:hAnsi="宋体" w:cs="宋体"/>
          <w:b/>
          <w:bCs/>
          <w:color w:val="auto"/>
          <w:sz w:val="28"/>
          <w:szCs w:val="28"/>
          <w:highlight w:val="none"/>
        </w:rPr>
        <w:t>一、说明</w:t>
      </w:r>
      <w:bookmarkEnd w:id="9"/>
      <w:bookmarkEnd w:id="10"/>
      <w:bookmarkEnd w:id="11"/>
      <w:bookmarkEnd w:id="12"/>
      <w:bookmarkEnd w:id="13"/>
      <w:bookmarkEnd w:id="14"/>
      <w:bookmarkEnd w:id="15"/>
    </w:p>
    <w:p>
      <w:pPr>
        <w:pStyle w:val="2"/>
        <w:shd w:val="clear"/>
        <w:adjustRightIn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1.适用范围</w:t>
      </w:r>
    </w:p>
    <w:p>
      <w:pPr>
        <w:pStyle w:val="2"/>
        <w:shd w:val="clear"/>
        <w:adjustRightInd w:val="0"/>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 本采购文件仅适用于本次招标采购所叙述的货物和服务项目。</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2.定义</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2.1采购人：系指义乌市人民政府廿三里街道办事处。</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2.2采购代理机构：系指浙江明达工程造价咨询有限公司。</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2.3投标人：系指响应招标并且符合采购文件规定资格条件和参加投标竞争的供应商。</w:t>
      </w:r>
    </w:p>
    <w:p>
      <w:pPr>
        <w:pStyle w:val="13"/>
        <w:shd w:val="clea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2.4服务：系指采购文件规定投标人须承担的劳务及其它类似的服务。</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2.5货物：系指按采购文件规定投标人须向采购人提供的一切材料、设备、机械、仪器仪表、工具及其它有关技术资料和文字材料。</w:t>
      </w:r>
    </w:p>
    <w:p>
      <w:pPr>
        <w:pStyle w:val="2"/>
        <w:shd w:val="clear"/>
        <w:snapToGrid w:val="0"/>
        <w:spacing w:line="360" w:lineRule="auto"/>
        <w:ind w:firstLine="480" w:firstLineChars="200"/>
        <w:jc w:val="both"/>
        <w:rPr>
          <w:rFonts w:cs="宋体"/>
          <w:b w:val="0"/>
          <w:color w:val="auto"/>
          <w:sz w:val="24"/>
          <w:szCs w:val="24"/>
          <w:highlight w:val="none"/>
        </w:rPr>
      </w:pPr>
      <w:r>
        <w:rPr>
          <w:rFonts w:hint="eastAsia" w:cs="宋体"/>
          <w:b w:val="0"/>
          <w:color w:val="auto"/>
          <w:sz w:val="24"/>
          <w:szCs w:val="24"/>
          <w:highlight w:val="none"/>
        </w:rPr>
        <w:t>2.6甲方：即采购人，在招投标阶段称为采购人，在签订和执行合同阶段称为甲方。</w:t>
      </w:r>
    </w:p>
    <w:p>
      <w:pPr>
        <w:pStyle w:val="2"/>
        <w:shd w:val="clear"/>
        <w:snapToGrid w:val="0"/>
        <w:spacing w:line="360" w:lineRule="auto"/>
        <w:ind w:firstLine="480" w:firstLineChars="200"/>
        <w:jc w:val="both"/>
        <w:rPr>
          <w:rFonts w:cs="宋体"/>
          <w:color w:val="auto"/>
          <w:sz w:val="24"/>
          <w:szCs w:val="24"/>
          <w:highlight w:val="none"/>
        </w:rPr>
      </w:pPr>
      <w:r>
        <w:rPr>
          <w:rFonts w:hint="eastAsia" w:cs="宋体"/>
          <w:b w:val="0"/>
          <w:color w:val="auto"/>
          <w:sz w:val="24"/>
          <w:szCs w:val="24"/>
          <w:highlight w:val="none"/>
        </w:rPr>
        <w:t>2.7乙方：在招投标阶段称为投标人，中标后在签订和执行合同阶段称为乙方。</w:t>
      </w:r>
    </w:p>
    <w:p>
      <w:pPr>
        <w:pStyle w:val="14"/>
        <w:shd w:val="clear"/>
        <w:adjustRightInd w:val="0"/>
        <w:snapToGrid w:val="0"/>
        <w:ind w:firstLineChars="200"/>
        <w:rPr>
          <w:rFonts w:hAnsi="宋体" w:eastAsia="宋体" w:cs="宋体"/>
          <w:color w:val="auto"/>
          <w:szCs w:val="24"/>
          <w:highlight w:val="none"/>
        </w:rPr>
      </w:pPr>
      <w:r>
        <w:rPr>
          <w:rFonts w:hint="eastAsia" w:hAnsi="宋体" w:eastAsia="宋体" w:cs="宋体"/>
          <w:color w:val="auto"/>
          <w:szCs w:val="24"/>
          <w:highlight w:val="none"/>
        </w:rPr>
        <w:t>2.8“原产地”是指货物开采、生长或生产、或提供有关服务的来源地。</w:t>
      </w:r>
    </w:p>
    <w:p>
      <w:pPr>
        <w:pStyle w:val="14"/>
        <w:shd w:val="clear"/>
        <w:adjustRightInd w:val="0"/>
        <w:snapToGrid w:val="0"/>
        <w:ind w:firstLineChars="200"/>
        <w:rPr>
          <w:rFonts w:hAnsi="宋体" w:eastAsia="宋体" w:cs="宋体"/>
          <w:color w:val="auto"/>
          <w:kern w:val="0"/>
          <w:szCs w:val="24"/>
          <w:highlight w:val="none"/>
        </w:rPr>
      </w:pPr>
      <w:r>
        <w:rPr>
          <w:rFonts w:hint="eastAsia" w:hAnsi="宋体" w:eastAsia="宋体" w:cs="宋体"/>
          <w:color w:val="auto"/>
          <w:szCs w:val="24"/>
          <w:highlight w:val="none"/>
        </w:rPr>
        <w:t>2.9“★”标记系指必须满足不能负偏离或必须应答的条款。</w:t>
      </w:r>
    </w:p>
    <w:p>
      <w:pPr>
        <w:pStyle w:val="2"/>
        <w:shd w:val="clear"/>
        <w:adjustRightInd w:val="0"/>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3.合格的投标人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3.1符合采购公告中要求的条件。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3.2获取采购文件的投标人，并不能被认定为投标人资格已合格。投标人的资格是否符合采购文件要求，以评标小组认定为准。</w:t>
      </w:r>
    </w:p>
    <w:p>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保证</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4.1投标单位应保证所提交给招标机构和采购人的资料和数据是真实的。</w:t>
      </w:r>
    </w:p>
    <w:p>
      <w:pPr>
        <w:pStyle w:val="13"/>
        <w:shd w:val="clea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color w:val="auto"/>
          <w:sz w:val="24"/>
          <w:szCs w:val="24"/>
          <w:highlight w:val="none"/>
        </w:rPr>
        <w:t>.</w:t>
      </w:r>
      <w:r>
        <w:rPr>
          <w:rFonts w:hint="eastAsia" w:hAnsi="宋体" w:cs="宋体"/>
          <w:b/>
          <w:color w:val="auto"/>
          <w:sz w:val="24"/>
          <w:szCs w:val="24"/>
          <w:highlight w:val="none"/>
        </w:rPr>
        <w:t>招标投标费用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5.1不论投标过程中的作法和结果如何，投标人应承担所有与投标有关的全部费用。采购人和采购代理机构在任何情况下均无义务和责任承担上述这些费用。</w:t>
      </w:r>
    </w:p>
    <w:p>
      <w:pPr>
        <w:pStyle w:val="13"/>
        <w:shd w:val="clear"/>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5.2 采购代理服务费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5.2.1中标人须向采购代理机构交纳采购代理服务费，采购代理服务费按不超过中标总金额的1.5%计算。计算示例：招标代理服务收费按差额定率累进法计算。例如：某服务招标代理业务中标金额为</w:t>
      </w:r>
      <w:r>
        <w:rPr>
          <w:rFonts w:hint="eastAsia" w:cs="宋体"/>
          <w:b w:val="0"/>
          <w:bCs w:val="0"/>
          <w:color w:val="auto"/>
          <w:sz w:val="24"/>
          <w:szCs w:val="24"/>
          <w:highlight w:val="none"/>
          <w:lang w:val="en-US" w:eastAsia="zh-CN"/>
        </w:rPr>
        <w:t>1000</w:t>
      </w:r>
      <w:r>
        <w:rPr>
          <w:rFonts w:hint="eastAsia" w:cs="宋体"/>
          <w:b w:val="0"/>
          <w:bCs w:val="0"/>
          <w:color w:val="auto"/>
          <w:sz w:val="24"/>
          <w:szCs w:val="24"/>
          <w:highlight w:val="none"/>
        </w:rPr>
        <w:t>万元，计算招标代理服务收费额如下：</w:t>
      </w:r>
    </w:p>
    <w:p>
      <w:pPr>
        <w:pStyle w:val="2"/>
        <w:shd w:val="clear"/>
        <w:snapToGrid w:val="0"/>
        <w:spacing w:line="360" w:lineRule="auto"/>
        <w:ind w:firstLine="480" w:firstLineChars="200"/>
        <w:jc w:val="both"/>
        <w:rPr>
          <w:rFonts w:hint="eastAsia" w:eastAsia="宋体" w:cs="宋体"/>
          <w:b w:val="0"/>
          <w:bCs w:val="0"/>
          <w:color w:val="auto"/>
          <w:sz w:val="24"/>
          <w:szCs w:val="24"/>
          <w:highlight w:val="none"/>
          <w:lang w:eastAsia="zh-CN"/>
        </w:rPr>
      </w:pPr>
      <w:r>
        <w:rPr>
          <w:rFonts w:hint="eastAsia" w:cs="宋体"/>
          <w:b w:val="0"/>
          <w:bCs w:val="0"/>
          <w:color w:val="auto"/>
          <w:sz w:val="24"/>
          <w:szCs w:val="24"/>
          <w:highlight w:val="none"/>
        </w:rPr>
        <w:t>100万元×1.5%=1.5万元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 xml:space="preserve">   （500-100）万元×0.8%=3.2万元</w:t>
      </w:r>
    </w:p>
    <w:p>
      <w:pPr>
        <w:pStyle w:val="2"/>
        <w:shd w:val="clear"/>
        <w:snapToGrid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1000-500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万元</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0.45%=2.25万元</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合计收费=1.5+3.2</w:t>
      </w:r>
      <w:r>
        <w:rPr>
          <w:rFonts w:hint="eastAsia" w:cs="宋体"/>
          <w:b w:val="0"/>
          <w:bCs w:val="0"/>
          <w:color w:val="auto"/>
          <w:sz w:val="24"/>
          <w:szCs w:val="24"/>
          <w:highlight w:val="none"/>
          <w:lang w:val="en-US" w:eastAsia="zh-CN"/>
        </w:rPr>
        <w:t>+2.25</w:t>
      </w: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6.95</w:t>
      </w:r>
      <w:r>
        <w:rPr>
          <w:rFonts w:hint="eastAsia" w:cs="宋体"/>
          <w:b w:val="0"/>
          <w:bCs w:val="0"/>
          <w:color w:val="auto"/>
          <w:sz w:val="24"/>
          <w:szCs w:val="24"/>
          <w:highlight w:val="none"/>
        </w:rPr>
        <w:t>（万元）</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5.2.2采购代理服务费向采购代理机构直接交纳，可用汇票、电汇、银行本票、现金等付款方式。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5.2.3采购代理服务费不在投标报价中单列。</w:t>
      </w:r>
    </w:p>
    <w:p>
      <w:pPr>
        <w:pStyle w:val="13"/>
        <w:shd w:val="clear"/>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6</w:t>
      </w:r>
      <w:r>
        <w:rPr>
          <w:rFonts w:hint="eastAsia" w:hAnsi="宋体" w:cs="宋体"/>
          <w:color w:val="auto"/>
          <w:sz w:val="24"/>
          <w:szCs w:val="24"/>
          <w:highlight w:val="none"/>
        </w:rPr>
        <w:t>.</w:t>
      </w:r>
      <w:r>
        <w:rPr>
          <w:rFonts w:hint="eastAsia" w:hAnsi="宋体" w:cs="宋体"/>
          <w:b/>
          <w:color w:val="auto"/>
          <w:sz w:val="24"/>
          <w:szCs w:val="24"/>
          <w:highlight w:val="none"/>
        </w:rPr>
        <w:t xml:space="preserve">现场勘察 </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6.1投标前，投标人须自行到项目所在地予以踏勘，对项目实施现场及周边环境等进行勘察，以获取编制投标文件和签署合同所需的所有资料，否则，由此所造成的一切后果由投标人自行承担。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6.2投标单位在考察过程中发生的各类事件及所发生的各项费用，均由投标单位自行承担。采购人和代理机构概不负责。</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6.3采购人向投标单位提供的有关现场的数据和资料，是采购人现有的能被投标人利用的资料，采购人对投标人据此做出的任何推论、理解和结论不负责任。</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6.4现场踏勘完毕，将认为投标人已了解现场情况，并充分理解了为之所承担的风险、义务和责任。</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color w:val="auto"/>
          <w:sz w:val="24"/>
          <w:highlight w:val="none"/>
        </w:rPr>
        <w:t>.</w:t>
      </w:r>
      <w:r>
        <w:rPr>
          <w:rFonts w:hint="eastAsia" w:ascii="宋体" w:hAnsi="宋体" w:cs="宋体"/>
          <w:b/>
          <w:color w:val="auto"/>
          <w:sz w:val="24"/>
          <w:highlight w:val="none"/>
        </w:rPr>
        <w:t>联合体投标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本项目接受联合体投标。</w:t>
      </w:r>
    </w:p>
    <w:p>
      <w:pPr>
        <w:shd w:val="clear"/>
        <w:snapToGrid w:val="0"/>
        <w:spacing w:line="360" w:lineRule="auto"/>
        <w:rPr>
          <w:rFonts w:ascii="宋体" w:hAnsi="宋体" w:cs="宋体"/>
          <w:color w:val="auto"/>
          <w:sz w:val="28"/>
          <w:szCs w:val="28"/>
          <w:highlight w:val="none"/>
        </w:rPr>
      </w:pPr>
      <w:bookmarkStart w:id="16" w:name="_Toc7216"/>
      <w:bookmarkStart w:id="17" w:name="_Toc362250688"/>
      <w:bookmarkStart w:id="18" w:name="_Toc274303230"/>
      <w:bookmarkStart w:id="19" w:name="_Toc10079"/>
      <w:r>
        <w:rPr>
          <w:rFonts w:hint="eastAsia" w:ascii="宋体" w:hAnsi="宋体" w:cs="宋体"/>
          <w:b/>
          <w:bCs/>
          <w:color w:val="auto"/>
          <w:sz w:val="28"/>
          <w:szCs w:val="28"/>
          <w:highlight w:val="none"/>
        </w:rPr>
        <w:t>二、</w:t>
      </w:r>
      <w:bookmarkEnd w:id="16"/>
      <w:bookmarkEnd w:id="17"/>
      <w:bookmarkEnd w:id="18"/>
      <w:bookmarkEnd w:id="19"/>
      <w:r>
        <w:rPr>
          <w:rFonts w:hint="eastAsia" w:ascii="宋体" w:hAnsi="宋体" w:cs="宋体"/>
          <w:b/>
          <w:bCs/>
          <w:color w:val="auto"/>
          <w:sz w:val="28"/>
          <w:szCs w:val="28"/>
          <w:highlight w:val="none"/>
        </w:rPr>
        <w:t>采购文件</w:t>
      </w:r>
    </w:p>
    <w:p>
      <w:pPr>
        <w:shd w:val="clear"/>
        <w:adjustRightInd w:val="0"/>
        <w:snapToGrid w:val="0"/>
        <w:spacing w:before="50" w:after="5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采购文件的组成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8.1采购文件包括下列内容：</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第一章  采购公告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第二章  投标须知和投标须知前附表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第三章  采购项目需求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第四章  开标、评标和定标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第五章  投标文件的有效性</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第六章  评标办法</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第七章  拟签订的合同文本</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第八章  投标文件部分格式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8.2除8.1内容外，采购人在提交投标文件截止时间前，以书面形式发出的对采购文件的澄清或修改内容，均为采购文件的组成部分，对采购人和投标人起约束作用。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8.3上述所列8.1及8.2条内容均以书面文件为准，采购人（采购代理机构）的任何工作人员对投标人所作的任何口头解释、介绍、答复，对采购人和投标人无任何约束力。</w:t>
      </w:r>
    </w:p>
    <w:p>
      <w:pPr>
        <w:shd w:val="clear"/>
        <w:adjustRightInd w:val="0"/>
        <w:snapToGrid w:val="0"/>
        <w:spacing w:line="360" w:lineRule="auto"/>
        <w:ind w:firstLine="480" w:firstLineChars="200"/>
        <w:rPr>
          <w:rFonts w:ascii="宋体" w:hAnsi="宋体" w:cs="宋体"/>
          <w:color w:val="auto"/>
          <w:sz w:val="24"/>
          <w:highlight w:val="none"/>
          <w:shd w:val="clear" w:color="auto" w:fill="CCCCCC"/>
        </w:rPr>
      </w:pPr>
      <w:r>
        <w:rPr>
          <w:rFonts w:hint="eastAsia" w:ascii="宋体" w:hAnsi="宋体" w:cs="宋体"/>
          <w:color w:val="auto"/>
          <w:sz w:val="24"/>
          <w:highlight w:val="none"/>
        </w:rPr>
        <w:t>8.4投标单位应认真阅读投标须知、合同条件、规定格式、项目要求、报价要求等采购文件所有的内容。如果投标单位的投标文件不能符合采购文件的要求，责任由投标单位自负。实质上不响应采购文件要求的投标文件将被拒绝。</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9.采购文件的澄清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9.1投标人若对采购文件有任何疑问，应于前附表规定的时间前以书面形式向采购人和代理机构提出。</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9.2无论是采购人根据需要主动对采购文件进行必要澄清、补充或修改，或是根据投标人的要求对采购文件做出澄清、补充或修改，采购人的书面澄清（更正）文件通过浙江政府采购网和义乌市公共资源交易服务平台上发布公告，该澄清（更正）文件作为采购文件的一部分，对所有投标人有约束力，潜在投标人请自行到浙江政府采购网和义乌市公共资源交易服务平台上下载澄清（更正）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9.3投标单位在前附表规定时间未提交疑问的，视作默认对本次招标过程中采购文件无异议，采购人对其提出的问题可以不作解释。</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9.4采购文件澄清、修改、补充等内容均以书面形式明确的内容为准。当采购文件、采购文件的澄清、修改、补充等在同一内容的表述上不一致时，以最后发出的书面文件为准。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9.5采购人及采购代理机构工作人员向投标人所作的任何口头答复或电话通知一律无效。</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注：若本条所述的采购文件、招标答疑（补充）文件没有向投标人以书面形式发出，而是通过浙江政府采购网和义乌市公共资源交易服务平台上发出的，则以该网发出的为准，采购文件、招标答疑（补充）文件一经该网发出，即视为投标人已经收到。投标人在投标截止时间前应充分关注该网上发布的信息，如因投标人未及时关注网上发布的信息而导致的一切投标后果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9.6投标人应仔细阅读和检查采购文件的全部内容。如发现缺页或附件不全，应及时向采购人提出，以便补齐。如有疑问，应在投标人须知前附表规定的方式及时间前书面形式要求澄清问题的文件，要求采购人对采购文件予以澄清。否则，由此引起的损失由投标人自己承担。</w:t>
      </w:r>
    </w:p>
    <w:p>
      <w:pPr>
        <w:shd w:val="clear"/>
        <w:snapToGrid w:val="0"/>
        <w:spacing w:line="360" w:lineRule="auto"/>
        <w:rPr>
          <w:rFonts w:ascii="宋体" w:hAnsi="宋体" w:cs="宋体"/>
          <w:b/>
          <w:bCs/>
          <w:color w:val="auto"/>
          <w:sz w:val="28"/>
          <w:szCs w:val="28"/>
          <w:highlight w:val="none"/>
        </w:rPr>
      </w:pPr>
      <w:bookmarkStart w:id="20" w:name="_Toc274303231"/>
      <w:bookmarkStart w:id="21" w:name="_Toc362250689"/>
      <w:bookmarkStart w:id="22" w:name="_Toc23775"/>
      <w:bookmarkStart w:id="23" w:name="_Toc27267"/>
      <w:r>
        <w:rPr>
          <w:rFonts w:hint="eastAsia" w:ascii="宋体" w:hAnsi="宋体" w:cs="宋体"/>
          <w:b/>
          <w:bCs/>
          <w:color w:val="auto"/>
          <w:sz w:val="28"/>
          <w:szCs w:val="28"/>
          <w:highlight w:val="none"/>
        </w:rPr>
        <w:t>三、投标文件</w:t>
      </w:r>
      <w:bookmarkEnd w:id="20"/>
      <w:bookmarkEnd w:id="21"/>
      <w:bookmarkEnd w:id="22"/>
      <w:bookmarkEnd w:id="23"/>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10.投标文件的语言及度量衡单位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10.1投标文件和与投标有关的所有文件均应使用汉语。</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10.2除工程规范另有规定外，投标文件使用的度量衡单位，均采用中华人民共和国法定计量单位。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10.3对不同文字文本投标文件的解释发生异义的，以中文文本为准。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11.对投标文件的要求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11.1投标人应仔细阅读采购文件，了解采购文件的要求，在完全了解招标项目的技术要求和商务要求后，编制投标文件。</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11.2编制投标文件时，投标人对采购文件中技术及商务要求须逐条逐项作出实质性回答。</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11.3 在投标文件的技术条款描述中，投标人应充分应答和满足用户的强制性的需求，如“★”等，否则将导致无效标。</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11.4编制的投标文件对采购文件中有关条款未提出异议的，均被视为接受和同意。</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12.投标文件的组成</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12.1投标文件的组成包括以下所列内容和采购文件中“投标文件部分格式”所列的内容、格式及其投标人认为有必要提供的其他文件。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★12.2 递交的投标文件应分为技术标和商务标，技术标为除商务报价外的所有内容，电子投标文件中所有加盖公章均采用CA签章。技术标（含资信与服务）不得含商务报价，否则作无效标处理。</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12.3资格审查文件：应包括下列内容（并不仅限于以下）：(复印件需加盖单位公章，提供的所有证书应在有效期内，逾期的无效)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（1）关于资格的声明函；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（2）投标单位情况介绍；</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（3）有效的营业执照副本复印件或在“国家企业信用信息公示系统”（网址：</w:t>
      </w:r>
      <w:r>
        <w:rPr>
          <w:rFonts w:hint="eastAsia" w:cs="宋体"/>
          <w:b w:val="0"/>
          <w:bCs w:val="0"/>
          <w:color w:val="auto"/>
          <w:sz w:val="24"/>
          <w:szCs w:val="24"/>
          <w:highlight w:val="none"/>
        </w:rPr>
        <w:fldChar w:fldCharType="begin"/>
      </w:r>
      <w:r>
        <w:rPr>
          <w:rFonts w:hint="eastAsia" w:cs="宋体"/>
          <w:b w:val="0"/>
          <w:bCs w:val="0"/>
          <w:color w:val="auto"/>
          <w:sz w:val="24"/>
          <w:szCs w:val="24"/>
          <w:highlight w:val="none"/>
        </w:rPr>
        <w:instrText xml:space="preserve"> HYPERLINK "http://gsxt.saic.gov.cn/）上的单位详细信息打印件（加盖投标人公章）；" </w:instrText>
      </w:r>
      <w:r>
        <w:rPr>
          <w:rFonts w:hint="eastAsia" w:cs="宋体"/>
          <w:b w:val="0"/>
          <w:bCs w:val="0"/>
          <w:color w:val="auto"/>
          <w:sz w:val="24"/>
          <w:szCs w:val="24"/>
          <w:highlight w:val="none"/>
        </w:rPr>
        <w:fldChar w:fldCharType="separate"/>
      </w:r>
      <w:r>
        <w:rPr>
          <w:rFonts w:hint="eastAsia" w:cs="宋体"/>
          <w:b w:val="0"/>
          <w:bCs w:val="0"/>
          <w:color w:val="auto"/>
          <w:sz w:val="24"/>
          <w:szCs w:val="24"/>
          <w:highlight w:val="none"/>
        </w:rPr>
        <w:t>http://gsxt.saic.gov.cn/）上的单位详细信息打印件（加盖投标人公章）；</w:t>
      </w:r>
      <w:r>
        <w:rPr>
          <w:rFonts w:hint="eastAsia" w:cs="宋体"/>
          <w:b w:val="0"/>
          <w:bCs w:val="0"/>
          <w:color w:val="auto"/>
          <w:sz w:val="24"/>
          <w:szCs w:val="24"/>
          <w:highlight w:val="none"/>
        </w:rPr>
        <w:fldChar w:fldCharType="end"/>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（4）法定代表人资格说明书、法定代表人身份证复印件；</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（5）法定代表人授权委托书、被授权代表身份证复印件（适用于授权代表参与本项目）；</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6</w:t>
      </w:r>
      <w:r>
        <w:rPr>
          <w:rFonts w:hint="eastAsia" w:cs="宋体"/>
          <w:b w:val="0"/>
          <w:bCs w:val="0"/>
          <w:color w:val="auto"/>
          <w:sz w:val="24"/>
          <w:szCs w:val="24"/>
          <w:highlight w:val="none"/>
        </w:rPr>
        <w:t>）《中小企业声明函》｛符合</w:t>
      </w:r>
      <w:r>
        <w:rPr>
          <w:rFonts w:hint="eastAsia" w:cs="宋体"/>
          <w:b w:val="0"/>
          <w:bCs w:val="0"/>
          <w:color w:val="auto"/>
          <w:sz w:val="24"/>
          <w:szCs w:val="24"/>
          <w:highlight w:val="none"/>
          <w:lang w:val="en-US" w:eastAsia="zh-CN"/>
        </w:rPr>
        <w:t>中小</w:t>
      </w:r>
      <w:r>
        <w:rPr>
          <w:rFonts w:hint="eastAsia" w:cs="宋体"/>
          <w:b w:val="0"/>
          <w:bCs w:val="0"/>
          <w:color w:val="auto"/>
          <w:sz w:val="24"/>
          <w:szCs w:val="24"/>
          <w:highlight w:val="none"/>
        </w:rPr>
        <w:t>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7</w:t>
      </w:r>
      <w:r>
        <w:rPr>
          <w:rFonts w:hint="eastAsia" w:cs="宋体"/>
          <w:b w:val="0"/>
          <w:bCs w:val="0"/>
          <w:color w:val="auto"/>
          <w:sz w:val="24"/>
          <w:szCs w:val="24"/>
          <w:highlight w:val="none"/>
        </w:rPr>
        <w:t>）残疾人福利企业声明函（若有，格式见附件）；</w:t>
      </w:r>
    </w:p>
    <w:p>
      <w:pPr>
        <w:pStyle w:val="2"/>
        <w:shd w:val="clear"/>
        <w:snapToGrid w:val="0"/>
        <w:spacing w:line="360" w:lineRule="auto"/>
        <w:ind w:firstLine="480" w:firstLineChars="200"/>
        <w:jc w:val="both"/>
        <w:rPr>
          <w:color w:val="auto"/>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8</w:t>
      </w:r>
      <w:r>
        <w:rPr>
          <w:rFonts w:hint="eastAsia" w:cs="宋体"/>
          <w:b w:val="0"/>
          <w:bCs w:val="0"/>
          <w:color w:val="auto"/>
          <w:sz w:val="24"/>
          <w:szCs w:val="24"/>
          <w:highlight w:val="none"/>
        </w:rPr>
        <w:t>）监狱企业声明函、说明资料（若有，格式见附件）；</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12.4技术标:应包括下列内容（并不仅限于以下）：(复印件需加盖单位公章，提供的所有证书应在有效期内，逾期的无效)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（1）总体方案；</w:t>
      </w:r>
    </w:p>
    <w:p>
      <w:pPr>
        <w:pStyle w:val="2"/>
        <w:shd w:val="clear"/>
        <w:snapToGrid w:val="0"/>
        <w:spacing w:line="360" w:lineRule="auto"/>
        <w:ind w:firstLine="480" w:firstLineChars="200"/>
        <w:jc w:val="both"/>
        <w:rPr>
          <w:rFonts w:hint="eastAsia" w:cs="宋体"/>
          <w:b w:val="0"/>
          <w:bCs w:val="0"/>
          <w:color w:val="auto"/>
          <w:sz w:val="24"/>
          <w:szCs w:val="24"/>
          <w:highlight w:val="none"/>
        </w:rPr>
      </w:pPr>
      <w:r>
        <w:rPr>
          <w:rFonts w:hint="eastAsia" w:cs="宋体"/>
          <w:b w:val="0"/>
          <w:bCs w:val="0"/>
          <w:color w:val="auto"/>
          <w:sz w:val="24"/>
          <w:szCs w:val="24"/>
          <w:highlight w:val="none"/>
        </w:rPr>
        <w:t>（2）</w:t>
      </w:r>
      <w:r>
        <w:rPr>
          <w:rFonts w:hint="eastAsia" w:cs="宋体"/>
          <w:b w:val="0"/>
          <w:bCs w:val="0"/>
          <w:color w:val="auto"/>
          <w:sz w:val="24"/>
          <w:szCs w:val="24"/>
          <w:highlight w:val="none"/>
          <w:lang w:val="en-US" w:eastAsia="zh-CN"/>
        </w:rPr>
        <w:t>拟投入本项目设备一览表</w:t>
      </w:r>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检测报告等</w:t>
      </w:r>
      <w:r>
        <w:rPr>
          <w:rFonts w:hint="eastAsia" w:cs="宋体"/>
          <w:b w:val="0"/>
          <w:bCs w:val="0"/>
          <w:color w:val="auto"/>
          <w:sz w:val="24"/>
          <w:szCs w:val="24"/>
          <w:highlight w:val="none"/>
          <w:lang w:val="en-US" w:eastAsia="zh-CN"/>
        </w:rPr>
        <w:t>相关材料；</w:t>
      </w:r>
    </w:p>
    <w:p>
      <w:pPr>
        <w:pStyle w:val="2"/>
        <w:tabs>
          <w:tab w:val="left" w:pos="736"/>
        </w:tabs>
        <w:snapToGrid w:val="0"/>
        <w:spacing w:line="360" w:lineRule="auto"/>
        <w:ind w:firstLine="480" w:firstLineChars="200"/>
        <w:jc w:val="both"/>
        <w:rPr>
          <w:rFonts w:hint="eastAsia" w:eastAsia="宋体"/>
          <w:lang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ab/>
      </w:r>
      <w:r>
        <w:rPr>
          <w:rFonts w:hint="eastAsia" w:cs="宋体"/>
          <w:b w:val="0"/>
          <w:bCs w:val="0"/>
          <w:color w:val="auto"/>
          <w:sz w:val="24"/>
          <w:szCs w:val="24"/>
          <w:highlight w:val="none"/>
          <w:lang w:val="en-US" w:eastAsia="zh-CN"/>
        </w:rPr>
        <w:t>4</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rPr>
        <w:t>可远程控制云平台功能配置</w:t>
      </w:r>
      <w:r>
        <w:rPr>
          <w:rFonts w:hint="eastAsia" w:cs="宋体"/>
          <w:b w:val="0"/>
          <w:bCs w:val="0"/>
          <w:color w:val="auto"/>
          <w:sz w:val="24"/>
          <w:szCs w:val="24"/>
          <w:highlight w:val="none"/>
          <w:lang w:eastAsia="zh-CN"/>
        </w:rPr>
        <w:t>；</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5</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服务方案；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（6）组织方案；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（7）应急预案；</w:t>
      </w:r>
    </w:p>
    <w:p>
      <w:pPr>
        <w:pStyle w:val="2"/>
        <w:shd w:val="clear"/>
        <w:snapToGrid w:val="0"/>
        <w:spacing w:line="360" w:lineRule="auto"/>
        <w:ind w:firstLine="480" w:firstLineChars="20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（8）节能改造方案；</w:t>
      </w:r>
    </w:p>
    <w:p>
      <w:pPr>
        <w:pStyle w:val="2"/>
        <w:shd w:val="clear"/>
        <w:snapToGrid w:val="0"/>
        <w:spacing w:line="360" w:lineRule="auto"/>
        <w:ind w:firstLine="480" w:firstLineChars="200"/>
        <w:jc w:val="both"/>
        <w:rPr>
          <w:rFonts w:hint="default"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（9）持续性服务方案；</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10</w:t>
      </w:r>
      <w:r>
        <w:rPr>
          <w:rFonts w:hint="eastAsia" w:cs="宋体"/>
          <w:b w:val="0"/>
          <w:bCs w:val="0"/>
          <w:color w:val="auto"/>
          <w:sz w:val="24"/>
          <w:szCs w:val="24"/>
          <w:highlight w:val="none"/>
        </w:rPr>
        <w:t>）义乌市政府采购项目投标承诺书；</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11</w:t>
      </w:r>
      <w:r>
        <w:rPr>
          <w:rFonts w:hint="eastAsia" w:cs="宋体"/>
          <w:b w:val="0"/>
          <w:bCs w:val="0"/>
          <w:color w:val="auto"/>
          <w:sz w:val="24"/>
          <w:szCs w:val="24"/>
          <w:highlight w:val="none"/>
        </w:rPr>
        <w:t>）根据采购文件采购项目需求及评标办法要求提供的有关资料；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12</w:t>
      </w:r>
      <w:r>
        <w:rPr>
          <w:rFonts w:hint="eastAsia" w:cs="宋体"/>
          <w:b w:val="0"/>
          <w:bCs w:val="0"/>
          <w:color w:val="auto"/>
          <w:sz w:val="24"/>
          <w:szCs w:val="24"/>
          <w:highlight w:val="none"/>
        </w:rPr>
        <w:t>）认为须提供的其他资料。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12.5商务标应包括下列内容（并不仅限于以下）并应按顺序装订成册：</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（1）投标函；</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（2）报价一览表；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w:t>
      </w:r>
      <w:r>
        <w:rPr>
          <w:rFonts w:hint="eastAsia" w:cs="宋体"/>
          <w:b w:val="0"/>
          <w:bCs w:val="0"/>
          <w:color w:val="auto"/>
          <w:sz w:val="24"/>
          <w:szCs w:val="24"/>
          <w:highlight w:val="none"/>
          <w:lang w:val="en-US" w:eastAsia="zh-CN"/>
        </w:rPr>
        <w:t>3</w:t>
      </w:r>
      <w:r>
        <w:rPr>
          <w:rFonts w:hint="eastAsia" w:cs="宋体"/>
          <w:b w:val="0"/>
          <w:bCs w:val="0"/>
          <w:color w:val="auto"/>
          <w:sz w:val="24"/>
          <w:szCs w:val="24"/>
          <w:highlight w:val="none"/>
        </w:rPr>
        <w:t>）其他投标人认为须提供的资料。</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13.投标人资格的有关说明资料</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13.1投标人应提交说明其有资格参加投标和中标后有能力履行合同的文件，并作为其投标文件的一部分。</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13.2 投标人提交的合格性的说明文件应使采购人满意，投标人在投标时应是符合条件的投标人。</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14.报价要求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14.1投标人应根据国家的有关规定和采购文件要求并结合企业的实际情况进行投标报价。投标报价以人民币为结算货币，投标报价</w:t>
      </w:r>
      <w:bookmarkStart w:id="24" w:name="OLE_LINK4"/>
      <w:r>
        <w:rPr>
          <w:rFonts w:hint="eastAsia" w:cs="宋体"/>
          <w:b w:val="0"/>
          <w:bCs w:val="0"/>
          <w:color w:val="auto"/>
          <w:sz w:val="24"/>
          <w:szCs w:val="24"/>
          <w:highlight w:val="none"/>
        </w:rPr>
        <w:t>包括货物价款、所必须配备的附件、途中运输费、装卸费、安装调试费、</w:t>
      </w:r>
      <w:r>
        <w:rPr>
          <w:rFonts w:hint="eastAsia" w:cs="宋体"/>
          <w:b w:val="0"/>
          <w:bCs w:val="0"/>
          <w:color w:val="auto"/>
          <w:sz w:val="24"/>
          <w:szCs w:val="24"/>
          <w:highlight w:val="none"/>
          <w:lang w:val="en-US" w:eastAsia="zh-CN"/>
        </w:rPr>
        <w:t>平台建设费、合同期的相关费用、</w:t>
      </w:r>
      <w:r>
        <w:rPr>
          <w:rFonts w:hint="eastAsia" w:cs="宋体"/>
          <w:b w:val="0"/>
          <w:bCs w:val="0"/>
          <w:color w:val="auto"/>
          <w:sz w:val="24"/>
          <w:szCs w:val="24"/>
          <w:highlight w:val="none"/>
        </w:rPr>
        <w:t>验收检测费（含质保期内）、质保期内的维护保养费、暂时交付期内操作人工费及维护保养费、保险、税金、第三方中间验收及最终验收、利润等一切与该项目相关的所有费用和政策性文件规定及合同包含的所有风险、责任等各项应有费用。如有漏项，视同已包含在其总报价中，合同总价和单价不做调整</w:t>
      </w:r>
      <w:bookmarkEnd w:id="24"/>
      <w:r>
        <w:rPr>
          <w:rFonts w:hint="eastAsia" w:cs="宋体"/>
          <w:b w:val="0"/>
          <w:bCs w:val="0"/>
          <w:color w:val="auto"/>
          <w:sz w:val="24"/>
          <w:szCs w:val="24"/>
          <w:highlight w:val="none"/>
        </w:rPr>
        <w:t>。</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14.2投标人应在投标文件的《报价一览表》上写明投标报价项目的单价和总价。中标后，中标人所填写的单价在合同实施期间不因市场变化因素而变动；投标人在计算报价时应考虑一定的风险系数。</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14.3投标人应按采购文件规定的报价格式进行投标报价。投标人对每种服务只允许有一个报价，采购人不接受任何有选择性的报价。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14.4采购人不接受低于成本的投标报价。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14.5投标人按照上述要求编制投标报价。一旦确认某一投标人中标，除合同规定的可调整内容外，中标人不得要求追加任何费用。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14.6须由中标人开具正式增值税发票。</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14.7采购文件中规定由投标单位承担并支付的相关费用在投标报价时应一并考虑。</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15.投标文件格式</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15.1投标文件须包括本须知第12条中规定的全部内容，投标人不按采购文件的要求提供的投标文件和资料将视为没有对采购文件作实质性响应，其投标将被拒绝，其风险由投标人自行承担。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15.2采购文件中有提供投标文件格式的，投标人提交的投标文件应当使用采购文件所提供的投标文件格式，表格格式在不改变格式内容的情况下可自行制作。采购文件中未提供投标文件格式的，投标人可以增加自行设计的表格及内容，以便更细致全面的说明其能力。</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16.投标文件编制要求</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16.1投标人应根据电子投标操作指南通过“政采云电子交易客户端”按本采购文件规定的内容和顺序编制电子投标文件并进行关联定位，其中技术标中不得出现本项目投标报价。</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16.2由于未按采购文件的规定要求编制投标文件，导致评审小组作出的对投标方的误判，责任由投标方自己承担。</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16.3投标文件内容不完整、编排混乱导致投标文件被误读、漏读或都查找不到相关内容的，责任由投标人自行承担。</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17.投标保证金：无。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18.履约保证金：无。</w:t>
      </w:r>
    </w:p>
    <w:p>
      <w:pPr>
        <w:pStyle w:val="2"/>
        <w:shd w:val="clear"/>
        <w:snapToGrid w:val="0"/>
        <w:spacing w:line="360" w:lineRule="auto"/>
        <w:ind w:firstLine="482" w:firstLineChars="200"/>
        <w:jc w:val="both"/>
        <w:rPr>
          <w:rFonts w:cs="宋体"/>
          <w:color w:val="auto"/>
          <w:sz w:val="24"/>
          <w:szCs w:val="24"/>
          <w:highlight w:val="none"/>
        </w:rPr>
      </w:pPr>
      <w:r>
        <w:rPr>
          <w:rFonts w:hint="eastAsia" w:cs="宋体"/>
          <w:color w:val="auto"/>
          <w:sz w:val="24"/>
          <w:szCs w:val="24"/>
          <w:highlight w:val="none"/>
        </w:rPr>
        <w:t>19.投标有效期</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19.1 投标文件从开标之日起，投标有效期为60天。</w:t>
      </w:r>
    </w:p>
    <w:p>
      <w:pPr>
        <w:pStyle w:val="2"/>
        <w:shd w:val="clear"/>
        <w:snapToGrid w:val="0"/>
        <w:spacing w:line="360" w:lineRule="auto"/>
        <w:ind w:firstLine="480" w:firstLineChars="200"/>
        <w:jc w:val="both"/>
        <w:rPr>
          <w:rFonts w:cs="宋体"/>
          <w:b w:val="0"/>
          <w:bCs w:val="0"/>
          <w:color w:val="auto"/>
          <w:sz w:val="24"/>
          <w:szCs w:val="24"/>
          <w:highlight w:val="none"/>
        </w:rPr>
      </w:pPr>
      <w:r>
        <w:rPr>
          <w:rFonts w:hint="eastAsia" w:cs="宋体"/>
          <w:b w:val="0"/>
          <w:bCs w:val="0"/>
          <w:color w:val="auto"/>
          <w:sz w:val="24"/>
          <w:szCs w:val="24"/>
          <w:highlight w:val="none"/>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shd w:val="clear"/>
        <w:snapToGrid w:val="0"/>
        <w:spacing w:line="360" w:lineRule="auto"/>
        <w:rPr>
          <w:rFonts w:ascii="宋体" w:hAnsi="宋体" w:cs="宋体"/>
          <w:b/>
          <w:bCs/>
          <w:color w:val="auto"/>
          <w:sz w:val="28"/>
          <w:szCs w:val="28"/>
          <w:highlight w:val="none"/>
        </w:rPr>
      </w:pPr>
      <w:bookmarkStart w:id="25" w:name="_Toc31787"/>
      <w:bookmarkStart w:id="26" w:name="_Toc414555327"/>
      <w:bookmarkStart w:id="27" w:name="_Toc274303232"/>
      <w:bookmarkStart w:id="28" w:name="_Toc17171"/>
      <w:r>
        <w:rPr>
          <w:rFonts w:hint="eastAsia" w:ascii="宋体" w:hAnsi="宋体" w:cs="宋体"/>
          <w:b/>
          <w:bCs/>
          <w:color w:val="auto"/>
          <w:sz w:val="28"/>
          <w:szCs w:val="28"/>
          <w:highlight w:val="none"/>
        </w:rPr>
        <w:t>四、投标文件的递交</w:t>
      </w:r>
      <w:bookmarkEnd w:id="25"/>
      <w:bookmarkEnd w:id="26"/>
      <w:bookmarkEnd w:id="27"/>
      <w:bookmarkEnd w:id="28"/>
    </w:p>
    <w:p>
      <w:pPr>
        <w:pStyle w:val="13"/>
        <w:shd w:val="clear"/>
        <w:spacing w:line="360" w:lineRule="auto"/>
        <w:ind w:firstLine="482" w:firstLineChars="200"/>
        <w:rPr>
          <w:rFonts w:hAnsi="宋体" w:cs="宋体"/>
          <w:b/>
          <w:bCs/>
          <w:color w:val="auto"/>
          <w:sz w:val="24"/>
          <w:szCs w:val="24"/>
          <w:highlight w:val="none"/>
        </w:rPr>
      </w:pPr>
      <w:bookmarkStart w:id="29" w:name="_Toc274303233"/>
      <w:bookmarkStart w:id="30" w:name="_Toc414555328"/>
      <w:r>
        <w:rPr>
          <w:rFonts w:hint="eastAsia" w:hAnsi="宋体" w:cs="宋体"/>
          <w:b/>
          <w:bCs/>
          <w:color w:val="auto"/>
          <w:sz w:val="24"/>
          <w:szCs w:val="24"/>
          <w:highlight w:val="none"/>
        </w:rPr>
        <w:t>20.电子投标文件上传的地点和截止时间</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20.1详见“采购公告”和“投标须知前附表”</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20.2采购人在规定的投标截止时间以后“政采云平台”将不接收投标文件。</w:t>
      </w:r>
    </w:p>
    <w:p>
      <w:pPr>
        <w:pStyle w:val="13"/>
        <w:shd w:val="clear"/>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21.投标文件解密</w:t>
      </w:r>
    </w:p>
    <w:p>
      <w:pPr>
        <w:pStyle w:val="1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详见投标文件“投标须知前附表”第13条内容。</w:t>
      </w:r>
    </w:p>
    <w:p>
      <w:pPr>
        <w:pStyle w:val="13"/>
        <w:shd w:val="clear"/>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22.投标文件的补充、修改与撤回</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22.1投标人在提交投标文件以后，在规定的投标截止时间之前，可以以重新补充修改或撤回已上传的投标文件，补充、修改的内容为投标文件的组成部分。</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22.2在投标截止时间之后，投标人不得对其投标做任何修改。</w:t>
      </w:r>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22.3从投标截止时间至投标人在投标书格式中确定的投标有效期期满这段时间内，投标人不得撤回其投标。</w:t>
      </w:r>
    </w:p>
    <w:p>
      <w:pPr>
        <w:shd w:val="clear"/>
        <w:snapToGrid w:val="0"/>
        <w:spacing w:line="360" w:lineRule="auto"/>
        <w:rPr>
          <w:rFonts w:ascii="宋体" w:hAnsi="宋体" w:cs="宋体"/>
          <w:b/>
          <w:bCs/>
          <w:color w:val="auto"/>
          <w:sz w:val="28"/>
          <w:szCs w:val="28"/>
          <w:highlight w:val="none"/>
        </w:rPr>
      </w:pPr>
      <w:bookmarkStart w:id="31" w:name="_Toc21504"/>
      <w:bookmarkStart w:id="32" w:name="_Toc6158"/>
      <w:r>
        <w:rPr>
          <w:rFonts w:hint="eastAsia" w:ascii="宋体" w:hAnsi="宋体" w:cs="宋体"/>
          <w:b/>
          <w:bCs/>
          <w:color w:val="auto"/>
          <w:sz w:val="28"/>
          <w:szCs w:val="28"/>
          <w:highlight w:val="none"/>
        </w:rPr>
        <w:t>五、其它</w:t>
      </w:r>
      <w:bookmarkEnd w:id="29"/>
      <w:bookmarkEnd w:id="30"/>
      <w:bookmarkEnd w:id="31"/>
      <w:bookmarkEnd w:id="32"/>
    </w:p>
    <w:p>
      <w:pPr>
        <w:shd w:val="clear"/>
        <w:tabs>
          <w:tab w:val="left" w:pos="2212"/>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23.本采购文件解释权归采购人。</w:t>
      </w:r>
    </w:p>
    <w:p>
      <w:pPr>
        <w:pStyle w:val="21"/>
        <w:shd w:val="clear"/>
        <w:ind w:firstLine="480"/>
        <w:rPr>
          <w:rFonts w:ascii="宋体" w:hAnsi="宋体"/>
          <w:b w:val="0"/>
          <w:bCs w:val="0"/>
          <w:color w:val="auto"/>
          <w:sz w:val="24"/>
          <w:highlight w:val="none"/>
        </w:rPr>
      </w:pPr>
    </w:p>
    <w:p>
      <w:pPr>
        <w:pStyle w:val="25"/>
        <w:shd w:val="clear"/>
        <w:ind w:firstLine="0" w:firstLineChars="0"/>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rPr>
          <w:rFonts w:ascii="宋体" w:hAnsi="宋体" w:cs="宋体"/>
          <w:b/>
          <w:bCs/>
          <w:color w:val="auto"/>
          <w:highlight w:val="none"/>
        </w:rPr>
      </w:pPr>
    </w:p>
    <w:p>
      <w:pPr>
        <w:pStyle w:val="11"/>
        <w:shd w:val="clear"/>
        <w:ind w:left="0" w:leftChars="0" w:firstLine="0" w:firstLineChars="0"/>
        <w:rPr>
          <w:rFonts w:ascii="宋体" w:hAnsi="宋体" w:cs="宋体"/>
          <w:b/>
          <w:bCs/>
          <w:color w:val="auto"/>
          <w:highlight w:val="none"/>
        </w:rPr>
      </w:pPr>
    </w:p>
    <w:p>
      <w:pPr>
        <w:pStyle w:val="5"/>
        <w:shd w:val="clear"/>
        <w:spacing w:before="0" w:after="0" w:line="240" w:lineRule="auto"/>
        <w:jc w:val="center"/>
        <w:rPr>
          <w:rFonts w:ascii="宋体" w:hAnsi="宋体" w:cs="宋体"/>
          <w:color w:val="auto"/>
          <w:highlight w:val="none"/>
        </w:rPr>
      </w:pPr>
      <w:bookmarkStart w:id="33" w:name="_Toc28488"/>
      <w:bookmarkStart w:id="34" w:name="_Toc24072"/>
      <w:bookmarkStart w:id="35" w:name="_Toc379811057"/>
      <w:bookmarkStart w:id="36" w:name="_Toc274303234"/>
      <w:bookmarkStart w:id="37" w:name="_Toc365897793"/>
      <w:bookmarkStart w:id="38" w:name="_Toc9924"/>
      <w:bookmarkStart w:id="39" w:name="_Toc274303251"/>
      <w:bookmarkStart w:id="40" w:name="_Toc226973000"/>
      <w:r>
        <w:rPr>
          <w:rFonts w:hint="eastAsia" w:ascii="宋体" w:hAnsi="宋体" w:cs="宋体"/>
          <w:color w:val="auto"/>
          <w:sz w:val="36"/>
          <w:highlight w:val="none"/>
        </w:rPr>
        <w:t xml:space="preserve">第三章  </w:t>
      </w:r>
      <w:bookmarkEnd w:id="33"/>
      <w:bookmarkEnd w:id="34"/>
      <w:bookmarkEnd w:id="35"/>
      <w:bookmarkEnd w:id="36"/>
      <w:bookmarkEnd w:id="37"/>
      <w:r>
        <w:rPr>
          <w:rFonts w:hint="eastAsia" w:ascii="宋体" w:hAnsi="宋体" w:cs="宋体"/>
          <w:color w:val="auto"/>
          <w:sz w:val="36"/>
          <w:highlight w:val="none"/>
        </w:rPr>
        <w:t>采购项目需求</w:t>
      </w:r>
      <w:bookmarkEnd w:id="38"/>
    </w:p>
    <w:p>
      <w:pPr>
        <w:shd w:val="clear"/>
        <w:spacing w:line="360" w:lineRule="auto"/>
        <w:rPr>
          <w:rFonts w:ascii="宋体" w:hAnsi="宋体" w:cs="宋体"/>
          <w:b/>
          <w:color w:val="auto"/>
          <w:sz w:val="24"/>
          <w:highlight w:val="none"/>
        </w:rPr>
      </w:pPr>
      <w:bookmarkStart w:id="41" w:name="_Toc32316"/>
      <w:bookmarkStart w:id="42" w:name="_Toc2389"/>
      <w:r>
        <w:rPr>
          <w:rFonts w:hint="eastAsia" w:ascii="宋体" w:hAnsi="宋体" w:cs="宋体"/>
          <w:b/>
          <w:color w:val="auto"/>
          <w:sz w:val="24"/>
          <w:highlight w:val="none"/>
        </w:rPr>
        <w:t>一、项目概况</w:t>
      </w:r>
    </w:p>
    <w:p>
      <w:pPr>
        <w:shd w:val="clear"/>
        <w:snapToGrid w:val="0"/>
        <w:spacing w:line="360" w:lineRule="auto"/>
        <w:ind w:firstLine="480" w:firstLineChars="200"/>
        <w:rPr>
          <w:rFonts w:hint="eastAsia" w:ascii="宋体" w:hAnsi="宋体" w:cs="宋体"/>
          <w:color w:val="auto"/>
          <w:sz w:val="24"/>
          <w:highlight w:val="none"/>
          <w:lang w:eastAsia="zh-CN"/>
        </w:rPr>
      </w:pPr>
      <w:bookmarkStart w:id="43" w:name="OLE_LINK52"/>
      <w:r>
        <w:rPr>
          <w:rFonts w:hint="eastAsia" w:ascii="宋体" w:hAnsi="宋体" w:cs="宋体"/>
          <w:color w:val="auto"/>
          <w:sz w:val="24"/>
          <w:highlight w:val="none"/>
        </w:rPr>
        <w:t>廿三里辖区路灯能源管理项目的改造内容包括对廿三里全域高压钠灯具</w:t>
      </w:r>
      <w:r>
        <w:rPr>
          <w:rFonts w:hint="eastAsia" w:ascii="宋体" w:hAnsi="宋体" w:cs="宋体"/>
          <w:color w:val="auto"/>
          <w:sz w:val="24"/>
          <w:highlight w:val="none"/>
          <w:lang w:val="en-US" w:eastAsia="zh-CN"/>
        </w:rPr>
        <w:t>2197</w:t>
      </w:r>
      <w:r>
        <w:rPr>
          <w:rFonts w:hint="eastAsia" w:ascii="宋体" w:hAnsi="宋体" w:cs="宋体"/>
          <w:color w:val="auto"/>
          <w:sz w:val="24"/>
          <w:highlight w:val="none"/>
        </w:rPr>
        <w:t>套进行LED灯具升级，并对其老旧载体1678盏路灯进行单灯智慧管控，对辖区内25台箱变进行智慧化控制提升，建设具备可远程控制平台，可与区智慧平台</w:t>
      </w:r>
      <w:r>
        <w:rPr>
          <w:rFonts w:hint="eastAsia" w:ascii="宋体" w:hAnsi="宋体" w:cs="宋体"/>
          <w:color w:val="auto"/>
          <w:sz w:val="24"/>
          <w:highlight w:val="none"/>
          <w:lang w:val="en-US" w:eastAsia="zh-CN"/>
        </w:rPr>
        <w:t>连接</w:t>
      </w:r>
      <w:r>
        <w:rPr>
          <w:rFonts w:hint="eastAsia" w:ascii="宋体" w:hAnsi="宋体" w:cs="宋体"/>
          <w:color w:val="auto"/>
          <w:sz w:val="24"/>
          <w:highlight w:val="none"/>
        </w:rPr>
        <w:t>并信息共享。路灯进行LED光源更换、路灯设施护套线更换、熔断器更换，采用合同能源管理（EMC）方式，利用LED照明产品实施节能减排改造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数量以清单为准</w:t>
      </w:r>
      <w:r>
        <w:rPr>
          <w:rFonts w:hint="eastAsia" w:ascii="宋体" w:hAnsi="宋体" w:cs="宋体"/>
          <w:color w:val="auto"/>
          <w:sz w:val="24"/>
          <w:highlight w:val="none"/>
          <w:lang w:eastAsia="zh-CN"/>
        </w:rPr>
        <w:t>）</w:t>
      </w:r>
    </w:p>
    <w:p>
      <w:pPr>
        <w:shd w:val="clear"/>
        <w:snapToGrid w:val="0"/>
        <w:spacing w:line="360" w:lineRule="auto"/>
        <w:ind w:firstLine="420" w:firstLineChars="200"/>
        <w:rPr>
          <w:rFonts w:ascii="宋体" w:hAnsi="宋体" w:cs="宋体"/>
          <w:b/>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每天路灯亮灯时间约11.5小时，投标时也以11.5小时作为投标基准时间，不得变更。</w:t>
      </w:r>
    </w:p>
    <w:bookmarkEnd w:id="43"/>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二、建设目标</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整体改善和提升我区城市道路路面照明质量，方便人们的生产和生活；并实现区路灯节电率达到50%以上；更换护套线、熔断器，完善安全接地系统，建设整体智慧化管控系统</w:t>
      </w:r>
      <w:r>
        <w:rPr>
          <w:rFonts w:hint="eastAsia" w:ascii="宋体" w:hAnsi="宋体" w:cs="宋体"/>
          <w:color w:val="auto"/>
          <w:sz w:val="24"/>
          <w:highlight w:val="none"/>
          <w:lang w:eastAsia="zh-CN"/>
        </w:rPr>
        <w:t>，</w:t>
      </w:r>
      <w:r>
        <w:rPr>
          <w:rFonts w:hint="eastAsia" w:ascii="宋体" w:hAnsi="宋体" w:cs="宋体"/>
          <w:color w:val="auto"/>
          <w:sz w:val="24"/>
          <w:highlight w:val="none"/>
        </w:rPr>
        <w:t>符合安全规范</w:t>
      </w:r>
      <w:r>
        <w:rPr>
          <w:rFonts w:hint="eastAsia" w:ascii="宋体" w:hAnsi="宋体" w:cs="宋体"/>
          <w:color w:val="auto"/>
          <w:sz w:val="24"/>
          <w:highlight w:val="none"/>
          <w:lang w:eastAsia="zh-CN"/>
        </w:rPr>
        <w:t>，</w:t>
      </w:r>
      <w:r>
        <w:rPr>
          <w:rFonts w:hint="eastAsia" w:ascii="宋体" w:hAnsi="宋体" w:cs="宋体"/>
          <w:color w:val="auto"/>
          <w:sz w:val="24"/>
          <w:highlight w:val="none"/>
        </w:rPr>
        <w:t>提升路灯精细化管理水平。</w:t>
      </w: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三、项目</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主要内容</w:t>
      </w:r>
      <w:r>
        <w:rPr>
          <w:rFonts w:hint="eastAsia" w:ascii="宋体" w:hAnsi="宋体" w:cs="宋体"/>
          <w:b/>
          <w:color w:val="auto"/>
          <w:sz w:val="24"/>
          <w:highlight w:val="none"/>
        </w:rPr>
        <w:tab/>
      </w:r>
    </w:p>
    <w:p>
      <w:pPr>
        <w:shd w:val="clear"/>
        <w:adjustRightInd w:val="0"/>
        <w:snapToGrid w:val="0"/>
        <w:spacing w:line="360" w:lineRule="auto"/>
        <w:ind w:firstLine="420" w:firstLineChars="200"/>
        <w:jc w:val="left"/>
        <w:rPr>
          <w:rFonts w:ascii="宋体" w:hAnsi="宋体" w:cs="宋体"/>
          <w:color w:val="auto"/>
          <w:sz w:val="24"/>
          <w:highlight w:val="none"/>
        </w:rPr>
      </w:pPr>
      <w:r>
        <w:rPr>
          <w:rFonts w:hint="eastAsia" w:hAnsi="宋体" w:eastAsia="宋体" w:cs="宋体"/>
          <w:color w:val="auto"/>
          <w:szCs w:val="24"/>
          <w:highlight w:val="none"/>
        </w:rPr>
        <w:t>★</w:t>
      </w:r>
      <w:r>
        <w:rPr>
          <w:rFonts w:hint="eastAsia" w:ascii="宋体" w:hAnsi="宋体" w:cs="宋体"/>
          <w:color w:val="auto"/>
          <w:sz w:val="24"/>
          <w:highlight w:val="none"/>
        </w:rPr>
        <w:t>1.进行路灯灯具（含灯线、熔断器）更换，光源更换为LED，在更换灯具设备内加设智慧控制系统，原有传统光源灯具将不得继续利用；</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路灯设施安全接地改造；</w:t>
      </w:r>
    </w:p>
    <w:p>
      <w:pPr>
        <w:shd w:val="clear"/>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3.建设可远程控制云平台；</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.设备采购、设备安装调试、人员培训、保险、配合节能检测（包括一二期的LED路灯检测）、计量确认、安全和保证等一整套的节能服务；</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.合同期内免费提供灯具质保、灯具更换所需的备品备件；</w:t>
      </w:r>
    </w:p>
    <w:p>
      <w:pPr>
        <w:shd w:val="clea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.妥善处理更换下来的传统路灯，运至采购人指定地点；</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.以及项目范围内为确保路灯正常运行而进行的其他合同内的作业。</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采购人将按照协议约定向供应商支付能源使用费用，并由</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负责代缴采购人能源托管期内的电费。</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除完成以上内容外，中标人还需接受监理、节能评估检测机构的监督管理。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满后，中标人需将竣工资料移交给项目用户归档，</w:t>
      </w:r>
      <w:r>
        <w:rPr>
          <w:rFonts w:hint="eastAsia" w:ascii="宋体" w:hAnsi="宋体" w:cs="宋体"/>
          <w:color w:val="auto"/>
          <w:sz w:val="24"/>
          <w:highlight w:val="none"/>
          <w:lang w:val="en-US" w:eastAsia="zh-CN"/>
        </w:rPr>
        <w:t>并配合采购人跟后续管理单位做好交接工作</w:t>
      </w:r>
      <w:r>
        <w:rPr>
          <w:rFonts w:hint="eastAsia" w:ascii="宋体" w:hAnsi="宋体" w:cs="宋体"/>
          <w:color w:val="auto"/>
          <w:sz w:val="24"/>
          <w:highlight w:val="none"/>
        </w:rPr>
        <w:t>。中标人将根据合同规定方式获得投资回报。不再参与项目的节约电费的分成。</w:t>
      </w:r>
    </w:p>
    <w:p>
      <w:pPr>
        <w:shd w:val="clear"/>
        <w:snapToGrid w:val="0"/>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四、项目服务期</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p>
    <w:p>
      <w:pPr>
        <w:shd w:val="clear"/>
        <w:spacing w:line="360" w:lineRule="auto"/>
        <w:rPr>
          <w:rFonts w:ascii="宋体" w:hAnsi="宋体" w:cs="宋体"/>
          <w:b/>
          <w:color w:val="auto"/>
          <w:sz w:val="24"/>
          <w:highlight w:val="none"/>
        </w:rPr>
      </w:pPr>
      <w:bookmarkStart w:id="44" w:name="_Toc6652"/>
      <w:bookmarkStart w:id="45" w:name="_Toc31043"/>
      <w:bookmarkStart w:id="46" w:name="_Toc30524"/>
      <w:r>
        <w:rPr>
          <w:rFonts w:hint="eastAsia" w:ascii="宋体" w:hAnsi="宋体" w:cs="宋体"/>
          <w:b/>
          <w:color w:val="auto"/>
          <w:sz w:val="24"/>
          <w:highlight w:val="none"/>
        </w:rPr>
        <w:t>五、改造详细内容及相关数据</w:t>
      </w:r>
      <w:bookmarkEnd w:id="44"/>
      <w:bookmarkEnd w:id="45"/>
      <w:bookmarkEnd w:id="46"/>
    </w:p>
    <w:p>
      <w:pPr>
        <w:pStyle w:val="28"/>
        <w:shd w:val="clear"/>
        <w:ind w:firstLine="480"/>
        <w:rPr>
          <w:rFonts w:ascii="宋体" w:hAnsi="宋体" w:cs="宋体"/>
          <w:color w:val="auto"/>
          <w:sz w:val="24"/>
          <w:szCs w:val="24"/>
          <w:highlight w:val="none"/>
        </w:rPr>
      </w:pPr>
      <w:r>
        <w:rPr>
          <w:rFonts w:hint="eastAsia" w:ascii="宋体" w:hAnsi="宋体" w:cs="宋体"/>
          <w:color w:val="auto"/>
          <w:sz w:val="24"/>
          <w:szCs w:val="24"/>
          <w:highlight w:val="none"/>
        </w:rPr>
        <w:t>1.根据规范《城市道路照明设计标准》（CJJ45-2015），并结合项目自身特点，</w:t>
      </w:r>
      <w:r>
        <w:rPr>
          <w:rFonts w:hint="eastAsia" w:ascii="宋体" w:hAnsi="宋体" w:cs="宋体"/>
          <w:b/>
          <w:color w:val="auto"/>
          <w:sz w:val="24"/>
          <w:szCs w:val="24"/>
          <w:highlight w:val="none"/>
        </w:rPr>
        <w:t>路灯节能改造后，验收值不得低于</w:t>
      </w:r>
      <w:r>
        <w:rPr>
          <w:rFonts w:hint="eastAsia" w:ascii="宋体" w:hAnsi="宋体" w:cs="宋体"/>
          <w:b/>
          <w:color w:val="auto"/>
          <w:sz w:val="24"/>
          <w:szCs w:val="24"/>
          <w:highlight w:val="none"/>
          <w:lang w:val="en-US" w:eastAsia="zh-CN"/>
        </w:rPr>
        <w:t>文件</w:t>
      </w:r>
      <w:r>
        <w:rPr>
          <w:rFonts w:hint="eastAsia" w:ascii="宋体" w:hAnsi="宋体" w:cs="宋体"/>
          <w:b/>
          <w:color w:val="auto"/>
          <w:sz w:val="24"/>
          <w:szCs w:val="24"/>
          <w:highlight w:val="none"/>
        </w:rPr>
        <w:t>中注明的数值；3年</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后路灯相关参数不得小于规定的参数值。</w:t>
      </w:r>
      <w:r>
        <w:rPr>
          <w:rFonts w:hint="eastAsia" w:ascii="宋体" w:hAnsi="宋体" w:cs="宋体"/>
          <w:b/>
          <w:color w:val="auto"/>
          <w:sz w:val="24"/>
          <w:szCs w:val="24"/>
          <w:highlight w:val="none"/>
          <w:lang w:eastAsia="zh-CN"/>
        </w:rPr>
        <w:t>服务期</w:t>
      </w:r>
      <w:r>
        <w:rPr>
          <w:rFonts w:hint="eastAsia" w:ascii="宋体" w:hAnsi="宋体" w:cs="宋体"/>
          <w:b/>
          <w:color w:val="auto"/>
          <w:sz w:val="24"/>
          <w:szCs w:val="24"/>
          <w:highlight w:val="none"/>
        </w:rPr>
        <w:t>内隧道照明相关技术要求必须符合《LED城市道路照明应用技术要求》（GB/T31832-2015）的相关标准。</w:t>
      </w:r>
    </w:p>
    <w:p>
      <w:pPr>
        <w:shd w:val="clea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2.改造前设施能耗及亮灯时间</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（1）若清单中功率与实际不一致，以实际为准；若因日常维修造成个别或小部分光源与该小区或道路的大部分光源不一致时，以大部分光源规格为准。</w:t>
      </w:r>
    </w:p>
    <w:p>
      <w:pPr>
        <w:pStyle w:val="13"/>
        <w:shd w:val="clear"/>
        <w:tabs>
          <w:tab w:val="left" w:pos="360"/>
          <w:tab w:val="left" w:pos="420"/>
          <w:tab w:val="left" w:pos="54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一年之中每天路灯亮灯时间折合成平均值约为11.5小时，除隧道照明常规照明灯外，本采购文件其他路灯（包括隧道的加强照明灯）的亮灯时间均以11.5小时进行计算，不得变更；隧道灯常规照明灯按24个小时计算。</w:t>
      </w:r>
    </w:p>
    <w:p>
      <w:pPr>
        <w:shd w:val="clear"/>
        <w:spacing w:line="360" w:lineRule="auto"/>
        <w:rPr>
          <w:rFonts w:ascii="宋体" w:hAnsi="宋体" w:cs="宋体"/>
          <w:b/>
          <w:color w:val="auto"/>
          <w:sz w:val="24"/>
          <w:highlight w:val="none"/>
        </w:rPr>
      </w:pPr>
      <w:bookmarkStart w:id="47" w:name="_Toc16494"/>
      <w:bookmarkStart w:id="48" w:name="_Toc7363"/>
      <w:bookmarkStart w:id="49" w:name="_Toc23836"/>
      <w:r>
        <w:rPr>
          <w:rFonts w:hint="eastAsia" w:ascii="宋体" w:hAnsi="宋体" w:cs="宋体"/>
          <w:b/>
          <w:color w:val="auto"/>
          <w:sz w:val="24"/>
          <w:highlight w:val="none"/>
        </w:rPr>
        <w:t>六、项目基本要求</w:t>
      </w:r>
      <w:bookmarkEnd w:id="47"/>
      <w:bookmarkEnd w:id="48"/>
      <w:bookmarkEnd w:id="49"/>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1.投标供应商所提供的所有货物必须是全新的、技术成熟的、性能可靠稳定的。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2.投标供应商供货时提供包括但不限于满足货物使用和维护的技术文件。</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3.投标供应商交货时提供原出厂产品合格证、产品说明书、产品质量保证书和产品检测报告，投标供应商提供的产品检测报告需涵盖本采购文件所要求的技术参数。</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4.灯具使用环境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（1）安装场所：户外</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（2）海拔：低于500米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（3）环境温度：-5℃～+65℃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）相对湿度：90%(20℃)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）电源：单相交流220V、50HZ；波动范围：电压±20%、频率±2%。</w:t>
      </w:r>
    </w:p>
    <w:p>
      <w:pPr>
        <w:shd w:val="clear"/>
        <w:spacing w:line="360" w:lineRule="auto"/>
        <w:rPr>
          <w:rFonts w:ascii="宋体" w:hAnsi="宋体" w:cs="宋体"/>
          <w:b/>
          <w:color w:val="auto"/>
          <w:sz w:val="24"/>
          <w:highlight w:val="none"/>
        </w:rPr>
      </w:pPr>
      <w:bookmarkStart w:id="50" w:name="_Toc25416"/>
      <w:bookmarkStart w:id="51" w:name="_Toc19576"/>
      <w:bookmarkStart w:id="52" w:name="_Toc12703"/>
      <w:r>
        <w:rPr>
          <w:rFonts w:hint="eastAsia" w:ascii="宋体" w:hAnsi="宋体" w:cs="宋体"/>
          <w:b/>
          <w:color w:val="auto"/>
          <w:sz w:val="24"/>
          <w:highlight w:val="none"/>
        </w:rPr>
        <w:t>七、项目技术要求</w:t>
      </w:r>
      <w:bookmarkEnd w:id="50"/>
      <w:bookmarkEnd w:id="51"/>
      <w:bookmarkEnd w:id="52"/>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1.项目所选用LED路灯，在设计、制造和检验方面应符合下列标准：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（1）CJJ45-2015《城市道路照明设计标准》；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（2）CJJ89-2012《城市道路照明工程施工及验收规程》；</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（3）GB7000.1-2007《灯具第一部分：一般安全要求与试验》；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（4）GB7000.5-2005《道路与街路照明灯具安全要求》；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（5）GB17625.1-2003 《电磁兼容限值谐波电流发射限值(设备每相输入电流≤16A)》；</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（6）GB17743-2007《电气照明和类似设备的无线电骚扰特性的限值和测量方法》；</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（7）GB/T18595-2001《一般照明设备电磁兼容抗扰度要求》；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（8）GB/T24827-2009《道路和街路照明灯具性能要求》；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（9）GB/T24907-2010《道路照明用LED灯性能要求》；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（10）GB/T14549--93《电能质量公用电网谐波》；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（11）《LED城市道路照明应用技术要求》（GB/T31832-2015）</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（12）其它国家、地方标准规范；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（13）采购人提出的要求及有关基础资料。</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2、LED路灯技术基本要求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（1）LED照明灯具（以下简称“灯具”）应符合安全可靠、技术先进、经济合理、节能环保和维修方便的要求。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（2）投标灯具应采用模组化结构，便于更换和维修光源与控制装置，且更换后应保证原有的性能。</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（3）灯具应达到国家标准GB 37478-2019《道路和隧道照明用LED灯具能效限定值及能效等级》一级的标准要求。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（4）灯具</w:t>
      </w:r>
      <w:r>
        <w:rPr>
          <w:rFonts w:hint="eastAsia" w:ascii="宋体" w:hAnsi="宋体" w:cs="宋体"/>
          <w:b w:val="0"/>
          <w:bCs w:val="0"/>
          <w:color w:val="auto"/>
          <w:sz w:val="24"/>
          <w:highlight w:val="none"/>
        </w:rPr>
        <w:t>通过CQC认证。</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）灯具的结构应符合下列规定：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1）灯具各类接插件、内外部接线和接线端子等在灯具内部应规范布置，避免阳光直射。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2）灯具宜在满足功能要求的前提下兼顾美观，结构与外观颜色等与周围环境相协调。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3）投标灯具应通过盐雾测试，测试时间不少于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bookmarkStart w:id="53" w:name="_Hlk14295710"/>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bookmarkEnd w:id="53"/>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4）灯具应具有承受外界机械碰撞能力，防冲击性能不低于IK</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5）灯具上盖含有合页与手拧螺丝，方便维护。上盖开通风孔，保证模组对流散热。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6）灯具与固定构件（灯臂或其他固定件）连接应牢固。灯具应具有防坠落装置。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7）投标灯具应通过耐振检测。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8）投标灯具提供</w:t>
      </w:r>
      <w:bookmarkStart w:id="54" w:name="_Hlk14295434"/>
      <w:r>
        <w:rPr>
          <w:rFonts w:hint="eastAsia" w:ascii="宋体" w:hAnsi="宋体" w:cs="宋体"/>
          <w:color w:val="auto"/>
          <w:sz w:val="24"/>
          <w:highlight w:val="none"/>
        </w:rPr>
        <w:t>灯具风压检测报告</w:t>
      </w:r>
      <w:bookmarkEnd w:id="54"/>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9）投标灯具应通过结温检测</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10）投标灯具提供灯具道路模拟检测报告。（同款灯具提供任意一功率检测报告即可）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11）投标灯具应通过的IP67防护等级检测。（同款灯具提供任意一功率检测报告即可）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）投标灯具应整灯形式经过防腐测试，达到WF2级。</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）灯具的光学性能应符合下列规定：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）灯具光效≥160LM/W，色温4000K±200K，显色指数不应低于70。（同款灯具提供任意一功率检测报告即可）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）灯具配光应采用等亮度配光设计，实际照射不得有明显暗区。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）灯具的电学性能应符合下列规定：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）路灯灯具在电压90-264VAC 范围内应正常工作。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）灯具在额定工作条件下的实测功率与标称功率的允许偏差为10%。</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）灯具的谐波电流应符合《电磁兼容限值 谐波电流发射限值（设备每相输入电流≤16A）》GB 17625.1中关于照明设备的规定。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）灯具的无线电骚扰应符合《电气照明和类似设备的无线电骚扰特性的限值和测量方法》GB 17743的规定。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）灯具的浪涌抗扰度应符合《一般照明用设备电磁兼容抗扰度要求》GB/T18595的规定。</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）投标灯具尺寸应满足下图要求（±</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p>
    <w:p>
      <w:pPr>
        <w:pStyle w:val="9"/>
        <w:keepNext w:val="0"/>
        <w:keepLines w:val="0"/>
        <w:shd w:val="clear"/>
        <w:ind w:right="1310" w:rightChars="624"/>
        <w:jc w:val="center"/>
        <w:rPr>
          <w:rFonts w:ascii="宋体" w:hAnsi="宋体" w:cs="宋体"/>
          <w:color w:val="auto"/>
          <w:highlight w:val="none"/>
        </w:rPr>
      </w:pPr>
      <w:bookmarkStart w:id="55" w:name="_Toc19456"/>
      <w:r>
        <w:rPr>
          <w:rFonts w:hint="eastAsia" w:ascii="宋体" w:hAnsi="宋体" w:cs="宋体"/>
          <w:color w:val="auto"/>
          <w:highlight w:val="none"/>
        </w:rPr>
        <w:drawing>
          <wp:inline distT="0" distB="0" distL="114300" distR="114300">
            <wp:extent cx="3507105" cy="2178050"/>
            <wp:effectExtent l="0" t="0" r="17145" b="12700"/>
            <wp:docPr id="1" name="图片 1" descr="8f886bba85a74b2c803ae41185ec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886bba85a74b2c803ae41185eced5"/>
                    <pic:cNvPicPr>
                      <a:picLocks noChangeAspect="1"/>
                    </pic:cNvPicPr>
                  </pic:nvPicPr>
                  <pic:blipFill>
                    <a:blip r:embed="rId12"/>
                    <a:stretch>
                      <a:fillRect/>
                    </a:stretch>
                  </pic:blipFill>
                  <pic:spPr>
                    <a:xfrm>
                      <a:off x="0" y="0"/>
                      <a:ext cx="3507105" cy="2178050"/>
                    </a:xfrm>
                    <a:prstGeom prst="rect">
                      <a:avLst/>
                    </a:prstGeom>
                    <a:noFill/>
                    <a:ln>
                      <a:noFill/>
                    </a:ln>
                  </pic:spPr>
                </pic:pic>
              </a:graphicData>
            </a:graphic>
          </wp:inline>
        </w:drawing>
      </w:r>
      <w:bookmarkEnd w:id="55"/>
    </w:p>
    <w:p>
      <w:pPr>
        <w:pStyle w:val="18"/>
        <w:shd w:val="clear"/>
        <w:ind w:leftChars="-295" w:right="-638" w:rightChars="-304" w:hanging="619" w:hangingChars="295"/>
        <w:jc w:val="center"/>
        <w:rPr>
          <w:rFonts w:ascii="宋体" w:hAnsi="宋体" w:cs="宋体"/>
          <w:color w:val="auto"/>
          <w:highlight w:val="none"/>
        </w:rPr>
      </w:pPr>
    </w:p>
    <w:p>
      <w:pPr>
        <w:pStyle w:val="18"/>
        <w:shd w:val="clear"/>
        <w:ind w:right="-638" w:rightChars="-304" w:firstLine="0" w:firstLineChars="0"/>
        <w:jc w:val="both"/>
        <w:rPr>
          <w:rFonts w:ascii="宋体" w:hAnsi="宋体" w:cs="宋体"/>
          <w:color w:val="auto"/>
          <w:highlight w:val="none"/>
        </w:rPr>
      </w:pPr>
    </w:p>
    <w:p>
      <w:pPr>
        <w:pStyle w:val="18"/>
        <w:shd w:val="clear"/>
        <w:spacing w:line="240" w:lineRule="auto"/>
        <w:ind w:left="103" w:leftChars="49" w:right="-636" w:rightChars="-303" w:firstLine="1202" w:firstLineChars="501"/>
        <w:jc w:val="both"/>
        <w:rPr>
          <w:rFonts w:ascii="宋体" w:hAnsi="宋体" w:cs="宋体"/>
          <w:bCs/>
          <w:color w:val="auto"/>
          <w:sz w:val="24"/>
          <w:highlight w:val="none"/>
        </w:rPr>
      </w:pPr>
      <w:r>
        <w:rPr>
          <w:rFonts w:hint="eastAsia" w:ascii="宋体" w:hAnsi="宋体" w:cs="宋体"/>
          <w:bCs/>
          <w:color w:val="auto"/>
          <w:sz w:val="24"/>
          <w:highlight w:val="none"/>
        </w:rPr>
        <w:t>一模组灯具尺寸   二模组灯具尺寸     三模组灯具尺寸</w:t>
      </w:r>
    </w:p>
    <w:p>
      <w:pPr>
        <w:pStyle w:val="18"/>
        <w:shd w:val="clear"/>
        <w:spacing w:line="240" w:lineRule="auto"/>
        <w:ind w:leftChars="-295" w:right="-636" w:rightChars="-303" w:hanging="619" w:hangingChars="295"/>
        <w:jc w:val="center"/>
        <w:rPr>
          <w:rFonts w:ascii="宋体" w:hAnsi="宋体" w:cs="宋体"/>
          <w:bCs/>
          <w:color w:val="auto"/>
          <w:sz w:val="24"/>
          <w:highlight w:val="none"/>
        </w:rPr>
      </w:pPr>
      <w:r>
        <w:rPr>
          <w:rFonts w:hint="eastAsia" w:ascii="宋体" w:hAnsi="宋体" w:cs="宋体"/>
          <w:color w:val="auto"/>
          <w:highlight w:val="none"/>
        </w:rPr>
        <w:drawing>
          <wp:inline distT="0" distB="0" distL="114300" distR="114300">
            <wp:extent cx="1780540" cy="3553460"/>
            <wp:effectExtent l="0" t="0" r="10160" b="8890"/>
            <wp:docPr id="2" name="图片 2" descr="56d6b630f890070c833eeb8dc74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d6b630f890070c833eeb8dc744587"/>
                    <pic:cNvPicPr>
                      <a:picLocks noChangeAspect="1"/>
                    </pic:cNvPicPr>
                  </pic:nvPicPr>
                  <pic:blipFill>
                    <a:blip r:embed="rId13"/>
                    <a:stretch>
                      <a:fillRect/>
                    </a:stretch>
                  </pic:blipFill>
                  <pic:spPr>
                    <a:xfrm>
                      <a:off x="0" y="0"/>
                      <a:ext cx="1780540" cy="3553460"/>
                    </a:xfrm>
                    <a:prstGeom prst="rect">
                      <a:avLst/>
                    </a:prstGeom>
                    <a:noFill/>
                    <a:ln>
                      <a:noFill/>
                    </a:ln>
                  </pic:spPr>
                </pic:pic>
              </a:graphicData>
            </a:graphic>
          </wp:inline>
        </w:drawing>
      </w:r>
      <w:r>
        <w:rPr>
          <w:rFonts w:hint="eastAsia" w:ascii="宋体" w:hAnsi="宋体" w:cs="宋体"/>
          <w:color w:val="auto"/>
          <w:highlight w:val="none"/>
        </w:rPr>
        <w:t xml:space="preserve">               </w:t>
      </w:r>
      <w:r>
        <w:rPr>
          <w:rFonts w:hint="eastAsia" w:ascii="宋体" w:hAnsi="宋体" w:cs="宋体"/>
          <w:bCs/>
          <w:color w:val="auto"/>
          <w:sz w:val="24"/>
          <w:highlight w:val="none"/>
        </w:rPr>
        <w:drawing>
          <wp:inline distT="0" distB="0" distL="114300" distR="114300">
            <wp:extent cx="1581785" cy="3419475"/>
            <wp:effectExtent l="0" t="0" r="18415" b="9525"/>
            <wp:docPr id="3" name="图片 3" descr="38d0246f138567946bc99b4150db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d0246f138567946bc99b4150db26d"/>
                    <pic:cNvPicPr>
                      <a:picLocks noChangeAspect="1"/>
                    </pic:cNvPicPr>
                  </pic:nvPicPr>
                  <pic:blipFill>
                    <a:blip r:embed="rId14"/>
                    <a:stretch>
                      <a:fillRect/>
                    </a:stretch>
                  </pic:blipFill>
                  <pic:spPr>
                    <a:xfrm>
                      <a:off x="0" y="0"/>
                      <a:ext cx="1581785" cy="3419475"/>
                    </a:xfrm>
                    <a:prstGeom prst="rect">
                      <a:avLst/>
                    </a:prstGeom>
                    <a:noFill/>
                    <a:ln>
                      <a:noFill/>
                    </a:ln>
                  </pic:spPr>
                </pic:pic>
              </a:graphicData>
            </a:graphic>
          </wp:inline>
        </w:drawing>
      </w:r>
    </w:p>
    <w:p>
      <w:pPr>
        <w:pStyle w:val="18"/>
        <w:shd w:val="clear"/>
        <w:spacing w:line="240" w:lineRule="auto"/>
        <w:ind w:left="89" w:leftChars="-295" w:right="-636" w:rightChars="-303" w:hanging="708" w:hangingChars="295"/>
        <w:rPr>
          <w:rFonts w:ascii="宋体" w:hAnsi="宋体" w:cs="宋体"/>
          <w:bCs/>
          <w:color w:val="auto"/>
          <w:sz w:val="24"/>
          <w:highlight w:val="none"/>
        </w:rPr>
      </w:pPr>
      <w:r>
        <w:rPr>
          <w:rFonts w:hint="eastAsia" w:ascii="宋体" w:hAnsi="宋体" w:cs="宋体"/>
          <w:bCs/>
          <w:color w:val="auto"/>
          <w:sz w:val="24"/>
          <w:highlight w:val="none"/>
        </w:rPr>
        <w:t xml:space="preserve">                 四模组灯具尺寸                          五模组灯具尺寸</w:t>
      </w:r>
    </w:p>
    <w:p>
      <w:pPr>
        <w:pStyle w:val="29"/>
        <w:shd w:val="clear"/>
        <w:spacing w:beforeAutospacing="0" w:afterAutospacing="0" w:line="23" w:lineRule="atLeast"/>
        <w:ind w:firstLine="560"/>
        <w:jc w:val="both"/>
        <w:rPr>
          <w:rFonts w:hint="default" w:cs="宋体"/>
          <w:color w:val="auto"/>
          <w:kern w:val="2"/>
          <w:sz w:val="28"/>
          <w:szCs w:val="28"/>
          <w:highlight w:val="none"/>
        </w:rPr>
      </w:pPr>
    </w:p>
    <w:p>
      <w:pPr>
        <w:pStyle w:val="29"/>
        <w:shd w:val="clear"/>
        <w:spacing w:beforeAutospacing="0" w:afterAutospacing="0" w:line="23" w:lineRule="atLeast"/>
        <w:ind w:firstLine="560"/>
        <w:jc w:val="both"/>
        <w:rPr>
          <w:rFonts w:hint="default" w:cs="宋体"/>
          <w:color w:val="auto"/>
          <w:highlight w:val="none"/>
        </w:rPr>
      </w:pPr>
      <w:r>
        <w:rPr>
          <w:rFonts w:cs="宋体"/>
          <w:color w:val="auto"/>
          <w:kern w:val="2"/>
          <w:sz w:val="28"/>
          <w:szCs w:val="28"/>
          <w:highlight w:val="none"/>
        </w:rPr>
        <w:t>灯具参考图片</w:t>
      </w:r>
    </w:p>
    <w:p>
      <w:pPr>
        <w:pStyle w:val="29"/>
        <w:shd w:val="clear"/>
        <w:spacing w:beforeAutospacing="0" w:afterAutospacing="0" w:line="23" w:lineRule="atLeast"/>
        <w:ind w:firstLine="480"/>
        <w:jc w:val="center"/>
        <w:rPr>
          <w:rFonts w:hint="default" w:cs="宋体"/>
          <w:color w:val="auto"/>
          <w:kern w:val="2"/>
          <w:sz w:val="28"/>
          <w:szCs w:val="28"/>
          <w:highlight w:val="none"/>
        </w:rPr>
      </w:pPr>
      <w:r>
        <w:rPr>
          <w:rFonts w:cs="宋体"/>
          <w:color w:val="auto"/>
          <w:highlight w:val="none"/>
        </w:rPr>
        <w:drawing>
          <wp:inline distT="0" distB="0" distL="114300" distR="114300">
            <wp:extent cx="3399155" cy="2343150"/>
            <wp:effectExtent l="0" t="0" r="10795" b="0"/>
            <wp:docPr id="4" name="图片 4" descr="2d4fbba80a3dd3446090f1ae6d10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d4fbba80a3dd3446090f1ae6d10bea"/>
                    <pic:cNvPicPr>
                      <a:picLocks noChangeAspect="1"/>
                    </pic:cNvPicPr>
                  </pic:nvPicPr>
                  <pic:blipFill>
                    <a:blip r:embed="rId15"/>
                    <a:stretch>
                      <a:fillRect/>
                    </a:stretch>
                  </pic:blipFill>
                  <pic:spPr>
                    <a:xfrm>
                      <a:off x="0" y="0"/>
                      <a:ext cx="3399155" cy="2343150"/>
                    </a:xfrm>
                    <a:prstGeom prst="rect">
                      <a:avLst/>
                    </a:prstGeom>
                    <a:noFill/>
                    <a:ln>
                      <a:noFill/>
                    </a:ln>
                  </pic:spPr>
                </pic:pic>
              </a:graphicData>
            </a:graphic>
          </wp:inline>
        </w:drawing>
      </w:r>
    </w:p>
    <w:p>
      <w:pPr>
        <w:pStyle w:val="29"/>
        <w:shd w:val="clear"/>
        <w:spacing w:beforeAutospacing="0" w:afterAutospacing="0" w:line="23" w:lineRule="atLeast"/>
        <w:jc w:val="both"/>
        <w:rPr>
          <w:rFonts w:hint="default" w:cs="宋体"/>
          <w:b/>
          <w:bCs/>
          <w:color w:val="auto"/>
          <w:sz w:val="28"/>
          <w:szCs w:val="28"/>
          <w:highlight w:val="none"/>
        </w:rPr>
      </w:pPr>
      <w:r>
        <w:rPr>
          <w:rFonts w:cs="宋体"/>
          <w:color w:val="auto"/>
          <w:kern w:val="2"/>
          <w:highlight w:val="none"/>
        </w:rPr>
        <w:t xml:space="preserve">        </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3、LED</w:t>
      </w:r>
      <w:r>
        <w:rPr>
          <w:rFonts w:hint="eastAsia" w:ascii="宋体" w:hAnsi="宋体" w:cs="宋体"/>
          <w:b/>
          <w:bCs/>
          <w:color w:val="auto"/>
          <w:sz w:val="24"/>
          <w:highlight w:val="none"/>
          <w:lang w:val="en-US" w:eastAsia="zh-CN"/>
        </w:rPr>
        <w:t>灯头</w:t>
      </w:r>
      <w:r>
        <w:rPr>
          <w:rFonts w:hint="eastAsia" w:ascii="宋体" w:hAnsi="宋体" w:cs="宋体"/>
          <w:b/>
          <w:bCs/>
          <w:color w:val="auto"/>
          <w:sz w:val="24"/>
          <w:highlight w:val="none"/>
        </w:rPr>
        <w:t>模组的要求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lang w:val="en-US" w:eastAsia="zh-CN"/>
        </w:rPr>
        <w:t>灯具所采用LED模组</w:t>
      </w:r>
      <w:r>
        <w:rPr>
          <w:rFonts w:hint="eastAsia" w:ascii="宋体" w:hAnsi="宋体" w:cs="宋体"/>
          <w:color w:val="auto"/>
          <w:sz w:val="24"/>
          <w:highlight w:val="none"/>
        </w:rPr>
        <w:t>通过CQC认</w:t>
      </w:r>
      <w:r>
        <w:rPr>
          <w:rFonts w:hint="eastAsia" w:ascii="宋体" w:hAnsi="宋体" w:cs="宋体"/>
          <w:b w:val="0"/>
          <w:bCs w:val="0"/>
          <w:color w:val="auto"/>
          <w:sz w:val="24"/>
          <w:highlight w:val="none"/>
        </w:rPr>
        <w:t>证。提供扫描件或复印件并加盖公章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rPr>
      </w:pPr>
      <w:bookmarkStart w:id="56" w:name="bookmark6"/>
      <w:bookmarkEnd w:id="56"/>
      <w:bookmarkStart w:id="57" w:name="bookmark7"/>
      <w:bookmarkEnd w:id="57"/>
      <w:r>
        <w:rPr>
          <w:rFonts w:hint="eastAsia" w:ascii="宋体" w:hAnsi="宋体" w:cs="宋体"/>
          <w:color w:val="auto"/>
          <w:sz w:val="24"/>
          <w:highlight w:val="none"/>
        </w:rPr>
        <w:t>（2）</w:t>
      </w:r>
      <w:r>
        <w:rPr>
          <w:rFonts w:hint="eastAsia" w:ascii="宋体" w:hAnsi="宋体" w:cs="宋体"/>
          <w:sz w:val="24"/>
          <w:lang w:val="en-US" w:eastAsia="zh-CN"/>
        </w:rPr>
        <w:t>灯具所采用LED模组</w:t>
      </w:r>
      <w:r>
        <w:rPr>
          <w:rFonts w:hint="eastAsia" w:ascii="宋体" w:hAnsi="宋体" w:cs="宋体"/>
          <w:color w:val="auto"/>
          <w:sz w:val="24"/>
          <w:highlight w:val="none"/>
        </w:rPr>
        <w:t>应通过盐雾测试，测试时间不少于</w:t>
      </w:r>
      <w:r>
        <w:rPr>
          <w:rFonts w:hint="eastAsia" w:ascii="宋体" w:hAnsi="宋体" w:cs="宋体"/>
          <w:color w:val="auto"/>
          <w:sz w:val="24"/>
          <w:highlight w:val="none"/>
          <w:lang w:val="en-US" w:eastAsia="zh-CN"/>
        </w:rPr>
        <w:t>800</w:t>
      </w:r>
      <w:r>
        <w:rPr>
          <w:rFonts w:hint="eastAsia" w:ascii="宋体" w:hAnsi="宋体" w:cs="宋体"/>
          <w:color w:val="auto"/>
          <w:sz w:val="24"/>
          <w:highlight w:val="none"/>
        </w:rPr>
        <w:t>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（3）灯具所采用LED模组应通过的IP68防护等级检测</w:t>
      </w:r>
      <w:r>
        <w:rPr>
          <w:rFonts w:hint="eastAsia" w:ascii="宋体" w:hAnsi="宋体" w:cs="宋体"/>
          <w:color w:val="auto"/>
          <w:sz w:val="24"/>
          <w:highlight w:val="none"/>
          <w:lang w:eastAsia="zh-CN"/>
        </w:rPr>
        <w:t>。</w:t>
      </w:r>
      <w:r>
        <w:rPr>
          <w:rFonts w:hint="eastAsia" w:ascii="宋体" w:hAnsi="宋体" w:cs="宋体"/>
          <w:color w:val="auto"/>
          <w:sz w:val="24"/>
          <w:highlight w:val="none"/>
        </w:rPr>
        <w:t>（同款灯具提供任意一功率检测报告即可）</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sz w:val="24"/>
          <w:lang w:val="en-US" w:eastAsia="zh-CN"/>
        </w:rPr>
        <w:t>灯具所采用LED模组</w:t>
      </w:r>
      <w:r>
        <w:rPr>
          <w:rFonts w:hint="eastAsia" w:ascii="宋体" w:hAnsi="宋体" w:cs="宋体"/>
          <w:color w:val="auto"/>
          <w:sz w:val="24"/>
          <w:highlight w:val="none"/>
        </w:rPr>
        <w:t>的塑料透光罩通过紫外老化检测，测试时间不少于200小时。</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（5）灯具所采用LED模组通过1000小时双85（温度85℃ 湿度85%）恒定湿热试验。</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sz w:val="24"/>
          <w:lang w:val="en-US" w:eastAsia="zh-CN"/>
        </w:rPr>
        <w:t>灯具所采用LED模组</w:t>
      </w:r>
      <w:r>
        <w:rPr>
          <w:rFonts w:hint="eastAsia" w:ascii="宋体" w:hAnsi="宋体" w:cs="宋体"/>
          <w:color w:val="auto"/>
          <w:sz w:val="24"/>
          <w:highlight w:val="none"/>
        </w:rPr>
        <w:t>光效≥205Lm/W，色温4000K±200K，显色指数不应低于70。</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rPr>
        <w:t>提供检测报告</w:t>
      </w:r>
      <w:r>
        <w:rPr>
          <w:rFonts w:hint="eastAsia" w:ascii="宋体" w:hAnsi="宋体" w:cs="宋体"/>
          <w:color w:val="auto"/>
          <w:sz w:val="24"/>
          <w:highlight w:val="none"/>
          <w:lang w:eastAsia="zh-CN"/>
        </w:rPr>
        <w:t>）</w:t>
      </w:r>
    </w:p>
    <w:p>
      <w:pPr>
        <w:pStyle w:val="5"/>
        <w:keepNext/>
        <w:keepLines/>
        <w:pageBreakBefore w:val="0"/>
        <w:widowControl w:val="0"/>
        <w:shd w:val="clea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58" w:name="_Toc672"/>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cs="宋体"/>
          <w:b w:val="0"/>
          <w:bCs w:val="0"/>
          <w:sz w:val="24"/>
          <w:lang w:val="en-US" w:eastAsia="zh-CN"/>
        </w:rPr>
        <w:t>灯具所采用LED模组</w:t>
      </w:r>
      <w:r>
        <w:rPr>
          <w:rFonts w:hint="eastAsia" w:ascii="宋体" w:hAnsi="宋体" w:eastAsia="宋体" w:cs="宋体"/>
          <w:b w:val="0"/>
          <w:bCs w:val="0"/>
          <w:color w:val="auto"/>
          <w:kern w:val="2"/>
          <w:sz w:val="24"/>
          <w:szCs w:val="24"/>
          <w:highlight w:val="none"/>
          <w:lang w:val="en-US" w:eastAsia="zh-CN" w:bidi="ar-SA"/>
        </w:rPr>
        <w:t>尺寸及安装接口符合《GB∕T 34846-2017 LED道路隧道照明专用模块规格和接口技术要求》，为了安装方便，电气输入采用左侧出线方式（光源发光面向下放置）。</w:t>
      </w:r>
      <w:bookmarkEnd w:id="58"/>
    </w:p>
    <w:p>
      <w:pPr>
        <w:shd w:val="clear"/>
        <w:spacing w:line="360" w:lineRule="auto"/>
        <w:rPr>
          <w:rFonts w:ascii="宋体" w:hAnsi="宋体" w:cs="宋体"/>
          <w:b/>
          <w:color w:val="auto"/>
          <w:sz w:val="24"/>
          <w:highlight w:val="none"/>
        </w:rPr>
      </w:pPr>
      <w:r>
        <w:rPr>
          <w:rFonts w:hint="eastAsia" w:ascii="宋体" w:hAnsi="宋体" w:cs="宋体"/>
          <w:b/>
          <w:color w:val="auto"/>
          <w:kern w:val="0"/>
          <w:sz w:val="24"/>
          <w:highlight w:val="none"/>
        </w:rPr>
        <w:t>注：以上灯样仅供参考，提供样灯需与廿三里现有道路路灯建设的式样相协调，</w:t>
      </w:r>
      <w:r>
        <w:rPr>
          <w:rFonts w:hint="eastAsia" w:ascii="宋体" w:hAnsi="宋体" w:cs="宋体"/>
          <w:b/>
          <w:color w:val="auto"/>
          <w:sz w:val="24"/>
          <w:highlight w:val="none"/>
        </w:rPr>
        <w:t>其中尺寸允许偏差</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%以内，整灯重量允许偏差</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10%以内。</w:t>
      </w:r>
    </w:p>
    <w:p>
      <w:pPr>
        <w:shd w:val="clear" w:color="auto"/>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4.单灯控制器要求</w:t>
      </w:r>
    </w:p>
    <w:p>
      <w:pPr>
        <w:shd w:val="clea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（1）控制器具备LoRa和Cat.1两种通讯接口，支持通用LoRaWAN协议和私有协议，也可直接部署于LTE网络，可满足多种复杂网络环境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（2）控制器具备边缘计算能力,设备具有边缘计算芯片，支持接收外部输入的边缘计算命令（远程平台），支持将边缘计算结果输出；</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（3）控制器具备基于时敏网络的高精度同步调光,控制器具备时敏网络协议控制芯片，支持多个控制器输出毫秒级时间同步信息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（4）控制器具备基于AI算法的多工业总线协议自动辨认机制,控制器具备协议辨认芯片，支持三种以上控制协议自动辨认能力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（5）控制器具备独立485接口, 控制器具备485转换芯片，支持读取外部485传感器数据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（6）控制器具备PWM调光和0-10V调光，适用于LED灯等灯具的调光和开关使用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（7）控制器具备电流、电压、功率采集功能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提供第三方检测报告扫描件或复印件并加盖公章。</w:t>
      </w:r>
    </w:p>
    <w:p>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（8）控制器接口开放，满足采购人数据整合的要求。</w:t>
      </w:r>
    </w:p>
    <w:p>
      <w:pPr>
        <w:adjustRightInd w:val="0"/>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5.可远程控制云平台功能要求</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kern w:val="2"/>
          <w:sz w:val="24"/>
          <w:szCs w:val="24"/>
          <w:highlight w:val="none"/>
          <w:lang w:val="en-US" w:eastAsia="zh-CN" w:bidi="ar"/>
        </w:rPr>
        <w:t>实时显示路灯的离线在线、电流电压等状态信息，远程控制路灯的开关、调光，根据实际情况制定各种自动控制方式，实现无人化运行。</w:t>
      </w:r>
    </w:p>
    <w:p>
      <w:pPr>
        <w:keepNext w:val="0"/>
        <w:keepLines w:val="0"/>
        <w:widowControl/>
        <w:numPr>
          <w:ilvl w:val="-1"/>
          <w:numId w:val="0"/>
        </w:numPr>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结合环境监测系统和传感器采集系统实时收集气象数据，包括温度、湿度PM2.5、噪声等信息通过平台显示。</w:t>
      </w:r>
    </w:p>
    <w:p>
      <w:pPr>
        <w:keepNext w:val="0"/>
        <w:keepLines w:val="0"/>
        <w:widowControl/>
        <w:suppressLineNumbers w:val="0"/>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（3）</w:t>
      </w:r>
      <w:r>
        <w:rPr>
          <w:rFonts w:hint="eastAsia" w:ascii="宋体" w:hAnsi="宋体" w:cs="宋体"/>
          <w:color w:val="auto"/>
          <w:sz w:val="24"/>
          <w:highlight w:val="none"/>
          <w:lang w:bidi="ar"/>
        </w:rPr>
        <w:t>路灯系统提供手动和手机远程自动控制两种方式</w:t>
      </w:r>
      <w:r>
        <w:rPr>
          <w:rFonts w:hint="eastAsia" w:ascii="宋体" w:hAnsi="宋体" w:eastAsia="宋体" w:cs="宋体"/>
          <w:color w:val="auto"/>
          <w:kern w:val="2"/>
          <w:sz w:val="24"/>
          <w:szCs w:val="24"/>
          <w:highlight w:val="none"/>
          <w:lang w:val="en-US" w:eastAsia="zh-CN" w:bidi="ar"/>
        </w:rPr>
        <w:t>。</w:t>
      </w:r>
    </w:p>
    <w:p>
      <w:pPr>
        <w:keepNext w:val="0"/>
        <w:keepLines w:val="0"/>
        <w:widowControl/>
        <w:suppressLineNumbers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
        </w:rPr>
        <w:t>（4）</w:t>
      </w:r>
      <w:r>
        <w:rPr>
          <w:rFonts w:hint="eastAsia" w:ascii="宋体" w:hAnsi="宋体" w:cs="宋体"/>
          <w:color w:val="auto"/>
          <w:sz w:val="24"/>
          <w:highlight w:val="none"/>
          <w:lang w:bidi="ar"/>
        </w:rPr>
        <w:t>要显示路灯设备的故障信息，无需维护人员经常现场巡查有无故障</w:t>
      </w:r>
      <w:r>
        <w:rPr>
          <w:rFonts w:hint="eastAsia" w:ascii="宋体" w:hAnsi="宋体" w:cs="宋体"/>
          <w:color w:val="auto"/>
          <w:sz w:val="24"/>
          <w:highlight w:val="none"/>
          <w:lang w:eastAsia="zh-CN" w:bidi="ar"/>
        </w:rPr>
        <w:t>。</w:t>
      </w:r>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.对龙翔路，德民路与开元北街116根高危灯杆进行整体替换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高度：12米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材料：Q235钢板，板厚≥4mm。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highlight w:val="none"/>
        </w:rPr>
      </w:pPr>
      <w:bookmarkStart w:id="59" w:name="_Toc13299"/>
      <w:r>
        <w:rPr>
          <w:rFonts w:hint="eastAsia" w:ascii="宋体" w:hAnsi="宋体" w:cs="宋体"/>
          <w:color w:val="auto"/>
          <w:sz w:val="24"/>
          <w:highlight w:val="none"/>
        </w:rPr>
        <w:t>示意图如下：</w:t>
      </w:r>
      <w:bookmarkEnd w:id="59"/>
    </w:p>
    <w:p>
      <w:pPr>
        <w:pStyle w:val="5"/>
        <w:shd w:val="clear"/>
        <w:jc w:val="center"/>
        <w:rPr>
          <w:rFonts w:ascii="宋体" w:hAnsi="宋体" w:cs="宋体"/>
          <w:color w:val="auto"/>
          <w:highlight w:val="none"/>
        </w:rPr>
      </w:pPr>
      <w:bookmarkStart w:id="60" w:name="_Toc2001"/>
      <w:r>
        <w:rPr>
          <w:rFonts w:hint="eastAsia" w:ascii="宋体" w:hAnsi="宋体" w:cs="宋体"/>
          <w:color w:val="auto"/>
          <w:highlight w:val="none"/>
        </w:rPr>
        <w:drawing>
          <wp:inline distT="0" distB="0" distL="114300" distR="114300">
            <wp:extent cx="944245" cy="2564130"/>
            <wp:effectExtent l="0" t="0" r="8255" b="7620"/>
            <wp:docPr id="7" name="图片 7" descr="64b5bff8d883fbc77613cdf74bdb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b5bff8d883fbc77613cdf74bdbd24"/>
                    <pic:cNvPicPr>
                      <a:picLocks noChangeAspect="1"/>
                    </pic:cNvPicPr>
                  </pic:nvPicPr>
                  <pic:blipFill>
                    <a:blip r:embed="rId16"/>
                    <a:stretch>
                      <a:fillRect/>
                    </a:stretch>
                  </pic:blipFill>
                  <pic:spPr>
                    <a:xfrm>
                      <a:off x="0" y="0"/>
                      <a:ext cx="944245" cy="2564130"/>
                    </a:xfrm>
                    <a:prstGeom prst="rect">
                      <a:avLst/>
                    </a:prstGeom>
                  </pic:spPr>
                </pic:pic>
              </a:graphicData>
            </a:graphic>
          </wp:inline>
        </w:drawing>
      </w:r>
      <w:bookmarkEnd w:id="6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高度：8米   灯杆直径上口径60mm    下口径120mm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材料：Q235钢板，板厚≥</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mm。</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抗风能力达36.9m/S以上，保证整杆路灯在恶劣天气状况正常工作。</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抗震等级达8级以上。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灯杆内外表面热浸锌处理，锌层厚度≥85μm，防腐寿命达30年以上。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灯杆外表面热浸锌并经表面处理后，采用防紫外线全树脂塑粉进行喷塑，塑层厚度≥100μm，表面光滑，不变色，寿命20年以上。</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杆底部开350×120的防水接线门，门内配接线板。门盖采用铰链开启，开门方向朝下。铰链焊接牢固，不可拆卸。门四周补强处理，补强板宽度不得低于40mm，厚度不得低于4mm。门内安装杆拔式熔断保护器和铜芯接线端子，质量达到国家电器行业标准。内外焊接地与横档，配标准锁及钥匙。接地螺栓离法兰板500mm处，接地螺栓有卡死装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灯杆底部法兰采用内外焊接，一次成形；法兰材料采用宝钢A3板，厚20mm。法兰与灯杆间焊接4块厚度不低于4mm的加强筋，焊接饱满，无虚焊。法兰尺寸生产前应征得采购人书面确认，不管尺寸有何变动，均应按采购人要求生产，价格按投标价不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灯杆颜色由采购人指定。</w:t>
      </w:r>
    </w:p>
    <w:p>
      <w:pPr>
        <w:pStyle w:val="5"/>
        <w:shd w:val="clear"/>
        <w:spacing w:before="100" w:after="0" w:line="579" w:lineRule="auto"/>
        <w:rPr>
          <w:rFonts w:ascii="宋体" w:hAnsi="宋体" w:cs="宋体"/>
          <w:color w:val="auto"/>
          <w:sz w:val="24"/>
          <w:highlight w:val="none"/>
        </w:rPr>
      </w:pPr>
      <w:bookmarkStart w:id="61" w:name="_Toc24163"/>
      <w:r>
        <w:rPr>
          <w:rFonts w:hint="eastAsia" w:ascii="宋体" w:hAnsi="宋体" w:cs="宋体"/>
          <w:color w:val="auto"/>
          <w:sz w:val="24"/>
          <w:highlight w:val="none"/>
        </w:rPr>
        <w:t>示意图如下：</w:t>
      </w:r>
      <w:bookmarkEnd w:id="61"/>
    </w:p>
    <w:p>
      <w:pPr>
        <w:shd w:val="clear"/>
        <w:jc w:val="center"/>
        <w:rPr>
          <w:rFonts w:ascii="宋体" w:hAnsi="宋体" w:cs="宋体"/>
          <w:color w:val="auto"/>
          <w:highlight w:val="none"/>
        </w:rPr>
      </w:pPr>
      <w:r>
        <w:rPr>
          <w:rFonts w:hint="eastAsia" w:ascii="宋体" w:hAnsi="宋体" w:cs="宋体"/>
          <w:color w:val="auto"/>
          <w:highlight w:val="none"/>
        </w:rPr>
        <w:drawing>
          <wp:inline distT="0" distB="0" distL="114300" distR="114300">
            <wp:extent cx="1622425" cy="3669030"/>
            <wp:effectExtent l="0" t="0" r="15875" b="7620"/>
            <wp:docPr id="9" name="图片 9" descr="6a4545f49a5ebdfc0a14a6ccdf02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a4545f49a5ebdfc0a14a6ccdf02f81"/>
                    <pic:cNvPicPr>
                      <a:picLocks noChangeAspect="1"/>
                    </pic:cNvPicPr>
                  </pic:nvPicPr>
                  <pic:blipFill>
                    <a:blip r:embed="rId17"/>
                    <a:stretch>
                      <a:fillRect/>
                    </a:stretch>
                  </pic:blipFill>
                  <pic:spPr>
                    <a:xfrm>
                      <a:off x="0" y="0"/>
                      <a:ext cx="1622425" cy="3669030"/>
                    </a:xfrm>
                    <a:prstGeom prst="rect">
                      <a:avLst/>
                    </a:prstGeom>
                  </pic:spPr>
                </pic:pic>
              </a:graphicData>
            </a:graphic>
          </wp:inline>
        </w:drawing>
      </w:r>
    </w:p>
    <w:p>
      <w:pPr>
        <w:shd w:val="clear"/>
        <w:adjustRightInd w:val="0"/>
        <w:snapToGrid w:val="0"/>
        <w:spacing w:line="360" w:lineRule="auto"/>
        <w:ind w:firstLine="0" w:firstLineChars="0"/>
        <w:rPr>
          <w:rFonts w:ascii="宋体" w:hAnsi="宋体" w:cs="宋体"/>
          <w:b/>
          <w:bCs/>
          <w:color w:val="auto"/>
          <w:sz w:val="24"/>
          <w:highlight w:val="none"/>
        </w:rPr>
      </w:pPr>
      <w:r>
        <w:rPr>
          <w:rFonts w:hint="eastAsia" w:ascii="宋体" w:hAnsi="宋体" w:cs="宋体"/>
          <w:b/>
          <w:bCs/>
          <w:color w:val="auto"/>
          <w:sz w:val="24"/>
          <w:highlight w:val="none"/>
        </w:rPr>
        <w:t>八、其他技术要求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1.道路照明指标在节能合同服务期内必须满足《城市道路照明设计标准》（CJJ45-2015）和《LED城市道路照明应用技术要求》（GB/T 31832—2015）的要求，道路照明系统的电压、电流、功率因素须符合《电能质量公用电网谐波》（GB/T14549--93）等国家电力设计的标准要求。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2.其他要求：</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（1）在安装灯具时，在路灯灯杆检修门盖安装接线板，接线板上设置熔断保护器。</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（2）灯杆与灯具间的供电线路应在灯具内有明确的火、零、地线接线端子，灯杆、灯具内供电线路中间不得有接头。</w:t>
      </w:r>
    </w:p>
    <w:p>
      <w:pPr>
        <w:shd w:val="clear"/>
        <w:rPr>
          <w:rFonts w:ascii="宋体" w:hAnsi="宋体" w:cs="宋体"/>
          <w:b/>
          <w:color w:val="auto"/>
          <w:sz w:val="24"/>
          <w:highlight w:val="none"/>
        </w:rPr>
      </w:pPr>
      <w:bookmarkStart w:id="62" w:name="_Toc2040"/>
      <w:bookmarkStart w:id="63" w:name="_Toc7454"/>
      <w:bookmarkStart w:id="64" w:name="_Toc22112"/>
      <w:r>
        <w:rPr>
          <w:rFonts w:hint="eastAsia" w:ascii="宋体" w:hAnsi="宋体" w:cs="宋体"/>
          <w:b/>
          <w:color w:val="auto"/>
          <w:sz w:val="24"/>
          <w:highlight w:val="none"/>
        </w:rPr>
        <w:t>九、项目服务及报价要求</w:t>
      </w:r>
      <w:bookmarkEnd w:id="62"/>
      <w:bookmarkEnd w:id="63"/>
      <w:bookmarkEnd w:id="6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1.中标人必须为采购人提供设备采购、设备安装调试、人员培训、配合第三方检测单位检测、项目监理单位开展监理工作、计量确认和保证等一整套的节能服务解决方案。</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2.中标人须对灯具安装的安全性负责。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3.本项目涉及改造的所有灯具原则上全部更换，不得在现有灯具基础上进行改造，除非采购人要求。如需技改，费用由中标人负责支付。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4.中标单位进行</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前，把</w:t>
      </w:r>
      <w:r>
        <w:rPr>
          <w:rFonts w:hint="eastAsia" w:ascii="宋体" w:hAnsi="宋体" w:cs="宋体"/>
          <w:color w:val="auto"/>
          <w:sz w:val="24"/>
          <w:highlight w:val="none"/>
          <w:lang w:val="en-US" w:eastAsia="zh-CN"/>
        </w:rPr>
        <w:t>改造</w:t>
      </w:r>
      <w:r>
        <w:rPr>
          <w:rFonts w:hint="eastAsia" w:ascii="宋体" w:hAnsi="宋体" w:cs="宋体"/>
          <w:color w:val="auto"/>
          <w:sz w:val="24"/>
          <w:highlight w:val="none"/>
        </w:rPr>
        <w:t>方案报送监理、采购人审核同意后实施。审核意见并不免除中标人对项目质量所负的完全责任，中标人须对安装施工的安全负责。中标人须自行办理施工开挖、占道等手续。</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w:t>
      </w:r>
      <w:r>
        <w:rPr>
          <w:rFonts w:hint="eastAsia" w:ascii="宋体" w:hAnsi="宋体" w:cs="宋体"/>
          <w:color w:val="auto"/>
          <w:sz w:val="24"/>
          <w:highlight w:val="none"/>
          <w:lang w:val="en-US" w:eastAsia="zh-CN"/>
        </w:rPr>
        <w:t>服务期满</w:t>
      </w:r>
      <w:r>
        <w:rPr>
          <w:rFonts w:hint="eastAsia" w:ascii="宋体" w:hAnsi="宋体" w:cs="宋体"/>
          <w:color w:val="auto"/>
          <w:sz w:val="24"/>
          <w:highlight w:val="none"/>
        </w:rPr>
        <w:t>后，中标人应按每一型号LED路灯1%-2%的比例免费提供备品备件交给采购人指定的维护单位（以下简称维护单位）。维护单位维修后把坏灯定期返还中标人，中标人应同时把相同数量的好灯送给维护单位，以保持各型号产品的备品备件数量充足。中标人对更换工作应予以现场指导，维护单位的维护工作并不免除中标人对巡灯、亮灯率和灯具质量的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.本项目施工期需更换灯具及提供备品的所有费用（包含人工、材料、产品、设备、设施、运输费、税费、管理费、保险、利润等一切与完成项目施工有关的所有费用）均应由中标人承担，投标时，应考虑到项目</w:t>
      </w:r>
      <w:r>
        <w:rPr>
          <w:rFonts w:hint="eastAsia" w:ascii="宋体" w:hAnsi="宋体" w:cs="宋体"/>
          <w:color w:val="auto"/>
          <w:sz w:val="24"/>
          <w:highlight w:val="none"/>
          <w:lang w:val="en-US" w:eastAsia="zh-CN"/>
        </w:rPr>
        <w:t>投标报价</w:t>
      </w:r>
      <w:r>
        <w:rPr>
          <w:rFonts w:hint="eastAsia" w:ascii="宋体" w:hAnsi="宋体" w:cs="宋体"/>
          <w:color w:val="auto"/>
          <w:sz w:val="24"/>
          <w:highlight w:val="none"/>
        </w:rPr>
        <w:t>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间，当中标人因光衰、节能不达标（但不限于）等产品质量、设计原因更换LED路灯时，更换工作及费用由中标人负责。</w:t>
      </w:r>
    </w:p>
    <w:p>
      <w:pPr>
        <w:shd w:val="clea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.项目改造的施工所涉及的交通安全管理费由中标人负责。交通安全管理费包含路口标志标牌、公告、交通管制费及其他一切相关的交通安全费用</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的节约电费计量、光照质量检测等由具备节能检测能力的国家级检测机构出具相关检测报告。项目竣工、设施移交涉及的灯具检测、道路照明质量等项目竣工验收、设施移交所必须检测费用由中标人支付，不属于本项目第三方检测单位的工作内容。本项目除由第三方检测机构检测的内容外，其他所有检测发生的费用由中标人负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在项目改造期间可能会有路灯新移交、道路、城中村改造而需要路灯拆除等情况发生，由此造成工程量调整。对于项目工程量减少部分的金额由采购人以减少的盏数乘以分享节能计算公式，在后期支付中调整按实结算。</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.本项目改造范围内的路灯灯具在</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内可能会因道路改扩建、城中村改造而需要拆除，拆除造成灯具无法运用于安装现场的，该灯具产生的节能收益金不受影响。若本项目范围内的灯具在施工期内拆除的，由中标人回收处置，该灯具不纳入</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内中标人节能收益金计量。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内，中标人需免费提供备品备件，备品备件费用应考虑进项目总投资额内，采购人不再另行核算支付。</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.中标人应提供全新的原厂原装货物和完善服务。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.货物质量指标达到相应的生产标准及技术要求。货物须经中国政府批准在中国境内销售。</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确定中标人后，运至现场的每批次灯具由项目监理单位随机抽取2套灯具，送检第三方检测单位检测，检测费由中标人支付，检测符合投标文件中技术要求后，交由采购人封样，方可使用；若检测不合格，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.改造过程中，采购人有权对已使用或即将安装的路灯进行抽检；若品牌不一致、参数不能满足投标文件和采购文件要求的，该批次路灯灯具不得安装于现场，已安装于现场的必须在7个日历天内拆除。</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.中标人在改造过程中，需根据LED灯具的重量、体积等参数，结合原有的灯杆、挑臂进行综合模拟测试，出具改用LED灯具后路灯整体无安全隐患的承诺函，并承担相应责任。</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.不允许更改中标人承诺的灯具品牌及型号。</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内，在国家LED路灯新标准未出台之前，合同所涉及到的LED路灯节能产品的性能参数不能低于中标人产品在投标过程中检测报告的数据；如有参数上的差异，取更优参数为准。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.投标供应商应提供承诺函，承诺投入使用的LED灯具技术参数不低于投标时提供的检测报告的参数。</w:t>
      </w:r>
      <w:bookmarkStart w:id="65" w:name="_Toc17403"/>
      <w:bookmarkStart w:id="66" w:name="_Toc32401"/>
      <w:bookmarkStart w:id="67" w:name="_Toc10423"/>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十、改造施工及验收</w:t>
      </w:r>
      <w:bookmarkEnd w:id="65"/>
      <w:bookmarkEnd w:id="66"/>
      <w:bookmarkEnd w:id="67"/>
    </w:p>
    <w:p>
      <w:pPr>
        <w:shd w:val="clear"/>
        <w:adjustRightInd w:val="0"/>
        <w:snapToGrid w:val="0"/>
        <w:spacing w:line="360" w:lineRule="auto"/>
        <w:ind w:firstLine="480" w:firstLineChars="200"/>
        <w:rPr>
          <w:rFonts w:ascii="宋体" w:hAnsi="宋体" w:cs="宋体"/>
          <w:color w:val="auto"/>
          <w:sz w:val="24"/>
          <w:highlight w:val="none"/>
        </w:rPr>
      </w:pPr>
      <w:bookmarkStart w:id="68" w:name="OLE_LINK60"/>
      <w:r>
        <w:rPr>
          <w:rFonts w:hint="eastAsia" w:ascii="宋体" w:hAnsi="宋体" w:cs="宋体"/>
          <w:color w:val="auto"/>
          <w:sz w:val="24"/>
          <w:highlight w:val="none"/>
        </w:rPr>
        <w:t>供应商根据本项目招标要求，由供应商到现场进行安装、调试，同时须负责办理所有涉及（但不限于）占用道路、修剪绿化等相关市政设施的手续，并经第三方检测机构检测合格后，由供应商向采购人提出申请后。供应商根据国家及地方的相关道路照明规范要求组织验收。</w:t>
      </w:r>
    </w:p>
    <w:bookmarkEnd w:id="68"/>
    <w:p>
      <w:pPr>
        <w:shd w:val="clear"/>
        <w:adjustRightInd w:val="0"/>
        <w:snapToGrid w:val="0"/>
        <w:spacing w:line="360" w:lineRule="auto"/>
        <w:ind w:firstLine="482" w:firstLineChars="200"/>
        <w:rPr>
          <w:rFonts w:ascii="宋体" w:hAnsi="宋体" w:cs="宋体"/>
          <w:b/>
          <w:bCs/>
          <w:color w:val="auto"/>
          <w:sz w:val="24"/>
          <w:highlight w:val="none"/>
        </w:rPr>
      </w:pPr>
      <w:bookmarkStart w:id="69" w:name="_Toc10686"/>
      <w:bookmarkStart w:id="70" w:name="_Toc11111"/>
      <w:bookmarkStart w:id="71" w:name="_Toc5529"/>
      <w:r>
        <w:rPr>
          <w:rFonts w:hint="eastAsia" w:ascii="宋体" w:hAnsi="宋体" w:cs="宋体"/>
          <w:b/>
          <w:bCs/>
          <w:color w:val="auto"/>
          <w:sz w:val="24"/>
          <w:highlight w:val="none"/>
        </w:rPr>
        <w:t>十一、</w:t>
      </w:r>
      <w:r>
        <w:rPr>
          <w:rFonts w:hint="eastAsia" w:ascii="宋体" w:hAnsi="宋体" w:cs="宋体"/>
          <w:b/>
          <w:bCs/>
          <w:color w:val="auto"/>
          <w:sz w:val="24"/>
          <w:highlight w:val="none"/>
          <w:lang w:eastAsia="zh-CN"/>
        </w:rPr>
        <w:t>服务期</w:t>
      </w:r>
      <w:r>
        <w:rPr>
          <w:rFonts w:hint="eastAsia" w:ascii="宋体" w:hAnsi="宋体" w:cs="宋体"/>
          <w:b/>
          <w:bCs/>
          <w:color w:val="auto"/>
          <w:sz w:val="24"/>
          <w:highlight w:val="none"/>
        </w:rPr>
        <w:t>内的维修及备件</w:t>
      </w:r>
      <w:bookmarkEnd w:id="69"/>
      <w:bookmarkEnd w:id="70"/>
      <w:bookmarkEnd w:id="71"/>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1.备品备件由应在总投资额中予以充分考虑，同时应免费提供实际安装数量多于1-2%的备品备件给采购人或采购人指定的单位负责维护管理，采购人或采购人指定的维护管理单位负责</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内灯具的更换。</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 xml:space="preserve">内，中标人需按合同要求对采购人指定人员进行维护操作培训。 </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服务期</w:t>
      </w:r>
      <w:r>
        <w:rPr>
          <w:rFonts w:hint="eastAsia" w:ascii="宋体" w:hAnsi="宋体" w:cs="宋体"/>
          <w:color w:val="auto"/>
          <w:sz w:val="24"/>
          <w:highlight w:val="none"/>
        </w:rPr>
        <w:t>内，中标人应按合同要求保证备品备件必需的库存量。</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4.拆卸下来的故障产品或配件，路灯维护管理单位将移交归还中标人。</w:t>
      </w:r>
      <w:bookmarkStart w:id="72" w:name="_Toc18566"/>
      <w:bookmarkStart w:id="73" w:name="_Toc10250"/>
      <w:bookmarkStart w:id="74" w:name="_Toc29791"/>
    </w:p>
    <w:p>
      <w:pPr>
        <w:shd w:val="clea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十二、保修期内容</w:t>
      </w:r>
      <w:bookmarkEnd w:id="72"/>
      <w:bookmarkEnd w:id="73"/>
      <w:bookmarkEnd w:id="74"/>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项目服务期满后，中标人需将</w:t>
      </w:r>
      <w:r>
        <w:rPr>
          <w:rFonts w:hint="eastAsia" w:ascii="宋体" w:hAnsi="宋体" w:cs="宋体"/>
          <w:color w:val="auto"/>
          <w:sz w:val="24"/>
          <w:highlight w:val="none"/>
          <w:lang w:val="en-US" w:eastAsia="zh-CN"/>
        </w:rPr>
        <w:t>项目资料</w:t>
      </w:r>
      <w:r>
        <w:rPr>
          <w:rFonts w:hint="eastAsia" w:ascii="宋体" w:hAnsi="宋体" w:cs="宋体"/>
          <w:color w:val="auto"/>
          <w:sz w:val="24"/>
          <w:highlight w:val="none"/>
        </w:rPr>
        <w:t>移交给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归档，并配合采购人跟后续管理单位做好交接工作。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5" w:name="_Toc32156"/>
      <w:bookmarkStart w:id="76" w:name="_Toc20400"/>
      <w:bookmarkStart w:id="77" w:name="_Toc18227"/>
      <w:r>
        <w:rPr>
          <w:rFonts w:hint="eastAsia" w:ascii="宋体" w:hAnsi="宋体" w:cs="宋体"/>
          <w:b/>
          <w:bCs/>
          <w:color w:val="auto"/>
          <w:sz w:val="24"/>
          <w:highlight w:val="none"/>
        </w:rPr>
        <w:t>十三、技术培训</w:t>
      </w:r>
      <w:bookmarkEnd w:id="75"/>
      <w:bookmarkEnd w:id="76"/>
      <w:bookmarkEnd w:id="77"/>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中标人应派合格的专业技术人员到采购人指定的地点对采购人及路灯维护单位的技术人员、维修操作人员进行使用操作、设备维修、保养等技术的现场培训，直至使用及维护单位的技术人员能熟练独立工作。</w:t>
      </w:r>
    </w:p>
    <w:p>
      <w:pPr>
        <w:shd w:val="clear"/>
        <w:adjustRightInd w:val="0"/>
        <w:snapToGrid w:val="0"/>
        <w:spacing w:line="360" w:lineRule="auto"/>
        <w:ind w:firstLine="482" w:firstLineChars="200"/>
        <w:rPr>
          <w:rFonts w:ascii="宋体" w:hAnsi="宋体" w:cs="宋体"/>
          <w:b/>
          <w:bCs/>
          <w:color w:val="auto"/>
          <w:sz w:val="24"/>
          <w:highlight w:val="none"/>
        </w:rPr>
      </w:pPr>
      <w:bookmarkStart w:id="78" w:name="_Toc14588"/>
      <w:bookmarkStart w:id="79" w:name="_Toc23220"/>
      <w:bookmarkStart w:id="80" w:name="_Toc29788"/>
      <w:r>
        <w:rPr>
          <w:rFonts w:hint="eastAsia" w:ascii="宋体" w:hAnsi="宋体" w:cs="宋体"/>
          <w:b/>
          <w:bCs/>
          <w:color w:val="auto"/>
          <w:sz w:val="24"/>
          <w:highlight w:val="none"/>
        </w:rPr>
        <w:t>十四、原有传统灯具及路灯设施处理</w:t>
      </w:r>
      <w:bookmarkEnd w:id="78"/>
      <w:bookmarkEnd w:id="79"/>
      <w:bookmarkEnd w:id="80"/>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将拆除的原有灯具、灯挑、管线等路灯设施转运至甲方指定的地点并负责值守看护，由甲方负责处理，费用上交地方财政。项目竣工验收前，路灯设施拆除、运输、值守看护的费用由中标人承担。项目竣工验收后，由乙方统一清点移交给甲方，拆除的设施若被盗、遗失，甲方将从中标方的节能收益金中得到补偿。</w:t>
      </w:r>
    </w:p>
    <w:p>
      <w:pPr>
        <w:shd w:val="clear"/>
        <w:adjustRightInd w:val="0"/>
        <w:snapToGrid w:val="0"/>
        <w:spacing w:line="360" w:lineRule="auto"/>
        <w:ind w:firstLine="482" w:firstLineChars="200"/>
        <w:rPr>
          <w:rFonts w:ascii="宋体" w:hAnsi="宋体" w:cs="宋体"/>
          <w:b/>
          <w:bCs/>
          <w:color w:val="auto"/>
          <w:sz w:val="24"/>
          <w:highlight w:val="none"/>
        </w:rPr>
      </w:pPr>
      <w:bookmarkStart w:id="81" w:name="_Toc30308"/>
      <w:bookmarkStart w:id="82" w:name="_Toc25597"/>
      <w:bookmarkStart w:id="83" w:name="_Toc11331"/>
      <w:r>
        <w:rPr>
          <w:rFonts w:hint="eastAsia" w:ascii="宋体" w:hAnsi="宋体" w:cs="宋体"/>
          <w:b/>
          <w:bCs/>
          <w:color w:val="auto"/>
          <w:sz w:val="24"/>
          <w:highlight w:val="none"/>
        </w:rPr>
        <w:t>十五、交付使用时间</w:t>
      </w:r>
      <w:bookmarkEnd w:id="81"/>
      <w:bookmarkEnd w:id="82"/>
      <w:bookmarkEnd w:id="83"/>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总服务期3年，其中包含</w:t>
      </w:r>
      <w:r>
        <w:rPr>
          <w:rFonts w:hint="eastAsia" w:ascii="宋体" w:hAnsi="宋体" w:cs="宋体"/>
          <w:color w:val="auto"/>
          <w:sz w:val="24"/>
          <w:highlight w:val="none"/>
        </w:rPr>
        <w:t>100个日历天内完成灯具安装及调试、验收并交付使用。</w:t>
      </w:r>
    </w:p>
    <w:p>
      <w:pPr>
        <w:shd w:val="clear"/>
        <w:adjustRightInd w:val="0"/>
        <w:snapToGrid w:val="0"/>
        <w:spacing w:line="360" w:lineRule="auto"/>
        <w:ind w:firstLine="482" w:firstLineChars="200"/>
        <w:rPr>
          <w:rFonts w:ascii="宋体" w:hAnsi="宋体" w:cs="宋体"/>
          <w:b/>
          <w:bCs/>
          <w:color w:val="auto"/>
          <w:sz w:val="24"/>
          <w:highlight w:val="none"/>
        </w:rPr>
      </w:pPr>
      <w:bookmarkStart w:id="84" w:name="_Toc27331"/>
      <w:bookmarkStart w:id="85" w:name="_Toc19399"/>
      <w:bookmarkStart w:id="86" w:name="_Toc29862"/>
      <w:r>
        <w:rPr>
          <w:rFonts w:hint="eastAsia" w:ascii="宋体" w:hAnsi="宋体" w:cs="宋体"/>
          <w:b/>
          <w:bCs/>
          <w:color w:val="auto"/>
          <w:sz w:val="24"/>
          <w:highlight w:val="none"/>
        </w:rPr>
        <w:t>十六、注意事项</w:t>
      </w:r>
      <w:bookmarkEnd w:id="84"/>
      <w:bookmarkEnd w:id="85"/>
      <w:bookmarkEnd w:id="86"/>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1.中标人不得将项目整体转包给任何单位和个人。否则，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有权即刻终止合同，并要求中标人赔偿相应损失。</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2.投标供应商若认为采购文件的技术要求或其他要求有倾向性或不公正性，可在招标答疑阶段提出，以维护招标行为的公平、公正。</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3.投标供应商使用的标准必须是国家或地方政府颁布的同等或更高的标准，如投标供应商使用的标准低于上述标准,评标委员会将有权不予接受，投标供应商必须列表将明显的差异详细说明。</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4.投标供应商所提交的投标文件对技术参数和各项要求的响应应是列出具体内容。如果投标供应商只注明“符合”或“满足”，将被视为“不符合”，并可能严重影响评标结果。</w:t>
      </w:r>
    </w:p>
    <w:p>
      <w:pPr>
        <w:shd w:val="clear"/>
        <w:adjustRightInd w:val="0"/>
        <w:snapToGrid w:val="0"/>
        <w:spacing w:line="360" w:lineRule="auto"/>
        <w:ind w:firstLine="482" w:firstLineChars="200"/>
        <w:rPr>
          <w:rFonts w:ascii="宋体" w:hAnsi="宋体" w:cs="宋体"/>
          <w:b/>
          <w:bCs/>
          <w:color w:val="auto"/>
          <w:sz w:val="24"/>
          <w:highlight w:val="none"/>
        </w:rPr>
      </w:pPr>
      <w:bookmarkStart w:id="87" w:name="_Toc10851"/>
      <w:bookmarkStart w:id="88" w:name="_Toc32676"/>
      <w:r>
        <w:rPr>
          <w:rFonts w:hint="eastAsia" w:ascii="宋体" w:hAnsi="宋体" w:cs="宋体"/>
          <w:b/>
          <w:bCs/>
          <w:color w:val="auto"/>
          <w:sz w:val="24"/>
          <w:highlight w:val="none"/>
        </w:rPr>
        <w:t>十七、相关计费风险提示</w:t>
      </w:r>
      <w:bookmarkEnd w:id="87"/>
      <w:bookmarkEnd w:id="88"/>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1.本项目改造的路灯中，因采购人可能存在路灯设施新移交、路灯设施拆除、提供的设施量存在误差等因素，实际数量和改造数量可能与表中存在5%左右的误差，请投标供应商对上述因素给予考虑。</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2.投标供应商须考虑以上相关风险，如中标，不能以此作为不执行中标人责任、义务的免责条款。</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sectPr>
          <w:footerReference r:id="rId10" w:type="first"/>
          <w:headerReference r:id="rId8" w:type="default"/>
          <w:footerReference r:id="rId9" w:type="default"/>
          <w:pgSz w:w="11906" w:h="16838"/>
          <w:pgMar w:top="567" w:right="1134" w:bottom="567" w:left="1418" w:header="851" w:footer="992" w:gutter="0"/>
          <w:pgNumType w:fmt="decimal" w:start="1"/>
          <w:cols w:space="720" w:num="1"/>
          <w:titlePg/>
          <w:docGrid w:type="lines" w:linePitch="312" w:charSpace="0"/>
        </w:sectPr>
      </w:pPr>
    </w:p>
    <w:tbl>
      <w:tblPr>
        <w:tblStyle w:val="22"/>
        <w:tblW w:w="14460" w:type="dxa"/>
        <w:tblInd w:w="93" w:type="dxa"/>
        <w:tblLayout w:type="autofit"/>
        <w:tblCellMar>
          <w:top w:w="0" w:type="dxa"/>
          <w:left w:w="108" w:type="dxa"/>
          <w:bottom w:w="0" w:type="dxa"/>
          <w:right w:w="108" w:type="dxa"/>
        </w:tblCellMar>
      </w:tblPr>
      <w:tblGrid>
        <w:gridCol w:w="1338"/>
        <w:gridCol w:w="801"/>
        <w:gridCol w:w="2546"/>
        <w:gridCol w:w="2412"/>
        <w:gridCol w:w="1606"/>
        <w:gridCol w:w="801"/>
        <w:gridCol w:w="2546"/>
        <w:gridCol w:w="2410"/>
      </w:tblGrid>
      <w:tr>
        <w:tblPrEx>
          <w:tblCellMar>
            <w:top w:w="0" w:type="dxa"/>
            <w:left w:w="108" w:type="dxa"/>
            <w:bottom w:w="0" w:type="dxa"/>
            <w:right w:w="108" w:type="dxa"/>
          </w:tblCellMar>
        </w:tblPrEx>
        <w:trPr>
          <w:trHeight w:val="1012" w:hRule="atLeast"/>
        </w:trPr>
        <w:tc>
          <w:tcPr>
            <w:tcW w:w="14460" w:type="dxa"/>
            <w:gridSpan w:val="8"/>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2022年廿三里街道路灯分布表格</w:t>
            </w:r>
          </w:p>
        </w:tc>
      </w:tr>
      <w:tr>
        <w:tblPrEx>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道路信息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改造前高压钠灯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改造后LED灯</w:t>
            </w:r>
          </w:p>
        </w:tc>
      </w:tr>
      <w:tr>
        <w:tblPrEx>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通宝路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250W9个 150W98个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120W9个 60W98个 </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春潮路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通报北区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王新屋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开元南街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思源路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信联街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金桥路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神力大道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竺阳路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花仙路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华盛南路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诚信大道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恒德路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六中东门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宝丰路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中新街东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永乐路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长宁路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旺达路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兴民路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陈陀北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梅林大道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金鳞南门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惠民路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后乐西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草湖塘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宜商路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开金二街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富商路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盘溪路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康民路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250W8个 150W14个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120W8个 60W14个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标准厂房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上社区西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牛清塘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后溪路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乾元路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银海路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武梅一街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宝元路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武岩北路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龙潭路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武溪北路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武康路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西田畈东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拨浪鼓广场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r>
      <w:tr>
        <w:tblPrEx>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桥头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宋体" w:hAnsi="宋体" w:cs="宋体"/>
                <w:color w:val="auto"/>
                <w:sz w:val="22"/>
                <w:szCs w:val="22"/>
                <w:highlight w:val="none"/>
              </w:rPr>
            </w:pPr>
          </w:p>
        </w:tc>
      </w:tr>
    </w:tbl>
    <w:p>
      <w:pPr>
        <w:pStyle w:val="5"/>
        <w:shd w:val="clear"/>
        <w:rPr>
          <w:rFonts w:ascii="宋体" w:hAnsi="宋体" w:cs="宋体"/>
          <w:color w:val="auto"/>
          <w:highlight w:val="none"/>
        </w:rPr>
        <w:sectPr>
          <w:pgSz w:w="16838" w:h="11906" w:orient="landscape"/>
          <w:pgMar w:top="1418" w:right="1191" w:bottom="1134" w:left="1134" w:header="851" w:footer="992" w:gutter="0"/>
          <w:pgNumType w:fmt="decimal"/>
          <w:cols w:space="720" w:num="1"/>
          <w:titlePg/>
          <w:docGrid w:type="lines" w:linePitch="312" w:charSpace="0"/>
        </w:sectPr>
      </w:pPr>
    </w:p>
    <w:p>
      <w:pPr>
        <w:pStyle w:val="5"/>
        <w:numPr>
          <w:ilvl w:val="0"/>
          <w:numId w:val="2"/>
        </w:numPr>
        <w:shd w:val="clear"/>
        <w:spacing w:before="0" w:after="0" w:line="360" w:lineRule="auto"/>
        <w:jc w:val="center"/>
        <w:rPr>
          <w:rFonts w:ascii="宋体" w:hAnsi="宋体" w:cs="宋体"/>
          <w:color w:val="auto"/>
          <w:sz w:val="36"/>
          <w:highlight w:val="none"/>
        </w:rPr>
      </w:pPr>
      <w:bookmarkStart w:id="89" w:name="_Toc1819"/>
      <w:r>
        <w:rPr>
          <w:rFonts w:hint="eastAsia" w:ascii="宋体" w:hAnsi="宋体" w:cs="宋体"/>
          <w:color w:val="auto"/>
          <w:sz w:val="36"/>
          <w:highlight w:val="none"/>
        </w:rPr>
        <w:t>开标、评标和定标须知</w:t>
      </w:r>
      <w:bookmarkEnd w:id="39"/>
      <w:bookmarkEnd w:id="40"/>
      <w:bookmarkEnd w:id="41"/>
      <w:bookmarkEnd w:id="42"/>
      <w:bookmarkEnd w:id="89"/>
    </w:p>
    <w:p>
      <w:pPr>
        <w:pStyle w:val="6"/>
        <w:shd w:val="clear"/>
        <w:snapToGrid w:val="0"/>
        <w:spacing w:before="120" w:after="120" w:line="360" w:lineRule="auto"/>
        <w:rPr>
          <w:rFonts w:ascii="宋体" w:hAnsi="宋体" w:eastAsia="宋体" w:cs="宋体"/>
          <w:color w:val="auto"/>
          <w:sz w:val="28"/>
          <w:szCs w:val="28"/>
          <w:highlight w:val="none"/>
        </w:rPr>
      </w:pPr>
      <w:bookmarkStart w:id="90" w:name="_Toc17706"/>
      <w:bookmarkStart w:id="91" w:name="_Toc274303252"/>
      <w:bookmarkStart w:id="92" w:name="_Toc32675"/>
      <w:bookmarkStart w:id="93" w:name="_Toc24286"/>
      <w:bookmarkStart w:id="94" w:name="_Toc362250704"/>
      <w:r>
        <w:rPr>
          <w:rFonts w:hint="eastAsia" w:ascii="宋体" w:hAnsi="宋体" w:eastAsia="宋体" w:cs="宋体"/>
          <w:color w:val="auto"/>
          <w:sz w:val="28"/>
          <w:szCs w:val="28"/>
          <w:highlight w:val="none"/>
        </w:rPr>
        <w:t>一、开标</w:t>
      </w:r>
      <w:bookmarkEnd w:id="90"/>
      <w:bookmarkEnd w:id="91"/>
      <w:bookmarkEnd w:id="92"/>
      <w:bookmarkEnd w:id="93"/>
      <w:bookmarkEnd w:id="94"/>
    </w:p>
    <w:p>
      <w:pPr>
        <w:shd w:val="clear"/>
        <w:snapToGrid w:val="0"/>
        <w:spacing w:line="360" w:lineRule="auto"/>
        <w:ind w:firstLine="480" w:firstLineChars="200"/>
        <w:rPr>
          <w:rFonts w:ascii="宋体" w:hAnsi="宋体" w:cs="宋体"/>
          <w:color w:val="auto"/>
          <w:sz w:val="24"/>
          <w:highlight w:val="none"/>
        </w:rPr>
      </w:pPr>
      <w:bookmarkStart w:id="95" w:name="_Toc226973002"/>
      <w:bookmarkStart w:id="96" w:name="_Toc261519847"/>
      <w:bookmarkStart w:id="97" w:name="_Toc274303253"/>
      <w:bookmarkStart w:id="98" w:name="_Toc263090375"/>
      <w:bookmarkStart w:id="99" w:name="_Toc362250705"/>
      <w:r>
        <w:rPr>
          <w:rFonts w:hint="eastAsia" w:ascii="宋体" w:hAnsi="宋体" w:cs="宋体"/>
          <w:color w:val="auto"/>
          <w:sz w:val="24"/>
          <w:highlight w:val="none"/>
        </w:rPr>
        <w:t>1.本项目实行电子开评标，投标方无需前往开评标现场，只需在投标截止时间前在“政采云”平台上上传电子加密投标文件。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2.电子开评标及评审程序</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2.1投标截止时间招标人在政采云平台发出解密指令，投标人在接到解密指令后的1小时内（开标当日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登录政采云平台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2.2评标小组对投标方的资格和技术响应文件进行评审；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2.3评标小组对报价情况进行评审；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2.4在系统上公布评审结果。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6"/>
        <w:shd w:val="clear"/>
        <w:snapToGrid w:val="0"/>
        <w:spacing w:before="120" w:after="120" w:line="360" w:lineRule="auto"/>
        <w:rPr>
          <w:rFonts w:ascii="宋体" w:hAnsi="宋体" w:eastAsia="宋体" w:cs="宋体"/>
          <w:color w:val="auto"/>
          <w:sz w:val="28"/>
          <w:szCs w:val="28"/>
          <w:highlight w:val="none"/>
        </w:rPr>
      </w:pPr>
      <w:bookmarkStart w:id="100" w:name="_Toc7234"/>
      <w:bookmarkStart w:id="101" w:name="_Toc12059"/>
      <w:bookmarkStart w:id="102" w:name="_Toc30988"/>
      <w:r>
        <w:rPr>
          <w:rFonts w:hint="eastAsia" w:ascii="宋体" w:hAnsi="宋体" w:eastAsia="宋体" w:cs="宋体"/>
          <w:color w:val="auto"/>
          <w:sz w:val="28"/>
          <w:szCs w:val="28"/>
          <w:highlight w:val="none"/>
        </w:rPr>
        <w:t>二、评标</w:t>
      </w:r>
      <w:bookmarkEnd w:id="95"/>
      <w:bookmarkEnd w:id="96"/>
      <w:bookmarkEnd w:id="97"/>
      <w:bookmarkEnd w:id="98"/>
      <w:bookmarkEnd w:id="99"/>
      <w:bookmarkEnd w:id="100"/>
      <w:bookmarkEnd w:id="101"/>
      <w:bookmarkEnd w:id="102"/>
    </w:p>
    <w:p>
      <w:pPr>
        <w:shd w:val="clear"/>
        <w:snapToGri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w:t>
      </w:r>
      <w:r>
        <w:rPr>
          <w:rFonts w:hint="eastAsia" w:ascii="宋体" w:hAnsi="宋体" w:cs="宋体"/>
          <w:color w:val="auto"/>
          <w:sz w:val="24"/>
          <w:highlight w:val="none"/>
        </w:rPr>
        <w:t>.</w:t>
      </w:r>
      <w:r>
        <w:rPr>
          <w:rFonts w:hint="eastAsia" w:ascii="宋体" w:hAnsi="宋体" w:cs="宋体"/>
          <w:b/>
          <w:color w:val="auto"/>
          <w:kern w:val="0"/>
          <w:sz w:val="24"/>
          <w:highlight w:val="none"/>
        </w:rPr>
        <w:t>评标小组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评标小组将根据招标采购项目的特点确定。其成员由技术、经济等方面专家和采购人代表5人及以上单数组成。评标小组对投标文件进行审查、质疑、评估和比较。</w:t>
      </w:r>
    </w:p>
    <w:p>
      <w:pPr>
        <w:shd w:val="clear"/>
        <w:snapToGri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sz w:val="24"/>
          <w:highlight w:val="none"/>
        </w:rPr>
        <w:t>.</w:t>
      </w:r>
      <w:r>
        <w:rPr>
          <w:rFonts w:hint="eastAsia" w:ascii="宋体" w:hAnsi="宋体" w:cs="宋体"/>
          <w:b/>
          <w:color w:val="auto"/>
          <w:sz w:val="24"/>
          <w:highlight w:val="none"/>
        </w:rPr>
        <w:t>评标原则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4.1评标小组将遵循客观、公正、审慎的原则，严格遵守评标工作纪律。</w:t>
      </w:r>
    </w:p>
    <w:p>
      <w:pPr>
        <w:shd w:val="clear"/>
        <w:snapToGrid w:val="0"/>
        <w:spacing w:line="360" w:lineRule="auto"/>
        <w:ind w:firstLine="480"/>
        <w:rPr>
          <w:rFonts w:ascii="宋体" w:hAnsi="宋体" w:cs="宋体"/>
          <w:bCs/>
          <w:color w:val="auto"/>
          <w:sz w:val="24"/>
          <w:highlight w:val="none"/>
        </w:rPr>
      </w:pPr>
      <w:r>
        <w:rPr>
          <w:rFonts w:hint="eastAsia" w:ascii="宋体" w:hAnsi="宋体" w:cs="宋体"/>
          <w:color w:val="auto"/>
          <w:sz w:val="24"/>
          <w:highlight w:val="none"/>
        </w:rPr>
        <w:t>4.2</w:t>
      </w:r>
      <w:r>
        <w:rPr>
          <w:rFonts w:hint="eastAsia" w:ascii="宋体" w:hAnsi="宋体" w:cs="宋体"/>
          <w:bCs/>
          <w:color w:val="auto"/>
          <w:sz w:val="24"/>
          <w:highlight w:val="none"/>
        </w:rPr>
        <w:t>先评技术标，再评商务标。</w:t>
      </w:r>
    </w:p>
    <w:p>
      <w:pPr>
        <w:shd w:val="clear"/>
        <w:snapToGri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4.3</w:t>
      </w:r>
      <w:r>
        <w:rPr>
          <w:rFonts w:hint="eastAsia" w:ascii="宋体" w:hAnsi="宋体" w:cs="宋体"/>
          <w:color w:val="auto"/>
          <w:sz w:val="24"/>
          <w:highlight w:val="none"/>
        </w:rPr>
        <w:t>客观公正对待所有投标人，对所有投标评审均采用相同的程序和标准。评标的依据为采购文件和投标文件。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4.4有利于提高投资效益，节约建设资金。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4.5在评标过程中，出现异常或特殊情况时，由评标小组集体讨论决定。</w:t>
      </w:r>
    </w:p>
    <w:p>
      <w:pPr>
        <w:pStyle w:val="13"/>
        <w:shd w:val="clear"/>
        <w:snapToGrid w:val="0"/>
        <w:spacing w:line="360" w:lineRule="auto"/>
        <w:ind w:firstLine="482" w:firstLineChars="200"/>
        <w:rPr>
          <w:rFonts w:hAnsi="宋体" w:cs="宋体"/>
          <w:color w:val="auto"/>
          <w:sz w:val="28"/>
          <w:highlight w:val="none"/>
        </w:rPr>
      </w:pPr>
      <w:r>
        <w:rPr>
          <w:rFonts w:hint="eastAsia" w:hAnsi="宋体" w:cs="宋体"/>
          <w:b/>
          <w:color w:val="auto"/>
          <w:sz w:val="24"/>
          <w:highlight w:val="none"/>
        </w:rPr>
        <w:t>5</w:t>
      </w:r>
      <w:r>
        <w:rPr>
          <w:rFonts w:hint="eastAsia" w:hAnsi="宋体" w:cs="宋体"/>
          <w:color w:val="auto"/>
          <w:sz w:val="24"/>
          <w:szCs w:val="24"/>
          <w:highlight w:val="none"/>
        </w:rPr>
        <w:t>.</w:t>
      </w:r>
      <w:r>
        <w:rPr>
          <w:rFonts w:hint="eastAsia" w:hAnsi="宋体" w:cs="宋体"/>
          <w:b/>
          <w:color w:val="auto"/>
          <w:sz w:val="24"/>
          <w:highlight w:val="none"/>
        </w:rPr>
        <w:t>评标过程的保密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5.1</w:t>
      </w:r>
      <w:r>
        <w:rPr>
          <w:rFonts w:hint="eastAsia" w:ascii="宋体" w:hAnsi="宋体" w:cs="宋体"/>
          <w:color w:val="auto"/>
          <w:sz w:val="24"/>
          <w:highlight w:val="none"/>
        </w:rPr>
        <w:t>开标后，直至授予中标人合同为止，凡属于对投标文件的审查、澄清、评价和比较等有关的资料以及中标候选人的推荐情况等与评标有关的任何情况均严格保密。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0"/>
          <w:highlight w:val="none"/>
        </w:rPr>
        <w:t>5.2</w:t>
      </w:r>
      <w:r>
        <w:rPr>
          <w:rFonts w:hint="eastAsia" w:ascii="宋体" w:hAnsi="宋体" w:cs="宋体"/>
          <w:color w:val="auto"/>
          <w:sz w:val="24"/>
          <w:highlight w:val="none"/>
        </w:rPr>
        <w:t>在投标文件的评审和比较、中标候选人推荐以及授予合同的过程中，投标人向采购人和评标小组施加影响的任何行为，都将会导致其投标被拒绝。</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szCs w:val="20"/>
          <w:highlight w:val="none"/>
        </w:rPr>
        <w:t>5.3</w:t>
      </w:r>
      <w:r>
        <w:rPr>
          <w:rFonts w:hint="eastAsia" w:hAnsi="宋体" w:cs="宋体"/>
          <w:color w:val="auto"/>
          <w:sz w:val="24"/>
          <w:highlight w:val="none"/>
        </w:rPr>
        <w:t>中标人确认后，采购人不对未中标人就评标过程以及未能中标原因作出任何解释。未中标人不得向评标小组人员或其他有关人员索问评标过程的全部情况。</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5.4</w:t>
      </w:r>
      <w:r>
        <w:rPr>
          <w:rFonts w:hint="eastAsia" w:ascii="宋体" w:hAnsi="宋体" w:cs="宋体"/>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3"/>
        <w:shd w:val="clear"/>
        <w:tabs>
          <w:tab w:val="left" w:pos="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5.5评标小组不向落标方解释落标原因，不退还投标文件。</w:t>
      </w:r>
    </w:p>
    <w:p>
      <w:pPr>
        <w:shd w:val="clear"/>
        <w:adjustRightInd w:val="0"/>
        <w:snapToGrid w:val="0"/>
        <w:spacing w:line="360" w:lineRule="auto"/>
        <w:ind w:firstLine="472" w:firstLineChars="196"/>
        <w:rPr>
          <w:rFonts w:ascii="宋体" w:hAnsi="宋体" w:cs="宋体"/>
          <w:b/>
          <w:color w:val="auto"/>
          <w:sz w:val="24"/>
          <w:highlight w:val="none"/>
        </w:rPr>
      </w:pPr>
      <w:bookmarkStart w:id="103" w:name="_Toc7399"/>
      <w:bookmarkStart w:id="104" w:name="_Toc24478"/>
      <w:bookmarkStart w:id="105" w:name="_Toc25811"/>
      <w:bookmarkStart w:id="106" w:name="_Toc226973003"/>
      <w:bookmarkStart w:id="107" w:name="_Toc362250706"/>
      <w:bookmarkStart w:id="108" w:name="_Toc261519848"/>
      <w:bookmarkStart w:id="109" w:name="_Toc274303254"/>
      <w:bookmarkStart w:id="110" w:name="_Toc263090376"/>
      <w:bookmarkStart w:id="111" w:name="_Toc362268017"/>
      <w:r>
        <w:rPr>
          <w:rFonts w:hint="eastAsia" w:ascii="宋体" w:hAnsi="宋体" w:cs="宋体"/>
          <w:b/>
          <w:color w:val="auto"/>
          <w:sz w:val="24"/>
          <w:highlight w:val="none"/>
        </w:rPr>
        <w:t>6.投标文件的澄清</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为有助于投标文件的审查、评价和比较，评标小组可以在“政采云”平台在线询标或其他有效形式要求对于投标文件中含义不明确、同类问题表述不一致或者有明显文字和计算错误的内容，评标委员会应当以书面形式要求投标人作出必要的澄清、说明或者补正，投标人应采用在线回复或其他有效形式在询标规定时间内进行澄清、说明或者补正（需盖电子签章或实体公章），但投标人的澄清、说明或者补正不得超出投标文件的范围或者改变投标文件的实质性内容。</w:t>
      </w:r>
    </w:p>
    <w:p>
      <w:pPr>
        <w:pStyle w:val="13"/>
        <w:shd w:val="clear"/>
        <w:tabs>
          <w:tab w:val="left" w:pos="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6.2如果投标方代表拒绝按评标小组要求在“政采云”平台作出在线回复且无其他有效回复方式的，评标小组可以对其作出无效标处理。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color w:val="auto"/>
          <w:sz w:val="24"/>
          <w:highlight w:val="none"/>
        </w:rPr>
        <w:t>投标文件的初步评审</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7.1开标后，采购人应将投标文件提交评标小组进行初步评审，初步评审内容为：</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7.1.1是否出现第五章规定的内容；</w:t>
      </w:r>
    </w:p>
    <w:p>
      <w:pPr>
        <w:shd w:val="clear"/>
        <w:snapToGrid w:val="0"/>
        <w:spacing w:line="360" w:lineRule="auto"/>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出现上述情形之一者，技术文件或商务文件初步评审不予通过，不列入商务标详细评审。</w:t>
      </w:r>
    </w:p>
    <w:p>
      <w:pPr>
        <w:shd w:val="clear"/>
        <w:tabs>
          <w:tab w:val="left" w:pos="1219"/>
        </w:tabs>
        <w:adjustRightInd w:val="0"/>
        <w:snapToGrid w:val="0"/>
        <w:spacing w:line="360" w:lineRule="auto"/>
        <w:ind w:left="-67" w:leftChars="-32" w:firstLine="590" w:firstLineChars="246"/>
        <w:rPr>
          <w:rFonts w:ascii="宋体" w:hAnsi="宋体" w:cs="宋体"/>
          <w:color w:val="auto"/>
          <w:sz w:val="24"/>
          <w:highlight w:val="none"/>
        </w:rPr>
      </w:pPr>
      <w:r>
        <w:rPr>
          <w:rFonts w:hint="eastAsia" w:ascii="宋体" w:hAnsi="宋体" w:cs="宋体"/>
          <w:color w:val="auto"/>
          <w:sz w:val="24"/>
          <w:highlight w:val="none"/>
        </w:rPr>
        <w:t>7.2评标时，评标小组将首先评定每份投标文件是否在实质上响应了采购文件的要求。所谓实质性响应，是指投标文件所提供的有关资格证明文件、技术要求、合同条款等要与采购文件要求的条款、条件和规格相符，并且没有重大偏差或保留，重大偏离或保留是指影响到采购文件规定的范围、内容和技术要求，或限制了采购人的权力和投标人的义务的规定。而纠正这些偏离将影响到其它提交实质性响应投标的投标人的公平竞争地位。</w:t>
      </w:r>
    </w:p>
    <w:p>
      <w:pPr>
        <w:shd w:val="clear"/>
        <w:adjustRightInd w:val="0"/>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7.3如果投标文件实质上不响应采购文件的各项要求，评标小组将予以拒绝，并且不允许投标人通过修改或撤销其不符合要求的差异或保留，使之成为具有响应性的投标。</w:t>
      </w:r>
    </w:p>
    <w:p>
      <w:pPr>
        <w:pStyle w:val="13"/>
        <w:shd w:val="clear"/>
        <w:snapToGrid w:val="0"/>
        <w:spacing w:line="360" w:lineRule="auto"/>
        <w:ind w:firstLine="482"/>
        <w:rPr>
          <w:rFonts w:hAnsi="宋体" w:cs="宋体"/>
          <w:b/>
          <w:color w:val="auto"/>
          <w:sz w:val="24"/>
          <w:highlight w:val="none"/>
        </w:rPr>
      </w:pPr>
      <w:r>
        <w:rPr>
          <w:rFonts w:hint="eastAsia" w:hAnsi="宋体" w:cs="宋体"/>
          <w:b/>
          <w:color w:val="auto"/>
          <w:sz w:val="24"/>
          <w:highlight w:val="none"/>
        </w:rPr>
        <w:t>8.投标文件计算错误的修正</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8.1评标小组将对确定为实质上响应采购文件要求的投标文件进行校核，看其是否有计算或表达上的错误，修正错误的原则如下：</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8.1.1投标文件中开标一览表（报价表）内容与投标文件中相应内容不一致的，以开标一览表（报价表）为准；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8.1.2投标文件的大写金额和小写金额不一致的，以大写金额为准；</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8.1.3单价金额小数点或者百分比有明显错位的，以开标一览表的总价为准，并修改单价； </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8.1.4 总价金额与按单价汇总金额不一致的，以单价汇总金额计算结果为准；</w:t>
      </w:r>
    </w:p>
    <w:p>
      <w:pPr>
        <w:pStyle w:val="13"/>
        <w:shd w:val="clear"/>
        <w:snapToGrid w:val="0"/>
        <w:spacing w:line="360" w:lineRule="auto"/>
        <w:ind w:firstLine="482"/>
        <w:rPr>
          <w:rFonts w:hAnsi="宋体" w:cs="宋体"/>
          <w:b/>
          <w:color w:val="auto"/>
          <w:sz w:val="24"/>
          <w:highlight w:val="none"/>
          <w:u w:val="single"/>
        </w:rPr>
      </w:pPr>
      <w:r>
        <w:rPr>
          <w:rFonts w:hint="eastAsia" w:hAnsi="宋体" w:cs="宋体"/>
          <w:color w:val="auto"/>
          <w:sz w:val="24"/>
          <w:highlight w:val="none"/>
        </w:rPr>
        <w:t>8.1.5</w:t>
      </w:r>
      <w:r>
        <w:rPr>
          <w:rFonts w:hint="eastAsia" w:hAnsi="宋体" w:cs="宋体"/>
          <w:b/>
          <w:color w:val="auto"/>
          <w:sz w:val="24"/>
          <w:highlight w:val="none"/>
          <w:u w:val="single"/>
        </w:rPr>
        <w:t>客户端填写的报价与以pdf格式上传文件中的报价不一致的，应以Pdf格式上传文件中的报价为准。</w:t>
      </w:r>
    </w:p>
    <w:p>
      <w:pPr>
        <w:pStyle w:val="13"/>
        <w:shd w:val="clear"/>
        <w:snapToGrid w:val="0"/>
        <w:spacing w:line="360" w:lineRule="auto"/>
        <w:ind w:firstLine="482"/>
        <w:rPr>
          <w:rFonts w:hAnsi="宋体" w:cs="宋体"/>
          <w:color w:val="auto"/>
          <w:sz w:val="24"/>
          <w:highlight w:val="none"/>
        </w:rPr>
      </w:pPr>
      <w:r>
        <w:rPr>
          <w:rFonts w:hint="eastAsia" w:hAnsi="宋体" w:cs="宋体"/>
          <w:color w:val="auto"/>
          <w:sz w:val="24"/>
          <w:highlight w:val="none"/>
        </w:rPr>
        <w:t>8.2同时出现两种以上不一致的，按照前款规定的顺序修正，投标人同意后，修正后的投标报价对投标人起约束作用。如果投标人不接受修正后的报价，则其投标将被拒绝，并不影响评标工作。</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9.投标文件的评审、比较和否决</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9.1评标小组将按照本须知规定，仅对在实质上响应采购文件要求的投标文件进行评估和比较。</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9.2在评审过程后，评标小组可以以书面形式要求投标人就投标文件中含义不明确的内容进行书面说明并提供相关材料。</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9.3评标小组在作出任何一项无效标决定前，都应当严格遵循以下程序：</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9.3.1要求当事投标人作相应的答辩；</w:t>
      </w:r>
    </w:p>
    <w:p>
      <w:pPr>
        <w:shd w:val="clear"/>
        <w:adjustRightInd w:val="0"/>
        <w:snapToGrid w:val="0"/>
        <w:spacing w:line="360" w:lineRule="auto"/>
        <w:ind w:firstLine="472" w:firstLineChars="196"/>
        <w:rPr>
          <w:rFonts w:ascii="宋体" w:hAnsi="宋体" w:cs="宋体"/>
          <w:b/>
          <w:color w:val="auto"/>
          <w:sz w:val="24"/>
          <w:highlight w:val="none"/>
          <w:shd w:val="pct10" w:color="auto" w:fill="FFFFFF"/>
        </w:rPr>
      </w:pPr>
      <w:r>
        <w:rPr>
          <w:rFonts w:hint="eastAsia" w:ascii="宋体" w:hAnsi="宋体" w:cs="宋体"/>
          <w:b/>
          <w:color w:val="auto"/>
          <w:sz w:val="24"/>
          <w:highlight w:val="none"/>
          <w:shd w:val="pct10" w:color="auto" w:fill="FFFFFF"/>
        </w:rPr>
        <w:t>9.3.2在充分讨论的基础上集体表决；</w:t>
      </w:r>
    </w:p>
    <w:p>
      <w:pPr>
        <w:shd w:val="clea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9.4评标小组经评审，认为所有投标都不符合采购文件要求时，可以否决所有投标。所有投标被否决后，采购人应当依法重新招标。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10</w:t>
      </w:r>
      <w:r>
        <w:rPr>
          <w:rFonts w:hint="eastAsia" w:hAnsi="宋体" w:cs="宋体"/>
          <w:b/>
          <w:color w:val="auto"/>
          <w:kern w:val="0"/>
          <w:sz w:val="24"/>
          <w:highlight w:val="none"/>
        </w:rPr>
        <w:t>.</w:t>
      </w:r>
      <w:r>
        <w:rPr>
          <w:rFonts w:hint="eastAsia" w:hAnsi="宋体" w:cs="宋体"/>
          <w:b/>
          <w:color w:val="auto"/>
          <w:spacing w:val="-4"/>
          <w:sz w:val="24"/>
          <w:highlight w:val="none"/>
        </w:rPr>
        <w:t>评标办法</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10.1本项目采用综合评分法（具体评标办法见后）。</w:t>
      </w:r>
    </w:p>
    <w:p>
      <w:pPr>
        <w:pStyle w:val="6"/>
        <w:shd w:val="clear"/>
        <w:snapToGrid w:val="0"/>
        <w:spacing w:before="120" w:after="120" w:line="360" w:lineRule="auto"/>
        <w:rPr>
          <w:rFonts w:ascii="宋体" w:hAnsi="宋体" w:eastAsia="宋体" w:cs="宋体"/>
          <w:color w:val="auto"/>
          <w:sz w:val="28"/>
          <w:szCs w:val="28"/>
          <w:highlight w:val="none"/>
        </w:rPr>
      </w:pPr>
      <w:bookmarkStart w:id="112" w:name="_Toc14061"/>
      <w:bookmarkStart w:id="113" w:name="_Toc9919"/>
      <w:bookmarkStart w:id="114" w:name="_Toc7779"/>
      <w:r>
        <w:rPr>
          <w:rFonts w:hint="eastAsia" w:ascii="宋体" w:hAnsi="宋体" w:eastAsia="宋体" w:cs="宋体"/>
          <w:color w:val="auto"/>
          <w:sz w:val="28"/>
          <w:szCs w:val="28"/>
          <w:highlight w:val="none"/>
        </w:rPr>
        <w:t>三、定标</w:t>
      </w:r>
      <w:bookmarkEnd w:id="103"/>
      <w:bookmarkEnd w:id="104"/>
      <w:bookmarkEnd w:id="105"/>
      <w:bookmarkEnd w:id="106"/>
      <w:bookmarkEnd w:id="107"/>
      <w:bookmarkEnd w:id="108"/>
      <w:bookmarkEnd w:id="109"/>
      <w:bookmarkEnd w:id="110"/>
      <w:bookmarkEnd w:id="112"/>
      <w:bookmarkEnd w:id="113"/>
      <w:bookmarkEnd w:id="114"/>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11.1采购人根据评标小组的书面评审报告和推荐的中标候选人直接委托评标小组确定中标人。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11.2评标结束后，中标结果公告1个工作日，发布中标结果公告的媒体为：义乌市公共资源交易服务平台、浙江政府采购网。</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发放中标通知书前，采购人将通过中国裁判文书网查询中标（成交）人自2019年01月01日至中标公告期结束前行贿犯罪记录（以网站页面显示内容为准）情况。经查实，中标人有前述行贿犯罪记录的，取消其中标资格，采购人依法重新组织采购。</w:t>
      </w:r>
    </w:p>
    <w:p>
      <w:pPr>
        <w:pStyle w:val="13"/>
        <w:shd w:val="clear"/>
        <w:tabs>
          <w:tab w:val="left" w:pos="900"/>
        </w:tabs>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11.4</w:t>
      </w:r>
      <w:r>
        <w:rPr>
          <w:rFonts w:hint="eastAsia" w:hAnsi="宋体" w:cs="宋体"/>
          <w:color w:val="auto"/>
          <w:sz w:val="24"/>
          <w:highlight w:val="none"/>
        </w:rPr>
        <w:t>采购人和其委托的采购代理机构</w:t>
      </w:r>
      <w:r>
        <w:rPr>
          <w:rFonts w:hint="eastAsia" w:hAnsi="宋体" w:cs="宋体"/>
          <w:color w:val="auto"/>
          <w:sz w:val="24"/>
          <w:szCs w:val="24"/>
          <w:highlight w:val="none"/>
        </w:rPr>
        <w:t>共同签发《中标通知书》。《中标通知书》一经发出即发生法律效力。</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w:t>
      </w:r>
      <w:r>
        <w:rPr>
          <w:rFonts w:hint="eastAsia" w:hAnsi="宋体" w:cs="宋体"/>
          <w:color w:val="auto"/>
          <w:sz w:val="24"/>
          <w:szCs w:val="24"/>
          <w:highlight w:val="none"/>
        </w:rPr>
        <w:t>.</w:t>
      </w:r>
      <w:r>
        <w:rPr>
          <w:rFonts w:hint="eastAsia" w:hAnsi="宋体" w:cs="宋体"/>
          <w:color w:val="auto"/>
          <w:sz w:val="24"/>
          <w:highlight w:val="none"/>
        </w:rPr>
        <w:t>质疑与投诉</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12.1采购人拒绝接受已获取采购文件但未递交投标文件的投标人的对评审结果的质疑。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12.2</w:t>
      </w:r>
      <w:r>
        <w:rPr>
          <w:rFonts w:hint="eastAsia" w:hAnsi="宋体" w:cs="宋体"/>
          <w:color w:val="auto"/>
          <w:sz w:val="24"/>
          <w:highlight w:val="none"/>
        </w:rPr>
        <w:t>开标过程中，投标人对开标有异议的，应当在“政采云”平台上及时提出，评标小组应对异常情况制作相关记录。</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szCs w:val="24"/>
          <w:highlight w:val="none"/>
        </w:rPr>
        <w:t>12.3开评标结束后，投标人或其他利害关系人对依法必须进行招标的项目的中标结果有异议的，应</w:t>
      </w:r>
      <w:r>
        <w:rPr>
          <w:rFonts w:hint="eastAsia" w:hAnsi="宋体" w:cs="宋体"/>
          <w:color w:val="auto"/>
          <w:sz w:val="24"/>
          <w:highlight w:val="none"/>
        </w:rPr>
        <w:t>首先依据招投标相关法律法规在规定时间内以书面形式向招标人和招标代理机构提出质疑。地址：义乌市雪峰西路968号科技大楼A区6楼602，联系电话：18157970625。</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12.4投标人在法定质疑期内应一次性提出针对同一采购程序环节的质疑。</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12.5投标人提出质疑应当提交质疑函和必要的证明材料。质疑函应当包括下列内容：</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（一）投标人的姓名或者名称、地址、邮编、联系人及联系电话；</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（二）质疑项目的名称、编号；</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（三）具体、明确的质疑事项和与质疑事项相关的请求；</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（四）事实依据；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（五）必要的法律依据；</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（六）提出质疑的日期。</w:t>
      </w:r>
    </w:p>
    <w:p>
      <w:pPr>
        <w:pStyle w:val="13"/>
        <w:shd w:val="clear"/>
        <w:tabs>
          <w:tab w:val="left" w:pos="900"/>
        </w:tabs>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12.6质疑属于以下情况之一的，将不予受理：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12.6.1 质疑事项不具体，且未提供有效线索，难以查证；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12.6.2 已超过采购文件规定质疑提出期限的事项；</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12.6.3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12.6.4 质疑投诉的事项已经进入行政复议或者行政诉讼程序的；投诉事项应先提出质疑而没有提出质疑的；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12.6.5不符合《关于印发&lt;浙江省政府采购供应商质疑处理办法&gt;的通知》（浙财采监〔2012〕18号）等有关规定的质疑。</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12.7质疑人可以采取直接递交、传真或邮寄方式提交质疑函（一式三份以上）。以其他方式提出的质疑，被质疑人可不予接受、答复。</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采取邮寄方式送达质疑函的，以邮件注明的收件人实际收到邮件之日作为收到质疑的日期。</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采取传真方式送达质疑函的，质疑人应当取得被质疑人确认收到传真的意见，并及时将质疑函原件送达被质疑人。被质疑人可以实际收到原件之日作为收到质疑的日期。</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-89915058）。投诉属于以下情况之一的，将不予受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12.8.1 投诉人不是所投诉项目的参与者，或者与投诉项目无任何利害关系。</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12.8.2 投诉事项不具体，且未提供有效线索，难以查证。</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12.8.3 投诉人为法人或者其他组织，其投诉书未经法定代表人或者主要负责人签字并加盖公章的。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12.8.4 已超过采购文件规定投诉提出期限的事项。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12.8.5 投诉事项已作出处理决定，并且投诉人没有提出新的证据；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12.8.6 投诉的事项已经进入行政复议或者行政诉讼程序的；投诉事项应先提出质疑而没有提出质疑的。</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12.8.7不符合《政府采购质疑和投诉办法》（财政部令第94号）等有关规定的投诉。</w:t>
      </w:r>
    </w:p>
    <w:p>
      <w:pPr>
        <w:pStyle w:val="13"/>
        <w:shd w:val="clear"/>
        <w:tabs>
          <w:tab w:val="left" w:pos="900"/>
        </w:tabs>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13.合同签订</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13.1中标人应在投标有效标期内且自接到《中标通知书》后三十天内到采购人处与采购人签订合同。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13.2采购文件、中标人的投标文件、评标过程中投标人在询标时作出的承诺及其澄清文件等，均为签订合同的依据。</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中标人不遵守采购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pStyle w:val="25"/>
        <w:shd w:val="clear"/>
        <w:snapToGrid w:val="0"/>
        <w:rPr>
          <w:rFonts w:hint="eastAsia" w:ascii="宋体" w:hAnsi="宋体" w:cs="宋体"/>
          <w:color w:val="auto"/>
          <w:highlight w:val="none"/>
        </w:rPr>
      </w:pPr>
      <w:r>
        <w:rPr>
          <w:rFonts w:hint="eastAsia" w:ascii="宋体" w:hAnsi="宋体" w:cs="宋体"/>
          <w:color w:val="auto"/>
          <w:highlight w:val="none"/>
        </w:rPr>
        <w:t>13.4采购人与采购代理机构在中标结果公告的同时将中标结果通知所有未中标</w:t>
      </w:r>
      <w:r>
        <w:rPr>
          <w:rFonts w:hint="eastAsia" w:ascii="宋体" w:hAnsi="宋体" w:cs="宋体"/>
          <w:color w:val="auto"/>
          <w:highlight w:val="none"/>
          <w:lang w:val="en-US"/>
        </w:rPr>
        <w:t>单位</w:t>
      </w:r>
      <w:r>
        <w:rPr>
          <w:rFonts w:hint="eastAsia" w:ascii="宋体" w:hAnsi="宋体" w:cs="宋体"/>
          <w:color w:val="auto"/>
          <w:highlight w:val="none"/>
        </w:rPr>
        <w:t>，采购人和采购代理机构对评标结果不负责解释。</w:t>
      </w:r>
    </w:p>
    <w:p>
      <w:pPr>
        <w:shd w:val="clear"/>
        <w:rPr>
          <w:rFonts w:hint="eastAsia" w:ascii="宋体" w:hAnsi="宋体" w:cs="宋体"/>
          <w:color w:val="auto"/>
          <w:highlight w:val="none"/>
        </w:rPr>
      </w:pPr>
      <w:r>
        <w:rPr>
          <w:rFonts w:hint="eastAsia" w:ascii="宋体" w:hAnsi="宋体" w:cs="宋体"/>
          <w:color w:val="auto"/>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ascii="宋体" w:hAnsi="宋体" w:cs="宋体"/>
          <w:color w:val="auto"/>
          <w:sz w:val="36"/>
          <w:highlight w:val="none"/>
        </w:rPr>
      </w:pPr>
      <w:bookmarkStart w:id="115" w:name="_Toc13499"/>
      <w:bookmarkStart w:id="116" w:name="_Toc6748"/>
      <w:r>
        <w:rPr>
          <w:rFonts w:hint="eastAsia" w:ascii="宋体" w:hAnsi="宋体" w:cs="宋体"/>
          <w:color w:val="auto"/>
          <w:sz w:val="36"/>
          <w:highlight w:val="none"/>
        </w:rPr>
        <w:t xml:space="preserve"> </w:t>
      </w:r>
      <w:bookmarkStart w:id="117" w:name="_Toc19770"/>
      <w:r>
        <w:rPr>
          <w:rFonts w:hint="eastAsia" w:ascii="宋体" w:hAnsi="宋体" w:cs="宋体"/>
          <w:color w:val="auto"/>
          <w:sz w:val="36"/>
          <w:highlight w:val="none"/>
        </w:rPr>
        <w:t>投标文件的有效性</w:t>
      </w:r>
      <w:bookmarkEnd w:id="111"/>
      <w:bookmarkEnd w:id="115"/>
      <w:bookmarkEnd w:id="116"/>
      <w:bookmarkEnd w:id="117"/>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1.有下列情形之一的，采购人将不予受理投标文件：</w:t>
      </w:r>
    </w:p>
    <w:p>
      <w:pPr>
        <w:shd w:val="clear"/>
        <w:tabs>
          <w:tab w:val="left" w:pos="5325"/>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1.1逾期上传电子档投标文件至“政采云”平台的。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1.2投标文件只有技术标或者只有商务标。</w:t>
      </w:r>
    </w:p>
    <w:p>
      <w:pPr>
        <w:shd w:val="clea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2.投标文件评审出现下列情形之一的，由评标小组审核后按无效投标文件处理：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2.1投标文件未按采购文件要求加盖单位公章；或无法定代表人或法定代表人授权的全权代表签字或盖章的；或授权委托书无法定代表人签字或盖章的；或授权委托书未加盖单位公章的；</w:t>
      </w:r>
    </w:p>
    <w:p>
      <w:pPr>
        <w:pStyle w:val="25"/>
        <w:shd w:val="clear"/>
        <w:snapToGrid w:val="0"/>
        <w:rPr>
          <w:rFonts w:ascii="宋体" w:hAnsi="宋体" w:cs="宋体"/>
          <w:color w:val="auto"/>
          <w:highlight w:val="none"/>
        </w:rPr>
      </w:pPr>
      <w:r>
        <w:rPr>
          <w:rFonts w:hint="eastAsia" w:ascii="宋体" w:hAnsi="宋体" w:cs="宋体"/>
          <w:color w:val="auto"/>
          <w:highlight w:val="none"/>
        </w:rPr>
        <w:t>2.2</w:t>
      </w:r>
      <w:r>
        <w:rPr>
          <w:rFonts w:hint="eastAsia" w:ascii="宋体" w:hAnsi="宋体" w:cs="宋体"/>
          <w:color w:val="auto"/>
          <w:kern w:val="0"/>
          <w:highlight w:val="none"/>
        </w:rPr>
        <w:t>未按采购文件规定提供相关文件，如资格说明、身份资料等；</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2.3不具备采购文件中规定的资格要求的；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2.4投标文件不符合采购文件规定，未按规定格式填写的；或投标文件内容不全或关键字迹模糊、无法辨认的；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2.5借用或冒用他人名义或证件、涂改文件、伪造或编造投标文件的；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2.6投标中不同投标单位的投标文件出现雷同或相似（包括部分雷同或相似），对所有雷同或相似投标人按无效标处理，采购人将保留进一步追究责任的权利；</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2.7对本采购文件中打★号的条款未完全响应的；</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2.8投标文件附有采购人不能接受的条件；</w:t>
      </w:r>
    </w:p>
    <w:p>
      <w:pPr>
        <w:shd w:val="clea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2.9技术标中体现或包含商务报价；</w:t>
      </w:r>
    </w:p>
    <w:p>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2.10若发现有意串标或提供虚假材料者（含中标后查实的）；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2.11评标小组认为技术或商务与采购文件偏离的部分过多，或在实质上不响应采购文件的</w:t>
      </w:r>
      <w:r>
        <w:rPr>
          <w:rFonts w:hint="eastAsia" w:ascii="宋体" w:hAnsi="宋体" w:cs="宋体"/>
          <w:color w:val="auto"/>
          <w:sz w:val="24"/>
          <w:highlight w:val="none"/>
        </w:rPr>
        <w:t>；</w:t>
      </w:r>
    </w:p>
    <w:p>
      <w:pPr>
        <w:shd w:val="clea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2.12未提交《义乌市政府采购项目投标承诺书》</w:t>
      </w:r>
      <w:r>
        <w:rPr>
          <w:rFonts w:hint="eastAsia" w:ascii="宋体" w:hAnsi="宋体" w:cs="宋体"/>
          <w:b/>
          <w:bCs/>
          <w:color w:val="auto"/>
          <w:sz w:val="24"/>
          <w:highlight w:val="none"/>
        </w:rPr>
        <w:t>；</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cs="宋体"/>
          <w:color w:val="auto"/>
          <w:sz w:val="24"/>
          <w:highlight w:val="none"/>
        </w:rPr>
        <w:t>或被“信用中国”（www.creditchina.gov.cn）、中国政府采购网（www.ccgp.gov.cn）列入失信被执行人、重大税收违法案件当事人名单、政府采购严重违法失信行为记录名单的；或义乌市综合信用报告评级为D、E类</w:t>
      </w:r>
      <w:r>
        <w:rPr>
          <w:rFonts w:hint="eastAsia" w:ascii="宋体" w:hAnsi="宋体" w:cs="宋体"/>
          <w:color w:val="auto"/>
          <w:kern w:val="0"/>
          <w:sz w:val="24"/>
          <w:highlight w:val="none"/>
        </w:rPr>
        <w:t>；</w:t>
      </w:r>
    </w:p>
    <w:p>
      <w:pPr>
        <w:pStyle w:val="25"/>
        <w:shd w:val="clear"/>
        <w:snapToGrid w:val="0"/>
        <w:rPr>
          <w:rFonts w:ascii="宋体" w:hAnsi="宋体" w:cs="宋体"/>
          <w:color w:val="auto"/>
          <w:highlight w:val="none"/>
          <w:lang w:val="en-US"/>
        </w:rPr>
      </w:pPr>
      <w:r>
        <w:rPr>
          <w:rFonts w:hint="eastAsia" w:ascii="宋体" w:hAnsi="宋体" w:cs="宋体"/>
          <w:color w:val="auto"/>
          <w:highlight w:val="none"/>
          <w:lang w:val="en-US"/>
        </w:rPr>
        <w:t>2.14未按采购文件要求提供电子解密文件的；</w:t>
      </w:r>
    </w:p>
    <w:p>
      <w:pPr>
        <w:shd w:val="clea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2.15评标小组要求投标人对其投标文件作出</w:t>
      </w:r>
      <w:r>
        <w:rPr>
          <w:rFonts w:hint="eastAsia" w:ascii="宋体" w:hAnsi="宋体" w:cs="宋体"/>
          <w:b/>
          <w:bCs/>
          <w:color w:val="auto"/>
          <w:kern w:val="0"/>
          <w:sz w:val="24"/>
          <w:highlight w:val="none"/>
        </w:rPr>
        <w:t>澄清或说明</w:t>
      </w:r>
      <w:r>
        <w:rPr>
          <w:rFonts w:hint="eastAsia" w:ascii="宋体" w:hAnsi="宋体" w:cs="宋体"/>
          <w:color w:val="auto"/>
          <w:kern w:val="0"/>
          <w:sz w:val="24"/>
          <w:highlight w:val="none"/>
        </w:rPr>
        <w:t>，如果投标人代表拒绝</w:t>
      </w:r>
      <w:r>
        <w:rPr>
          <w:rFonts w:hint="eastAsia" w:ascii="宋体" w:hAnsi="宋体" w:cs="宋体"/>
          <w:b/>
          <w:bCs/>
          <w:color w:val="auto"/>
          <w:kern w:val="0"/>
          <w:sz w:val="24"/>
          <w:highlight w:val="none"/>
        </w:rPr>
        <w:t>澄清或说明的，或者拒绝签字的；</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2.16投标报价低于企业成本价者或未填报企业成本价者； </w:t>
      </w:r>
    </w:p>
    <w:p>
      <w:pPr>
        <w:shd w:val="clea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2.17投标报价高于预算价（最高限价）；</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w:t>
      </w:r>
      <w:r>
        <w:rPr>
          <w:rFonts w:hint="eastAsia" w:ascii="宋体" w:hAnsi="宋体" w:cs="宋体"/>
          <w:color w:val="auto"/>
          <w:spacing w:val="-4"/>
          <w:sz w:val="24"/>
          <w:highlight w:val="none"/>
        </w:rPr>
        <w:t>评标小组一致</w:t>
      </w:r>
      <w:r>
        <w:rPr>
          <w:rFonts w:hint="eastAsia" w:ascii="宋体" w:hAnsi="宋体" w:cs="宋体"/>
          <w:color w:val="auto"/>
          <w:sz w:val="24"/>
          <w:highlight w:val="none"/>
        </w:rPr>
        <w:t>认为投标人的报价明显低于其他通过符合性审查投标人的报价，有可能影响项目质量或者不能诚信履约，</w:t>
      </w:r>
      <w:r>
        <w:rPr>
          <w:rFonts w:hint="eastAsia" w:ascii="宋体" w:hAnsi="宋体" w:cs="宋体"/>
          <w:color w:val="auto"/>
          <w:kern w:val="0"/>
          <w:sz w:val="24"/>
          <w:highlight w:val="none"/>
        </w:rPr>
        <w:t>要求其通过“政采云”平台在规定的时间内提供CA签章的材料；</w:t>
      </w:r>
      <w:r>
        <w:rPr>
          <w:rFonts w:hint="eastAsia" w:ascii="宋体" w:hAnsi="宋体" w:cs="宋体"/>
          <w:color w:val="auto"/>
          <w:sz w:val="24"/>
          <w:highlight w:val="none"/>
        </w:rPr>
        <w:t>投标人不能证明其报价合理性的，</w:t>
      </w:r>
      <w:r>
        <w:rPr>
          <w:rFonts w:hint="eastAsia" w:ascii="宋体" w:hAnsi="宋体" w:cs="宋体"/>
          <w:color w:val="auto"/>
          <w:spacing w:val="-4"/>
          <w:sz w:val="24"/>
          <w:highlight w:val="none"/>
        </w:rPr>
        <w:t>评标小组</w:t>
      </w:r>
      <w:r>
        <w:rPr>
          <w:rFonts w:hint="eastAsia" w:ascii="宋体" w:hAnsi="宋体" w:cs="宋体"/>
          <w:color w:val="auto"/>
          <w:sz w:val="24"/>
          <w:highlight w:val="none"/>
        </w:rPr>
        <w:t>应当将其作为无效投标处理；</w:t>
      </w:r>
    </w:p>
    <w:p>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2.19投标人递交两份或多份内容不同的投标文件，或在同一份投标文件中对同一招标项目报有两个或多个报价，且未声明哪一个有效，但按采购文件规定提交备选投标方案的除外；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2.20单位负责人为同一人或者存在直接控股、管理关系的不同投标人，参加同一合同项下的政府采购活动的，均按无效标处理；</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2.21除单一来源采购项目外，为本采购项目提供整体设计、规范编制或者项目管理、监理、检测等服务的投标人，参加本采购项目的采购活动的；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2.22按采购文件规定对投标人的投标报价进行修正后其不确认的；</w:t>
      </w:r>
    </w:p>
    <w:p>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2.23其它不符合《政府采购法》或省、市有关政府采购法律、法规要求的</w:t>
      </w:r>
      <w:r>
        <w:rPr>
          <w:rFonts w:hint="eastAsia" w:ascii="宋体" w:hAnsi="宋体" w:cs="宋体"/>
          <w:b/>
          <w:color w:val="auto"/>
          <w:sz w:val="24"/>
          <w:highlight w:val="none"/>
        </w:rPr>
        <w:t>。</w:t>
      </w:r>
    </w:p>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3.有下列情形之一的，视为投标人串通投标，其投标无效：</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3.1不同投标人的投标文件由同一单位或者个人编制；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3.2不同投标人委托同一单位或者个人办理投标事宜；</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3.3不同投标人的投标文件载明的项目管理成员或者联系人员为同一人；</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3.4不同投标人的投标文件异常一致或者投标报价呈规律性差异；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3.5不同投标人的投标文件相互混装；</w:t>
      </w:r>
    </w:p>
    <w:p>
      <w:pPr>
        <w:pStyle w:val="25"/>
        <w:shd w:val="clear"/>
        <w:snapToGrid w:val="0"/>
        <w:ind w:firstLine="482"/>
        <w:rPr>
          <w:rFonts w:ascii="宋体" w:hAnsi="宋体" w:cs="宋体"/>
          <w:color w:val="auto"/>
          <w:highlight w:val="none"/>
        </w:rPr>
      </w:pPr>
      <w:r>
        <w:rPr>
          <w:rFonts w:hint="eastAsia" w:ascii="宋体" w:hAnsi="宋体" w:cs="宋体"/>
          <w:b/>
          <w:color w:val="auto"/>
          <w:kern w:val="0"/>
          <w:highlight w:val="none"/>
        </w:rPr>
        <w:t>4</w:t>
      </w:r>
      <w:r>
        <w:rPr>
          <w:rFonts w:hint="eastAsia" w:ascii="宋体" w:hAnsi="宋体" w:cs="宋体"/>
          <w:b/>
          <w:color w:val="auto"/>
          <w:kern w:val="0"/>
          <w:highlight w:val="none"/>
          <w:lang w:val="en-US"/>
        </w:rPr>
        <w:t>.</w:t>
      </w:r>
      <w:r>
        <w:rPr>
          <w:rFonts w:hint="eastAsia" w:ascii="宋体" w:hAnsi="宋体" w:cs="宋体"/>
          <w:b/>
          <w:color w:val="auto"/>
          <w:kern w:val="0"/>
          <w:highlight w:val="none"/>
        </w:rPr>
        <w:t>其他违反法律法规的的情况。</w:t>
      </w:r>
    </w:p>
    <w:p>
      <w:pPr>
        <w:pStyle w:val="25"/>
        <w:shd w:val="clear"/>
        <w:snapToGrid w:val="0"/>
        <w:ind w:firstLine="482"/>
        <w:rPr>
          <w:rFonts w:hint="eastAsia" w:ascii="宋体" w:hAnsi="宋体" w:cs="宋体"/>
          <w:b/>
          <w:color w:val="auto"/>
          <w:kern w:val="0"/>
          <w:highlight w:val="none"/>
        </w:rPr>
      </w:pPr>
      <w:r>
        <w:rPr>
          <w:rFonts w:hint="eastAsia" w:ascii="宋体" w:hAnsi="宋体" w:cs="宋体"/>
          <w:b/>
          <w:color w:val="auto"/>
          <w:kern w:val="0"/>
          <w:highlight w:val="none"/>
          <w:lang w:val="en-US"/>
        </w:rPr>
        <w:t>5.</w:t>
      </w:r>
      <w:r>
        <w:rPr>
          <w:rFonts w:hint="eastAsia" w:ascii="宋体" w:hAnsi="宋体" w:cs="宋体"/>
          <w:b/>
          <w:color w:val="auto"/>
          <w:kern w:val="0"/>
          <w:highlight w:val="none"/>
        </w:rPr>
        <w:t>评标过程中，非上述所罗列的情况，不得以无效标处理。</w:t>
      </w:r>
      <w:bookmarkStart w:id="118" w:name="_Toc274303257"/>
      <w:bookmarkStart w:id="119" w:name="_Toc317082908"/>
      <w:bookmarkStart w:id="120" w:name="_Toc385504603"/>
    </w:p>
    <w:p>
      <w:pPr>
        <w:shd w:val="clear"/>
        <w:rPr>
          <w:rFonts w:hint="eastAsia" w:ascii="宋体" w:hAnsi="宋体" w:cs="宋体"/>
          <w:b/>
          <w:color w:val="auto"/>
          <w:kern w:val="0"/>
          <w:highlight w:val="none"/>
        </w:rPr>
      </w:pPr>
      <w:r>
        <w:rPr>
          <w:rFonts w:hint="eastAsia" w:ascii="宋体" w:hAnsi="宋体" w:cs="宋体"/>
          <w:b/>
          <w:color w:val="auto"/>
          <w:kern w:val="0"/>
          <w:highlight w:val="none"/>
        </w:rPr>
        <w:br w:type="page"/>
      </w:r>
    </w:p>
    <w:p>
      <w:pPr>
        <w:pStyle w:val="11"/>
        <w:shd w:val="clear"/>
        <w:rPr>
          <w:color w:val="auto"/>
          <w:highlight w:val="none"/>
        </w:rPr>
      </w:pPr>
    </w:p>
    <w:p>
      <w:pPr>
        <w:pStyle w:val="5"/>
        <w:numPr>
          <w:ilvl w:val="0"/>
          <w:numId w:val="2"/>
        </w:numPr>
        <w:shd w:val="clear"/>
        <w:snapToGrid/>
        <w:spacing w:before="0" w:after="0" w:line="360" w:lineRule="auto"/>
        <w:jc w:val="center"/>
        <w:rPr>
          <w:rFonts w:hint="eastAsia" w:ascii="宋体" w:hAnsi="宋体" w:cs="宋体"/>
          <w:color w:val="auto"/>
          <w:sz w:val="36"/>
          <w:highlight w:val="none"/>
        </w:rPr>
      </w:pPr>
      <w:bookmarkStart w:id="121" w:name="_Toc7721"/>
      <w:r>
        <w:rPr>
          <w:rFonts w:hint="eastAsia" w:ascii="宋体" w:hAnsi="宋体" w:cs="宋体"/>
          <w:color w:val="auto"/>
          <w:sz w:val="36"/>
          <w:highlight w:val="none"/>
        </w:rPr>
        <w:t>评标办法</w:t>
      </w:r>
      <w:bookmarkEnd w:id="121"/>
    </w:p>
    <w:p>
      <w:pPr>
        <w:pStyle w:val="13"/>
        <w:shd w:val="clear"/>
        <w:snapToGrid w:val="0"/>
        <w:spacing w:line="360" w:lineRule="auto"/>
        <w:ind w:firstLine="480" w:firstLineChars="200"/>
        <w:rPr>
          <w:rFonts w:hAnsi="宋体" w:cs="宋体"/>
          <w:color w:val="auto"/>
          <w:sz w:val="24"/>
          <w:highlight w:val="none"/>
        </w:rPr>
      </w:pPr>
    </w:p>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根据《中华人民共和国政府采购法》和《政府采购货物和服务招标投标管理办法》等的有关规定，为更好地做到公开、公平、公正，结合本次招标的特点，特制定本评标办法。</w:t>
      </w:r>
    </w:p>
    <w:p>
      <w:pPr>
        <w:pStyle w:val="13"/>
        <w:shd w:val="clear"/>
        <w:snapToGrid w:val="0"/>
        <w:spacing w:line="360" w:lineRule="auto"/>
        <w:ind w:firstLine="482"/>
        <w:rPr>
          <w:rFonts w:hAnsi="宋体" w:cs="宋体"/>
          <w:b/>
          <w:bCs/>
          <w:color w:val="auto"/>
          <w:sz w:val="24"/>
          <w:highlight w:val="none"/>
        </w:rPr>
      </w:pPr>
      <w:r>
        <w:rPr>
          <w:rFonts w:hint="eastAsia" w:hAnsi="宋体" w:cs="宋体"/>
          <w:b/>
          <w:color w:val="auto"/>
          <w:spacing w:val="-4"/>
          <w:sz w:val="24"/>
          <w:highlight w:val="none"/>
        </w:rPr>
        <w:t>一、</w:t>
      </w:r>
      <w:r>
        <w:rPr>
          <w:rFonts w:hint="eastAsia" w:hAnsi="宋体" w:cs="宋体"/>
          <w:b/>
          <w:bCs/>
          <w:color w:val="auto"/>
          <w:sz w:val="24"/>
          <w:highlight w:val="none"/>
        </w:rPr>
        <w:t>评审程序</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1.对投标人资格文件进行符合性审查，确定资格审查通过单位；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对资格审查通过的投标人的技术文件进行符合性审查，确定技术标有效单位；</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2</w:t>
      </w:r>
      <w:r>
        <w:rPr>
          <w:rFonts w:hint="eastAsia" w:hAnsi="宋体" w:cs="宋体"/>
          <w:color w:val="auto"/>
          <w:sz w:val="24"/>
          <w:szCs w:val="24"/>
          <w:highlight w:val="none"/>
        </w:rPr>
        <w:t>.</w:t>
      </w:r>
      <w:r>
        <w:rPr>
          <w:rFonts w:hint="eastAsia" w:hAnsi="宋体" w:cs="宋体"/>
          <w:color w:val="auto"/>
          <w:sz w:val="24"/>
          <w:highlight w:val="none"/>
        </w:rPr>
        <w:t>对技术标有效的投标单位的技术标进行评分，计算出各技术标有效的投标单位的技术得分；</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3</w:t>
      </w:r>
      <w:r>
        <w:rPr>
          <w:rFonts w:hint="eastAsia" w:hAnsi="宋体" w:cs="宋体"/>
          <w:color w:val="auto"/>
          <w:sz w:val="24"/>
          <w:szCs w:val="24"/>
          <w:highlight w:val="none"/>
        </w:rPr>
        <w:t>.</w:t>
      </w:r>
      <w:r>
        <w:rPr>
          <w:rFonts w:hint="eastAsia" w:hAnsi="宋体" w:cs="宋体"/>
          <w:color w:val="auto"/>
          <w:sz w:val="24"/>
          <w:highlight w:val="none"/>
        </w:rPr>
        <w:t>对商务文件进行符合性审查；</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szCs w:val="24"/>
          <w:highlight w:val="none"/>
        </w:rPr>
        <w:t>.</w:t>
      </w:r>
      <w:r>
        <w:rPr>
          <w:rFonts w:hint="eastAsia" w:hAnsi="宋体" w:cs="宋体"/>
          <w:color w:val="auto"/>
          <w:sz w:val="24"/>
          <w:highlight w:val="none"/>
        </w:rPr>
        <w:t>对商务标符合性审查通过的商务标进行详细评审；</w:t>
      </w:r>
    </w:p>
    <w:p>
      <w:pPr>
        <w:pStyle w:val="13"/>
        <w:shd w:val="clear"/>
        <w:snapToGrid w:val="0"/>
        <w:spacing w:line="360" w:lineRule="auto"/>
        <w:ind w:firstLine="480"/>
        <w:rPr>
          <w:rFonts w:hAnsi="宋体" w:cs="宋体"/>
          <w:color w:val="auto"/>
          <w:sz w:val="24"/>
          <w:highlight w:val="none"/>
        </w:rPr>
      </w:pPr>
      <w:r>
        <w:rPr>
          <w:rFonts w:hint="eastAsia" w:hAnsi="宋体" w:cs="宋体"/>
          <w:color w:val="auto"/>
          <w:sz w:val="24"/>
          <w:highlight w:val="none"/>
        </w:rPr>
        <w:t>5</w:t>
      </w:r>
      <w:r>
        <w:rPr>
          <w:rFonts w:hint="eastAsia" w:hAnsi="宋体" w:cs="宋体"/>
          <w:color w:val="auto"/>
          <w:sz w:val="24"/>
          <w:szCs w:val="24"/>
          <w:highlight w:val="none"/>
        </w:rPr>
        <w:t>.</w:t>
      </w:r>
      <w:r>
        <w:rPr>
          <w:rFonts w:hint="eastAsia" w:hAnsi="宋体" w:cs="宋体"/>
          <w:color w:val="auto"/>
          <w:sz w:val="24"/>
          <w:highlight w:val="none"/>
        </w:rPr>
        <w:t>推荐中标候选人、出具评标报告。</w:t>
      </w:r>
    </w:p>
    <w:p>
      <w:pPr>
        <w:pStyle w:val="13"/>
        <w:shd w:val="clear"/>
        <w:snapToGrid w:val="0"/>
        <w:spacing w:line="360" w:lineRule="auto"/>
        <w:ind w:firstLine="480" w:firstLineChars="200"/>
        <w:rPr>
          <w:rFonts w:hAnsi="宋体" w:cs="宋体"/>
          <w:b/>
          <w:color w:val="auto"/>
          <w:spacing w:val="-4"/>
          <w:sz w:val="24"/>
          <w:highlight w:val="none"/>
        </w:rPr>
      </w:pPr>
      <w:r>
        <w:rPr>
          <w:rFonts w:hint="eastAsia" w:hAnsi="宋体" w:cs="宋体"/>
          <w:color w:val="auto"/>
          <w:sz w:val="24"/>
          <w:highlight w:val="none"/>
        </w:rPr>
        <w:t>评标小组以开标、评标、询标情况为基本依据，</w:t>
      </w:r>
      <w:r>
        <w:rPr>
          <w:rFonts w:hint="eastAsia" w:hAnsi="宋体" w:cs="宋体"/>
          <w:color w:val="auto"/>
          <w:spacing w:val="-4"/>
          <w:sz w:val="24"/>
          <w:highlight w:val="none"/>
        </w:rPr>
        <w:t>对有效的投标文件分技术部分、商务报价二个部分进行分析、评议，</w:t>
      </w:r>
      <w:r>
        <w:rPr>
          <w:rFonts w:hint="eastAsia" w:hAnsi="宋体" w:cs="宋体"/>
          <w:b/>
          <w:color w:val="auto"/>
          <w:spacing w:val="-4"/>
          <w:sz w:val="24"/>
          <w:highlight w:val="none"/>
        </w:rPr>
        <w:t>先评技术标，后评商务标。</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二、评审办法</w:t>
      </w:r>
    </w:p>
    <w:bookmarkEnd w:id="118"/>
    <w:p>
      <w:pPr>
        <w:pStyle w:val="13"/>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评标小组用综合评分法对招标项目作出评标结论。评审内容如下：</w:t>
      </w:r>
    </w:p>
    <w:p>
      <w:pPr>
        <w:pStyle w:val="13"/>
        <w:shd w:val="clear"/>
        <w:snapToGrid w:val="0"/>
        <w:spacing w:line="360" w:lineRule="auto"/>
        <w:ind w:firstLine="354" w:firstLineChars="147"/>
        <w:rPr>
          <w:rFonts w:hAnsi="宋体" w:cs="宋体"/>
          <w:b/>
          <w:bCs/>
          <w:color w:val="auto"/>
          <w:sz w:val="24"/>
          <w:szCs w:val="24"/>
          <w:highlight w:val="none"/>
        </w:rPr>
      </w:pPr>
      <w:r>
        <w:rPr>
          <w:rFonts w:hint="eastAsia" w:hAnsi="宋体" w:cs="宋体"/>
          <w:b/>
          <w:bCs/>
          <w:color w:val="auto"/>
          <w:sz w:val="24"/>
          <w:szCs w:val="24"/>
          <w:highlight w:val="none"/>
        </w:rPr>
        <w:t>1.技术标评审，满分</w:t>
      </w: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0分</w:t>
      </w:r>
    </w:p>
    <w:bookmarkEnd w:id="119"/>
    <w:bookmarkEnd w:id="120"/>
    <w:tbl>
      <w:tblPr>
        <w:tblStyle w:val="22"/>
        <w:tblpPr w:leftFromText="180" w:rightFromText="180" w:vertAnchor="text" w:horzAnchor="page" w:tblpX="884" w:tblpY="428"/>
        <w:tblOverlap w:val="never"/>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82"/>
        <w:gridCol w:w="661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评分基本规则</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总体方案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ascii="宋体" w:hAnsi="宋体" w:cs="宋体"/>
                <w:color w:val="auto"/>
                <w:kern w:val="0"/>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的理解程度</w:t>
            </w:r>
            <w:r>
              <w:rPr>
                <w:rFonts w:hint="eastAsia" w:ascii="宋体" w:hAnsi="宋体" w:cs="宋体"/>
                <w:color w:val="auto"/>
                <w:szCs w:val="21"/>
                <w:highlight w:val="none"/>
                <w:lang w:val="en-US" w:eastAsia="zh-CN"/>
              </w:rPr>
              <w:t>的全面性、符合性等，进行</w:t>
            </w:r>
            <w:r>
              <w:rPr>
                <w:rFonts w:hint="eastAsia" w:ascii="宋体" w:hAnsi="宋体" w:cs="宋体"/>
                <w:color w:val="auto"/>
                <w:szCs w:val="21"/>
                <w:highlight w:val="none"/>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的总体设计</w:t>
            </w:r>
            <w:r>
              <w:rPr>
                <w:rFonts w:hint="eastAsia" w:ascii="宋体" w:hAnsi="宋体" w:cs="宋体"/>
                <w:color w:val="auto"/>
                <w:szCs w:val="21"/>
                <w:highlight w:val="none"/>
                <w:lang w:val="en-US" w:eastAsia="zh-CN"/>
              </w:rPr>
              <w:t>情况的科学性、合理性、可行性等，进行打分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根据投标人的管理机构设置、管理制度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完善</w:t>
            </w:r>
            <w:r>
              <w:rPr>
                <w:rFonts w:hint="eastAsia" w:ascii="宋体" w:hAnsi="宋体" w:cs="宋体"/>
                <w:color w:val="auto"/>
                <w:sz w:val="21"/>
                <w:szCs w:val="21"/>
                <w:highlight w:val="none"/>
                <w:lang w:val="en-US" w:eastAsia="zh-CN"/>
              </w:rPr>
              <w:t>程度、全面性等</w:t>
            </w:r>
            <w:r>
              <w:rPr>
                <w:rFonts w:hint="eastAsia" w:ascii="宋体" w:hAnsi="宋体" w:eastAsia="宋体" w:cs="宋体"/>
                <w:color w:val="auto"/>
                <w:sz w:val="21"/>
                <w:szCs w:val="21"/>
                <w:highlight w:val="none"/>
                <w:lang w:val="en-US" w:eastAsia="zh-CN"/>
              </w:rPr>
              <w:t>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根据投标人的管理质量目标是否明确，综合运维技术、供配电等设备设施关键部位管理技术、重点难点分析及相应的解决办法、管理质量保证措施的可靠性等进行打分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top w:val="single" w:color="auto" w:sz="4" w:space="0"/>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2</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拟投入本项目设备</w:t>
            </w:r>
          </w:p>
          <w:p>
            <w:pPr>
              <w:shd w:val="clear"/>
              <w:jc w:val="center"/>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客</w:t>
            </w:r>
            <w:r>
              <w:rPr>
                <w:rFonts w:hint="eastAsia"/>
                <w:color w:val="auto"/>
                <w:highlight w:val="none"/>
              </w:rPr>
              <w:t>观分)</w:t>
            </w:r>
          </w:p>
        </w:tc>
        <w:tc>
          <w:tcPr>
            <w:tcW w:w="6612" w:type="dxa"/>
            <w:tcBorders>
              <w:top w:val="single" w:color="auto" w:sz="4" w:space="0"/>
              <w:left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lang w:val="en-US" w:eastAsia="zh-CN"/>
              </w:rPr>
              <w:t>LED灯具：6000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光衰测试报告得3分</w:t>
            </w:r>
            <w:r>
              <w:rPr>
                <w:rFonts w:hint="eastAsia" w:ascii="宋体" w:hAnsi="宋体" w:cs="宋体"/>
                <w:color w:val="auto"/>
                <w:szCs w:val="21"/>
                <w:highlight w:val="none"/>
              </w:rPr>
              <w:t>；提供6000小时光通维持率≥98%光衰测试报告得2分；提供</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小时光通维持率≥9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%光衰测试报告得1分；</w:t>
            </w:r>
          </w:p>
          <w:p>
            <w:pPr>
              <w:widowControl/>
              <w:shd w:val="clea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提供光衰测试报告复印件加盖公章，未提供则不得分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LED模组和单灯控制器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根据投标人提供的</w:t>
            </w:r>
            <w:r>
              <w:rPr>
                <w:rFonts w:hint="eastAsia" w:ascii="宋体" w:hAnsi="宋体" w:cs="宋体"/>
                <w:color w:val="auto"/>
                <w:szCs w:val="21"/>
                <w:highlight w:val="none"/>
              </w:rPr>
              <w:t>LED</w:t>
            </w:r>
            <w:r>
              <w:rPr>
                <w:rFonts w:hint="eastAsia" w:ascii="宋体" w:hAnsi="宋体" w:cs="宋体"/>
                <w:color w:val="auto"/>
                <w:szCs w:val="21"/>
                <w:highlight w:val="none"/>
                <w:lang w:val="en-US" w:eastAsia="zh-CN"/>
              </w:rPr>
              <w:t>灯头</w:t>
            </w:r>
            <w:r>
              <w:rPr>
                <w:rFonts w:hint="eastAsia" w:ascii="宋体" w:hAnsi="宋体" w:cs="宋体"/>
                <w:color w:val="auto"/>
                <w:szCs w:val="21"/>
                <w:highlight w:val="none"/>
              </w:rPr>
              <w:t>模组的要求和单灯控制器要求</w:t>
            </w:r>
            <w:r>
              <w:rPr>
                <w:rFonts w:hint="eastAsia" w:ascii="宋体" w:hAnsi="宋体" w:cs="宋体"/>
                <w:color w:val="auto"/>
                <w:szCs w:val="21"/>
                <w:highlight w:val="none"/>
                <w:lang w:val="en-US" w:eastAsia="zh-CN"/>
              </w:rPr>
              <w:t>的技术参数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投标人提供的产品全部符合招标文件要求的得17分，每有1项不满足扣1.5分，扣完为止，本项满分17分。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rPr>
              <w:t>可远程控制云平台</w:t>
            </w:r>
            <w:r>
              <w:rPr>
                <w:rFonts w:hint="eastAsia"/>
                <w:color w:val="auto"/>
                <w:highlight w:val="none"/>
                <w:lang w:val="en-US" w:eastAsia="zh-CN"/>
              </w:rPr>
              <w:t>功能配置</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的功能配置的完整性、全面性、先进程度等进行打分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的整体操作流程的合理性、便捷性、科学性等进行打分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根据投标人提供的</w:t>
            </w:r>
            <w:r>
              <w:rPr>
                <w:rFonts w:hint="eastAsia"/>
                <w:color w:val="auto"/>
                <w:highlight w:val="none"/>
              </w:rPr>
              <w:t>可远程控制云平台</w:t>
            </w:r>
            <w:r>
              <w:rPr>
                <w:rFonts w:hint="eastAsia"/>
                <w:color w:val="auto"/>
                <w:highlight w:val="none"/>
                <w:lang w:val="en-US" w:eastAsia="zh-CN"/>
              </w:rPr>
              <w:t>界面的美观程度、布局的合理性等进行打分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autoSpaceDE w:val="0"/>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服务方案</w:t>
            </w:r>
          </w:p>
          <w:p>
            <w:pPr>
              <w:shd w:val="clear"/>
              <w:jc w:val="center"/>
              <w:rPr>
                <w:rFonts w:hint="default"/>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根据质保期限、售后服务方案</w:t>
            </w:r>
            <w:r>
              <w:rPr>
                <w:rFonts w:hint="eastAsia" w:ascii="宋体" w:hAnsi="宋体" w:cs="宋体"/>
                <w:color w:val="auto"/>
                <w:szCs w:val="21"/>
                <w:highlight w:val="none"/>
                <w:lang w:val="en-US" w:eastAsia="zh-CN"/>
              </w:rPr>
              <w:t>的可实现程度、可行性、全面性进行打分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根据投标人针对本项目的服务承诺</w:t>
            </w:r>
            <w:r>
              <w:rPr>
                <w:rFonts w:hint="eastAsia" w:ascii="宋体" w:hAnsi="宋体" w:cs="宋体"/>
                <w:color w:val="auto"/>
                <w:szCs w:val="21"/>
                <w:highlight w:val="none"/>
              </w:rPr>
              <w:t>（如技术队伍能力，服务响应时效）等情况</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打分</w:t>
            </w:r>
          </w:p>
        </w:tc>
        <w:tc>
          <w:tcPr>
            <w:tcW w:w="976" w:type="dxa"/>
            <w:tcBorders>
              <w:top w:val="single" w:color="auto" w:sz="4" w:space="0"/>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restart"/>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82" w:type="dxa"/>
            <w:vMerge w:val="restart"/>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组织方案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根据投标人组织机构</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完善，人员配备</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完善，分工</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合理明确，职责、界面</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清晰</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打分</w:t>
            </w:r>
            <w:r>
              <w:rPr>
                <w:rFonts w:hint="eastAsia" w:ascii="宋体" w:hAnsi="宋体" w:cs="宋体"/>
                <w:color w:val="auto"/>
                <w:szCs w:val="21"/>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根据投标人工作</w:t>
            </w:r>
            <w:r>
              <w:rPr>
                <w:rFonts w:hint="eastAsia" w:ascii="宋体" w:hAnsi="宋体" w:cs="宋体"/>
                <w:color w:val="auto"/>
                <w:szCs w:val="21"/>
                <w:highlight w:val="none"/>
                <w:lang w:val="en-US" w:eastAsia="zh-CN"/>
              </w:rPr>
              <w:t>的进度</w:t>
            </w:r>
            <w:r>
              <w:rPr>
                <w:rFonts w:hint="eastAsia" w:ascii="宋体" w:hAnsi="宋体" w:cs="宋体"/>
                <w:color w:val="auto"/>
                <w:szCs w:val="21"/>
                <w:highlight w:val="none"/>
              </w:rPr>
              <w:t>计划、监督</w:t>
            </w:r>
            <w:r>
              <w:rPr>
                <w:rFonts w:hint="eastAsia" w:ascii="宋体" w:hAnsi="宋体" w:cs="宋体"/>
                <w:color w:val="auto"/>
                <w:szCs w:val="21"/>
                <w:highlight w:val="none"/>
                <w:lang w:val="en-US" w:eastAsia="zh-CN"/>
              </w:rPr>
              <w:t>力度</w:t>
            </w:r>
            <w:r>
              <w:rPr>
                <w:rFonts w:hint="eastAsia" w:ascii="宋体" w:hAnsi="宋体" w:cs="宋体"/>
                <w:color w:val="auto"/>
                <w:szCs w:val="21"/>
                <w:highlight w:val="none"/>
              </w:rPr>
              <w:t>、检查</w:t>
            </w:r>
            <w:r>
              <w:rPr>
                <w:rFonts w:hint="eastAsia" w:ascii="宋体" w:hAnsi="宋体" w:cs="宋体"/>
                <w:color w:val="auto"/>
                <w:szCs w:val="21"/>
                <w:highlight w:val="none"/>
                <w:lang w:val="en-US" w:eastAsia="zh-CN"/>
              </w:rPr>
              <w:t>机制和方案进行打分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tcBorders>
              <w:left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根据投标人项目方案中有专门针对安全的措施，</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过程中无安全隐患，进行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p>
          <w:p>
            <w:pPr>
              <w:shd w:val="clea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left w:val="single" w:color="auto" w:sz="4" w:space="0"/>
              <w:right w:val="single" w:color="auto" w:sz="4" w:space="0"/>
            </w:tcBorders>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582" w:type="dxa"/>
            <w:tcBorders>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应急预案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根据投标人项目方案中有专门针对突发状况的应急处理预案，确保整个道路照明系统可靠稳定运行，进行打分。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节能改造方案</w:t>
            </w:r>
          </w:p>
          <w:p>
            <w:pPr>
              <w:shd w:val="clear"/>
              <w:jc w:val="center"/>
              <w:rPr>
                <w:rFonts w:hint="eastAsia"/>
                <w:color w:val="auto"/>
                <w:highlight w:val="none"/>
                <w:lang w:val="en-US" w:eastAsia="zh-CN"/>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cs="宋体"/>
                <w:color w:val="auto"/>
                <w:szCs w:val="21"/>
                <w:highlight w:val="none"/>
              </w:rPr>
            </w:pPr>
            <w:r>
              <w:rPr>
                <w:rFonts w:hint="eastAsia" w:ascii="宋体" w:hAnsi="宋体" w:cs="宋体"/>
                <w:color w:val="auto"/>
                <w:szCs w:val="21"/>
                <w:highlight w:val="none"/>
              </w:rPr>
              <w:t>根据投标人节能改造方案</w:t>
            </w:r>
            <w:r>
              <w:rPr>
                <w:rFonts w:hint="eastAsia" w:ascii="宋体" w:hAnsi="宋体" w:cs="宋体"/>
                <w:color w:val="auto"/>
                <w:szCs w:val="21"/>
                <w:highlight w:val="none"/>
                <w:lang w:val="en-US" w:eastAsia="zh-CN"/>
              </w:rPr>
              <w:t>是否</w:t>
            </w:r>
            <w:r>
              <w:rPr>
                <w:rFonts w:hint="eastAsia" w:ascii="宋体" w:hAnsi="宋体" w:cs="宋体"/>
                <w:color w:val="auto"/>
                <w:szCs w:val="21"/>
                <w:highlight w:val="none"/>
              </w:rPr>
              <w:t>涉及多项能源网软、硬件设备，涵盖方面</w:t>
            </w:r>
            <w:r>
              <w:rPr>
                <w:rFonts w:hint="eastAsia" w:ascii="宋体" w:hAnsi="宋体" w:cs="宋体"/>
                <w:color w:val="auto"/>
                <w:szCs w:val="21"/>
                <w:highlight w:val="none"/>
                <w:lang w:val="en-US" w:eastAsia="zh-CN"/>
              </w:rPr>
              <w:t>的全面性等</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打</w:t>
            </w:r>
            <w:r>
              <w:rPr>
                <w:rFonts w:hint="eastAsia" w:ascii="宋体" w:hAnsi="宋体" w:cs="宋体"/>
                <w:color w:val="auto"/>
                <w:szCs w:val="21"/>
                <w:highlight w:val="none"/>
              </w:rPr>
              <w:t>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rPr>
                <w:color w:val="auto"/>
                <w:highlight w:val="none"/>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CN"/>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根据投标人方案对道路照明能耗基准指标性能评价与分析是否准确、清晰，进行打分</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hd w:val="clear"/>
              <w:rPr>
                <w:rFonts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宋体" w:hAnsi="宋体" w:cs="宋体"/>
                <w:color w:val="auto"/>
                <w:szCs w:val="21"/>
                <w:highlight w:val="none"/>
                <w:lang w:val="en-US"/>
              </w:rPr>
            </w:pPr>
            <w:r>
              <w:rPr>
                <w:rFonts w:hint="eastAsia" w:ascii="新宋体" w:hAnsi="新宋体" w:eastAsia="新宋体" w:cs="新宋体"/>
                <w:color w:val="auto"/>
                <w:sz w:val="21"/>
                <w:szCs w:val="21"/>
                <w:highlight w:val="none"/>
                <w:lang w:val="en-US" w:eastAsia="zh-CN"/>
              </w:rPr>
              <w:t>根据投标人项目方案中针对数据保密的措施及相关涉密信息安全的全面性、可行性等，进行打分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根据投标人提出的节能改造方案科学</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性进行打分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color w:val="auto"/>
                <w:highlight w:val="none"/>
                <w:lang w:val="en-US"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宋体" w:hAnsi="宋体" w:cs="宋体"/>
                <w:color w:val="auto"/>
                <w:szCs w:val="21"/>
                <w:highlight w:val="none"/>
              </w:rPr>
              <w:t>根据投标人提出</w:t>
            </w:r>
            <w:r>
              <w:rPr>
                <w:rFonts w:hint="eastAsia" w:ascii="宋体" w:hAnsi="宋体" w:cs="宋体"/>
                <w:color w:val="auto"/>
                <w:szCs w:val="21"/>
                <w:highlight w:val="none"/>
                <w:lang w:val="en-US" w:eastAsia="zh-CN"/>
              </w:rPr>
              <w:t>的节能改造方案</w:t>
            </w:r>
            <w:r>
              <w:rPr>
                <w:rFonts w:hint="eastAsia" w:ascii="宋体" w:hAnsi="宋体" w:cs="宋体"/>
                <w:color w:val="auto"/>
                <w:szCs w:val="21"/>
                <w:highlight w:val="none"/>
              </w:rPr>
              <w:t>能够实现能源耦合利用的情况，进行</w:t>
            </w:r>
            <w:r>
              <w:rPr>
                <w:rFonts w:hint="eastAsia" w:ascii="宋体" w:hAnsi="宋体" w:cs="宋体"/>
                <w:color w:val="auto"/>
                <w:szCs w:val="21"/>
                <w:highlight w:val="none"/>
                <w:lang w:val="en-US" w:eastAsia="zh-CN"/>
              </w:rPr>
              <w:t>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restart"/>
            <w:tcBorders>
              <w:top w:val="single" w:color="auto" w:sz="4" w:space="0"/>
              <w:left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582" w:type="dxa"/>
            <w:vMerge w:val="restart"/>
            <w:tcBorders>
              <w:top w:val="single" w:color="auto" w:sz="4" w:space="0"/>
              <w:left w:val="single" w:color="auto" w:sz="4" w:space="0"/>
              <w:right w:val="single" w:color="auto" w:sz="4" w:space="0"/>
            </w:tcBorders>
            <w:vAlign w:val="center"/>
          </w:tcPr>
          <w:p>
            <w:pPr>
              <w:shd w:val="clear"/>
              <w:jc w:val="center"/>
              <w:rPr>
                <w:rFonts w:hint="eastAsia"/>
                <w:color w:val="auto"/>
                <w:highlight w:val="none"/>
                <w:lang w:val="en-US" w:eastAsia="zh-CN"/>
              </w:rPr>
            </w:pPr>
            <w:r>
              <w:rPr>
                <w:rFonts w:hint="eastAsia"/>
                <w:color w:val="auto"/>
                <w:highlight w:val="none"/>
                <w:lang w:val="en-US" w:eastAsia="zh-CN"/>
              </w:rPr>
              <w:t>持续性服务</w:t>
            </w:r>
          </w:p>
          <w:p>
            <w:pPr>
              <w:shd w:val="clear"/>
              <w:jc w:val="center"/>
              <w:rPr>
                <w:rFonts w:hint="eastAsia"/>
                <w:color w:val="auto"/>
                <w:highlight w:val="none"/>
                <w:lang w:val="en-US" w:eastAsia="zh-CN"/>
              </w:rPr>
            </w:pPr>
            <w:r>
              <w:rPr>
                <w:rFonts w:hint="eastAsia"/>
                <w:color w:val="auto"/>
                <w:highlight w:val="none"/>
                <w:lang w:val="en-US" w:eastAsia="zh-CN"/>
              </w:rPr>
              <w:t>方案</w:t>
            </w:r>
          </w:p>
          <w:p>
            <w:pPr>
              <w:shd w:val="clear"/>
              <w:jc w:val="center"/>
              <w:rPr>
                <w:rFonts w:hint="eastAsia"/>
                <w:color w:val="auto"/>
                <w:highlight w:val="none"/>
                <w:lang w:val="en-US" w:eastAsia="zh-Hans"/>
              </w:rPr>
            </w:pPr>
            <w:r>
              <w:rPr>
                <w:rFonts w:hint="eastAsia"/>
                <w:color w:val="auto"/>
                <w:highlight w:val="none"/>
                <w:lang w:val="en-US" w:eastAsia="zh-CN"/>
              </w:rPr>
              <w:t>(主观分)</w:t>
            </w: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根据投标人合同期内能够持续提供服务，有序推进各道路照明能源节约并能合理运行。提供详细的系统及设备的维保方案，进行打分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tcBorders>
              <w:left w:val="single" w:color="auto" w:sz="4" w:space="0"/>
              <w:bottom w:val="single" w:color="auto" w:sz="4" w:space="0"/>
              <w:right w:val="single" w:color="auto" w:sz="4" w:space="0"/>
            </w:tcBorders>
            <w:vAlign w:val="center"/>
          </w:tcPr>
          <w:p>
            <w:pPr>
              <w:shd w:val="clear"/>
              <w:spacing w:line="440" w:lineRule="exact"/>
              <w:jc w:val="center"/>
              <w:rPr>
                <w:rFonts w:hint="default" w:ascii="宋体" w:hAnsi="宋体" w:eastAsia="宋体" w:cs="宋体"/>
                <w:color w:val="auto"/>
                <w:kern w:val="0"/>
                <w:szCs w:val="21"/>
                <w:highlight w:val="none"/>
                <w:lang w:val="en-US" w:eastAsia="zh-CN"/>
              </w:rPr>
            </w:pPr>
          </w:p>
        </w:tc>
        <w:tc>
          <w:tcPr>
            <w:tcW w:w="1582" w:type="dxa"/>
            <w:vMerge w:val="continue"/>
            <w:tcBorders>
              <w:left w:val="single" w:color="auto" w:sz="4" w:space="0"/>
              <w:bottom w:val="single" w:color="auto" w:sz="4" w:space="0"/>
              <w:right w:val="single" w:color="auto" w:sz="4" w:space="0"/>
            </w:tcBorders>
            <w:vAlign w:val="center"/>
          </w:tcPr>
          <w:p>
            <w:pPr>
              <w:shd w:val="clear"/>
              <w:jc w:val="center"/>
              <w:rPr>
                <w:rFonts w:hint="eastAsia" w:ascii="宋体" w:hAnsi="宋体" w:cs="宋体"/>
                <w:color w:val="auto"/>
                <w:szCs w:val="21"/>
                <w:highlight w:val="none"/>
                <w:lang w:eastAsia="zh-Hans"/>
              </w:rPr>
            </w:pPr>
          </w:p>
        </w:tc>
        <w:tc>
          <w:tcPr>
            <w:tcW w:w="6612" w:type="dxa"/>
            <w:tcBorders>
              <w:top w:val="single" w:color="auto" w:sz="4" w:space="0"/>
              <w:left w:val="single" w:color="auto" w:sz="4" w:space="0"/>
              <w:bottom w:val="single" w:color="auto" w:sz="4" w:space="0"/>
              <w:right w:val="single" w:color="auto" w:sz="4" w:space="0"/>
            </w:tcBorders>
            <w:vAlign w:val="center"/>
          </w:tcPr>
          <w:p>
            <w:pPr>
              <w:widowControl/>
              <w:shd w:val="clear"/>
              <w:snapToGrid w:val="0"/>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根据投标人合同期内能够对投入或维护的设备持续提供技术改良措施的方案进行打分</w:t>
            </w:r>
          </w:p>
        </w:tc>
        <w:tc>
          <w:tcPr>
            <w:tcW w:w="97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r>
    </w:tbl>
    <w:p>
      <w:pPr>
        <w:shd w:val="clear"/>
        <w:adjustRightInd w:val="0"/>
        <w:snapToGrid w:val="0"/>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评标小组根据上述评分细目和各投标方的技术标书的审核情况，自行判定，打分时保留小数1位，每人一份评分表，并签名。在统计得分时，如果发现某一单项评分超过评分细则规定的分值范围，则该张评分表无效。</w:t>
      </w:r>
    </w:p>
    <w:p>
      <w:pPr>
        <w:shd w:val="clear"/>
        <w:adjustRightInd w:val="0"/>
        <w:snapToGrid w:val="0"/>
        <w:spacing w:line="360" w:lineRule="auto"/>
        <w:ind w:firstLine="459" w:firstLineChars="198"/>
        <w:rPr>
          <w:rFonts w:ascii="宋体" w:hAnsi="宋体" w:cs="宋体"/>
          <w:b/>
          <w:bCs/>
          <w:color w:val="auto"/>
          <w:spacing w:val="-4"/>
          <w:sz w:val="24"/>
          <w:highlight w:val="none"/>
        </w:rPr>
      </w:pPr>
      <w:r>
        <w:rPr>
          <w:rFonts w:hint="eastAsia" w:ascii="宋体" w:hAnsi="宋体" w:cs="宋体"/>
          <w:color w:val="auto"/>
          <w:spacing w:val="-4"/>
          <w:sz w:val="24"/>
          <w:highlight w:val="none"/>
        </w:rPr>
        <w:t>技术标得分：最终得分为评标小组成员的有效评分的算术平均值。计算时保留小数2位（四舍五入）。</w:t>
      </w:r>
      <w:r>
        <w:rPr>
          <w:rFonts w:hint="eastAsia" w:ascii="宋体" w:hAnsi="宋体" w:cs="宋体"/>
          <w:b/>
          <w:bCs/>
          <w:color w:val="auto"/>
          <w:spacing w:val="-4"/>
          <w:sz w:val="24"/>
          <w:highlight w:val="none"/>
        </w:rPr>
        <w:t xml:space="preserve"> </w:t>
      </w:r>
    </w:p>
    <w:p>
      <w:pPr>
        <w:pStyle w:val="13"/>
        <w:shd w:val="clear"/>
        <w:snapToGrid w:val="0"/>
        <w:spacing w:line="360" w:lineRule="auto"/>
        <w:ind w:left="482"/>
        <w:rPr>
          <w:rFonts w:hAnsi="宋体" w:cs="宋体"/>
          <w:b/>
          <w:bCs/>
          <w:color w:val="auto"/>
          <w:sz w:val="24"/>
          <w:szCs w:val="24"/>
          <w:highlight w:val="none"/>
        </w:rPr>
      </w:pPr>
      <w:bookmarkStart w:id="122" w:name="_Toc385504602"/>
      <w:bookmarkStart w:id="123" w:name="_Toc317082907"/>
      <w:r>
        <w:rPr>
          <w:rFonts w:hint="eastAsia" w:hAnsi="宋体" w:cs="宋体"/>
          <w:b/>
          <w:bCs/>
          <w:color w:val="auto"/>
          <w:sz w:val="24"/>
          <w:szCs w:val="24"/>
          <w:highlight w:val="none"/>
        </w:rPr>
        <w:t>2</w:t>
      </w:r>
      <w:bookmarkEnd w:id="122"/>
      <w:bookmarkEnd w:id="123"/>
      <w:r>
        <w:rPr>
          <w:rFonts w:hint="eastAsia" w:hAnsi="宋体" w:cs="宋体"/>
          <w:b/>
          <w:bCs/>
          <w:color w:val="auto"/>
          <w:sz w:val="24"/>
          <w:highlight w:val="none"/>
        </w:rPr>
        <w:t>.</w:t>
      </w:r>
      <w:r>
        <w:rPr>
          <w:rFonts w:hint="eastAsia" w:hAnsi="宋体" w:cs="宋体"/>
          <w:b/>
          <w:bCs/>
          <w:color w:val="auto"/>
          <w:sz w:val="24"/>
          <w:szCs w:val="24"/>
          <w:highlight w:val="none"/>
        </w:rPr>
        <w:t>商务标评审，满分</w:t>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0分</w:t>
      </w:r>
    </w:p>
    <w:p>
      <w:pPr>
        <w:shd w:val="clea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2.1甄别异常报价</w:t>
      </w:r>
    </w:p>
    <w:p>
      <w:pPr>
        <w:shd w:val="clear"/>
        <w:adjustRightInd w:val="0"/>
        <w:snapToGrid w:val="0"/>
        <w:spacing w:line="400" w:lineRule="exact"/>
        <w:ind w:firstLine="459" w:firstLineChars="198"/>
        <w:rPr>
          <w:rFonts w:ascii="宋体" w:hAnsi="宋体" w:cs="宋体"/>
          <w:color w:val="auto"/>
          <w:spacing w:val="-4"/>
          <w:sz w:val="24"/>
          <w:highlight w:val="none"/>
        </w:rPr>
      </w:pPr>
      <w:r>
        <w:rPr>
          <w:rFonts w:hint="eastAsia" w:ascii="宋体" w:hAnsi="宋体" w:cs="宋体"/>
          <w:color w:val="auto"/>
          <w:spacing w:val="-4"/>
          <w:sz w:val="24"/>
          <w:highlight w:val="none"/>
        </w:rPr>
        <w:t>对出现下列情况之一的，由评标小组认定为异常报价，按无效标处理，不再进行评审：</w:t>
      </w:r>
    </w:p>
    <w:p>
      <w:pPr>
        <w:shd w:val="clear"/>
        <w:adjustRightInd w:val="0"/>
        <w:snapToGrid w:val="0"/>
        <w:spacing w:line="400" w:lineRule="exact"/>
        <w:ind w:firstLine="475" w:firstLineChars="198"/>
        <w:rPr>
          <w:rFonts w:ascii="宋体" w:hAnsi="宋体" w:cs="宋体"/>
          <w:color w:val="auto"/>
          <w:sz w:val="24"/>
          <w:highlight w:val="none"/>
        </w:rPr>
      </w:pPr>
      <w:r>
        <w:rPr>
          <w:rFonts w:hint="eastAsia" w:ascii="宋体" w:hAnsi="宋体" w:cs="宋体"/>
          <w:color w:val="auto"/>
          <w:sz w:val="24"/>
          <w:highlight w:val="none"/>
        </w:rPr>
        <w:t>2.1.1报价高于</w:t>
      </w:r>
      <w:r>
        <w:rPr>
          <w:rFonts w:hint="eastAsia" w:ascii="宋体" w:hAnsi="宋体" w:cs="宋体"/>
          <w:color w:val="auto"/>
          <w:kern w:val="0"/>
          <w:sz w:val="24"/>
          <w:highlight w:val="none"/>
        </w:rPr>
        <w:t>最高限价</w:t>
      </w:r>
      <w:r>
        <w:rPr>
          <w:rFonts w:hint="eastAsia" w:ascii="宋体" w:hAnsi="宋体" w:cs="宋体"/>
          <w:color w:val="auto"/>
          <w:sz w:val="24"/>
          <w:highlight w:val="none"/>
        </w:rPr>
        <w:t>；</w:t>
      </w:r>
    </w:p>
    <w:p>
      <w:pPr>
        <w:shd w:val="clea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pacing w:val="-4"/>
          <w:sz w:val="24"/>
          <w:highlight w:val="none"/>
        </w:rPr>
        <w:t>评标小组一致认为投标人的报价明显低于其他通过符合性审查投标人的报价，有可能影响项目质量或者不能诚信履约，要求其通过“政采云”平台在规定的时间内提供CA签章的材料；投标人不能证明其报价合理性的，评标小组应当将其作为无效投标处理</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2.2商务报价分计算方法如下：</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评标基准价的确定办法：以所有有效报价中的最低报价为基准价，投标人的价格分统一按下列公式计算：</w:t>
      </w:r>
    </w:p>
    <w:p>
      <w:pPr>
        <w:pStyle w:val="14"/>
        <w:shd w:val="clear"/>
        <w:spacing w:line="440" w:lineRule="exact"/>
        <w:ind w:firstLineChars="200"/>
        <w:rPr>
          <w:rFonts w:hAnsi="宋体" w:eastAsia="宋体" w:cs="宋体"/>
          <w:color w:val="auto"/>
          <w:szCs w:val="24"/>
          <w:highlight w:val="none"/>
        </w:rPr>
      </w:pPr>
      <w:r>
        <w:rPr>
          <w:rFonts w:hint="eastAsia" w:hAnsi="宋体" w:eastAsia="宋体" w:cs="宋体"/>
          <w:color w:val="auto"/>
          <w:szCs w:val="24"/>
          <w:highlight w:val="none"/>
        </w:rPr>
        <w:t>商务标得分={基准价/（投标报价）}×</w:t>
      </w:r>
      <w:r>
        <w:rPr>
          <w:rFonts w:hint="eastAsia" w:hAnsi="宋体" w:eastAsia="宋体" w:cs="宋体"/>
          <w:color w:val="auto"/>
          <w:szCs w:val="24"/>
          <w:highlight w:val="none"/>
          <w:lang w:val="en-US" w:eastAsia="zh-CN"/>
        </w:rPr>
        <w:t>2</w:t>
      </w:r>
      <w:r>
        <w:rPr>
          <w:rFonts w:hint="eastAsia" w:hAnsi="宋体" w:eastAsia="宋体" w:cs="宋体"/>
          <w:color w:val="auto"/>
          <w:szCs w:val="24"/>
          <w:highlight w:val="none"/>
        </w:rPr>
        <w:t xml:space="preserve">0    </w:t>
      </w:r>
    </w:p>
    <w:p>
      <w:pPr>
        <w:pStyle w:val="14"/>
        <w:shd w:val="clear"/>
        <w:spacing w:line="460" w:lineRule="exact"/>
        <w:ind w:firstLine="482" w:firstLineChars="200"/>
        <w:rPr>
          <w:rFonts w:hAnsi="宋体" w:eastAsia="宋体" w:cs="宋体"/>
          <w:b/>
          <w:bCs/>
          <w:color w:val="auto"/>
          <w:highlight w:val="none"/>
        </w:rPr>
      </w:pPr>
      <w:r>
        <w:rPr>
          <w:rFonts w:hint="eastAsia" w:hAnsi="宋体" w:eastAsia="宋体" w:cs="宋体"/>
          <w:b/>
          <w:bCs/>
          <w:color w:val="auto"/>
          <w:highlight w:val="none"/>
        </w:rPr>
        <w:t>3.计算总得分</w:t>
      </w:r>
    </w:p>
    <w:p>
      <w:pPr>
        <w:pStyle w:val="14"/>
        <w:shd w:val="clear"/>
        <w:spacing w:line="460" w:lineRule="exact"/>
        <w:ind w:firstLineChars="200"/>
        <w:rPr>
          <w:rFonts w:hAnsi="宋体" w:eastAsia="宋体" w:cs="宋体"/>
          <w:color w:val="auto"/>
          <w:highlight w:val="none"/>
        </w:rPr>
      </w:pPr>
      <w:r>
        <w:rPr>
          <w:rFonts w:hint="eastAsia" w:hAnsi="宋体" w:eastAsia="宋体" w:cs="宋体"/>
          <w:color w:val="auto"/>
          <w:highlight w:val="none"/>
        </w:rPr>
        <w:t>总得分=技术标得分+商务标得分</w:t>
      </w:r>
      <w:bookmarkStart w:id="124" w:name="_Toc439841453"/>
      <w:bookmarkStart w:id="125" w:name="_Toc405798418"/>
      <w:r>
        <w:rPr>
          <w:rFonts w:hint="eastAsia" w:hAnsi="宋体" w:eastAsia="宋体" w:cs="宋体"/>
          <w:color w:val="auto"/>
          <w:highlight w:val="none"/>
        </w:rPr>
        <w:t xml:space="preserve">             计算时保留小数2位（四舍五入）。</w:t>
      </w:r>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三 、定标办法</w:t>
      </w:r>
      <w:bookmarkEnd w:id="124"/>
      <w:bookmarkEnd w:id="125"/>
    </w:p>
    <w:p>
      <w:pPr>
        <w:shd w:val="clear"/>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b/>
          <w:bCs/>
          <w:color w:val="auto"/>
          <w:highlight w:val="none"/>
        </w:rPr>
        <w:t>.</w:t>
      </w:r>
      <w:r>
        <w:rPr>
          <w:rFonts w:hint="eastAsia" w:ascii="宋体" w:hAnsi="宋体" w:cs="宋体"/>
          <w:color w:val="auto"/>
          <w:sz w:val="24"/>
          <w:highlight w:val="none"/>
        </w:rPr>
        <w:t>评标小组完成评标后，评标结果按评审后得分由高到低顺序排列（总得分相同的，按投标报价由低到高顺序排列；得分且投标报价相同的，按技术分从高到低顺序排列，技术分也相同的，由采购人代表采用公共资源交易中心抽取程序随机确定排列顺序）。评标小组直接确定</w:t>
      </w:r>
      <w:r>
        <w:rPr>
          <w:rFonts w:hint="eastAsia" w:ascii="宋体" w:hAnsi="宋体" w:cs="宋体"/>
          <w:b/>
          <w:bCs/>
          <w:color w:val="auto"/>
          <w:sz w:val="24"/>
          <w:highlight w:val="none"/>
        </w:rPr>
        <w:t>排名第一的投标单位</w:t>
      </w:r>
      <w:r>
        <w:rPr>
          <w:rFonts w:hint="eastAsia" w:ascii="宋体" w:hAnsi="宋体" w:cs="宋体"/>
          <w:color w:val="auto"/>
          <w:sz w:val="24"/>
          <w:highlight w:val="none"/>
        </w:rPr>
        <w:t>为中标候选人向采购人推荐，并提交经评标小组成员签字的评标报告。</w:t>
      </w:r>
    </w:p>
    <w:p>
      <w:pPr>
        <w:shd w:val="clear"/>
        <w:tabs>
          <w:tab w:val="left" w:pos="4111"/>
        </w:tabs>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highlight w:val="none"/>
        </w:rPr>
        <w:t>.</w:t>
      </w:r>
      <w:r>
        <w:rPr>
          <w:rFonts w:hint="eastAsia" w:ascii="宋体" w:hAnsi="宋体" w:cs="宋体"/>
          <w:color w:val="auto"/>
          <w:sz w:val="24"/>
          <w:highlight w:val="none"/>
        </w:rPr>
        <w:t>采购人直接授权评标小组确定中标人。</w:t>
      </w:r>
    </w:p>
    <w:p>
      <w:pPr>
        <w:pStyle w:val="13"/>
        <w:shd w:val="clear"/>
        <w:spacing w:before="120" w:after="120" w:line="440" w:lineRule="exact"/>
        <w:ind w:left="482"/>
        <w:rPr>
          <w:rFonts w:hAnsi="宋体" w:cs="宋体"/>
          <w:color w:val="auto"/>
          <w:sz w:val="24"/>
          <w:szCs w:val="24"/>
          <w:highlight w:val="none"/>
        </w:rPr>
      </w:pPr>
      <w:bookmarkStart w:id="126" w:name="_Toc338319019"/>
      <w:r>
        <w:rPr>
          <w:rFonts w:hint="eastAsia" w:hAnsi="宋体" w:cs="宋体"/>
          <w:color w:val="auto"/>
          <w:sz w:val="24"/>
          <w:szCs w:val="24"/>
          <w:highlight w:val="none"/>
        </w:rPr>
        <w:t>3.当确定的中标人放弃中标，因不可抗力提出不能履行合同，重新组织招标。</w:t>
      </w:r>
      <w:bookmarkEnd w:id="126"/>
    </w:p>
    <w:p>
      <w:pPr>
        <w:pStyle w:val="13"/>
        <w:shd w:val="clear"/>
        <w:snapToGrid w:val="0"/>
        <w:spacing w:line="360" w:lineRule="auto"/>
        <w:ind w:firstLine="482"/>
        <w:rPr>
          <w:rFonts w:hAnsi="宋体" w:cs="宋体"/>
          <w:b/>
          <w:color w:val="auto"/>
          <w:spacing w:val="-4"/>
          <w:sz w:val="24"/>
          <w:highlight w:val="none"/>
        </w:rPr>
      </w:pPr>
      <w:r>
        <w:rPr>
          <w:rFonts w:hint="eastAsia" w:hAnsi="宋体" w:cs="宋体"/>
          <w:b/>
          <w:color w:val="auto"/>
          <w:spacing w:val="-4"/>
          <w:sz w:val="24"/>
          <w:highlight w:val="none"/>
        </w:rPr>
        <w:t>四、评标小组不向落标方解释落标原因，不退还投标文件。</w:t>
      </w:r>
    </w:p>
    <w:p>
      <w:pPr>
        <w:pStyle w:val="26"/>
        <w:shd w:val="clear"/>
        <w:rPr>
          <w:rFonts w:ascii="宋体" w:hAnsi="宋体" w:eastAsia="宋体" w:cs="宋体"/>
          <w:b w:val="0"/>
          <w:bCs w:val="0"/>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bookmarkStart w:id="127" w:name="_Toc9890"/>
      <w:bookmarkStart w:id="128" w:name="_Toc15129"/>
      <w:bookmarkStart w:id="129" w:name="_Toc10069"/>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27"/>
        <w:shd w:val="clear"/>
        <w:rPr>
          <w:rFonts w:ascii="宋体" w:hAnsi="宋体" w:cs="宋体"/>
          <w:b/>
          <w:bCs/>
          <w:color w:val="auto"/>
          <w:sz w:val="28"/>
          <w:szCs w:val="28"/>
          <w:highlight w:val="none"/>
        </w:rPr>
      </w:pPr>
    </w:p>
    <w:p>
      <w:pPr>
        <w:pStyle w:val="5"/>
        <w:shd w:val="clear"/>
        <w:spacing w:before="0" w:after="0" w:line="240" w:lineRule="auto"/>
        <w:jc w:val="center"/>
        <w:rPr>
          <w:rFonts w:ascii="宋体" w:hAnsi="宋体" w:cs="宋体"/>
          <w:color w:val="auto"/>
          <w:sz w:val="36"/>
          <w:szCs w:val="36"/>
          <w:highlight w:val="none"/>
        </w:rPr>
      </w:pPr>
      <w:bookmarkStart w:id="130" w:name="_Toc23465"/>
      <w:r>
        <w:rPr>
          <w:rFonts w:hint="eastAsia" w:ascii="宋体" w:hAnsi="宋体" w:cs="宋体"/>
          <w:color w:val="auto"/>
          <w:sz w:val="36"/>
          <w:szCs w:val="36"/>
          <w:highlight w:val="none"/>
        </w:rPr>
        <w:t>第七章 拟签订的合同文本</w:t>
      </w:r>
      <w:bookmarkEnd w:id="127"/>
      <w:bookmarkEnd w:id="128"/>
      <w:bookmarkEnd w:id="129"/>
      <w:bookmarkEnd w:id="130"/>
    </w:p>
    <w:p>
      <w:pPr>
        <w:widowControl/>
        <w:shd w:val="clear"/>
        <w:spacing w:line="360" w:lineRule="auto"/>
        <w:ind w:firstLine="482" w:firstLineChars="20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义乌市政府采购合同（样本）</w:t>
      </w:r>
    </w:p>
    <w:p>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kern w:val="0"/>
          <w:sz w:val="24"/>
          <w:highlight w:val="none"/>
          <w:u w:val="single"/>
        </w:rPr>
        <w:t>义乌市人民政府廿三里街道办事处</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   </w:t>
      </w:r>
    </w:p>
    <w:p>
      <w:pPr>
        <w:shd w:val="clea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pStyle w:val="13"/>
        <w:shd w:val="clear"/>
        <w:spacing w:line="420" w:lineRule="exact"/>
        <w:ind w:firstLine="420"/>
        <w:rPr>
          <w:rFonts w:hAnsi="宋体" w:cs="宋体"/>
          <w:color w:val="auto"/>
          <w:sz w:val="24"/>
          <w:szCs w:val="24"/>
          <w:highlight w:val="none"/>
        </w:rPr>
      </w:pPr>
      <w:r>
        <w:rPr>
          <w:rFonts w:hint="eastAsia" w:hAnsi="宋体" w:cs="宋体"/>
          <w:color w:val="auto"/>
          <w:sz w:val="24"/>
          <w:szCs w:val="24"/>
          <w:highlight w:val="none"/>
        </w:rPr>
        <w:t>甲、乙双方根据</w:t>
      </w:r>
      <w:r>
        <w:rPr>
          <w:rFonts w:hint="eastAsia" w:hAnsi="宋体" w:cs="宋体"/>
          <w:color w:val="auto"/>
          <w:sz w:val="24"/>
          <w:szCs w:val="24"/>
          <w:highlight w:val="none"/>
          <w:u w:val="single"/>
        </w:rPr>
        <w:t>　　　</w:t>
      </w:r>
      <w:r>
        <w:rPr>
          <w:rFonts w:hint="eastAsia" w:hAnsi="宋体" w:cs="宋体"/>
          <w:color w:val="auto"/>
          <w:sz w:val="24"/>
          <w:szCs w:val="24"/>
          <w:highlight w:val="none"/>
        </w:rPr>
        <w:t>年</w:t>
      </w:r>
      <w:r>
        <w:rPr>
          <w:rFonts w:hint="eastAsia" w:hAnsi="宋体" w:cs="宋体"/>
          <w:color w:val="auto"/>
          <w:sz w:val="24"/>
          <w:szCs w:val="24"/>
          <w:highlight w:val="none"/>
          <w:u w:val="single"/>
        </w:rPr>
        <w:t>　</w:t>
      </w:r>
      <w:r>
        <w:rPr>
          <w:rFonts w:hint="eastAsia" w:hAnsi="宋体" w:cs="宋体"/>
          <w:color w:val="auto"/>
          <w:sz w:val="24"/>
          <w:szCs w:val="24"/>
          <w:highlight w:val="none"/>
        </w:rPr>
        <w:t>月</w:t>
      </w:r>
      <w:r>
        <w:rPr>
          <w:rFonts w:hint="eastAsia" w:hAnsi="宋体" w:cs="宋体"/>
          <w:color w:val="auto"/>
          <w:sz w:val="24"/>
          <w:szCs w:val="24"/>
          <w:highlight w:val="none"/>
          <w:u w:val="single"/>
        </w:rPr>
        <w:t>　　</w:t>
      </w:r>
      <w:r>
        <w:rPr>
          <w:rFonts w:hint="eastAsia" w:hAnsi="宋体" w:cs="宋体"/>
          <w:color w:val="auto"/>
          <w:sz w:val="24"/>
          <w:szCs w:val="24"/>
          <w:highlight w:val="none"/>
        </w:rPr>
        <w:t>日义乌市</w:t>
      </w:r>
      <w:r>
        <w:rPr>
          <w:rFonts w:hint="eastAsia" w:hAnsi="宋体" w:cs="宋体"/>
          <w:color w:val="auto"/>
          <w:sz w:val="24"/>
          <w:szCs w:val="24"/>
          <w:highlight w:val="none"/>
          <w:u w:val="single"/>
        </w:rPr>
        <w:t>　　　　　　       　　　　　</w:t>
      </w:r>
      <w:r>
        <w:rPr>
          <w:rFonts w:hint="eastAsia" w:hAnsi="宋体" w:cs="宋体"/>
          <w:color w:val="auto"/>
          <w:sz w:val="24"/>
          <w:szCs w:val="24"/>
          <w:highlight w:val="none"/>
        </w:rPr>
        <w:t>项目（</w:t>
      </w:r>
      <w:r>
        <w:rPr>
          <w:rFonts w:hint="eastAsia" w:hAnsi="宋体" w:cs="宋体"/>
          <w:color w:val="auto"/>
          <w:sz w:val="24"/>
          <w:szCs w:val="24"/>
          <w:highlight w:val="none"/>
          <w:u w:val="single"/>
        </w:rPr>
        <w:t xml:space="preserve">采购编号：                 </w:t>
      </w:r>
      <w:r>
        <w:rPr>
          <w:rFonts w:hint="eastAsia" w:hAnsi="宋体" w:cs="宋体"/>
          <w:color w:val="auto"/>
          <w:sz w:val="24"/>
          <w:szCs w:val="24"/>
          <w:highlight w:val="none"/>
        </w:rPr>
        <w:t>）招标结果和采购文件的要求，并经双方协调一致，订立本采购合同。本合同（□是 □否）为可融资合同。</w:t>
      </w:r>
    </w:p>
    <w:p>
      <w:pPr>
        <w:shd w:val="clear"/>
        <w:snapToGrid w:val="0"/>
        <w:spacing w:line="440"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一、合同文件组成</w:t>
      </w:r>
    </w:p>
    <w:p>
      <w:pPr>
        <w:shd w:val="clear"/>
        <w:snapToGrid w:val="0"/>
        <w:spacing w:line="44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采购文件及其补充文件、询标承诺、询疑答复、投标响应文件、双方来函。合同文件组成的所有内容是构成合同不可分割的部分，与合同具有同等法律效力。</w:t>
      </w:r>
    </w:p>
    <w:p>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二、服务内容及要求:</w:t>
      </w:r>
    </w:p>
    <w:p>
      <w:pPr>
        <w:shd w:val="clea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1.承包范围：</w:t>
      </w:r>
      <w:r>
        <w:rPr>
          <w:rFonts w:hint="eastAsia" w:ascii="宋体" w:hAnsi="宋体" w:cs="宋体"/>
          <w:bCs/>
          <w:color w:val="auto"/>
          <w:sz w:val="24"/>
          <w:highlight w:val="none"/>
          <w:u w:val="none"/>
        </w:rPr>
        <w:t>按采购文件内容。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2.承包方式：</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本项目承包方式在约定范围内实行单价固定、包货物量、包安装、包供货安装时间、包维修、包质量、包安全、包文明施工管理的承包方式。</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3.工期要求</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3.1货物供应及安装完成时间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w:t>
      </w:r>
    </w:p>
    <w:p>
      <w:pPr>
        <w:shd w:val="clear"/>
        <w:autoSpaceDE w:val="0"/>
        <w:autoSpaceDN w:val="0"/>
        <w:adjustRightInd w:val="0"/>
        <w:spacing w:line="440" w:lineRule="exact"/>
        <w:ind w:firstLine="480" w:firstLineChars="200"/>
        <w:rPr>
          <w:rFonts w:ascii="宋体" w:hAnsi="宋体" w:cs="宋体"/>
          <w:bCs/>
          <w:color w:val="auto"/>
          <w:sz w:val="24"/>
          <w:highlight w:val="none"/>
          <w:u w:val="none"/>
        </w:rPr>
      </w:pPr>
      <w:r>
        <w:rPr>
          <w:rFonts w:hint="eastAsia" w:ascii="宋体" w:hAnsi="宋体" w:cs="宋体"/>
          <w:color w:val="auto"/>
          <w:sz w:val="24"/>
          <w:highlight w:val="none"/>
          <w:u w:val="none"/>
        </w:rPr>
        <w:t>3.2合同</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如遇下列情况，经甲方书面确认后，</w:t>
      </w:r>
      <w:r>
        <w:rPr>
          <w:rFonts w:hint="eastAsia" w:ascii="宋体" w:hAnsi="宋体" w:cs="宋体"/>
          <w:bCs/>
          <w:color w:val="auto"/>
          <w:sz w:val="24"/>
          <w:highlight w:val="none"/>
          <w:u w:val="none"/>
        </w:rPr>
        <w:t>供货安装时间</w:t>
      </w:r>
      <w:r>
        <w:rPr>
          <w:rFonts w:hint="eastAsia" w:ascii="宋体" w:hAnsi="宋体" w:cs="宋体"/>
          <w:color w:val="auto"/>
          <w:sz w:val="24"/>
          <w:highlight w:val="none"/>
          <w:u w:val="none"/>
        </w:rPr>
        <w:t>可相应顺延。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3.2.1合同履行中发生重大变更而确实影响到供货安装进度（属乙方组织生产、安装等失误引起的供货安装进度滞后由乙方负责）。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3.2.2不可抗力因素。</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3.2.3非乙方原因而确实影响到供货安装进度的。</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除上述外，乙方不得以任何理由变更供货安装时间。</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4.技术要求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4.1所有投标的货物、设施必须满足相应标准或使用要求。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4.2项目应遵照国家的有关技术（验收）规程、规范、标准。</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5.质量要求</w:t>
      </w:r>
    </w:p>
    <w:p>
      <w:pPr>
        <w:shd w:val="clear"/>
        <w:spacing w:line="440" w:lineRule="exact"/>
        <w:ind w:firstLine="480" w:firstLineChars="200"/>
        <w:rPr>
          <w:rFonts w:ascii="宋体" w:hAnsi="宋体" w:cs="宋体"/>
          <w:b w:val="0"/>
          <w:bCs w:val="0"/>
          <w:color w:val="auto"/>
          <w:sz w:val="24"/>
          <w:highlight w:val="none"/>
          <w:u w:val="none"/>
        </w:rPr>
      </w:pPr>
      <w:r>
        <w:rPr>
          <w:rFonts w:hint="eastAsia" w:ascii="宋体" w:hAnsi="宋体" w:cs="宋体"/>
          <w:b w:val="0"/>
          <w:bCs w:val="0"/>
          <w:color w:val="auto"/>
          <w:sz w:val="24"/>
          <w:highlight w:val="none"/>
          <w:u w:val="none"/>
        </w:rPr>
        <w:t>5.1合格，且必须符合本</w:t>
      </w:r>
      <w:r>
        <w:rPr>
          <w:rFonts w:hint="eastAsia" w:ascii="宋体" w:hAnsi="宋体" w:cs="宋体"/>
          <w:b w:val="0"/>
          <w:bCs w:val="0"/>
          <w:color w:val="auto"/>
          <w:sz w:val="24"/>
          <w:highlight w:val="none"/>
          <w:u w:val="none"/>
          <w:lang w:val="en-US" w:eastAsia="zh-CN"/>
        </w:rPr>
        <w:t>招标文件要求</w:t>
      </w:r>
      <w:r>
        <w:rPr>
          <w:rFonts w:hint="eastAsia" w:ascii="宋体" w:hAnsi="宋体" w:cs="宋体"/>
          <w:b w:val="0"/>
          <w:bCs w:val="0"/>
          <w:color w:val="auto"/>
          <w:sz w:val="24"/>
          <w:highlight w:val="none"/>
          <w:u w:val="none"/>
        </w:rPr>
        <w:t>所有条款要求。</w:t>
      </w:r>
    </w:p>
    <w:p>
      <w:pPr>
        <w:shd w:val="clear"/>
        <w:autoSpaceDE w:val="0"/>
        <w:autoSpaceDN w:val="0"/>
        <w:adjustRightInd w:val="0"/>
        <w:spacing w:line="440" w:lineRule="exact"/>
        <w:ind w:firstLine="482" w:firstLineChars="200"/>
        <w:rPr>
          <w:rFonts w:ascii="宋体" w:hAnsi="宋体" w:cs="宋体"/>
          <w:b/>
          <w:bCs/>
          <w:color w:val="auto"/>
          <w:sz w:val="24"/>
          <w:highlight w:val="none"/>
          <w:u w:val="none"/>
        </w:rPr>
      </w:pPr>
      <w:r>
        <w:rPr>
          <w:rFonts w:hint="eastAsia" w:ascii="宋体" w:hAnsi="宋体" w:cs="宋体"/>
          <w:b/>
          <w:bCs/>
          <w:color w:val="auto"/>
          <w:sz w:val="24"/>
          <w:highlight w:val="none"/>
          <w:u w:val="none"/>
        </w:rPr>
        <w:t>6.乙方必须严格按照项目技术要求进行安装，并接受甲方的监督管理。</w:t>
      </w:r>
    </w:p>
    <w:p>
      <w:pPr>
        <w:shd w:val="clea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7.培训保修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7.1在项目组织验收之前，应完成对甲方不少于2名操作人员的培训（提供完整的技术培训，使甲方今后能自行操作、维护）。</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7.2乙方应分别提供称职的指导人员，为甲方确定的培训人员在现场提供操作和维护培训。</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7.3乙方应编写培训手册并取得甲方同意，本手册应是根据本项目的货物，在有关测试、操作及维护方面，对人员的培训和指导提供全面的培训手册，每种手册提供六套。如果需要，甲方有权对其进行复印。</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7.4乙方应对甲方提供全面的技术和维护咨询。</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7.5本项目的质保期为验收合格之日起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年，货物在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年内损坏的（非人为造成）由乙方全权负责，如造成甲方相应的经济损失由乙方承担。</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8.货物的供应</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8.1按采购文件内容和要求；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8.2 乙方必须经甲方确认后方可进行货物供应，擅自供应的货物甲方不予以认可</w:t>
      </w:r>
      <w:r>
        <w:rPr>
          <w:rFonts w:hint="eastAsia" w:ascii="宋体" w:hAnsi="宋体" w:cs="宋体"/>
          <w:b/>
          <w:color w:val="auto"/>
          <w:sz w:val="24"/>
          <w:highlight w:val="none"/>
          <w:u w:val="none"/>
        </w:rPr>
        <w:t>。</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9.货物、安装款的支付</w:t>
      </w:r>
    </w:p>
    <w:p>
      <w:pPr>
        <w:shd w:val="clear"/>
        <w:autoSpaceDE w:val="0"/>
        <w:autoSpaceDN w:val="0"/>
        <w:adjustRightInd w:val="0"/>
        <w:spacing w:line="440" w:lineRule="exact"/>
        <w:ind w:firstLine="480"/>
        <w:rPr>
          <w:rFonts w:ascii="宋体" w:hAnsi="宋体" w:cs="宋体"/>
          <w:color w:val="auto"/>
          <w:sz w:val="24"/>
          <w:highlight w:val="none"/>
          <w:u w:val="none"/>
          <w:lang w:val="zh-CN"/>
        </w:rPr>
      </w:pPr>
      <w:r>
        <w:rPr>
          <w:rFonts w:hint="eastAsia" w:ascii="宋体" w:hAnsi="宋体" w:cs="宋体"/>
          <w:color w:val="auto"/>
          <w:sz w:val="24"/>
          <w:highlight w:val="none"/>
          <w:u w:val="none"/>
        </w:rPr>
        <w:t>9.1</w:t>
      </w:r>
      <w:r>
        <w:rPr>
          <w:rFonts w:hint="eastAsia" w:ascii="宋体" w:hAnsi="宋体" w:cs="宋体"/>
          <w:color w:val="auto"/>
          <w:sz w:val="24"/>
          <w:highlight w:val="none"/>
          <w:u w:val="none"/>
          <w:lang w:val="zh-CN"/>
        </w:rPr>
        <w:t>改造后的亮度不低于改造前亮度的前提下，达到样板区的节电效果（灯具验收技术参数见附件设计）；</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9.2项目建设完工后一个月内由</w:t>
      </w:r>
      <w:r>
        <w:rPr>
          <w:rFonts w:hint="eastAsia" w:ascii="宋体" w:hAnsi="宋体" w:cs="宋体"/>
          <w:color w:val="auto"/>
          <w:sz w:val="24"/>
          <w:highlight w:val="none"/>
          <w:u w:val="none"/>
        </w:rPr>
        <w:t>甲方</w:t>
      </w:r>
      <w:r>
        <w:rPr>
          <w:rFonts w:hint="eastAsia" w:ascii="宋体" w:hAnsi="宋体" w:cs="宋体"/>
          <w:color w:val="auto"/>
          <w:sz w:val="24"/>
          <w:highlight w:val="none"/>
          <w:u w:val="none"/>
          <w:lang w:val="zh-CN"/>
        </w:rPr>
        <w:t>组织验收，验收内容主要包括：灯具改造数量、安装的灯具是否与样品相符、路灯照度是否达到国家标准。</w:t>
      </w:r>
    </w:p>
    <w:p>
      <w:pPr>
        <w:shd w:val="clear"/>
        <w:autoSpaceDE w:val="0"/>
        <w:autoSpaceDN w:val="0"/>
        <w:adjustRightInd w:val="0"/>
        <w:spacing w:line="440" w:lineRule="exact"/>
        <w:ind w:firstLine="480" w:firstLineChars="20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zh-CN"/>
        </w:rPr>
        <w:t>9.</w:t>
      </w:r>
      <w:r>
        <w:rPr>
          <w:rFonts w:hint="eastAsia" w:ascii="宋体" w:hAnsi="宋体" w:cs="宋体"/>
          <w:color w:val="auto"/>
          <w:sz w:val="24"/>
          <w:highlight w:val="none"/>
          <w:u w:val="none"/>
          <w:lang w:val="en-US" w:eastAsia="zh-CN"/>
        </w:rPr>
        <w:t>3付款方式：合同签订后7个工作日内支付第一年合同金额的40%作为预付款；（在签订合同时，中标人明确表示无需预付款或者主动要求降低预付款比例的，采购人可进行相应调整）</w:t>
      </w:r>
    </w:p>
    <w:p>
      <w:pPr>
        <w:shd w:val="clear"/>
        <w:autoSpaceDE w:val="0"/>
        <w:autoSpaceDN w:val="0"/>
        <w:adjustRightInd w:val="0"/>
        <w:spacing w:line="440" w:lineRule="exact"/>
        <w:ind w:firstLine="480" w:firstLineChars="200"/>
        <w:rPr>
          <w:rFonts w:hint="eastAsia" w:ascii="宋体" w:hAnsi="宋体" w:eastAsia="宋体" w:cs="宋体"/>
          <w:color w:val="auto"/>
          <w:sz w:val="24"/>
          <w:highlight w:val="none"/>
          <w:u w:val="none"/>
          <w:lang w:val="zh-CN" w:eastAsia="zh-CN"/>
        </w:rPr>
      </w:pPr>
      <w:r>
        <w:rPr>
          <w:rFonts w:hint="eastAsia" w:ascii="宋体" w:hAnsi="宋体" w:cs="宋体"/>
          <w:color w:val="auto"/>
          <w:sz w:val="24"/>
          <w:highlight w:val="none"/>
          <w:u w:val="none"/>
          <w:lang w:val="en-US" w:eastAsia="zh-CN"/>
        </w:rPr>
        <w:t>每季度结束后，甲方在收到乙方该季度服务发票（季度服务=总中标价1/12）后7个工作日内，向供应商指定账户支付该季度的托管费用。（第一年从第二季度开始支付，第二季度扣除预付款后，支付剩余应支付款项）</w:t>
      </w:r>
    </w:p>
    <w:p>
      <w:pPr>
        <w:shd w:val="clear"/>
        <w:autoSpaceDE w:val="0"/>
        <w:autoSpaceDN w:val="0"/>
        <w:adjustRightInd w:val="0"/>
        <w:spacing w:line="440" w:lineRule="exact"/>
        <w:ind w:firstLine="480" w:firstLineChars="200"/>
        <w:rPr>
          <w:rFonts w:ascii="宋体" w:hAnsi="宋体" w:cs="宋体"/>
          <w:color w:val="auto"/>
          <w:sz w:val="24"/>
          <w:highlight w:val="none"/>
          <w:u w:val="none"/>
          <w:lang w:val="zh-CN"/>
        </w:rPr>
      </w:pPr>
      <w:r>
        <w:rPr>
          <w:rFonts w:hint="eastAsia" w:ascii="宋体" w:hAnsi="宋体" w:cs="宋体"/>
          <w:color w:val="auto"/>
          <w:sz w:val="24"/>
          <w:highlight w:val="none"/>
          <w:u w:val="none"/>
          <w:lang w:val="zh-CN"/>
        </w:rPr>
        <w:t>9.5第三方检测的费用由甲方支付。</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w:t>
      </w:r>
      <w:r>
        <w:rPr>
          <w:rFonts w:hint="eastAsia" w:ascii="宋体" w:hAnsi="宋体" w:cs="宋体"/>
          <w:b/>
          <w:bCs/>
          <w:color w:val="auto"/>
          <w:sz w:val="24"/>
          <w:highlight w:val="none"/>
        </w:rPr>
        <w:t>甲方职责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10.1 甲方负责对货物质量、货物安装质量进度和合同执行进行监督检查。</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10.2 组织验收和结算。</w:t>
      </w:r>
    </w:p>
    <w:p>
      <w:pPr>
        <w:shd w:val="clear"/>
        <w:autoSpaceDE w:val="0"/>
        <w:autoSpaceDN w:val="0"/>
        <w:adjustRightIn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11.中标人职责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11.1 供货前，乙方应熟悉安装现场环境及做好其他各项准备工作，费用由乙方自理。</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11.2 在合同实施中，乙方应兑现投标书中的所有承诺。</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11.3 乙方必须严格按照本项目技术要求进行精心安装、强化现场原始记录和检测，确保货物质量。</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11.4 乙方在货物供应、安装期间如发生安全事故，由乙方处理并承担全部责任。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11.5 在货物安装过程中，乙方应接受甲方指令，并严格服从甲方监督。</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11.6 乙方必须在约定时间内组织供货、安装，确保如期完成。</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11.7 当具备验收条件时，乙方应提前十天将验收报告送至甲方，并由甲方组织验收。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11.8 乙方的计划进度安排、质量监督、协调管理、安装配合、安全文明施工，应完全接受甲方对本项目的统一管理，完成后将归档技术资料交予甲方。</w:t>
      </w:r>
    </w:p>
    <w:p>
      <w:pPr>
        <w:shd w:val="clear"/>
        <w:autoSpaceDE w:val="0"/>
        <w:autoSpaceDN w:val="0"/>
        <w:adjustRightIn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12.验收</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12.1 验收以采购文件和技术文件、投标文件、合同及安装技术要求为依据。</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12.2 供货安装完成后，乙方应该向甲方提交申请验收报告，并且提供主要货物的出厂合格证书（或报告）、检测报告等完整的技术档案资料，若乙方未能按照上述要求履行的，导致无法及时验收的，则须由乙方承担一切责任。</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12.3 验收必须符合国家、地方有关规范、标准及设计要求。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12.4 符合验收条件的，由甲方组织有关部门按照国家、地方有关规范、标准及设计要求进行验收。验收后乙方应按照验收中提出的意见整改。</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12.5 整改完毕且复验合格后将本项目货物交给甲方使用，完成日期以通过复验日期为准。</w:t>
      </w:r>
    </w:p>
    <w:p>
      <w:pPr>
        <w:shd w:val="clear"/>
        <w:spacing w:line="440" w:lineRule="exact"/>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12.6甲方在中标供应商送货、安装、调试后对货物服务进行检查验收，如果发现数量不足或有质量、技术等问题，乙方应负责根据合同及甲方的要求采取补足或更换等处理措施，并承担由此发生的一切损失和费用。验收合格后，甲方在验收单上签字并加盖单位公章。</w:t>
      </w:r>
    </w:p>
    <w:p>
      <w:pPr>
        <w:shd w:val="clear"/>
        <w:autoSpaceDE w:val="0"/>
        <w:autoSpaceDN w:val="0"/>
        <w:adjustRightInd w:val="0"/>
        <w:spacing w:line="440" w:lineRule="exact"/>
        <w:ind w:firstLine="482" w:firstLineChars="200"/>
        <w:jc w:val="left"/>
        <w:textAlignment w:val="auto"/>
        <w:rPr>
          <w:rFonts w:ascii="宋体" w:hAnsi="宋体" w:cs="宋体"/>
          <w:color w:val="auto"/>
          <w:sz w:val="24"/>
          <w:highlight w:val="none"/>
          <w:u w:val="single"/>
        </w:rPr>
      </w:pPr>
      <w:r>
        <w:rPr>
          <w:rFonts w:hint="eastAsia" w:ascii="宋体" w:hAnsi="宋体" w:cs="宋体"/>
          <w:b/>
          <w:bCs/>
          <w:color w:val="auto"/>
          <w:sz w:val="24"/>
          <w:highlight w:val="none"/>
        </w:rPr>
        <w:t>13.违约责任及奖罚</w:t>
      </w:r>
    </w:p>
    <w:p>
      <w:pPr>
        <w:shd w:val="clear"/>
        <w:autoSpaceDE w:val="0"/>
        <w:autoSpaceDN w:val="0"/>
        <w:adjustRightInd w:val="0"/>
        <w:spacing w:line="360" w:lineRule="auto"/>
        <w:ind w:firstLine="480" w:firstLineChars="200"/>
        <w:jc w:val="left"/>
        <w:textAlignment w:val="baseline"/>
        <w:rPr>
          <w:rFonts w:ascii="宋体" w:hAnsi="宋体" w:cs="宋体"/>
          <w:color w:val="auto"/>
          <w:sz w:val="24"/>
          <w:highlight w:val="none"/>
          <w:u w:val="none"/>
        </w:rPr>
      </w:pPr>
      <w:r>
        <w:rPr>
          <w:rFonts w:hint="eastAsia" w:ascii="宋体" w:hAnsi="宋体" w:cs="宋体"/>
          <w:color w:val="auto"/>
          <w:sz w:val="24"/>
          <w:highlight w:val="none"/>
          <w:u w:val="none"/>
        </w:rPr>
        <w:t>进度延误处罚办法：</w:t>
      </w:r>
      <w:r>
        <w:rPr>
          <w:rFonts w:hint="eastAsia" w:ascii="宋体" w:hAnsi="宋体" w:cs="宋体"/>
          <w:color w:val="auto"/>
          <w:sz w:val="24"/>
          <w:highlight w:val="none"/>
          <w:u w:val="none"/>
          <w:lang w:val="en-US" w:eastAsia="zh-CN"/>
        </w:rPr>
        <w:t>除不可抗力因素或因甲方原因导致的工期进度延误外</w:t>
      </w:r>
      <w:r>
        <w:rPr>
          <w:rFonts w:hint="eastAsia" w:ascii="宋体" w:hAnsi="宋体" w:cs="宋体"/>
          <w:color w:val="auto"/>
          <w:sz w:val="24"/>
          <w:highlight w:val="none"/>
          <w:u w:val="none"/>
        </w:rPr>
        <w:t>中标人应根据合同内规定的完成时间完成该项目。每延期一天扣人民币10000元整。</w:t>
      </w:r>
    </w:p>
    <w:p>
      <w:pPr>
        <w:shd w:val="clear"/>
        <w:autoSpaceDE w:val="0"/>
        <w:autoSpaceDN w:val="0"/>
        <w:adjustRightInd w:val="0"/>
        <w:spacing w:line="44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争议解决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.1因执行本合同所发生的，或与本合同有关的一切争议，</w:t>
      </w:r>
      <w:r>
        <w:rPr>
          <w:rFonts w:hint="eastAsia" w:ascii="宋体" w:hAnsi="宋体" w:cs="宋体"/>
          <w:color w:val="auto"/>
          <w:sz w:val="24"/>
          <w:highlight w:val="none"/>
        </w:rPr>
        <w:t>甲方</w:t>
      </w:r>
      <w:r>
        <w:rPr>
          <w:rFonts w:hint="eastAsia" w:ascii="宋体" w:hAnsi="宋体" w:cs="宋体"/>
          <w:color w:val="auto"/>
          <w:sz w:val="24"/>
          <w:highlight w:val="none"/>
          <w:lang w:val="zh-CN"/>
        </w:rPr>
        <w:t>与</w:t>
      </w:r>
      <w:r>
        <w:rPr>
          <w:rFonts w:hint="eastAsia" w:ascii="宋体" w:hAnsi="宋体" w:cs="宋体"/>
          <w:color w:val="auto"/>
          <w:sz w:val="24"/>
          <w:highlight w:val="none"/>
        </w:rPr>
        <w:t>乙方</w:t>
      </w:r>
      <w:r>
        <w:rPr>
          <w:rFonts w:hint="eastAsia" w:ascii="宋体" w:hAnsi="宋体" w:cs="宋体"/>
          <w:color w:val="auto"/>
          <w:sz w:val="24"/>
          <w:highlight w:val="none"/>
          <w:lang w:val="zh-CN"/>
        </w:rPr>
        <w:t>双方应通过友好协商解决。</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.2如经协商仍不能解决争议时，可要求有关主管部门调解。如其中一方不愿调解或调解不成，可按下一种方式解决争议。</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.2.1双方达成仲裁协议，向</w:t>
      </w:r>
      <w:r>
        <w:rPr>
          <w:rFonts w:hint="eastAsia" w:ascii="宋体" w:hAnsi="宋体" w:cs="宋体"/>
          <w:color w:val="auto"/>
          <w:sz w:val="24"/>
          <w:highlight w:val="none"/>
        </w:rPr>
        <w:t>甲方</w:t>
      </w:r>
      <w:r>
        <w:rPr>
          <w:rFonts w:hint="eastAsia" w:ascii="宋体" w:hAnsi="宋体" w:cs="宋体"/>
          <w:color w:val="auto"/>
          <w:sz w:val="24"/>
          <w:highlight w:val="none"/>
          <w:lang w:val="zh-CN"/>
        </w:rPr>
        <w:t>所在地的仲裁机构申请仲裁。</w:t>
      </w:r>
    </w:p>
    <w:p>
      <w:pPr>
        <w:shd w:val="clear"/>
        <w:autoSpaceDE w:val="0"/>
        <w:autoSpaceDN w:val="0"/>
        <w:adjustRightInd w:val="0"/>
        <w:spacing w:line="44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4</w:t>
      </w:r>
      <w:r>
        <w:rPr>
          <w:rFonts w:hint="eastAsia" w:ascii="宋体" w:hAnsi="宋体" w:cs="宋体"/>
          <w:color w:val="auto"/>
          <w:sz w:val="24"/>
          <w:highlight w:val="none"/>
          <w:lang w:val="zh-CN"/>
        </w:rPr>
        <w:t>.2.2向有管辖权的人民法院起诉。</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三、其他要求：</w:t>
      </w:r>
    </w:p>
    <w:p>
      <w:pPr>
        <w:shd w:val="clear"/>
        <w:autoSpaceDE w:val="0"/>
        <w:autoSpaceDN w:val="0"/>
        <w:adjustRightIn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中标人必须按规定程序和有关要求进行实施，供货过程中的各种意外，其责任由乙方承担，甲方不承担任何责任。</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四、变更：</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1.招标合同履行中，甲方需追加与合同标的相同的货物、工程或者服务的，在不改变合同其他条款的前提下，可以与乙方协商签订补充合同，但所有补充合同的招标金额不得超过原合同招标金额的百分之十。</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当变更只是招标量增减时，按投标所报的单价进行结算。</w:t>
      </w:r>
    </w:p>
    <w:p>
      <w:pPr>
        <w:shd w:val="clear"/>
        <w:spacing w:line="440" w:lineRule="exact"/>
        <w:ind w:firstLine="482" w:firstLineChars="200"/>
        <w:jc w:val="left"/>
        <w:rPr>
          <w:rFonts w:ascii="宋体" w:hAnsi="宋体" w:cs="宋体"/>
          <w:b/>
          <w:color w:val="auto"/>
          <w:sz w:val="24"/>
          <w:highlight w:val="none"/>
          <w:u w:val="none"/>
        </w:rPr>
      </w:pPr>
      <w:r>
        <w:rPr>
          <w:rFonts w:hint="eastAsia" w:ascii="宋体" w:hAnsi="宋体" w:cs="宋体"/>
          <w:b/>
          <w:color w:val="auto"/>
          <w:sz w:val="24"/>
          <w:highlight w:val="none"/>
          <w:u w:val="none"/>
        </w:rPr>
        <w:t>五、专利权</w:t>
      </w:r>
    </w:p>
    <w:p>
      <w:pPr>
        <w:shd w:val="clear"/>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应承诺保护甲方在使用合同产品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六、结算原则</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1.采购文件、招标答疑会纪要、乙方的中标报价等作为结算依据；</w:t>
      </w:r>
    </w:p>
    <w:p>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2.乙方节能效益分享比例一次性包死，不再调整。</w:t>
      </w:r>
    </w:p>
    <w:p>
      <w:pPr>
        <w:shd w:val="clear"/>
        <w:spacing w:line="440" w:lineRule="exact"/>
        <w:ind w:firstLine="482" w:firstLineChars="200"/>
        <w:jc w:val="left"/>
        <w:rPr>
          <w:rFonts w:ascii="宋体" w:hAnsi="宋体" w:cs="宋体"/>
          <w:color w:val="auto"/>
          <w:sz w:val="24"/>
          <w:highlight w:val="none"/>
          <w:u w:val="single"/>
        </w:rPr>
      </w:pPr>
      <w:r>
        <w:rPr>
          <w:rFonts w:hint="eastAsia" w:ascii="宋体" w:hAnsi="宋体" w:cs="宋体"/>
          <w:b/>
          <w:color w:val="auto"/>
          <w:sz w:val="24"/>
          <w:highlight w:val="none"/>
        </w:rPr>
        <w:t>七、签订合同时间：</w:t>
      </w:r>
      <w:r>
        <w:rPr>
          <w:rFonts w:hint="eastAsia" w:ascii="宋体" w:hAnsi="宋体" w:cs="宋体"/>
          <w:color w:val="auto"/>
          <w:sz w:val="24"/>
          <w:highlight w:val="none"/>
          <w:u w:val="single"/>
        </w:rPr>
        <w:t xml:space="preserve"> 自中标通知书发起之日起30天内。 </w:t>
      </w:r>
    </w:p>
    <w:p>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八、售后服务要求：</w:t>
      </w:r>
    </w:p>
    <w:p>
      <w:pPr>
        <w:shd w:val="clear"/>
        <w:autoSpaceDE w:val="0"/>
        <w:autoSpaceDN w:val="0"/>
        <w:adjustRightInd w:val="0"/>
        <w:spacing w:line="440" w:lineRule="exact"/>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1.乙方须提供从验收合格之日起，3年的免费质保期。乙方承诺超过本要求的，以优惠者为准。无论在质保期内还是质保期满后，乙方负责对其实施的项目提供现场服务。要求乙方在接到甲方的电话后24小时内响应，并最迟在第1个工作日内排除故障。</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2.乙方若有其他服务承诺，也将一并执行。</w:t>
      </w:r>
    </w:p>
    <w:p>
      <w:pPr>
        <w:shd w:val="clea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3.乙方必须将公司的服务热线明确告知甲方。</w:t>
      </w:r>
    </w:p>
    <w:p>
      <w:pPr>
        <w:shd w:val="clea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九、其他</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widowControl/>
        <w:shd w:val="clear"/>
        <w:adjustRightInd w:val="0"/>
        <w:snapToGrid w:val="0"/>
        <w:spacing w:before="120" w:after="120" w:line="4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2.本合同未尽事宜，遵照《中华人民共和国民法典》有关条文执行。</w:t>
      </w:r>
    </w:p>
    <w:p>
      <w:pPr>
        <w:shd w:val="clear"/>
        <w:snapToGrid w:val="0"/>
        <w:spacing w:line="440" w:lineRule="exact"/>
        <w:ind w:firstLine="480" w:firstLineChars="200"/>
        <w:rPr>
          <w:rFonts w:ascii="宋体" w:hAnsi="宋体" w:cs="宋体"/>
          <w:color w:val="auto"/>
          <w:kern w:val="0"/>
          <w:sz w:val="24"/>
          <w:highlight w:val="none"/>
        </w:rPr>
      </w:pPr>
      <w:bookmarkStart w:id="131" w:name="_Toc213038698"/>
      <w:bookmarkStart w:id="132" w:name="_Toc238878129"/>
      <w:bookmarkStart w:id="133" w:name="_Toc274303259"/>
      <w:bookmarkStart w:id="134" w:name="_Toc187829774"/>
      <w:bookmarkStart w:id="135" w:name="_Toc7946605"/>
      <w:bookmarkStart w:id="136" w:name="_Toc235778631"/>
      <w:r>
        <w:rPr>
          <w:rFonts w:hint="eastAsia" w:ascii="宋体" w:hAnsi="宋体" w:cs="宋体"/>
          <w:color w:val="auto"/>
          <w:kern w:val="0"/>
          <w:sz w:val="24"/>
          <w:highlight w:val="none"/>
        </w:rPr>
        <w:t>十、本合同一式____份，甲乙双方各执____份，浙江明达工程造价咨询有限公司执一份，义乌市财政局执一份，均具同等效力。</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    方：_________________  乙   方：________________________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    址：_________________  地    址：_______________________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法定代表人：_______________ 法定代表人：____________________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授权代表：________________  授权代表：____________________    </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    话：_________________ 电    话：_________________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 xml:space="preserve">名称：_________________ </w:t>
      </w:r>
      <w:r>
        <w:rPr>
          <w:rFonts w:hint="eastAsia" w:ascii="宋体" w:hAnsi="宋体" w:cs="宋体"/>
          <w:color w:val="auto"/>
          <w:kern w:val="0"/>
          <w:sz w:val="24"/>
          <w:highlight w:val="none"/>
          <w:lang w:val="en-US" w:eastAsia="zh-CN"/>
        </w:rPr>
        <w:t>账户</w:t>
      </w:r>
      <w:r>
        <w:rPr>
          <w:rFonts w:hint="eastAsia" w:ascii="宋体" w:hAnsi="宋体" w:cs="宋体"/>
          <w:color w:val="auto"/>
          <w:kern w:val="0"/>
          <w:sz w:val="24"/>
          <w:highlight w:val="none"/>
        </w:rPr>
        <w:t>名称：__________________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开户银行：_________________  开户银行：__________________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帐    号：__________________ 帐    号：___________________</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签约时间：_________________  签约地点：___________________</w:t>
      </w: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ind w:firstLine="480" w:firstLineChars="200"/>
        <w:rPr>
          <w:rFonts w:ascii="宋体" w:hAnsi="宋体" w:cs="宋体"/>
          <w:color w:val="auto"/>
          <w:kern w:val="0"/>
          <w:sz w:val="24"/>
          <w:highlight w:val="none"/>
        </w:rPr>
      </w:pPr>
    </w:p>
    <w:p>
      <w:pPr>
        <w:shd w:val="clear"/>
        <w:snapToGrid w:val="0"/>
        <w:spacing w:line="400" w:lineRule="exact"/>
        <w:rPr>
          <w:rFonts w:ascii="宋体" w:hAnsi="宋体" w:cs="宋体"/>
          <w:color w:val="auto"/>
          <w:kern w:val="0"/>
          <w:sz w:val="24"/>
          <w:highlight w:val="none"/>
        </w:rPr>
      </w:pPr>
    </w:p>
    <w:p>
      <w:pPr>
        <w:pStyle w:val="2"/>
        <w:shd w:val="clear"/>
        <w:rPr>
          <w:rFonts w:ascii="宋体" w:hAnsi="宋体" w:cs="宋体"/>
          <w:color w:val="auto"/>
          <w:kern w:val="0"/>
          <w:sz w:val="24"/>
          <w:highlight w:val="none"/>
        </w:rPr>
      </w:pPr>
    </w:p>
    <w:p>
      <w:pPr>
        <w:pStyle w:val="3"/>
        <w:shd w:val="clear"/>
        <w:rPr>
          <w:rFonts w:ascii="宋体" w:hAnsi="宋体" w:cs="宋体"/>
          <w:color w:val="auto"/>
          <w:kern w:val="0"/>
          <w:sz w:val="24"/>
          <w:highlight w:val="none"/>
        </w:rPr>
      </w:pPr>
    </w:p>
    <w:p>
      <w:pPr>
        <w:pStyle w:val="4"/>
        <w:rPr>
          <w:rFonts w:ascii="宋体" w:hAnsi="宋体" w:cs="宋体"/>
          <w:color w:val="auto"/>
          <w:kern w:val="0"/>
          <w:sz w:val="24"/>
          <w:highlight w:val="none"/>
        </w:rPr>
      </w:pPr>
    </w:p>
    <w:p>
      <w:pPr>
        <w:rPr>
          <w:rFonts w:ascii="宋体" w:hAnsi="宋体" w:cs="宋体"/>
          <w:color w:val="auto"/>
          <w:kern w:val="0"/>
          <w:sz w:val="24"/>
          <w:highlight w:val="none"/>
        </w:rPr>
      </w:pPr>
    </w:p>
    <w:p>
      <w:pPr>
        <w:pStyle w:val="2"/>
      </w:pPr>
    </w:p>
    <w:p>
      <w:pPr>
        <w:pStyle w:val="4"/>
        <w:shd w:val="clear"/>
        <w:rPr>
          <w:rFonts w:ascii="宋体" w:hAnsi="宋体" w:cs="宋体"/>
          <w:color w:val="auto"/>
          <w:kern w:val="0"/>
          <w:sz w:val="24"/>
          <w:highlight w:val="none"/>
        </w:rPr>
      </w:pPr>
    </w:p>
    <w:p>
      <w:pPr>
        <w:shd w:val="clear"/>
        <w:rPr>
          <w:rFonts w:ascii="宋体" w:hAnsi="宋体" w:cs="宋体"/>
          <w:color w:val="auto"/>
          <w:kern w:val="0"/>
          <w:sz w:val="24"/>
          <w:highlight w:val="none"/>
        </w:rPr>
      </w:pPr>
    </w:p>
    <w:p>
      <w:pPr>
        <w:shd w:val="clear"/>
        <w:rPr>
          <w:color w:val="auto"/>
          <w:highlight w:val="none"/>
        </w:rPr>
      </w:pPr>
    </w:p>
    <w:p>
      <w:pPr>
        <w:pStyle w:val="5"/>
        <w:shd w:val="clear"/>
        <w:jc w:val="center"/>
        <w:rPr>
          <w:rFonts w:ascii="宋体" w:hAnsi="宋体" w:cs="宋体"/>
          <w:color w:val="auto"/>
          <w:sz w:val="36"/>
          <w:szCs w:val="36"/>
          <w:highlight w:val="none"/>
        </w:rPr>
      </w:pPr>
      <w:bookmarkStart w:id="137" w:name="_Toc23023"/>
      <w:bookmarkStart w:id="138" w:name="_Toc12062"/>
      <w:bookmarkStart w:id="139" w:name="_Toc14425"/>
      <w:bookmarkStart w:id="140" w:name="_Toc4405"/>
      <w:r>
        <w:rPr>
          <w:rFonts w:hint="eastAsia" w:ascii="宋体" w:hAnsi="宋体" w:cs="宋体"/>
          <w:color w:val="auto"/>
          <w:sz w:val="36"/>
          <w:szCs w:val="36"/>
          <w:highlight w:val="none"/>
        </w:rPr>
        <w:t>第八章  投标文件部分格式</w:t>
      </w:r>
      <w:bookmarkEnd w:id="131"/>
      <w:bookmarkEnd w:id="132"/>
      <w:bookmarkEnd w:id="133"/>
      <w:bookmarkEnd w:id="134"/>
      <w:bookmarkEnd w:id="135"/>
      <w:bookmarkEnd w:id="136"/>
      <w:bookmarkEnd w:id="137"/>
      <w:bookmarkEnd w:id="138"/>
      <w:bookmarkEnd w:id="139"/>
      <w:bookmarkEnd w:id="140"/>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一、技术标部分格式：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1.投标文件封面格式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2.关于资格的声明函格式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3.法定代表人说明书格式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rPr>
        <w:t>4.法定代表人授权书格式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.中小企业声明函格式 </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.残疾人福利企业声明函格式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.监狱企业声明函格式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.拟投入本项目人员表格式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.拟投入本项目设备一览表</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.服务承诺书格式</w:t>
      </w:r>
    </w:p>
    <w:p>
      <w:pPr>
        <w:shd w:val="clear"/>
        <w:tabs>
          <w:tab w:val="left" w:pos="1050"/>
        </w:tabs>
        <w:spacing w:line="520" w:lineRule="exact"/>
        <w:ind w:left="528"/>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.义乌市政府采购项目投标承诺书</w:t>
      </w:r>
    </w:p>
    <w:p>
      <w:pPr>
        <w:shd w:val="clear"/>
        <w:spacing w:line="440" w:lineRule="exact"/>
        <w:ind w:firstLine="480" w:firstLineChars="200"/>
        <w:rPr>
          <w:rFonts w:ascii="宋体" w:hAnsi="宋体" w:cs="宋体"/>
          <w:color w:val="auto"/>
          <w:sz w:val="24"/>
          <w:highlight w:val="none"/>
        </w:rPr>
      </w:pPr>
    </w:p>
    <w:p>
      <w:pPr>
        <w:pStyle w:val="17"/>
        <w:shd w:val="clear"/>
        <w:spacing w:before="156" w:beforeLines="50" w:after="156" w:afterLines="50" w:line="600" w:lineRule="exact"/>
        <w:rPr>
          <w:rFonts w:ascii="宋体" w:hAnsi="宋体" w:cs="宋体"/>
          <w:color w:val="auto"/>
          <w:highlight w:val="none"/>
        </w:rPr>
      </w:pPr>
      <w:r>
        <w:rPr>
          <w:rFonts w:hint="eastAsia" w:ascii="宋体" w:hAnsi="宋体" w:cs="宋体"/>
          <w:color w:val="auto"/>
          <w:highlight w:val="none"/>
        </w:rPr>
        <w:t>二、商务标投标文件部分格式：</w:t>
      </w:r>
    </w:p>
    <w:p>
      <w:pPr>
        <w:shd w:val="clear"/>
        <w:tabs>
          <w:tab w:val="left" w:pos="105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投标函格式</w:t>
      </w:r>
    </w:p>
    <w:p>
      <w:pPr>
        <w:shd w:val="clear"/>
        <w:tabs>
          <w:tab w:val="left" w:pos="1080"/>
        </w:tabs>
        <w:spacing w:line="520" w:lineRule="exact"/>
        <w:ind w:left="528"/>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报价一览表格式</w:t>
      </w:r>
    </w:p>
    <w:p>
      <w:pPr>
        <w:shd w:val="clear"/>
        <w:tabs>
          <w:tab w:val="left" w:pos="1080"/>
        </w:tabs>
        <w:spacing w:line="520" w:lineRule="exact"/>
        <w:ind w:left="528"/>
        <w:rPr>
          <w:rFonts w:ascii="宋体" w:hAnsi="宋体" w:cs="宋体"/>
          <w:color w:val="auto"/>
          <w:sz w:val="24"/>
          <w:highlight w:val="none"/>
        </w:rPr>
      </w:pPr>
    </w:p>
    <w:p>
      <w:pPr>
        <w:shd w:val="clear"/>
        <w:rPr>
          <w:rFonts w:ascii="宋体" w:hAnsi="宋体" w:cs="宋体"/>
          <w:color w:val="auto"/>
          <w:sz w:val="30"/>
          <w:szCs w:val="30"/>
          <w:highlight w:val="none"/>
        </w:rPr>
      </w:pPr>
    </w:p>
    <w:p>
      <w:pPr>
        <w:shd w:val="clear"/>
        <w:rPr>
          <w:rFonts w:ascii="宋体" w:hAnsi="宋体" w:cs="宋体"/>
          <w:color w:val="auto"/>
          <w:sz w:val="30"/>
          <w:szCs w:val="30"/>
          <w:highlight w:val="none"/>
        </w:rPr>
      </w:pPr>
    </w:p>
    <w:p>
      <w:pPr>
        <w:pStyle w:val="25"/>
        <w:shd w:val="clear"/>
        <w:rPr>
          <w:rFonts w:ascii="宋体" w:hAnsi="宋体" w:cs="宋体"/>
          <w:color w:val="auto"/>
          <w:highlight w:val="none"/>
        </w:rPr>
      </w:pPr>
    </w:p>
    <w:p>
      <w:pPr>
        <w:pStyle w:val="25"/>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rPr>
          <w:rFonts w:ascii="宋体" w:hAnsi="宋体" w:cs="宋体"/>
          <w:color w:val="auto"/>
          <w:highlight w:val="none"/>
        </w:rPr>
      </w:pPr>
    </w:p>
    <w:p>
      <w:pPr>
        <w:pStyle w:val="11"/>
        <w:shd w:val="clear"/>
        <w:ind w:left="0" w:leftChars="0" w:firstLine="0" w:firstLineChars="0"/>
        <w:rPr>
          <w:rFonts w:ascii="宋体" w:hAnsi="宋体" w:cs="宋体"/>
          <w:color w:val="auto"/>
          <w:highlight w:val="none"/>
        </w:rPr>
      </w:pPr>
    </w:p>
    <w:p>
      <w:pPr>
        <w:shd w:val="clear"/>
        <w:rPr>
          <w:rFonts w:ascii="宋体" w:hAnsi="宋体" w:cs="宋体"/>
          <w:color w:val="auto"/>
          <w:sz w:val="52"/>
          <w:szCs w:val="52"/>
          <w:highlight w:val="none"/>
          <w:u w:val="single"/>
        </w:rPr>
      </w:pPr>
      <w:r>
        <w:rPr>
          <w:rFonts w:hint="eastAsia" w:ascii="宋体" w:hAnsi="宋体" w:cs="宋体"/>
          <w:b/>
          <w:bCs/>
          <w:color w:val="auto"/>
          <w:sz w:val="28"/>
          <w:szCs w:val="28"/>
          <w:highlight w:val="none"/>
        </w:rPr>
        <w:t>封面格式</w:t>
      </w:r>
    </w:p>
    <w:p>
      <w:pPr>
        <w:shd w:val="clear"/>
        <w:jc w:val="center"/>
        <w:rPr>
          <w:rFonts w:ascii="宋体" w:hAnsi="宋体" w:cs="宋体"/>
          <w:color w:val="auto"/>
          <w:sz w:val="24"/>
          <w:highlight w:val="none"/>
          <w:u w:val="single"/>
        </w:rPr>
      </w:pPr>
    </w:p>
    <w:p>
      <w:pPr>
        <w:pStyle w:val="25"/>
        <w:shd w:val="clear"/>
        <w:rPr>
          <w:rFonts w:ascii="宋体" w:hAnsi="宋体" w:cs="宋体"/>
          <w:color w:val="auto"/>
          <w:highlight w:val="none"/>
        </w:rPr>
      </w:pPr>
    </w:p>
    <w:p>
      <w:pPr>
        <w:shd w:val="clear"/>
        <w:jc w:val="center"/>
        <w:rPr>
          <w:rFonts w:ascii="宋体" w:hAnsi="宋体" w:cs="宋体"/>
          <w:color w:val="auto"/>
          <w:sz w:val="24"/>
          <w:highlight w:val="none"/>
          <w:u w:val="single"/>
        </w:rPr>
      </w:pPr>
    </w:p>
    <w:p>
      <w:pPr>
        <w:shd w:val="clear"/>
        <w:jc w:val="center"/>
        <w:rPr>
          <w:rFonts w:ascii="宋体" w:hAnsi="宋体" w:cs="宋体"/>
          <w:color w:val="auto"/>
          <w:sz w:val="52"/>
          <w:szCs w:val="52"/>
          <w:highlight w:val="none"/>
        </w:rPr>
      </w:pPr>
      <w:r>
        <w:rPr>
          <w:rFonts w:hint="eastAsia" w:ascii="宋体" w:hAnsi="宋体" w:cs="宋体"/>
          <w:color w:val="auto"/>
          <w:sz w:val="52"/>
          <w:szCs w:val="52"/>
          <w:highlight w:val="none"/>
          <w:u w:val="single"/>
        </w:rPr>
        <w:t xml:space="preserve">                        </w:t>
      </w:r>
      <w:r>
        <w:rPr>
          <w:rFonts w:hint="eastAsia" w:ascii="宋体" w:hAnsi="宋体" w:cs="宋体"/>
          <w:color w:val="auto"/>
          <w:sz w:val="52"/>
          <w:szCs w:val="52"/>
          <w:highlight w:val="none"/>
        </w:rPr>
        <w:t>项目</w:t>
      </w:r>
    </w:p>
    <w:p>
      <w:pPr>
        <w:shd w:val="clear"/>
        <w:rPr>
          <w:rFonts w:ascii="宋体" w:hAnsi="宋体" w:cs="宋体"/>
          <w:color w:val="auto"/>
          <w:sz w:val="52"/>
          <w:szCs w:val="52"/>
          <w:highlight w:val="none"/>
        </w:rPr>
      </w:pPr>
    </w:p>
    <w:p>
      <w:pPr>
        <w:shd w:val="clea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投标文件</w:t>
      </w:r>
    </w:p>
    <w:p>
      <w:pPr>
        <w:shd w:val="clea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（采购编号：     ）</w:t>
      </w: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jc w:val="center"/>
        <w:rPr>
          <w:rFonts w:ascii="宋体" w:hAnsi="宋体" w:cs="宋体"/>
          <w:b/>
          <w:bCs/>
          <w:color w:val="auto"/>
          <w:sz w:val="28"/>
          <w:szCs w:val="28"/>
          <w:highlight w:val="none"/>
        </w:rPr>
      </w:pPr>
    </w:p>
    <w:p>
      <w:pPr>
        <w:shd w:val="clear"/>
        <w:spacing w:line="900" w:lineRule="exact"/>
        <w:ind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投标文件内容：</w:t>
      </w:r>
      <w:r>
        <w:rPr>
          <w:rFonts w:hint="eastAsia" w:ascii="宋体" w:hAnsi="宋体" w:cs="宋体"/>
          <w:color w:val="auto"/>
          <w:sz w:val="32"/>
          <w:szCs w:val="32"/>
          <w:highlight w:val="none"/>
          <w:u w:val="single"/>
        </w:rPr>
        <w:t xml:space="preserve">           （资格审查文件或技术标或商务标）                    </w:t>
      </w:r>
    </w:p>
    <w:p>
      <w:pPr>
        <w:shd w:val="clear"/>
        <w:spacing w:line="900" w:lineRule="exact"/>
        <w:ind w:firstLine="313" w:firstLineChars="98"/>
        <w:rPr>
          <w:rFonts w:ascii="宋体" w:hAnsi="宋体" w:cs="宋体"/>
          <w:color w:val="auto"/>
          <w:sz w:val="32"/>
          <w:szCs w:val="32"/>
          <w:highlight w:val="none"/>
          <w:u w:val="single"/>
        </w:rPr>
      </w:pPr>
      <w:r>
        <w:rPr>
          <w:rFonts w:hint="eastAsia" w:ascii="宋体" w:hAnsi="宋体" w:cs="宋体"/>
          <w:color w:val="auto"/>
          <w:sz w:val="32"/>
          <w:szCs w:val="32"/>
          <w:highlight w:val="none"/>
        </w:rPr>
        <w:t>投   标   人：</w:t>
      </w:r>
      <w:r>
        <w:rPr>
          <w:rFonts w:hint="eastAsia" w:ascii="宋体" w:hAnsi="宋体" w:cs="宋体"/>
          <w:color w:val="auto"/>
          <w:sz w:val="32"/>
          <w:szCs w:val="32"/>
          <w:highlight w:val="none"/>
          <w:u w:val="single"/>
        </w:rPr>
        <w:t xml:space="preserve">                                 （盖章）  </w:t>
      </w:r>
    </w:p>
    <w:p>
      <w:pPr>
        <w:shd w:val="clear"/>
        <w:spacing w:line="900" w:lineRule="exact"/>
        <w:ind w:left="-4" w:leftChars="-2" w:firstLine="320" w:firstLineChars="100"/>
        <w:rPr>
          <w:rFonts w:ascii="宋体" w:hAnsi="宋体" w:cs="宋体"/>
          <w:color w:val="auto"/>
          <w:sz w:val="32"/>
          <w:szCs w:val="32"/>
          <w:highlight w:val="none"/>
          <w:u w:val="single"/>
        </w:rPr>
      </w:pPr>
      <w:r>
        <w:rPr>
          <w:rFonts w:hint="eastAsia" w:ascii="宋体" w:hAnsi="宋体" w:cs="宋体"/>
          <w:color w:val="auto"/>
          <w:sz w:val="32"/>
          <w:szCs w:val="32"/>
          <w:highlight w:val="none"/>
        </w:rPr>
        <w:t>法定代表人或其委托代理人：</w:t>
      </w:r>
      <w:r>
        <w:rPr>
          <w:rFonts w:hint="eastAsia" w:ascii="宋体" w:hAnsi="宋体" w:cs="宋体"/>
          <w:color w:val="auto"/>
          <w:sz w:val="32"/>
          <w:szCs w:val="32"/>
          <w:highlight w:val="none"/>
          <w:u w:val="single"/>
        </w:rPr>
        <w:t xml:space="preserve">                （签字或盖章） </w:t>
      </w:r>
    </w:p>
    <w:p>
      <w:pPr>
        <w:shd w:val="clear"/>
        <w:spacing w:line="900" w:lineRule="exact"/>
        <w:ind w:firstLine="160" w:firstLineChars="50"/>
        <w:rPr>
          <w:rFonts w:ascii="宋体" w:hAnsi="宋体" w:cs="宋体"/>
          <w:color w:val="auto"/>
          <w:highlight w:val="none"/>
        </w:rPr>
      </w:pPr>
      <w:r>
        <w:rPr>
          <w:rFonts w:hint="eastAsia" w:ascii="宋体" w:hAnsi="宋体" w:cs="宋体"/>
          <w:color w:val="auto"/>
          <w:sz w:val="32"/>
          <w:szCs w:val="32"/>
          <w:highlight w:val="none"/>
        </w:rPr>
        <w:t xml:space="preserve"> 日 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shd w:val="clear"/>
        <w:jc w:val="center"/>
        <w:rPr>
          <w:rFonts w:hint="eastAsia"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关于资格的声明函（格式）</w:t>
      </w:r>
    </w:p>
    <w:p>
      <w:pPr>
        <w:pStyle w:val="2"/>
        <w:shd w:val="clear"/>
        <w:rPr>
          <w:rFonts w:cs="宋体"/>
          <w:color w:val="auto"/>
          <w:sz w:val="24"/>
          <w:szCs w:val="24"/>
          <w:highlight w:val="none"/>
        </w:rPr>
      </w:pPr>
    </w:p>
    <w:p>
      <w:pPr>
        <w:pStyle w:val="2"/>
        <w:shd w:val="clear"/>
        <w:jc w:val="both"/>
        <w:rPr>
          <w:rFonts w:cs="宋体"/>
          <w:b w:val="0"/>
          <w:bCs w:val="0"/>
          <w:color w:val="auto"/>
          <w:sz w:val="24"/>
          <w:szCs w:val="24"/>
          <w:highlight w:val="none"/>
          <w:u w:val="single"/>
        </w:rPr>
      </w:pPr>
      <w:r>
        <w:rPr>
          <w:rFonts w:hint="eastAsia" w:cs="宋体"/>
          <w:b w:val="0"/>
          <w:bCs w:val="0"/>
          <w:color w:val="auto"/>
          <w:sz w:val="24"/>
          <w:szCs w:val="24"/>
          <w:highlight w:val="none"/>
        </w:rPr>
        <w:t>致：（</w:t>
      </w:r>
      <w:r>
        <w:rPr>
          <w:rFonts w:hint="eastAsia" w:cs="宋体"/>
          <w:b w:val="0"/>
          <w:bCs w:val="0"/>
          <w:color w:val="auto"/>
          <w:sz w:val="24"/>
          <w:szCs w:val="24"/>
          <w:highlight w:val="none"/>
          <w:u w:val="single"/>
        </w:rPr>
        <w:t xml:space="preserve">采购人名称）                    </w:t>
      </w:r>
    </w:p>
    <w:p>
      <w:pPr>
        <w:shd w:val="clea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（采购代理机构名称）             </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（采购编号）招标公告，本签字人愿意参加投标，按采购文件要求提供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 设备和服务，并说明提交的下列文件和说明是正确和真实的。</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（签发单位）签发的我方工商营业执照副本（复印件加盖公章后附该声明函后）。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（签发人）签发的投标人情况介绍。</w:t>
      </w:r>
    </w:p>
    <w:p>
      <w:pPr>
        <w:shd w:val="clea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kern w:val="0"/>
          <w:sz w:val="24"/>
          <w:highlight w:val="none"/>
        </w:rPr>
        <w:t>.</w:t>
      </w:r>
      <w:r>
        <w:rPr>
          <w:rFonts w:hint="eastAsia" w:ascii="宋体" w:hAnsi="宋体" w:cs="宋体"/>
          <w:color w:val="auto"/>
          <w:sz w:val="24"/>
          <w:highlight w:val="none"/>
        </w:rPr>
        <w:t>其他资格、资质文件：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460" w:lineRule="exac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（空格处填写资格证书名称、复印件加盖公章后附该声明函后）。</w:t>
      </w:r>
    </w:p>
    <w:p>
      <w:pPr>
        <w:shd w:val="clea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w:t>
      </w:r>
      <w:r>
        <w:rPr>
          <w:rFonts w:hint="eastAsia" w:ascii="宋体" w:hAnsi="宋体" w:cs="宋体"/>
          <w:color w:val="auto"/>
          <w:sz w:val="24"/>
          <w:highlight w:val="none"/>
        </w:rPr>
        <w:t>本签字人确认所提供的投标文件内容是真实的、准确的。</w:t>
      </w: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460" w:lineRule="exact"/>
        <w:ind w:firstLine="480" w:firstLineChars="200"/>
        <w:rPr>
          <w:rFonts w:ascii="宋体" w:hAnsi="宋体" w:cs="宋体"/>
          <w:color w:val="auto"/>
          <w:sz w:val="24"/>
          <w:highlight w:val="none"/>
        </w:rPr>
      </w:pP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单位的名称和地址                         授权签署本资格文件人</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名称（盖章）：                          签字（或盖章）：</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地址：                                 职务：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传真：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邮编：                                 签署日期：</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pPr>
        <w:pStyle w:val="21"/>
        <w:shd w:val="clear"/>
        <w:ind w:left="0" w:leftChars="0" w:firstLine="0" w:firstLineChars="0"/>
        <w:rPr>
          <w:rFonts w:ascii="宋体" w:hAnsi="宋体"/>
          <w:color w:val="auto"/>
          <w:highlight w:val="none"/>
        </w:rPr>
      </w:pPr>
    </w:p>
    <w:p>
      <w:pPr>
        <w:shd w:val="clear"/>
        <w:spacing w:line="480" w:lineRule="auto"/>
        <w:jc w:val="center"/>
        <w:rPr>
          <w:rFonts w:hint="eastAsia" w:ascii="宋体" w:hAnsi="宋体" w:cs="宋体"/>
          <w:b/>
          <w:bCs/>
          <w:color w:val="auto"/>
          <w:sz w:val="36"/>
          <w:szCs w:val="36"/>
          <w:highlight w:val="none"/>
        </w:rPr>
      </w:pPr>
    </w:p>
    <w:p>
      <w:pPr>
        <w:shd w:val="clear"/>
        <w:spacing w:line="480"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rPr>
        <w:t>法定代表人说明书（格式）</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姓名：                           性别：</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年龄：                           职务：</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身份证号码：</w:t>
      </w: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（单位名称）的法定代表人，法定地址：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项目的投标、开标等事宜，签署上述投标文件，进行合同谈判、签署合同和处理与之有关的一切事务。</w:t>
      </w:r>
    </w:p>
    <w:p>
      <w:pPr>
        <w:shd w:val="clear"/>
        <w:spacing w:line="540" w:lineRule="exact"/>
        <w:ind w:firstLine="480" w:firstLineChars="200"/>
        <w:rPr>
          <w:rFonts w:ascii="宋体" w:hAnsi="宋体" w:cs="宋体"/>
          <w:color w:val="auto"/>
          <w:sz w:val="24"/>
          <w:highlight w:val="none"/>
        </w:rPr>
      </w:pPr>
    </w:p>
    <w:p>
      <w:pPr>
        <w:shd w:val="clea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投标单位：（盖章）                </w:t>
      </w: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法定代表人签字：</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r>
        <w:rPr>
          <w:rFonts w:hint="eastAsia" w:ascii="宋体" w:hAnsi="宋体" w:cs="宋体"/>
          <w:color w:val="auto"/>
          <w:sz w:val="24"/>
          <w:highlight w:val="none"/>
        </w:rPr>
        <w:t xml:space="preserve">日期：    年   月    日              </w:t>
      </w:r>
    </w:p>
    <w:p>
      <w:pPr>
        <w:shd w:val="clear"/>
        <w:spacing w:line="540" w:lineRule="exact"/>
        <w:rPr>
          <w:rFonts w:ascii="宋体" w:hAnsi="宋体" w:cs="宋体"/>
          <w:color w:val="auto"/>
          <w:sz w:val="24"/>
          <w:highlight w:val="none"/>
        </w:rPr>
      </w:pPr>
    </w:p>
    <w:p>
      <w:pPr>
        <w:shd w:val="clear"/>
        <w:spacing w:line="540" w:lineRule="exact"/>
        <w:rPr>
          <w:rFonts w:ascii="宋体" w:hAnsi="宋体" w:cs="宋体"/>
          <w:color w:val="auto"/>
          <w:sz w:val="24"/>
          <w:highlight w:val="none"/>
        </w:rPr>
      </w:pPr>
    </w:p>
    <w:p>
      <w:pPr>
        <w:pStyle w:val="26"/>
        <w:shd w:val="clear"/>
        <w:rPr>
          <w:rFonts w:ascii="宋体" w:hAnsi="宋体" w:eastAsia="宋体" w:cs="宋体"/>
          <w:color w:val="auto"/>
          <w:highlight w:val="none"/>
        </w:rPr>
      </w:pPr>
    </w:p>
    <w:p>
      <w:pPr>
        <w:pStyle w:val="26"/>
        <w:shd w:val="clear"/>
        <w:rPr>
          <w:rFonts w:ascii="宋体" w:hAnsi="宋体" w:eastAsia="宋体" w:cs="宋体"/>
          <w:color w:val="auto"/>
          <w:highlight w:val="none"/>
        </w:rPr>
      </w:pPr>
    </w:p>
    <w:p>
      <w:pPr>
        <w:shd w:val="clear"/>
        <w:spacing w:line="480" w:lineRule="auto"/>
        <w:jc w:val="center"/>
        <w:rPr>
          <w:rFonts w:ascii="宋体" w:hAnsi="宋体" w:cs="宋体"/>
          <w:b/>
          <w:bCs/>
          <w:color w:val="auto"/>
          <w:sz w:val="36"/>
          <w:szCs w:val="36"/>
          <w:highlight w:val="none"/>
        </w:rPr>
      </w:pPr>
    </w:p>
    <w:p>
      <w:pPr>
        <w:shd w:val="clea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投标人法定代表人授权书（格式）</w:t>
      </w:r>
    </w:p>
    <w:p>
      <w:pPr>
        <w:shd w:val="clear"/>
        <w:spacing w:line="480" w:lineRule="auto"/>
        <w:jc w:val="center"/>
        <w:rPr>
          <w:rFonts w:ascii="宋体" w:hAnsi="宋体" w:cs="宋体"/>
          <w:b/>
          <w:bCs/>
          <w:color w:val="auto"/>
          <w:sz w:val="48"/>
          <w:szCs w:val="48"/>
          <w:highlight w:val="none"/>
        </w:rPr>
      </w:pP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采购代理机构名称）         </w:t>
      </w:r>
      <w:r>
        <w:rPr>
          <w:rFonts w:hint="eastAsia" w:ascii="宋体" w:hAnsi="宋体" w:cs="宋体"/>
          <w:color w:val="auto"/>
          <w:sz w:val="24"/>
          <w:highlight w:val="none"/>
        </w:rPr>
        <w:t xml:space="preserve">    </w:t>
      </w:r>
    </w:p>
    <w:p>
      <w:pPr>
        <w:shd w:val="clea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（授权人姓名）系该公司的法定代表人。现特授权本单位的（被授权人姓名）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我公司对被授权人的签名负全部责任。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被授权人身份证复印件：</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投标人公章：</w:t>
      </w:r>
    </w:p>
    <w:p>
      <w:pPr>
        <w:shd w:val="clear"/>
        <w:spacing w:line="800" w:lineRule="exact"/>
        <w:rPr>
          <w:rFonts w:ascii="宋体" w:hAnsi="宋体" w:cs="宋体"/>
          <w:color w:val="auto"/>
          <w:sz w:val="24"/>
          <w:highlight w:val="none"/>
          <w:u w:val="single"/>
        </w:rPr>
      </w:pPr>
      <w:r>
        <w:rPr>
          <w:rFonts w:hint="eastAsia" w:ascii="宋体" w:hAnsi="宋体" w:cs="宋体"/>
          <w:color w:val="auto"/>
          <w:sz w:val="24"/>
          <w:highlight w:val="none"/>
        </w:rPr>
        <w:t>授权人签名：                            职        务：</w:t>
      </w:r>
      <w:r>
        <w:rPr>
          <w:rFonts w:hint="eastAsia" w:ascii="宋体" w:hAnsi="宋体" w:cs="宋体"/>
          <w:color w:val="auto"/>
          <w:sz w:val="24"/>
          <w:highlight w:val="none"/>
          <w:u w:val="single"/>
        </w:rPr>
        <w:t xml:space="preserve">                </w:t>
      </w:r>
    </w:p>
    <w:p>
      <w:pPr>
        <w:shd w:val="clear"/>
        <w:spacing w:line="800" w:lineRule="exact"/>
        <w:rPr>
          <w:rFonts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注：投标人法定代表人参加投标的，提供法定代表人说明书和身份资料即可。</w:t>
      </w:r>
    </w:p>
    <w:p>
      <w:pPr>
        <w:pStyle w:val="5"/>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jc w:val="center"/>
        <w:rPr>
          <w:rFonts w:hint="eastAsia"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拟投入本项目的人员表（格式）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144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46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从事岗位</w:t>
            </w:r>
          </w:p>
        </w:tc>
        <w:tc>
          <w:tcPr>
            <w:tcW w:w="2680"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542" w:type="dxa"/>
            <w:vAlign w:val="center"/>
          </w:tcPr>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从事</w:t>
            </w:r>
          </w:p>
          <w:p>
            <w:pPr>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900" w:type="dxa"/>
            <w:vAlign w:val="center"/>
          </w:tcPr>
          <w:p>
            <w:pPr>
              <w:shd w:val="clear"/>
              <w:tabs>
                <w:tab w:val="left" w:pos="360"/>
              </w:tabs>
              <w:spacing w:line="460" w:lineRule="exact"/>
              <w:jc w:val="center"/>
              <w:rPr>
                <w:rFonts w:ascii="宋体" w:hAnsi="宋体" w:cs="宋体"/>
                <w:color w:val="auto"/>
                <w:sz w:val="24"/>
                <w:highlight w:val="none"/>
              </w:rPr>
            </w:pPr>
          </w:p>
        </w:tc>
        <w:tc>
          <w:tcPr>
            <w:tcW w:w="1440" w:type="dxa"/>
            <w:vAlign w:val="center"/>
          </w:tcPr>
          <w:p>
            <w:pPr>
              <w:shd w:val="clear"/>
              <w:tabs>
                <w:tab w:val="left" w:pos="360"/>
              </w:tabs>
              <w:spacing w:line="460" w:lineRule="exact"/>
              <w:jc w:val="center"/>
              <w:rPr>
                <w:rFonts w:ascii="宋体" w:hAnsi="宋体" w:cs="宋体"/>
                <w:color w:val="auto"/>
                <w:sz w:val="24"/>
                <w:highlight w:val="none"/>
              </w:rPr>
            </w:pPr>
          </w:p>
        </w:tc>
        <w:tc>
          <w:tcPr>
            <w:tcW w:w="1460" w:type="dxa"/>
            <w:vAlign w:val="center"/>
          </w:tcPr>
          <w:p>
            <w:pPr>
              <w:shd w:val="clear"/>
              <w:tabs>
                <w:tab w:val="left" w:pos="360"/>
              </w:tabs>
              <w:spacing w:line="460" w:lineRule="exact"/>
              <w:jc w:val="center"/>
              <w:rPr>
                <w:rFonts w:ascii="宋体" w:hAnsi="宋体" w:cs="宋体"/>
                <w:color w:val="auto"/>
                <w:sz w:val="24"/>
                <w:highlight w:val="none"/>
              </w:rPr>
            </w:pPr>
          </w:p>
        </w:tc>
        <w:tc>
          <w:tcPr>
            <w:tcW w:w="2680" w:type="dxa"/>
            <w:vAlign w:val="center"/>
          </w:tcPr>
          <w:p>
            <w:pPr>
              <w:shd w:val="clear"/>
              <w:tabs>
                <w:tab w:val="left" w:pos="360"/>
              </w:tabs>
              <w:spacing w:line="460" w:lineRule="exact"/>
              <w:jc w:val="center"/>
              <w:rPr>
                <w:rFonts w:ascii="宋体" w:hAnsi="宋体" w:cs="宋体"/>
                <w:color w:val="auto"/>
                <w:sz w:val="24"/>
                <w:highlight w:val="none"/>
              </w:rPr>
            </w:pPr>
          </w:p>
        </w:tc>
        <w:tc>
          <w:tcPr>
            <w:tcW w:w="1542"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shd w:val="clear"/>
        <w:tabs>
          <w:tab w:val="left" w:pos="360"/>
        </w:tabs>
        <w:spacing w:line="500" w:lineRule="exact"/>
        <w:rPr>
          <w:rFonts w:ascii="宋体" w:hAnsi="宋体" w:cs="宋体"/>
          <w:color w:val="auto"/>
          <w:sz w:val="24"/>
          <w:highlight w:val="none"/>
          <w:u w:val="singl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kern w:val="0"/>
          <w:sz w:val="24"/>
          <w:highlight w:val="none"/>
        </w:rPr>
        <w:t>.</w:t>
      </w:r>
      <w:r>
        <w:rPr>
          <w:rFonts w:hint="eastAsia" w:ascii="宋体" w:hAnsi="宋体" w:cs="宋体"/>
          <w:color w:val="auto"/>
          <w:sz w:val="24"/>
          <w:highlight w:val="none"/>
        </w:rPr>
        <w:t>此表在不改变表式的情况下，可自行制作。</w:t>
      </w:r>
    </w:p>
    <w:p>
      <w:pPr>
        <w:shd w:val="clear"/>
        <w:tabs>
          <w:tab w:val="left" w:pos="360"/>
        </w:tabs>
        <w:spacing w:line="460" w:lineRule="exact"/>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有资格、职称人员须附相关职称证书和资格证书复印件（加盖公章）。</w:t>
      </w:r>
    </w:p>
    <w:p>
      <w:pPr>
        <w:shd w:val="clear"/>
        <w:tabs>
          <w:tab w:val="left" w:pos="360"/>
        </w:tabs>
        <w:spacing w:line="460" w:lineRule="exact"/>
        <w:ind w:firstLine="480"/>
        <w:rPr>
          <w:rFonts w:ascii="宋体" w:hAnsi="宋体" w:cs="宋体"/>
          <w:color w:val="auto"/>
          <w:highlight w:val="none"/>
        </w:rPr>
      </w:pPr>
    </w:p>
    <w:p>
      <w:pPr>
        <w:shd w:val="clear"/>
        <w:jc w:val="center"/>
        <w:rPr>
          <w:rFonts w:ascii="宋体" w:hAnsi="宋体" w:cs="宋体"/>
          <w:b/>
          <w:bCs/>
          <w:color w:val="auto"/>
          <w:sz w:val="36"/>
          <w:highlight w:val="none"/>
        </w:rPr>
      </w:pPr>
    </w:p>
    <w:p>
      <w:pPr>
        <w:shd w:val="clear"/>
        <w:jc w:val="center"/>
        <w:rPr>
          <w:rFonts w:ascii="宋体" w:hAnsi="宋体" w:cs="宋体"/>
          <w:b/>
          <w:bCs/>
          <w:color w:val="auto"/>
          <w:sz w:val="36"/>
          <w:highlight w:val="none"/>
        </w:rPr>
      </w:pPr>
      <w:r>
        <w:rPr>
          <w:rFonts w:hint="eastAsia" w:ascii="宋体" w:hAnsi="宋体" w:cs="宋体"/>
          <w:b/>
          <w:bCs/>
          <w:color w:val="auto"/>
          <w:sz w:val="36"/>
          <w:highlight w:val="none"/>
        </w:rPr>
        <w:t>拟投入本项目设备一览表（格式）</w:t>
      </w:r>
    </w:p>
    <w:p>
      <w:pPr>
        <w:shd w:val="clear"/>
        <w:tabs>
          <w:tab w:val="left" w:pos="360"/>
        </w:tabs>
        <w:spacing w:line="360" w:lineRule="auto"/>
        <w:rPr>
          <w:rFonts w:ascii="宋体" w:hAnsi="宋体" w:cs="宋体"/>
          <w:b/>
          <w:bCs/>
          <w:color w:val="auto"/>
          <w:highlight w:val="none"/>
        </w:rPr>
      </w:pPr>
      <w:r>
        <w:rPr>
          <w:rFonts w:hint="eastAsia" w:ascii="宋体" w:hAnsi="宋体" w:cs="宋体"/>
          <w:bCs/>
          <w:color w:val="auto"/>
          <w:sz w:val="24"/>
          <w:szCs w:val="28"/>
          <w:highlight w:val="none"/>
        </w:rPr>
        <w:t>投标人（公章）：</w:t>
      </w:r>
      <w:r>
        <w:rPr>
          <w:rFonts w:hint="eastAsia" w:ascii="宋体" w:hAnsi="宋体" w:cs="宋体"/>
          <w:bCs/>
          <w:color w:val="auto"/>
          <w:sz w:val="24"/>
          <w:szCs w:val="28"/>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36"/>
        <w:gridCol w:w="2182"/>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336"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品牌、规格型号</w:t>
            </w:r>
          </w:p>
        </w:tc>
        <w:tc>
          <w:tcPr>
            <w:tcW w:w="2182"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购买时间</w:t>
            </w:r>
          </w:p>
        </w:tc>
        <w:tc>
          <w:tcPr>
            <w:tcW w:w="2868" w:type="dxa"/>
            <w:vAlign w:val="center"/>
          </w:tcPr>
          <w:p>
            <w:pPr>
              <w:shd w:val="clear"/>
              <w:tabs>
                <w:tab w:val="left" w:pos="360"/>
              </w:tabs>
              <w:spacing w:line="460" w:lineRule="exact"/>
              <w:jc w:val="center"/>
              <w:rPr>
                <w:rFonts w:ascii="宋体" w:hAnsi="宋体" w:cs="宋体"/>
                <w:color w:val="auto"/>
                <w:sz w:val="24"/>
                <w:highlight w:val="none"/>
              </w:rPr>
            </w:pPr>
            <w:r>
              <w:rPr>
                <w:rFonts w:hint="eastAsia" w:ascii="宋体" w:hAnsi="宋体" w:cs="宋体"/>
                <w:color w:val="auto"/>
                <w:sz w:val="24"/>
                <w:highlight w:val="none"/>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vAlign w:val="center"/>
          </w:tcPr>
          <w:p>
            <w:pPr>
              <w:shd w:val="clear"/>
              <w:tabs>
                <w:tab w:val="left" w:pos="360"/>
              </w:tabs>
              <w:spacing w:line="460" w:lineRule="exact"/>
              <w:jc w:val="center"/>
              <w:rPr>
                <w:rFonts w:ascii="宋体" w:hAnsi="宋体" w:cs="宋体"/>
                <w:color w:val="auto"/>
                <w:sz w:val="24"/>
                <w:highlight w:val="none"/>
              </w:rPr>
            </w:pPr>
          </w:p>
        </w:tc>
        <w:tc>
          <w:tcPr>
            <w:tcW w:w="2336" w:type="dxa"/>
            <w:vAlign w:val="center"/>
          </w:tcPr>
          <w:p>
            <w:pPr>
              <w:shd w:val="clear"/>
              <w:tabs>
                <w:tab w:val="left" w:pos="360"/>
              </w:tabs>
              <w:spacing w:line="460" w:lineRule="exact"/>
              <w:jc w:val="center"/>
              <w:rPr>
                <w:rFonts w:ascii="宋体" w:hAnsi="宋体" w:cs="宋体"/>
                <w:color w:val="auto"/>
                <w:sz w:val="24"/>
                <w:highlight w:val="none"/>
              </w:rPr>
            </w:pPr>
          </w:p>
        </w:tc>
        <w:tc>
          <w:tcPr>
            <w:tcW w:w="2182" w:type="dxa"/>
            <w:vAlign w:val="center"/>
          </w:tcPr>
          <w:p>
            <w:pPr>
              <w:shd w:val="clear"/>
              <w:tabs>
                <w:tab w:val="left" w:pos="360"/>
              </w:tabs>
              <w:spacing w:line="460" w:lineRule="exact"/>
              <w:jc w:val="center"/>
              <w:rPr>
                <w:rFonts w:ascii="宋体" w:hAnsi="宋体" w:cs="宋体"/>
                <w:color w:val="auto"/>
                <w:sz w:val="24"/>
                <w:highlight w:val="none"/>
              </w:rPr>
            </w:pPr>
          </w:p>
        </w:tc>
        <w:tc>
          <w:tcPr>
            <w:tcW w:w="2868" w:type="dxa"/>
            <w:vAlign w:val="center"/>
          </w:tcPr>
          <w:p>
            <w:pPr>
              <w:shd w:val="clear"/>
              <w:tabs>
                <w:tab w:val="left" w:pos="360"/>
              </w:tabs>
              <w:spacing w:line="460" w:lineRule="exact"/>
              <w:jc w:val="center"/>
              <w:rPr>
                <w:rFonts w:ascii="宋体" w:hAnsi="宋体" w:cs="宋体"/>
                <w:color w:val="auto"/>
                <w:sz w:val="24"/>
                <w:highlight w:val="none"/>
              </w:rPr>
            </w:pPr>
          </w:p>
        </w:tc>
      </w:tr>
    </w:tbl>
    <w:p>
      <w:pPr>
        <w:shd w:val="clear"/>
        <w:tabs>
          <w:tab w:val="left" w:pos="360"/>
        </w:tabs>
        <w:spacing w:line="500" w:lineRule="exact"/>
        <w:rPr>
          <w:rFonts w:ascii="宋体" w:hAnsi="宋体" w:cs="宋体"/>
          <w:color w:val="auto"/>
          <w:sz w:val="24"/>
          <w:highlight w:val="none"/>
        </w:rPr>
      </w:pPr>
    </w:p>
    <w:p>
      <w:pPr>
        <w:pStyle w:val="27"/>
        <w:shd w:val="clear"/>
        <w:rPr>
          <w:rFonts w:ascii="宋体" w:hAnsi="宋体" w:cs="宋体"/>
          <w:color w:val="auto"/>
          <w:highlight w:val="none"/>
        </w:rPr>
      </w:pPr>
      <w:r>
        <w:rPr>
          <w:rFonts w:hint="eastAsia" w:ascii="宋体" w:hAnsi="宋体" w:cs="宋体"/>
          <w:color w:val="auto"/>
          <w:sz w:val="24"/>
          <w:highlight w:val="none"/>
        </w:rPr>
        <w:t>全权代表签字：                 职 务：            日 期：</w:t>
      </w:r>
      <w:r>
        <w:rPr>
          <w:rFonts w:hint="eastAsia" w:ascii="宋体" w:hAnsi="宋体" w:cs="宋体"/>
          <w:color w:val="auto"/>
          <w:sz w:val="24"/>
          <w:highlight w:val="none"/>
          <w:u w:val="single"/>
        </w:rPr>
        <w:t xml:space="preserve">         </w:t>
      </w:r>
    </w:p>
    <w:p>
      <w:pPr>
        <w:pStyle w:val="2"/>
        <w:shd w:val="clear"/>
        <w:jc w:val="both"/>
        <w:rPr>
          <w:rFonts w:cs="宋体"/>
          <w:color w:val="auto"/>
          <w:sz w:val="36"/>
          <w:highlight w:val="none"/>
        </w:rPr>
      </w:pPr>
      <w:r>
        <w:rPr>
          <w:rFonts w:hint="eastAsia" w:cs="宋体"/>
          <w:b w:val="0"/>
          <w:bCs w:val="0"/>
          <w:color w:val="auto"/>
          <w:sz w:val="36"/>
          <w:highlight w:val="none"/>
        </w:rPr>
        <w:br w:type="page"/>
      </w:r>
    </w:p>
    <w:p>
      <w:pPr>
        <w:shd w:val="clear"/>
        <w:jc w:val="center"/>
        <w:rPr>
          <w:rFonts w:ascii="宋体" w:hAnsi="宋体" w:cs="宋体"/>
          <w:b/>
          <w:color w:val="auto"/>
          <w:sz w:val="36"/>
          <w:highlight w:val="none"/>
        </w:rPr>
      </w:pPr>
      <w:r>
        <w:rPr>
          <w:rFonts w:hint="eastAsia" w:ascii="宋体" w:hAnsi="宋体" w:cs="宋体"/>
          <w:b/>
          <w:color w:val="auto"/>
          <w:sz w:val="36"/>
          <w:highlight w:val="none"/>
        </w:rPr>
        <w:t>服务承诺书（格式）</w:t>
      </w:r>
    </w:p>
    <w:p>
      <w:pPr>
        <w:shd w:val="clear"/>
        <w:jc w:val="center"/>
        <w:rPr>
          <w:rFonts w:ascii="宋体" w:hAnsi="宋体" w:cs="宋体"/>
          <w:b/>
          <w:bCs/>
          <w:color w:val="auto"/>
          <w:sz w:val="36"/>
          <w:highlight w:val="none"/>
        </w:rPr>
      </w:pPr>
    </w:p>
    <w:p>
      <w:pPr>
        <w:pStyle w:val="13"/>
        <w:shd w:val="clear"/>
        <w:spacing w:line="460" w:lineRule="exact"/>
        <w:ind w:firstLine="240" w:firstLineChars="100"/>
        <w:rPr>
          <w:rFonts w:hAnsi="宋体" w:cs="宋体"/>
          <w:color w:val="auto"/>
          <w:sz w:val="24"/>
          <w:highlight w:val="none"/>
        </w:rPr>
      </w:pPr>
      <w:r>
        <w:rPr>
          <w:rFonts w:hint="eastAsia" w:hAnsi="宋体" w:cs="宋体"/>
          <w:color w:val="auto"/>
          <w:sz w:val="24"/>
          <w:highlight w:val="none"/>
        </w:rPr>
        <w:t>1.投标单位须对服务期限、质量、人员、服务等采购文件中要求做出承诺的内容做出相应承诺；</w:t>
      </w: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p>
    <w:p>
      <w:pPr>
        <w:shd w:val="clear"/>
        <w:tabs>
          <w:tab w:val="left" w:pos="360"/>
        </w:tabs>
        <w:spacing w:line="460" w:lineRule="exact"/>
        <w:rPr>
          <w:rFonts w:ascii="宋体" w:hAnsi="宋体" w:cs="宋体"/>
          <w:color w:val="auto"/>
          <w:sz w:val="24"/>
          <w:highlight w:val="none"/>
        </w:rPr>
      </w:pPr>
      <w:r>
        <w:rPr>
          <w:rFonts w:hint="eastAsia" w:ascii="宋体" w:hAnsi="宋体" w:cs="宋体"/>
          <w:color w:val="auto"/>
          <w:sz w:val="24"/>
          <w:highlight w:val="none"/>
        </w:rPr>
        <w:t>本附件可根据实际情况自行制作。</w:t>
      </w:r>
    </w:p>
    <w:p>
      <w:pPr>
        <w:shd w:val="clear"/>
        <w:tabs>
          <w:tab w:val="left" w:pos="360"/>
        </w:tabs>
        <w:spacing w:line="460" w:lineRule="exact"/>
        <w:rPr>
          <w:rFonts w:ascii="宋体" w:hAnsi="宋体" w:cs="宋体"/>
          <w:color w:val="auto"/>
          <w:sz w:val="24"/>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500" w:lineRule="exact"/>
        <w:rPr>
          <w:rFonts w:ascii="宋体" w:hAnsi="宋体" w:cs="宋体"/>
          <w:bCs/>
          <w:color w:val="auto"/>
          <w:sz w:val="24"/>
          <w:szCs w:val="28"/>
          <w:highlight w:val="none"/>
        </w:rPr>
      </w:pPr>
    </w:p>
    <w:p>
      <w:pPr>
        <w:shd w:val="clear"/>
        <w:tabs>
          <w:tab w:val="left" w:pos="360"/>
        </w:tabs>
        <w:spacing w:line="700" w:lineRule="exact"/>
        <w:ind w:firstLine="2880" w:firstLineChars="1200"/>
        <w:rPr>
          <w:rFonts w:ascii="宋体" w:hAnsi="宋体" w:cs="宋体"/>
          <w:color w:val="auto"/>
          <w:sz w:val="24"/>
          <w:highlight w:val="none"/>
        </w:rPr>
      </w:pPr>
      <w:r>
        <w:rPr>
          <w:rFonts w:hint="eastAsia" w:ascii="宋体" w:hAnsi="宋体" w:cs="宋体"/>
          <w:bCs/>
          <w:color w:val="auto"/>
          <w:sz w:val="24"/>
          <w:szCs w:val="28"/>
          <w:highlight w:val="none"/>
        </w:rPr>
        <w:t xml:space="preserve"> 投标人（公章）：</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全权代表签字：</w:t>
      </w:r>
    </w:p>
    <w:p>
      <w:pPr>
        <w:shd w:val="clear"/>
        <w:tabs>
          <w:tab w:val="left" w:pos="360"/>
        </w:tabs>
        <w:spacing w:line="700" w:lineRule="exact"/>
        <w:rPr>
          <w:rFonts w:ascii="宋体" w:hAnsi="宋体" w:cs="宋体"/>
          <w:color w:val="auto"/>
          <w:sz w:val="24"/>
          <w:highlight w:val="none"/>
        </w:rPr>
      </w:pPr>
      <w:r>
        <w:rPr>
          <w:rFonts w:hint="eastAsia" w:ascii="宋体" w:hAnsi="宋体" w:cs="宋体"/>
          <w:color w:val="auto"/>
          <w:sz w:val="24"/>
          <w:highlight w:val="none"/>
        </w:rPr>
        <w:t xml:space="preserve">                         职        务： </w:t>
      </w:r>
    </w:p>
    <w:p>
      <w:pPr>
        <w:shd w:val="clear"/>
        <w:tabs>
          <w:tab w:val="left" w:pos="360"/>
        </w:tabs>
        <w:spacing w:line="700" w:lineRule="exact"/>
        <w:ind w:firstLine="3000" w:firstLineChars="125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5"/>
        <w:shd w:val="clear"/>
        <w:rPr>
          <w:rFonts w:ascii="宋体" w:hAnsi="宋体" w:cs="宋体"/>
          <w:color w:val="auto"/>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p>
    <w:p>
      <w:pPr>
        <w:pStyle w:val="13"/>
        <w:shd w:val="clear"/>
        <w:spacing w:line="460" w:lineRule="exact"/>
        <w:ind w:left="239" w:leftChars="114" w:firstLine="2088" w:firstLineChars="650"/>
        <w:rPr>
          <w:rFonts w:hAnsi="宋体" w:cs="宋体"/>
          <w:b/>
          <w:bCs/>
          <w:color w:val="auto"/>
          <w:sz w:val="32"/>
          <w:szCs w:val="32"/>
          <w:highlight w:val="none"/>
        </w:rPr>
      </w:pPr>
      <w:r>
        <w:rPr>
          <w:rFonts w:hint="eastAsia" w:hAnsi="宋体" w:cs="宋体"/>
          <w:b/>
          <w:bCs/>
          <w:color w:val="auto"/>
          <w:sz w:val="32"/>
          <w:szCs w:val="32"/>
          <w:highlight w:val="none"/>
        </w:rPr>
        <w:t>义乌市政府采购项目投标承诺书</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 w:val="24"/>
          <w:highlight w:val="none"/>
        </w:rPr>
        <w:t>.</w:t>
      </w:r>
      <w:r>
        <w:rPr>
          <w:rFonts w:hint="eastAsia" w:ascii="宋体" w:hAnsi="宋体" w:cs="宋体"/>
          <w:color w:val="auto"/>
          <w:highlight w:val="none"/>
        </w:rPr>
        <w:t>我单位已认真阅读了本项目的招标公告、采购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20"/>
        <w:shd w:val="clea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highlight w:val="none"/>
        </w:rPr>
        <w:t>.</w:t>
      </w:r>
      <w:r>
        <w:rPr>
          <w:rFonts w:hint="eastAsia" w:ascii="宋体" w:hAnsi="宋体" w:cs="宋体"/>
          <w:color w:val="auto"/>
          <w:sz w:val="21"/>
          <w:szCs w:val="21"/>
          <w:highlight w:val="none"/>
        </w:rPr>
        <w:t>自愿接受义乌市财政局（以下简称财政局）的管理，并严格遵守财政局制定的招投标管理制度、规范和纪律。</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 w:val="24"/>
          <w:highlight w:val="none"/>
        </w:rPr>
        <w:t>.</w:t>
      </w:r>
      <w:r>
        <w:rPr>
          <w:rFonts w:hint="eastAsia" w:ascii="宋体" w:hAnsi="宋体" w:cs="宋体"/>
          <w:color w:val="auto"/>
          <w:highlight w:val="none"/>
        </w:rPr>
        <w:t>我单位承诺参与本次投标的资格符合《中华人民共和国政府采购法》和《中华人民共和国政府采购法实施条例》的规定，并承诺近三年内，在经营活动中没有重大违法记录。</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z w:val="24"/>
          <w:highlight w:val="none"/>
        </w:rPr>
        <w:t>.</w:t>
      </w:r>
      <w:r>
        <w:rPr>
          <w:rFonts w:hint="eastAsia" w:ascii="宋体" w:hAnsi="宋体" w:cs="宋体"/>
          <w:color w:val="auto"/>
          <w:highlight w:val="none"/>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 w:val="24"/>
          <w:highlight w:val="none"/>
        </w:rPr>
        <w:t>.</w:t>
      </w:r>
      <w:r>
        <w:rPr>
          <w:rFonts w:hint="eastAsia" w:ascii="宋体" w:hAnsi="宋体" w:cs="宋体"/>
          <w:color w:val="auto"/>
          <w:highlight w:val="none"/>
        </w:rPr>
        <w:t>不转让、出借、涂改、伪造资质（资格）证书或者以其他方式允许其他单位（个人）以我单位（本人）名义承接业务。</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 w:val="24"/>
          <w:highlight w:val="none"/>
        </w:rPr>
        <w:t>.</w:t>
      </w:r>
      <w:r>
        <w:rPr>
          <w:rFonts w:hint="eastAsia" w:ascii="宋体" w:hAnsi="宋体" w:cs="宋体"/>
          <w:color w:val="auto"/>
          <w:highlight w:val="none"/>
        </w:rPr>
        <w:t>不与采购人或者其他投标人相互串通投标，围标，不以行贿等不正当手段谋取成交。</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w:t>
      </w:r>
      <w:r>
        <w:rPr>
          <w:rFonts w:hint="eastAsia" w:ascii="宋体" w:hAnsi="宋体" w:cs="宋体"/>
          <w:color w:val="auto"/>
          <w:highlight w:val="none"/>
        </w:rPr>
        <w:t>在备案、招标、投标、现场获取采购文件、开标、评标、询标、成交、签订合同、合同备案等招投标预备和进行的全过程中提供的资料均真实、有效，不弄虚作假。</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 w:val="24"/>
          <w:highlight w:val="none"/>
        </w:rPr>
        <w:t>.</w:t>
      </w:r>
      <w:r>
        <w:rPr>
          <w:rFonts w:hint="eastAsia" w:ascii="宋体" w:hAnsi="宋体" w:cs="宋体"/>
          <w:color w:val="auto"/>
          <w:highlight w:val="none"/>
        </w:rPr>
        <w:t>我方已详细审核全部采购文件，包括修改文件(如果有的话)，及有关附件，我方同意放弃提出含糊不清或误解的权力。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sz w:val="24"/>
          <w:highlight w:val="none"/>
        </w:rPr>
        <w:t>.</w:t>
      </w:r>
      <w:r>
        <w:rPr>
          <w:rFonts w:hint="eastAsia" w:ascii="宋体" w:hAnsi="宋体" w:cs="宋体"/>
          <w:color w:val="auto"/>
          <w:highlight w:val="none"/>
        </w:rPr>
        <w:t>我方同意所递交的投标文件在招标期内有效，在此期间内我方有可能成交，我方将受此约束。</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sz w:val="24"/>
          <w:highlight w:val="none"/>
        </w:rPr>
        <w:t>.</w:t>
      </w:r>
      <w:r>
        <w:rPr>
          <w:rFonts w:hint="eastAsia" w:ascii="宋体" w:hAnsi="宋体" w:cs="宋体"/>
          <w:color w:val="auto"/>
          <w:highlight w:val="none"/>
        </w:rPr>
        <w:t>我方相信贵方的招标结果是公正、合法的，无论我方成交还是落标，我方将接受这一结果。 </w:t>
      </w:r>
    </w:p>
    <w:p>
      <w:pPr>
        <w:shd w:val="clear"/>
        <w:tabs>
          <w:tab w:val="left" w:pos="8820"/>
        </w:tabs>
        <w:spacing w:line="440" w:lineRule="exact"/>
        <w:ind w:firstLine="420" w:firstLineChars="200"/>
        <w:rPr>
          <w:rFonts w:ascii="宋体" w:hAnsi="宋体" w:cs="宋体"/>
          <w:color w:val="auto"/>
          <w:highlight w:val="none"/>
        </w:rPr>
      </w:pPr>
      <w:r>
        <w:rPr>
          <w:rFonts w:hint="eastAsia" w:ascii="宋体" w:hAnsi="宋体" w:cs="宋体"/>
          <w:color w:val="auto"/>
          <w:highlight w:val="none"/>
        </w:rPr>
        <w:t>11</w:t>
      </w:r>
      <w:r>
        <w:rPr>
          <w:rFonts w:hint="eastAsia" w:ascii="宋体" w:hAnsi="宋体" w:cs="宋体"/>
          <w:color w:val="auto"/>
          <w:sz w:val="24"/>
          <w:highlight w:val="none"/>
        </w:rPr>
        <w:t>.</w:t>
      </w:r>
      <w:r>
        <w:rPr>
          <w:rFonts w:hint="eastAsia" w:ascii="宋体" w:hAnsi="宋体" w:cs="宋体"/>
          <w:color w:val="auto"/>
          <w:highlight w:val="none"/>
        </w:rPr>
        <w:t>一旦我方成交，我方将严格依照采购文件中的相关规定与采购人签订合同。</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sz w:val="24"/>
          <w:highlight w:val="none"/>
        </w:rPr>
        <w:t>.</w:t>
      </w:r>
      <w:r>
        <w:rPr>
          <w:rFonts w:hint="eastAsia" w:ascii="宋体" w:hAnsi="宋体" w:cs="宋体"/>
          <w:color w:val="auto"/>
          <w:highlight w:val="none"/>
        </w:rPr>
        <w:t>不低于企业成本价投标，不恶意过高报价，不扰乱招投标的正常秩序。</w:t>
      </w:r>
    </w:p>
    <w:p>
      <w:pPr>
        <w:shd w:val="clear"/>
        <w:spacing w:line="440" w:lineRule="exact"/>
        <w:ind w:left="-34" w:leftChars="-16" w:firstLine="420" w:firstLineChars="200"/>
        <w:rPr>
          <w:rFonts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4"/>
          <w:highlight w:val="none"/>
        </w:rPr>
        <w:t>.</w:t>
      </w:r>
      <w:r>
        <w:rPr>
          <w:rFonts w:hint="eastAsia" w:ascii="宋体" w:hAnsi="宋体" w:cs="宋体"/>
          <w:color w:val="auto"/>
          <w:highlight w:val="none"/>
        </w:rPr>
        <w:t>严格遵守开标会议纪律，不在开标会场吵闹、滋事，服从工作人员指挥。</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sz w:val="24"/>
          <w:highlight w:val="none"/>
        </w:rPr>
        <w:t>.</w:t>
      </w:r>
      <w:r>
        <w:rPr>
          <w:rFonts w:hint="eastAsia" w:ascii="宋体" w:hAnsi="宋体" w:cs="宋体"/>
          <w:color w:val="auto"/>
          <w:highlight w:val="none"/>
        </w:rPr>
        <w:t>按照法律法规和本项目采购文件规定的程序和方式进行异议和投诉，不越级投诉，不无理投诉。如捏造事实、伪造材料或者以非法手段取得说明材料进行投诉，给他人造成损失的，依法承担赔偿责任。</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hd w:val="clear"/>
        <w:spacing w:line="440" w:lineRule="exact"/>
        <w:ind w:firstLine="420" w:firstLineChars="200"/>
        <w:rPr>
          <w:rFonts w:ascii="宋体" w:hAnsi="宋体" w:cs="宋体"/>
          <w:color w:val="auto"/>
          <w:highlight w:val="none"/>
        </w:rPr>
      </w:pPr>
      <w:r>
        <w:rPr>
          <w:rFonts w:hint="eastAsia" w:ascii="宋体" w:hAnsi="宋体" w:cs="宋体"/>
          <w:color w:val="auto"/>
          <w:highlight w:val="none"/>
        </w:rPr>
        <w:t>投标人（公章）：        法定代表人或其授权的委托代理人（签字或盖章）：        年   月   日</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 xml:space="preserve">   </w:t>
      </w:r>
    </w:p>
    <w:p>
      <w:pPr>
        <w:pStyle w:val="13"/>
        <w:shd w:val="clear"/>
        <w:spacing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投标函（格式）</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p>
    <w:p>
      <w:pPr>
        <w:pStyle w:val="13"/>
        <w:shd w:val="clear"/>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____________________（投标人全称）授权____________（全名、职务）为全权代表参加贵方组织的_________________________项目（招标项目名称、采购编号）的招标、投标等有关活动，为此提交下述文件：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1.技术标；2.商务标；3.其他：</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12"/>
          <w:sz w:val="24"/>
          <w:highlight w:val="none"/>
        </w:rPr>
        <w:t xml:space="preserve">所附投标报价表中规定的应提供和支付的服务投标总价为（人民币） </w:t>
      </w:r>
      <w:r>
        <w:rPr>
          <w:rFonts w:hint="eastAsia" w:ascii="宋体" w:hAnsi="宋体" w:cs="宋体"/>
          <w:color w:val="auto"/>
          <w:sz w:val="24"/>
          <w:highlight w:val="none"/>
        </w:rPr>
        <w:t>______， 即 _______________（大写）。</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2）我方已详细审查全部采购文件，我们完全理解并同意放弃对这方面有不明及误解的权利。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3）我方将按采购文件规定履行合同责任和义务。</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4）投标自开标之日起有效期____个日历天。</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5）如果在规定的开标时间后，我方在投标有效期内撤回投标，将按严重失信行为上报信用办并记入政府采购严重失信行为记录名单</w:t>
      </w:r>
      <w:r>
        <w:rPr>
          <w:rFonts w:hint="eastAsia" w:ascii="宋体" w:hAnsi="宋体" w:cs="宋体"/>
          <w:color w:val="auto"/>
          <w:spacing w:val="-6"/>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我方</w:t>
      </w:r>
      <w:r>
        <w:rPr>
          <w:rFonts w:hint="eastAsia" w:ascii="宋体" w:hAnsi="宋体" w:cs="宋体"/>
          <w:color w:val="auto"/>
          <w:sz w:val="24"/>
          <w:highlight w:val="none"/>
        </w:rPr>
        <w:t>同意提供按照贵方可能要求的与其投标有关的一切数据或资料，理解贵方不一定要接受最低价的投标或收到的任何投标。</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7）投标文件中未明确的东西，一律按采购文件规定执行。</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8）与本投标有关的一切正式往来通讯请寄：</w:t>
      </w:r>
    </w:p>
    <w:p>
      <w:pPr>
        <w:pStyle w:val="5"/>
        <w:shd w:val="clear"/>
        <w:snapToGrid w:val="0"/>
        <w:spacing w:before="0" w:after="0" w:line="360" w:lineRule="auto"/>
        <w:rPr>
          <w:rFonts w:ascii="宋体" w:hAnsi="宋体" w:cs="宋体"/>
          <w:color w:val="auto"/>
          <w:highlight w:val="none"/>
        </w:rPr>
      </w:pP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地址：                                  邮编：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电话：                                  传真：</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投标人名称（公章）：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 xml:space="preserve">投标人代表职务： </w:t>
      </w:r>
    </w:p>
    <w:p>
      <w:pPr>
        <w:shd w:val="clear"/>
        <w:spacing w:line="600" w:lineRule="exact"/>
        <w:rPr>
          <w:rFonts w:ascii="宋体" w:hAnsi="宋体" w:cs="宋体"/>
          <w:color w:val="auto"/>
          <w:sz w:val="24"/>
          <w:highlight w:val="none"/>
        </w:rPr>
      </w:pPr>
      <w:r>
        <w:rPr>
          <w:rFonts w:hint="eastAsia" w:ascii="宋体" w:hAnsi="宋体" w:cs="宋体"/>
          <w:color w:val="auto"/>
          <w:sz w:val="24"/>
          <w:highlight w:val="none"/>
        </w:rPr>
        <w:t>全权代表签字：</w:t>
      </w:r>
    </w:p>
    <w:p>
      <w:pPr>
        <w:shd w:val="clear"/>
        <w:spacing w:line="60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投标日期：     年     月    日      </w:t>
      </w:r>
      <w:r>
        <w:rPr>
          <w:rFonts w:hint="eastAsia" w:ascii="宋体" w:hAnsi="宋体" w:cs="宋体"/>
          <w:color w:val="auto"/>
          <w:sz w:val="24"/>
          <w:highlight w:val="none"/>
          <w:u w:val="single"/>
        </w:rPr>
        <w:t xml:space="preserve">   </w:t>
      </w: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报价一览表（格式）</w:t>
      </w: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投标人名称（公章）：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hd w:val="clear"/>
        <w:rPr>
          <w:rFonts w:ascii="宋体" w:hAnsi="宋体" w:cs="宋体"/>
          <w:color w:val="auto"/>
          <w:sz w:val="24"/>
          <w:highlight w:val="none"/>
          <w:u w:val="single"/>
        </w:rPr>
      </w:pPr>
    </w:p>
    <w:tbl>
      <w:tblPr>
        <w:tblStyle w:val="22"/>
        <w:tblpPr w:leftFromText="180" w:rightFromText="180" w:vertAnchor="text" w:horzAnchor="page" w:tblpX="1432" w:tblpY="54"/>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1135"/>
        <w:gridCol w:w="2994"/>
        <w:gridCol w:w="1176"/>
        <w:gridCol w:w="1087"/>
        <w:gridCol w:w="1377"/>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12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7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8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 xml:space="preserve">总价 </w:t>
            </w:r>
          </w:p>
        </w:tc>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w:t>
            </w:r>
          </w:p>
        </w:tc>
        <w:tc>
          <w:tcPr>
            <w:tcW w:w="4129" w:type="dxa"/>
            <w:gridSpan w:val="2"/>
            <w:shd w:val="clear" w:color="auto" w:fill="auto"/>
          </w:tcPr>
          <w:p>
            <w:pPr>
              <w:shd w:val="clear"/>
              <w:snapToGrid w:val="0"/>
              <w:spacing w:line="380" w:lineRule="exact"/>
              <w:textAlignment w:val="bottom"/>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73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7</w:t>
            </w:r>
          </w:p>
        </w:tc>
        <w:tc>
          <w:tcPr>
            <w:tcW w:w="4129" w:type="dxa"/>
            <w:gridSpan w:val="2"/>
            <w:shd w:val="clear" w:color="auto" w:fill="auto"/>
            <w:vAlign w:val="center"/>
          </w:tcPr>
          <w:p>
            <w:pPr>
              <w:shd w:val="clear"/>
              <w:spacing w:line="360" w:lineRule="exact"/>
              <w:rPr>
                <w:rFonts w:ascii="宋体" w:hAnsi="宋体" w:cs="宋体"/>
                <w:bCs/>
                <w:color w:val="auto"/>
                <w:kern w:val="0"/>
                <w:sz w:val="24"/>
                <w:highlight w:val="none"/>
              </w:rPr>
            </w:pPr>
          </w:p>
        </w:tc>
        <w:tc>
          <w:tcPr>
            <w:tcW w:w="1176" w:type="dxa"/>
            <w:shd w:val="clear" w:color="auto" w:fill="auto"/>
            <w:vAlign w:val="center"/>
          </w:tcPr>
          <w:p>
            <w:pPr>
              <w:shd w:val="clear"/>
              <w:jc w:val="center"/>
              <w:rPr>
                <w:rFonts w:ascii="宋体" w:hAnsi="宋体" w:cs="宋体"/>
                <w:color w:val="auto"/>
                <w:sz w:val="24"/>
                <w:highlight w:val="none"/>
              </w:rPr>
            </w:pPr>
          </w:p>
        </w:tc>
        <w:tc>
          <w:tcPr>
            <w:tcW w:w="1087" w:type="dxa"/>
            <w:shd w:val="clear" w:color="auto" w:fill="auto"/>
            <w:vAlign w:val="center"/>
          </w:tcPr>
          <w:p>
            <w:pPr>
              <w:shd w:val="clear"/>
              <w:jc w:val="center"/>
              <w:rPr>
                <w:rFonts w:ascii="宋体" w:hAnsi="宋体" w:cs="宋体"/>
                <w:color w:val="auto"/>
                <w:sz w:val="24"/>
                <w:highlight w:val="none"/>
              </w:rPr>
            </w:pPr>
          </w:p>
        </w:tc>
        <w:tc>
          <w:tcPr>
            <w:tcW w:w="1377" w:type="dxa"/>
            <w:shd w:val="clear" w:color="auto" w:fill="auto"/>
            <w:vAlign w:val="center"/>
          </w:tcPr>
          <w:p>
            <w:pPr>
              <w:shd w:val="clear"/>
              <w:jc w:val="center"/>
              <w:rPr>
                <w:rFonts w:ascii="宋体" w:hAnsi="宋体" w:cs="宋体"/>
                <w:color w:val="auto"/>
                <w:sz w:val="24"/>
                <w:highlight w:val="none"/>
              </w:rPr>
            </w:pPr>
          </w:p>
        </w:tc>
        <w:tc>
          <w:tcPr>
            <w:tcW w:w="730"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0" w:hRule="atLeast"/>
        </w:trPr>
        <w:tc>
          <w:tcPr>
            <w:tcW w:w="186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合  计</w:t>
            </w:r>
          </w:p>
        </w:tc>
        <w:tc>
          <w:tcPr>
            <w:tcW w:w="7364" w:type="dxa"/>
            <w:gridSpan w:val="5"/>
            <w:shd w:val="clear" w:color="auto" w:fill="auto"/>
          </w:tcPr>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r>
    </w:tbl>
    <w:p>
      <w:pPr>
        <w:shd w:val="clear"/>
        <w:rPr>
          <w:rFonts w:ascii="宋体" w:hAnsi="宋体" w:cs="宋体"/>
          <w:color w:val="auto"/>
          <w:sz w:val="24"/>
          <w:highlight w:val="none"/>
        </w:rPr>
      </w:pP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 xml:space="preserve">全权代表签字： </w:t>
      </w:r>
      <w:r>
        <w:rPr>
          <w:rFonts w:hint="eastAsia" w:ascii="宋体" w:hAnsi="宋体" w:cs="宋体"/>
          <w:color w:val="auto"/>
          <w:sz w:val="24"/>
          <w:highlight w:val="none"/>
          <w:u w:val="single"/>
        </w:rPr>
        <w:t xml:space="preserve">                  </w:t>
      </w:r>
    </w:p>
    <w:p>
      <w:pPr>
        <w:shd w:val="clear"/>
        <w:spacing w:line="500" w:lineRule="exact"/>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hd w:val="clear"/>
        <w:spacing w:line="400" w:lineRule="exact"/>
        <w:ind w:left="480" w:hanging="480" w:hangingChars="200"/>
        <w:rPr>
          <w:rFonts w:ascii="宋体" w:hAnsi="宋体" w:cs="宋体"/>
          <w:color w:val="auto"/>
          <w:sz w:val="24"/>
          <w:highlight w:val="none"/>
        </w:rPr>
      </w:pPr>
      <w:r>
        <w:rPr>
          <w:rFonts w:hint="eastAsia" w:ascii="宋体" w:hAnsi="宋体" w:cs="宋体"/>
          <w:color w:val="auto"/>
          <w:sz w:val="24"/>
          <w:highlight w:val="none"/>
        </w:rPr>
        <w:t>注：</w:t>
      </w:r>
    </w:p>
    <w:p>
      <w:pPr>
        <w:pStyle w:val="13"/>
        <w:shd w:val="clear"/>
        <w:spacing w:line="460" w:lineRule="exact"/>
        <w:rPr>
          <w:rFonts w:hAnsi="宋体" w:cs="宋体"/>
          <w:b/>
          <w:bCs/>
          <w:color w:val="auto"/>
          <w:sz w:val="24"/>
          <w:szCs w:val="24"/>
          <w:highlight w:val="none"/>
        </w:rPr>
      </w:pPr>
      <w:r>
        <w:rPr>
          <w:rFonts w:hint="eastAsia" w:hAnsi="宋体" w:cs="宋体"/>
          <w:color w:val="auto"/>
          <w:sz w:val="24"/>
          <w:szCs w:val="24"/>
          <w:highlight w:val="none"/>
        </w:rPr>
        <w:t>1.投标人应根据国家的有关规定和</w:t>
      </w:r>
      <w:r>
        <w:rPr>
          <w:rFonts w:hint="eastAsia" w:hAnsi="宋体" w:cs="宋体"/>
          <w:b/>
          <w:bCs/>
          <w:color w:val="auto"/>
          <w:sz w:val="24"/>
          <w:szCs w:val="24"/>
          <w:highlight w:val="none"/>
          <w:shd w:val="pct10" w:color="auto" w:fill="FFFFFF"/>
        </w:rPr>
        <w:t>实际情况</w:t>
      </w:r>
      <w:r>
        <w:rPr>
          <w:rFonts w:hint="eastAsia" w:hAnsi="宋体" w:cs="宋体"/>
          <w:color w:val="auto"/>
          <w:sz w:val="24"/>
          <w:szCs w:val="24"/>
          <w:highlight w:val="none"/>
        </w:rPr>
        <w:t>并结合企业的实际情况进行投标报价。</w:t>
      </w:r>
      <w:r>
        <w:rPr>
          <w:rFonts w:hint="eastAsia" w:hAnsi="宋体" w:cs="宋体"/>
          <w:b/>
          <w:bCs/>
          <w:color w:val="auto"/>
          <w:sz w:val="24"/>
          <w:szCs w:val="24"/>
          <w:highlight w:val="none"/>
        </w:rPr>
        <w:t>投标报价为投标人所能承受的最</w:t>
      </w:r>
      <w:r>
        <w:rPr>
          <w:rFonts w:hint="eastAsia" w:hAnsi="宋体" w:cs="宋体"/>
          <w:b/>
          <w:bCs/>
          <w:color w:val="auto"/>
          <w:sz w:val="24"/>
          <w:szCs w:val="24"/>
          <w:highlight w:val="none"/>
          <w:lang w:val="en-US" w:eastAsia="zh-CN"/>
        </w:rPr>
        <w:t>低</w:t>
      </w:r>
      <w:r>
        <w:rPr>
          <w:rFonts w:hint="eastAsia" w:hAnsi="宋体" w:cs="宋体"/>
          <w:b/>
          <w:bCs/>
          <w:color w:val="auto"/>
          <w:sz w:val="24"/>
          <w:szCs w:val="24"/>
          <w:highlight w:val="none"/>
        </w:rPr>
        <w:t>、最终一次性报价。</w:t>
      </w:r>
    </w:p>
    <w:p>
      <w:pPr>
        <w:shd w:val="clear"/>
        <w:tabs>
          <w:tab w:val="left" w:pos="945"/>
        </w:tabs>
        <w:spacing w:line="360" w:lineRule="auto"/>
        <w:rPr>
          <w:rFonts w:ascii="宋体" w:hAnsi="宋体" w:cs="宋体"/>
          <w:color w:val="auto"/>
          <w:sz w:val="24"/>
          <w:highlight w:val="none"/>
        </w:rPr>
      </w:pPr>
      <w:r>
        <w:rPr>
          <w:rFonts w:hint="eastAsia" w:ascii="宋体" w:hAnsi="宋体" w:cs="宋体"/>
          <w:color w:val="auto"/>
          <w:sz w:val="24"/>
          <w:highlight w:val="none"/>
        </w:rPr>
        <w:t>2.此表在不改变表式内容的情况下，可自行制作。</w:t>
      </w:r>
    </w:p>
    <w:p>
      <w:pPr>
        <w:pStyle w:val="21"/>
        <w:shd w:val="clear"/>
        <w:ind w:left="0" w:leftChars="0" w:firstLine="0" w:firstLineChars="0"/>
        <w:rPr>
          <w:rFonts w:ascii="宋体" w:hAnsi="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color w:val="auto"/>
          <w:highlight w:val="none"/>
        </w:rPr>
      </w:pPr>
      <w:r>
        <w:rPr>
          <w:rFonts w:hint="eastAsia" w:ascii="宋体" w:hAnsi="宋体" w:cs="宋体"/>
          <w:b/>
          <w:bCs/>
          <w:color w:val="auto"/>
          <w:sz w:val="36"/>
          <w:szCs w:val="36"/>
          <w:highlight w:val="none"/>
        </w:rPr>
        <w:t>中小企业声明函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（单位名称）的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（项目名称）采购活动，服务全部由符合政策要求的中小企业承接）。相关企业的具体情况如下：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投标人名称（盖章）：</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 从业人员、营业收入、资产总额填报上一年度数据，无上一年度数据的新成立企业可不填报。</w:t>
      </w:r>
    </w:p>
    <w:p>
      <w:pPr>
        <w:shd w:val="clear"/>
        <w:spacing w:line="360" w:lineRule="auto"/>
        <w:ind w:firstLine="482" w:firstLineChars="200"/>
        <w:rPr>
          <w:rFonts w:ascii="宋体" w:hAnsi="宋体" w:cs="宋体"/>
          <w:b/>
          <w:bCs/>
          <w:color w:val="auto"/>
          <w:sz w:val="24"/>
          <w:highlight w:val="none"/>
        </w:rPr>
      </w:pPr>
    </w:p>
    <w:p>
      <w:pPr>
        <w:pStyle w:val="21"/>
        <w:shd w:val="clear"/>
        <w:ind w:left="0" w:leftChars="0" w:firstLine="0" w:firstLineChars="0"/>
        <w:rPr>
          <w:rFonts w:ascii="宋体" w:hAnsi="宋体"/>
          <w:color w:val="auto"/>
          <w:sz w:val="36"/>
          <w:szCs w:val="36"/>
          <w:highlight w:val="none"/>
        </w:rPr>
      </w:pPr>
    </w:p>
    <w:p>
      <w:pPr>
        <w:shd w:val="clear"/>
        <w:rPr>
          <w:rFonts w:ascii="宋体" w:hAnsi="宋体" w:cs="宋体"/>
          <w:color w:val="auto"/>
          <w:sz w:val="36"/>
          <w:szCs w:val="36"/>
          <w:highlight w:val="none"/>
        </w:rPr>
      </w:pPr>
    </w:p>
    <w:p>
      <w:pPr>
        <w:pStyle w:val="5"/>
        <w:shd w:val="clear"/>
        <w:rPr>
          <w:rFonts w:ascii="宋体" w:hAnsi="宋体" w:cs="宋体"/>
          <w:color w:val="auto"/>
          <w:sz w:val="36"/>
          <w:szCs w:val="36"/>
          <w:highlight w:val="none"/>
        </w:rPr>
      </w:pPr>
    </w:p>
    <w:p>
      <w:pPr>
        <w:shd w:val="clear"/>
        <w:rPr>
          <w:rFonts w:ascii="宋体" w:hAnsi="宋体" w:cs="宋体"/>
          <w:color w:val="auto"/>
          <w:sz w:val="36"/>
          <w:szCs w:val="36"/>
          <w:highlight w:val="none"/>
        </w:rPr>
      </w:pPr>
    </w:p>
    <w:p>
      <w:pPr>
        <w:pStyle w:val="5"/>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残疾人福利性单位声明函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shd w:val="clear"/>
        <w:tabs>
          <w:tab w:val="left" w:pos="360"/>
        </w:tabs>
        <w:rPr>
          <w:rFonts w:ascii="宋体" w:hAnsi="宋体" w:eastAsia="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left="5269" w:leftChars="2166" w:hanging="720" w:hangingChars="300"/>
        <w:rPr>
          <w:rFonts w:ascii="宋体" w:hAnsi="宋体" w:cs="宋体"/>
          <w:color w:val="auto"/>
          <w:sz w:val="24"/>
          <w:highlight w:val="none"/>
        </w:rPr>
      </w:pPr>
      <w:r>
        <w:rPr>
          <w:rFonts w:hint="eastAsia" w:ascii="宋体" w:hAnsi="宋体" w:cs="宋体"/>
          <w:color w:val="auto"/>
          <w:sz w:val="24"/>
          <w:highlight w:val="none"/>
        </w:rPr>
        <w:t xml:space="preserve">                                                 投标人名称（盖章）： </w:t>
      </w:r>
    </w:p>
    <w:p>
      <w:pPr>
        <w:shd w:val="clear"/>
        <w:spacing w:line="360" w:lineRule="auto"/>
        <w:ind w:left="5267" w:leftChars="2508"/>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pStyle w:val="5"/>
        <w:shd w:val="clear"/>
        <w:rPr>
          <w:rFonts w:ascii="宋体" w:hAnsi="宋体" w:cs="宋体"/>
          <w:color w:val="auto"/>
          <w:highlight w:val="none"/>
        </w:rPr>
      </w:pPr>
    </w:p>
    <w:p>
      <w:pPr>
        <w:shd w:val="clear"/>
        <w:rPr>
          <w:color w:val="auto"/>
          <w:highlight w:val="none"/>
        </w:rPr>
      </w:pPr>
    </w:p>
    <w:p>
      <w:pPr>
        <w:shd w:val="clear"/>
        <w:jc w:val="center"/>
        <w:rPr>
          <w:rFonts w:ascii="宋体" w:hAnsi="宋体" w:cs="宋体"/>
          <w:b/>
          <w:bCs/>
          <w:color w:val="auto"/>
          <w:sz w:val="36"/>
          <w:szCs w:val="36"/>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项目采购活动提供本单位制造的货物（由本单位承担工程/提供服务），或者提供其他监狱企业制造的货物。 本单位对上述声明的真实性负责。如有虚假，将依法承担相应责任。 </w:t>
      </w:r>
    </w:p>
    <w:p>
      <w:pPr>
        <w:shd w:val="clear"/>
        <w:spacing w:line="360" w:lineRule="auto"/>
        <w:ind w:firstLine="480" w:firstLineChars="200"/>
        <w:rPr>
          <w:rFonts w:ascii="宋体" w:hAnsi="宋体" w:cs="宋体"/>
          <w:color w:val="auto"/>
          <w:sz w:val="24"/>
          <w:highlight w:val="none"/>
        </w:rPr>
      </w:pPr>
    </w:p>
    <w:p>
      <w:pPr>
        <w:pStyle w:val="6"/>
        <w:shd w:val="clear"/>
        <w:tabs>
          <w:tab w:val="left" w:pos="360"/>
        </w:tabs>
        <w:rPr>
          <w:rFonts w:ascii="宋体" w:hAnsi="宋体" w:eastAsia="宋体" w:cs="宋体"/>
          <w:color w:val="auto"/>
          <w:highlight w:val="none"/>
        </w:rPr>
      </w:pPr>
    </w:p>
    <w:p>
      <w:pPr>
        <w:shd w:val="clear"/>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hd w:val="clea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 xml:space="preserve">日 期： </w:t>
      </w:r>
    </w:p>
    <w:p>
      <w:pPr>
        <w:pStyle w:val="6"/>
        <w:shd w:val="clear"/>
        <w:tabs>
          <w:tab w:val="left" w:pos="360"/>
        </w:tabs>
        <w:rPr>
          <w:rFonts w:ascii="宋体" w:hAnsi="宋体" w:eastAsia="宋体" w:cs="宋体"/>
          <w:color w:val="auto"/>
          <w:highlight w:val="none"/>
        </w:rPr>
      </w:pPr>
    </w:p>
    <w:p>
      <w:pPr>
        <w:shd w:val="clear"/>
        <w:rPr>
          <w:rFonts w:ascii="宋体" w:hAnsi="宋体" w:cs="宋体"/>
          <w:color w:val="auto"/>
          <w:highlight w:val="none"/>
        </w:rPr>
      </w:pPr>
    </w:p>
    <w:p>
      <w:pPr>
        <w:shd w:val="clea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注：1.应当提供由省级以上监狱管理局、戒毒管理局(含新疆生产建设兵团)出具的属于监狱企业的说明文件。</w:t>
      </w:r>
    </w:p>
    <w:p>
      <w:pPr>
        <w:pStyle w:val="26"/>
        <w:shd w:val="clear"/>
        <w:rPr>
          <w:rFonts w:ascii="宋体" w:hAnsi="宋体" w:eastAsia="宋体" w:cs="宋体"/>
          <w:color w:val="auto"/>
          <w:highlight w:val="none"/>
        </w:rPr>
      </w:pPr>
    </w:p>
    <w:p>
      <w:pPr>
        <w:pStyle w:val="27"/>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rPr>
      </w:pPr>
    </w:p>
    <w:p>
      <w:pPr>
        <w:pStyle w:val="2"/>
        <w:shd w:val="clear"/>
        <w:rPr>
          <w:rFonts w:ascii="宋体" w:hAnsi="宋体" w:cs="宋体"/>
          <w:color w:val="auto"/>
          <w:highlight w:val="none"/>
        </w:rPr>
      </w:pPr>
    </w:p>
    <w:p>
      <w:pPr>
        <w:pStyle w:val="3"/>
        <w:shd w:val="clear"/>
        <w:rPr>
          <w:rFonts w:ascii="宋体" w:hAnsi="宋体" w:cs="宋体"/>
          <w:color w:val="auto"/>
          <w:highlight w:val="none"/>
        </w:rPr>
      </w:pPr>
    </w:p>
    <w:p>
      <w:pPr>
        <w:pStyle w:val="4"/>
        <w:shd w:val="clear"/>
        <w:rPr>
          <w:color w:val="auto"/>
          <w:highlight w:val="none"/>
        </w:rPr>
      </w:pPr>
    </w:p>
    <w:p>
      <w:pPr>
        <w:pStyle w:val="4"/>
        <w:shd w:val="clear"/>
        <w:rPr>
          <w:rFonts w:ascii="宋体" w:hAnsi="宋体" w:cs="宋体"/>
          <w:color w:val="auto"/>
          <w:highlight w:val="none"/>
        </w:rPr>
      </w:pPr>
    </w:p>
    <w:p>
      <w:pPr>
        <w:shd w:val="clear"/>
        <w:rPr>
          <w:rFonts w:ascii="宋体" w:hAnsi="宋体" w:cs="宋体"/>
          <w:color w:val="auto"/>
          <w:highlight w:val="none"/>
        </w:rPr>
      </w:pPr>
    </w:p>
    <w:p>
      <w:pPr>
        <w:shd w:val="clear"/>
        <w:jc w:val="center"/>
        <w:rPr>
          <w:rFonts w:hint="eastAsia" w:ascii="宋体" w:eastAsia="宋体" w:cs="宋体"/>
          <w:b/>
          <w:bCs/>
          <w:color w:val="auto"/>
          <w:sz w:val="36"/>
          <w:szCs w:val="36"/>
          <w:highlight w:val="none"/>
        </w:rPr>
      </w:pPr>
      <w:r>
        <w:rPr>
          <w:rFonts w:hint="eastAsia" w:ascii="宋体" w:eastAsia="宋体" w:cs="宋体"/>
          <w:b/>
          <w:bCs/>
          <w:color w:val="auto"/>
          <w:sz w:val="36"/>
          <w:szCs w:val="36"/>
          <w:highlight w:val="none"/>
        </w:rPr>
        <w:t>联合体协议书</w:t>
      </w:r>
    </w:p>
    <w:p>
      <w:pPr>
        <w:pStyle w:val="2"/>
        <w:shd w:val="clear"/>
        <w:spacing w:line="440" w:lineRule="exact"/>
        <w:ind w:firstLine="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（适用于联合体）</w:t>
      </w:r>
    </w:p>
    <w:p>
      <w:pPr>
        <w:shd w:val="clear"/>
        <w:tabs>
          <w:tab w:val="left" w:pos="2977"/>
        </w:tabs>
        <w:spacing w:line="420" w:lineRule="exact"/>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（甲公司名称）              、（乙公司名称）              自愿组成联合体，参加                      项目的投标。现就有关事宜订立协议如下：</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1.（甲公司名称）为联合体牵头人，（乙公司名称）为联合体成员；</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 联合体内部有关事项规定如下：</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（1）联合体由牵头人负责与采购人联系。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（2）投标工作由联合体牵头人负责，由双方组成的投标小组具体实施；联合体牵头人代表联合体办理投标事宜，联合体牵头人在投标文件中的所有承诺均代表了联合体各成员。</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（3）联合体将严格按照招标文件的各项要求，递交投标文件，切实执行一切合同文件，共同承担合同规定的一切义务和责任，同时按照内部职责的划分，承担自身所负的责任和风险，在法律上承担连带责任。</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（4）如中标，联合体内部将遵守以下规定：</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a.联合体牵头人和成员共同与采购人签订合同，并就中标项目向采购人负责有连带的和各自的法律责任；</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b.联合体牵头人代表联合体成员承担和接受采购人的指令、指示和通知，并且在整个合同实施过程中的全部事宜均由联合体牵头人负责；</w:t>
      </w:r>
    </w:p>
    <w:p>
      <w:pPr>
        <w:pStyle w:val="30"/>
        <w:shd w:val="clear"/>
        <w:tabs>
          <w:tab w:val="left" w:pos="2977"/>
        </w:tabs>
        <w:spacing w:line="420" w:lineRule="exact"/>
        <w:ind w:left="42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c.联合体分工原则：     （此处明确各方责任和各方工作内容）                                </w:t>
      </w:r>
    </w:p>
    <w:p>
      <w:pPr>
        <w:pStyle w:val="30"/>
        <w:shd w:val="clear"/>
        <w:tabs>
          <w:tab w:val="left" w:pos="2977"/>
        </w:tabs>
        <w:spacing w:line="420" w:lineRule="exact"/>
        <w:ind w:left="480"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(5)投标工作和联合体在中标后工程实施过程中的有关费用按各自承担的工作量分摊。</w:t>
      </w:r>
    </w:p>
    <w:p>
      <w:pPr>
        <w:pStyle w:val="30"/>
        <w:shd w:val="clear"/>
        <w:tabs>
          <w:tab w:val="left" w:pos="2977"/>
        </w:tabs>
        <w:spacing w:line="420" w:lineRule="exact"/>
        <w:ind w:firstLine="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3.本协议书自签署之日起生效，在上述（4）a所述的合同规定的期限之后自行失效；如中标后，联合体内部另有协议的，应取得采购人同意，联合体牵头人应将该协议书递交采购人。</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甲公司名称：全称（盖章）                 乙公司名称：全称（盖章） </w:t>
      </w:r>
    </w:p>
    <w:p>
      <w:pPr>
        <w:shd w:val="clear"/>
        <w:tabs>
          <w:tab w:val="left" w:pos="2977"/>
        </w:tabs>
        <w:spacing w:line="42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法定代表人：（签字或盖章）               法定代表人（签字或盖章）</w:t>
      </w:r>
    </w:p>
    <w:p>
      <w:pPr>
        <w:shd w:val="clear"/>
        <w:spacing w:line="420" w:lineRule="exact"/>
        <w:ind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年    月    日                            年    月    日</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备注：1.联合体投标时需签订本协议，联合体各方签字盖章。）</w:t>
      </w:r>
    </w:p>
    <w:p>
      <w:pPr>
        <w:pStyle w:val="13"/>
        <w:shd w:val="clear"/>
        <w:spacing w:line="460" w:lineRule="exact"/>
        <w:ind w:left="49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2.此表在不改变表式内容的情况下，可自行制作。</w:t>
      </w:r>
    </w:p>
    <w:p>
      <w:pPr>
        <w:widowControl/>
        <w:shd w:val="clear"/>
        <w:spacing w:after="167" w:afterLines="50" w:line="360" w:lineRule="auto"/>
        <w:jc w:val="center"/>
        <w:rPr>
          <w:rFonts w:hint="eastAsia" w:ascii="宋体" w:hAnsi="宋体" w:cs="宋体"/>
          <w:b/>
          <w:bCs/>
          <w:color w:val="auto"/>
          <w:sz w:val="36"/>
          <w:szCs w:val="36"/>
          <w:highlight w:val="none"/>
        </w:rPr>
      </w:pPr>
    </w:p>
    <w:p>
      <w:pPr>
        <w:widowControl/>
        <w:shd w:val="clear"/>
        <w:spacing w:after="167" w:afterLines="50" w:line="360" w:lineRule="auto"/>
        <w:jc w:val="center"/>
        <w:rPr>
          <w:rFonts w:hint="eastAsia" w:ascii="宋体" w:hAnsi="宋体" w:cs="宋体"/>
          <w:b/>
          <w:bCs/>
          <w:color w:val="auto"/>
          <w:sz w:val="36"/>
          <w:szCs w:val="36"/>
          <w:highlight w:val="none"/>
        </w:rPr>
      </w:pPr>
    </w:p>
    <w:p>
      <w:pPr>
        <w:pStyle w:val="7"/>
        <w:shd w:val="clear"/>
        <w:spacing w:line="440" w:lineRule="exact"/>
        <w:ind w:firstLine="655"/>
        <w:rPr>
          <w:rFonts w:hint="eastAsia" w:ascii="仿宋_GB2312" w:eastAsia="仿宋_GB2312" w:cs="仿宋_GB2312"/>
          <w:b/>
          <w:bCs/>
          <w:color w:val="auto"/>
          <w:sz w:val="32"/>
          <w:szCs w:val="32"/>
          <w:highlight w:val="none"/>
        </w:rPr>
      </w:pPr>
    </w:p>
    <w:p>
      <w:pPr>
        <w:shd w:val="clear"/>
        <w:jc w:val="center"/>
        <w:rPr>
          <w:rFonts w:hint="default" w:ascii="宋体" w:eastAsia="宋体" w:cs="宋体"/>
          <w:b/>
          <w:bCs/>
          <w:color w:val="auto"/>
          <w:sz w:val="36"/>
          <w:szCs w:val="36"/>
          <w:highlight w:val="none"/>
          <w:lang w:eastAsia="zh-CN"/>
        </w:rPr>
      </w:pPr>
      <w:r>
        <w:rPr>
          <w:rFonts w:hint="default" w:ascii="宋体" w:eastAsia="宋体" w:cs="宋体"/>
          <w:b/>
          <w:bCs/>
          <w:color w:val="auto"/>
          <w:sz w:val="36"/>
          <w:szCs w:val="36"/>
          <w:highlight w:val="none"/>
          <w:lang w:eastAsia="zh-CN"/>
        </w:rPr>
        <w:t>联合体牵头人授权委托书</w:t>
      </w:r>
    </w:p>
    <w:p>
      <w:pPr>
        <w:pStyle w:val="2"/>
        <w:shd w:val="clear"/>
        <w:spacing w:line="440" w:lineRule="exact"/>
        <w:ind w:firstLine="437"/>
        <w:rPr>
          <w:rFonts w:ascii="Times New Roman" w:hAnsi="Times New Roman"/>
          <w:color w:val="auto"/>
          <w:sz w:val="21"/>
          <w:szCs w:val="21"/>
          <w:highlight w:val="none"/>
        </w:rPr>
      </w:pPr>
      <w:r>
        <w:rPr>
          <w:rFonts w:ascii="Times New Roman" w:hAnsi="Times New Roman"/>
          <w:color w:val="auto"/>
          <w:sz w:val="21"/>
          <w:szCs w:val="21"/>
          <w:highlight w:val="none"/>
        </w:rPr>
        <w:t>（适用于联合体）</w:t>
      </w:r>
    </w:p>
    <w:p>
      <w:pPr>
        <w:shd w:val="clear"/>
        <w:spacing w:line="460" w:lineRule="exact"/>
        <w:jc w:val="center"/>
        <w:rPr>
          <w:b/>
          <w:color w:val="auto"/>
          <w:sz w:val="32"/>
          <w:highlight w:val="none"/>
        </w:rPr>
      </w:pPr>
    </w:p>
    <w:p>
      <w:pPr>
        <w:shd w:val="clear"/>
        <w:spacing w:line="460" w:lineRule="exact"/>
        <w:rPr>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             （姓名）系             （单位名称）的法定代表人，现授权委托                 （联合体牵头人的单位名称）的          （姓名）为联合体双方全权代表，以                                （联合体名称：牵头单位全称加成员单位全称）联合体的名义参加               （采购人）的     （项目名称）      标段（标段名称）的投标活动。全权代表在开标、评标、询标、合同谈判过程中所签署的一切文件和处理与之有关的一切事务，我均以承认。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                     性别：            年龄：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部门：            职务：         </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2"/>
        <w:shd w:val="clear"/>
        <w:rPr>
          <w:color w:val="auto"/>
          <w:highlight w:val="none"/>
        </w:rPr>
      </w:pPr>
    </w:p>
    <w:p/>
    <w:sectPr>
      <w:pgSz w:w="11906" w:h="16838"/>
      <w:pgMar w:top="1191" w:right="1134"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w:rPr>
        <w:rFonts w:hint="eastAsia"/>
        <w:kern w:val="0"/>
        <w:szCs w:val="21"/>
        <w:u w:val="single"/>
      </w:rPr>
      <w:t xml:space="preserve">                                                       </w:t>
    </w:r>
  </w:p>
  <w:p>
    <w:pPr>
      <w:pStyle w:val="1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xy/d1AAAAAMBAAAPAAAAAAAAAAEAIAAA&#10;ACIAAABkcnMvZG93bnJldi54bWxQSwECFAAUAAAACACHTuJAQ7oowtcBAAChAwAADgAAAAAAAAAB&#10;ACAAAAAjAQAAZHJzL2Uyb0RvYy54bWxQSwUGAAAAAAYABgBZAQAAbA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kern w:val="0"/>
        <w:szCs w:val="21"/>
        <w:u w:val="single"/>
      </w:rPr>
      <w:t xml:space="preserve">                                                       </w:t>
    </w:r>
  </w:p>
  <w:p>
    <w:pPr>
      <w:pStyle w:val="1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wps:spPr>
                    <wps:txbx>
                      <w:txbxContent>
                        <w:p>
                          <w:pPr>
                            <w:pStyle w:val="1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RxW3G1gEAAKEDAAAOAAAAAAAAAAEA&#10;IAAAACMBAABkcnMvZTJvRG9jLnhtbFBLBQYAAAAABgAGAFkBAABr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14A83"/>
    <w:multiLevelType w:val="singleLevel"/>
    <w:tmpl w:val="C1D14A83"/>
    <w:lvl w:ilvl="0" w:tentative="0">
      <w:start w:val="1"/>
      <w:numFmt w:val="chineseCounting"/>
      <w:suff w:val="nothing"/>
      <w:lvlText w:val="%1、"/>
      <w:lvlJc w:val="left"/>
      <w:rPr>
        <w:rFonts w:hint="eastAsia"/>
      </w:r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GFkMmQ0YmViZGE4MDg3MTc3MzA2ODY1OTc0YWUifQ=="/>
  </w:docVars>
  <w:rsids>
    <w:rsidRoot w:val="5E1E6120"/>
    <w:rsid w:val="0012493B"/>
    <w:rsid w:val="00260833"/>
    <w:rsid w:val="00416146"/>
    <w:rsid w:val="0050638A"/>
    <w:rsid w:val="005574FC"/>
    <w:rsid w:val="00560AF0"/>
    <w:rsid w:val="00771217"/>
    <w:rsid w:val="00B37DC0"/>
    <w:rsid w:val="00B6144E"/>
    <w:rsid w:val="00DC5E6F"/>
    <w:rsid w:val="016025FC"/>
    <w:rsid w:val="017936BE"/>
    <w:rsid w:val="01964270"/>
    <w:rsid w:val="01AA1AC9"/>
    <w:rsid w:val="022573A2"/>
    <w:rsid w:val="024A0BB7"/>
    <w:rsid w:val="02557C87"/>
    <w:rsid w:val="028916DF"/>
    <w:rsid w:val="029A1B3E"/>
    <w:rsid w:val="02B250DA"/>
    <w:rsid w:val="02C3371F"/>
    <w:rsid w:val="03031491"/>
    <w:rsid w:val="034C72DC"/>
    <w:rsid w:val="037759DB"/>
    <w:rsid w:val="039E11BA"/>
    <w:rsid w:val="03A34A22"/>
    <w:rsid w:val="03C03826"/>
    <w:rsid w:val="03C5268A"/>
    <w:rsid w:val="040E4CFF"/>
    <w:rsid w:val="04762137"/>
    <w:rsid w:val="04AC5B58"/>
    <w:rsid w:val="04C17856"/>
    <w:rsid w:val="04D74983"/>
    <w:rsid w:val="04E6106A"/>
    <w:rsid w:val="050140F6"/>
    <w:rsid w:val="05065269"/>
    <w:rsid w:val="050F05C1"/>
    <w:rsid w:val="052878D5"/>
    <w:rsid w:val="058645FB"/>
    <w:rsid w:val="058C1C12"/>
    <w:rsid w:val="05E51322"/>
    <w:rsid w:val="063B3638"/>
    <w:rsid w:val="06840B3B"/>
    <w:rsid w:val="06DE46EF"/>
    <w:rsid w:val="06E17D3B"/>
    <w:rsid w:val="06E25862"/>
    <w:rsid w:val="07013F3A"/>
    <w:rsid w:val="0717375D"/>
    <w:rsid w:val="07740BAF"/>
    <w:rsid w:val="07822AA3"/>
    <w:rsid w:val="078E1545"/>
    <w:rsid w:val="08057A5A"/>
    <w:rsid w:val="08210B42"/>
    <w:rsid w:val="082F2D28"/>
    <w:rsid w:val="0878647D"/>
    <w:rsid w:val="087B5F6E"/>
    <w:rsid w:val="087F780C"/>
    <w:rsid w:val="08AB0D9A"/>
    <w:rsid w:val="08DE2A0A"/>
    <w:rsid w:val="09016473"/>
    <w:rsid w:val="09242161"/>
    <w:rsid w:val="09CF47C3"/>
    <w:rsid w:val="0A283ED3"/>
    <w:rsid w:val="0A540824"/>
    <w:rsid w:val="0A656ED5"/>
    <w:rsid w:val="0A7809B7"/>
    <w:rsid w:val="0ABA012B"/>
    <w:rsid w:val="0AC260D6"/>
    <w:rsid w:val="0AD876A7"/>
    <w:rsid w:val="0AE93662"/>
    <w:rsid w:val="0B0F299D"/>
    <w:rsid w:val="0B212DFC"/>
    <w:rsid w:val="0B472137"/>
    <w:rsid w:val="0B8B296C"/>
    <w:rsid w:val="0BBF6171"/>
    <w:rsid w:val="0BD47E6F"/>
    <w:rsid w:val="0C3B6140"/>
    <w:rsid w:val="0C6F5686"/>
    <w:rsid w:val="0D1129FD"/>
    <w:rsid w:val="0D611BD6"/>
    <w:rsid w:val="0D8F7B6B"/>
    <w:rsid w:val="0D9378B6"/>
    <w:rsid w:val="0D9C676A"/>
    <w:rsid w:val="0DA27AF9"/>
    <w:rsid w:val="0DA47D15"/>
    <w:rsid w:val="0DCB704F"/>
    <w:rsid w:val="0E1F739B"/>
    <w:rsid w:val="0E552DBD"/>
    <w:rsid w:val="0E5C414B"/>
    <w:rsid w:val="0E72396F"/>
    <w:rsid w:val="0EB9334C"/>
    <w:rsid w:val="0F2E7896"/>
    <w:rsid w:val="0F8950CD"/>
    <w:rsid w:val="0F8B4CE8"/>
    <w:rsid w:val="0FA61B22"/>
    <w:rsid w:val="0FEE5277"/>
    <w:rsid w:val="101F18D4"/>
    <w:rsid w:val="10267556"/>
    <w:rsid w:val="103A226A"/>
    <w:rsid w:val="105C48D7"/>
    <w:rsid w:val="106317C1"/>
    <w:rsid w:val="10AC760C"/>
    <w:rsid w:val="10C55FD8"/>
    <w:rsid w:val="10E548CC"/>
    <w:rsid w:val="10F7015B"/>
    <w:rsid w:val="11292A0B"/>
    <w:rsid w:val="113849FC"/>
    <w:rsid w:val="11392CF6"/>
    <w:rsid w:val="11651569"/>
    <w:rsid w:val="11A77DD3"/>
    <w:rsid w:val="11B524F0"/>
    <w:rsid w:val="121D1E44"/>
    <w:rsid w:val="122C6D57"/>
    <w:rsid w:val="1272218F"/>
    <w:rsid w:val="129F0AAB"/>
    <w:rsid w:val="12C624DB"/>
    <w:rsid w:val="13031039"/>
    <w:rsid w:val="131B45D5"/>
    <w:rsid w:val="131E5E73"/>
    <w:rsid w:val="13203999"/>
    <w:rsid w:val="1369697B"/>
    <w:rsid w:val="137E6912"/>
    <w:rsid w:val="13BF1404"/>
    <w:rsid w:val="13C702B9"/>
    <w:rsid w:val="145F4995"/>
    <w:rsid w:val="146F2E2A"/>
    <w:rsid w:val="14DC1B42"/>
    <w:rsid w:val="1525798D"/>
    <w:rsid w:val="156A1844"/>
    <w:rsid w:val="156A35F2"/>
    <w:rsid w:val="156C736A"/>
    <w:rsid w:val="15E6711C"/>
    <w:rsid w:val="164B51D1"/>
    <w:rsid w:val="166B7621"/>
    <w:rsid w:val="169F551D"/>
    <w:rsid w:val="16C64858"/>
    <w:rsid w:val="16CB4564"/>
    <w:rsid w:val="16E3365C"/>
    <w:rsid w:val="16F3455C"/>
    <w:rsid w:val="171E4694"/>
    <w:rsid w:val="172A128B"/>
    <w:rsid w:val="17400AAE"/>
    <w:rsid w:val="17D905BB"/>
    <w:rsid w:val="17F453F5"/>
    <w:rsid w:val="18041ADC"/>
    <w:rsid w:val="180C273E"/>
    <w:rsid w:val="1844637C"/>
    <w:rsid w:val="188B2F0E"/>
    <w:rsid w:val="188E5849"/>
    <w:rsid w:val="18C7014D"/>
    <w:rsid w:val="18FC6C57"/>
    <w:rsid w:val="19406B43"/>
    <w:rsid w:val="196565AA"/>
    <w:rsid w:val="198D5B01"/>
    <w:rsid w:val="19BC1F42"/>
    <w:rsid w:val="1A345F7C"/>
    <w:rsid w:val="1A4F2DB6"/>
    <w:rsid w:val="1AC76DF0"/>
    <w:rsid w:val="1AEB2ADF"/>
    <w:rsid w:val="1B010554"/>
    <w:rsid w:val="1BC3580A"/>
    <w:rsid w:val="1C125CC7"/>
    <w:rsid w:val="1C2277C9"/>
    <w:rsid w:val="1C273FEB"/>
    <w:rsid w:val="1CA94A00"/>
    <w:rsid w:val="1CDB6B83"/>
    <w:rsid w:val="1CF0511D"/>
    <w:rsid w:val="1CFA525B"/>
    <w:rsid w:val="1D0600A4"/>
    <w:rsid w:val="1D1E3640"/>
    <w:rsid w:val="1D6923E1"/>
    <w:rsid w:val="1D8F0099"/>
    <w:rsid w:val="1DA756F1"/>
    <w:rsid w:val="1DF20628"/>
    <w:rsid w:val="1DF61EC7"/>
    <w:rsid w:val="1DFD14A7"/>
    <w:rsid w:val="1E171F5D"/>
    <w:rsid w:val="1E25455A"/>
    <w:rsid w:val="1E2B45A7"/>
    <w:rsid w:val="1E470974"/>
    <w:rsid w:val="1E8041F9"/>
    <w:rsid w:val="1E9F430C"/>
    <w:rsid w:val="1EEE0DF0"/>
    <w:rsid w:val="1F072441"/>
    <w:rsid w:val="1F221FC0"/>
    <w:rsid w:val="1F460C2C"/>
    <w:rsid w:val="1F6139F7"/>
    <w:rsid w:val="1F9C6A9E"/>
    <w:rsid w:val="1FA12306"/>
    <w:rsid w:val="1FC3227C"/>
    <w:rsid w:val="1FE16BA6"/>
    <w:rsid w:val="1FF95C9E"/>
    <w:rsid w:val="200A7EAB"/>
    <w:rsid w:val="203C5B8B"/>
    <w:rsid w:val="20511636"/>
    <w:rsid w:val="206E2BCA"/>
    <w:rsid w:val="20830256"/>
    <w:rsid w:val="20DD5505"/>
    <w:rsid w:val="20DF4E94"/>
    <w:rsid w:val="20E92EC4"/>
    <w:rsid w:val="21222FD3"/>
    <w:rsid w:val="21586264"/>
    <w:rsid w:val="216D06F2"/>
    <w:rsid w:val="21F506E7"/>
    <w:rsid w:val="22124DF5"/>
    <w:rsid w:val="222F3BF9"/>
    <w:rsid w:val="22963C78"/>
    <w:rsid w:val="22A068A5"/>
    <w:rsid w:val="22EF3388"/>
    <w:rsid w:val="232E2103"/>
    <w:rsid w:val="237A0EA4"/>
    <w:rsid w:val="2398757C"/>
    <w:rsid w:val="239E30F8"/>
    <w:rsid w:val="23EE25B8"/>
    <w:rsid w:val="240B3ACA"/>
    <w:rsid w:val="241237D2"/>
    <w:rsid w:val="242B219E"/>
    <w:rsid w:val="24455956"/>
    <w:rsid w:val="246102B6"/>
    <w:rsid w:val="24773635"/>
    <w:rsid w:val="24CA19B7"/>
    <w:rsid w:val="24CD76F9"/>
    <w:rsid w:val="25072C0B"/>
    <w:rsid w:val="250A44A9"/>
    <w:rsid w:val="251A0B90"/>
    <w:rsid w:val="254554E2"/>
    <w:rsid w:val="25496D80"/>
    <w:rsid w:val="25586430"/>
    <w:rsid w:val="255929F1"/>
    <w:rsid w:val="25641E0C"/>
    <w:rsid w:val="259A582D"/>
    <w:rsid w:val="25A14E0E"/>
    <w:rsid w:val="25BC39F6"/>
    <w:rsid w:val="25E22D30"/>
    <w:rsid w:val="2613738E"/>
    <w:rsid w:val="262B2929"/>
    <w:rsid w:val="26347A30"/>
    <w:rsid w:val="265E551A"/>
    <w:rsid w:val="267C3185"/>
    <w:rsid w:val="26BE19EF"/>
    <w:rsid w:val="26E36D60"/>
    <w:rsid w:val="27167136"/>
    <w:rsid w:val="273B094A"/>
    <w:rsid w:val="275814FC"/>
    <w:rsid w:val="28862099"/>
    <w:rsid w:val="28AF339E"/>
    <w:rsid w:val="28C80903"/>
    <w:rsid w:val="29453D02"/>
    <w:rsid w:val="296A3BA3"/>
    <w:rsid w:val="29C0782D"/>
    <w:rsid w:val="29C27803"/>
    <w:rsid w:val="29EE6148"/>
    <w:rsid w:val="2A3C3357"/>
    <w:rsid w:val="2A5C7555"/>
    <w:rsid w:val="2A5F2BA2"/>
    <w:rsid w:val="2A8D5961"/>
    <w:rsid w:val="2A900FAD"/>
    <w:rsid w:val="2A9F7442"/>
    <w:rsid w:val="2AF7727E"/>
    <w:rsid w:val="2B373B1E"/>
    <w:rsid w:val="2B6366C1"/>
    <w:rsid w:val="2B960845"/>
    <w:rsid w:val="2BB41D6A"/>
    <w:rsid w:val="2BDA4BD6"/>
    <w:rsid w:val="2BDB094E"/>
    <w:rsid w:val="2BE94E19"/>
    <w:rsid w:val="2BF35C97"/>
    <w:rsid w:val="2BFD6B16"/>
    <w:rsid w:val="2C273B93"/>
    <w:rsid w:val="2C4B162F"/>
    <w:rsid w:val="2CD94E8D"/>
    <w:rsid w:val="2D287BC3"/>
    <w:rsid w:val="2DBE22D5"/>
    <w:rsid w:val="2DC93154"/>
    <w:rsid w:val="2DF53F49"/>
    <w:rsid w:val="2E330409"/>
    <w:rsid w:val="2E50117F"/>
    <w:rsid w:val="2E5F13C2"/>
    <w:rsid w:val="2E6C1D31"/>
    <w:rsid w:val="2E905A1F"/>
    <w:rsid w:val="2EA4738B"/>
    <w:rsid w:val="2EA96AE1"/>
    <w:rsid w:val="2EC21951"/>
    <w:rsid w:val="2EF97D09"/>
    <w:rsid w:val="2F191EB9"/>
    <w:rsid w:val="2F287E07"/>
    <w:rsid w:val="2F34284F"/>
    <w:rsid w:val="2F61560E"/>
    <w:rsid w:val="2FB63264"/>
    <w:rsid w:val="2FD22068"/>
    <w:rsid w:val="308342C6"/>
    <w:rsid w:val="3092365B"/>
    <w:rsid w:val="30C85944"/>
    <w:rsid w:val="30CE0A81"/>
    <w:rsid w:val="30F32296"/>
    <w:rsid w:val="312B5ED3"/>
    <w:rsid w:val="31B5579D"/>
    <w:rsid w:val="31E542D4"/>
    <w:rsid w:val="322A1CE7"/>
    <w:rsid w:val="325F15B3"/>
    <w:rsid w:val="329830F5"/>
    <w:rsid w:val="32A45F3D"/>
    <w:rsid w:val="331D7A9E"/>
    <w:rsid w:val="33F46A50"/>
    <w:rsid w:val="341449FD"/>
    <w:rsid w:val="34DD74E5"/>
    <w:rsid w:val="34EE34A0"/>
    <w:rsid w:val="35F9034E"/>
    <w:rsid w:val="36B9188B"/>
    <w:rsid w:val="36DB5CA6"/>
    <w:rsid w:val="36EC3A0F"/>
    <w:rsid w:val="37092813"/>
    <w:rsid w:val="37164F30"/>
    <w:rsid w:val="371F5B92"/>
    <w:rsid w:val="374B6987"/>
    <w:rsid w:val="375241BA"/>
    <w:rsid w:val="378B76CC"/>
    <w:rsid w:val="37D83F93"/>
    <w:rsid w:val="385B52F0"/>
    <w:rsid w:val="38763ED8"/>
    <w:rsid w:val="38B22A36"/>
    <w:rsid w:val="38C2711D"/>
    <w:rsid w:val="38CD7870"/>
    <w:rsid w:val="39072D82"/>
    <w:rsid w:val="397C3770"/>
    <w:rsid w:val="39A16D33"/>
    <w:rsid w:val="39F8091D"/>
    <w:rsid w:val="39FF1CAB"/>
    <w:rsid w:val="3A080B60"/>
    <w:rsid w:val="3A1E0383"/>
    <w:rsid w:val="3A540249"/>
    <w:rsid w:val="3A772E7A"/>
    <w:rsid w:val="3A7C154E"/>
    <w:rsid w:val="3ADC3D9A"/>
    <w:rsid w:val="3AF35977"/>
    <w:rsid w:val="3B547DD5"/>
    <w:rsid w:val="3B5F50F7"/>
    <w:rsid w:val="3B862684"/>
    <w:rsid w:val="3B9D79CE"/>
    <w:rsid w:val="3BAA5C47"/>
    <w:rsid w:val="3C0161AE"/>
    <w:rsid w:val="3C123F18"/>
    <w:rsid w:val="3C1732DC"/>
    <w:rsid w:val="3C410359"/>
    <w:rsid w:val="3C4542ED"/>
    <w:rsid w:val="3DEB4A20"/>
    <w:rsid w:val="3EF06066"/>
    <w:rsid w:val="3EFA29A4"/>
    <w:rsid w:val="3F2301EA"/>
    <w:rsid w:val="3F473ED8"/>
    <w:rsid w:val="3F6B1EDC"/>
    <w:rsid w:val="405D7F36"/>
    <w:rsid w:val="40750F19"/>
    <w:rsid w:val="40F736DC"/>
    <w:rsid w:val="40FB5737"/>
    <w:rsid w:val="413859AA"/>
    <w:rsid w:val="41686388"/>
    <w:rsid w:val="416B7C26"/>
    <w:rsid w:val="41AA4BF2"/>
    <w:rsid w:val="41AA69A0"/>
    <w:rsid w:val="41AD44DA"/>
    <w:rsid w:val="41DA54D8"/>
    <w:rsid w:val="42690B45"/>
    <w:rsid w:val="431B5DA8"/>
    <w:rsid w:val="431C784C"/>
    <w:rsid w:val="436314FD"/>
    <w:rsid w:val="436D4129"/>
    <w:rsid w:val="43BB31A0"/>
    <w:rsid w:val="440E76BA"/>
    <w:rsid w:val="441D16AC"/>
    <w:rsid w:val="442962A2"/>
    <w:rsid w:val="44315157"/>
    <w:rsid w:val="44352E99"/>
    <w:rsid w:val="444514A2"/>
    <w:rsid w:val="44501A81"/>
    <w:rsid w:val="447C0AC8"/>
    <w:rsid w:val="448E07FB"/>
    <w:rsid w:val="44B87626"/>
    <w:rsid w:val="45034D45"/>
    <w:rsid w:val="450A60D4"/>
    <w:rsid w:val="454964D0"/>
    <w:rsid w:val="454F3AE7"/>
    <w:rsid w:val="455530C7"/>
    <w:rsid w:val="455C6204"/>
    <w:rsid w:val="456D21BF"/>
    <w:rsid w:val="45AF7A12"/>
    <w:rsid w:val="45CE5353"/>
    <w:rsid w:val="45EC7588"/>
    <w:rsid w:val="469B0FAE"/>
    <w:rsid w:val="46D87B0C"/>
    <w:rsid w:val="472471F5"/>
    <w:rsid w:val="474B4782"/>
    <w:rsid w:val="47705F96"/>
    <w:rsid w:val="47A872E3"/>
    <w:rsid w:val="47ED75E7"/>
    <w:rsid w:val="48117779"/>
    <w:rsid w:val="48F36E7F"/>
    <w:rsid w:val="48FF3A76"/>
    <w:rsid w:val="496F0BFB"/>
    <w:rsid w:val="49B04D70"/>
    <w:rsid w:val="49B26D3A"/>
    <w:rsid w:val="49DA3B9B"/>
    <w:rsid w:val="4A5B2F2E"/>
    <w:rsid w:val="4A6D4A0F"/>
    <w:rsid w:val="4AC26B09"/>
    <w:rsid w:val="4AD54A8E"/>
    <w:rsid w:val="4B2257F9"/>
    <w:rsid w:val="4B5856BF"/>
    <w:rsid w:val="4BBF129A"/>
    <w:rsid w:val="4BCD7E5B"/>
    <w:rsid w:val="4BD20FCE"/>
    <w:rsid w:val="4BFB49C8"/>
    <w:rsid w:val="4C013661"/>
    <w:rsid w:val="4C0A4C0B"/>
    <w:rsid w:val="4C465518"/>
    <w:rsid w:val="4C5440D8"/>
    <w:rsid w:val="4C765DFD"/>
    <w:rsid w:val="4C935807"/>
    <w:rsid w:val="4CCA439B"/>
    <w:rsid w:val="4D2B4E39"/>
    <w:rsid w:val="4D73058E"/>
    <w:rsid w:val="4E037B64"/>
    <w:rsid w:val="4E127DA7"/>
    <w:rsid w:val="4E257ADB"/>
    <w:rsid w:val="4EB40E5E"/>
    <w:rsid w:val="4ED96B17"/>
    <w:rsid w:val="4EE94FAC"/>
    <w:rsid w:val="4EFC63A0"/>
    <w:rsid w:val="4F1D2EA8"/>
    <w:rsid w:val="4F5148FF"/>
    <w:rsid w:val="4F5F526E"/>
    <w:rsid w:val="4FFC486B"/>
    <w:rsid w:val="4FFE6835"/>
    <w:rsid w:val="50096F88"/>
    <w:rsid w:val="502F4C40"/>
    <w:rsid w:val="50487AB0"/>
    <w:rsid w:val="506863A4"/>
    <w:rsid w:val="506F14E1"/>
    <w:rsid w:val="50AF5D81"/>
    <w:rsid w:val="50E7376D"/>
    <w:rsid w:val="512C1180"/>
    <w:rsid w:val="517F39A6"/>
    <w:rsid w:val="51870AAC"/>
    <w:rsid w:val="520E0886"/>
    <w:rsid w:val="52D548A2"/>
    <w:rsid w:val="52EF6909"/>
    <w:rsid w:val="53A5346C"/>
    <w:rsid w:val="53BD2563"/>
    <w:rsid w:val="53F8359B"/>
    <w:rsid w:val="5435659E"/>
    <w:rsid w:val="54482775"/>
    <w:rsid w:val="54492049"/>
    <w:rsid w:val="5452714F"/>
    <w:rsid w:val="545F73EB"/>
    <w:rsid w:val="54BA4CF5"/>
    <w:rsid w:val="54EB3100"/>
    <w:rsid w:val="54FC530D"/>
    <w:rsid w:val="55434CEA"/>
    <w:rsid w:val="55564A1D"/>
    <w:rsid w:val="559A4947"/>
    <w:rsid w:val="55C0458D"/>
    <w:rsid w:val="55F12998"/>
    <w:rsid w:val="56150744"/>
    <w:rsid w:val="56291A17"/>
    <w:rsid w:val="56424FA2"/>
    <w:rsid w:val="564C7BCE"/>
    <w:rsid w:val="566D0271"/>
    <w:rsid w:val="56941CA1"/>
    <w:rsid w:val="56955A19"/>
    <w:rsid w:val="56DF1904"/>
    <w:rsid w:val="571B5F1F"/>
    <w:rsid w:val="57601B83"/>
    <w:rsid w:val="57835872"/>
    <w:rsid w:val="57C55E8A"/>
    <w:rsid w:val="584A0ABE"/>
    <w:rsid w:val="59140E77"/>
    <w:rsid w:val="591470C9"/>
    <w:rsid w:val="592866D1"/>
    <w:rsid w:val="5976568E"/>
    <w:rsid w:val="59F36CDF"/>
    <w:rsid w:val="5A3A490E"/>
    <w:rsid w:val="5A407A4A"/>
    <w:rsid w:val="5A5359CF"/>
    <w:rsid w:val="5A6574B1"/>
    <w:rsid w:val="5A8C60FD"/>
    <w:rsid w:val="5ACE32A8"/>
    <w:rsid w:val="5B3F63EB"/>
    <w:rsid w:val="5BCB77E7"/>
    <w:rsid w:val="5BF3746A"/>
    <w:rsid w:val="5C133668"/>
    <w:rsid w:val="5C2908C7"/>
    <w:rsid w:val="5C533A65"/>
    <w:rsid w:val="5C6E089F"/>
    <w:rsid w:val="5C6E6AF1"/>
    <w:rsid w:val="5CB52971"/>
    <w:rsid w:val="5CB564CD"/>
    <w:rsid w:val="5CBC70DB"/>
    <w:rsid w:val="5CD10E2D"/>
    <w:rsid w:val="5CDA12A8"/>
    <w:rsid w:val="5DBA1E87"/>
    <w:rsid w:val="5E0A0A9B"/>
    <w:rsid w:val="5E0A2849"/>
    <w:rsid w:val="5E1E6120"/>
    <w:rsid w:val="5E54464F"/>
    <w:rsid w:val="5E6F08FE"/>
    <w:rsid w:val="5E78638D"/>
    <w:rsid w:val="5E8C7702"/>
    <w:rsid w:val="5EBA426F"/>
    <w:rsid w:val="5F092B01"/>
    <w:rsid w:val="5F3538F6"/>
    <w:rsid w:val="5F434264"/>
    <w:rsid w:val="5F797C86"/>
    <w:rsid w:val="5FB54A36"/>
    <w:rsid w:val="607641C6"/>
    <w:rsid w:val="60DA29A7"/>
    <w:rsid w:val="60E8168A"/>
    <w:rsid w:val="60EC26DA"/>
    <w:rsid w:val="610712C2"/>
    <w:rsid w:val="610C4B2A"/>
    <w:rsid w:val="614147D4"/>
    <w:rsid w:val="61C243C9"/>
    <w:rsid w:val="61F21F72"/>
    <w:rsid w:val="620D2908"/>
    <w:rsid w:val="62377985"/>
    <w:rsid w:val="628A2D71"/>
    <w:rsid w:val="629152E7"/>
    <w:rsid w:val="62943029"/>
    <w:rsid w:val="62A019CE"/>
    <w:rsid w:val="62CA07F9"/>
    <w:rsid w:val="630A36B6"/>
    <w:rsid w:val="636C18B0"/>
    <w:rsid w:val="640F0BB9"/>
    <w:rsid w:val="64104931"/>
    <w:rsid w:val="643C1282"/>
    <w:rsid w:val="643C74D4"/>
    <w:rsid w:val="64616F3B"/>
    <w:rsid w:val="649317EA"/>
    <w:rsid w:val="64C03C61"/>
    <w:rsid w:val="64F733FB"/>
    <w:rsid w:val="6518584B"/>
    <w:rsid w:val="6546685C"/>
    <w:rsid w:val="65613696"/>
    <w:rsid w:val="65D75707"/>
    <w:rsid w:val="66081D64"/>
    <w:rsid w:val="66140709"/>
    <w:rsid w:val="666A3259"/>
    <w:rsid w:val="66723681"/>
    <w:rsid w:val="66A852F5"/>
    <w:rsid w:val="66C814F3"/>
    <w:rsid w:val="67003A74"/>
    <w:rsid w:val="67087B42"/>
    <w:rsid w:val="67363669"/>
    <w:rsid w:val="675D1C3B"/>
    <w:rsid w:val="676C00D0"/>
    <w:rsid w:val="67E934CF"/>
    <w:rsid w:val="68525518"/>
    <w:rsid w:val="68776D2D"/>
    <w:rsid w:val="688A4CB2"/>
    <w:rsid w:val="688B0A2A"/>
    <w:rsid w:val="68A13DAA"/>
    <w:rsid w:val="68B00491"/>
    <w:rsid w:val="692A0243"/>
    <w:rsid w:val="6951757E"/>
    <w:rsid w:val="69B12712"/>
    <w:rsid w:val="69BF098B"/>
    <w:rsid w:val="69CC4E56"/>
    <w:rsid w:val="69E20B1E"/>
    <w:rsid w:val="6A162576"/>
    <w:rsid w:val="6A202150"/>
    <w:rsid w:val="6A42336B"/>
    <w:rsid w:val="6A4D243B"/>
    <w:rsid w:val="6A9736B6"/>
    <w:rsid w:val="6AD761A9"/>
    <w:rsid w:val="6AE508C6"/>
    <w:rsid w:val="6B1747F7"/>
    <w:rsid w:val="6B1940CB"/>
    <w:rsid w:val="6B3528F1"/>
    <w:rsid w:val="6B4F5D3F"/>
    <w:rsid w:val="6B572E46"/>
    <w:rsid w:val="6B686E01"/>
    <w:rsid w:val="6B9303B6"/>
    <w:rsid w:val="6BD34BC2"/>
    <w:rsid w:val="6BF54B38"/>
    <w:rsid w:val="6C0B610A"/>
    <w:rsid w:val="6C44786E"/>
    <w:rsid w:val="6C953CC0"/>
    <w:rsid w:val="6CA36342"/>
    <w:rsid w:val="6D543AE1"/>
    <w:rsid w:val="6D765805"/>
    <w:rsid w:val="6DC36570"/>
    <w:rsid w:val="6DCE3893"/>
    <w:rsid w:val="6E42780D"/>
    <w:rsid w:val="6E5B2C4D"/>
    <w:rsid w:val="6E900B48"/>
    <w:rsid w:val="6E916ACA"/>
    <w:rsid w:val="6EED1AF7"/>
    <w:rsid w:val="6EF56BFD"/>
    <w:rsid w:val="6F1B2B08"/>
    <w:rsid w:val="6F9E7295"/>
    <w:rsid w:val="6FF375E1"/>
    <w:rsid w:val="70293003"/>
    <w:rsid w:val="70716758"/>
    <w:rsid w:val="7075449A"/>
    <w:rsid w:val="707E792B"/>
    <w:rsid w:val="70934920"/>
    <w:rsid w:val="70C1323B"/>
    <w:rsid w:val="71155335"/>
    <w:rsid w:val="71306613"/>
    <w:rsid w:val="7141612A"/>
    <w:rsid w:val="7157594D"/>
    <w:rsid w:val="71641E18"/>
    <w:rsid w:val="72141A90"/>
    <w:rsid w:val="722F148A"/>
    <w:rsid w:val="7231619E"/>
    <w:rsid w:val="725D3437"/>
    <w:rsid w:val="73025CFD"/>
    <w:rsid w:val="7371736D"/>
    <w:rsid w:val="739C7F8F"/>
    <w:rsid w:val="73A155A6"/>
    <w:rsid w:val="73C66DBA"/>
    <w:rsid w:val="7400051E"/>
    <w:rsid w:val="743957DE"/>
    <w:rsid w:val="743B1D5F"/>
    <w:rsid w:val="745368A0"/>
    <w:rsid w:val="74842EFD"/>
    <w:rsid w:val="75540C92"/>
    <w:rsid w:val="7557416E"/>
    <w:rsid w:val="755A121D"/>
    <w:rsid w:val="758F1B5A"/>
    <w:rsid w:val="75B17106"/>
    <w:rsid w:val="75BE243F"/>
    <w:rsid w:val="75F714AD"/>
    <w:rsid w:val="75FE0A8D"/>
    <w:rsid w:val="761C7166"/>
    <w:rsid w:val="764D41DF"/>
    <w:rsid w:val="77356731"/>
    <w:rsid w:val="77E65C7D"/>
    <w:rsid w:val="77F55EC0"/>
    <w:rsid w:val="785250C1"/>
    <w:rsid w:val="78574485"/>
    <w:rsid w:val="786D2338"/>
    <w:rsid w:val="78C23FF4"/>
    <w:rsid w:val="794C5FB4"/>
    <w:rsid w:val="79752E15"/>
    <w:rsid w:val="79AD6A52"/>
    <w:rsid w:val="79D20267"/>
    <w:rsid w:val="79DF0BD6"/>
    <w:rsid w:val="7A0611D5"/>
    <w:rsid w:val="7A4C3137"/>
    <w:rsid w:val="7A827B79"/>
    <w:rsid w:val="7AC51B7A"/>
    <w:rsid w:val="7AED10D1"/>
    <w:rsid w:val="7B362A78"/>
    <w:rsid w:val="7B3665D4"/>
    <w:rsid w:val="7B735A7A"/>
    <w:rsid w:val="7B987878"/>
    <w:rsid w:val="7CC52305"/>
    <w:rsid w:val="7CD6006E"/>
    <w:rsid w:val="7D0F2182"/>
    <w:rsid w:val="7D4551F4"/>
    <w:rsid w:val="7D6E64F9"/>
    <w:rsid w:val="7DAC7021"/>
    <w:rsid w:val="7E221091"/>
    <w:rsid w:val="7E8D0C00"/>
    <w:rsid w:val="7EC871EC"/>
    <w:rsid w:val="7EF0118F"/>
    <w:rsid w:val="7F271055"/>
    <w:rsid w:val="7F572FBC"/>
    <w:rsid w:val="7F637BB3"/>
    <w:rsid w:val="7F6A0F42"/>
    <w:rsid w:val="7FF8654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宋体"/>
      <w:b/>
      <w:bCs/>
      <w:color w:val="000000"/>
      <w:sz w:val="72"/>
      <w:szCs w:val="20"/>
    </w:r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2100" w:leftChars="1000"/>
    </w:pPr>
  </w:style>
  <w:style w:type="paragraph" w:styleId="7">
    <w:name w:val="Normal Indent"/>
    <w:basedOn w:val="1"/>
    <w:next w:val="8"/>
    <w:qFormat/>
    <w:uiPriority w:val="0"/>
    <w:pPr>
      <w:ind w:firstLine="420" w:firstLineChars="200"/>
    </w:pPr>
    <w:rPr>
      <w:sz w:val="28"/>
      <w:szCs w:val="20"/>
    </w:rPr>
  </w:style>
  <w:style w:type="paragraph" w:styleId="8">
    <w:name w:val="Body Text Indent"/>
    <w:basedOn w:val="1"/>
    <w:next w:val="7"/>
    <w:qFormat/>
    <w:uiPriority w:val="0"/>
    <w:pPr>
      <w:spacing w:line="460" w:lineRule="exact"/>
      <w:ind w:firstLine="482" w:firstLineChars="200"/>
    </w:pPr>
    <w:rPr>
      <w:b/>
      <w:bCs/>
      <w:sz w:val="24"/>
      <w:shd w:val="clear" w:color="auto" w:fill="CCCCCC"/>
    </w:rPr>
  </w:style>
  <w:style w:type="paragraph" w:styleId="10">
    <w:name w:val="annotation text"/>
    <w:basedOn w:val="1"/>
    <w:qFormat/>
    <w:uiPriority w:val="0"/>
    <w:pPr>
      <w:jc w:val="left"/>
    </w:pPr>
  </w:style>
  <w:style w:type="paragraph" w:styleId="11">
    <w:name w:val="List Continue"/>
    <w:basedOn w:val="1"/>
    <w:qFormat/>
    <w:uiPriority w:val="0"/>
    <w:pPr>
      <w:spacing w:after="120"/>
      <w:ind w:left="420"/>
    </w:p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cs="Courier New"/>
      <w:szCs w:val="21"/>
    </w:rPr>
  </w:style>
  <w:style w:type="paragraph" w:styleId="14">
    <w:name w:val="Body Text Indent 2"/>
    <w:basedOn w:val="1"/>
    <w:qFormat/>
    <w:uiPriority w:val="0"/>
    <w:pPr>
      <w:spacing w:line="360" w:lineRule="auto"/>
      <w:ind w:firstLine="480"/>
    </w:pPr>
    <w:rPr>
      <w:rFonts w:ascii="宋体" w:eastAsia="新宋体"/>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460" w:lineRule="exact"/>
    </w:pPr>
    <w:rPr>
      <w:b/>
      <w:bCs/>
      <w:sz w:val="28"/>
      <w:szCs w:val="30"/>
    </w:rPr>
  </w:style>
  <w:style w:type="paragraph" w:styleId="18">
    <w:name w:val="List"/>
    <w:basedOn w:val="1"/>
    <w:qFormat/>
    <w:uiPriority w:val="0"/>
    <w:pPr>
      <w:snapToGrid w:val="0"/>
      <w:spacing w:line="360" w:lineRule="auto"/>
      <w:ind w:firstLine="420" w:firstLineChars="200"/>
      <w:jc w:val="left"/>
    </w:pPr>
    <w:rPr>
      <w:color w:val="000000"/>
    </w:rPr>
  </w:style>
  <w:style w:type="paragraph" w:styleId="19">
    <w:name w:val="toc 2"/>
    <w:basedOn w:val="1"/>
    <w:next w:val="1"/>
    <w:qFormat/>
    <w:uiPriority w:val="39"/>
    <w:pPr>
      <w:spacing w:line="400" w:lineRule="exact"/>
      <w:ind w:left="200" w:leftChars="200"/>
    </w:pPr>
    <w:rPr>
      <w:sz w:val="24"/>
    </w:rPr>
  </w:style>
  <w:style w:type="paragraph" w:styleId="20">
    <w:name w:val="Normal (Web)"/>
    <w:basedOn w:val="1"/>
    <w:qFormat/>
    <w:uiPriority w:val="0"/>
    <w:rPr>
      <w:sz w:val="24"/>
    </w:rPr>
  </w:style>
  <w:style w:type="paragraph" w:styleId="21">
    <w:name w:val="Body Text First Indent 2"/>
    <w:basedOn w:val="8"/>
    <w:next w:val="1"/>
    <w:qFormat/>
    <w:uiPriority w:val="0"/>
    <w:pPr>
      <w:spacing w:after="120" w:line="240" w:lineRule="auto"/>
      <w:ind w:left="420" w:leftChars="200" w:firstLine="420"/>
    </w:pPr>
    <w:rPr>
      <w:rFonts w:cs="宋体"/>
      <w:sz w:val="21"/>
      <w:szCs w:val="21"/>
    </w:rPr>
  </w:style>
  <w:style w:type="character" w:styleId="24">
    <w:name w:val="annotation reference"/>
    <w:basedOn w:val="23"/>
    <w:qFormat/>
    <w:uiPriority w:val="0"/>
    <w:rPr>
      <w:sz w:val="21"/>
      <w:szCs w:val="21"/>
    </w:rPr>
  </w:style>
  <w:style w:type="paragraph" w:customStyle="1" w:styleId="25">
    <w:name w:val="首行缩进"/>
    <w:basedOn w:val="1"/>
    <w:next w:val="11"/>
    <w:qFormat/>
    <w:uiPriority w:val="0"/>
    <w:pPr>
      <w:spacing w:line="360" w:lineRule="auto"/>
      <w:ind w:firstLine="480" w:firstLineChars="200"/>
    </w:pPr>
    <w:rPr>
      <w:sz w:val="24"/>
      <w:lang w:val="zh-CN"/>
    </w:rPr>
  </w:style>
  <w:style w:type="paragraph" w:customStyle="1" w:styleId="26">
    <w:name w:val="标题 5（有编号）（绿盟科技）"/>
    <w:basedOn w:val="1"/>
    <w:next w:val="27"/>
    <w:qFormat/>
    <w:uiPriority w:val="99"/>
    <w:pPr>
      <w:keepNext/>
      <w:keepLines/>
      <w:spacing w:before="280" w:after="156" w:line="377" w:lineRule="auto"/>
      <w:outlineLvl w:val="4"/>
    </w:pPr>
    <w:rPr>
      <w:rFonts w:ascii="Arial" w:hAnsi="Arial" w:eastAsia="黑体" w:cs="Arial"/>
      <w:b/>
      <w:bCs/>
      <w:sz w:val="24"/>
    </w:rPr>
  </w:style>
  <w:style w:type="paragraph" w:customStyle="1" w:styleId="2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8">
    <w:name w:val="a首行缩进 2 字符"/>
    <w:basedOn w:val="1"/>
    <w:next w:val="1"/>
    <w:qFormat/>
    <w:uiPriority w:val="0"/>
    <w:pPr>
      <w:tabs>
        <w:tab w:val="left" w:pos="900"/>
        <w:tab w:val="left" w:pos="1080"/>
        <w:tab w:val="left" w:pos="1260"/>
      </w:tabs>
      <w:spacing w:line="360" w:lineRule="auto"/>
      <w:ind w:firstLine="560" w:firstLineChars="200"/>
      <w:jc w:val="left"/>
    </w:pPr>
    <w:rPr>
      <w:sz w:val="28"/>
      <w:szCs w:val="28"/>
    </w:rPr>
  </w:style>
  <w:style w:type="paragraph" w:customStyle="1" w:styleId="29">
    <w:name w:val="普通(网站) Char"/>
    <w:basedOn w:val="1"/>
    <w:qFormat/>
    <w:uiPriority w:val="0"/>
    <w:pPr>
      <w:widowControl/>
      <w:spacing w:beforeAutospacing="1" w:afterAutospacing="1"/>
      <w:jc w:val="left"/>
    </w:pPr>
    <w:rPr>
      <w:rFonts w:hint="eastAsia" w:ascii="宋体" w:hAnsi="宋体"/>
      <w:kern w:val="0"/>
      <w:sz w:val="24"/>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32827</Words>
  <Characters>36132</Characters>
  <Lines>284</Lines>
  <Paragraphs>80</Paragraphs>
  <TotalTime>19</TotalTime>
  <ScaleCrop>false</ScaleCrop>
  <LinksUpToDate>false</LinksUpToDate>
  <CharactersWithSpaces>38938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2022-07-20T13:35:00Z</dcterms:created>
  <dc:creator>Jairo</dc:creator>
  <cp:lastModifiedBy>我黑怪我咯～</cp:lastModifiedBy>
  <cp:lastPrinted>2022-10-31T13:53:00Z</cp:lastPrinted>
  <dcterms:modified xsi:type="dcterms:W3CDTF">2022-12-19T07:41:14Z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D59A8484ACEF4682920F0A7654D4ECD1</vt:lpwstr>
  </property>
</Properties>
</file>