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pPr>
        <w:pStyle w:val="2"/>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pPr>
        <w:pStyle w:val="2"/>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auto"/>
          <w:spacing w:val="-11"/>
          <w:sz w:val="48"/>
          <w:szCs w:val="48"/>
          <w:lang w:eastAsia="zh-CN"/>
          <w14:shadow w14:blurRad="50800" w14:dist="38100" w14:dir="2700000" w14:sx="100000" w14:sy="100000" w14:kx="0" w14:ky="0" w14:algn="tl">
            <w14:srgbClr w14:val="000000">
              <w14:alpha w14:val="60000"/>
            </w14:srgbClr>
          </w14:shadow>
        </w:rPr>
      </w:pPr>
      <w:bookmarkStart w:id="0" w:name="_Toc31418"/>
      <w:bookmarkStart w:id="1" w:name="_Toc2982"/>
      <w:bookmarkStart w:id="2" w:name="_Toc22651"/>
      <w:bookmarkStart w:id="3" w:name="_Toc15707"/>
      <w:r>
        <w:rPr>
          <w:rFonts w:hint="eastAsia" w:ascii="宋体" w:hAnsi="宋体" w:eastAsia="宋体" w:cs="宋体"/>
          <w:b/>
          <w:color w:val="auto"/>
          <w:spacing w:val="-11"/>
          <w:sz w:val="46"/>
          <w:szCs w:val="46"/>
          <w:lang w:eastAsia="zh-CN"/>
          <w14:shadow w14:blurRad="50800" w14:dist="38100" w14:dir="2700000" w14:sx="100000" w14:sy="100000" w14:kx="0" w14:ky="0" w14:algn="tl">
            <w14:srgbClr w14:val="000000">
              <w14:alpha w14:val="60000"/>
            </w14:srgbClr>
          </w14:shadow>
        </w:rPr>
        <w:t>2022年庆元县食品安全检验检测服务采购项目</w:t>
      </w:r>
      <w:bookmarkEnd w:id="0"/>
      <w:bookmarkEnd w:id="1"/>
      <w:bookmarkEnd w:id="2"/>
      <w:bookmarkEnd w:id="3"/>
    </w:p>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color w:val="auto"/>
          <w:sz w:val="96"/>
          <w:szCs w:val="28"/>
          <w14:shadow w14:blurRad="50800" w14:dist="38100" w14:dir="2700000" w14:sx="100000" w14:sy="100000" w14:kx="0" w14:ky="0" w14:algn="tl">
            <w14:srgbClr w14:val="000000">
              <w14:alpha w14:val="60000"/>
            </w14:srgbClr>
          </w14:shadow>
        </w:rPr>
      </w:pPr>
      <w:bookmarkStart w:id="4" w:name="_Toc16156"/>
      <w:bookmarkStart w:id="5" w:name="_Toc16198"/>
      <w:bookmarkStart w:id="6" w:name="_Toc7117"/>
      <w:bookmarkStart w:id="7" w:name="_Toc15480"/>
      <w:bookmarkStart w:id="8" w:name="_Toc17864"/>
      <w:bookmarkStart w:id="9" w:name="_Toc169"/>
      <w:r>
        <w:rPr>
          <w:rFonts w:hint="eastAsia" w:ascii="宋体" w:hAnsi="宋体" w:eastAsia="宋体" w:cs="宋体"/>
          <w:b/>
          <w:color w:val="auto"/>
          <w:sz w:val="96"/>
          <w:szCs w:val="28"/>
          <w14:shadow w14:blurRad="50800" w14:dist="38100" w14:dir="2700000" w14:sx="100000" w14:sy="100000" w14:kx="0" w14:ky="0" w14:algn="tl">
            <w14:srgbClr w14:val="000000">
              <w14:alpha w14:val="60000"/>
            </w14:srgbClr>
          </w14:shadow>
        </w:rPr>
        <w:t>竞争性磋商</w:t>
      </w:r>
      <w:bookmarkEnd w:id="4"/>
      <w:bookmarkEnd w:id="5"/>
      <w:bookmarkEnd w:id="6"/>
      <w:bookmarkEnd w:id="7"/>
      <w:bookmarkEnd w:id="8"/>
      <w:bookmarkEnd w:id="9"/>
    </w:p>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tbl>
      <w:tblPr>
        <w:tblStyle w:val="35"/>
        <w:tblpPr w:leftFromText="180" w:rightFromText="180" w:vertAnchor="text" w:horzAnchor="page" w:tblpXSpec="center" w:tblpY="73"/>
        <w:tblOverlap w:val="never"/>
        <w:tblW w:w="8721" w:type="dxa"/>
        <w:jc w:val="center"/>
        <w:tblLayout w:type="fixed"/>
        <w:tblCellMar>
          <w:top w:w="0" w:type="dxa"/>
          <w:left w:w="0" w:type="dxa"/>
          <w:bottom w:w="0" w:type="dxa"/>
          <w:right w:w="0" w:type="dxa"/>
        </w:tblCellMar>
      </w:tblPr>
      <w:tblGrid>
        <w:gridCol w:w="1804"/>
        <w:gridCol w:w="6917"/>
      </w:tblGrid>
      <w:tr>
        <w:trPr>
          <w:trHeight w:val="1232" w:hRule="atLeast"/>
          <w:jc w:val="center"/>
        </w:trPr>
        <w:tc>
          <w:tcPr>
            <w:tcW w:w="1804" w:type="dxa"/>
            <w:vAlign w:val="center"/>
          </w:tcPr>
          <w:p>
            <w:pPr>
              <w:keepNext w:val="0"/>
              <w:keepLines w:val="0"/>
              <w:pageBreakBefore w:val="0"/>
              <w:widowControl w:val="0"/>
              <w:kinsoku/>
              <w:overflowPunct/>
              <w:topLinePunct w:val="0"/>
              <w:autoSpaceDE w:val="0"/>
              <w:autoSpaceDN w:val="0"/>
              <w:bidi w:val="0"/>
              <w:jc w:val="left"/>
              <w:textAlignment w:val="bottom"/>
              <w:outlineLvl w:val="0"/>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pPr>
            <w:bookmarkStart w:id="10" w:name="_Toc24325"/>
            <w:bookmarkStart w:id="11" w:name="_Toc22573"/>
            <w:bookmarkStart w:id="12" w:name="_Toc28085"/>
            <w:bookmarkStart w:id="13" w:name="_Toc10855"/>
            <w:bookmarkStart w:id="14" w:name="_Toc14442"/>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采购编号：</w:t>
            </w:r>
            <w:bookmarkEnd w:id="10"/>
            <w:bookmarkEnd w:id="11"/>
            <w:bookmarkEnd w:id="12"/>
            <w:bookmarkEnd w:id="13"/>
            <w:bookmarkEnd w:id="14"/>
          </w:p>
        </w:tc>
        <w:tc>
          <w:tcPr>
            <w:tcW w:w="6917" w:type="dxa"/>
            <w:vAlign w:val="center"/>
          </w:tcPr>
          <w:p>
            <w:pPr>
              <w:keepNext w:val="0"/>
              <w:keepLines w:val="0"/>
              <w:pageBreakBefore w:val="0"/>
              <w:widowControl w:val="0"/>
              <w:kinsoku/>
              <w:overflowPunct/>
              <w:topLinePunct w:val="0"/>
              <w:autoSpaceDE w:val="0"/>
              <w:autoSpaceDN w:val="0"/>
              <w:bidi w:val="0"/>
              <w:jc w:val="left"/>
              <w:textAlignment w:val="bottom"/>
              <w:outlineLvl w:val="0"/>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pPr>
            <w:bookmarkStart w:id="15" w:name="_Toc10162"/>
            <w:bookmarkStart w:id="16" w:name="_Toc24077"/>
            <w:bookmarkStart w:id="17" w:name="_Toc12242"/>
            <w:bookmarkStart w:id="18" w:name="_Toc3868"/>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浙诚远庆</w:t>
            </w:r>
            <w:r>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t>[2022]070号</w:t>
            </w:r>
            <w:bookmarkEnd w:id="15"/>
            <w:bookmarkEnd w:id="16"/>
            <w:bookmarkEnd w:id="17"/>
            <w:bookmarkEnd w:id="18"/>
          </w:p>
        </w:tc>
      </w:tr>
      <w:tr>
        <w:tblPrEx>
          <w:tblCellMar>
            <w:top w:w="0" w:type="dxa"/>
            <w:left w:w="0" w:type="dxa"/>
            <w:bottom w:w="0" w:type="dxa"/>
            <w:right w:w="0" w:type="dxa"/>
          </w:tblCellMar>
        </w:tblPrEx>
        <w:trPr>
          <w:trHeight w:val="1160" w:hRule="atLeast"/>
          <w:jc w:val="center"/>
        </w:trPr>
        <w:tc>
          <w:tcPr>
            <w:tcW w:w="1804" w:type="dxa"/>
            <w:vAlign w:val="center"/>
          </w:tcPr>
          <w:p>
            <w:pPr>
              <w:keepNext w:val="0"/>
              <w:keepLines w:val="0"/>
              <w:pageBreakBefore w:val="0"/>
              <w:widowControl w:val="0"/>
              <w:kinsoku/>
              <w:overflowPunct/>
              <w:topLinePunct w:val="0"/>
              <w:autoSpaceDE w:val="0"/>
              <w:autoSpaceDN w:val="0"/>
              <w:bidi w:val="0"/>
              <w:jc w:val="left"/>
              <w:textAlignment w:val="bottom"/>
              <w:outlineLvl w:val="0"/>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pPr>
            <w:bookmarkStart w:id="19" w:name="_Toc16562"/>
            <w:bookmarkStart w:id="20" w:name="_Toc30250"/>
            <w:bookmarkStart w:id="21" w:name="_Toc18410"/>
            <w:bookmarkStart w:id="22" w:name="_Toc17706"/>
            <w:bookmarkStart w:id="23" w:name="_Toc15723"/>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项目名称：</w:t>
            </w:r>
            <w:bookmarkEnd w:id="19"/>
            <w:bookmarkEnd w:id="20"/>
            <w:bookmarkEnd w:id="21"/>
            <w:bookmarkEnd w:id="22"/>
            <w:bookmarkEnd w:id="23"/>
          </w:p>
        </w:tc>
        <w:tc>
          <w:tcPr>
            <w:tcW w:w="6917" w:type="dxa"/>
            <w:vAlign w:val="center"/>
          </w:tcPr>
          <w:p>
            <w:pPr>
              <w:keepNext w:val="0"/>
              <w:keepLines w:val="0"/>
              <w:pageBreakBefore w:val="0"/>
              <w:widowControl w:val="0"/>
              <w:kinsoku/>
              <w:overflowPunct/>
              <w:topLinePunct w:val="0"/>
              <w:autoSpaceDE w:val="0"/>
              <w:autoSpaceDN w:val="0"/>
              <w:bidi w:val="0"/>
              <w:jc w:val="left"/>
              <w:textAlignment w:val="bottom"/>
              <w:outlineLvl w:val="0"/>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pPr>
            <w:bookmarkStart w:id="24" w:name="_Toc25247"/>
            <w:bookmarkStart w:id="25" w:name="_Toc6788"/>
            <w:bookmarkStart w:id="26" w:name="_Toc19941"/>
            <w:bookmarkStart w:id="27" w:name="_Toc27814"/>
            <w:r>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t>2022年庆元县食品安全检验检测服务采购项目</w:t>
            </w:r>
            <w:bookmarkEnd w:id="24"/>
            <w:bookmarkEnd w:id="25"/>
            <w:bookmarkEnd w:id="26"/>
            <w:bookmarkEnd w:id="27"/>
          </w:p>
        </w:tc>
      </w:tr>
      <w:tr>
        <w:trPr>
          <w:trHeight w:val="1037" w:hRule="atLeast"/>
          <w:jc w:val="center"/>
        </w:trPr>
        <w:tc>
          <w:tcPr>
            <w:tcW w:w="1804" w:type="dxa"/>
            <w:vAlign w:val="center"/>
          </w:tcPr>
          <w:p>
            <w:pPr>
              <w:keepNext w:val="0"/>
              <w:keepLines w:val="0"/>
              <w:pageBreakBefore w:val="0"/>
              <w:widowControl w:val="0"/>
              <w:kinsoku/>
              <w:overflowPunct/>
              <w:topLinePunct w:val="0"/>
              <w:autoSpaceDE w:val="0"/>
              <w:autoSpaceDN w:val="0"/>
              <w:bidi w:val="0"/>
              <w:jc w:val="left"/>
              <w:textAlignment w:val="bottom"/>
              <w:outlineLvl w:val="0"/>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pPr>
            <w:bookmarkStart w:id="28" w:name="_Toc1899"/>
            <w:bookmarkStart w:id="29" w:name="_Toc20401"/>
            <w:bookmarkStart w:id="30" w:name="_Toc26965"/>
            <w:bookmarkStart w:id="31" w:name="_Toc8450"/>
            <w:bookmarkStart w:id="32" w:name="_Toc555"/>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采 购 人：</w:t>
            </w:r>
            <w:bookmarkEnd w:id="28"/>
            <w:bookmarkEnd w:id="29"/>
            <w:bookmarkEnd w:id="30"/>
            <w:bookmarkEnd w:id="31"/>
            <w:bookmarkEnd w:id="32"/>
          </w:p>
        </w:tc>
        <w:tc>
          <w:tcPr>
            <w:tcW w:w="6917" w:type="dxa"/>
            <w:vAlign w:val="center"/>
          </w:tcPr>
          <w:p>
            <w:pPr>
              <w:keepNext w:val="0"/>
              <w:keepLines w:val="0"/>
              <w:pageBreakBefore w:val="0"/>
              <w:widowControl w:val="0"/>
              <w:kinsoku/>
              <w:overflowPunct/>
              <w:topLinePunct w:val="0"/>
              <w:autoSpaceDE w:val="0"/>
              <w:autoSpaceDN w:val="0"/>
              <w:bidi w:val="0"/>
              <w:jc w:val="left"/>
              <w:textAlignment w:val="bottom"/>
              <w:outlineLvl w:val="0"/>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pPr>
            <w:bookmarkStart w:id="33" w:name="_Toc30186"/>
            <w:bookmarkStart w:id="34" w:name="_Toc13789"/>
            <w:bookmarkStart w:id="35" w:name="_Toc26072"/>
            <w:bookmarkStart w:id="36" w:name="_Toc8938"/>
            <w:r>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t>庆元县市场监督管理局</w:t>
            </w:r>
            <w:bookmarkEnd w:id="33"/>
            <w:bookmarkEnd w:id="34"/>
            <w:bookmarkEnd w:id="35"/>
            <w:bookmarkEnd w:id="36"/>
          </w:p>
        </w:tc>
      </w:tr>
    </w:tbl>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36"/>
        </w:rPr>
      </w:pPr>
    </w:p>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pPr>
        <w:keepNext w:val="0"/>
        <w:keepLines w:val="0"/>
        <w:pageBreakBefore w:val="0"/>
        <w:widowControl w:val="0"/>
        <w:kinsoku/>
        <w:overflowPunct/>
        <w:topLinePunct w:val="0"/>
        <w:autoSpaceDE w:val="0"/>
        <w:autoSpaceDN w:val="0"/>
        <w:bidi w:val="0"/>
        <w:spacing w:line="360" w:lineRule="auto"/>
        <w:jc w:val="center"/>
        <w:textAlignment w:val="bottom"/>
        <w:rPr>
          <w:rFonts w:hint="eastAsia" w:ascii="宋体" w:hAnsi="宋体" w:eastAsia="宋体" w:cs="宋体"/>
          <w:b/>
          <w:color w:val="auto"/>
          <w:sz w:val="18"/>
          <w:szCs w:val="18"/>
        </w:rPr>
      </w:pPr>
    </w:p>
    <w:p>
      <w:pPr>
        <w:pStyle w:val="2"/>
        <w:keepNext w:val="0"/>
        <w:keepLines w:val="0"/>
        <w:pageBreakBefore w:val="0"/>
        <w:widowControl w:val="0"/>
        <w:kinsoku/>
        <w:overflowPunct/>
        <w:topLinePunct w:val="0"/>
        <w:bidi w:val="0"/>
        <w:rPr>
          <w:rFonts w:hint="eastAsia" w:ascii="宋体" w:hAnsi="宋体" w:eastAsia="宋体" w:cs="宋体"/>
          <w:color w:val="auto"/>
        </w:rPr>
      </w:pPr>
    </w:p>
    <w:p>
      <w:pPr>
        <w:pStyle w:val="2"/>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pPr>
      <w:bookmarkStart w:id="37" w:name="_Toc28987"/>
      <w:bookmarkStart w:id="38" w:name="_Toc430"/>
      <w:bookmarkStart w:id="39" w:name="_Toc16059"/>
      <w:bookmarkStart w:id="40" w:name="_Toc2706"/>
      <w:bookmarkStart w:id="41" w:name="_Toc31731"/>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采购代理机构：</w:t>
      </w:r>
      <w:bookmarkEnd w:id="37"/>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浙江诚远工程咨询有限公司</w:t>
      </w:r>
      <w:bookmarkEnd w:id="38"/>
      <w:bookmarkEnd w:id="39"/>
      <w:bookmarkEnd w:id="40"/>
      <w:bookmarkEnd w:id="41"/>
    </w:p>
    <w:p>
      <w:pPr>
        <w:keepNext w:val="0"/>
        <w:keepLines w:val="0"/>
        <w:pageBreakBefore w:val="0"/>
        <w:widowControl w:val="0"/>
        <w:kinsoku/>
        <w:overflowPunct/>
        <w:topLinePunct w:val="0"/>
        <w:autoSpaceDE w:val="0"/>
        <w:autoSpaceDN w:val="0"/>
        <w:bidi w:val="0"/>
        <w:spacing w:line="360" w:lineRule="auto"/>
        <w:jc w:val="center"/>
        <w:textAlignment w:val="bottom"/>
        <w:outlineLvl w:val="0"/>
        <w:rPr>
          <w:rFonts w:hint="eastAsia" w:ascii="宋体" w:hAnsi="宋体" w:eastAsia="宋体" w:cs="宋体"/>
          <w:b/>
          <w:color w:val="auto"/>
        </w:rPr>
        <w:sectPr>
          <w:headerReference r:id="rId3"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linePitch="312" w:charSpace="0"/>
        </w:sectPr>
      </w:pPr>
      <w:bookmarkStart w:id="42" w:name="_Toc2973"/>
      <w:bookmarkStart w:id="43" w:name="_Toc8011"/>
      <w:bookmarkStart w:id="44" w:name="_Toc26485"/>
      <w:bookmarkStart w:id="45" w:name="_Toc24951"/>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二〇二</w:t>
      </w:r>
      <w:r>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t>二</w:t>
      </w:r>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年</w:t>
      </w:r>
      <w:r>
        <w:rPr>
          <w:rFonts w:hint="eastAsia" w:ascii="宋体" w:hAnsi="宋体" w:eastAsia="宋体" w:cs="宋体"/>
          <w:b/>
          <w:color w:val="auto"/>
          <w:sz w:val="34"/>
          <w:szCs w:val="34"/>
          <w:lang w:eastAsia="zh-CN"/>
          <w14:shadow w14:blurRad="50800" w14:dist="38100" w14:dir="2700000" w14:sx="100000" w14:sy="100000" w14:kx="0" w14:ky="0" w14:algn="tl">
            <w14:srgbClr w14:val="000000">
              <w14:alpha w14:val="60000"/>
            </w14:srgbClr>
          </w14:shadow>
        </w:rPr>
        <w:t>九</w:t>
      </w:r>
      <w:r>
        <w:rPr>
          <w:rFonts w:hint="eastAsia" w:ascii="宋体" w:hAnsi="宋体" w:eastAsia="宋体" w:cs="宋体"/>
          <w:b/>
          <w:color w:val="auto"/>
          <w:sz w:val="34"/>
          <w:szCs w:val="34"/>
          <w14:shadow w14:blurRad="50800" w14:dist="38100" w14:dir="2700000" w14:sx="100000" w14:sy="100000" w14:kx="0" w14:ky="0" w14:algn="tl">
            <w14:srgbClr w14:val="000000">
              <w14:alpha w14:val="60000"/>
            </w14:srgbClr>
          </w14:shadow>
        </w:rPr>
        <w:t>月</w:t>
      </w:r>
      <w:bookmarkEnd w:id="42"/>
      <w:sdt>
        <w:sdtPr>
          <w:rPr>
            <w:rFonts w:hint="eastAsia" w:ascii="宋体" w:hAnsi="宋体" w:eastAsia="宋体" w:cs="宋体"/>
            <w:color w:val="auto"/>
          </w:rPr>
          <w:id w:val="147469861"/>
          <w:showingPlcHdr/>
        </w:sdtPr>
        <w:sdtEndPr>
          <w:rPr>
            <w:rFonts w:hint="eastAsia" w:ascii="宋体" w:hAnsi="宋体" w:eastAsia="宋体" w:cs="宋体"/>
            <w:b/>
            <w:color w:val="auto"/>
          </w:rPr>
        </w:sdtEndPr>
        <w:sdtContent/>
      </w:sdt>
      <w:bookmarkEnd w:id="43"/>
      <w:bookmarkEnd w:id="44"/>
      <w:bookmarkEnd w:id="45"/>
    </w:p>
    <w:sdt>
      <w:sdtPr>
        <w:rPr>
          <w:rFonts w:hint="eastAsia" w:ascii="宋体" w:hAnsi="宋体" w:eastAsia="宋体" w:cs="宋体"/>
          <w:color w:val="auto"/>
          <w:kern w:val="2"/>
          <w:sz w:val="21"/>
          <w:szCs w:val="22"/>
          <w:lang w:val="en-US" w:eastAsia="zh-CN" w:bidi="ar-SA"/>
        </w:rPr>
        <w:id w:val="147463746"/>
        <w15:color w:val="DBDBDB"/>
        <w:docPartObj>
          <w:docPartGallery w:val="Table of Contents"/>
          <w:docPartUnique/>
        </w:docPartObj>
      </w:sdtPr>
      <w:sdtEndPr>
        <w:rPr>
          <w:rFonts w:hint="eastAsia" w:ascii="宋体" w:hAnsi="宋体" w:eastAsia="宋体" w:cs="宋体"/>
          <w:color w:val="auto"/>
          <w:kern w:val="2"/>
          <w:sz w:val="21"/>
          <w:szCs w:val="22"/>
          <w:lang w:val="en-US" w:eastAsia="zh-CN" w:bidi="ar-SA"/>
        </w:rPr>
      </w:sdtEndPr>
      <w:sdtContent>
        <w:p>
          <w:pPr>
            <w:keepNext w:val="0"/>
            <w:keepLines w:val="0"/>
            <w:pageBreakBefore w:val="0"/>
            <w:widowControl w:val="0"/>
            <w:kinsoku/>
            <w:overflowPunct/>
            <w:topLinePunct w:val="0"/>
            <w:bidi w:val="0"/>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40"/>
            </w:rPr>
          </w:pPr>
          <w:r>
            <w:rPr>
              <w:rFonts w:hint="eastAsia" w:ascii="宋体" w:hAnsi="宋体" w:eastAsia="宋体" w:cs="宋体"/>
              <w:b/>
              <w:bCs/>
              <w:color w:val="auto"/>
              <w:sz w:val="36"/>
              <w:szCs w:val="40"/>
            </w:rPr>
            <w:t>目</w:t>
          </w:r>
          <w:r>
            <w:rPr>
              <w:rFonts w:hint="eastAsia" w:ascii="宋体" w:hAnsi="宋体" w:eastAsia="宋体" w:cs="宋体"/>
              <w:b/>
              <w:bCs/>
              <w:color w:val="auto"/>
              <w:sz w:val="36"/>
              <w:szCs w:val="40"/>
              <w:lang w:val="en-US" w:eastAsia="zh-CN"/>
            </w:rPr>
            <w:t xml:space="preserve">  </w:t>
          </w:r>
          <w:r>
            <w:rPr>
              <w:rFonts w:hint="eastAsia" w:ascii="宋体" w:hAnsi="宋体" w:eastAsia="宋体" w:cs="宋体"/>
              <w:b/>
              <w:bCs/>
              <w:color w:val="auto"/>
              <w:sz w:val="36"/>
              <w:szCs w:val="40"/>
            </w:rPr>
            <w:t>录</w:t>
          </w:r>
        </w:p>
        <w:p>
          <w:pPr>
            <w:pStyle w:val="105"/>
            <w:keepNext w:val="0"/>
            <w:keepLines w:val="0"/>
            <w:pageBreakBefore w:val="0"/>
            <w:widowControl w:val="0"/>
            <w:tabs>
              <w:tab w:val="right" w:leader="dot" w:pos="9072"/>
            </w:tabs>
            <w:kinsoku/>
            <w:overflowPunct/>
            <w:topLinePunct w:val="0"/>
            <w:bidi w:val="0"/>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TOC \o "1-3" \h \u </w:instrText>
          </w:r>
          <w:r>
            <w:rPr>
              <w:rFonts w:hint="eastAsia" w:ascii="宋体" w:hAnsi="宋体" w:eastAsia="宋体" w:cs="宋体"/>
              <w:color w:val="auto"/>
            </w:rPr>
            <w:fldChar w:fldCharType="separate"/>
          </w:r>
        </w:p>
        <w:p>
          <w:pPr>
            <w:pStyle w:val="106"/>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0" w:firstLineChars="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_Toc14272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48"/>
            </w:rPr>
            <w:t>第一章   竞争性磋商公告</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fldChar w:fldCharType="end"/>
          </w:r>
        </w:p>
        <w:p>
          <w:pPr>
            <w:pStyle w:val="106"/>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_Toc25530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48"/>
            </w:rPr>
            <w:t>第二章  供应商须知</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_Toc3839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36"/>
            </w:rPr>
            <w:t>前附表</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_Toc14774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一  总则</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_Toc11129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二  磋商文件说明</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_Toc25179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三  响应文件的编制</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_Toc6082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四  响应文件的加密、提交、修改和撤回</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0</w:t>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_Toc28234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五  开标和磋商评审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_Toc28234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_Toc1305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六  磋商无效的情形</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_Toc12800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七  法律责任</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_Toc12800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_Toc31519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八  澄清、修改发布媒体</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_Toc5622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九  质疑</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6</w:t>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_Toc461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十  投诉</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_Toc2276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十一  授予合同</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7</w:t>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_Toc20773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十二  验收</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8</w:t>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_Toc28616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十三  政府采购政策</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8</w:t>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_Toc7655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十四  其他事项</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val="en-US" w:eastAsia="zh-CN"/>
            </w:rPr>
            <w:t>0</w:t>
          </w:r>
        </w:p>
        <w:p>
          <w:pPr>
            <w:pStyle w:val="106"/>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_Toc16458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160"/>
            </w:rPr>
            <w:t>第三章  采购需求</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PAGEREF _Toc16458 \h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fldChar w:fldCharType="end"/>
          </w:r>
          <w:r>
            <w:rPr>
              <w:rFonts w:hint="eastAsia" w:ascii="宋体" w:hAnsi="宋体" w:eastAsia="宋体" w:cs="宋体"/>
              <w:b/>
              <w:bCs/>
              <w:color w:val="auto"/>
              <w:sz w:val="24"/>
              <w:szCs w:val="24"/>
            </w:rPr>
            <w:fldChar w:fldCharType="end"/>
          </w:r>
        </w:p>
        <w:p>
          <w:pPr>
            <w:pStyle w:val="105"/>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_Toc28309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48"/>
            </w:rPr>
            <w:t>第四章  政府采购合同格式（范本）</w:t>
          </w:r>
          <w:r>
            <w:rPr>
              <w:rFonts w:hint="eastAsia" w:ascii="宋体" w:hAnsi="宋体" w:eastAsia="宋体" w:cs="宋体"/>
              <w:b/>
              <w:bCs/>
              <w:color w:val="auto"/>
              <w:sz w:val="24"/>
              <w:szCs w:val="24"/>
            </w:rPr>
            <w:tab/>
          </w:r>
          <w:r>
            <w:rPr>
              <w:rFonts w:hint="eastAsia" w:ascii="宋体" w:hAnsi="宋体" w:cs="宋体"/>
              <w:b/>
              <w:bCs/>
              <w:color w:val="auto"/>
              <w:sz w:val="24"/>
              <w:szCs w:val="24"/>
              <w:lang w:val="en-US" w:eastAsia="zh-CN"/>
            </w:rPr>
            <w:t>45</w:t>
          </w:r>
          <w:r>
            <w:rPr>
              <w:rFonts w:hint="eastAsia" w:ascii="宋体" w:hAnsi="宋体" w:eastAsia="宋体" w:cs="宋体"/>
              <w:b/>
              <w:bCs/>
              <w:color w:val="auto"/>
              <w:sz w:val="24"/>
              <w:szCs w:val="24"/>
            </w:rPr>
            <w:fldChar w:fldCharType="end"/>
          </w:r>
        </w:p>
        <w:p>
          <w:pPr>
            <w:pStyle w:val="106"/>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_Toc19886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160"/>
            </w:rPr>
            <w:t>第五章</w:t>
          </w:r>
          <w:r>
            <w:rPr>
              <w:rFonts w:hint="eastAsia" w:ascii="宋体" w:hAnsi="宋体" w:eastAsia="宋体" w:cs="宋体"/>
              <w:b/>
              <w:bCs/>
              <w:color w:val="auto"/>
              <w:sz w:val="24"/>
              <w:szCs w:val="160"/>
              <w:lang w:val="en-US" w:eastAsia="zh-CN"/>
            </w:rPr>
            <w:t xml:space="preserve">  </w:t>
          </w:r>
          <w:r>
            <w:rPr>
              <w:rFonts w:hint="eastAsia" w:ascii="宋体" w:hAnsi="宋体" w:eastAsia="宋体" w:cs="宋体"/>
              <w:b/>
              <w:bCs/>
              <w:color w:val="auto"/>
              <w:sz w:val="24"/>
              <w:szCs w:val="160"/>
            </w:rPr>
            <w:t>磋商相关文件格式</w:t>
          </w:r>
          <w:r>
            <w:rPr>
              <w:rFonts w:hint="eastAsia" w:ascii="宋体" w:hAnsi="宋体" w:eastAsia="宋体" w:cs="宋体"/>
              <w:b/>
              <w:bCs/>
              <w:color w:val="auto"/>
              <w:sz w:val="24"/>
              <w:szCs w:val="24"/>
            </w:rPr>
            <w:tab/>
          </w:r>
          <w:r>
            <w:rPr>
              <w:rFonts w:hint="eastAsia" w:ascii="宋体" w:hAnsi="宋体" w:cs="宋体"/>
              <w:b/>
              <w:bCs/>
              <w:color w:val="auto"/>
              <w:sz w:val="24"/>
              <w:szCs w:val="24"/>
              <w:lang w:val="en-US" w:eastAsia="zh-CN"/>
            </w:rPr>
            <w:t>50</w:t>
          </w:r>
          <w:r>
            <w:rPr>
              <w:rFonts w:hint="eastAsia" w:ascii="宋体" w:hAnsi="宋体" w:eastAsia="宋体" w:cs="宋体"/>
              <w:b/>
              <w:bCs/>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_Toc32430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rPr>
            <w:t>一  资格审查文件格式</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50</w:t>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_Toc11055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8"/>
            </w:rPr>
            <w:t>二  资信商务及技术文件格式</w:t>
          </w:r>
          <w:r>
            <w:rPr>
              <w:rFonts w:hint="eastAsia" w:ascii="宋体" w:hAnsi="宋体" w:eastAsia="宋体" w:cs="宋体"/>
              <w:color w:val="auto"/>
              <w:sz w:val="24"/>
              <w:szCs w:val="24"/>
            </w:rPr>
            <w:tab/>
          </w:r>
          <w:r>
            <w:rPr>
              <w:rFonts w:hint="eastAsia" w:ascii="宋体" w:hAnsi="宋体" w:cs="宋体"/>
              <w:color w:val="auto"/>
              <w:sz w:val="24"/>
              <w:szCs w:val="24"/>
              <w:lang w:val="en-US" w:eastAsia="zh-CN"/>
            </w:rPr>
            <w:t>60</w:t>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_Toc31490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36"/>
            </w:rPr>
            <w:t>三  报价文件格式</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6</w:t>
          </w:r>
        </w:p>
        <w:p>
          <w:pPr>
            <w:pStyle w:val="106"/>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fldChar w:fldCharType="begin"/>
          </w:r>
          <w:r>
            <w:rPr>
              <w:rFonts w:hint="eastAsia" w:ascii="宋体" w:hAnsi="宋体" w:eastAsia="宋体" w:cs="宋体"/>
              <w:b/>
              <w:bCs/>
              <w:color w:val="auto"/>
              <w:sz w:val="24"/>
              <w:szCs w:val="24"/>
            </w:rPr>
            <w:instrText xml:space="preserve"> HYPERLINK \l _Toc13301 </w:instrText>
          </w:r>
          <w:r>
            <w:rPr>
              <w:rFonts w:hint="eastAsia" w:ascii="宋体" w:hAnsi="宋体" w:eastAsia="宋体" w:cs="宋体"/>
              <w:b/>
              <w:bCs/>
              <w:color w:val="auto"/>
              <w:sz w:val="24"/>
              <w:szCs w:val="24"/>
            </w:rPr>
            <w:fldChar w:fldCharType="separate"/>
          </w:r>
          <w:r>
            <w:rPr>
              <w:rFonts w:hint="eastAsia" w:ascii="宋体" w:hAnsi="宋体" w:eastAsia="宋体" w:cs="宋体"/>
              <w:b/>
              <w:bCs/>
              <w:color w:val="auto"/>
              <w:sz w:val="24"/>
              <w:szCs w:val="48"/>
            </w:rPr>
            <w:t>第六章  磋商办法和细则</w:t>
          </w:r>
          <w:r>
            <w:rPr>
              <w:rFonts w:hint="eastAsia" w:ascii="宋体" w:hAnsi="宋体" w:eastAsia="宋体" w:cs="宋体"/>
              <w:b/>
              <w:bCs/>
              <w:color w:val="auto"/>
              <w:sz w:val="24"/>
              <w:szCs w:val="24"/>
            </w:rPr>
            <w:tab/>
          </w: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fldChar w:fldCharType="end"/>
          </w:r>
          <w:r>
            <w:rPr>
              <w:rFonts w:hint="eastAsia" w:ascii="宋体" w:hAnsi="宋体" w:cs="宋体"/>
              <w:b/>
              <w:bCs/>
              <w:color w:val="auto"/>
              <w:sz w:val="24"/>
              <w:szCs w:val="24"/>
              <w:lang w:val="en-US" w:eastAsia="zh-CN"/>
            </w:rPr>
            <w:t>2</w:t>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_Toc9865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一  总则</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w:t>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_Toc8997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二   磋商小组</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2</w:t>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_Toc19589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三   磋商程序</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3</w:t>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_Toc19279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四   磋商内容及规定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_Toc19279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_Toc1579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五   评标办法和细则</w:t>
          </w:r>
          <w:r>
            <w:rPr>
              <w:rFonts w:hint="eastAsia" w:ascii="宋体" w:hAnsi="宋体" w:eastAsia="宋体" w:cs="宋体"/>
              <w:bCs/>
              <w:color w:val="auto"/>
              <w:sz w:val="24"/>
              <w:szCs w:val="40"/>
              <w:lang w:eastAsia="zh-CN"/>
            </w:rPr>
            <w:t>（标项一</w:t>
          </w:r>
          <w:r>
            <w:rPr>
              <w:rFonts w:hint="eastAsia" w:ascii="宋体" w:hAnsi="宋体" w:eastAsia="宋体" w:cs="宋体"/>
              <w:bCs/>
              <w:color w:val="auto"/>
              <w:sz w:val="24"/>
              <w:szCs w:val="40"/>
              <w:lang w:val="en-US" w:eastAsia="zh-CN"/>
            </w:rPr>
            <w:t>/标项二/标项三）</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_Toc1579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7</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22"/>
            <w:keepNext w:val="0"/>
            <w:keepLines w:val="0"/>
            <w:pageBreakBefore w:val="0"/>
            <w:widowControl w:val="0"/>
            <w:tabs>
              <w:tab w:val="right" w:leader="dot" w:pos="9072"/>
            </w:tabs>
            <w:kinsoku/>
            <w:wordWrap/>
            <w:overflowPunct/>
            <w:topLinePunct w:val="0"/>
            <w:autoSpaceDE/>
            <w:autoSpaceDN/>
            <w:bidi w:val="0"/>
            <w:adjustRightInd/>
            <w:snapToGrid w:val="0"/>
            <w:spacing w:line="420" w:lineRule="exact"/>
            <w:ind w:left="0" w:leftChars="0" w:firstLine="480" w:firstLineChars="200"/>
            <w:textAlignment w:val="auto"/>
            <w:rPr>
              <w:rFonts w:hint="eastAsia" w:ascii="宋体" w:hAnsi="宋体" w:eastAsia="宋体" w:cs="宋体"/>
              <w:color w:val="auto"/>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_Toc20609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40"/>
            </w:rPr>
            <w:t>六   磋商纪律和要求</w:t>
          </w:r>
          <w:r>
            <w:rPr>
              <w:rFonts w:hint="eastAsia" w:ascii="宋体" w:hAnsi="宋体" w:eastAsia="宋体" w:cs="宋体"/>
              <w:color w:val="auto"/>
              <w:sz w:val="24"/>
              <w:szCs w:val="24"/>
            </w:rPr>
            <w:tab/>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fldChar w:fldCharType="end"/>
          </w:r>
          <w:r>
            <w:rPr>
              <w:rFonts w:hint="eastAsia" w:ascii="宋体" w:hAnsi="宋体" w:cs="宋体"/>
              <w:color w:val="auto"/>
              <w:sz w:val="24"/>
              <w:szCs w:val="24"/>
              <w:lang w:val="en-US" w:eastAsia="zh-CN"/>
            </w:rPr>
            <w:t>8</w:t>
          </w:r>
        </w:p>
        <w:p>
          <w:pPr>
            <w:keepNext w:val="0"/>
            <w:keepLines w:val="0"/>
            <w:pageBreakBefore w:val="0"/>
            <w:widowControl w:val="0"/>
            <w:kinsoku/>
            <w:overflowPunct/>
            <w:topLinePunct w:val="0"/>
            <w:bidi w:val="0"/>
            <w:rPr>
              <w:rFonts w:hint="eastAsia" w:ascii="宋体" w:hAnsi="宋体" w:eastAsia="宋体" w:cs="宋体"/>
              <w:color w:val="auto"/>
            </w:rPr>
            <w:sectPr>
              <w:headerReference r:id="rId4" w:type="default"/>
              <w:footerReference r:id="rId5" w:type="default"/>
              <w:pgSz w:w="11906" w:h="16838"/>
              <w:pgMar w:top="1417" w:right="1417" w:bottom="124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宋体" w:hAnsi="宋体" w:eastAsia="宋体" w:cs="宋体"/>
              <w:color w:val="auto"/>
            </w:rPr>
            <w:fldChar w:fldCharType="end"/>
          </w:r>
        </w:p>
      </w:sdtContent>
    </w:sdt>
    <w:p>
      <w:pPr>
        <w:pStyle w:val="5"/>
        <w:keepNext w:val="0"/>
        <w:keepLines w:val="0"/>
        <w:pageBreakBefore w:val="0"/>
        <w:widowControl w:val="0"/>
        <w:kinsoku/>
        <w:wordWrap/>
        <w:overflowPunct/>
        <w:topLinePunct w:val="0"/>
        <w:bidi w:val="0"/>
        <w:spacing w:after="0" w:line="500" w:lineRule="exact"/>
        <w:ind w:left="0"/>
        <w:jc w:val="center"/>
        <w:outlineLvl w:val="0"/>
        <w:rPr>
          <w:rFonts w:hint="eastAsia" w:ascii="宋体" w:hAnsi="宋体" w:eastAsia="宋体" w:cs="宋体"/>
          <w:b/>
          <w:bCs/>
          <w:color w:val="auto"/>
          <w:sz w:val="36"/>
          <w:szCs w:val="36"/>
        </w:rPr>
      </w:pPr>
      <w:bookmarkStart w:id="46" w:name="_Toc14272"/>
      <w:r>
        <w:rPr>
          <w:rFonts w:hint="eastAsia" w:ascii="宋体" w:hAnsi="宋体" w:eastAsia="宋体" w:cs="宋体"/>
          <w:b/>
          <w:bCs/>
          <w:color w:val="auto"/>
          <w:sz w:val="36"/>
          <w:szCs w:val="36"/>
        </w:rPr>
        <w:t xml:space="preserve">第一章  </w:t>
      </w:r>
      <w:bookmarkStart w:id="47" w:name="_Toc145493460"/>
      <w:bookmarkStart w:id="48" w:name="_Toc391969407"/>
      <w:bookmarkStart w:id="49" w:name="_Toc28227"/>
      <w:bookmarkStart w:id="50" w:name="_Toc26903"/>
      <w:bookmarkStart w:id="51" w:name="_Toc51317766"/>
      <w:bookmarkStart w:id="52" w:name="_Toc50448805"/>
      <w:bookmarkStart w:id="53" w:name="_Toc391969408"/>
      <w:r>
        <w:rPr>
          <w:rFonts w:hint="eastAsia" w:ascii="宋体" w:hAnsi="宋体" w:eastAsia="宋体" w:cs="宋体"/>
          <w:b/>
          <w:bCs/>
          <w:color w:val="auto"/>
          <w:sz w:val="36"/>
          <w:szCs w:val="36"/>
        </w:rPr>
        <w:t xml:space="preserve"> 竞争性磋商</w:t>
      </w:r>
      <w:bookmarkEnd w:id="47"/>
      <w:bookmarkEnd w:id="48"/>
      <w:r>
        <w:rPr>
          <w:rFonts w:hint="eastAsia" w:ascii="宋体" w:hAnsi="宋体" w:eastAsia="宋体" w:cs="宋体"/>
          <w:b/>
          <w:bCs/>
          <w:color w:val="auto"/>
          <w:sz w:val="36"/>
          <w:szCs w:val="36"/>
        </w:rPr>
        <w:t>公告</w:t>
      </w:r>
      <w:bookmarkEnd w:id="46"/>
      <w:bookmarkEnd w:id="49"/>
      <w:bookmarkEnd w:id="50"/>
      <w:bookmarkEnd w:id="51"/>
      <w:bookmarkEnd w:id="52"/>
    </w:p>
    <w:p>
      <w:pPr>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pBdr>
          <w:top w:val="single" w:color="auto" w:sz="4" w:space="0"/>
          <w:left w:val="single" w:color="auto" w:sz="4" w:space="4"/>
          <w:bottom w:val="single" w:color="auto" w:sz="4" w:space="1"/>
          <w:right w:val="single" w:color="auto" w:sz="4" w:space="10"/>
        </w:pBdr>
        <w:kinsoku/>
        <w:overflowPunct/>
        <w:topLinePunct w:val="0"/>
        <w:bidi w:val="0"/>
        <w:spacing w:line="4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项目概况：</w:t>
      </w:r>
    </w:p>
    <w:p>
      <w:pPr>
        <w:keepNext w:val="0"/>
        <w:keepLines w:val="0"/>
        <w:pageBreakBefore w:val="0"/>
        <w:widowControl w:val="0"/>
        <w:pBdr>
          <w:top w:val="single" w:color="auto" w:sz="4" w:space="0"/>
          <w:left w:val="single" w:color="auto" w:sz="4" w:space="4"/>
          <w:bottom w:val="single" w:color="auto" w:sz="4" w:space="1"/>
          <w:right w:val="single" w:color="auto" w:sz="4" w:space="10"/>
        </w:pBdr>
        <w:kinsoku/>
        <w:overflowPunct/>
        <w:topLinePunct w:val="0"/>
        <w:bidi w:val="0"/>
        <w:spacing w:line="46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u w:val="single"/>
          <w:lang w:eastAsia="zh-CN"/>
        </w:rPr>
        <w:t>2022年庆元县食品安全检验检测服务采购项目</w:t>
      </w:r>
      <w:r>
        <w:rPr>
          <w:rFonts w:hint="eastAsia" w:ascii="宋体" w:hAnsi="宋体" w:eastAsia="宋体" w:cs="宋体"/>
          <w:snapToGrid w:val="0"/>
          <w:color w:val="auto"/>
          <w:kern w:val="0"/>
          <w:sz w:val="24"/>
          <w:szCs w:val="24"/>
        </w:rPr>
        <w:t>潜在</w:t>
      </w:r>
      <w:r>
        <w:rPr>
          <w:rFonts w:hint="eastAsia" w:ascii="宋体" w:hAnsi="宋体" w:eastAsia="宋体" w:cs="宋体"/>
          <w:snapToGrid w:val="0"/>
          <w:color w:val="auto"/>
          <w:kern w:val="0"/>
          <w:sz w:val="24"/>
          <w:szCs w:val="24"/>
          <w:lang w:eastAsia="zh-CN"/>
        </w:rPr>
        <w:t>供应商</w:t>
      </w:r>
      <w:r>
        <w:rPr>
          <w:rFonts w:hint="eastAsia" w:ascii="宋体" w:hAnsi="宋体" w:eastAsia="宋体" w:cs="宋体"/>
          <w:snapToGrid w:val="0"/>
          <w:color w:val="auto"/>
          <w:kern w:val="0"/>
          <w:sz w:val="24"/>
          <w:szCs w:val="24"/>
        </w:rPr>
        <w:t>应在浙江政府采购网（zfcg.czt.zj.gov.cn），丽水市公共资源交易网（lssggzy.lishui.gov.cn）采购公告附件中自行获取招标文件，</w:t>
      </w:r>
      <w:r>
        <w:rPr>
          <w:rFonts w:hint="eastAsia" w:ascii="宋体" w:hAnsi="宋体" w:eastAsia="宋体" w:cs="宋体"/>
          <w:snapToGrid w:val="0"/>
          <w:color w:val="auto"/>
          <w:kern w:val="0"/>
          <w:sz w:val="24"/>
          <w:szCs w:val="24"/>
          <w:highlight w:val="none"/>
        </w:rPr>
        <w:t>并于</w:t>
      </w:r>
      <w:r>
        <w:rPr>
          <w:rFonts w:hint="eastAsia" w:ascii="宋体" w:hAnsi="宋体" w:eastAsia="宋体" w:cs="宋体"/>
          <w:snapToGrid w:val="0"/>
          <w:color w:val="auto"/>
          <w:kern w:val="0"/>
          <w:sz w:val="24"/>
          <w:szCs w:val="24"/>
          <w:highlight w:val="none"/>
          <w:lang w:eastAsia="zh-CN"/>
        </w:rPr>
        <w:t>2022年</w:t>
      </w:r>
      <w:r>
        <w:rPr>
          <w:rFonts w:hint="eastAsia" w:ascii="宋体" w:hAnsi="宋体" w:eastAsia="宋体" w:cs="宋体"/>
          <w:snapToGrid w:val="0"/>
          <w:color w:val="auto"/>
          <w:kern w:val="0"/>
          <w:sz w:val="24"/>
          <w:szCs w:val="24"/>
          <w:highlight w:val="none"/>
          <w:lang w:val="en-US" w:eastAsia="zh-CN"/>
        </w:rPr>
        <w:t>10月10</w:t>
      </w:r>
      <w:r>
        <w:rPr>
          <w:rFonts w:hint="eastAsia" w:ascii="宋体" w:hAnsi="宋体" w:eastAsia="宋体" w:cs="宋体"/>
          <w:snapToGrid w:val="0"/>
          <w:color w:val="auto"/>
          <w:kern w:val="0"/>
          <w:sz w:val="24"/>
          <w:szCs w:val="24"/>
          <w:highlight w:val="none"/>
          <w:lang w:eastAsia="zh-CN"/>
        </w:rPr>
        <w:t>日</w:t>
      </w:r>
      <w:r>
        <w:rPr>
          <w:rFonts w:hint="eastAsia" w:ascii="宋体" w:hAnsi="宋体" w:eastAsia="宋体" w:cs="宋体"/>
          <w:snapToGrid w:val="0"/>
          <w:color w:val="auto"/>
          <w:kern w:val="0"/>
          <w:sz w:val="24"/>
          <w:szCs w:val="24"/>
          <w:highlight w:val="none"/>
        </w:rPr>
        <w:t>09</w:t>
      </w:r>
      <w:r>
        <w:rPr>
          <w:rFonts w:hint="eastAsia" w:ascii="宋体" w:hAnsi="宋体" w:eastAsia="宋体" w:cs="宋体"/>
          <w:bCs/>
          <w:snapToGrid w:val="0"/>
          <w:color w:val="auto"/>
          <w:kern w:val="0"/>
          <w:sz w:val="24"/>
          <w:szCs w:val="24"/>
          <w:highlight w:val="none"/>
        </w:rPr>
        <w:t>:</w:t>
      </w:r>
      <w:r>
        <w:rPr>
          <w:rFonts w:hint="eastAsia" w:ascii="宋体" w:hAnsi="宋体" w:eastAsia="宋体" w:cs="宋体"/>
          <w:snapToGrid w:val="0"/>
          <w:color w:val="auto"/>
          <w:kern w:val="0"/>
          <w:sz w:val="24"/>
          <w:szCs w:val="24"/>
          <w:highlight w:val="none"/>
        </w:rPr>
        <w:t>00（北京</w:t>
      </w:r>
      <w:r>
        <w:rPr>
          <w:rFonts w:hint="eastAsia" w:ascii="宋体" w:hAnsi="宋体" w:eastAsia="宋体" w:cs="宋体"/>
          <w:snapToGrid w:val="0"/>
          <w:color w:val="auto"/>
          <w:kern w:val="0"/>
          <w:sz w:val="24"/>
          <w:szCs w:val="24"/>
        </w:rPr>
        <w:t>时间）前提交投标文件。</w:t>
      </w:r>
    </w:p>
    <w:p>
      <w:pPr>
        <w:pStyle w:val="5"/>
        <w:keepNext w:val="0"/>
        <w:keepLines w:val="0"/>
        <w:pageBreakBefore w:val="0"/>
        <w:widowControl w:val="0"/>
        <w:kinsoku/>
        <w:overflowPunct/>
        <w:topLinePunct w:val="0"/>
        <w:bidi w:val="0"/>
        <w:snapToGrid w:val="0"/>
        <w:spacing w:after="0" w:line="460" w:lineRule="exact"/>
        <w:ind w:left="0"/>
        <w:jc w:val="left"/>
        <w:rPr>
          <w:rFonts w:hint="eastAsia" w:ascii="宋体" w:hAnsi="宋体" w:eastAsia="宋体" w:cs="宋体"/>
          <w:b/>
          <w:bCs/>
          <w:color w:val="auto"/>
          <w:sz w:val="24"/>
          <w:szCs w:val="24"/>
        </w:rPr>
      </w:pPr>
      <w:bookmarkStart w:id="54" w:name="_Toc45525443"/>
      <w:bookmarkStart w:id="55" w:name="_Toc51317767"/>
      <w:bookmarkStart w:id="56" w:name="_Toc22102"/>
      <w:bookmarkStart w:id="57" w:name="_Toc17952"/>
      <w:bookmarkStart w:id="58" w:name="_Toc28359089"/>
      <w:bookmarkStart w:id="59" w:name="_Toc2451"/>
      <w:bookmarkStart w:id="60" w:name="_Toc35393798"/>
      <w:bookmarkStart w:id="61" w:name="_Toc16823"/>
      <w:bookmarkStart w:id="62" w:name="_Toc35393629"/>
      <w:bookmarkStart w:id="63" w:name="_Toc45640129"/>
      <w:bookmarkStart w:id="64" w:name="_Toc45525492"/>
      <w:bookmarkStart w:id="65" w:name="_Toc28359012"/>
      <w:r>
        <w:rPr>
          <w:rFonts w:hint="eastAsia" w:ascii="宋体" w:hAnsi="宋体" w:eastAsia="宋体" w:cs="宋体"/>
          <w:b/>
          <w:bCs/>
          <w:color w:val="auto"/>
          <w:sz w:val="24"/>
          <w:szCs w:val="24"/>
        </w:rPr>
        <w:t>一、项目基本情况</w:t>
      </w:r>
      <w:bookmarkEnd w:id="54"/>
      <w:bookmarkEnd w:id="55"/>
      <w:bookmarkEnd w:id="56"/>
      <w:bookmarkEnd w:id="57"/>
      <w:bookmarkEnd w:id="58"/>
      <w:bookmarkEnd w:id="59"/>
      <w:bookmarkEnd w:id="60"/>
      <w:bookmarkEnd w:id="61"/>
      <w:bookmarkEnd w:id="62"/>
      <w:bookmarkEnd w:id="63"/>
      <w:bookmarkEnd w:id="64"/>
      <w:bookmarkEnd w:id="65"/>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项目编号：浙诚远庆</w:t>
      </w:r>
      <w:r>
        <w:rPr>
          <w:rFonts w:hint="eastAsia" w:ascii="宋体" w:hAnsi="宋体" w:eastAsia="宋体" w:cs="宋体"/>
          <w:color w:val="auto"/>
          <w:sz w:val="24"/>
          <w:szCs w:val="24"/>
          <w:lang w:eastAsia="zh-CN"/>
        </w:rPr>
        <w:t>[2022]070号</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项目名称：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"https://bidding.zcygov.cn/xmgl/projectQuery/queryDetail?projectUuid=5c859e260a927c18" \l "/purchaseFileMake/_blank" \t "https://www.zcygov.cn/bidding-entrust/" </w:instrText>
      </w:r>
      <w:r>
        <w:rPr>
          <w:rFonts w:hint="eastAsia" w:ascii="宋体" w:hAnsi="宋体" w:eastAsia="宋体" w:cs="宋体"/>
          <w:color w:val="auto"/>
        </w:rPr>
        <w:fldChar w:fldCharType="separate"/>
      </w:r>
      <w:r>
        <w:rPr>
          <w:rFonts w:hint="eastAsia" w:ascii="宋体" w:hAnsi="宋体" w:eastAsia="宋体" w:cs="宋体"/>
          <w:color w:val="auto"/>
          <w:sz w:val="24"/>
          <w:szCs w:val="24"/>
          <w:lang w:eastAsia="zh-CN"/>
        </w:rPr>
        <w:t>2022年庆元县食品安全检验检测服务采购项目</w:t>
      </w:r>
      <w:r>
        <w:rPr>
          <w:rFonts w:hint="eastAsia" w:ascii="宋体" w:hAnsi="宋体" w:eastAsia="宋体" w:cs="宋体"/>
          <w:color w:val="auto"/>
          <w:sz w:val="24"/>
          <w:szCs w:val="24"/>
        </w:rPr>
        <w:fldChar w:fldCharType="end"/>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采购方式：竞争性磋商</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预算金额（元）：</w:t>
      </w:r>
      <w:r>
        <w:rPr>
          <w:rFonts w:hint="eastAsia" w:ascii="宋体" w:hAnsi="宋体" w:eastAsia="宋体" w:cs="宋体"/>
          <w:color w:val="auto"/>
          <w:sz w:val="24"/>
          <w:lang w:val="en-US" w:eastAsia="zh-CN"/>
        </w:rPr>
        <w:t>300000</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最高限价（元）：</w:t>
      </w:r>
      <w:r>
        <w:rPr>
          <w:rFonts w:hint="eastAsia" w:ascii="宋体" w:hAnsi="宋体" w:eastAsia="宋体" w:cs="宋体"/>
          <w:color w:val="auto"/>
          <w:sz w:val="24"/>
          <w:lang w:val="en-US" w:eastAsia="zh-CN"/>
        </w:rPr>
        <w:t>80000</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100000</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120000</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采购需求：详见竞争性磋商文件 第三章 采购需求</w:t>
      </w:r>
    </w:p>
    <w:p>
      <w:pPr>
        <w:pStyle w:val="34"/>
        <w:keepNext w:val="0"/>
        <w:keepLines w:val="0"/>
        <w:pageBreakBefore w:val="0"/>
        <w:widowControl w:val="0"/>
        <w:kinsoku/>
        <w:overflowPunct/>
        <w:topLinePunct w:val="0"/>
        <w:bidi w:val="0"/>
        <w:rPr>
          <w:rFonts w:hint="eastAsia" w:ascii="宋体" w:hAnsi="宋体" w:eastAsia="宋体" w:cs="宋体"/>
          <w:b/>
          <w:bCs/>
          <w:color w:val="auto"/>
          <w:sz w:val="24"/>
          <w:lang w:eastAsia="zh-CN"/>
        </w:rPr>
      </w:pPr>
    </w:p>
    <w:p>
      <w:pPr>
        <w:keepNext w:val="0"/>
        <w:keepLines w:val="0"/>
        <w:pageBreakBefore w:val="0"/>
        <w:widowControl w:val="0"/>
        <w:kinsoku/>
        <w:overflowPunct/>
        <w:topLinePunct w:val="0"/>
        <w:bidi w:val="0"/>
        <w:snapToGrid w:val="0"/>
        <w:spacing w:line="460" w:lineRule="exact"/>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标项一：</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数量：</w:t>
      </w:r>
      <w:r>
        <w:rPr>
          <w:rFonts w:hint="eastAsia" w:ascii="宋体" w:hAnsi="宋体" w:eastAsia="宋体" w:cs="宋体"/>
          <w:color w:val="auto"/>
          <w:sz w:val="24"/>
          <w:lang w:val="en-US" w:eastAsia="zh-CN"/>
        </w:rPr>
        <w:t>1项</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eastAsia="zh-CN"/>
        </w:rPr>
        <w:t>预算金额（元）：</w:t>
      </w:r>
      <w:r>
        <w:rPr>
          <w:rFonts w:hint="eastAsia" w:ascii="宋体" w:hAnsi="宋体" w:eastAsia="宋体" w:cs="宋体"/>
          <w:b w:val="0"/>
          <w:bCs w:val="0"/>
          <w:color w:val="auto"/>
          <w:sz w:val="24"/>
          <w:lang w:val="en-US" w:eastAsia="zh-CN"/>
        </w:rPr>
        <w:t>80000</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简要规格描述：</w:t>
      </w:r>
      <w:r>
        <w:rPr>
          <w:rFonts w:hint="eastAsia" w:ascii="宋体" w:hAnsi="宋体" w:eastAsia="宋体" w:cs="宋体"/>
          <w:b w:val="0"/>
          <w:bCs w:val="0"/>
          <w:color w:val="auto"/>
          <w:sz w:val="24"/>
          <w:lang w:eastAsia="zh-CN"/>
        </w:rPr>
        <w:t>约</w:t>
      </w:r>
      <w:r>
        <w:rPr>
          <w:rFonts w:hint="eastAsia" w:ascii="宋体" w:hAnsi="宋体" w:eastAsia="宋体" w:cs="宋体"/>
          <w:b w:val="0"/>
          <w:bCs w:val="0"/>
          <w:color w:val="auto"/>
          <w:sz w:val="24"/>
          <w:szCs w:val="20"/>
          <w:lang w:val="en-US" w:eastAsia="zh-CN"/>
        </w:rPr>
        <w:t>100</w:t>
      </w:r>
      <w:r>
        <w:rPr>
          <w:rFonts w:hint="eastAsia" w:ascii="宋体" w:hAnsi="宋体" w:eastAsia="宋体" w:cs="宋体"/>
          <w:b w:val="0"/>
          <w:bCs w:val="0"/>
          <w:color w:val="auto"/>
          <w:sz w:val="24"/>
          <w:szCs w:val="20"/>
        </w:rPr>
        <w:t>批次</w:t>
      </w:r>
      <w:r>
        <w:rPr>
          <w:rFonts w:hint="eastAsia" w:ascii="宋体" w:hAnsi="宋体" w:eastAsia="宋体" w:cs="宋体"/>
          <w:b w:val="0"/>
          <w:bCs w:val="0"/>
          <w:color w:val="auto"/>
          <w:sz w:val="24"/>
          <w:szCs w:val="20"/>
          <w:lang w:eastAsia="zh-CN"/>
        </w:rPr>
        <w:t>，</w:t>
      </w:r>
      <w:r>
        <w:rPr>
          <w:rFonts w:hint="eastAsia" w:ascii="宋体" w:hAnsi="宋体" w:eastAsia="宋体" w:cs="宋体"/>
          <w:b w:val="0"/>
          <w:bCs w:val="0"/>
          <w:color w:val="auto"/>
          <w:sz w:val="24"/>
          <w:szCs w:val="20"/>
        </w:rPr>
        <w:t>生产、餐饮环节的抽检</w:t>
      </w:r>
      <w:r>
        <w:rPr>
          <w:rFonts w:hint="eastAsia" w:ascii="宋体" w:hAnsi="宋体" w:eastAsia="宋体" w:cs="宋体"/>
          <w:b w:val="0"/>
          <w:bCs w:val="0"/>
          <w:color w:val="auto"/>
          <w:sz w:val="24"/>
        </w:rPr>
        <w:t>。</w:t>
      </w:r>
    </w:p>
    <w:p>
      <w:pPr>
        <w:pStyle w:val="7"/>
        <w:keepNext w:val="0"/>
        <w:keepLines w:val="0"/>
        <w:pageBreakBefore w:val="0"/>
        <w:widowControl w:val="0"/>
        <w:kinsoku/>
        <w:overflowPunct/>
        <w:topLinePunct w:val="0"/>
        <w:bidi w:val="0"/>
        <w:ind w:left="0" w:leftChars="0" w:firstLine="400" w:firstLineChars="200"/>
        <w:rPr>
          <w:rFonts w:hint="eastAsia" w:ascii="宋体" w:hAnsi="宋体" w:eastAsia="宋体" w:cs="宋体"/>
          <w:b w:val="0"/>
          <w:bCs w:val="0"/>
          <w:color w:val="auto"/>
          <w:lang w:val="en-US" w:eastAsia="zh-CN"/>
        </w:rPr>
      </w:pPr>
    </w:p>
    <w:p>
      <w:pPr>
        <w:keepNext w:val="0"/>
        <w:keepLines w:val="0"/>
        <w:pageBreakBefore w:val="0"/>
        <w:widowControl w:val="0"/>
        <w:kinsoku/>
        <w:overflowPunct/>
        <w:topLinePunct w:val="0"/>
        <w:bidi w:val="0"/>
        <w:snapToGrid w:val="0"/>
        <w:spacing w:line="460" w:lineRule="exact"/>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标项二：</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数量：</w:t>
      </w:r>
      <w:r>
        <w:rPr>
          <w:rFonts w:hint="eastAsia" w:ascii="宋体" w:hAnsi="宋体" w:eastAsia="宋体" w:cs="宋体"/>
          <w:color w:val="auto"/>
          <w:sz w:val="24"/>
          <w:lang w:val="en-US" w:eastAsia="zh-CN"/>
        </w:rPr>
        <w:t>1项</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eastAsia="zh-CN"/>
        </w:rPr>
        <w:t>预算金额（元）：</w:t>
      </w:r>
      <w:r>
        <w:rPr>
          <w:rFonts w:hint="eastAsia" w:ascii="宋体" w:hAnsi="宋体" w:eastAsia="宋体" w:cs="宋体"/>
          <w:b w:val="0"/>
          <w:bCs w:val="0"/>
          <w:color w:val="auto"/>
          <w:sz w:val="24"/>
          <w:lang w:val="en-US" w:eastAsia="zh-CN"/>
        </w:rPr>
        <w:t>100000</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val="en-US" w:eastAsia="zh-CN"/>
        </w:rPr>
        <w:t>简要规格描述：</w:t>
      </w:r>
      <w:r>
        <w:rPr>
          <w:rFonts w:hint="eastAsia" w:ascii="宋体" w:hAnsi="宋体" w:eastAsia="宋体" w:cs="宋体"/>
          <w:b w:val="0"/>
          <w:bCs w:val="0"/>
          <w:color w:val="auto"/>
          <w:sz w:val="24"/>
          <w:lang w:eastAsia="zh-CN"/>
        </w:rPr>
        <w:t>约</w:t>
      </w:r>
      <w:r>
        <w:rPr>
          <w:rFonts w:hint="eastAsia" w:ascii="宋体" w:hAnsi="宋体" w:eastAsia="宋体" w:cs="宋体"/>
          <w:b w:val="0"/>
          <w:bCs w:val="0"/>
          <w:color w:val="auto"/>
          <w:sz w:val="24"/>
          <w:szCs w:val="20"/>
          <w:lang w:val="en-US" w:eastAsia="zh-CN"/>
        </w:rPr>
        <w:t>200</w:t>
      </w:r>
      <w:r>
        <w:rPr>
          <w:rFonts w:hint="eastAsia" w:ascii="宋体" w:hAnsi="宋体" w:eastAsia="宋体" w:cs="宋体"/>
          <w:b w:val="0"/>
          <w:bCs w:val="0"/>
          <w:color w:val="auto"/>
          <w:sz w:val="24"/>
          <w:szCs w:val="20"/>
        </w:rPr>
        <w:t>批次</w:t>
      </w:r>
      <w:r>
        <w:rPr>
          <w:rFonts w:hint="eastAsia" w:ascii="宋体" w:hAnsi="宋体" w:eastAsia="宋体" w:cs="宋体"/>
          <w:b w:val="0"/>
          <w:bCs w:val="0"/>
          <w:color w:val="auto"/>
          <w:sz w:val="24"/>
          <w:szCs w:val="20"/>
          <w:lang w:eastAsia="zh-CN"/>
        </w:rPr>
        <w:t>，</w:t>
      </w:r>
      <w:r>
        <w:rPr>
          <w:rFonts w:hint="eastAsia" w:ascii="宋体" w:hAnsi="宋体" w:eastAsia="宋体" w:cs="宋体"/>
          <w:b w:val="0"/>
          <w:bCs w:val="0"/>
          <w:color w:val="auto"/>
          <w:sz w:val="24"/>
          <w:szCs w:val="20"/>
        </w:rPr>
        <w:t>食用农产品的抽检</w:t>
      </w:r>
      <w:r>
        <w:rPr>
          <w:rFonts w:hint="eastAsia" w:ascii="宋体" w:hAnsi="宋体" w:eastAsia="宋体" w:cs="宋体"/>
          <w:b w:val="0"/>
          <w:bCs w:val="0"/>
          <w:color w:val="auto"/>
          <w:sz w:val="24"/>
          <w:szCs w:val="20"/>
          <w:lang w:eastAsia="zh-CN"/>
        </w:rPr>
        <w:t>。</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b w:val="0"/>
          <w:bCs w:val="0"/>
          <w:color w:val="auto"/>
          <w:sz w:val="24"/>
          <w:lang w:eastAsia="zh-CN"/>
        </w:rPr>
      </w:pPr>
    </w:p>
    <w:p>
      <w:pPr>
        <w:keepNext w:val="0"/>
        <w:keepLines w:val="0"/>
        <w:pageBreakBefore w:val="0"/>
        <w:widowControl w:val="0"/>
        <w:kinsoku/>
        <w:overflowPunct/>
        <w:topLinePunct w:val="0"/>
        <w:bidi w:val="0"/>
        <w:snapToGrid w:val="0"/>
        <w:spacing w:line="460" w:lineRule="exact"/>
        <w:ind w:firstLine="482" w:firstLineChars="200"/>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标项三：</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数量：</w:t>
      </w:r>
      <w:r>
        <w:rPr>
          <w:rFonts w:hint="eastAsia" w:ascii="宋体" w:hAnsi="宋体" w:eastAsia="宋体" w:cs="宋体"/>
          <w:color w:val="auto"/>
          <w:sz w:val="24"/>
          <w:lang w:val="en-US" w:eastAsia="zh-CN"/>
        </w:rPr>
        <w:t>1项</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eastAsia="zh-CN"/>
        </w:rPr>
        <w:t>预算金额（元）：</w:t>
      </w:r>
      <w:r>
        <w:rPr>
          <w:rFonts w:hint="eastAsia" w:ascii="宋体" w:hAnsi="宋体" w:eastAsia="宋体" w:cs="宋体"/>
          <w:color w:val="auto"/>
          <w:sz w:val="24"/>
          <w:lang w:val="en-US" w:eastAsia="zh-CN"/>
        </w:rPr>
        <w:t>120000</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b w:val="0"/>
          <w:bCs w:val="0"/>
          <w:color w:val="auto"/>
          <w:sz w:val="24"/>
          <w:lang w:eastAsia="zh-CN"/>
        </w:rPr>
      </w:pPr>
      <w:r>
        <w:rPr>
          <w:rFonts w:hint="eastAsia" w:ascii="宋体" w:hAnsi="宋体" w:eastAsia="宋体" w:cs="宋体"/>
          <w:color w:val="auto"/>
          <w:sz w:val="24"/>
          <w:lang w:val="en-US" w:eastAsia="zh-CN"/>
        </w:rPr>
        <w:t>简</w:t>
      </w:r>
      <w:r>
        <w:rPr>
          <w:rFonts w:hint="eastAsia" w:ascii="宋体" w:hAnsi="宋体" w:eastAsia="宋体" w:cs="宋体"/>
          <w:b w:val="0"/>
          <w:bCs w:val="0"/>
          <w:color w:val="auto"/>
          <w:sz w:val="24"/>
          <w:lang w:val="en-US" w:eastAsia="zh-CN"/>
        </w:rPr>
        <w:t>要规格描述：</w:t>
      </w:r>
      <w:r>
        <w:rPr>
          <w:rFonts w:hint="eastAsia" w:ascii="宋体" w:hAnsi="宋体" w:eastAsia="宋体" w:cs="宋体"/>
          <w:b w:val="0"/>
          <w:bCs w:val="0"/>
          <w:color w:val="auto"/>
          <w:sz w:val="24"/>
          <w:lang w:eastAsia="zh-CN"/>
        </w:rPr>
        <w:t>约</w:t>
      </w:r>
      <w:r>
        <w:rPr>
          <w:rFonts w:hint="eastAsia" w:ascii="宋体" w:hAnsi="宋体" w:eastAsia="宋体" w:cs="宋体"/>
          <w:b w:val="0"/>
          <w:bCs w:val="0"/>
          <w:color w:val="auto"/>
          <w:sz w:val="24"/>
          <w:szCs w:val="20"/>
          <w:lang w:val="en-US" w:eastAsia="zh-CN"/>
        </w:rPr>
        <w:t>200</w:t>
      </w:r>
      <w:r>
        <w:rPr>
          <w:rFonts w:hint="eastAsia" w:ascii="宋体" w:hAnsi="宋体" w:eastAsia="宋体" w:cs="宋体"/>
          <w:b w:val="0"/>
          <w:bCs w:val="0"/>
          <w:color w:val="auto"/>
          <w:sz w:val="24"/>
          <w:szCs w:val="20"/>
        </w:rPr>
        <w:t>批次</w:t>
      </w:r>
      <w:r>
        <w:rPr>
          <w:rFonts w:hint="eastAsia" w:ascii="宋体" w:hAnsi="宋体" w:eastAsia="宋体" w:cs="宋体"/>
          <w:b w:val="0"/>
          <w:bCs w:val="0"/>
          <w:color w:val="auto"/>
          <w:sz w:val="24"/>
          <w:szCs w:val="20"/>
          <w:lang w:eastAsia="zh-CN"/>
        </w:rPr>
        <w:t>，</w:t>
      </w:r>
      <w:r>
        <w:rPr>
          <w:rFonts w:hint="eastAsia" w:ascii="宋体" w:hAnsi="宋体" w:eastAsia="宋体" w:cs="宋体"/>
          <w:b w:val="0"/>
          <w:bCs w:val="0"/>
          <w:color w:val="auto"/>
          <w:sz w:val="24"/>
          <w:szCs w:val="20"/>
        </w:rPr>
        <w:t>流通环节（除食用农产品外）的抽检</w:t>
      </w:r>
      <w:r>
        <w:rPr>
          <w:rFonts w:hint="eastAsia" w:ascii="宋体" w:hAnsi="宋体" w:eastAsia="宋体" w:cs="宋体"/>
          <w:b w:val="0"/>
          <w:bCs w:val="0"/>
          <w:color w:val="auto"/>
          <w:sz w:val="24"/>
          <w:szCs w:val="20"/>
          <w:lang w:eastAsia="zh-CN"/>
        </w:rPr>
        <w:t>。</w:t>
      </w:r>
    </w:p>
    <w:p>
      <w:pPr>
        <w:keepNext w:val="0"/>
        <w:keepLines w:val="0"/>
        <w:pageBreakBefore w:val="0"/>
        <w:widowControl w:val="0"/>
        <w:kinsoku/>
        <w:overflowPunct/>
        <w:topLinePunct w:val="0"/>
        <w:bidi w:val="0"/>
        <w:spacing w:line="46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bCs/>
          <w:color w:val="auto"/>
          <w:sz w:val="24"/>
        </w:rPr>
        <w:t>注：</w:t>
      </w:r>
      <w:r>
        <w:rPr>
          <w:rFonts w:hint="eastAsia" w:ascii="宋体" w:hAnsi="宋体" w:eastAsia="宋体" w:cs="宋体"/>
          <w:b/>
          <w:bCs/>
          <w:color w:val="auto"/>
          <w:sz w:val="24"/>
          <w:lang w:eastAsia="zh-CN"/>
        </w:rPr>
        <w:t>本项目共有三个标项，</w:t>
      </w:r>
      <w:r>
        <w:rPr>
          <w:rFonts w:hint="eastAsia" w:ascii="宋体" w:hAnsi="宋体" w:eastAsia="宋体" w:cs="宋体"/>
          <w:b/>
          <w:bCs/>
          <w:color w:val="auto"/>
          <w:sz w:val="24"/>
          <w:highlight w:val="none"/>
          <w:lang w:eastAsia="zh-CN"/>
        </w:rPr>
        <w:t>投标供应商</w:t>
      </w:r>
      <w:r>
        <w:rPr>
          <w:rFonts w:hint="eastAsia" w:ascii="宋体" w:hAnsi="宋体" w:eastAsia="宋体" w:cs="宋体"/>
          <w:b/>
          <w:bCs/>
          <w:color w:val="auto"/>
          <w:sz w:val="24"/>
          <w:highlight w:val="none"/>
        </w:rPr>
        <w:t>可选择一个或多个标项进行投标</w:t>
      </w:r>
      <w:r>
        <w:rPr>
          <w:rFonts w:hint="eastAsia" w:ascii="宋体" w:hAnsi="宋体" w:eastAsia="宋体" w:cs="宋体"/>
          <w:b/>
          <w:bCs/>
          <w:color w:val="auto"/>
          <w:sz w:val="24"/>
          <w:highlight w:val="none"/>
          <w:lang w:eastAsia="zh-CN"/>
        </w:rPr>
        <w:t>，</w:t>
      </w:r>
      <w:r>
        <w:rPr>
          <w:rFonts w:hint="eastAsia" w:ascii="宋体" w:hAnsi="宋体" w:eastAsia="宋体" w:cs="宋体"/>
          <w:b/>
          <w:bCs w:val="0"/>
          <w:color w:val="auto"/>
          <w:sz w:val="24"/>
          <w:highlight w:val="none"/>
        </w:rPr>
        <w:t>但只能中一个标项</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中标次序按标项一、标项二</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标项</w:t>
      </w:r>
      <w:r>
        <w:rPr>
          <w:rFonts w:hint="eastAsia" w:ascii="宋体" w:hAnsi="宋体" w:eastAsia="宋体" w:cs="宋体"/>
          <w:b/>
          <w:bCs w:val="0"/>
          <w:color w:val="auto"/>
          <w:sz w:val="24"/>
          <w:highlight w:val="none"/>
          <w:lang w:eastAsia="zh-CN"/>
        </w:rPr>
        <w:t>三</w:t>
      </w:r>
      <w:r>
        <w:rPr>
          <w:rFonts w:hint="eastAsia" w:ascii="宋体" w:hAnsi="宋体" w:eastAsia="宋体" w:cs="宋体"/>
          <w:b/>
          <w:bCs w:val="0"/>
          <w:color w:val="auto"/>
          <w:sz w:val="24"/>
          <w:highlight w:val="none"/>
        </w:rPr>
        <w:t>进行确定（如投标人被确定为标项一的第一中标候选人，</w:t>
      </w:r>
      <w:r>
        <w:rPr>
          <w:rFonts w:hint="eastAsia" w:ascii="宋体" w:hAnsi="宋体" w:eastAsia="宋体" w:cs="宋体"/>
          <w:b/>
          <w:bCs w:val="0"/>
          <w:color w:val="auto"/>
          <w:sz w:val="24"/>
          <w:highlight w:val="none"/>
          <w:lang w:eastAsia="zh-CN"/>
        </w:rPr>
        <w:t>则不参加</w:t>
      </w:r>
      <w:r>
        <w:rPr>
          <w:rFonts w:hint="eastAsia" w:ascii="宋体" w:hAnsi="宋体" w:eastAsia="宋体" w:cs="宋体"/>
          <w:b/>
          <w:bCs w:val="0"/>
          <w:color w:val="auto"/>
          <w:sz w:val="24"/>
          <w:highlight w:val="none"/>
        </w:rPr>
        <w:t>标项二</w:t>
      </w:r>
      <w:r>
        <w:rPr>
          <w:rFonts w:hint="eastAsia" w:ascii="宋体" w:hAnsi="宋体" w:eastAsia="宋体" w:cs="宋体"/>
          <w:b/>
          <w:bCs w:val="0"/>
          <w:color w:val="auto"/>
          <w:sz w:val="24"/>
          <w:highlight w:val="none"/>
          <w:lang w:eastAsia="zh-CN"/>
        </w:rPr>
        <w:t>的评审，</w:t>
      </w:r>
      <w:r>
        <w:rPr>
          <w:rFonts w:hint="eastAsia" w:ascii="宋体" w:hAnsi="宋体" w:eastAsia="宋体" w:cs="宋体"/>
          <w:b/>
          <w:bCs w:val="0"/>
          <w:color w:val="auto"/>
          <w:sz w:val="24"/>
          <w:highlight w:val="none"/>
        </w:rPr>
        <w:t>以此类推）</w:t>
      </w:r>
      <w:r>
        <w:rPr>
          <w:rFonts w:hint="eastAsia" w:ascii="宋体" w:hAnsi="宋体" w:eastAsia="宋体" w:cs="宋体"/>
          <w:b/>
          <w:bCs w:val="0"/>
          <w:color w:val="auto"/>
          <w:sz w:val="24"/>
          <w:highlight w:val="none"/>
          <w:lang w:eastAsia="zh-CN"/>
        </w:rPr>
        <w:t>，</w:t>
      </w:r>
      <w:r>
        <w:rPr>
          <w:rFonts w:hint="eastAsia" w:ascii="宋体" w:hAnsi="宋体" w:eastAsia="宋体" w:cs="宋体"/>
          <w:b/>
          <w:color w:val="auto"/>
          <w:sz w:val="24"/>
          <w:highlight w:val="none"/>
          <w:lang w:eastAsia="zh-CN"/>
        </w:rPr>
        <w:t>每标项必须不少于三家（不含已中标）供应商参加磋商，不足3家的，不得开标。</w:t>
      </w:r>
    </w:p>
    <w:p>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合同履约期限：详见竞争性磋商文件</w:t>
      </w:r>
    </w:p>
    <w:p>
      <w:pPr>
        <w:keepNext w:val="0"/>
        <w:keepLines w:val="0"/>
        <w:pageBreakBefore w:val="0"/>
        <w:widowControl w:val="0"/>
        <w:kinsoku/>
        <w:overflowPunct/>
        <w:topLinePunct w:val="0"/>
        <w:bidi w:val="0"/>
        <w:snapToGrid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本项目</w:t>
      </w:r>
      <w:r>
        <w:rPr>
          <w:rFonts w:hint="eastAsia" w:ascii="宋体" w:hAnsi="宋体" w:eastAsia="宋体" w:cs="宋体"/>
          <w:color w:val="auto"/>
          <w:sz w:val="24"/>
          <w:lang w:eastAsia="zh-CN"/>
        </w:rPr>
        <w:t>不</w:t>
      </w:r>
      <w:r>
        <w:rPr>
          <w:rFonts w:hint="eastAsia" w:ascii="宋体" w:hAnsi="宋体" w:eastAsia="宋体" w:cs="宋体"/>
          <w:color w:val="auto"/>
          <w:sz w:val="24"/>
        </w:rPr>
        <w:t>接受联合体投标。</w:t>
      </w:r>
    </w:p>
    <w:p>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auto"/>
          <w:sz w:val="24"/>
        </w:rPr>
      </w:pPr>
      <w:bookmarkStart w:id="66" w:name="_Toc13423"/>
      <w:bookmarkStart w:id="67" w:name="_Toc28359080"/>
      <w:bookmarkStart w:id="68" w:name="_Toc35393791"/>
      <w:bookmarkStart w:id="69" w:name="_Toc7179"/>
      <w:bookmarkStart w:id="70" w:name="_Toc35393622"/>
      <w:bookmarkStart w:id="71" w:name="_Toc28359003"/>
      <w:bookmarkStart w:id="72" w:name="_Toc28359091"/>
      <w:bookmarkStart w:id="73" w:name="_Toc28359014"/>
      <w:r>
        <w:rPr>
          <w:rFonts w:hint="eastAsia" w:ascii="宋体" w:hAnsi="宋体" w:eastAsia="宋体" w:cs="宋体"/>
          <w:b/>
          <w:color w:val="auto"/>
          <w:sz w:val="24"/>
        </w:rPr>
        <w:t>二、申请人的资格要求</w:t>
      </w:r>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color w:val="auto"/>
          <w:sz w:val="24"/>
          <w:lang w:eastAsia="zh-CN"/>
        </w:rPr>
      </w:pPr>
      <w:bookmarkStart w:id="74" w:name="_Toc35393623"/>
      <w:bookmarkStart w:id="75" w:name="_Toc35393792"/>
      <w:bookmarkStart w:id="76" w:name="_Toc28359004"/>
      <w:bookmarkStart w:id="77" w:name="_Toc28359081"/>
      <w:r>
        <w:rPr>
          <w:rFonts w:hint="eastAsia" w:ascii="宋体" w:hAnsi="宋体" w:eastAsia="宋体" w:cs="宋体"/>
          <w:b/>
          <w:bCs/>
          <w:color w:val="auto"/>
          <w:sz w:val="24"/>
        </w:rPr>
        <w:t>1.</w:t>
      </w:r>
      <w:r>
        <w:rPr>
          <w:rFonts w:hint="eastAsia" w:ascii="宋体" w:hAnsi="宋体" w:eastAsia="宋体" w:cs="宋体"/>
          <w:color w:val="auto"/>
          <w:sz w:val="24"/>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480" w:lineRule="exact"/>
        <w:ind w:firstLine="482" w:firstLineChars="200"/>
        <w:textAlignment w:val="auto"/>
        <w:outlineLvl w:val="2"/>
        <w:rPr>
          <w:rFonts w:hint="eastAsia" w:ascii="宋体" w:hAnsi="宋体" w:eastAsia="宋体" w:cs="宋体"/>
          <w:color w:val="auto"/>
          <w:sz w:val="24"/>
          <w:lang w:val="en-US" w:eastAsia="zh-CN"/>
        </w:rPr>
      </w:pPr>
      <w:bookmarkStart w:id="78" w:name="_Toc20998"/>
      <w:r>
        <w:rPr>
          <w:rFonts w:hint="eastAsia" w:ascii="宋体" w:hAnsi="宋体" w:eastAsia="宋体" w:cs="宋体"/>
          <w:b/>
          <w:bCs/>
          <w:color w:val="auto"/>
          <w:sz w:val="24"/>
          <w:lang w:val="en-US" w:eastAsia="zh-CN"/>
        </w:rPr>
        <w:t>2.落实政府采购政策需满足的资格要求：</w:t>
      </w:r>
      <w:r>
        <w:rPr>
          <w:rFonts w:hint="eastAsia" w:ascii="宋体" w:hAnsi="宋体" w:eastAsia="宋体" w:cs="宋体"/>
          <w:color w:val="auto"/>
          <w:sz w:val="24"/>
          <w:lang w:val="en-US" w:eastAsia="zh-CN"/>
        </w:rPr>
        <w:t>供应商为中小企业/小微企业</w:t>
      </w:r>
      <w:bookmarkEnd w:id="78"/>
    </w:p>
    <w:p>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82" w:firstLineChars="200"/>
        <w:textAlignment w:val="auto"/>
        <w:rPr>
          <w:rFonts w:hint="eastAsia" w:ascii="宋体" w:hAnsi="宋体" w:eastAsia="宋体" w:cs="宋体"/>
          <w:b w:val="0"/>
          <w:bCs/>
          <w:strike w:val="0"/>
          <w:color w:val="auto"/>
          <w:sz w:val="24"/>
          <w:szCs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本项目的特定资格要求：</w:t>
      </w:r>
      <w:r>
        <w:rPr>
          <w:rFonts w:hint="eastAsia" w:ascii="宋体" w:hAnsi="宋体" w:eastAsia="宋体" w:cs="宋体"/>
          <w:b w:val="0"/>
          <w:bCs/>
          <w:strike w:val="0"/>
          <w:dstrike w:val="0"/>
          <w:color w:val="auto"/>
          <w:sz w:val="24"/>
          <w:szCs w:val="24"/>
        </w:rPr>
        <w:t>供应商须具有省级及以上质量技术监督部门实验室CMA资质认定</w:t>
      </w:r>
      <w:r>
        <w:rPr>
          <w:rFonts w:hint="eastAsia" w:ascii="宋体" w:hAnsi="宋体" w:eastAsia="宋体" w:cs="宋体"/>
          <w:b w:val="0"/>
          <w:bCs/>
          <w:strike w:val="0"/>
          <w:dstrike w:val="0"/>
          <w:color w:val="auto"/>
          <w:sz w:val="24"/>
          <w:szCs w:val="24"/>
          <w:lang w:eastAsia="zh-CN"/>
        </w:rPr>
        <w:t>，</w:t>
      </w:r>
      <w:r>
        <w:rPr>
          <w:rFonts w:hint="eastAsia" w:ascii="宋体" w:hAnsi="宋体" w:eastAsia="宋体" w:cs="宋体"/>
          <w:b w:val="0"/>
          <w:bCs/>
          <w:strike w:val="0"/>
          <w:dstrike w:val="0"/>
          <w:color w:val="auto"/>
          <w:sz w:val="24"/>
          <w:szCs w:val="24"/>
        </w:rPr>
        <w:t>并取得有效的检验检测机构资质认定证书</w:t>
      </w:r>
      <w:r>
        <w:rPr>
          <w:rFonts w:hint="eastAsia" w:ascii="宋体" w:hAnsi="宋体" w:eastAsia="宋体" w:cs="宋体"/>
          <w:b w:val="0"/>
          <w:bCs/>
          <w:strike w:val="0"/>
          <w:dstrike w:val="0"/>
          <w:color w:val="auto"/>
          <w:sz w:val="24"/>
          <w:szCs w:val="24"/>
          <w:lang w:eastAsia="zh-CN"/>
        </w:rPr>
        <w:t>（原件扫描上传）</w:t>
      </w:r>
      <w:r>
        <w:rPr>
          <w:rFonts w:hint="eastAsia" w:ascii="宋体" w:hAnsi="宋体" w:eastAsia="宋体" w:cs="宋体"/>
          <w:b w:val="0"/>
          <w:bCs/>
          <w:strike w:val="0"/>
          <w:color w:val="auto"/>
          <w:sz w:val="24"/>
          <w:szCs w:val="24"/>
        </w:rPr>
        <w:t>；</w:t>
      </w:r>
    </w:p>
    <w:p>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auto"/>
          <w:sz w:val="24"/>
        </w:rPr>
      </w:pPr>
      <w:bookmarkStart w:id="79" w:name="_Toc24911"/>
      <w:bookmarkStart w:id="80" w:name="_Toc1629"/>
      <w:r>
        <w:rPr>
          <w:rFonts w:hint="eastAsia" w:ascii="宋体" w:hAnsi="宋体" w:eastAsia="宋体" w:cs="宋体"/>
          <w:b/>
          <w:color w:val="auto"/>
          <w:sz w:val="24"/>
        </w:rPr>
        <w:t>三、获取（下载）采购文件</w:t>
      </w:r>
      <w:bookmarkEnd w:id="79"/>
      <w:bookmarkEnd w:id="80"/>
    </w:p>
    <w:p>
      <w:pPr>
        <w:pStyle w:val="2"/>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kern w:val="2"/>
          <w:sz w:val="24"/>
          <w:szCs w:val="24"/>
          <w:lang w:val="en-US"/>
        </w:rPr>
      </w:pPr>
      <w:bookmarkStart w:id="81" w:name="_Toc28359007"/>
      <w:bookmarkStart w:id="82" w:name="_Toc35393794"/>
      <w:bookmarkStart w:id="83" w:name="_Toc28359084"/>
      <w:bookmarkStart w:id="84" w:name="_Toc35393625"/>
      <w:r>
        <w:rPr>
          <w:rFonts w:hint="eastAsia" w:ascii="宋体" w:hAnsi="宋体" w:eastAsia="宋体" w:cs="宋体"/>
          <w:color w:val="auto"/>
          <w:kern w:val="2"/>
          <w:sz w:val="24"/>
          <w:szCs w:val="24"/>
          <w:lang w:val="en-US"/>
        </w:rPr>
        <w:t>1.时间：发布公告之</w:t>
      </w:r>
      <w:r>
        <w:rPr>
          <w:rFonts w:hint="eastAsia" w:ascii="宋体" w:hAnsi="宋体" w:eastAsia="宋体" w:cs="宋体"/>
          <w:color w:val="auto"/>
          <w:kern w:val="2"/>
          <w:sz w:val="24"/>
          <w:szCs w:val="24"/>
          <w:highlight w:val="none"/>
          <w:lang w:val="en-US"/>
        </w:rPr>
        <w:t>日至</w:t>
      </w:r>
      <w:r>
        <w:rPr>
          <w:rFonts w:hint="eastAsia" w:ascii="宋体" w:hAnsi="宋体" w:eastAsia="宋体" w:cs="宋体"/>
          <w:color w:val="auto"/>
          <w:kern w:val="2"/>
          <w:sz w:val="24"/>
          <w:szCs w:val="24"/>
          <w:highlight w:val="none"/>
          <w:lang w:val="en-US" w:eastAsia="zh-CN"/>
        </w:rPr>
        <w:t>2022年</w:t>
      </w:r>
      <w:r>
        <w:rPr>
          <w:rFonts w:hint="eastAsia" w:asci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en-US" w:eastAsia="zh-CN"/>
        </w:rPr>
        <w:t>月</w:t>
      </w:r>
      <w:r>
        <w:rPr>
          <w:rFonts w:hint="eastAsia" w:ascii="宋体" w:cs="宋体"/>
          <w:color w:val="auto"/>
          <w:kern w:val="2"/>
          <w:sz w:val="24"/>
          <w:szCs w:val="24"/>
          <w:highlight w:val="none"/>
          <w:lang w:val="en-US" w:eastAsia="zh-CN"/>
        </w:rPr>
        <w:t>10</w:t>
      </w:r>
      <w:r>
        <w:rPr>
          <w:rFonts w:hint="eastAsia" w:ascii="宋体" w:hAnsi="宋体" w:eastAsia="宋体" w:cs="宋体"/>
          <w:color w:val="auto"/>
          <w:kern w:val="2"/>
          <w:sz w:val="24"/>
          <w:szCs w:val="24"/>
          <w:highlight w:val="none"/>
          <w:lang w:val="en-US" w:eastAsia="zh-CN"/>
        </w:rPr>
        <w:t>日上午</w:t>
      </w:r>
      <w:r>
        <w:rPr>
          <w:rFonts w:hint="eastAsia" w:ascii="宋体" w:hAnsi="宋体" w:eastAsia="宋体" w:cs="宋体"/>
          <w:color w:val="auto"/>
          <w:kern w:val="2"/>
          <w:sz w:val="24"/>
          <w:szCs w:val="24"/>
          <w:highlight w:val="none"/>
          <w:lang w:val="en-US"/>
        </w:rPr>
        <w:t>09:0</w:t>
      </w:r>
      <w:r>
        <w:rPr>
          <w:rFonts w:hint="eastAsia" w:ascii="宋体" w:hAnsi="宋体" w:eastAsia="宋体" w:cs="宋体"/>
          <w:color w:val="auto"/>
          <w:kern w:val="2"/>
          <w:sz w:val="24"/>
          <w:szCs w:val="24"/>
          <w:lang w:val="en-US"/>
        </w:rPr>
        <w:t>0，每天上午00:00至12:00，下午12:00至23:59（北京时间，线上获取法定节假日均可，线下获取文件法定节假日除外）</w:t>
      </w:r>
    </w:p>
    <w:p>
      <w:pPr>
        <w:pStyle w:val="2"/>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2.</w:t>
      </w:r>
      <w:r>
        <w:rPr>
          <w:rFonts w:hint="eastAsia" w:ascii="宋体" w:hAnsi="宋体" w:eastAsia="宋体" w:cs="宋体"/>
          <w:color w:val="auto"/>
          <w:sz w:val="24"/>
          <w:szCs w:val="24"/>
        </w:rPr>
        <w:t>地点</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网址</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浙江政府采购网</w:t>
      </w:r>
      <w:r>
        <w:rPr>
          <w:rFonts w:hint="eastAsia" w:ascii="宋体" w:hAnsi="宋体" w:eastAsia="宋体" w:cs="宋体"/>
          <w:color w:val="auto"/>
          <w:sz w:val="24"/>
          <w:szCs w:val="24"/>
          <w:lang w:val="en-US"/>
        </w:rPr>
        <w:t>http://zfcg.czt.zj.gov.cn</w:t>
      </w:r>
      <w:r>
        <w:rPr>
          <w:rFonts w:hint="eastAsia" w:ascii="宋体" w:hAnsi="宋体" w:eastAsia="宋体" w:cs="宋体"/>
          <w:color w:val="auto"/>
          <w:sz w:val="24"/>
          <w:szCs w:val="24"/>
        </w:rPr>
        <w:t>、丽水市公共资源交易网</w:t>
      </w:r>
      <w:r>
        <w:rPr>
          <w:rFonts w:hint="eastAsia" w:ascii="宋体" w:hAnsi="宋体" w:eastAsia="宋体" w:cs="宋体"/>
          <w:color w:val="auto"/>
          <w:sz w:val="24"/>
          <w:szCs w:val="24"/>
          <w:lang w:val="en-US"/>
        </w:rPr>
        <w:t>（</w:t>
      </w:r>
      <w:r>
        <w:rPr>
          <w:rFonts w:hint="eastAsia" w:ascii="宋体" w:hAnsi="宋体" w:eastAsia="宋体" w:cs="宋体"/>
          <w:color w:val="auto"/>
          <w:sz w:val="24"/>
          <w:szCs w:val="24"/>
        </w:rPr>
        <w:t>庆元</w:t>
      </w:r>
      <w:r>
        <w:rPr>
          <w:rFonts w:hint="eastAsia" w:ascii="宋体" w:hAnsi="宋体" w:eastAsia="宋体" w:cs="宋体"/>
          <w:color w:val="auto"/>
          <w:sz w:val="24"/>
          <w:szCs w:val="24"/>
          <w:lang w:val="en-US"/>
        </w:rPr>
        <w:t>）http://lssggzy.lishui.gov.cn/qyweb/公告附件。</w:t>
      </w:r>
    </w:p>
    <w:p>
      <w:pPr>
        <w:pStyle w:val="2"/>
        <w:keepNext w:val="0"/>
        <w:keepLines w:val="0"/>
        <w:pageBreakBefore w:val="0"/>
        <w:widowControl w:val="0"/>
        <w:kinsoku/>
        <w:overflowPunct/>
        <w:topLinePunct w:val="0"/>
        <w:bidi w:val="0"/>
        <w:snapToGrid w:val="0"/>
        <w:spacing w:after="0" w:line="480" w:lineRule="exact"/>
        <w:ind w:left="0" w:firstLine="480" w:firstLineChars="200"/>
        <w:textAlignment w:val="auto"/>
        <w:outlineLvl w:val="2"/>
        <w:rPr>
          <w:rFonts w:hint="eastAsia" w:ascii="宋体" w:hAnsi="宋体" w:eastAsia="宋体" w:cs="宋体"/>
          <w:color w:val="auto"/>
          <w:sz w:val="24"/>
          <w:szCs w:val="24"/>
        </w:rPr>
      </w:pPr>
      <w:bookmarkStart w:id="85" w:name="_Toc3125"/>
      <w:r>
        <w:rPr>
          <w:rFonts w:hint="eastAsia" w:ascii="宋体" w:hAnsi="宋体" w:eastAsia="宋体" w:cs="宋体"/>
          <w:color w:val="auto"/>
          <w:sz w:val="24"/>
          <w:szCs w:val="24"/>
          <w:lang w:val="en-US"/>
        </w:rPr>
        <w:t>3.</w:t>
      </w:r>
      <w:r>
        <w:rPr>
          <w:rFonts w:hint="eastAsia" w:ascii="宋体" w:hAnsi="宋体" w:eastAsia="宋体" w:cs="宋体"/>
          <w:color w:val="auto"/>
          <w:sz w:val="24"/>
          <w:szCs w:val="24"/>
        </w:rPr>
        <w:t>方式：自行下载获取</w:t>
      </w:r>
      <w:bookmarkEnd w:id="85"/>
    </w:p>
    <w:p>
      <w:pPr>
        <w:pStyle w:val="2"/>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⑴获取流程：浙江政府采购网—用户入驻/登录—用户登录—项目采购—获取采购文件管理；</w:t>
      </w:r>
    </w:p>
    <w:p>
      <w:pPr>
        <w:pStyle w:val="2"/>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⑵未在浙江省政府采购网（</w:t>
      </w:r>
      <w:r>
        <w:rPr>
          <w:rFonts w:hint="eastAsia" w:ascii="宋体" w:hAnsi="宋体" w:eastAsia="宋体" w:cs="宋体"/>
          <w:color w:val="auto"/>
          <w:sz w:val="24"/>
          <w:szCs w:val="24"/>
          <w:u w:val="single"/>
        </w:rPr>
        <w:t>zfcg.czt.zj.gov.cn</w:t>
      </w:r>
      <w:r>
        <w:rPr>
          <w:rFonts w:hint="eastAsia" w:ascii="宋体" w:hAnsi="宋体" w:eastAsia="宋体" w:cs="宋体"/>
          <w:color w:val="auto"/>
          <w:sz w:val="24"/>
          <w:szCs w:val="24"/>
        </w:rPr>
        <w:t>）注册成为正式供应商的，请注册完成审核成功后方可登录获取，注册流程见网址：</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"http://zfcg.czt.zj.gov.cn/register/2017-07-24/6728.html?_=2020-03-09%2006:00:22"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u w:val="single"/>
        </w:rPr>
        <w:t>zfcg.czt.zj.gov.cn/register/2017-07-24/6728.html?_=2020-03-09%2006:</w:t>
      </w:r>
      <w:bookmarkStart w:id="86" w:name="_Hlt34749271"/>
      <w:bookmarkStart w:id="87" w:name="_Hlt34749270"/>
      <w:r>
        <w:rPr>
          <w:rFonts w:hint="eastAsia" w:ascii="宋体" w:hAnsi="宋体" w:eastAsia="宋体" w:cs="宋体"/>
          <w:color w:val="auto"/>
          <w:sz w:val="24"/>
          <w:szCs w:val="24"/>
          <w:u w:val="single"/>
        </w:rPr>
        <w:t>0</w:t>
      </w:r>
      <w:bookmarkEnd w:id="86"/>
      <w:bookmarkEnd w:id="87"/>
      <w:r>
        <w:rPr>
          <w:rFonts w:hint="eastAsia" w:ascii="宋体" w:hAnsi="宋体" w:eastAsia="宋体" w:cs="宋体"/>
          <w:color w:val="auto"/>
          <w:sz w:val="24"/>
          <w:szCs w:val="24"/>
          <w:u w:val="single"/>
        </w:rPr>
        <w:t>0:22</w:t>
      </w:r>
      <w:r>
        <w:rPr>
          <w:rFonts w:hint="eastAsia" w:ascii="宋体" w:hAnsi="宋体" w:eastAsia="宋体" w:cs="宋体"/>
          <w:color w:val="auto"/>
          <w:sz w:val="24"/>
          <w:szCs w:val="24"/>
          <w:u w:val="single"/>
        </w:rPr>
        <w:fldChar w:fldCharType="end"/>
      </w:r>
      <w:r>
        <w:rPr>
          <w:rFonts w:hint="eastAsia" w:ascii="宋体" w:hAnsi="宋体" w:eastAsia="宋体" w:cs="宋体"/>
          <w:color w:val="auto"/>
          <w:sz w:val="24"/>
          <w:szCs w:val="24"/>
        </w:rPr>
        <w:t>，注册咨询电话：</w:t>
      </w:r>
      <w:r>
        <w:rPr>
          <w:rFonts w:hint="eastAsia" w:ascii="宋体" w:hAnsi="宋体" w:eastAsia="宋体" w:cs="宋体"/>
          <w:color w:val="auto"/>
          <w:sz w:val="24"/>
          <w:szCs w:val="24"/>
          <w:u w:val="single"/>
        </w:rPr>
        <w:t>400-881-7190</w:t>
      </w:r>
      <w:r>
        <w:rPr>
          <w:rFonts w:hint="eastAsia" w:ascii="宋体" w:hAnsi="宋体" w:eastAsia="宋体" w:cs="宋体"/>
          <w:color w:val="auto"/>
          <w:sz w:val="24"/>
          <w:szCs w:val="24"/>
        </w:rPr>
        <w:t>；</w:t>
      </w:r>
    </w:p>
    <w:p>
      <w:pPr>
        <w:pStyle w:val="2"/>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⑶在浙江政府采购网采购公告附件中以“游客”身份（或丽水市公共资源交易网）获取的采购文件仅供阅览；潜在供应商未按上述第⑴条方式获取采购文件的不得对采购文件提起质疑投诉；</w:t>
      </w:r>
    </w:p>
    <w:p>
      <w:pPr>
        <w:pStyle w:val="2"/>
        <w:keepNext w:val="0"/>
        <w:keepLines w:val="0"/>
        <w:pageBreakBefore w:val="0"/>
        <w:widowControl w:val="0"/>
        <w:kinsoku/>
        <w:overflowPunct/>
        <w:topLinePunct w:val="0"/>
        <w:bidi w:val="0"/>
        <w:snapToGrid w:val="0"/>
        <w:spacing w:after="0"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售价（元）：0</w:t>
      </w:r>
    </w:p>
    <w:p>
      <w:pPr>
        <w:keepNext w:val="0"/>
        <w:keepLines w:val="0"/>
        <w:pageBreakBefore w:val="0"/>
        <w:widowControl w:val="0"/>
        <w:kinsoku/>
        <w:overflowPunct/>
        <w:topLinePunct w:val="0"/>
        <w:bidi w:val="0"/>
        <w:snapToGrid w:val="0"/>
        <w:spacing w:line="480" w:lineRule="exact"/>
        <w:textAlignment w:val="auto"/>
        <w:outlineLvl w:val="1"/>
        <w:rPr>
          <w:rFonts w:hint="eastAsia" w:ascii="宋体" w:hAnsi="宋体" w:eastAsia="宋体" w:cs="宋体"/>
          <w:b/>
          <w:color w:val="auto"/>
          <w:sz w:val="24"/>
          <w:szCs w:val="24"/>
        </w:rPr>
      </w:pPr>
      <w:bookmarkStart w:id="88" w:name="_Toc3695"/>
      <w:bookmarkStart w:id="89" w:name="_Toc13669"/>
      <w:r>
        <w:rPr>
          <w:rFonts w:hint="eastAsia" w:ascii="宋体" w:hAnsi="宋体" w:eastAsia="宋体" w:cs="宋体"/>
          <w:b/>
          <w:color w:val="auto"/>
          <w:sz w:val="24"/>
          <w:szCs w:val="24"/>
        </w:rPr>
        <w:t>四、提交投标文件截止时间、开标时间和地点</w:t>
      </w:r>
      <w:bookmarkEnd w:id="88"/>
      <w:bookmarkEnd w:id="89"/>
    </w:p>
    <w:p>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bCs/>
          <w:color w:val="auto"/>
          <w:sz w:val="24"/>
          <w:szCs w:val="24"/>
          <w:u w:val="single"/>
        </w:rPr>
      </w:pPr>
      <w:r>
        <w:rPr>
          <w:rFonts w:hint="eastAsia" w:ascii="宋体" w:hAnsi="宋体" w:eastAsia="宋体" w:cs="宋体"/>
          <w:bCs/>
          <w:color w:val="auto"/>
          <w:sz w:val="24"/>
          <w:szCs w:val="24"/>
          <w:highlight w:val="none"/>
        </w:rPr>
        <w:t>1</w:t>
      </w:r>
      <w:r>
        <w:rPr>
          <w:rFonts w:hint="eastAsia" w:ascii="宋体" w:hAnsi="宋体" w:eastAsia="宋体" w:cs="宋体"/>
          <w:color w:val="auto"/>
          <w:sz w:val="24"/>
          <w:szCs w:val="24"/>
          <w:highlight w:val="none"/>
        </w:rPr>
        <w:t>.提交投标文件</w:t>
      </w:r>
      <w:r>
        <w:rPr>
          <w:rFonts w:hint="eastAsia" w:ascii="宋体" w:hAnsi="宋体" w:eastAsia="宋体" w:cs="宋体"/>
          <w:bCs/>
          <w:color w:val="auto"/>
          <w:sz w:val="24"/>
          <w:szCs w:val="24"/>
          <w:highlight w:val="none"/>
        </w:rPr>
        <w:t>截止时间：</w:t>
      </w:r>
      <w:r>
        <w:rPr>
          <w:rFonts w:hint="eastAsia" w:ascii="宋体" w:hAnsi="宋体" w:eastAsia="宋体" w:cs="宋体"/>
          <w:bCs/>
          <w:snapToGrid w:val="0"/>
          <w:color w:val="auto"/>
          <w:sz w:val="24"/>
          <w:szCs w:val="24"/>
          <w:highlight w:val="none"/>
          <w:lang w:eastAsia="zh-CN"/>
        </w:rPr>
        <w:t>2022年</w:t>
      </w:r>
      <w:r>
        <w:rPr>
          <w:rFonts w:hint="eastAsia" w:ascii="宋体" w:hAnsi="宋体" w:eastAsia="宋体" w:cs="宋体"/>
          <w:bCs/>
          <w:snapToGrid w:val="0"/>
          <w:color w:val="auto"/>
          <w:sz w:val="24"/>
          <w:szCs w:val="24"/>
          <w:highlight w:val="none"/>
          <w:lang w:val="en-US" w:eastAsia="zh-CN"/>
        </w:rPr>
        <w:t>10</w:t>
      </w:r>
      <w:r>
        <w:rPr>
          <w:rFonts w:hint="eastAsia" w:ascii="宋体" w:hAnsi="宋体" w:eastAsia="宋体" w:cs="宋体"/>
          <w:bCs/>
          <w:snapToGrid w:val="0"/>
          <w:color w:val="auto"/>
          <w:sz w:val="24"/>
          <w:szCs w:val="24"/>
          <w:highlight w:val="none"/>
          <w:lang w:eastAsia="zh-CN"/>
        </w:rPr>
        <w:t>月</w:t>
      </w:r>
      <w:r>
        <w:rPr>
          <w:rFonts w:hint="eastAsia" w:ascii="宋体" w:hAnsi="宋体" w:eastAsia="宋体" w:cs="宋体"/>
          <w:bCs/>
          <w:snapToGrid w:val="0"/>
          <w:color w:val="auto"/>
          <w:sz w:val="24"/>
          <w:szCs w:val="24"/>
          <w:highlight w:val="none"/>
          <w:lang w:val="en-US" w:eastAsia="zh-CN"/>
        </w:rPr>
        <w:t>10</w:t>
      </w:r>
      <w:r>
        <w:rPr>
          <w:rFonts w:hint="eastAsia" w:ascii="宋体" w:hAnsi="宋体" w:eastAsia="宋体" w:cs="宋体"/>
          <w:bCs/>
          <w:snapToGrid w:val="0"/>
          <w:color w:val="auto"/>
          <w:sz w:val="24"/>
          <w:szCs w:val="24"/>
          <w:highlight w:val="none"/>
          <w:lang w:eastAsia="zh-CN"/>
        </w:rPr>
        <w:t>日</w:t>
      </w:r>
      <w:r>
        <w:rPr>
          <w:rFonts w:hint="eastAsia" w:ascii="宋体" w:hAnsi="宋体" w:eastAsia="宋体" w:cs="宋体"/>
          <w:bCs/>
          <w:snapToGrid w:val="0"/>
          <w:color w:val="auto"/>
          <w:sz w:val="24"/>
          <w:szCs w:val="24"/>
          <w:highlight w:val="none"/>
        </w:rPr>
        <w:t>09</w:t>
      </w:r>
      <w:r>
        <w:rPr>
          <w:rFonts w:hint="eastAsia" w:ascii="宋体" w:hAnsi="宋体" w:eastAsia="宋体" w:cs="宋体"/>
          <w:bCs/>
          <w:color w:val="auto"/>
          <w:sz w:val="24"/>
          <w:szCs w:val="24"/>
          <w:highlight w:val="none"/>
        </w:rPr>
        <w:t>:</w:t>
      </w:r>
      <w:r>
        <w:rPr>
          <w:rFonts w:hint="eastAsia" w:ascii="宋体" w:hAnsi="宋体" w:eastAsia="宋体" w:cs="宋体"/>
          <w:bCs/>
          <w:snapToGrid w:val="0"/>
          <w:color w:val="auto"/>
          <w:sz w:val="24"/>
          <w:szCs w:val="24"/>
          <w:highlight w:val="none"/>
        </w:rPr>
        <w:t>00</w:t>
      </w:r>
      <w:r>
        <w:rPr>
          <w:rFonts w:hint="eastAsia" w:ascii="宋体" w:hAnsi="宋体" w:eastAsia="宋体" w:cs="宋体"/>
          <w:bCs/>
          <w:color w:val="auto"/>
          <w:sz w:val="24"/>
          <w:szCs w:val="24"/>
        </w:rPr>
        <w:t>（北京时间）</w:t>
      </w:r>
    </w:p>
    <w:p>
      <w:pPr>
        <w:keepNext w:val="0"/>
        <w:keepLines w:val="0"/>
        <w:pageBreakBefore w:val="0"/>
        <w:widowControl w:val="0"/>
        <w:kinsoku/>
        <w:overflowPunct/>
        <w:topLinePunct w:val="0"/>
        <w:bidi w:val="0"/>
        <w:snapToGrid w:val="0"/>
        <w:spacing w:line="480" w:lineRule="exact"/>
        <w:ind w:firstLine="480" w:firstLineChars="200"/>
        <w:textAlignment w:val="auto"/>
        <w:outlineLvl w:val="2"/>
        <w:rPr>
          <w:rFonts w:hint="eastAsia" w:ascii="宋体" w:hAnsi="宋体" w:eastAsia="宋体" w:cs="宋体"/>
          <w:color w:val="auto"/>
          <w:sz w:val="24"/>
          <w:szCs w:val="24"/>
        </w:rPr>
      </w:pPr>
      <w:bookmarkStart w:id="90" w:name="_Toc5998"/>
      <w:r>
        <w:rPr>
          <w:rFonts w:hint="eastAsia" w:ascii="宋体" w:hAnsi="宋体" w:eastAsia="宋体" w:cs="宋体"/>
          <w:color w:val="auto"/>
          <w:sz w:val="24"/>
          <w:szCs w:val="24"/>
        </w:rPr>
        <w:t>2.地点（网址）：</w:t>
      </w:r>
      <w:bookmarkEnd w:id="90"/>
    </w:p>
    <w:p>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⑴</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电子加密投标文件：在“政府采购云平台”上传提交，“电子加密投标文件”成功上传提交后，</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自行打印投标文件接收回执；</w:t>
      </w:r>
    </w:p>
    <w:p>
      <w:pPr>
        <w:pStyle w:val="19"/>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⑵</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备份投标文件：</w:t>
      </w:r>
    </w:p>
    <w:p>
      <w:pPr>
        <w:pStyle w:val="19"/>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备份投标文件是否提交由</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自行决定，如不提交的，当电子投标文件无法解密时，将导致无备份投标文件而失去投标资格。</w:t>
      </w:r>
    </w:p>
    <w:p>
      <w:pPr>
        <w:pStyle w:val="19"/>
        <w:keepNext w:val="0"/>
        <w:keepLines w:val="0"/>
        <w:pageBreakBefore w:val="0"/>
        <w:widowControl w:val="0"/>
        <w:kinsoku/>
        <w:overflowPunct/>
        <w:topLinePunct w:val="0"/>
        <w:bidi w:val="0"/>
        <w:adjustRightInd w:val="0"/>
        <w:snapToGrid w:val="0"/>
        <w:spacing w:line="480" w:lineRule="exact"/>
        <w:ind w:lef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rPr>
        <w:t>如提交备份投标文件的，应在投标截止时间前将最后生成的具有电子签章的备份投标文件通过电子邮件方式传送至代理机构邮箱（1262850359@qq.com），传送的备份投标文件须打包压缩</w:t>
      </w:r>
      <w:r>
        <w:rPr>
          <w:rFonts w:hint="eastAsia" w:ascii="宋体" w:hAnsi="宋体" w:eastAsia="宋体" w:cs="宋体"/>
          <w:bCs/>
          <w:color w:val="auto"/>
          <w:sz w:val="24"/>
          <w:szCs w:val="24"/>
          <w:highlight w:val="none"/>
        </w:rPr>
        <w:t>并加密，</w:t>
      </w:r>
      <w:r>
        <w:rPr>
          <w:rFonts w:hint="eastAsia" w:ascii="宋体" w:hAnsi="宋体" w:eastAsia="宋体" w:cs="宋体"/>
          <w:color w:val="auto"/>
          <w:sz w:val="24"/>
          <w:szCs w:val="24"/>
          <w:highlight w:val="none"/>
        </w:rPr>
        <w:t>密码由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自行保管，</w:t>
      </w:r>
      <w:r>
        <w:rPr>
          <w:rFonts w:hint="eastAsia" w:ascii="宋体" w:hAnsi="宋体" w:eastAsia="宋体" w:cs="宋体"/>
          <w:b/>
          <w:color w:val="auto"/>
          <w:sz w:val="24"/>
          <w:szCs w:val="24"/>
          <w:highlight w:val="none"/>
        </w:rPr>
        <w:t>压缩包命名为“备份投标文件”</w:t>
      </w:r>
      <w:r>
        <w:rPr>
          <w:rFonts w:hint="eastAsia" w:ascii="宋体" w:hAnsi="宋体" w:eastAsia="宋体" w:cs="宋体"/>
          <w:color w:val="auto"/>
          <w:sz w:val="24"/>
          <w:szCs w:val="24"/>
          <w:highlight w:val="none"/>
        </w:rPr>
        <w:t>，并在邮件中注明项目名称及</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w:t>
      </w:r>
    </w:p>
    <w:p>
      <w:pPr>
        <w:keepNext w:val="0"/>
        <w:keepLines w:val="0"/>
        <w:pageBreakBefore w:val="0"/>
        <w:widowControl w:val="0"/>
        <w:kinsoku/>
        <w:overflowPunct/>
        <w:topLinePunct w:val="0"/>
        <w:bidi w:val="0"/>
        <w:snapToGrid w:val="0"/>
        <w:spacing w:line="480" w:lineRule="exact"/>
        <w:ind w:firstLine="480" w:firstLineChars="200"/>
        <w:textAlignment w:val="auto"/>
        <w:outlineLvl w:val="2"/>
        <w:rPr>
          <w:rFonts w:hint="eastAsia" w:ascii="宋体" w:hAnsi="宋体" w:eastAsia="宋体" w:cs="宋体"/>
          <w:color w:val="auto"/>
          <w:sz w:val="24"/>
          <w:szCs w:val="24"/>
          <w:highlight w:val="none"/>
        </w:rPr>
      </w:pPr>
      <w:bookmarkStart w:id="91" w:name="_Toc17432"/>
      <w:r>
        <w:rPr>
          <w:rFonts w:hint="eastAsia" w:ascii="宋体" w:hAnsi="宋体" w:eastAsia="宋体" w:cs="宋体"/>
          <w:color w:val="auto"/>
          <w:sz w:val="24"/>
          <w:szCs w:val="24"/>
          <w:highlight w:val="none"/>
        </w:rPr>
        <w:t>3.开启时间：</w:t>
      </w:r>
      <w:r>
        <w:rPr>
          <w:rFonts w:hint="eastAsia" w:ascii="宋体" w:hAnsi="宋体" w:eastAsia="宋体" w:cs="宋体"/>
          <w:color w:val="auto"/>
          <w:sz w:val="24"/>
          <w:szCs w:val="24"/>
          <w:highlight w:val="none"/>
          <w:lang w:eastAsia="zh-CN"/>
        </w:rPr>
        <w:t>2022年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w:t>
      </w:r>
      <w:r>
        <w:rPr>
          <w:rFonts w:hint="eastAsia" w:ascii="宋体" w:hAnsi="宋体" w:eastAsia="宋体" w:cs="宋体"/>
          <w:color w:val="auto"/>
          <w:sz w:val="24"/>
          <w:szCs w:val="24"/>
          <w:highlight w:val="none"/>
        </w:rPr>
        <w:t>09:00（北京时间）</w:t>
      </w:r>
      <w:bookmarkEnd w:id="91"/>
    </w:p>
    <w:p>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4.地点（网址）：</w:t>
      </w:r>
      <w:r>
        <w:rPr>
          <w:rFonts w:hint="eastAsia" w:ascii="宋体" w:hAnsi="宋体" w:eastAsia="宋体" w:cs="宋体"/>
          <w:color w:val="auto"/>
          <w:kern w:val="0"/>
          <w:sz w:val="24"/>
          <w:szCs w:val="24"/>
          <w:highlight w:val="none"/>
        </w:rPr>
        <w:t>庆元县公共</w:t>
      </w:r>
      <w:r>
        <w:rPr>
          <w:rFonts w:hint="eastAsia" w:ascii="宋体" w:hAnsi="宋体" w:eastAsia="宋体" w:cs="宋体"/>
          <w:b w:val="0"/>
          <w:bCs w:val="0"/>
          <w:color w:val="auto"/>
          <w:kern w:val="0"/>
          <w:sz w:val="24"/>
          <w:szCs w:val="24"/>
          <w:highlight w:val="none"/>
        </w:rPr>
        <w:t>资源交易中心</w:t>
      </w:r>
      <w:r>
        <w:rPr>
          <w:rFonts w:hint="eastAsia" w:ascii="宋体" w:hAnsi="宋体" w:eastAsia="宋体" w:cs="宋体"/>
          <w:b w:val="0"/>
          <w:bCs w:val="0"/>
          <w:color w:val="auto"/>
          <w:kern w:val="0"/>
          <w:sz w:val="24"/>
          <w:szCs w:val="24"/>
          <w:highlight w:val="none"/>
          <w:lang w:val="en-US" w:eastAsia="zh-CN"/>
        </w:rPr>
        <w:t>418</w:t>
      </w:r>
      <w:r>
        <w:rPr>
          <w:rFonts w:hint="eastAsia" w:ascii="宋体" w:hAnsi="宋体" w:eastAsia="宋体" w:cs="宋体"/>
          <w:b w:val="0"/>
          <w:bCs w:val="0"/>
          <w:color w:val="auto"/>
          <w:kern w:val="0"/>
          <w:sz w:val="24"/>
          <w:szCs w:val="24"/>
          <w:highlight w:val="none"/>
        </w:rPr>
        <w:t>开标室</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浙江政</w:t>
      </w:r>
      <w:r>
        <w:rPr>
          <w:rFonts w:hint="eastAsia" w:ascii="宋体" w:hAnsi="宋体" w:eastAsia="宋体" w:cs="宋体"/>
          <w:b w:val="0"/>
          <w:bCs w:val="0"/>
          <w:color w:val="auto"/>
          <w:sz w:val="24"/>
          <w:szCs w:val="24"/>
        </w:rPr>
        <w:t>府</w:t>
      </w:r>
      <w:r>
        <w:rPr>
          <w:rFonts w:hint="eastAsia" w:ascii="宋体" w:hAnsi="宋体" w:eastAsia="宋体" w:cs="宋体"/>
          <w:color w:val="auto"/>
          <w:sz w:val="24"/>
          <w:szCs w:val="24"/>
        </w:rPr>
        <w:t>采购网—用户入驻/登录—用户登录—项目采购—开标评标—进入开标大厅</w:t>
      </w:r>
    </w:p>
    <w:bookmarkEnd w:id="72"/>
    <w:bookmarkEnd w:id="73"/>
    <w:bookmarkEnd w:id="74"/>
    <w:bookmarkEnd w:id="75"/>
    <w:bookmarkEnd w:id="76"/>
    <w:bookmarkEnd w:id="77"/>
    <w:bookmarkEnd w:id="81"/>
    <w:bookmarkEnd w:id="82"/>
    <w:bookmarkEnd w:id="83"/>
    <w:bookmarkEnd w:id="84"/>
    <w:p>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auto"/>
          <w:sz w:val="24"/>
          <w:szCs w:val="24"/>
        </w:rPr>
      </w:pPr>
      <w:bookmarkStart w:id="92" w:name="_Toc9409"/>
      <w:bookmarkStart w:id="93" w:name="_Toc17176"/>
      <w:r>
        <w:rPr>
          <w:rFonts w:hint="eastAsia" w:ascii="宋体" w:hAnsi="宋体" w:eastAsia="宋体" w:cs="宋体"/>
          <w:b/>
          <w:color w:val="auto"/>
          <w:sz w:val="24"/>
          <w:szCs w:val="24"/>
        </w:rPr>
        <w:t>五、公告期限</w:t>
      </w:r>
      <w:bookmarkEnd w:id="92"/>
      <w:bookmarkEnd w:id="93"/>
    </w:p>
    <w:p>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自本公告发布之日起3个工作日。</w:t>
      </w:r>
    </w:p>
    <w:p>
      <w:pPr>
        <w:keepNext w:val="0"/>
        <w:keepLines w:val="0"/>
        <w:pageBreakBefore w:val="0"/>
        <w:widowControl w:val="0"/>
        <w:kinsoku/>
        <w:overflowPunct/>
        <w:topLinePunct w:val="0"/>
        <w:bidi w:val="0"/>
        <w:snapToGrid w:val="0"/>
        <w:spacing w:line="480" w:lineRule="exact"/>
        <w:jc w:val="left"/>
        <w:textAlignment w:val="auto"/>
        <w:outlineLvl w:val="1"/>
        <w:rPr>
          <w:rFonts w:hint="eastAsia" w:ascii="宋体" w:hAnsi="宋体" w:eastAsia="宋体" w:cs="宋体"/>
          <w:b/>
          <w:color w:val="auto"/>
          <w:sz w:val="24"/>
          <w:szCs w:val="24"/>
        </w:rPr>
      </w:pPr>
      <w:bookmarkStart w:id="94" w:name="_Toc19971"/>
      <w:bookmarkStart w:id="95" w:name="_Toc35393626"/>
      <w:bookmarkStart w:id="96" w:name="_Toc35393795"/>
      <w:bookmarkStart w:id="97" w:name="_Toc25423"/>
      <w:r>
        <w:rPr>
          <w:rFonts w:hint="eastAsia" w:ascii="宋体" w:hAnsi="宋体" w:eastAsia="宋体" w:cs="宋体"/>
          <w:b/>
          <w:color w:val="auto"/>
          <w:sz w:val="24"/>
          <w:szCs w:val="24"/>
        </w:rPr>
        <w:t>六、其他补充事宜</w:t>
      </w:r>
      <w:bookmarkEnd w:id="94"/>
      <w:bookmarkEnd w:id="95"/>
      <w:bookmarkEnd w:id="96"/>
      <w:bookmarkEnd w:id="97"/>
    </w:p>
    <w:p>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overflowPunct/>
        <w:topLinePunct w:val="0"/>
        <w:bidi w:val="0"/>
        <w:snapToGrid w:val="0"/>
        <w:spacing w:line="480" w:lineRule="exact"/>
        <w:ind w:firstLine="482" w:firstLineChars="200"/>
        <w:textAlignment w:val="auto"/>
        <w:outlineLvl w:val="2"/>
        <w:rPr>
          <w:rFonts w:hint="eastAsia" w:ascii="宋体" w:hAnsi="宋体" w:eastAsia="宋体" w:cs="宋体"/>
          <w:b/>
          <w:color w:val="auto"/>
          <w:kern w:val="0"/>
          <w:sz w:val="24"/>
          <w:szCs w:val="24"/>
        </w:rPr>
      </w:pPr>
      <w:bookmarkStart w:id="98" w:name="_Toc26226"/>
      <w:r>
        <w:rPr>
          <w:rFonts w:hint="eastAsia" w:ascii="宋体" w:hAnsi="宋体" w:eastAsia="宋体" w:cs="宋体"/>
          <w:b/>
          <w:color w:val="auto"/>
          <w:kern w:val="0"/>
          <w:sz w:val="24"/>
          <w:szCs w:val="24"/>
        </w:rPr>
        <w:t>2.其他注意事项：</w:t>
      </w:r>
      <w:bookmarkEnd w:id="98"/>
    </w:p>
    <w:p>
      <w:pPr>
        <w:keepNext w:val="0"/>
        <w:keepLines w:val="0"/>
        <w:pageBreakBefore w:val="0"/>
        <w:widowControl w:val="0"/>
        <w:kinsoku/>
        <w:overflowPunct/>
        <w:topLinePunct w:val="0"/>
        <w:bidi w:val="0"/>
        <w:snapToGrid w:val="0"/>
        <w:spacing w:line="48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2.1本项目采用电子招标，供应商自行决定是否安排人员赴现场参与磋商。</w:t>
      </w:r>
    </w:p>
    <w:p>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新冠病毒疫情防控期间，请供应商严格遵守庆元县新冠肺炎疫情防控指挥部关于疫情防控的规定，并服从现场管理。</w:t>
      </w:r>
    </w:p>
    <w:p>
      <w:pPr>
        <w:keepNext w:val="0"/>
        <w:keepLines w:val="0"/>
        <w:pageBreakBefore w:val="0"/>
        <w:widowControl w:val="0"/>
        <w:kinsoku/>
        <w:overflowPunct/>
        <w:topLinePunct w:val="0"/>
        <w:bidi w:val="0"/>
        <w:snapToGrid w:val="0"/>
        <w:spacing w:line="480" w:lineRule="exact"/>
        <w:ind w:firstLine="472" w:firstLineChars="196"/>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2.2政采云平台注册注意事项：</w:t>
      </w:r>
    </w:p>
    <w:p>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2.2.1供应商未在浙江政府采购网（http://zfcg.czt.zj.gov.cn/）注册成为正式供应商，需前往注册；</w:t>
      </w:r>
    </w:p>
    <w:p>
      <w:pPr>
        <w:keepNext w:val="0"/>
        <w:keepLines w:val="0"/>
        <w:pageBreakBefore w:val="0"/>
        <w:widowControl w:val="0"/>
        <w:kinsoku/>
        <w:overflowPunct/>
        <w:topLinePunct w:val="0"/>
        <w:bidi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2.2.2本项目成交供应商未注册成为浙江政府采购网“正式供应商”的，将无法实现该项目合同备案及付款，由此造成的不利影响由供应商自行承担；</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2.2.3营业执照注册地为浙江省内的供应商请咨询注册地公共资源交易中心（或采购中心），营业执照注册地为浙江省外的供应商请咨询浙江省政府采购中心。</w:t>
      </w:r>
    </w:p>
    <w:p>
      <w:pPr>
        <w:keepNext w:val="0"/>
        <w:keepLines w:val="0"/>
        <w:pageBreakBefore w:val="0"/>
        <w:widowControl w:val="0"/>
        <w:kinsoku/>
        <w:wordWrap/>
        <w:overflowPunct/>
        <w:topLinePunct w:val="0"/>
        <w:autoSpaceDE/>
        <w:autoSpaceDN/>
        <w:bidi w:val="0"/>
        <w:adjustRightInd/>
        <w:snapToGrid w:val="0"/>
        <w:spacing w:line="480" w:lineRule="exact"/>
        <w:jc w:val="left"/>
        <w:textAlignment w:val="auto"/>
        <w:outlineLvl w:val="1"/>
        <w:rPr>
          <w:rFonts w:hint="eastAsia" w:ascii="宋体" w:hAnsi="宋体" w:eastAsia="宋体" w:cs="宋体"/>
          <w:bCs/>
          <w:color w:val="auto"/>
          <w:sz w:val="24"/>
          <w:szCs w:val="24"/>
        </w:rPr>
      </w:pPr>
      <w:bookmarkStart w:id="99" w:name="_Toc35393627"/>
      <w:bookmarkStart w:id="100" w:name="_Toc35393796"/>
      <w:bookmarkStart w:id="101" w:name="_Toc28359085"/>
      <w:bookmarkStart w:id="102" w:name="_Toc28359008"/>
      <w:bookmarkStart w:id="103" w:name="_Toc26156"/>
      <w:bookmarkStart w:id="104" w:name="_Toc16227"/>
      <w:r>
        <w:rPr>
          <w:rFonts w:hint="eastAsia" w:ascii="宋体" w:hAnsi="宋体" w:eastAsia="宋体" w:cs="宋体"/>
          <w:b/>
          <w:color w:val="auto"/>
          <w:sz w:val="24"/>
          <w:szCs w:val="24"/>
        </w:rPr>
        <w:t>七、</w:t>
      </w:r>
      <w:bookmarkEnd w:id="99"/>
      <w:bookmarkEnd w:id="100"/>
      <w:bookmarkEnd w:id="101"/>
      <w:bookmarkEnd w:id="102"/>
      <w:r>
        <w:rPr>
          <w:rFonts w:hint="eastAsia" w:ascii="宋体" w:hAnsi="宋体" w:eastAsia="宋体" w:cs="宋体"/>
          <w:b/>
          <w:bCs/>
          <w:color w:val="auto"/>
          <w:sz w:val="24"/>
          <w:szCs w:val="24"/>
        </w:rPr>
        <w:t>凡对本次招标提出询问、质疑、投诉，请按以下方式联系</w:t>
      </w:r>
      <w:bookmarkEnd w:id="103"/>
      <w:bookmarkEnd w:id="104"/>
    </w:p>
    <w:p>
      <w:pPr>
        <w:keepNext w:val="0"/>
        <w:keepLines w:val="0"/>
        <w:pageBreakBefore w:val="0"/>
        <w:widowControl w:val="0"/>
        <w:tabs>
          <w:tab w:val="left" w:pos="540"/>
        </w:tabs>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auto"/>
          <w:sz w:val="24"/>
          <w:szCs w:val="24"/>
        </w:rPr>
      </w:pPr>
      <w:bookmarkStart w:id="105" w:name="_Toc9331"/>
      <w:r>
        <w:rPr>
          <w:rFonts w:hint="eastAsia" w:ascii="宋体" w:hAnsi="宋体" w:eastAsia="宋体" w:cs="宋体"/>
          <w:color w:val="auto"/>
          <w:sz w:val="24"/>
          <w:szCs w:val="24"/>
        </w:rPr>
        <w:t>1. 采购人名称：</w:t>
      </w:r>
      <w:r>
        <w:rPr>
          <w:rFonts w:hint="eastAsia" w:ascii="宋体" w:hAnsi="宋体" w:eastAsia="宋体" w:cs="宋体"/>
          <w:color w:val="auto"/>
          <w:sz w:val="24"/>
          <w:szCs w:val="24"/>
          <w:lang w:eastAsia="zh-CN"/>
        </w:rPr>
        <w:t>庆元县市场监督管理局</w:t>
      </w:r>
      <w:bookmarkEnd w:id="105"/>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项目联系人：</w:t>
      </w:r>
      <w:r>
        <w:rPr>
          <w:rFonts w:hint="eastAsia" w:ascii="宋体" w:hAnsi="宋体" w:eastAsia="宋体" w:cs="宋体"/>
          <w:color w:val="auto"/>
          <w:sz w:val="24"/>
          <w:szCs w:val="24"/>
          <w:lang w:eastAsia="zh-CN"/>
        </w:rPr>
        <w:t>周</w:t>
      </w:r>
      <w:r>
        <w:rPr>
          <w:rFonts w:hint="eastAsia" w:ascii="宋体" w:hAnsi="宋体" w:eastAsia="宋体" w:cs="宋体"/>
          <w:color w:val="auto"/>
          <w:sz w:val="24"/>
          <w:szCs w:val="24"/>
        </w:rPr>
        <w:t>女士      联系电话：</w:t>
      </w:r>
      <w:r>
        <w:rPr>
          <w:rFonts w:hint="eastAsia" w:ascii="宋体" w:hAnsi="宋体" w:eastAsia="宋体" w:cs="宋体"/>
          <w:color w:val="auto"/>
          <w:sz w:val="24"/>
          <w:szCs w:val="24"/>
          <w:lang w:val="en-US" w:eastAsia="zh-CN"/>
        </w:rPr>
        <w:t>0578-6225151</w:t>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质疑联系人：</w:t>
      </w:r>
      <w:r>
        <w:rPr>
          <w:rFonts w:hint="eastAsia" w:ascii="宋体" w:hAnsi="宋体" w:eastAsia="宋体" w:cs="宋体"/>
          <w:color w:val="auto"/>
          <w:sz w:val="24"/>
          <w:szCs w:val="24"/>
          <w:lang w:eastAsia="zh-CN"/>
        </w:rPr>
        <w:t>吴先生</w:t>
      </w:r>
      <w:r>
        <w:rPr>
          <w:rFonts w:hint="eastAsia" w:ascii="宋体" w:hAnsi="宋体" w:eastAsia="宋体" w:cs="宋体"/>
          <w:color w:val="auto"/>
          <w:sz w:val="24"/>
          <w:szCs w:val="24"/>
        </w:rPr>
        <w:t xml:space="preserve">      联系电话：</w:t>
      </w:r>
      <w:r>
        <w:rPr>
          <w:rFonts w:hint="eastAsia" w:ascii="宋体" w:hAnsi="宋体" w:eastAsia="宋体" w:cs="宋体"/>
          <w:color w:val="auto"/>
          <w:sz w:val="24"/>
          <w:szCs w:val="24"/>
          <w:lang w:val="en-US" w:eastAsia="zh-CN"/>
        </w:rPr>
        <w:t>0578-6225151</w:t>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地址：庆元县濛洲街197号</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auto"/>
          <w:sz w:val="24"/>
          <w:szCs w:val="24"/>
        </w:rPr>
      </w:pPr>
      <w:bookmarkStart w:id="106" w:name="_Toc8389"/>
      <w:r>
        <w:rPr>
          <w:rFonts w:hint="eastAsia" w:ascii="宋体" w:hAnsi="宋体" w:eastAsia="宋体" w:cs="宋体"/>
          <w:color w:val="auto"/>
          <w:sz w:val="24"/>
          <w:szCs w:val="24"/>
        </w:rPr>
        <w:t>2. 采购代理机构名称：浙江诚远工程咨询有限公司</w:t>
      </w:r>
      <w:bookmarkEnd w:id="106"/>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项目负责人：</w:t>
      </w:r>
      <w:r>
        <w:rPr>
          <w:rFonts w:hint="eastAsia" w:ascii="宋体" w:hAnsi="宋体" w:eastAsia="宋体" w:cs="宋体"/>
          <w:color w:val="auto"/>
          <w:sz w:val="24"/>
          <w:szCs w:val="24"/>
          <w:lang w:eastAsia="zh-CN"/>
        </w:rPr>
        <w:t>周伟平</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联系电话：0578-</w:t>
      </w:r>
      <w:r>
        <w:rPr>
          <w:rFonts w:hint="eastAsia" w:ascii="宋体" w:hAnsi="宋体" w:eastAsia="宋体" w:cs="宋体"/>
          <w:color w:val="auto"/>
          <w:sz w:val="24"/>
          <w:szCs w:val="24"/>
          <w:lang w:eastAsia="zh-CN"/>
        </w:rPr>
        <w:t>6163619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18157894032</w:t>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质疑联系人：</w:t>
      </w:r>
      <w:r>
        <w:rPr>
          <w:rFonts w:hint="eastAsia" w:ascii="宋体" w:hAnsi="宋体" w:eastAsia="宋体" w:cs="宋体"/>
          <w:color w:val="auto"/>
          <w:sz w:val="24"/>
          <w:szCs w:val="24"/>
          <w:lang w:eastAsia="zh-CN"/>
        </w:rPr>
        <w:t>夏永聪</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联系电话：0578-</w:t>
      </w:r>
      <w:r>
        <w:rPr>
          <w:rFonts w:hint="eastAsia" w:ascii="宋体" w:hAnsi="宋体" w:eastAsia="宋体" w:cs="宋体"/>
          <w:color w:val="auto"/>
          <w:sz w:val="24"/>
          <w:szCs w:val="24"/>
          <w:lang w:eastAsia="zh-CN"/>
        </w:rPr>
        <w:t>6163619</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18157894032</w:t>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丽水市庆元县大济路236号710室</w:t>
      </w:r>
    </w:p>
    <w:p>
      <w:pPr>
        <w:keepNext w:val="0"/>
        <w:keepLines w:val="0"/>
        <w:pageBreakBefore w:val="0"/>
        <w:widowControl w:val="0"/>
        <w:numPr>
          <w:ilvl w:val="0"/>
          <w:numId w:val="1"/>
        </w:numPr>
        <w:kinsoku/>
        <w:wordWrap/>
        <w:overflowPunct/>
        <w:topLinePunct w:val="0"/>
        <w:autoSpaceDE/>
        <w:autoSpaceDN/>
        <w:bidi w:val="0"/>
        <w:adjustRightInd/>
        <w:snapToGrid w:val="0"/>
        <w:spacing w:line="480" w:lineRule="exact"/>
        <w:ind w:firstLine="480" w:firstLineChars="200"/>
        <w:jc w:val="left"/>
        <w:textAlignment w:val="auto"/>
        <w:outlineLvl w:val="2"/>
        <w:rPr>
          <w:rFonts w:hint="eastAsia" w:ascii="宋体" w:hAnsi="宋体" w:eastAsia="宋体" w:cs="宋体"/>
          <w:color w:val="auto"/>
          <w:sz w:val="24"/>
          <w:szCs w:val="24"/>
        </w:rPr>
      </w:pPr>
      <w:bookmarkStart w:id="107" w:name="_Toc30654"/>
      <w:r>
        <w:rPr>
          <w:rFonts w:hint="eastAsia" w:ascii="宋体" w:hAnsi="宋体" w:eastAsia="宋体" w:cs="宋体"/>
          <w:color w:val="auto"/>
          <w:sz w:val="24"/>
          <w:szCs w:val="24"/>
        </w:rPr>
        <w:t>同级政府采购监督管理部门名称：庆元县财政局</w:t>
      </w:r>
      <w:bookmarkEnd w:id="107"/>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eastAsia="zh-CN"/>
        </w:rPr>
        <w:t>蒋烨芳</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监督投诉电话：0578－6019125</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传真：0578－6019125</w:t>
      </w:r>
    </w:p>
    <w:p>
      <w:pPr>
        <w:keepNext w:val="0"/>
        <w:keepLines w:val="0"/>
        <w:pageBreakBefore w:val="0"/>
        <w:widowControl w:val="0"/>
        <w:kinsoku/>
        <w:wordWrap/>
        <w:overflowPunct/>
        <w:topLinePunct w:val="0"/>
        <w:autoSpaceDE/>
        <w:autoSpaceDN/>
        <w:bidi w:val="0"/>
        <w:adjustRightInd/>
        <w:snapToGrid w:val="0"/>
        <w:spacing w:line="480" w:lineRule="exact"/>
        <w:ind w:firstLine="840" w:firstLineChars="35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 址：庆元县濛洲街198号</w:t>
      </w: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特别提醒：若对项目采购电子交易系统操作有疑问，可登录政采云（https://www.zcygov.cn/），点击右侧咨询小采，获取采小蜜智能服务管家帮助，或拨打政采云服务热线400-881-7190获取热线服务帮助。</w:t>
      </w:r>
    </w:p>
    <w:p>
      <w:pPr>
        <w:pStyle w:val="32"/>
        <w:keepNext w:val="0"/>
        <w:keepLines w:val="0"/>
        <w:pageBreakBefore w:val="0"/>
        <w:widowControl w:val="0"/>
        <w:kinsoku/>
        <w:wordWrap/>
        <w:overflowPunct/>
        <w:topLinePunct w:val="0"/>
        <w:autoSpaceDE/>
        <w:autoSpaceDN/>
        <w:bidi w:val="0"/>
        <w:adjustRightInd/>
        <w:snapToGrid w:val="0"/>
        <w:spacing w:before="0" w:beforeAutospacing="0" w:after="0" w:afterAutospacing="0" w:line="48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CA问题联系电话（人工）：汇信CA 400-888-4636；天谷CA 400-087-8198。</w:t>
      </w:r>
    </w:p>
    <w:p>
      <w:pPr>
        <w:keepNext w:val="0"/>
        <w:keepLines w:val="0"/>
        <w:pageBreakBefore w:val="0"/>
        <w:widowControl w:val="0"/>
        <w:tabs>
          <w:tab w:val="left" w:pos="540"/>
        </w:tabs>
        <w:kinsoku/>
        <w:overflowPunct/>
        <w:topLinePunct w:val="0"/>
        <w:bidi w:val="0"/>
        <w:snapToGrid w:val="0"/>
        <w:spacing w:line="480" w:lineRule="exact"/>
        <w:rPr>
          <w:rFonts w:hint="eastAsia" w:ascii="宋体" w:hAnsi="宋体" w:eastAsia="宋体" w:cs="宋体"/>
          <w:b/>
          <w:bCs/>
          <w:color w:val="auto"/>
          <w:kern w:val="0"/>
          <w:sz w:val="24"/>
          <w:szCs w:val="24"/>
        </w:rPr>
      </w:pPr>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pPr>
        <w:pStyle w:val="7"/>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pPr>
        <w:pStyle w:val="7"/>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pPr>
        <w:keepNext w:val="0"/>
        <w:keepLines w:val="0"/>
        <w:pageBreakBefore w:val="0"/>
        <w:widowControl w:val="0"/>
        <w:kinsoku/>
        <w:overflowPunct/>
        <w:topLinePunct w:val="0"/>
        <w:bidi w:val="0"/>
        <w:rPr>
          <w:rFonts w:hint="eastAsia" w:ascii="宋体" w:hAnsi="宋体" w:eastAsia="宋体" w:cs="宋体"/>
          <w:color w:val="auto"/>
        </w:rPr>
      </w:pPr>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pPr>
        <w:pStyle w:val="7"/>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pPr>
        <w:pStyle w:val="7"/>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pPr>
        <w:pStyle w:val="7"/>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pPr>
        <w:pStyle w:val="7"/>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pPr>
        <w:keepNext w:val="0"/>
        <w:keepLines w:val="0"/>
        <w:pageBreakBefore w:val="0"/>
        <w:widowControl w:val="0"/>
        <w:kinsoku/>
        <w:overflowPunct/>
        <w:topLinePunct w:val="0"/>
        <w:bidi w:val="0"/>
        <w:rPr>
          <w:rFonts w:hint="eastAsia" w:ascii="宋体" w:hAnsi="宋体" w:eastAsia="宋体" w:cs="宋体"/>
          <w:color w:val="auto"/>
        </w:rPr>
      </w:pPr>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rPr>
      </w:pPr>
    </w:p>
    <w:p>
      <w:pPr>
        <w:pStyle w:val="5"/>
        <w:keepNext w:val="0"/>
        <w:keepLines w:val="0"/>
        <w:pageBreakBefore w:val="0"/>
        <w:widowControl w:val="0"/>
        <w:kinsoku/>
        <w:overflowPunct/>
        <w:topLinePunct w:val="0"/>
        <w:bidi w:val="0"/>
        <w:ind w:left="0"/>
        <w:jc w:val="center"/>
        <w:outlineLvl w:val="0"/>
        <w:rPr>
          <w:rFonts w:hint="eastAsia" w:ascii="宋体" w:hAnsi="宋体" w:eastAsia="宋体" w:cs="宋体"/>
          <w:b/>
          <w:bCs/>
          <w:color w:val="auto"/>
          <w:sz w:val="36"/>
          <w:szCs w:val="36"/>
        </w:rPr>
      </w:pPr>
      <w:bookmarkStart w:id="108" w:name="_Toc25530"/>
      <w:bookmarkStart w:id="109" w:name="_Toc13331"/>
      <w:bookmarkStart w:id="110" w:name="_Toc12427"/>
      <w:bookmarkStart w:id="111" w:name="_Toc3304"/>
      <w:r>
        <w:rPr>
          <w:rFonts w:hint="eastAsia" w:ascii="宋体" w:hAnsi="宋体" w:eastAsia="宋体" w:cs="宋体"/>
          <w:b/>
          <w:bCs/>
          <w:color w:val="auto"/>
          <w:sz w:val="36"/>
          <w:szCs w:val="36"/>
        </w:rPr>
        <w:t>第二章  供应商须知</w:t>
      </w:r>
      <w:bookmarkEnd w:id="53"/>
      <w:bookmarkEnd w:id="108"/>
      <w:bookmarkEnd w:id="109"/>
      <w:bookmarkEnd w:id="110"/>
      <w:bookmarkEnd w:id="111"/>
    </w:p>
    <w:p>
      <w:pPr>
        <w:pStyle w:val="6"/>
        <w:keepNext w:val="0"/>
        <w:keepLines w:val="0"/>
        <w:pageBreakBefore w:val="0"/>
        <w:widowControl w:val="0"/>
        <w:tabs>
          <w:tab w:val="left" w:pos="1080"/>
        </w:tabs>
        <w:kinsoku/>
        <w:overflowPunct/>
        <w:topLinePunct w:val="0"/>
        <w:bidi w:val="0"/>
        <w:ind w:left="0" w:firstLine="0"/>
        <w:outlineLvl w:val="1"/>
        <w:rPr>
          <w:rFonts w:hint="eastAsia" w:ascii="宋体" w:hAnsi="宋体" w:eastAsia="宋体" w:cs="宋体"/>
          <w:b/>
          <w:bCs/>
          <w:color w:val="auto"/>
          <w:sz w:val="24"/>
          <w:szCs w:val="24"/>
        </w:rPr>
      </w:pPr>
      <w:bookmarkStart w:id="112" w:name="_Toc3839"/>
      <w:bookmarkStart w:id="113" w:name="_Toc7506"/>
      <w:bookmarkStart w:id="114" w:name="_Toc20644"/>
      <w:r>
        <w:rPr>
          <w:rFonts w:hint="eastAsia" w:ascii="宋体" w:hAnsi="宋体" w:eastAsia="宋体" w:cs="宋体"/>
          <w:b/>
          <w:bCs/>
          <w:color w:val="auto"/>
          <w:sz w:val="24"/>
          <w:szCs w:val="24"/>
        </w:rPr>
        <w:t>前附表</w:t>
      </w:r>
      <w:bookmarkEnd w:id="112"/>
      <w:bookmarkEnd w:id="113"/>
      <w:bookmarkEnd w:id="114"/>
    </w:p>
    <w:tbl>
      <w:tblPr>
        <w:tblStyle w:val="35"/>
        <w:tblW w:w="9354" w:type="dxa"/>
        <w:jc w:val="center"/>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02"/>
        <w:gridCol w:w="2467"/>
        <w:gridCol w:w="1424"/>
        <w:gridCol w:w="3313"/>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
                <w:bCs/>
                <w:snapToGrid w:val="0"/>
                <w:color w:val="auto"/>
                <w:sz w:val="24"/>
                <w:szCs w:val="24"/>
              </w:rPr>
            </w:pPr>
            <w:bookmarkStart w:id="115" w:name="_Toc391969409"/>
            <w:bookmarkStart w:id="116" w:name="_Toc172608433"/>
            <w:r>
              <w:rPr>
                <w:rFonts w:hint="eastAsia" w:ascii="宋体" w:hAnsi="宋体" w:eastAsia="宋体" w:cs="宋体"/>
                <w:b/>
                <w:bCs/>
                <w:snapToGrid w:val="0"/>
                <w:color w:val="auto"/>
                <w:sz w:val="24"/>
                <w:szCs w:val="24"/>
              </w:rPr>
              <w:t>序号</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须知项目</w:t>
            </w:r>
          </w:p>
        </w:tc>
        <w:tc>
          <w:tcPr>
            <w:tcW w:w="7204" w:type="dxa"/>
            <w:gridSpan w:val="3"/>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内容、要求和时间</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项目名称</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snapToGrid w:val="0"/>
                <w:color w:val="auto"/>
                <w:sz w:val="24"/>
                <w:szCs w:val="24"/>
                <w:lang w:eastAsia="zh-CN"/>
              </w:rPr>
            </w:pPr>
            <w:r>
              <w:rPr>
                <w:rFonts w:hint="eastAsia" w:ascii="宋体" w:hAnsi="宋体" w:eastAsia="宋体" w:cs="宋体"/>
                <w:color w:val="auto"/>
                <w:sz w:val="24"/>
                <w:szCs w:val="24"/>
                <w:lang w:eastAsia="zh-CN"/>
              </w:rPr>
              <w:t>2022年庆元县食品安全检验检测服务采购项目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07"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2</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采购人</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snapToGrid w:val="0"/>
                <w:color w:val="auto"/>
                <w:sz w:val="24"/>
                <w:szCs w:val="24"/>
                <w:lang w:eastAsia="zh-CN"/>
              </w:rPr>
            </w:pPr>
            <w:r>
              <w:rPr>
                <w:rFonts w:hint="eastAsia" w:ascii="宋体" w:hAnsi="宋体" w:eastAsia="宋体" w:cs="宋体"/>
                <w:color w:val="auto"/>
                <w:sz w:val="24"/>
                <w:szCs w:val="24"/>
                <w:lang w:eastAsia="zh-CN"/>
              </w:rPr>
              <w:t>庆元县市场监督管理局</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3</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采购代理机构</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浙江诚远工程咨询有限公司</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57"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4</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采购方式</w:t>
            </w:r>
          </w:p>
        </w:tc>
        <w:tc>
          <w:tcPr>
            <w:tcW w:w="2467" w:type="dxa"/>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竞争性磋商</w:t>
            </w:r>
          </w:p>
        </w:tc>
        <w:tc>
          <w:tcPr>
            <w:tcW w:w="1424"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组织方式</w:t>
            </w:r>
          </w:p>
        </w:tc>
        <w:tc>
          <w:tcPr>
            <w:tcW w:w="3313" w:type="dxa"/>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分散采购委托中介</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87"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5</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资格审查方式</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采用资格后审，供应商获取竞争性磋商文件或提交响应文件不表明已获取磋商资格，磋商会上通过资格审查的供应商才具有磋商资格。</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593"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6</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磋商有效期</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snapToGrid w:val="0"/>
                <w:color w:val="auto"/>
                <w:sz w:val="24"/>
                <w:szCs w:val="24"/>
              </w:rPr>
            </w:pPr>
            <w:r>
              <w:rPr>
                <w:rFonts w:hint="eastAsia" w:ascii="宋体" w:hAnsi="宋体" w:eastAsia="宋体" w:cs="宋体"/>
                <w:color w:val="auto"/>
                <w:sz w:val="24"/>
                <w:szCs w:val="24"/>
              </w:rPr>
              <w:t>响应文件提交截止</w:t>
            </w:r>
            <w:r>
              <w:rPr>
                <w:rFonts w:hint="eastAsia" w:ascii="宋体" w:hAnsi="宋体" w:eastAsia="宋体" w:cs="宋体"/>
                <w:bCs/>
                <w:snapToGrid w:val="0"/>
                <w:color w:val="auto"/>
                <w:sz w:val="24"/>
                <w:szCs w:val="24"/>
              </w:rPr>
              <w:t>之日起90天内有效</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2064"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7</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磋商文件</w:t>
            </w:r>
          </w:p>
          <w:p>
            <w:pPr>
              <w:keepNext w:val="0"/>
              <w:keepLines w:val="0"/>
              <w:pageBreakBefore w:val="0"/>
              <w:widowControl w:val="0"/>
              <w:kinsoku/>
              <w:overflowPunct/>
              <w:topLinePunct w:val="0"/>
              <w:bidi w:val="0"/>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质疑</w:t>
            </w:r>
          </w:p>
        </w:tc>
        <w:tc>
          <w:tcPr>
            <w:tcW w:w="7204" w:type="dxa"/>
            <w:gridSpan w:val="3"/>
            <w:vAlign w:val="center"/>
          </w:tcPr>
          <w:p>
            <w:pPr>
              <w:keepNext w:val="0"/>
              <w:keepLines w:val="0"/>
              <w:pageBreakBefore w:val="0"/>
              <w:widowControl w:val="0"/>
              <w:kinsoku/>
              <w:overflowPunct/>
              <w:topLinePunct w:val="0"/>
              <w:bidi w:val="0"/>
              <w:spacing w:line="400" w:lineRule="exact"/>
              <w:rPr>
                <w:rFonts w:hint="eastAsia" w:ascii="宋体" w:hAnsi="宋体" w:eastAsia="宋体" w:cs="宋体"/>
                <w:bCs/>
                <w:snapToGrid w:val="0"/>
                <w:color w:val="auto"/>
                <w:sz w:val="24"/>
                <w:szCs w:val="24"/>
              </w:rPr>
            </w:pPr>
            <w:r>
              <w:rPr>
                <w:rFonts w:hint="eastAsia" w:ascii="宋体" w:hAnsi="宋体" w:eastAsia="宋体" w:cs="宋体"/>
                <w:color w:val="auto"/>
                <w:sz w:val="24"/>
                <w:szCs w:val="24"/>
              </w:rPr>
              <w:t>1、只有通过电子交易平台“潜在供应商”栏获取竞争性磋商文件的供应商才能对竞争性磋商文件提出质疑，否则不予受</w:t>
            </w:r>
            <w:r>
              <w:rPr>
                <w:rFonts w:hint="eastAsia" w:ascii="宋体" w:hAnsi="宋体" w:eastAsia="宋体" w:cs="宋体"/>
                <w:bCs/>
                <w:snapToGrid w:val="0"/>
                <w:color w:val="auto"/>
                <w:sz w:val="24"/>
                <w:szCs w:val="24"/>
              </w:rPr>
              <w:t>理。</w:t>
            </w:r>
          </w:p>
          <w:p>
            <w:pPr>
              <w:keepNext w:val="0"/>
              <w:keepLines w:val="0"/>
              <w:pageBreakBefore w:val="0"/>
              <w:widowControl w:val="0"/>
              <w:kinsoku/>
              <w:overflowPunct/>
              <w:topLinePunct w:val="0"/>
              <w:bidi w:val="0"/>
              <w:spacing w:line="400" w:lineRule="exact"/>
              <w:rPr>
                <w:rFonts w:hint="eastAsia" w:ascii="宋体" w:hAnsi="宋体" w:eastAsia="宋体" w:cs="宋体"/>
                <w:bCs/>
                <w:color w:val="auto"/>
                <w:sz w:val="24"/>
                <w:szCs w:val="24"/>
              </w:rPr>
            </w:pPr>
            <w:r>
              <w:rPr>
                <w:rFonts w:hint="eastAsia" w:ascii="宋体" w:hAnsi="宋体" w:eastAsia="宋体" w:cs="宋体"/>
                <w:bCs/>
                <w:snapToGrid w:val="0"/>
                <w:color w:val="auto"/>
                <w:sz w:val="24"/>
                <w:szCs w:val="24"/>
              </w:rPr>
              <w:t>2、质疑期限为自磋商公告期限届满之日（磋商公告届满日为公告发布后的第4个工作日）起7个工作日内，以书面形式向采购人和采购代理机构一次性提出质疑。</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8</w:t>
            </w:r>
          </w:p>
        </w:tc>
        <w:tc>
          <w:tcPr>
            <w:tcW w:w="1502" w:type="dxa"/>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pacing w:val="-17"/>
                <w:sz w:val="24"/>
                <w:szCs w:val="24"/>
              </w:rPr>
              <w:t>磋商文件澄清或修改时间</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snapToGrid w:val="0"/>
                <w:color w:val="auto"/>
                <w:sz w:val="24"/>
                <w:szCs w:val="24"/>
              </w:rPr>
            </w:pPr>
            <w:r>
              <w:rPr>
                <w:rFonts w:hint="eastAsia" w:ascii="宋体" w:hAnsi="宋体" w:eastAsia="宋体" w:cs="宋体"/>
                <w:bCs/>
                <w:color w:val="auto"/>
                <w:sz w:val="24"/>
                <w:szCs w:val="24"/>
              </w:rPr>
              <w:t>提交响应文件截止时间5日前，</w:t>
            </w:r>
            <w:r>
              <w:rPr>
                <w:rFonts w:hint="eastAsia" w:ascii="宋体" w:hAnsi="宋体" w:eastAsia="宋体" w:cs="宋体"/>
                <w:color w:val="auto"/>
                <w:sz w:val="24"/>
                <w:szCs w:val="24"/>
              </w:rPr>
              <w:t>发布网址同磋商公告发布网址。</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4979"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9</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响应文件</w:t>
            </w:r>
          </w:p>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提交方式</w:t>
            </w:r>
          </w:p>
        </w:tc>
        <w:tc>
          <w:tcPr>
            <w:tcW w:w="7204" w:type="dxa"/>
            <w:gridSpan w:val="3"/>
            <w:vAlign w:val="center"/>
          </w:tcPr>
          <w:p>
            <w:pPr>
              <w:pStyle w:val="19"/>
              <w:keepNext w:val="0"/>
              <w:keepLines w:val="0"/>
              <w:pageBreakBefore w:val="0"/>
              <w:widowControl w:val="0"/>
              <w:kinsoku/>
              <w:overflowPunct/>
              <w:topLinePunct w:val="0"/>
              <w:bidi w:val="0"/>
              <w:adjustRightInd w:val="0"/>
              <w:snapToGrid w:val="0"/>
              <w:spacing w:line="400" w:lineRule="exact"/>
              <w:ind w:left="0"/>
              <w:rPr>
                <w:rFonts w:hint="eastAsia" w:ascii="宋体" w:hAnsi="宋体" w:eastAsia="宋体" w:cs="宋体"/>
                <w:bCs/>
                <w:color w:val="auto"/>
                <w:sz w:val="24"/>
                <w:szCs w:val="24"/>
              </w:rPr>
            </w:pPr>
            <w:r>
              <w:rPr>
                <w:rFonts w:hint="eastAsia" w:ascii="宋体" w:hAnsi="宋体" w:eastAsia="宋体" w:cs="宋体"/>
                <w:bCs/>
                <w:color w:val="auto"/>
                <w:sz w:val="24"/>
                <w:szCs w:val="24"/>
              </w:rPr>
              <w:t>接收人：浙江诚远工程咨询有限公司</w:t>
            </w:r>
          </w:p>
          <w:p>
            <w:pPr>
              <w:pStyle w:val="19"/>
              <w:keepNext w:val="0"/>
              <w:keepLines w:val="0"/>
              <w:pageBreakBefore w:val="0"/>
              <w:widowControl w:val="0"/>
              <w:kinsoku/>
              <w:overflowPunct/>
              <w:topLinePunct w:val="0"/>
              <w:bidi w:val="0"/>
              <w:adjustRightInd w:val="0"/>
              <w:snapToGrid w:val="0"/>
              <w:spacing w:line="400" w:lineRule="exact"/>
              <w:ind w:left="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提交响应文件截止时间：</w:t>
            </w:r>
            <w:r>
              <w:rPr>
                <w:rFonts w:hint="eastAsia" w:ascii="宋体" w:hAnsi="宋体" w:eastAsia="宋体" w:cs="宋体"/>
                <w:b w:val="0"/>
                <w:bCs/>
                <w:color w:val="auto"/>
                <w:sz w:val="24"/>
                <w:szCs w:val="24"/>
                <w:highlight w:val="none"/>
                <w:lang w:eastAsia="zh-CN"/>
              </w:rPr>
              <w:t>2022年</w:t>
            </w:r>
            <w:r>
              <w:rPr>
                <w:rFonts w:hint="eastAsia"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eastAsia="zh-CN"/>
              </w:rPr>
              <w:t>月</w:t>
            </w:r>
            <w:r>
              <w:rPr>
                <w:rFonts w:hint="eastAsia" w:hAnsi="宋体" w:cs="宋体"/>
                <w:b w:val="0"/>
                <w:bCs/>
                <w:color w:val="auto"/>
                <w:sz w:val="24"/>
                <w:szCs w:val="24"/>
                <w:highlight w:val="none"/>
                <w:lang w:val="en-US" w:eastAsia="zh-CN"/>
              </w:rPr>
              <w:t>10</w:t>
            </w:r>
            <w:r>
              <w:rPr>
                <w:rFonts w:hint="eastAsia" w:ascii="宋体" w:hAnsi="宋体" w:eastAsia="宋体" w:cs="宋体"/>
                <w:b w:val="0"/>
                <w:bCs/>
                <w:color w:val="auto"/>
                <w:sz w:val="24"/>
                <w:szCs w:val="24"/>
                <w:highlight w:val="none"/>
                <w:lang w:eastAsia="zh-CN"/>
              </w:rPr>
              <w:t>日</w:t>
            </w:r>
            <w:r>
              <w:rPr>
                <w:rFonts w:hint="eastAsia" w:ascii="宋体" w:hAnsi="宋体" w:eastAsia="宋体" w:cs="宋体"/>
                <w:b w:val="0"/>
                <w:bCs/>
                <w:color w:val="auto"/>
                <w:sz w:val="24"/>
                <w:szCs w:val="24"/>
                <w:highlight w:val="none"/>
              </w:rPr>
              <w:t>09时00分</w:t>
            </w:r>
          </w:p>
          <w:p>
            <w:pPr>
              <w:pStyle w:val="19"/>
              <w:keepNext w:val="0"/>
              <w:keepLines w:val="0"/>
              <w:pageBreakBefore w:val="0"/>
              <w:widowControl w:val="0"/>
              <w:kinsoku/>
              <w:overflowPunct/>
              <w:topLinePunct w:val="0"/>
              <w:bidi w:val="0"/>
              <w:adjustRightInd w:val="0"/>
              <w:snapToGrid w:val="0"/>
              <w:spacing w:line="400" w:lineRule="exact"/>
              <w:ind w:left="0"/>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提交响应文件地点：</w:t>
            </w:r>
          </w:p>
          <w:p>
            <w:pPr>
              <w:pStyle w:val="19"/>
              <w:keepNext w:val="0"/>
              <w:keepLines w:val="0"/>
              <w:pageBreakBefore w:val="0"/>
              <w:widowControl w:val="0"/>
              <w:kinsoku/>
              <w:overflowPunct/>
              <w:topLinePunct w:val="0"/>
              <w:bidi w:val="0"/>
              <w:adjustRightInd w:val="0"/>
              <w:snapToGrid w:val="0"/>
              <w:spacing w:line="400" w:lineRule="exact"/>
              <w:ind w:left="0"/>
              <w:rPr>
                <w:rFonts w:hint="eastAsia" w:ascii="宋体" w:hAnsi="宋体" w:eastAsia="宋体" w:cs="宋体"/>
                <w:bCs/>
                <w:color w:val="auto"/>
                <w:sz w:val="24"/>
                <w:szCs w:val="24"/>
              </w:rPr>
            </w:pPr>
            <w:r>
              <w:rPr>
                <w:rFonts w:hint="eastAsia" w:ascii="宋体" w:hAnsi="宋体" w:eastAsia="宋体" w:cs="宋体"/>
                <w:bCs/>
                <w:color w:val="auto"/>
                <w:sz w:val="24"/>
                <w:szCs w:val="24"/>
              </w:rPr>
              <w:t>（1）电子响应文件：磋商截止时间前在政采云平台完成电子响应文件的传输提交；</w:t>
            </w:r>
          </w:p>
          <w:p>
            <w:pPr>
              <w:pStyle w:val="19"/>
              <w:keepNext w:val="0"/>
              <w:keepLines w:val="0"/>
              <w:pageBreakBefore w:val="0"/>
              <w:widowControl w:val="0"/>
              <w:kinsoku/>
              <w:overflowPunct/>
              <w:topLinePunct w:val="0"/>
              <w:bidi w:val="0"/>
              <w:adjustRightInd w:val="0"/>
              <w:snapToGrid w:val="0"/>
              <w:spacing w:line="400" w:lineRule="exact"/>
              <w:ind w:left="0"/>
              <w:rPr>
                <w:rFonts w:hint="eastAsia" w:ascii="宋体" w:hAnsi="宋体" w:eastAsia="宋体" w:cs="宋体"/>
                <w:bCs/>
                <w:color w:val="auto"/>
                <w:sz w:val="24"/>
                <w:szCs w:val="24"/>
              </w:rPr>
            </w:pPr>
            <w:r>
              <w:rPr>
                <w:rFonts w:hint="eastAsia" w:ascii="宋体" w:hAnsi="宋体" w:eastAsia="宋体" w:cs="宋体"/>
                <w:bCs/>
                <w:color w:val="auto"/>
                <w:sz w:val="24"/>
                <w:szCs w:val="24"/>
              </w:rPr>
              <w:t>（2）备份响应文件：备份响应文件是否提交由供应商自行决定，如不提交的，当电子响应文件无法解密时，将导致无备份响应文件而失去磋商资格；如提交备份响应文件的，应在磋商截止时间前将最后生成的具有电子签章的备份响应文件通过电子邮件方式传送至代理机构邮箱（1262850359@qq.com），传送的备份响应文件须打包压缩并加密，密码由供应商自行保管，压缩包命名为“备份响应文件”，并在邮件中注明供应商名称及项目名称</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58"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10</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磋商时间</w:t>
            </w:r>
          </w:p>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及地点</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时间：</w:t>
            </w:r>
            <w:r>
              <w:rPr>
                <w:rFonts w:hint="eastAsia" w:ascii="宋体" w:hAnsi="宋体" w:eastAsia="宋体" w:cs="宋体"/>
                <w:b/>
                <w:color w:val="auto"/>
                <w:sz w:val="24"/>
                <w:u w:val="single"/>
                <w:lang w:eastAsia="zh-CN"/>
              </w:rPr>
              <w:t>2022年</w:t>
            </w:r>
            <w:r>
              <w:rPr>
                <w:rFonts w:hint="eastAsia" w:ascii="宋体" w:hAnsi="宋体" w:eastAsia="宋体" w:cs="宋体"/>
                <w:b/>
                <w:color w:val="auto"/>
                <w:sz w:val="24"/>
                <w:u w:val="single"/>
                <w:lang w:val="en-US" w:eastAsia="zh-CN"/>
              </w:rPr>
              <w:t>10</w:t>
            </w:r>
            <w:r>
              <w:rPr>
                <w:rFonts w:hint="eastAsia" w:ascii="宋体" w:hAnsi="宋体" w:eastAsia="宋体" w:cs="宋体"/>
                <w:b/>
                <w:color w:val="auto"/>
                <w:sz w:val="24"/>
                <w:u w:val="single"/>
                <w:lang w:eastAsia="zh-CN"/>
              </w:rPr>
              <w:t>月</w:t>
            </w:r>
            <w:r>
              <w:rPr>
                <w:rFonts w:hint="eastAsia" w:ascii="宋体" w:hAnsi="宋体" w:eastAsia="宋体" w:cs="宋体"/>
                <w:b/>
                <w:color w:val="auto"/>
                <w:sz w:val="24"/>
                <w:u w:val="single"/>
                <w:lang w:val="en-US" w:eastAsia="zh-CN"/>
              </w:rPr>
              <w:t>10</w:t>
            </w:r>
            <w:r>
              <w:rPr>
                <w:rFonts w:hint="eastAsia" w:ascii="宋体" w:hAnsi="宋体" w:eastAsia="宋体" w:cs="宋体"/>
                <w:b/>
                <w:color w:val="auto"/>
                <w:sz w:val="24"/>
                <w:u w:val="single"/>
                <w:lang w:eastAsia="zh-CN"/>
              </w:rPr>
              <w:t>日9时00分</w:t>
            </w:r>
          </w:p>
          <w:p>
            <w:pPr>
              <w:keepNext w:val="0"/>
              <w:keepLines w:val="0"/>
              <w:pageBreakBefore w:val="0"/>
              <w:widowControl w:val="0"/>
              <w:kinsoku/>
              <w:overflowPunct/>
              <w:topLinePunct w:val="0"/>
              <w:bidi w:val="0"/>
              <w:snapToGrid w:val="0"/>
              <w:spacing w:line="480" w:lineRule="exact"/>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地点：浙江政府采购网</w:t>
            </w:r>
            <w:r>
              <w:rPr>
                <w:rFonts w:hint="eastAsia" w:ascii="宋体" w:hAnsi="宋体" w:eastAsia="宋体" w:cs="宋体"/>
                <w:color w:val="auto"/>
                <w:kern w:val="0"/>
                <w:sz w:val="24"/>
                <w:szCs w:val="24"/>
                <w:lang w:val="en-US"/>
              </w:rPr>
              <w:t>http://zfcg.czt.zj.gov.cn</w:t>
            </w:r>
          </w:p>
          <w:p>
            <w:pPr>
              <w:pStyle w:val="42"/>
              <w:keepNext w:val="0"/>
              <w:keepLines w:val="0"/>
              <w:pageBreakBefore w:val="0"/>
              <w:widowControl w:val="0"/>
              <w:kinsoku/>
              <w:overflowPunct/>
              <w:topLinePunct w:val="0"/>
              <w:bidi w:val="0"/>
              <w:rPr>
                <w:rFonts w:hint="eastAsia" w:ascii="宋体" w:hAnsi="宋体" w:eastAsia="宋体" w:cs="宋体"/>
                <w:color w:val="auto"/>
                <w:szCs w:val="24"/>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71"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11</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成交结果公告及成交通知书</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kern w:val="0"/>
                <w:sz w:val="24"/>
                <w:szCs w:val="24"/>
              </w:rPr>
              <w:t>评审报告经采购人确认后2个工作日内，成交公告在浙江政府采购网（</w:t>
            </w:r>
            <w:r>
              <w:rPr>
                <w:rStyle w:val="40"/>
                <w:rFonts w:hint="eastAsia" w:ascii="宋体" w:hAnsi="宋体" w:eastAsia="宋体" w:cs="宋体"/>
                <w:color w:val="auto"/>
                <w:sz w:val="24"/>
                <w:szCs w:val="24"/>
              </w:rPr>
              <w:t>http</w:t>
            </w:r>
            <w:r>
              <w:rPr>
                <w:rStyle w:val="40"/>
                <w:rFonts w:hint="eastAsia" w:ascii="宋体" w:hAnsi="宋体" w:eastAsia="宋体" w:cs="宋体"/>
                <w:color w:val="auto"/>
                <w:sz w:val="24"/>
                <w:szCs w:val="24"/>
                <w:lang w:eastAsia="zh-CN"/>
              </w:rPr>
              <w:t>：</w:t>
            </w:r>
            <w:r>
              <w:rPr>
                <w:rStyle w:val="40"/>
                <w:rFonts w:hint="eastAsia" w:ascii="宋体" w:hAnsi="宋体" w:eastAsia="宋体" w:cs="宋体"/>
                <w:color w:val="auto"/>
                <w:sz w:val="24"/>
                <w:szCs w:val="24"/>
              </w:rPr>
              <w:t>//zfcg.czt.zj.gov.cn</w:t>
            </w:r>
            <w:r>
              <w:rPr>
                <w:rFonts w:hint="eastAsia" w:ascii="宋体" w:hAnsi="宋体" w:eastAsia="宋体" w:cs="宋体"/>
                <w:color w:val="auto"/>
                <w:sz w:val="24"/>
                <w:szCs w:val="24"/>
                <w:u w:val="single"/>
              </w:rPr>
              <w:t>/</w:t>
            </w:r>
            <w:r>
              <w:rPr>
                <w:rFonts w:hint="eastAsia" w:ascii="宋体" w:hAnsi="宋体" w:eastAsia="宋体" w:cs="宋体"/>
                <w:bCs/>
                <w:color w:val="auto"/>
                <w:kern w:val="0"/>
                <w:sz w:val="24"/>
                <w:szCs w:val="24"/>
              </w:rPr>
              <w:t>）、丽水市公共资源交易网（庆元）（http</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//lssggzy.lishui.gov.cn/qyweb/）等媒体上发布，并同时发出成交通知书。</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12</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评审办法和细则</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详见本磋商文件第六章</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14"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13</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签订合同</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t>成交通知书发出之日起10日内，按照磋商文件确定的事项签订政府采购合同</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08"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14</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发布媒体</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color w:val="auto"/>
                <w:sz w:val="22"/>
              </w:rPr>
            </w:pPr>
            <w:r>
              <w:rPr>
                <w:rFonts w:hint="eastAsia" w:ascii="宋体" w:hAnsi="宋体" w:eastAsia="宋体" w:cs="宋体"/>
                <w:bCs/>
                <w:color w:val="auto"/>
                <w:sz w:val="24"/>
                <w:szCs w:val="24"/>
              </w:rPr>
              <w:t>浙</w:t>
            </w:r>
            <w:r>
              <w:rPr>
                <w:rFonts w:hint="eastAsia" w:ascii="宋体" w:hAnsi="宋体" w:eastAsia="宋体" w:cs="宋体"/>
                <w:bCs/>
                <w:color w:val="auto"/>
                <w:sz w:val="22"/>
              </w:rPr>
              <w:t>江政府采购网（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"http://zfcg.czt.zj.gov.cn/" </w:instrText>
            </w:r>
            <w:r>
              <w:rPr>
                <w:rFonts w:hint="eastAsia" w:ascii="宋体" w:hAnsi="宋体" w:eastAsia="宋体" w:cs="宋体"/>
                <w:color w:val="auto"/>
              </w:rPr>
              <w:fldChar w:fldCharType="separate"/>
            </w:r>
            <w:r>
              <w:rPr>
                <w:rStyle w:val="40"/>
                <w:rFonts w:hint="eastAsia" w:ascii="宋体" w:hAnsi="宋体" w:eastAsia="宋体" w:cs="宋体"/>
                <w:color w:val="auto"/>
                <w:sz w:val="22"/>
              </w:rPr>
              <w:t>http</w:t>
            </w:r>
            <w:r>
              <w:rPr>
                <w:rStyle w:val="40"/>
                <w:rFonts w:hint="eastAsia" w:ascii="宋体" w:hAnsi="宋体" w:eastAsia="宋体" w:cs="宋体"/>
                <w:color w:val="auto"/>
                <w:sz w:val="22"/>
                <w:lang w:eastAsia="zh-CN"/>
              </w:rPr>
              <w:t>：</w:t>
            </w:r>
            <w:r>
              <w:rPr>
                <w:rStyle w:val="40"/>
                <w:rFonts w:hint="eastAsia" w:ascii="宋体" w:hAnsi="宋体" w:eastAsia="宋体" w:cs="宋体"/>
                <w:color w:val="auto"/>
                <w:sz w:val="22"/>
              </w:rPr>
              <w:t>//zfcg.czt.zj.gov.cn/</w:t>
            </w:r>
            <w:r>
              <w:rPr>
                <w:rStyle w:val="40"/>
                <w:rFonts w:hint="eastAsia" w:ascii="宋体" w:hAnsi="宋体" w:eastAsia="宋体" w:cs="宋体"/>
                <w:color w:val="auto"/>
                <w:sz w:val="22"/>
              </w:rPr>
              <w:fldChar w:fldCharType="end"/>
            </w:r>
            <w:r>
              <w:rPr>
                <w:rFonts w:hint="eastAsia" w:ascii="宋体" w:hAnsi="宋体" w:eastAsia="宋体" w:cs="宋体"/>
                <w:bCs/>
                <w:color w:val="auto"/>
                <w:sz w:val="22"/>
              </w:rPr>
              <w:t>）</w:t>
            </w:r>
          </w:p>
          <w:p>
            <w:pPr>
              <w:keepNext w:val="0"/>
              <w:keepLines w:val="0"/>
              <w:pageBreakBefore w:val="0"/>
              <w:widowControl w:val="0"/>
              <w:kinsoku/>
              <w:overflowPunct/>
              <w:topLinePunct w:val="0"/>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kern w:val="0"/>
                <w:sz w:val="22"/>
              </w:rPr>
              <w:t>丽水市公共资源交易网（庆元）（http</w:t>
            </w:r>
            <w:r>
              <w:rPr>
                <w:rFonts w:hint="eastAsia" w:ascii="宋体" w:hAnsi="宋体" w:eastAsia="宋体" w:cs="宋体"/>
                <w:bCs/>
                <w:color w:val="auto"/>
                <w:kern w:val="0"/>
                <w:sz w:val="22"/>
                <w:lang w:eastAsia="zh-CN"/>
              </w:rPr>
              <w:t>：</w:t>
            </w:r>
            <w:r>
              <w:rPr>
                <w:rFonts w:hint="eastAsia" w:ascii="宋体" w:hAnsi="宋体" w:eastAsia="宋体" w:cs="宋体"/>
                <w:bCs/>
                <w:color w:val="auto"/>
                <w:kern w:val="0"/>
                <w:sz w:val="22"/>
              </w:rPr>
              <w:t>//lssggzy.lishui.gov.cn/qyweb/）</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935"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snapToGrid w:val="0"/>
                <w:color w:val="auto"/>
                <w:sz w:val="24"/>
                <w:szCs w:val="24"/>
              </w:rPr>
              <w:t>15</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Cs/>
                <w:snapToGrid w:val="0"/>
                <w:color w:val="auto"/>
                <w:sz w:val="24"/>
                <w:szCs w:val="24"/>
              </w:rPr>
            </w:pPr>
            <w:r>
              <w:rPr>
                <w:rFonts w:hint="eastAsia" w:ascii="宋体" w:hAnsi="宋体" w:eastAsia="宋体" w:cs="宋体"/>
                <w:bCs/>
                <w:color w:val="auto"/>
                <w:sz w:val="24"/>
                <w:szCs w:val="24"/>
              </w:rPr>
              <w:t>竞争性磋商文件</w:t>
            </w:r>
            <w:r>
              <w:rPr>
                <w:rFonts w:hint="eastAsia" w:ascii="宋体" w:hAnsi="宋体" w:eastAsia="宋体" w:cs="宋体"/>
                <w:bCs/>
                <w:snapToGrid w:val="0"/>
                <w:color w:val="auto"/>
                <w:sz w:val="24"/>
                <w:szCs w:val="24"/>
              </w:rPr>
              <w:t>解释</w:t>
            </w:r>
          </w:p>
        </w:tc>
        <w:tc>
          <w:tcPr>
            <w:tcW w:w="7204" w:type="dxa"/>
            <w:gridSpan w:val="3"/>
            <w:vAlign w:val="center"/>
          </w:tcPr>
          <w:p>
            <w:pPr>
              <w:keepNext w:val="0"/>
              <w:keepLines w:val="0"/>
              <w:pageBreakBefore w:val="0"/>
              <w:widowControl w:val="0"/>
              <w:kinsoku/>
              <w:overflowPunct/>
              <w:topLinePunct w:val="0"/>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2"/>
              </w:rPr>
              <w:t>本项目竞争性磋商文件的解释权属于浙江诚远工程咨询有限公司</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254"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
                <w:bCs/>
                <w:snapToGrid w:val="0"/>
                <w:color w:val="auto"/>
                <w:sz w:val="24"/>
                <w:szCs w:val="24"/>
              </w:rPr>
            </w:pPr>
            <w:r>
              <w:rPr>
                <w:rFonts w:hint="eastAsia" w:ascii="宋体" w:hAnsi="宋体" w:eastAsia="宋体" w:cs="宋体"/>
                <w:b/>
                <w:bCs/>
                <w:snapToGrid w:val="0"/>
                <w:color w:val="auto"/>
                <w:sz w:val="24"/>
                <w:szCs w:val="24"/>
              </w:rPr>
              <w:t>16</w:t>
            </w:r>
          </w:p>
        </w:tc>
        <w:tc>
          <w:tcPr>
            <w:tcW w:w="1502"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供应商解</w:t>
            </w:r>
          </w:p>
          <w:p>
            <w:pPr>
              <w:keepNext w:val="0"/>
              <w:keepLines w:val="0"/>
              <w:pageBreakBefore w:val="0"/>
              <w:widowControl w:val="0"/>
              <w:kinsoku/>
              <w:overflowPunct/>
              <w:topLinePunct w:val="0"/>
              <w:bidi w:val="0"/>
              <w:spacing w:line="44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密硬件准备</w:t>
            </w:r>
          </w:p>
        </w:tc>
        <w:tc>
          <w:tcPr>
            <w:tcW w:w="7204" w:type="dxa"/>
            <w:gridSpan w:val="3"/>
            <w:vAlign w:val="center"/>
          </w:tcPr>
          <w:p>
            <w:pPr>
              <w:keepNext w:val="0"/>
              <w:keepLines w:val="0"/>
              <w:pageBreakBefore w:val="0"/>
              <w:widowControl w:val="0"/>
              <w:kinsoku/>
              <w:overflowPunct/>
              <w:topLinePunct w:val="0"/>
              <w:bidi w:val="0"/>
              <w:spacing w:line="400" w:lineRule="exact"/>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1.电脑、网络（供电子响应文件解密和澄清答疑使用）；</w:t>
            </w:r>
          </w:p>
          <w:p>
            <w:pPr>
              <w:keepNext w:val="0"/>
              <w:keepLines w:val="0"/>
              <w:pageBreakBefore w:val="0"/>
              <w:widowControl w:val="0"/>
              <w:kinsoku/>
              <w:overflowPunct/>
              <w:topLinePunct w:val="0"/>
              <w:bidi w:val="0"/>
              <w:spacing w:line="400" w:lineRule="exact"/>
              <w:jc w:val="left"/>
              <w:rPr>
                <w:rFonts w:hint="eastAsia" w:ascii="宋体" w:hAnsi="宋体" w:eastAsia="宋体" w:cs="宋体"/>
                <w:b/>
                <w:color w:val="auto"/>
                <w:sz w:val="24"/>
                <w:szCs w:val="24"/>
              </w:rPr>
            </w:pPr>
            <w:r>
              <w:rPr>
                <w:rFonts w:hint="eastAsia" w:ascii="宋体" w:hAnsi="宋体" w:eastAsia="宋体" w:cs="宋体"/>
                <w:b/>
                <w:bCs/>
                <w:color w:val="auto"/>
                <w:sz w:val="24"/>
                <w:szCs w:val="24"/>
              </w:rPr>
              <w:t>2.电子响应文件解密CA锁(即原编制电子响应文件加密的CA锁)；</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single" w:color="auto" w:sz="4" w:space="0"/>
          </w:tblBorders>
          <w:tblCellMar>
            <w:top w:w="0" w:type="dxa"/>
            <w:left w:w="108" w:type="dxa"/>
            <w:bottom w:w="0" w:type="dxa"/>
            <w:right w:w="108" w:type="dxa"/>
          </w:tblCellMar>
        </w:tblPrEx>
        <w:trPr>
          <w:cantSplit/>
          <w:trHeight w:val="1799" w:hRule="exact"/>
          <w:jc w:val="center"/>
        </w:trPr>
        <w:tc>
          <w:tcPr>
            <w:tcW w:w="648" w:type="dxa"/>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b/>
                <w:bCs/>
                <w:snapToGrid w:val="0"/>
                <w:color w:val="auto"/>
                <w:spacing w:val="0"/>
                <w:w w:val="100"/>
                <w:kern w:val="0"/>
                <w:sz w:val="24"/>
                <w:szCs w:val="24"/>
                <w:lang w:val="en-US" w:eastAsia="zh-CN" w:bidi="ar-SA"/>
              </w:rPr>
            </w:pPr>
            <w:bookmarkStart w:id="117" w:name="_Toc390938575"/>
            <w:r>
              <w:rPr>
                <w:rFonts w:hint="eastAsia" w:ascii="宋体" w:hAnsi="宋体" w:eastAsia="宋体" w:cs="宋体"/>
                <w:b/>
                <w:bCs/>
                <w:snapToGrid w:val="0"/>
                <w:color w:val="auto"/>
                <w:spacing w:val="0"/>
                <w:w w:val="100"/>
                <w:kern w:val="0"/>
                <w:sz w:val="24"/>
                <w:szCs w:val="24"/>
                <w:lang w:val="en-US" w:eastAsia="zh-CN"/>
              </w:rPr>
              <w:t>17</w:t>
            </w:r>
          </w:p>
        </w:tc>
        <w:tc>
          <w:tcPr>
            <w:tcW w:w="1502" w:type="dxa"/>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rPr>
              <w:t>特别提醒</w:t>
            </w:r>
          </w:p>
        </w:tc>
        <w:tc>
          <w:tcPr>
            <w:tcW w:w="7204" w:type="dxa"/>
            <w:gridSpan w:val="3"/>
            <w:vAlign w:val="center"/>
          </w:tcPr>
          <w:p>
            <w:pPr>
              <w:keepNext w:val="0"/>
              <w:keepLines w:val="0"/>
              <w:pageBreakBefore w:val="0"/>
              <w:widowControl w:val="0"/>
              <w:kinsoku/>
              <w:overflowPunct/>
              <w:topLinePunct w:val="0"/>
              <w:bidi w:val="0"/>
              <w:spacing w:line="400" w:lineRule="exac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eastAsia="zh-CN"/>
              </w:rPr>
              <w:t>中标人</w:t>
            </w:r>
            <w:r>
              <w:rPr>
                <w:rFonts w:hint="eastAsia" w:ascii="宋体" w:hAnsi="宋体" w:eastAsia="宋体" w:cs="宋体"/>
                <w:b/>
                <w:bCs/>
                <w:color w:val="auto"/>
                <w:sz w:val="24"/>
                <w:szCs w:val="24"/>
                <w:highlight w:val="none"/>
              </w:rPr>
              <w:t>应提供与电子</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内容一致的纸质</w:t>
            </w:r>
            <w:r>
              <w:rPr>
                <w:rFonts w:hint="eastAsia" w:ascii="宋体" w:hAnsi="宋体" w:eastAsia="宋体" w:cs="宋体"/>
                <w:b/>
                <w:bCs/>
                <w:color w:val="auto"/>
                <w:sz w:val="24"/>
                <w:szCs w:val="24"/>
                <w:highlight w:val="none"/>
                <w:lang w:eastAsia="zh-CN"/>
              </w:rPr>
              <w:t>投标文件</w:t>
            </w:r>
            <w:r>
              <w:rPr>
                <w:rFonts w:hint="eastAsia" w:ascii="宋体" w:hAnsi="宋体" w:eastAsia="宋体" w:cs="宋体"/>
                <w:b/>
                <w:bCs/>
                <w:color w:val="auto"/>
                <w:sz w:val="24"/>
                <w:szCs w:val="24"/>
                <w:highlight w:val="none"/>
              </w:rPr>
              <w:t>副本三份，装订成册，采用胶订或线订，不得采用活页夹等可随时拆换的方式装订。</w:t>
            </w:r>
          </w:p>
        </w:tc>
      </w:tr>
      <w:bookmarkEnd w:id="115"/>
      <w:bookmarkEnd w:id="116"/>
    </w:tbl>
    <w:p>
      <w:pPr>
        <w:pStyle w:val="16"/>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pPr>
        <w:pStyle w:val="16"/>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pPr>
        <w:pStyle w:val="16"/>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pPr>
        <w:pStyle w:val="16"/>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pPr>
        <w:pStyle w:val="16"/>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pPr>
        <w:pStyle w:val="16"/>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pPr>
        <w:pStyle w:val="16"/>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pPr>
        <w:pStyle w:val="16"/>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pPr>
        <w:pStyle w:val="16"/>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pPr>
        <w:pStyle w:val="16"/>
        <w:keepNext w:val="0"/>
        <w:keepLines w:val="0"/>
        <w:pageBreakBefore w:val="0"/>
        <w:widowControl w:val="0"/>
        <w:kinsoku/>
        <w:overflowPunct/>
        <w:topLinePunct w:val="0"/>
        <w:bidi w:val="0"/>
        <w:ind w:left="0" w:leftChars="0" w:right="1470"/>
        <w:rPr>
          <w:rFonts w:hint="eastAsia" w:ascii="宋体" w:hAnsi="宋体" w:eastAsia="宋体" w:cs="宋体"/>
          <w:color w:val="auto"/>
          <w:sz w:val="24"/>
        </w:rPr>
      </w:pPr>
    </w:p>
    <w:p>
      <w:pPr>
        <w:pStyle w:val="6"/>
        <w:keepNext w:val="0"/>
        <w:keepLines w:val="0"/>
        <w:pageBreakBefore w:val="0"/>
        <w:widowControl w:val="0"/>
        <w:kinsoku/>
        <w:overflowPunct/>
        <w:topLinePunct w:val="0"/>
        <w:bidi w:val="0"/>
        <w:spacing w:line="560" w:lineRule="exact"/>
        <w:ind w:left="0" w:firstLine="0"/>
        <w:rPr>
          <w:rFonts w:hint="eastAsia" w:ascii="宋体" w:hAnsi="宋体" w:eastAsia="宋体" w:cs="宋体"/>
          <w:b/>
          <w:bCs/>
          <w:color w:val="auto"/>
          <w:sz w:val="28"/>
          <w:szCs w:val="28"/>
        </w:rPr>
      </w:pPr>
      <w:bookmarkStart w:id="118" w:name="_Toc29281"/>
      <w:bookmarkStart w:id="119" w:name="_Toc31159"/>
      <w:bookmarkStart w:id="120" w:name="_Toc14774"/>
      <w:r>
        <w:rPr>
          <w:rFonts w:hint="eastAsia" w:ascii="宋体" w:hAnsi="宋体" w:eastAsia="宋体" w:cs="宋体"/>
          <w:b/>
          <w:bCs/>
          <w:color w:val="auto"/>
          <w:sz w:val="28"/>
          <w:szCs w:val="28"/>
        </w:rPr>
        <w:t>一</w:t>
      </w:r>
      <w:bookmarkEnd w:id="117"/>
      <w:r>
        <w:rPr>
          <w:rFonts w:hint="eastAsia" w:ascii="宋体" w:hAnsi="宋体" w:eastAsia="宋体" w:cs="宋体"/>
          <w:b/>
          <w:bCs/>
          <w:color w:val="auto"/>
          <w:sz w:val="28"/>
          <w:szCs w:val="28"/>
        </w:rPr>
        <w:t xml:space="preserve">  总则</w:t>
      </w:r>
      <w:bookmarkEnd w:id="118"/>
      <w:bookmarkEnd w:id="119"/>
      <w:bookmarkEnd w:id="120"/>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rPr>
      </w:pPr>
      <w:bookmarkStart w:id="121" w:name="_Toc19409"/>
      <w:bookmarkStart w:id="122" w:name="_Toc1391"/>
      <w:r>
        <w:rPr>
          <w:rFonts w:hint="eastAsia" w:ascii="宋体" w:hAnsi="宋体" w:eastAsia="宋体" w:cs="宋体"/>
          <w:b/>
          <w:color w:val="auto"/>
          <w:sz w:val="24"/>
          <w:szCs w:val="24"/>
        </w:rPr>
        <w:t>1. 适用范围</w:t>
      </w:r>
      <w:bookmarkEnd w:id="121"/>
      <w:bookmarkEnd w:id="122"/>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 磋商文件适用于本次所述项目的采购行为（法律、法规另有规定的，从其规定）。</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Cs/>
          <w:color w:val="auto"/>
          <w:sz w:val="24"/>
          <w:szCs w:val="24"/>
        </w:rPr>
      </w:pPr>
      <w:bookmarkStart w:id="123" w:name="_Toc31898"/>
      <w:bookmarkStart w:id="124" w:name="_Toc2645"/>
      <w:r>
        <w:rPr>
          <w:rFonts w:hint="eastAsia" w:ascii="宋体" w:hAnsi="宋体" w:eastAsia="宋体" w:cs="宋体"/>
          <w:b/>
          <w:color w:val="auto"/>
          <w:sz w:val="24"/>
          <w:szCs w:val="24"/>
        </w:rPr>
        <w:t>2. 定义</w:t>
      </w:r>
      <w:bookmarkEnd w:id="123"/>
      <w:bookmarkEnd w:id="12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2.1 “采购人”系指 </w:t>
      </w:r>
      <w:r>
        <w:rPr>
          <w:rFonts w:hint="eastAsia" w:ascii="宋体" w:hAnsi="宋体" w:eastAsia="宋体" w:cs="宋体"/>
          <w:bCs/>
          <w:color w:val="auto"/>
          <w:sz w:val="24"/>
          <w:szCs w:val="24"/>
          <w:lang w:eastAsia="zh-CN"/>
        </w:rPr>
        <w:t>庆元县市场监督管理局</w:t>
      </w:r>
      <w:r>
        <w:rPr>
          <w:rFonts w:hint="eastAsia" w:ascii="宋体" w:hAnsi="宋体" w:eastAsia="宋体" w:cs="宋体"/>
          <w:bCs/>
          <w:color w:val="auto"/>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2.2 “采购代理机构”系指浙江诚远工程咨询有限公司。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2.3 “供应商”系指符合本项目资格要求，依法获取竞争</w:t>
      </w:r>
      <w:r>
        <w:rPr>
          <w:rFonts w:hint="eastAsia" w:ascii="宋体" w:hAnsi="宋体" w:eastAsia="宋体" w:cs="宋体"/>
          <w:color w:val="auto"/>
          <w:sz w:val="24"/>
          <w:szCs w:val="24"/>
        </w:rPr>
        <w:t>性磋商文件并参与项目磋商的供应商。“供应商代表”系指响应文件中的负责人或其授权的委托代理人。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 “负责人”系指法人企业的法定代表人，或其他组织为法律、行政法规规定代表单位行使职权的主要负责人。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 “合同”系指采购人与成交人双方签署的规定双方权利与义务的协议，以及所有附件、附录、磋商文件和响应文件所提到的构成合同的所有文件。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 “产品”系指供应商按磋商文件规定，须向采购人提供的一切产品（包括：虚拟产品），以及产品相关的保险、税金、备品备件、附件、耗材、工具、手册及其它有关技术资料和材料等。</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 “服务”系指供应商按磋商文件规定应承担的送货上门、安装、调试、技术协助、校准、培训、技术指导以及其他类似的附随义务。</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bCs/>
          <w:color w:val="auto"/>
          <w:sz w:val="24"/>
          <w:szCs w:val="24"/>
        </w:rPr>
      </w:pPr>
      <w:bookmarkStart w:id="125" w:name="_Toc8284"/>
      <w:r>
        <w:rPr>
          <w:rFonts w:hint="eastAsia" w:ascii="宋体" w:hAnsi="宋体" w:eastAsia="宋体" w:cs="宋体"/>
          <w:b/>
          <w:bCs/>
          <w:color w:val="auto"/>
          <w:sz w:val="24"/>
          <w:szCs w:val="24"/>
        </w:rPr>
        <w:t>2.8本文件所指的公章均指供应商的CA电子章。</w:t>
      </w:r>
      <w:bookmarkEnd w:id="125"/>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2.9 </w:t>
      </w:r>
      <w:r>
        <w:rPr>
          <w:rFonts w:hint="eastAsia" w:ascii="宋体" w:hAnsi="宋体" w:eastAsia="宋体" w:cs="宋体"/>
          <w:b/>
          <w:bCs/>
          <w:color w:val="auto"/>
          <w:sz w:val="24"/>
          <w:szCs w:val="24"/>
        </w:rPr>
        <w:t>“▲”</w:t>
      </w:r>
      <w:r>
        <w:rPr>
          <w:rFonts w:hint="eastAsia" w:ascii="宋体" w:hAnsi="宋体" w:eastAsia="宋体" w:cs="宋体"/>
          <w:bCs/>
          <w:color w:val="auto"/>
          <w:sz w:val="24"/>
          <w:szCs w:val="24"/>
        </w:rPr>
        <w:t xml:space="preserve"> 系指实质性要求条款。</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rPr>
      </w:pPr>
      <w:bookmarkStart w:id="126" w:name="_Toc1154"/>
      <w:bookmarkStart w:id="127" w:name="_Toc6478"/>
      <w:r>
        <w:rPr>
          <w:rFonts w:hint="eastAsia" w:ascii="宋体" w:hAnsi="宋体" w:eastAsia="宋体" w:cs="宋体"/>
          <w:b/>
          <w:color w:val="auto"/>
          <w:sz w:val="24"/>
          <w:szCs w:val="24"/>
        </w:rPr>
        <w:t>3.供应商基本要求</w:t>
      </w:r>
      <w:bookmarkEnd w:id="126"/>
      <w:bookmarkEnd w:id="127"/>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 符合本文件第一章 采购公告第“二”条的规定；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 供应商应遵守有关的法律、法规和规章条例。</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rPr>
      </w:pPr>
      <w:bookmarkStart w:id="128" w:name="_Toc23151"/>
      <w:bookmarkStart w:id="129" w:name="_Toc16854"/>
      <w:r>
        <w:rPr>
          <w:rFonts w:hint="eastAsia" w:ascii="宋体" w:hAnsi="宋体" w:eastAsia="宋体" w:cs="宋体"/>
          <w:b/>
          <w:color w:val="auto"/>
          <w:sz w:val="24"/>
          <w:szCs w:val="24"/>
        </w:rPr>
        <w:t>4.联合体说明</w:t>
      </w:r>
      <w:bookmarkEnd w:id="128"/>
      <w:bookmarkEnd w:id="129"/>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color w:val="auto"/>
          <w:sz w:val="24"/>
          <w:szCs w:val="24"/>
        </w:rPr>
      </w:pPr>
      <w:bookmarkStart w:id="130" w:name="_Toc214"/>
      <w:r>
        <w:rPr>
          <w:rFonts w:hint="eastAsia" w:ascii="宋体" w:hAnsi="宋体" w:eastAsia="宋体" w:cs="宋体"/>
          <w:color w:val="auto"/>
          <w:sz w:val="24"/>
          <w:szCs w:val="24"/>
        </w:rPr>
        <w:t>4.1本项目不接受联合体参加磋商。</w:t>
      </w:r>
      <w:bookmarkEnd w:id="130"/>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rPr>
      </w:pPr>
      <w:bookmarkStart w:id="131" w:name="_Toc6767"/>
      <w:bookmarkStart w:id="132" w:name="_Toc507"/>
      <w:r>
        <w:rPr>
          <w:rFonts w:hint="eastAsia" w:ascii="宋体" w:hAnsi="宋体" w:eastAsia="宋体" w:cs="宋体"/>
          <w:b/>
          <w:color w:val="auto"/>
          <w:sz w:val="24"/>
          <w:szCs w:val="24"/>
        </w:rPr>
        <w:t>5.特别说明</w:t>
      </w:r>
      <w:bookmarkEnd w:id="131"/>
      <w:bookmarkEnd w:id="132"/>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5.1</w:t>
      </w:r>
      <w:r>
        <w:rPr>
          <w:rFonts w:hint="eastAsia" w:ascii="宋体" w:hAnsi="宋体" w:eastAsia="宋体" w:cs="宋体"/>
          <w:bCs/>
          <w:color w:val="auto"/>
          <w:sz w:val="24"/>
          <w:szCs w:val="24"/>
        </w:rPr>
        <w:t>单位</w:t>
      </w:r>
      <w:r>
        <w:rPr>
          <w:rFonts w:hint="eastAsia" w:ascii="宋体" w:hAnsi="宋体" w:eastAsia="宋体" w:cs="宋体"/>
          <w:color w:val="auto"/>
          <w:kern w:val="0"/>
          <w:sz w:val="24"/>
          <w:szCs w:val="24"/>
        </w:rPr>
        <w:t>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5.2 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▲5.3本项目不允许转包、分包。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2"/>
        <w:rPr>
          <w:rFonts w:hint="eastAsia" w:ascii="宋体" w:hAnsi="宋体" w:eastAsia="宋体" w:cs="宋体"/>
          <w:b/>
          <w:color w:val="auto"/>
          <w:sz w:val="24"/>
          <w:szCs w:val="24"/>
        </w:rPr>
      </w:pPr>
      <w:bookmarkStart w:id="133" w:name="_Toc19535"/>
      <w:r>
        <w:rPr>
          <w:rFonts w:hint="eastAsia" w:ascii="宋体" w:hAnsi="宋体" w:eastAsia="宋体" w:cs="宋体"/>
          <w:color w:val="auto"/>
          <w:sz w:val="24"/>
          <w:szCs w:val="24"/>
        </w:rPr>
        <w:t>5.4 供应商自行承担所有与磋商有关的全部费用。</w:t>
      </w:r>
      <w:bookmarkEnd w:id="133"/>
    </w:p>
    <w:p>
      <w:pPr>
        <w:pStyle w:val="6"/>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auto"/>
          <w:sz w:val="28"/>
          <w:szCs w:val="28"/>
        </w:rPr>
      </w:pPr>
      <w:bookmarkStart w:id="134" w:name="_Toc390938576"/>
      <w:bookmarkStart w:id="135" w:name="_Toc13576"/>
      <w:bookmarkStart w:id="136" w:name="_Toc495479093"/>
      <w:bookmarkStart w:id="137" w:name="_Toc27258"/>
      <w:bookmarkStart w:id="138" w:name="_Toc26184"/>
      <w:bookmarkStart w:id="139" w:name="_Toc11129"/>
      <w:r>
        <w:rPr>
          <w:rFonts w:hint="eastAsia" w:ascii="宋体" w:hAnsi="宋体" w:eastAsia="宋体" w:cs="宋体"/>
          <w:b/>
          <w:bCs/>
          <w:color w:val="auto"/>
          <w:sz w:val="28"/>
          <w:szCs w:val="28"/>
        </w:rPr>
        <w:t>二  磋商文件说明</w:t>
      </w:r>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rPr>
      </w:pPr>
      <w:bookmarkStart w:id="140" w:name="_Toc13726"/>
      <w:bookmarkStart w:id="141" w:name="_Toc7479"/>
      <w:r>
        <w:rPr>
          <w:rFonts w:hint="eastAsia" w:ascii="宋体" w:hAnsi="宋体" w:eastAsia="宋体" w:cs="宋体"/>
          <w:b/>
          <w:color w:val="auto"/>
          <w:sz w:val="24"/>
          <w:szCs w:val="24"/>
        </w:rPr>
        <w:t>6.</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磋商文件的构成</w:t>
      </w:r>
      <w:bookmarkEnd w:id="140"/>
      <w:bookmarkEnd w:id="141"/>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6.1磋商文件用以阐明所需货物及服务、磋商、磋商程序和合同条款等。本磋商文件由下述部分组成：</w:t>
      </w:r>
    </w:p>
    <w:p>
      <w:pPr>
        <w:keepNext w:val="0"/>
        <w:keepLines w:val="0"/>
        <w:pageBreakBefore w:val="0"/>
        <w:widowControl w:val="0"/>
        <w:tabs>
          <w:tab w:val="left" w:pos="6585"/>
        </w:tabs>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6.1.1竞争性磋商公告</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6.1.2供应商须知</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6.1.3采购需求</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6.1.4政府采购合同</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6.1.5磋商相关文件格式</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6.1.6磋商办法和细则</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6.1.7与本项目有关的磋商文件澄清、答复、更正、补充的内容</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rPr>
      </w:pPr>
      <w:bookmarkStart w:id="142" w:name="_Toc25129"/>
      <w:bookmarkStart w:id="143" w:name="_Toc32059"/>
      <w:r>
        <w:rPr>
          <w:rFonts w:hint="eastAsia" w:ascii="宋体" w:hAnsi="宋体" w:eastAsia="宋体" w:cs="宋体"/>
          <w:b/>
          <w:color w:val="auto"/>
          <w:sz w:val="24"/>
          <w:szCs w:val="24"/>
        </w:rPr>
        <w:t>7.供应商的风险</w:t>
      </w:r>
      <w:bookmarkEnd w:id="142"/>
      <w:bookmarkEnd w:id="143"/>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 供应商应认真阅读磋商文件中的所有条款。供应商没有按照磋商文件的要求提供全部资料，或者供应商没有对磋商文件在各方面作出实质性响应是供应商的风险，并可能导致其磋商被拒绝。</w:t>
      </w:r>
    </w:p>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outlineLvl w:val="1"/>
        <w:rPr>
          <w:rFonts w:hint="eastAsia" w:ascii="宋体" w:hAnsi="宋体" w:eastAsia="宋体" w:cs="宋体"/>
          <w:b/>
          <w:color w:val="auto"/>
          <w:sz w:val="24"/>
          <w:szCs w:val="24"/>
        </w:rPr>
      </w:pPr>
      <w:bookmarkStart w:id="144" w:name="_Toc13138"/>
      <w:bookmarkStart w:id="145" w:name="_Toc21673"/>
      <w:r>
        <w:rPr>
          <w:rFonts w:hint="eastAsia" w:ascii="宋体" w:hAnsi="宋体" w:eastAsia="宋体" w:cs="宋体"/>
          <w:b/>
          <w:color w:val="auto"/>
          <w:sz w:val="24"/>
          <w:szCs w:val="24"/>
        </w:rPr>
        <w:t>8.</w:t>
      </w: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磋商文件的澄清和修改</w:t>
      </w:r>
      <w:bookmarkEnd w:id="144"/>
      <w:bookmarkEnd w:id="145"/>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8.1磋商文件澄清、答复、修改、补充的内容为磋商文件的组成部分。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8.2依法获取竞争性磋商文件的</w:t>
      </w:r>
      <w:r>
        <w:rPr>
          <w:rFonts w:hint="eastAsia" w:ascii="宋体" w:hAnsi="宋体" w:eastAsia="宋体" w:cs="宋体"/>
          <w:bCs/>
          <w:color w:val="auto"/>
          <w:sz w:val="24"/>
          <w:szCs w:val="24"/>
        </w:rPr>
        <w:t>供应商认真阅读</w:t>
      </w:r>
      <w:r>
        <w:rPr>
          <w:rFonts w:hint="eastAsia" w:ascii="宋体" w:hAnsi="宋体" w:eastAsia="宋体" w:cs="宋体"/>
          <w:color w:val="auto"/>
          <w:sz w:val="24"/>
          <w:szCs w:val="24"/>
        </w:rPr>
        <w:t>磋商</w:t>
      </w:r>
      <w:r>
        <w:rPr>
          <w:rFonts w:hint="eastAsia" w:ascii="宋体" w:hAnsi="宋体" w:eastAsia="宋体" w:cs="宋体"/>
          <w:bCs/>
          <w:color w:val="auto"/>
          <w:sz w:val="24"/>
          <w:szCs w:val="24"/>
        </w:rPr>
        <w:t>文件，如有疑问应于</w:t>
      </w:r>
      <w:r>
        <w:rPr>
          <w:rFonts w:hint="eastAsia" w:ascii="宋体" w:hAnsi="宋体" w:eastAsia="宋体" w:cs="宋体"/>
          <w:b/>
          <w:snapToGrid w:val="0"/>
          <w:color w:val="auto"/>
          <w:sz w:val="24"/>
          <w:szCs w:val="24"/>
          <w:u w:val="single"/>
        </w:rPr>
        <w:t>提交响应文件的截止时间5日前</w:t>
      </w:r>
      <w:r>
        <w:rPr>
          <w:rFonts w:hint="eastAsia" w:ascii="宋体" w:hAnsi="宋体" w:eastAsia="宋体" w:cs="宋体"/>
          <w:bCs/>
          <w:color w:val="auto"/>
          <w:sz w:val="24"/>
          <w:szCs w:val="24"/>
        </w:rPr>
        <w:t>向采购代理机构（可传真）提出澄清申请。采购代理机构对已发出的竞争性磋商文件进行必要澄清或修改，</w:t>
      </w:r>
      <w:r>
        <w:rPr>
          <w:rFonts w:hint="eastAsia" w:ascii="宋体" w:hAnsi="宋体" w:eastAsia="宋体" w:cs="宋体"/>
          <w:color w:val="auto"/>
          <w:sz w:val="24"/>
          <w:szCs w:val="24"/>
        </w:rPr>
        <w:t>澄清或者修改内容可能影响应文件编制的，</w:t>
      </w:r>
      <w:r>
        <w:rPr>
          <w:rFonts w:hint="eastAsia" w:ascii="宋体" w:hAnsi="宋体" w:eastAsia="宋体" w:cs="宋体"/>
          <w:color w:val="auto"/>
          <w:spacing w:val="-6"/>
          <w:sz w:val="24"/>
          <w:szCs w:val="24"/>
        </w:rPr>
        <w:t>采购代理机构在磋商截止时间5日前</w:t>
      </w:r>
      <w:r>
        <w:rPr>
          <w:rFonts w:hint="eastAsia" w:ascii="宋体" w:hAnsi="宋体" w:eastAsia="宋体" w:cs="宋体"/>
          <w:color w:val="auto"/>
          <w:spacing w:val="-6"/>
          <w:sz w:val="24"/>
          <w:szCs w:val="24"/>
          <w:lang w:eastAsia="zh-CN"/>
        </w:rPr>
        <w:t>，</w:t>
      </w:r>
      <w:r>
        <w:rPr>
          <w:rFonts w:hint="eastAsia" w:ascii="宋体" w:hAnsi="宋体" w:eastAsia="宋体" w:cs="宋体"/>
          <w:color w:val="auto"/>
          <w:spacing w:val="-6"/>
          <w:sz w:val="24"/>
          <w:szCs w:val="24"/>
        </w:rPr>
        <w:t>在“浙江政府采购网</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"http://60.190.126.3:8080/wcm/WCMV6/editor/editor/招标文件（新版）.doc" </w:instrText>
      </w:r>
      <w:r>
        <w:rPr>
          <w:rFonts w:hint="eastAsia" w:ascii="宋体" w:hAnsi="宋体" w:eastAsia="宋体" w:cs="宋体"/>
          <w:color w:val="auto"/>
          <w:sz w:val="24"/>
          <w:szCs w:val="24"/>
        </w:rPr>
        <w:fldChar w:fldCharType="separate"/>
      </w:r>
      <w:r>
        <w:rPr>
          <w:rStyle w:val="40"/>
          <w:rFonts w:hint="eastAsia" w:ascii="宋体" w:hAnsi="宋体" w:eastAsia="宋体" w:cs="宋体"/>
          <w:color w:val="auto"/>
          <w:spacing w:val="-6"/>
          <w:sz w:val="24"/>
          <w:szCs w:val="24"/>
          <w:u w:val="none"/>
        </w:rPr>
        <w:t>http</w:t>
      </w:r>
      <w:r>
        <w:rPr>
          <w:rStyle w:val="40"/>
          <w:rFonts w:hint="eastAsia" w:ascii="宋体" w:hAnsi="宋体" w:eastAsia="宋体" w:cs="宋体"/>
          <w:color w:val="auto"/>
          <w:spacing w:val="-6"/>
          <w:sz w:val="24"/>
          <w:szCs w:val="24"/>
          <w:u w:val="none"/>
          <w:lang w:eastAsia="zh-CN"/>
        </w:rPr>
        <w:t>：</w:t>
      </w:r>
      <w:r>
        <w:rPr>
          <w:rStyle w:val="40"/>
          <w:rFonts w:hint="eastAsia" w:ascii="宋体" w:hAnsi="宋体" w:eastAsia="宋体" w:cs="宋体"/>
          <w:color w:val="auto"/>
          <w:spacing w:val="-6"/>
          <w:sz w:val="24"/>
          <w:szCs w:val="24"/>
          <w:u w:val="none"/>
        </w:rPr>
        <w:t>//zfcg.czt.zj.gov.cn/</w:t>
      </w:r>
      <w:r>
        <w:rPr>
          <w:rStyle w:val="40"/>
          <w:rFonts w:hint="eastAsia" w:ascii="宋体" w:hAnsi="宋体" w:eastAsia="宋体" w:cs="宋体"/>
          <w:color w:val="auto"/>
          <w:spacing w:val="-6"/>
          <w:sz w:val="24"/>
          <w:szCs w:val="24"/>
          <w:u w:val="none"/>
        </w:rPr>
        <w:fldChar w:fldCharType="end"/>
      </w:r>
      <w:r>
        <w:rPr>
          <w:rFonts w:hint="eastAsia" w:ascii="宋体" w:hAnsi="宋体" w:eastAsia="宋体" w:cs="宋体"/>
          <w:color w:val="auto"/>
          <w:spacing w:val="-6"/>
          <w:sz w:val="24"/>
          <w:szCs w:val="24"/>
        </w:rPr>
        <w:t>、</w:t>
      </w:r>
      <w:r>
        <w:rPr>
          <w:rFonts w:hint="eastAsia" w:ascii="宋体" w:hAnsi="宋体" w:eastAsia="宋体" w:cs="宋体"/>
          <w:bCs/>
          <w:color w:val="auto"/>
          <w:spacing w:val="-6"/>
          <w:kern w:val="0"/>
          <w:sz w:val="24"/>
          <w:szCs w:val="24"/>
        </w:rPr>
        <w:t>丽水市公共资源交易网（庆元）（http</w:t>
      </w:r>
      <w:r>
        <w:rPr>
          <w:rFonts w:hint="eastAsia" w:ascii="宋体" w:hAnsi="宋体" w:eastAsia="宋体" w:cs="宋体"/>
          <w:bCs/>
          <w:color w:val="auto"/>
          <w:spacing w:val="-6"/>
          <w:kern w:val="0"/>
          <w:sz w:val="24"/>
          <w:szCs w:val="24"/>
          <w:lang w:eastAsia="zh-CN"/>
        </w:rPr>
        <w:t>：</w:t>
      </w:r>
      <w:r>
        <w:rPr>
          <w:rFonts w:hint="eastAsia" w:ascii="宋体" w:hAnsi="宋体" w:eastAsia="宋体" w:cs="宋体"/>
          <w:bCs/>
          <w:color w:val="auto"/>
          <w:spacing w:val="-6"/>
          <w:kern w:val="0"/>
          <w:sz w:val="24"/>
          <w:szCs w:val="24"/>
        </w:rPr>
        <w:t>//lssggzy.lishui.gov.cn/qyweb/）</w:t>
      </w:r>
      <w:r>
        <w:rPr>
          <w:rStyle w:val="40"/>
          <w:rFonts w:hint="eastAsia" w:ascii="宋体" w:hAnsi="宋体" w:eastAsia="宋体" w:cs="宋体"/>
          <w:color w:val="auto"/>
          <w:spacing w:val="-6"/>
          <w:sz w:val="24"/>
          <w:szCs w:val="24"/>
          <w:u w:val="none"/>
        </w:rPr>
        <w:t>”</w:t>
      </w:r>
      <w:r>
        <w:rPr>
          <w:rFonts w:hint="eastAsia" w:ascii="宋体" w:hAnsi="宋体" w:eastAsia="宋体" w:cs="宋体"/>
          <w:color w:val="auto"/>
          <w:spacing w:val="-6"/>
          <w:sz w:val="24"/>
          <w:szCs w:val="24"/>
        </w:rPr>
        <w:t>发布更正公告，并对其具有约束力。不</w:t>
      </w:r>
      <w:r>
        <w:rPr>
          <w:rFonts w:hint="eastAsia" w:ascii="宋体" w:hAnsi="宋体" w:eastAsia="宋体" w:cs="宋体"/>
          <w:color w:val="auto"/>
          <w:sz w:val="24"/>
          <w:szCs w:val="24"/>
        </w:rPr>
        <w:t>足5日的，采购代理机构有权顺延提交响应文件的截止时间。</w:t>
      </w:r>
    </w:p>
    <w:p>
      <w:pPr>
        <w:pStyle w:val="6"/>
        <w:keepNext w:val="0"/>
        <w:keepLines w:val="0"/>
        <w:pageBreakBefore w:val="0"/>
        <w:widowControl w:val="0"/>
        <w:kinsoku/>
        <w:overflowPunct/>
        <w:topLinePunct w:val="0"/>
        <w:bidi w:val="0"/>
        <w:spacing w:line="560" w:lineRule="exact"/>
        <w:ind w:left="0" w:firstLine="0"/>
        <w:rPr>
          <w:rFonts w:hint="eastAsia" w:ascii="宋体" w:hAnsi="宋体" w:eastAsia="宋体" w:cs="宋体"/>
          <w:b/>
          <w:bCs/>
          <w:color w:val="auto"/>
          <w:sz w:val="28"/>
          <w:szCs w:val="28"/>
        </w:rPr>
      </w:pPr>
      <w:bookmarkStart w:id="146" w:name="_Toc23307"/>
      <w:bookmarkStart w:id="147" w:name="_Toc16"/>
      <w:bookmarkStart w:id="148" w:name="_Toc390938577"/>
      <w:bookmarkStart w:id="149" w:name="_Toc495479094"/>
      <w:bookmarkStart w:id="150" w:name="_Toc25179"/>
      <w:r>
        <w:rPr>
          <w:rFonts w:hint="eastAsia" w:ascii="宋体" w:hAnsi="宋体" w:eastAsia="宋体" w:cs="宋体"/>
          <w:b/>
          <w:bCs/>
          <w:color w:val="auto"/>
          <w:sz w:val="28"/>
          <w:szCs w:val="28"/>
        </w:rPr>
        <w:t>三  响应文件的编制</w:t>
      </w:r>
      <w:bookmarkEnd w:id="146"/>
      <w:bookmarkEnd w:id="147"/>
      <w:bookmarkEnd w:id="148"/>
      <w:bookmarkEnd w:id="149"/>
      <w:bookmarkEnd w:id="150"/>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51" w:name="_Toc22120"/>
      <w:bookmarkStart w:id="152" w:name="_Toc19968"/>
      <w:r>
        <w:rPr>
          <w:rFonts w:hint="eastAsia" w:ascii="宋体" w:hAnsi="宋体" w:eastAsia="宋体" w:cs="宋体"/>
          <w:b/>
          <w:color w:val="auto"/>
          <w:sz w:val="24"/>
          <w:szCs w:val="24"/>
        </w:rPr>
        <w:t>9.要求</w:t>
      </w:r>
      <w:bookmarkEnd w:id="151"/>
      <w:bookmarkEnd w:id="152"/>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9.1 供应商应仔细阅读磋商文件的所有内容，按照磋商文件的要求提交响应文件，并对所提供的全部资料的真实性承担法律责任。</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9.2响应文件、供应商与采购有关的往来通知、函件和文件均应使用中文。如涉及非中文内容的，供应商有义务将其内容翻译成中文，一切对非中文内容的误解，都将由供应商承担。</w:t>
      </w:r>
    </w:p>
    <w:p>
      <w:pPr>
        <w:keepNext w:val="0"/>
        <w:keepLines w:val="0"/>
        <w:pageBreakBefore w:val="0"/>
        <w:widowControl w:val="0"/>
        <w:kinsoku/>
        <w:overflowPunct/>
        <w:topLinePunct w:val="0"/>
        <w:bidi w:val="0"/>
        <w:spacing w:line="480" w:lineRule="exact"/>
        <w:ind w:firstLine="482" w:firstLineChars="200"/>
        <w:outlineLvl w:val="2"/>
        <w:rPr>
          <w:rFonts w:hint="eastAsia" w:ascii="宋体" w:hAnsi="宋体" w:eastAsia="宋体" w:cs="宋体"/>
          <w:b/>
          <w:color w:val="auto"/>
          <w:sz w:val="24"/>
          <w:szCs w:val="24"/>
        </w:rPr>
      </w:pPr>
      <w:bookmarkStart w:id="153" w:name="_Toc6866"/>
      <w:r>
        <w:rPr>
          <w:rFonts w:hint="eastAsia" w:ascii="宋体" w:hAnsi="宋体" w:eastAsia="宋体" w:cs="宋体"/>
          <w:b/>
          <w:color w:val="auto"/>
          <w:sz w:val="24"/>
          <w:szCs w:val="24"/>
        </w:rPr>
        <w:t>9.3响应文件的形式和效力</w:t>
      </w:r>
      <w:bookmarkEnd w:id="153"/>
    </w:p>
    <w:p>
      <w:pPr>
        <w:keepNext w:val="0"/>
        <w:keepLines w:val="0"/>
        <w:pageBreakBefore w:val="0"/>
        <w:widowControl w:val="0"/>
        <w:kinsoku/>
        <w:overflowPunct/>
        <w:topLinePunct w:val="0"/>
        <w:bidi w:val="0"/>
        <w:snapToGrid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9.3.1 响应文件的形式：响应文件分为电子响应文件、备份响应文件。</w:t>
      </w:r>
    </w:p>
    <w:p>
      <w:pPr>
        <w:keepNext w:val="0"/>
        <w:keepLines w:val="0"/>
        <w:pageBreakBefore w:val="0"/>
        <w:widowControl w:val="0"/>
        <w:kinsoku/>
        <w:overflowPunct/>
        <w:topLinePunct w:val="0"/>
        <w:bidi w:val="0"/>
        <w:snapToGrid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9.3.2 响应文件的效力</w:t>
      </w:r>
    </w:p>
    <w:p>
      <w:pPr>
        <w:keepNext w:val="0"/>
        <w:keepLines w:val="0"/>
        <w:pageBreakBefore w:val="0"/>
        <w:widowControl w:val="0"/>
        <w:kinsoku/>
        <w:overflowPunct/>
        <w:topLinePunct w:val="0"/>
        <w:bidi w:val="0"/>
        <w:snapToGrid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响应文件的启用，按先后顺位分别为电子响应文件、备份响应文件。</w:t>
      </w:r>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电子响应文件未按时解密，供应商已在规定时间内按规定方式提交了备份响应文件，且经代理机构工作人员通知后提供备份响应文件密码的，以备份响应文件为依据，否则视为响应文件撤回；电子响应文件已按时解密的，备份响应文件自动失效。</w:t>
      </w:r>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54" w:name="_Toc6305"/>
      <w:bookmarkStart w:id="155" w:name="_Toc23372"/>
      <w:r>
        <w:rPr>
          <w:rFonts w:hint="eastAsia" w:ascii="宋体" w:hAnsi="宋体" w:eastAsia="宋体" w:cs="宋体"/>
          <w:b/>
          <w:color w:val="auto"/>
          <w:sz w:val="24"/>
          <w:szCs w:val="24"/>
        </w:rPr>
        <w:t>10.响应文件的组成</w:t>
      </w:r>
      <w:bookmarkEnd w:id="154"/>
      <w:bookmarkEnd w:id="155"/>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▲10.1</w:t>
      </w:r>
      <w:r>
        <w:rPr>
          <w:rFonts w:hint="eastAsia" w:ascii="宋体" w:hAnsi="宋体" w:eastAsia="宋体" w:cs="宋体"/>
          <w:b/>
          <w:color w:val="auto"/>
          <w:sz w:val="24"/>
          <w:szCs w:val="24"/>
        </w:rPr>
        <w:t>提交的响应文件应分为</w:t>
      </w:r>
      <w:r>
        <w:rPr>
          <w:rFonts w:hint="eastAsia" w:ascii="宋体" w:hAnsi="宋体" w:eastAsia="宋体" w:cs="宋体"/>
          <w:b/>
          <w:color w:val="auto"/>
          <w:kern w:val="0"/>
          <w:sz w:val="24"/>
          <w:szCs w:val="24"/>
        </w:rPr>
        <w:t>资格审查文件、</w:t>
      </w:r>
      <w:r>
        <w:rPr>
          <w:rFonts w:hint="eastAsia" w:ascii="宋体" w:hAnsi="宋体" w:eastAsia="宋体" w:cs="宋体"/>
          <w:b/>
          <w:color w:val="auto"/>
          <w:sz w:val="24"/>
          <w:szCs w:val="24"/>
        </w:rPr>
        <w:t>资信商务及技术文件、报价文件三部分，报价文件如有资信商务及技术文件内容</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其资信商务及技术文件内容在评审时将作为无效内容。</w:t>
      </w:r>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56" w:name="_Toc16888"/>
      <w:bookmarkStart w:id="157" w:name="_Toc25214"/>
      <w:r>
        <w:rPr>
          <w:rFonts w:hint="eastAsia" w:ascii="宋体" w:hAnsi="宋体" w:eastAsia="宋体" w:cs="宋体"/>
          <w:b/>
          <w:color w:val="auto"/>
          <w:sz w:val="24"/>
          <w:szCs w:val="24"/>
        </w:rPr>
        <w:t>11.响应文件编制的内容和要求。</w:t>
      </w:r>
      <w:bookmarkEnd w:id="156"/>
      <w:bookmarkEnd w:id="157"/>
    </w:p>
    <w:p>
      <w:pPr>
        <w:keepNext w:val="0"/>
        <w:keepLines w:val="0"/>
        <w:pageBreakBefore w:val="0"/>
        <w:widowControl w:val="0"/>
        <w:kinsoku/>
        <w:overflowPunct/>
        <w:topLinePunct w:val="0"/>
        <w:bidi w:val="0"/>
        <w:spacing w:line="480" w:lineRule="exact"/>
        <w:ind w:firstLine="482" w:firstLineChars="200"/>
        <w:outlineLvl w:val="2"/>
        <w:rPr>
          <w:rFonts w:hint="eastAsia" w:ascii="宋体" w:hAnsi="宋体" w:eastAsia="宋体" w:cs="宋体"/>
          <w:b/>
          <w:color w:val="auto"/>
          <w:sz w:val="24"/>
          <w:szCs w:val="24"/>
        </w:rPr>
      </w:pPr>
      <w:bookmarkStart w:id="158" w:name="_Toc31421"/>
      <w:r>
        <w:rPr>
          <w:rFonts w:hint="eastAsia" w:ascii="宋体" w:hAnsi="宋体" w:eastAsia="宋体" w:cs="宋体"/>
          <w:b/>
          <w:color w:val="auto"/>
          <w:sz w:val="24"/>
          <w:szCs w:val="24"/>
        </w:rPr>
        <w:t>11.1资格审查文件编制的内容和要求：详见第五章格式</w:t>
      </w:r>
      <w:bookmarkEnd w:id="158"/>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注：资格审查不通过的，不进入下一阶段评标。</w:t>
      </w:r>
    </w:p>
    <w:p>
      <w:pPr>
        <w:keepNext w:val="0"/>
        <w:keepLines w:val="0"/>
        <w:pageBreakBefore w:val="0"/>
        <w:widowControl w:val="0"/>
        <w:kinsoku/>
        <w:overflowPunct/>
        <w:topLinePunct w:val="0"/>
        <w:bidi w:val="0"/>
        <w:spacing w:line="480" w:lineRule="exact"/>
        <w:ind w:firstLine="482" w:firstLineChars="200"/>
        <w:outlineLvl w:val="2"/>
        <w:rPr>
          <w:rFonts w:hint="eastAsia" w:ascii="宋体" w:hAnsi="宋体" w:eastAsia="宋体" w:cs="宋体"/>
          <w:b/>
          <w:color w:val="auto"/>
          <w:sz w:val="24"/>
          <w:szCs w:val="24"/>
        </w:rPr>
      </w:pPr>
      <w:bookmarkStart w:id="159" w:name="_Toc20847"/>
      <w:r>
        <w:rPr>
          <w:rFonts w:hint="eastAsia" w:ascii="宋体" w:hAnsi="宋体" w:eastAsia="宋体" w:cs="宋体"/>
          <w:b/>
          <w:color w:val="auto"/>
          <w:sz w:val="24"/>
          <w:szCs w:val="24"/>
        </w:rPr>
        <w:t>11.2资信商务及技术文件编制内容和要求：</w:t>
      </w:r>
      <w:bookmarkEnd w:id="159"/>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11.2.1资信商务部分详见第五章格式。</w:t>
      </w:r>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11.2.2技术部分编制内容和要求（包含但不限于）：</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11.2.2.1按磋商文件“第五章 磋商相关文件格式”所列的内容和格式。</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11.2.2.2供应商应对照磋商文件 “第三章 采购需求”所列的内容提供完整产品、服务、技术指标等。</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11.2.2.3项目承诺：磋商文件规定的要求仅为基本要求，供应商可以作出优于或高于磋商文件中所要求的承诺。</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11.2.2.4供应商认为有必要提交的其他技术证明资料。</w:t>
      </w:r>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11.2.3报价文件的编制内容和要求详见第五章格式</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sz w:val="24"/>
          <w:szCs w:val="24"/>
        </w:rPr>
      </w:pPr>
      <w:bookmarkStart w:id="160" w:name="_Toc13370"/>
      <w:r>
        <w:rPr>
          <w:rFonts w:hint="eastAsia" w:ascii="宋体" w:hAnsi="宋体" w:eastAsia="宋体" w:cs="宋体"/>
          <w:color w:val="auto"/>
          <w:sz w:val="24"/>
          <w:szCs w:val="24"/>
        </w:rPr>
        <w:t>11.3磋商报价</w:t>
      </w:r>
      <w:bookmarkEnd w:id="160"/>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11.3</w:t>
      </w:r>
      <w:r>
        <w:rPr>
          <w:rFonts w:hint="eastAsia" w:ascii="宋体" w:hAnsi="宋体" w:eastAsia="宋体" w:cs="宋体"/>
          <w:bCs/>
          <w:color w:val="auto"/>
          <w:sz w:val="24"/>
          <w:szCs w:val="24"/>
        </w:rPr>
        <w:t>.1</w:t>
      </w:r>
      <w:r>
        <w:rPr>
          <w:rFonts w:hint="eastAsia" w:ascii="宋体" w:hAnsi="宋体" w:eastAsia="宋体" w:cs="宋体"/>
          <w:b/>
          <w:bCs/>
          <w:color w:val="auto"/>
          <w:sz w:val="24"/>
          <w:szCs w:val="24"/>
        </w:rPr>
        <w:t>供应商应在磋商文件所附的报价书上写明磋商报价，只允许有一个报价，采购人不接受任何选择性的报价。报价高于预算金额的作无效标处理。</w:t>
      </w:r>
    </w:p>
    <w:p>
      <w:pPr>
        <w:pStyle w:val="32"/>
        <w:keepNext w:val="0"/>
        <w:keepLines w:val="0"/>
        <w:pageBreakBefore w:val="0"/>
        <w:widowControl w:val="0"/>
        <w:kinsoku/>
        <w:overflowPunct/>
        <w:topLinePunct w:val="0"/>
        <w:bidi w:val="0"/>
        <w:spacing w:before="0" w:beforeAutospacing="0" w:after="0" w:afterAutospacing="0" w:line="480" w:lineRule="exact"/>
        <w:ind w:firstLine="480" w:firstLineChars="200"/>
        <w:rPr>
          <w:rFonts w:hint="eastAsia" w:ascii="宋体" w:hAnsi="宋体" w:eastAsia="宋体" w:cs="宋体"/>
          <w:color w:val="auto"/>
          <w:kern w:val="2"/>
        </w:rPr>
      </w:pPr>
      <w:r>
        <w:rPr>
          <w:rFonts w:hint="eastAsia" w:ascii="宋体" w:hAnsi="宋体" w:eastAsia="宋体" w:cs="宋体"/>
          <w:color w:val="auto"/>
          <w:kern w:val="2"/>
        </w:rPr>
        <w:t>11.3.2 最终报价是履行合同的最终价格，除磋商文件特殊说明外，</w:t>
      </w:r>
      <w:r>
        <w:rPr>
          <w:rFonts w:hint="eastAsia" w:ascii="宋体" w:hAnsi="宋体" w:eastAsia="宋体" w:cs="宋体"/>
          <w:color w:val="auto"/>
          <w:lang w:eastAsia="zh-CN"/>
        </w:rPr>
        <w:t>包括本次项目实施所需的物资、检验检测设备、运输工具、检验检测费、第三方复检费、管理、工资、福利、利润、税金、培训、保险（包括医疗、工伤、养老等社会保险及人身意外保险）、政策性收费以及实施本项目所需的其他一切费用，供应商应列入而未列入其中的费用，均视为已包含在内，风险由供应商承担。</w:t>
      </w:r>
      <w:r>
        <w:rPr>
          <w:rFonts w:hint="eastAsia" w:ascii="宋体" w:hAnsi="宋体" w:eastAsia="宋体" w:cs="宋体"/>
          <w:color w:val="auto"/>
          <w:kern w:val="2"/>
        </w:rPr>
        <w:t>磋商供应商在报价时自行考虑风险，结算时综合单价不予调整。供应商应结合项目特点，市场行情及供应商自身的技术，管理水平，竞争能力，进行投标报价。</w:t>
      </w:r>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11.4排版</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所有文字及表格建议采用黑色，正文字体采用宋体小四号字体，标题字体采用宋体小二号字体，</w:t>
      </w:r>
      <w:r>
        <w:rPr>
          <w:rFonts w:hint="eastAsia" w:ascii="宋体" w:hAnsi="宋体" w:eastAsia="宋体" w:cs="宋体"/>
          <w:color w:val="auto"/>
          <w:kern w:val="0"/>
          <w:sz w:val="24"/>
        </w:rPr>
        <w:t>页码应逐页连续编注</w:t>
      </w:r>
      <w:r>
        <w:rPr>
          <w:rFonts w:hint="eastAsia" w:ascii="宋体" w:hAnsi="宋体" w:eastAsia="宋体" w:cs="宋体"/>
          <w:color w:val="auto"/>
          <w:kern w:val="0"/>
          <w:sz w:val="24"/>
          <w:szCs w:val="24"/>
        </w:rPr>
        <w:t>。</w:t>
      </w:r>
    </w:p>
    <w:p>
      <w:pPr>
        <w:keepNext w:val="0"/>
        <w:keepLines w:val="0"/>
        <w:pageBreakBefore w:val="0"/>
        <w:widowControl w:val="0"/>
        <w:kinsoku/>
        <w:overflowPunct/>
        <w:topLinePunct w:val="0"/>
        <w:bidi w:val="0"/>
        <w:spacing w:line="480" w:lineRule="exact"/>
        <w:ind w:firstLine="482" w:firstLineChars="200"/>
        <w:outlineLvl w:val="2"/>
        <w:rPr>
          <w:rFonts w:hint="eastAsia" w:ascii="宋体" w:hAnsi="宋体" w:eastAsia="宋体" w:cs="宋体"/>
          <w:color w:val="auto"/>
          <w:sz w:val="24"/>
          <w:szCs w:val="24"/>
        </w:rPr>
      </w:pPr>
      <w:bookmarkStart w:id="161" w:name="_Toc18341"/>
      <w:r>
        <w:rPr>
          <w:rFonts w:hint="eastAsia" w:ascii="宋体" w:hAnsi="宋体" w:eastAsia="宋体" w:cs="宋体"/>
          <w:b/>
          <w:color w:val="auto"/>
          <w:sz w:val="24"/>
          <w:szCs w:val="24"/>
        </w:rPr>
        <w:t>11.5封面</w:t>
      </w:r>
      <w:r>
        <w:rPr>
          <w:rFonts w:hint="eastAsia" w:ascii="宋体" w:hAnsi="宋体" w:eastAsia="宋体" w:cs="宋体"/>
          <w:color w:val="auto"/>
          <w:sz w:val="24"/>
          <w:szCs w:val="24"/>
        </w:rPr>
        <w:t>：按照磋商文件第五章提供的格式制作封面。</w:t>
      </w:r>
      <w:bookmarkEnd w:id="161"/>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62" w:name="_Toc24222"/>
      <w:bookmarkStart w:id="163" w:name="_Toc18607"/>
      <w:r>
        <w:rPr>
          <w:rFonts w:hint="eastAsia" w:ascii="宋体" w:hAnsi="宋体" w:eastAsia="宋体" w:cs="宋体"/>
          <w:b/>
          <w:color w:val="auto"/>
          <w:sz w:val="24"/>
          <w:szCs w:val="24"/>
        </w:rPr>
        <w:t>12.响应文件格式</w:t>
      </w:r>
      <w:bookmarkEnd w:id="162"/>
      <w:bookmarkEnd w:id="163"/>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12.1供应商应按竞争性磋商文件规定的文件格式、内容和要求制作响应文件。</w:t>
      </w:r>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64" w:name="_Toc17569"/>
      <w:bookmarkStart w:id="165" w:name="_Toc1950"/>
      <w:r>
        <w:rPr>
          <w:rFonts w:hint="eastAsia" w:ascii="宋体" w:hAnsi="宋体" w:eastAsia="宋体" w:cs="宋体"/>
          <w:b/>
          <w:color w:val="auto"/>
          <w:sz w:val="24"/>
          <w:szCs w:val="24"/>
        </w:rPr>
        <w:t>13.竞争性磋商有效期</w:t>
      </w:r>
      <w:bookmarkEnd w:id="164"/>
      <w:bookmarkEnd w:id="165"/>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▲13.1响应文件提交截止</w:t>
      </w:r>
      <w:r>
        <w:rPr>
          <w:rFonts w:hint="eastAsia" w:ascii="宋体" w:hAnsi="宋体" w:eastAsia="宋体" w:cs="宋体"/>
          <w:bCs/>
          <w:snapToGrid w:val="0"/>
          <w:color w:val="auto"/>
          <w:sz w:val="24"/>
          <w:szCs w:val="24"/>
        </w:rPr>
        <w:t>之日起90天内有效</w:t>
      </w:r>
      <w:r>
        <w:rPr>
          <w:rFonts w:hint="eastAsia" w:ascii="宋体" w:hAnsi="宋体" w:eastAsia="宋体" w:cs="宋体"/>
          <w:color w:val="auto"/>
          <w:sz w:val="24"/>
          <w:szCs w:val="24"/>
        </w:rPr>
        <w:t>。</w:t>
      </w:r>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66" w:name="_Toc3301"/>
      <w:bookmarkStart w:id="167" w:name="_Toc26848"/>
      <w:r>
        <w:rPr>
          <w:rFonts w:hint="eastAsia" w:ascii="宋体" w:hAnsi="宋体" w:eastAsia="宋体" w:cs="宋体"/>
          <w:b/>
          <w:color w:val="auto"/>
          <w:sz w:val="24"/>
          <w:szCs w:val="24"/>
        </w:rPr>
        <w:t>14.响应文件的签署及规定</w:t>
      </w:r>
      <w:bookmarkEnd w:id="166"/>
      <w:bookmarkEnd w:id="167"/>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bookmarkStart w:id="168" w:name="_Toc390938578"/>
      <w:r>
        <w:rPr>
          <w:rFonts w:hint="eastAsia" w:ascii="宋体" w:hAnsi="宋体" w:eastAsia="宋体" w:cs="宋体"/>
          <w:color w:val="auto"/>
          <w:sz w:val="24"/>
          <w:szCs w:val="24"/>
        </w:rPr>
        <w:t>14.1 供应商应按磋商文件规定的内容和要求编制响应文件，响应文件须清楚的标明“</w:t>
      </w:r>
      <w:r>
        <w:rPr>
          <w:rFonts w:hint="eastAsia" w:ascii="宋体" w:hAnsi="宋体" w:eastAsia="宋体" w:cs="宋体"/>
          <w:color w:val="auto"/>
          <w:kern w:val="0"/>
          <w:sz w:val="24"/>
          <w:szCs w:val="24"/>
        </w:rPr>
        <w:t>资格审查文件”、“</w:t>
      </w:r>
      <w:r>
        <w:rPr>
          <w:rFonts w:hint="eastAsia" w:ascii="宋体" w:hAnsi="宋体" w:eastAsia="宋体" w:cs="宋体"/>
          <w:color w:val="auto"/>
          <w:sz w:val="24"/>
          <w:szCs w:val="24"/>
        </w:rPr>
        <w:t>资信商务及技术文件”、“报价文件”。</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14.2</w:t>
      </w:r>
      <w:r>
        <w:rPr>
          <w:rFonts w:hint="eastAsia" w:ascii="宋体" w:hAnsi="宋体" w:eastAsia="宋体" w:cs="宋体"/>
          <w:bCs/>
          <w:color w:val="auto"/>
          <w:sz w:val="24"/>
          <w:szCs w:val="24"/>
        </w:rPr>
        <w:t>电子响应文件及备份响应文件中须加盖公章部分均采用CA签章。</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sz w:val="24"/>
          <w:szCs w:val="24"/>
        </w:rPr>
      </w:pPr>
      <w:bookmarkStart w:id="169" w:name="_Toc32350"/>
      <w:r>
        <w:rPr>
          <w:rFonts w:hint="eastAsia" w:ascii="宋体" w:hAnsi="宋体" w:eastAsia="宋体" w:cs="宋体"/>
          <w:color w:val="auto"/>
          <w:sz w:val="24"/>
          <w:szCs w:val="24"/>
        </w:rPr>
        <w:t>14.3 电报、电话、传真形式的磋商概不接受。</w:t>
      </w:r>
      <w:bookmarkEnd w:id="169"/>
    </w:p>
    <w:bookmarkEnd w:id="168"/>
    <w:p>
      <w:pPr>
        <w:pStyle w:val="6"/>
        <w:keepNext w:val="0"/>
        <w:keepLines w:val="0"/>
        <w:pageBreakBefore w:val="0"/>
        <w:widowControl w:val="0"/>
        <w:kinsoku/>
        <w:overflowPunct/>
        <w:topLinePunct w:val="0"/>
        <w:bidi w:val="0"/>
        <w:snapToGrid w:val="0"/>
        <w:spacing w:before="240" w:after="240" w:line="480" w:lineRule="exact"/>
        <w:ind w:left="0" w:firstLine="0"/>
        <w:outlineLvl w:val="1"/>
        <w:rPr>
          <w:rFonts w:hint="eastAsia" w:ascii="宋体" w:hAnsi="宋体" w:eastAsia="宋体" w:cs="宋体"/>
          <w:b/>
          <w:bCs/>
          <w:color w:val="auto"/>
          <w:sz w:val="28"/>
          <w:szCs w:val="28"/>
        </w:rPr>
      </w:pPr>
      <w:bookmarkStart w:id="170" w:name="_Toc56928685"/>
      <w:bookmarkStart w:id="171" w:name="_Toc107820049"/>
      <w:bookmarkStart w:id="172" w:name="_Toc23195"/>
      <w:bookmarkStart w:id="173" w:name="_Toc31390"/>
      <w:bookmarkStart w:id="174" w:name="_Toc495479096"/>
      <w:bookmarkStart w:id="175" w:name="_Toc390938579"/>
      <w:bookmarkStart w:id="176" w:name="_Toc4881"/>
      <w:bookmarkStart w:id="177" w:name="_Toc6082"/>
      <w:r>
        <w:rPr>
          <w:rFonts w:hint="eastAsia" w:ascii="宋体" w:hAnsi="宋体" w:eastAsia="宋体" w:cs="宋体"/>
          <w:b/>
          <w:bCs/>
          <w:color w:val="auto"/>
          <w:sz w:val="28"/>
          <w:szCs w:val="28"/>
        </w:rPr>
        <w:t>四  响应文件的加密、提交</w:t>
      </w:r>
      <w:bookmarkEnd w:id="170"/>
      <w:bookmarkEnd w:id="171"/>
      <w:r>
        <w:rPr>
          <w:rFonts w:hint="eastAsia" w:ascii="宋体" w:hAnsi="宋体" w:eastAsia="宋体" w:cs="宋体"/>
          <w:b/>
          <w:bCs/>
          <w:color w:val="auto"/>
          <w:sz w:val="28"/>
          <w:szCs w:val="28"/>
        </w:rPr>
        <w:t>、修改和撤回</w:t>
      </w:r>
      <w:bookmarkEnd w:id="172"/>
      <w:bookmarkEnd w:id="173"/>
      <w:bookmarkEnd w:id="174"/>
      <w:bookmarkEnd w:id="175"/>
      <w:bookmarkEnd w:id="176"/>
      <w:bookmarkEnd w:id="177"/>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78" w:name="_Toc32150"/>
      <w:bookmarkStart w:id="179" w:name="_Toc27883"/>
      <w:r>
        <w:rPr>
          <w:rFonts w:hint="eastAsia" w:ascii="宋体" w:hAnsi="宋体" w:eastAsia="宋体" w:cs="宋体"/>
          <w:b/>
          <w:color w:val="auto"/>
          <w:sz w:val="24"/>
          <w:szCs w:val="24"/>
        </w:rPr>
        <w:t>15.响应文件的加密</w:t>
      </w:r>
      <w:bookmarkEnd w:id="178"/>
      <w:bookmarkEnd w:id="179"/>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15.1供应商应当将资格审查文件、资信商务及技术文件和报价文件三部分分别导入相应位置，各文件之间不得混装；</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15.1</w:t>
      </w:r>
      <w:r>
        <w:rPr>
          <w:rFonts w:hint="eastAsia" w:ascii="宋体" w:hAnsi="宋体" w:eastAsia="宋体" w:cs="宋体"/>
          <w:b/>
          <w:color w:val="auto"/>
          <w:sz w:val="24"/>
          <w:szCs w:val="24"/>
        </w:rPr>
        <w:t>电子响应文件按政采云平台供应商项目采购-电子招投标操作指南进行加密；</w:t>
      </w:r>
      <w:r>
        <w:rPr>
          <w:rFonts w:hint="eastAsia" w:ascii="宋体" w:hAnsi="宋体" w:eastAsia="宋体" w:cs="宋体"/>
          <w:color w:val="auto"/>
          <w:sz w:val="24"/>
          <w:szCs w:val="24"/>
        </w:rPr>
        <w:t>将最后生成的具有电子签章的备份响应文件进行压缩并加密。</w:t>
      </w:r>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80" w:name="_Toc28981"/>
      <w:bookmarkStart w:id="181" w:name="_Toc15526"/>
      <w:r>
        <w:rPr>
          <w:rFonts w:hint="eastAsia" w:ascii="宋体" w:hAnsi="宋体" w:eastAsia="宋体" w:cs="宋体"/>
          <w:b/>
          <w:color w:val="auto"/>
          <w:sz w:val="24"/>
          <w:szCs w:val="24"/>
        </w:rPr>
        <w:t>16.响应文件的提交</w:t>
      </w:r>
      <w:bookmarkEnd w:id="180"/>
      <w:bookmarkEnd w:id="181"/>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w:t>
      </w:r>
      <w:r>
        <w:rPr>
          <w:rFonts w:hint="eastAsia" w:ascii="宋体" w:hAnsi="宋体" w:eastAsia="宋体" w:cs="宋体"/>
          <w:color w:val="auto"/>
          <w:sz w:val="24"/>
          <w:szCs w:val="24"/>
        </w:rPr>
        <w:t>16.1响应文件提交截止时间和提交地点详见本章前附表。</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sz w:val="24"/>
          <w:szCs w:val="24"/>
        </w:rPr>
      </w:pPr>
      <w:bookmarkStart w:id="182" w:name="_Toc1600"/>
      <w:r>
        <w:rPr>
          <w:rFonts w:hint="eastAsia" w:ascii="宋体" w:hAnsi="宋体" w:eastAsia="宋体" w:cs="宋体"/>
          <w:color w:val="auto"/>
          <w:sz w:val="24"/>
          <w:szCs w:val="24"/>
        </w:rPr>
        <w:t>16.2不予接收的电子响应文件情形：</w:t>
      </w:r>
      <w:bookmarkEnd w:id="182"/>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1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⑴</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磋商截止时间前未完成传输的电子响应文件；</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2 \* GB2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⑵</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未生成加密的电子响应文件；</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⑶在规定时间内未解密的电子响应文件或者解密不成功又未在规定时间内提交备份响应文件的。</w:t>
      </w:r>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83" w:name="_Toc15862"/>
      <w:bookmarkStart w:id="184" w:name="_Toc19391"/>
      <w:r>
        <w:rPr>
          <w:rFonts w:hint="eastAsia" w:ascii="宋体" w:hAnsi="宋体" w:eastAsia="宋体" w:cs="宋体"/>
          <w:b/>
          <w:color w:val="auto"/>
          <w:sz w:val="24"/>
          <w:szCs w:val="24"/>
        </w:rPr>
        <w:t>17.响应文件的修改和撤回</w:t>
      </w:r>
      <w:bookmarkEnd w:id="183"/>
      <w:bookmarkEnd w:id="184"/>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17.1在提交响应文件截止时间前，可以修改或撤回其响应文件：</w:t>
      </w:r>
      <w:r>
        <w:rPr>
          <w:rFonts w:hint="eastAsia" w:ascii="宋体" w:hAnsi="宋体" w:eastAsia="宋体" w:cs="宋体"/>
          <w:b/>
          <w:color w:val="auto"/>
          <w:sz w:val="24"/>
          <w:szCs w:val="24"/>
        </w:rPr>
        <w:t>（1）电子响应文件补充、修改或撤回的，应当先行撤回原文件，补充、修改后重新传输提交；（2）备份响应文件补充、修改或撤回的应以书面形式通知采购代理机构。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17.2修改后重新提交的响应文件应按磋商文件的规定编制、标记和提交。</w:t>
      </w:r>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color w:val="auto"/>
          <w:sz w:val="24"/>
          <w:szCs w:val="24"/>
        </w:rPr>
        <w:t>17.3在提交响应文件截止时间后</w:t>
      </w:r>
      <w:r>
        <w:rPr>
          <w:rFonts w:hint="eastAsia" w:ascii="宋体" w:hAnsi="宋体" w:eastAsia="宋体" w:cs="宋体"/>
          <w:color w:val="auto"/>
          <w:sz w:val="24"/>
          <w:szCs w:val="24"/>
          <w:lang w:eastAsia="zh-CN"/>
        </w:rPr>
        <w:t xml:space="preserve">， </w:t>
      </w:r>
      <w:r>
        <w:rPr>
          <w:rFonts w:hint="eastAsia" w:ascii="宋体" w:hAnsi="宋体" w:eastAsia="宋体" w:cs="宋体"/>
          <w:color w:val="auto"/>
          <w:sz w:val="24"/>
          <w:szCs w:val="24"/>
        </w:rPr>
        <w:t>供应商不得修改、撤回已提交的响应文件。</w:t>
      </w:r>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▲17.4补充、修改后的电子响应文件、备份响应文件内容均应相同。</w:t>
      </w:r>
    </w:p>
    <w:p>
      <w:pPr>
        <w:pStyle w:val="6"/>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185" w:name="_Toc107820050"/>
      <w:bookmarkStart w:id="186" w:name="_Toc495479097"/>
      <w:bookmarkStart w:id="187" w:name="_Toc390938580"/>
      <w:bookmarkStart w:id="188" w:name="_Toc5889"/>
      <w:bookmarkStart w:id="189" w:name="_Toc31295"/>
      <w:bookmarkStart w:id="190" w:name="_Toc28234"/>
      <w:r>
        <w:rPr>
          <w:rFonts w:hint="eastAsia" w:ascii="宋体" w:hAnsi="宋体" w:eastAsia="宋体" w:cs="宋体"/>
          <w:b/>
          <w:bCs/>
          <w:color w:val="auto"/>
          <w:sz w:val="28"/>
          <w:szCs w:val="28"/>
        </w:rPr>
        <w:t>五</w:t>
      </w:r>
      <w:bookmarkEnd w:id="185"/>
      <w:r>
        <w:rPr>
          <w:rFonts w:hint="eastAsia" w:ascii="宋体" w:hAnsi="宋体" w:eastAsia="宋体" w:cs="宋体"/>
          <w:b/>
          <w:bCs/>
          <w:color w:val="auto"/>
          <w:sz w:val="28"/>
          <w:szCs w:val="28"/>
        </w:rPr>
        <w:t xml:space="preserve">  开标和磋商</w:t>
      </w:r>
      <w:bookmarkEnd w:id="186"/>
      <w:bookmarkEnd w:id="187"/>
      <w:r>
        <w:rPr>
          <w:rFonts w:hint="eastAsia" w:ascii="宋体" w:hAnsi="宋体" w:eastAsia="宋体" w:cs="宋体"/>
          <w:b/>
          <w:bCs/>
          <w:color w:val="auto"/>
          <w:sz w:val="28"/>
          <w:szCs w:val="28"/>
        </w:rPr>
        <w:t>评审</w:t>
      </w:r>
      <w:bookmarkEnd w:id="188"/>
      <w:bookmarkEnd w:id="189"/>
      <w:bookmarkEnd w:id="190"/>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91" w:name="_Toc18756"/>
      <w:bookmarkStart w:id="192" w:name="_Toc24517"/>
      <w:r>
        <w:rPr>
          <w:rFonts w:hint="eastAsia" w:ascii="宋体" w:hAnsi="宋体" w:eastAsia="宋体" w:cs="宋体"/>
          <w:b/>
          <w:color w:val="auto"/>
          <w:sz w:val="24"/>
          <w:szCs w:val="24"/>
        </w:rPr>
        <w:t>18．</w:t>
      </w:r>
      <w:r>
        <w:rPr>
          <w:rFonts w:hint="eastAsia" w:ascii="宋体" w:hAnsi="宋体" w:eastAsia="宋体" w:cs="宋体"/>
          <w:b/>
          <w:color w:val="auto"/>
          <w:sz w:val="24"/>
        </w:rPr>
        <w:t>磋商会议</w:t>
      </w:r>
      <w:bookmarkEnd w:id="191"/>
      <w:bookmarkEnd w:id="192"/>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18.1优先采用电子响应文件进行</w:t>
      </w:r>
      <w:r>
        <w:rPr>
          <w:rFonts w:hint="eastAsia" w:ascii="宋体" w:hAnsi="宋体" w:eastAsia="宋体" w:cs="宋体"/>
          <w:b/>
          <w:color w:val="auto"/>
          <w:sz w:val="24"/>
        </w:rPr>
        <w:t>磋商、评审，</w:t>
      </w:r>
      <w:r>
        <w:rPr>
          <w:rFonts w:hint="eastAsia" w:ascii="宋体" w:hAnsi="宋体" w:eastAsia="宋体" w:cs="宋体"/>
          <w:b/>
          <w:color w:val="auto"/>
          <w:sz w:val="24"/>
          <w:szCs w:val="24"/>
        </w:rPr>
        <w:t>电子响应文件未按时解密的，采用备份响应文件</w:t>
      </w:r>
      <w:r>
        <w:rPr>
          <w:rFonts w:hint="eastAsia" w:ascii="宋体" w:hAnsi="宋体" w:eastAsia="宋体" w:cs="宋体"/>
          <w:b/>
          <w:color w:val="auto"/>
          <w:sz w:val="24"/>
        </w:rPr>
        <w:t>磋商、评审</w:t>
      </w:r>
      <w:r>
        <w:rPr>
          <w:rFonts w:hint="eastAsia" w:ascii="宋体" w:hAnsi="宋体" w:eastAsia="宋体" w:cs="宋体"/>
          <w:b/>
          <w:color w:val="auto"/>
          <w:sz w:val="24"/>
          <w:szCs w:val="24"/>
        </w:rPr>
        <w:t>。</w:t>
      </w:r>
    </w:p>
    <w:p>
      <w:pPr>
        <w:keepNext w:val="0"/>
        <w:keepLines w:val="0"/>
        <w:pageBreakBefore w:val="0"/>
        <w:widowControl w:val="0"/>
        <w:kinsoku/>
        <w:overflowPunct/>
        <w:topLinePunct w:val="0"/>
        <w:bidi w:val="0"/>
        <w:snapToGrid w:val="0"/>
        <w:spacing w:line="480" w:lineRule="exact"/>
        <w:ind w:firstLine="480" w:firstLineChars="200"/>
        <w:jc w:val="left"/>
        <w:rPr>
          <w:rFonts w:hint="eastAsia" w:ascii="宋体" w:hAnsi="宋体" w:eastAsia="宋体" w:cs="宋体"/>
          <w:b/>
          <w:color w:val="auto"/>
          <w:kern w:val="0"/>
          <w:szCs w:val="21"/>
        </w:rPr>
      </w:pPr>
      <w:r>
        <w:rPr>
          <w:rFonts w:hint="eastAsia" w:ascii="宋体" w:hAnsi="宋体" w:eastAsia="宋体" w:cs="宋体"/>
          <w:color w:val="auto"/>
          <w:sz w:val="24"/>
          <w:szCs w:val="24"/>
        </w:rPr>
        <w:t>18.2</w:t>
      </w:r>
      <w:r>
        <w:rPr>
          <w:rFonts w:hint="eastAsia" w:ascii="宋体" w:hAnsi="宋体" w:eastAsia="宋体" w:cs="宋体"/>
          <w:color w:val="auto"/>
          <w:sz w:val="24"/>
        </w:rPr>
        <w:t>采购代理机构在磋商文件规定的时间和地点组织磋商会议，建议供应商安排授权代表前往磋商会议现场，供应商若不安排人员到场的须准时在线参加，否则产生的风险由供应商自行承担。</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18.3 磋商会议由采购代理机构主持，主持人介绍项目前期基本情况，宣布评审期间的有关事项。</w:t>
      </w:r>
      <w:r>
        <w:rPr>
          <w:rFonts w:hint="eastAsia" w:ascii="宋体" w:hAnsi="宋体" w:eastAsia="宋体" w:cs="宋体"/>
          <w:bCs/>
          <w:color w:val="auto"/>
          <w:sz w:val="24"/>
        </w:rPr>
        <w:t>由代理机构工作人员开启电子响应文件解密通道，解密时限以政采云电子交易平台为准</w:t>
      </w:r>
      <w:r>
        <w:rPr>
          <w:rFonts w:hint="eastAsia" w:ascii="宋体" w:hAnsi="宋体" w:eastAsia="宋体" w:cs="宋体"/>
          <w:color w:val="auto"/>
          <w:sz w:val="24"/>
        </w:rPr>
        <w:t>。</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18.4</w:t>
      </w:r>
      <w:r>
        <w:rPr>
          <w:rFonts w:hint="eastAsia" w:ascii="宋体" w:hAnsi="宋体" w:eastAsia="宋体" w:cs="宋体"/>
          <w:bCs/>
          <w:color w:val="auto"/>
          <w:sz w:val="24"/>
          <w:szCs w:val="24"/>
        </w:rPr>
        <w:t>电子响应文件无法解密的，代理机构通过电子交易平台“异常处理”通道上传备份响应文件，上传之前须由供应商代表提供备份响应文件密码进行解密。</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18.5采购代理机构做好会议记录，供应商在解密完成后可查看其他供应商名单。</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18.6供应商认为采购人员及相关人员与其他供应商有利害关系的，可向采购代理机构提出回避申请，并说明理由，申请须由供应商代表签字或盖章。</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18.7按规定提交《政府采购活动现场确认声明书》（详见第五章格式），否则视为投标人撤回投标。</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18.8供应商对开标过程有疑义的，</w:t>
      </w:r>
      <w:r>
        <w:rPr>
          <w:rFonts w:hint="eastAsia" w:ascii="宋体" w:hAnsi="宋体" w:eastAsia="宋体" w:cs="宋体"/>
          <w:color w:val="auto"/>
          <w:sz w:val="24"/>
          <w:szCs w:val="24"/>
        </w:rPr>
        <w:t>供应商代表在开标会议结束前可以向采购代理机构通过现场或电子邮件的方式（</w:t>
      </w:r>
      <w:r>
        <w:rPr>
          <w:rFonts w:hint="eastAsia" w:ascii="宋体" w:hAnsi="宋体" w:eastAsia="宋体" w:cs="宋体"/>
          <w:color w:val="auto"/>
          <w:sz w:val="24"/>
          <w:szCs w:val="24"/>
          <w:lang w:eastAsia="zh-CN"/>
        </w:rPr>
        <w:t>1262850359</w:t>
      </w:r>
      <w:r>
        <w:rPr>
          <w:rFonts w:hint="eastAsia" w:ascii="宋体" w:hAnsi="宋体" w:eastAsia="宋体" w:cs="宋体"/>
          <w:color w:val="auto"/>
          <w:sz w:val="24"/>
          <w:szCs w:val="24"/>
        </w:rPr>
        <w:t>@qq.com）提出申请，并说明理由，申请须由供应商代表签字或盖章。</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kern w:val="0"/>
          <w:sz w:val="24"/>
          <w:szCs w:val="24"/>
        </w:rPr>
      </w:pPr>
      <w:bookmarkStart w:id="193" w:name="_Toc10610"/>
      <w:r>
        <w:rPr>
          <w:rFonts w:hint="eastAsia" w:ascii="宋体" w:hAnsi="宋体" w:eastAsia="宋体" w:cs="宋体"/>
          <w:color w:val="auto"/>
          <w:kern w:val="0"/>
          <w:sz w:val="24"/>
          <w:szCs w:val="24"/>
        </w:rPr>
        <w:t>18.9磋商会议结束。</w:t>
      </w:r>
      <w:bookmarkEnd w:id="193"/>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94" w:name="_Toc22870"/>
      <w:bookmarkStart w:id="195" w:name="_Toc13763"/>
      <w:r>
        <w:rPr>
          <w:rFonts w:hint="eastAsia" w:ascii="宋体" w:hAnsi="宋体" w:eastAsia="宋体" w:cs="宋体"/>
          <w:b/>
          <w:color w:val="auto"/>
          <w:sz w:val="24"/>
          <w:szCs w:val="24"/>
        </w:rPr>
        <w:t>19. 资格审查</w:t>
      </w:r>
      <w:bookmarkEnd w:id="194"/>
      <w:bookmarkEnd w:id="195"/>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rPr>
        <w:t xml:space="preserve">19.1 </w:t>
      </w:r>
      <w:r>
        <w:rPr>
          <w:rFonts w:hint="eastAsia" w:ascii="宋体" w:hAnsi="宋体" w:eastAsia="宋体" w:cs="宋体"/>
          <w:color w:val="auto"/>
          <w:sz w:val="24"/>
          <w:szCs w:val="24"/>
        </w:rPr>
        <w:t>采购人或采购代理按资格要求对供应商进行资格审查及记录，资格审查顺序为电子交易平台解密后自动生成的“投标（响应）文件签收登记表”名单顺序。</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19.2 经资格审查合格的供应商不足三家的，按相关规定重新组织采购。</w:t>
      </w:r>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20. 磋商流程：详见第六章。</w:t>
      </w:r>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21.响应文件的澄清</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对响应文件中含义不明确、同类问题表述不一致或者有明显文字和计算错误的内容，磋商小组应当通过电子交易平台交换数据电文的形式要求供应商作出必要的澄清、说明或者补正。澄清、说明或者补正应当采用电子交易平台交换数据电文的形式提交，供应商的澄清、说明或者补正不得超出响应文件的范围或者改变响应文件的实质性内容。供应商的澄清、说明或补正将作为投标响应文件的一部分。</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pacing w:val="-6"/>
          <w:sz w:val="24"/>
          <w:szCs w:val="24"/>
        </w:rPr>
      </w:pPr>
      <w:r>
        <w:rPr>
          <w:rFonts w:hint="eastAsia" w:ascii="宋体" w:hAnsi="宋体" w:eastAsia="宋体" w:cs="宋体"/>
          <w:color w:val="auto"/>
          <w:sz w:val="24"/>
          <w:szCs w:val="24"/>
        </w:rPr>
        <w:t>21.2 磋商过程中</w:t>
      </w:r>
      <w:r>
        <w:rPr>
          <w:rFonts w:hint="eastAsia" w:ascii="宋体" w:hAnsi="宋体" w:eastAsia="宋体" w:cs="宋体"/>
          <w:color w:val="auto"/>
          <w:spacing w:val="-6"/>
          <w:sz w:val="24"/>
          <w:szCs w:val="24"/>
        </w:rPr>
        <w:t>，实质性变动的内容，经采购人代表确认后，磋商小组可以根据磋商文件和磋商情况实质性变动采购需求中的技术、服务要求以及合同草案条款，但不得变动磋商文件中其他内容，否则磋商小组不得变动磋商文件中的实质性内容。供应商应当根据磋商变动情况和磋商小组的要求重新提交响应内容，响应内容应当通过电子交易平台交换数据电文的形式提交。</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sz w:val="24"/>
          <w:szCs w:val="24"/>
        </w:rPr>
      </w:pPr>
      <w:bookmarkStart w:id="196" w:name="_Toc18870"/>
      <w:r>
        <w:rPr>
          <w:rFonts w:hint="eastAsia" w:ascii="宋体" w:hAnsi="宋体" w:eastAsia="宋体" w:cs="宋体"/>
          <w:color w:val="auto"/>
          <w:sz w:val="24"/>
          <w:szCs w:val="24"/>
        </w:rPr>
        <w:t>21.3 报价算术错误将按以下方法修正：</w:t>
      </w:r>
      <w:bookmarkEnd w:id="196"/>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kern w:val="0"/>
          <w:sz w:val="24"/>
          <w:szCs w:val="24"/>
        </w:rPr>
        <w:t>报价文件</w:t>
      </w:r>
      <w:r>
        <w:rPr>
          <w:rFonts w:hint="eastAsia" w:ascii="宋体" w:hAnsi="宋体" w:eastAsia="宋体" w:cs="宋体"/>
          <w:bCs/>
          <w:color w:val="auto"/>
          <w:sz w:val="24"/>
          <w:szCs w:val="24"/>
        </w:rPr>
        <w:t>中开标一览表（报价表）内容与</w:t>
      </w:r>
      <w:r>
        <w:rPr>
          <w:rFonts w:hint="eastAsia" w:ascii="宋体" w:hAnsi="宋体" w:eastAsia="宋体" w:cs="宋体"/>
          <w:color w:val="auto"/>
          <w:kern w:val="0"/>
          <w:sz w:val="24"/>
          <w:szCs w:val="24"/>
        </w:rPr>
        <w:t>报价文件</w:t>
      </w:r>
      <w:r>
        <w:rPr>
          <w:rFonts w:hint="eastAsia" w:ascii="宋体" w:hAnsi="宋体" w:eastAsia="宋体" w:cs="宋体"/>
          <w:bCs/>
          <w:color w:val="auto"/>
          <w:sz w:val="24"/>
          <w:szCs w:val="24"/>
        </w:rPr>
        <w:t>中明细表相应内容不一致的，以开标一览表（报价表）为准；</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（2）报价文件的大写金额和小写金额不一致的，以大写金额为准；</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（3）单价金额小数点或者百分比有明显错位的，以开标一览表（报价表）的总价为准，并修改单价；</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（4）总价金额与按单价汇总金额不一致的，以单价金额计算结果为准；</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（5）同时出现两种以上不一致的，按上述顺序修正；</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bCs/>
          <w:color w:val="auto"/>
          <w:sz w:val="24"/>
          <w:szCs w:val="24"/>
        </w:rPr>
        <w:t>（6）对不同文字文本</w:t>
      </w:r>
      <w:r>
        <w:rPr>
          <w:rFonts w:hint="eastAsia" w:ascii="宋体" w:hAnsi="宋体" w:eastAsia="宋体" w:cs="宋体"/>
          <w:color w:val="auto"/>
          <w:kern w:val="0"/>
          <w:sz w:val="24"/>
          <w:szCs w:val="24"/>
        </w:rPr>
        <w:t>响应文件</w:t>
      </w:r>
      <w:r>
        <w:rPr>
          <w:rFonts w:hint="eastAsia" w:ascii="宋体" w:hAnsi="宋体" w:eastAsia="宋体" w:cs="宋体"/>
          <w:bCs/>
          <w:color w:val="auto"/>
          <w:sz w:val="24"/>
          <w:szCs w:val="24"/>
        </w:rPr>
        <w:t>的解释发生异议的，以中文文本为准；</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修正错误的磋商最终报价，供应商应当通过电子交易平台交换数据电文的形式提交，调整后的磋商最终报价对供应商具有约束作用。若供应商不接受修正后的磋商最终报价，则其响应文件将作为无效响应处理。</w:t>
      </w:r>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97" w:name="_Toc16161"/>
      <w:bookmarkStart w:id="198" w:name="_Toc17496"/>
      <w:r>
        <w:rPr>
          <w:rFonts w:hint="eastAsia" w:ascii="宋体" w:hAnsi="宋体" w:eastAsia="宋体" w:cs="宋体"/>
          <w:b/>
          <w:color w:val="auto"/>
          <w:sz w:val="24"/>
          <w:szCs w:val="24"/>
        </w:rPr>
        <w:t>22.对响应文件的比较和评估</w:t>
      </w:r>
      <w:bookmarkEnd w:id="197"/>
      <w:bookmarkEnd w:id="198"/>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22.1 磋商小组根据磋商文件规定的评审办法和标准、对符合性审查合格供应商的响应文件、澄清答复内容及重新承诺情况进行商务和技术评估，综合比较与评价，并按照平等、客观、公正的原则对响应文件进行综合评审和评分。</w:t>
      </w:r>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199" w:name="_Toc2028"/>
      <w:bookmarkStart w:id="200" w:name="_Toc19821"/>
      <w:r>
        <w:rPr>
          <w:rFonts w:hint="eastAsia" w:ascii="宋体" w:hAnsi="宋体" w:eastAsia="宋体" w:cs="宋体"/>
          <w:b/>
          <w:color w:val="auto"/>
          <w:sz w:val="24"/>
          <w:szCs w:val="24"/>
        </w:rPr>
        <w:t>23．评审报告</w:t>
      </w:r>
      <w:bookmarkEnd w:id="199"/>
      <w:bookmarkEnd w:id="200"/>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磋商小组根据磋商记录、全体磋商小组成员签字的原始评审记录、评审结果编写评审报告，并推荐成交候选人，评审报告由磋商小组成员签字确认后提交。</w:t>
      </w:r>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24.采购过程中出现以下情形，导致电子交易平台无法正常运行，或者无法保证电子交易的公平、公正和安全时，可中止电子交易活动：</w:t>
      </w:r>
    </w:p>
    <w:p>
      <w:pPr>
        <w:keepNext w:val="0"/>
        <w:keepLines w:val="0"/>
        <w:pageBreakBefore w:val="0"/>
        <w:widowControl w:val="0"/>
        <w:kinsoku/>
        <w:overflowPunct/>
        <w:topLinePunct w:val="0"/>
        <w:bidi w:val="0"/>
        <w:spacing w:line="48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（一）电子交易平台发生故障而无法登录访问的；</w:t>
      </w:r>
    </w:p>
    <w:p>
      <w:pPr>
        <w:keepNext w:val="0"/>
        <w:keepLines w:val="0"/>
        <w:pageBreakBefore w:val="0"/>
        <w:widowControl w:val="0"/>
        <w:kinsoku/>
        <w:overflowPunct/>
        <w:topLinePunct w:val="0"/>
        <w:bidi w:val="0"/>
        <w:spacing w:line="48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（二）电子交易平台应用或数据库出现错误，不能进行正常操作的；</w:t>
      </w:r>
    </w:p>
    <w:p>
      <w:pPr>
        <w:keepNext w:val="0"/>
        <w:keepLines w:val="0"/>
        <w:pageBreakBefore w:val="0"/>
        <w:widowControl w:val="0"/>
        <w:kinsoku/>
        <w:overflowPunct/>
        <w:topLinePunct w:val="0"/>
        <w:bidi w:val="0"/>
        <w:spacing w:line="48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（三）电子交易平台发现严重安全漏洞，有潜在泄密危险的；</w:t>
      </w:r>
    </w:p>
    <w:p>
      <w:pPr>
        <w:keepNext w:val="0"/>
        <w:keepLines w:val="0"/>
        <w:pageBreakBefore w:val="0"/>
        <w:widowControl w:val="0"/>
        <w:kinsoku/>
        <w:overflowPunct/>
        <w:topLinePunct w:val="0"/>
        <w:bidi w:val="0"/>
        <w:spacing w:line="48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（四）病毒发作导致不能进行正常操作的；</w:t>
      </w:r>
    </w:p>
    <w:p>
      <w:pPr>
        <w:keepNext w:val="0"/>
        <w:keepLines w:val="0"/>
        <w:pageBreakBefore w:val="0"/>
        <w:widowControl w:val="0"/>
        <w:kinsoku/>
        <w:overflowPunct/>
        <w:topLinePunct w:val="0"/>
        <w:bidi w:val="0"/>
        <w:spacing w:line="48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（五）其他无法保证电子交易的公平、公正和安全的情况。</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出现前款规定情形，不影响采购公平、公正性的，采购代理机构可以待上述情形消除后继续组织电子交易活动；影响或可能影响采购公平、公正性的，重新组织采购。</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25.采购代理机构或评审小组因不可抗力（不可抗力包括但不限于自然灾害、断电、传播疫病等）原因造成电子交易活动无法正常运行的，将采取以下措施：</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⑴短时间内能消除不可抗力因素的，采购代理机构或评审小组在消除不可抗力因素后继续组织电子交易活动。</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⑵长时间内无法消除不可抗力因素的，采购代理机构或评审小组将中止电子交易活动。中止电子交易活动的，采购人应当重新组织政府采购活动。</w:t>
      </w:r>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201" w:name="_Toc19063"/>
      <w:bookmarkStart w:id="202" w:name="_Toc12784"/>
      <w:r>
        <w:rPr>
          <w:rFonts w:hint="eastAsia" w:ascii="宋体" w:hAnsi="宋体" w:eastAsia="宋体" w:cs="宋体"/>
          <w:b/>
          <w:color w:val="auto"/>
          <w:sz w:val="24"/>
          <w:szCs w:val="24"/>
        </w:rPr>
        <w:t>26.保密和磋商过程的监控</w:t>
      </w:r>
      <w:bookmarkEnd w:id="201"/>
      <w:bookmarkEnd w:id="202"/>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Cs/>
          <w:color w:val="auto"/>
          <w:spacing w:val="-6"/>
          <w:sz w:val="24"/>
          <w:szCs w:val="24"/>
        </w:rPr>
      </w:pPr>
      <w:r>
        <w:rPr>
          <w:rFonts w:hint="eastAsia" w:ascii="宋体" w:hAnsi="宋体" w:eastAsia="宋体" w:cs="宋体"/>
          <w:bCs/>
          <w:color w:val="auto"/>
          <w:sz w:val="24"/>
          <w:szCs w:val="24"/>
        </w:rPr>
        <w:t>26.1</w:t>
      </w:r>
      <w:r>
        <w:rPr>
          <w:rFonts w:hint="eastAsia" w:ascii="宋体" w:hAnsi="宋体" w:eastAsia="宋体" w:cs="宋体"/>
          <w:bCs/>
          <w:color w:val="auto"/>
          <w:spacing w:val="-6"/>
          <w:sz w:val="24"/>
          <w:szCs w:val="24"/>
        </w:rPr>
        <w:t>自</w:t>
      </w:r>
      <w:r>
        <w:rPr>
          <w:rFonts w:hint="eastAsia" w:ascii="宋体" w:hAnsi="宋体" w:eastAsia="宋体" w:cs="宋体"/>
          <w:color w:val="auto"/>
          <w:spacing w:val="-6"/>
          <w:sz w:val="24"/>
          <w:szCs w:val="24"/>
        </w:rPr>
        <w:t>磋商</w:t>
      </w:r>
      <w:r>
        <w:rPr>
          <w:rFonts w:hint="eastAsia" w:ascii="宋体" w:hAnsi="宋体" w:eastAsia="宋体" w:cs="宋体"/>
          <w:bCs/>
          <w:color w:val="auto"/>
          <w:spacing w:val="-6"/>
          <w:sz w:val="24"/>
          <w:szCs w:val="24"/>
        </w:rPr>
        <w:t>时间起至成交公告发布时间止，凡属于审查、澄清、评估和比较</w:t>
      </w:r>
      <w:r>
        <w:rPr>
          <w:rFonts w:hint="eastAsia" w:ascii="宋体" w:hAnsi="宋体" w:eastAsia="宋体" w:cs="宋体"/>
          <w:color w:val="auto"/>
          <w:spacing w:val="-6"/>
          <w:sz w:val="24"/>
          <w:szCs w:val="24"/>
        </w:rPr>
        <w:t>磋商</w:t>
      </w:r>
      <w:r>
        <w:rPr>
          <w:rFonts w:hint="eastAsia" w:ascii="宋体" w:hAnsi="宋体" w:eastAsia="宋体" w:cs="宋体"/>
          <w:bCs/>
          <w:color w:val="auto"/>
          <w:spacing w:val="-6"/>
          <w:sz w:val="24"/>
          <w:szCs w:val="24"/>
        </w:rPr>
        <w:t>的有关资料，且与授予合同有关的信息都不得向任何供应商或与上述评审过程无关的人员透露。</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26.2本项目磋商过程实行全程录音、录像监控，供应商在磋商过程中所进行的试图影响评审结果的不公正行为或授予合同决定的过程施加影响的企图和行为，可能导致其磋商被拒绝。</w:t>
      </w:r>
    </w:p>
    <w:p>
      <w:pPr>
        <w:pStyle w:val="6"/>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03" w:name="_Toc18935"/>
      <w:bookmarkStart w:id="204" w:name="_Toc1305"/>
      <w:bookmarkStart w:id="205" w:name="_Toc495479098"/>
      <w:bookmarkStart w:id="206" w:name="_Toc31319"/>
      <w:bookmarkStart w:id="207" w:name="_Toc390938581"/>
      <w:r>
        <w:rPr>
          <w:rFonts w:hint="eastAsia" w:ascii="宋体" w:hAnsi="宋体" w:eastAsia="宋体" w:cs="宋体"/>
          <w:b/>
          <w:bCs/>
          <w:color w:val="auto"/>
          <w:sz w:val="28"/>
          <w:szCs w:val="28"/>
        </w:rPr>
        <w:t>六  磋商无效的情形</w:t>
      </w:r>
      <w:bookmarkEnd w:id="203"/>
      <w:bookmarkEnd w:id="204"/>
      <w:bookmarkEnd w:id="205"/>
      <w:bookmarkEnd w:id="206"/>
      <w:bookmarkEnd w:id="207"/>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bookmarkStart w:id="208" w:name="_Toc390938582"/>
      <w:r>
        <w:rPr>
          <w:rFonts w:hint="eastAsia" w:ascii="宋体" w:hAnsi="宋体" w:eastAsia="宋体" w:cs="宋体"/>
          <w:color w:val="auto"/>
          <w:sz w:val="24"/>
          <w:szCs w:val="24"/>
        </w:rPr>
        <w:t>27. 实质上没有响应磋商文件要求的响应文件将被视为无效。供应商如有下列情形之一的，其磋商将被拒绝，响应文件无效：</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sz w:val="24"/>
          <w:szCs w:val="24"/>
        </w:rPr>
      </w:pPr>
      <w:bookmarkStart w:id="209" w:name="_Toc18871"/>
      <w:r>
        <w:rPr>
          <w:rFonts w:hint="eastAsia" w:ascii="宋体" w:hAnsi="宋体" w:eastAsia="宋体" w:cs="宋体"/>
          <w:color w:val="auto"/>
          <w:sz w:val="24"/>
          <w:szCs w:val="24"/>
        </w:rPr>
        <w:t>27.1 电报、电话、传真形式提交响应文件的；</w:t>
      </w:r>
      <w:bookmarkEnd w:id="209"/>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 供应商没有按磋商文件规定的时间和地点提交电子响应文件的；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27.3未按竞争性磋商文件规定要求签署、盖章的；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27.4不具备竞争性磋商文件规定的资格要求的；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27.5磋商有效期不足的；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27.6 磋商小组评定有实质性负偏离或出现“▲”条款的负偏离，经采购人代表确认后不作变动的；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27.7 响应文件含有采购人不能接受的附加条款的；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27.8最终报价高于磋商文件中规定的预算金额的；</w:t>
      </w:r>
    </w:p>
    <w:p>
      <w:pPr>
        <w:keepNext w:val="0"/>
        <w:keepLines w:val="0"/>
        <w:pageBreakBefore w:val="0"/>
        <w:widowControl w:val="0"/>
        <w:kinsoku/>
        <w:overflowPunct/>
        <w:topLinePunct w:val="0"/>
        <w:bidi w:val="0"/>
        <w:spacing w:line="48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27.9磋商文件中未要求，但供应商给予赠品、回扣或与采购无关的其他商品、服务的。</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sz w:val="24"/>
          <w:szCs w:val="24"/>
        </w:rPr>
      </w:pPr>
      <w:bookmarkStart w:id="210" w:name="_Toc16642"/>
      <w:r>
        <w:rPr>
          <w:rFonts w:hint="eastAsia" w:ascii="宋体" w:hAnsi="宋体" w:eastAsia="宋体" w:cs="宋体"/>
          <w:color w:val="auto"/>
          <w:sz w:val="24"/>
          <w:szCs w:val="24"/>
        </w:rPr>
        <w:t>27.10磋商报价存在漏项或报价数量少于采购要求的；</w:t>
      </w:r>
      <w:bookmarkEnd w:id="210"/>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27.11</w:t>
      </w:r>
      <w:r>
        <w:rPr>
          <w:rFonts w:hint="eastAsia" w:ascii="宋体" w:hAnsi="宋体" w:eastAsia="宋体" w:cs="宋体"/>
          <w:b/>
          <w:color w:val="auto"/>
          <w:sz w:val="24"/>
          <w:szCs w:val="24"/>
        </w:rPr>
        <w:t>报价明显低于其他通过符合性审查供应商的报价，有可能影响产品质量或者不能诚信履约的，供应商代表应在磋商小组规定的时间内通过电子交易平台提交说明，必要时提交相关证明材料；供应商不能证明其报价合理性的，磋商小组应当将其作为无效磋商处理。</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kern w:val="0"/>
          <w:sz w:val="24"/>
          <w:szCs w:val="24"/>
        </w:rPr>
      </w:pPr>
      <w:bookmarkStart w:id="211" w:name="_Toc19810"/>
      <w:r>
        <w:rPr>
          <w:rFonts w:hint="eastAsia" w:ascii="宋体" w:hAnsi="宋体" w:eastAsia="宋体" w:cs="宋体"/>
          <w:color w:val="auto"/>
          <w:kern w:val="0"/>
          <w:sz w:val="24"/>
          <w:szCs w:val="24"/>
        </w:rPr>
        <w:t>27.13</w:t>
      </w:r>
      <w:r>
        <w:rPr>
          <w:rFonts w:hint="eastAsia" w:ascii="宋体" w:hAnsi="宋体" w:eastAsia="宋体" w:cs="宋体"/>
          <w:color w:val="auto"/>
          <w:sz w:val="24"/>
          <w:szCs w:val="24"/>
        </w:rPr>
        <w:t>提供虚假材料谋取成交的；</w:t>
      </w:r>
      <w:bookmarkEnd w:id="211"/>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27.14不按磋商文件和成交人的响应文件订立合同，或者与采购人另行订立背离合同实质性内容的协议的；</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sz w:val="24"/>
          <w:szCs w:val="24"/>
        </w:rPr>
      </w:pPr>
      <w:bookmarkStart w:id="212" w:name="_Toc19564"/>
      <w:r>
        <w:rPr>
          <w:rFonts w:hint="eastAsia" w:ascii="宋体" w:hAnsi="宋体" w:eastAsia="宋体" w:cs="宋体"/>
          <w:color w:val="auto"/>
          <w:sz w:val="24"/>
          <w:szCs w:val="24"/>
        </w:rPr>
        <w:t>27.15磋商文件规定的其他响应文件无效情形。</w:t>
      </w:r>
      <w:bookmarkEnd w:id="212"/>
    </w:p>
    <w:p>
      <w:pPr>
        <w:pStyle w:val="6"/>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13" w:name="_Toc26962"/>
      <w:bookmarkStart w:id="214" w:name="_Toc22934"/>
      <w:bookmarkStart w:id="215" w:name="_Toc495479099"/>
      <w:bookmarkStart w:id="216" w:name="_Toc12800"/>
      <w:r>
        <w:rPr>
          <w:rFonts w:hint="eastAsia" w:ascii="宋体" w:hAnsi="宋体" w:eastAsia="宋体" w:cs="宋体"/>
          <w:b/>
          <w:bCs/>
          <w:color w:val="auto"/>
          <w:sz w:val="28"/>
          <w:szCs w:val="28"/>
        </w:rPr>
        <w:t>七  法律责任</w:t>
      </w:r>
      <w:bookmarkEnd w:id="208"/>
      <w:bookmarkEnd w:id="213"/>
      <w:bookmarkEnd w:id="214"/>
      <w:bookmarkEnd w:id="215"/>
      <w:bookmarkEnd w:id="216"/>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bookmarkStart w:id="217" w:name="_Toc390938583"/>
      <w:r>
        <w:rPr>
          <w:rFonts w:hint="eastAsia" w:ascii="宋体" w:hAnsi="宋体" w:eastAsia="宋体" w:cs="宋体"/>
          <w:color w:val="auto"/>
          <w:sz w:val="24"/>
          <w:szCs w:val="24"/>
        </w:rPr>
        <w:t>28. 供应商有下列情形之一的，处以政府采购项目成交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 提供虚假材料谋取成交的；</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28.2 采取不正当手段诋毁、排挤其他供应商的；</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 与采购人、其他供应商或者采购代理机构恶意串通的；</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28.4 向采购人、采购代理机构行贿或者提供其他不正当利益的；</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28.5 在采购过程中与采购人进行协商谈判的；</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28.6 拒绝有关部门监督检查或者提供虚假情况的；</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供应商有前款28.1至28.5项情形之一的，成交无效。</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 供应商有下列情形之一的，依照政府采购法第七十七条第一款的规定追究法律责任：</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29.1 向磋商小组或者磋商小组成员行贿或者提供其他不正当利益；</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29.2 成交或者成交后无正当理由拒不与采购人签订政府采购合同；</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29.3 未按照磋商文件确定的事项签订政府采购合同；</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29.4 将政府采购合同转包；</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29.5 提供假冒伪劣产品；</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29.6 擅自变更、中止或者终止政府采购合同。</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有前款第一项规定情形的，成交无效。评审阶段资格发生变化，供应商未依照《中华人民共和国政府采购法实施条例》第二十一条的规定通知采购人和采购代理机构的，处以采购金额5‰的罚款，列入不良行为记录名单，成交无效。</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 供应商捏造事实、提供虚假材料或者以非法手段取得证明材料进行投诉的，由财政部门列入不良行为记录名单，禁止其1至3年内参加政府采购活动。</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有下列情形之一的，属于恶意串通，对供应商依照政府采购法第七十七条第一款的规定追究法律责任，对采购人、采购代理机构及其工作人员依照政府采购法第七十二条的规定追究法律责任：</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 供应商直接或者间接从采购人或者采购代理机构处获得其他供应商的相关情况并修改其响应文件；</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31.2 供应商按照采购人或者采购代理机构的授意撤换、修改响应文件；</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31.3 供应商之间协商报价、技术方案等响应文件或者响应文件的实质性内容；</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31.4 属于同一集团、协会、商会等组织成员的供应商按照该组织要求协同参加政府采购活动；</w:t>
      </w:r>
    </w:p>
    <w:p>
      <w:pPr>
        <w:keepNext w:val="0"/>
        <w:keepLines w:val="0"/>
        <w:pageBreakBefore w:val="0"/>
        <w:widowControl w:val="0"/>
        <w:kinsoku/>
        <w:overflowPunct/>
        <w:topLinePunct w:val="0"/>
        <w:bidi w:val="0"/>
        <w:spacing w:line="460" w:lineRule="exact"/>
        <w:ind w:firstLine="480" w:firstLineChars="200"/>
        <w:outlineLvl w:val="2"/>
        <w:rPr>
          <w:rFonts w:hint="eastAsia" w:ascii="宋体" w:hAnsi="宋体" w:eastAsia="宋体" w:cs="宋体"/>
          <w:color w:val="auto"/>
          <w:sz w:val="24"/>
          <w:szCs w:val="24"/>
        </w:rPr>
      </w:pPr>
      <w:bookmarkStart w:id="218" w:name="_Toc11166"/>
      <w:r>
        <w:rPr>
          <w:rFonts w:hint="eastAsia" w:ascii="宋体" w:hAnsi="宋体" w:eastAsia="宋体" w:cs="宋体"/>
          <w:color w:val="auto"/>
          <w:sz w:val="24"/>
          <w:szCs w:val="24"/>
        </w:rPr>
        <w:t>31.5 供应商之间事先约定由某一特定供应商成交；</w:t>
      </w:r>
      <w:bookmarkEnd w:id="218"/>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31.6 供应商之间商定部分供应商放弃参加政府采购活动或者放弃成交；</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31.7 供应商与采购人或者采购代理机构之间、供应商相互之间，为谋求特定供应商成交或者排斥其他供应商的其他串通行为；</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31.8 不同供应商的响应文件由同一单位或者个人编制；</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31.9 不同供应商委托同一单位或者个人办理磋商事宜；</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31.10 不同供应商的响应文件载明的项目管理成员或者联系人员为同一人；</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31.11 不同供应商的响应文件异常一致或者磋商报价呈规律性差异；</w:t>
      </w:r>
    </w:p>
    <w:p>
      <w:pPr>
        <w:keepNext w:val="0"/>
        <w:keepLines w:val="0"/>
        <w:pageBreakBefore w:val="0"/>
        <w:widowControl w:val="0"/>
        <w:kinsoku/>
        <w:overflowPunct/>
        <w:topLinePunct w:val="0"/>
        <w:bidi w:val="0"/>
        <w:spacing w:line="460" w:lineRule="exact"/>
        <w:ind w:firstLine="480" w:firstLineChars="200"/>
        <w:outlineLvl w:val="2"/>
        <w:rPr>
          <w:rFonts w:hint="eastAsia" w:ascii="宋体" w:hAnsi="宋体" w:eastAsia="宋体" w:cs="宋体"/>
          <w:color w:val="auto"/>
          <w:sz w:val="24"/>
          <w:szCs w:val="24"/>
        </w:rPr>
      </w:pPr>
      <w:bookmarkStart w:id="219" w:name="_Toc2148"/>
      <w:r>
        <w:rPr>
          <w:rFonts w:hint="eastAsia" w:ascii="宋体" w:hAnsi="宋体" w:eastAsia="宋体" w:cs="宋体"/>
          <w:color w:val="auto"/>
          <w:sz w:val="24"/>
          <w:szCs w:val="24"/>
        </w:rPr>
        <w:t>31.12 不同供应商的响应文件相互混装。</w:t>
      </w:r>
      <w:bookmarkEnd w:id="219"/>
    </w:p>
    <w:p>
      <w:pPr>
        <w:pStyle w:val="6"/>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auto"/>
          <w:sz w:val="28"/>
          <w:szCs w:val="28"/>
        </w:rPr>
      </w:pPr>
      <w:bookmarkStart w:id="220" w:name="_Toc495479100"/>
      <w:bookmarkStart w:id="221" w:name="_Toc18884"/>
      <w:bookmarkStart w:id="222" w:name="_Toc24093"/>
      <w:bookmarkStart w:id="223" w:name="_Toc20052"/>
      <w:bookmarkStart w:id="224" w:name="_Toc31519"/>
      <w:r>
        <w:rPr>
          <w:rFonts w:hint="eastAsia" w:ascii="宋体" w:hAnsi="宋体" w:eastAsia="宋体" w:cs="宋体"/>
          <w:b/>
          <w:bCs/>
          <w:color w:val="auto"/>
          <w:sz w:val="28"/>
          <w:szCs w:val="28"/>
        </w:rPr>
        <w:t>八</w:t>
      </w:r>
      <w:bookmarkEnd w:id="217"/>
      <w:bookmarkEnd w:id="220"/>
      <w:r>
        <w:rPr>
          <w:rFonts w:hint="eastAsia" w:ascii="宋体" w:hAnsi="宋体" w:eastAsia="宋体" w:cs="宋体"/>
          <w:b/>
          <w:bCs/>
          <w:color w:val="auto"/>
          <w:sz w:val="28"/>
          <w:szCs w:val="28"/>
        </w:rPr>
        <w:t xml:space="preserve">  澄清、修改发布媒体</w:t>
      </w:r>
      <w:bookmarkEnd w:id="221"/>
      <w:bookmarkEnd w:id="222"/>
      <w:bookmarkEnd w:id="223"/>
      <w:bookmarkEnd w:id="224"/>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kern w:val="0"/>
          <w:sz w:val="24"/>
          <w:szCs w:val="24"/>
        </w:rPr>
      </w:pPr>
      <w:bookmarkStart w:id="225" w:name="_Toc390938584"/>
      <w:bookmarkStart w:id="226" w:name="_Toc495479101"/>
      <w:bookmarkStart w:id="227" w:name="_Toc335664279"/>
      <w:bookmarkStart w:id="228" w:name="_Toc176659672"/>
      <w:bookmarkStart w:id="229" w:name="_Toc334087237"/>
      <w:bookmarkStart w:id="230" w:name="_Toc107820051"/>
      <w:r>
        <w:rPr>
          <w:rFonts w:hint="eastAsia" w:ascii="宋体" w:hAnsi="宋体" w:eastAsia="宋体" w:cs="宋体"/>
          <w:color w:val="auto"/>
          <w:sz w:val="24"/>
          <w:szCs w:val="24"/>
        </w:rPr>
        <w:t>32.1针对潜在供应商提出的询问，采购代理机构一般在3个工作日内作出答复，如需澄清或</w:t>
      </w:r>
      <w:r>
        <w:rPr>
          <w:rFonts w:hint="eastAsia" w:ascii="宋体" w:hAnsi="宋体" w:eastAsia="宋体" w:cs="宋体"/>
          <w:bCs/>
          <w:color w:val="auto"/>
          <w:kern w:val="0"/>
          <w:sz w:val="24"/>
          <w:szCs w:val="24"/>
        </w:rPr>
        <w:t>修改的，采购代理机构将在磋商截止时间五日前将澄清或修改内容在浙江政府采购网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"http://60.190.126.3:8080/wcm/WCMV6/editor/editor/招标文件（新版）.doc" </w:instrText>
      </w:r>
      <w:r>
        <w:rPr>
          <w:rFonts w:hint="eastAsia" w:ascii="宋体" w:hAnsi="宋体" w:eastAsia="宋体" w:cs="宋体"/>
          <w:color w:val="auto"/>
        </w:rPr>
        <w:fldChar w:fldCharType="separate"/>
      </w:r>
      <w:r>
        <w:rPr>
          <w:rStyle w:val="40"/>
          <w:rFonts w:hint="eastAsia" w:ascii="宋体" w:hAnsi="宋体" w:eastAsia="宋体" w:cs="宋体"/>
          <w:bCs/>
          <w:color w:val="auto"/>
          <w:kern w:val="0"/>
          <w:sz w:val="24"/>
          <w:szCs w:val="24"/>
          <w:u w:val="none"/>
        </w:rPr>
        <w:t>http</w:t>
      </w:r>
      <w:r>
        <w:rPr>
          <w:rStyle w:val="40"/>
          <w:rFonts w:hint="eastAsia" w:ascii="宋体" w:hAnsi="宋体" w:eastAsia="宋体" w:cs="宋体"/>
          <w:bCs/>
          <w:color w:val="auto"/>
          <w:kern w:val="0"/>
          <w:sz w:val="24"/>
          <w:szCs w:val="24"/>
          <w:u w:val="none"/>
          <w:lang w:eastAsia="zh-CN"/>
        </w:rPr>
        <w:t>：</w:t>
      </w:r>
      <w:r>
        <w:rPr>
          <w:rStyle w:val="40"/>
          <w:rFonts w:hint="eastAsia" w:ascii="宋体" w:hAnsi="宋体" w:eastAsia="宋体" w:cs="宋体"/>
          <w:bCs/>
          <w:color w:val="auto"/>
          <w:kern w:val="0"/>
          <w:sz w:val="24"/>
          <w:szCs w:val="24"/>
          <w:u w:val="none"/>
        </w:rPr>
        <w:t>//zfcg.czt.zj.gov.cn/</w:t>
      </w:r>
      <w:r>
        <w:rPr>
          <w:rStyle w:val="40"/>
          <w:rFonts w:hint="eastAsia" w:ascii="宋体" w:hAnsi="宋体" w:eastAsia="宋体" w:cs="宋体"/>
          <w:bCs/>
          <w:color w:val="auto"/>
          <w:kern w:val="0"/>
          <w:sz w:val="24"/>
          <w:szCs w:val="24"/>
          <w:u w:val="none"/>
        </w:rPr>
        <w:fldChar w:fldCharType="end"/>
      </w:r>
      <w:r>
        <w:rPr>
          <w:rFonts w:hint="eastAsia" w:ascii="宋体" w:hAnsi="宋体" w:eastAsia="宋体" w:cs="宋体"/>
          <w:bCs/>
          <w:color w:val="auto"/>
          <w:kern w:val="0"/>
          <w:sz w:val="24"/>
          <w:szCs w:val="24"/>
        </w:rPr>
        <w:t>、丽水市公共资源交易网（庆元）http</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rPr>
        <w:t>//lssggzy.lishui.gov.cn/qyweb/上予以公布，潜在供应商应自行关注网站更正公告等内容，采购代理机构不再一一通知。</w:t>
      </w:r>
    </w:p>
    <w:p>
      <w:pPr>
        <w:keepNext w:val="0"/>
        <w:keepLines w:val="0"/>
        <w:pageBreakBefore w:val="0"/>
        <w:widowControl w:val="0"/>
        <w:kinsoku/>
        <w:overflowPunct/>
        <w:topLinePunct w:val="0"/>
        <w:bidi w:val="0"/>
        <w:snapToGrid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32.2潜在供应商提出的询问超出采购人对采购代理机构委托授权范围的，供应商应向采购人提出。</w:t>
      </w:r>
    </w:p>
    <w:p>
      <w:pPr>
        <w:pStyle w:val="6"/>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31" w:name="_Toc25978"/>
      <w:bookmarkStart w:id="232" w:name="_Toc21618"/>
      <w:bookmarkStart w:id="233" w:name="_Toc5622"/>
      <w:r>
        <w:rPr>
          <w:rFonts w:hint="eastAsia" w:ascii="宋体" w:hAnsi="宋体" w:eastAsia="宋体" w:cs="宋体"/>
          <w:b/>
          <w:bCs/>
          <w:color w:val="auto"/>
          <w:sz w:val="28"/>
          <w:szCs w:val="28"/>
        </w:rPr>
        <w:t>九  质疑</w:t>
      </w:r>
      <w:bookmarkEnd w:id="225"/>
      <w:bookmarkEnd w:id="226"/>
      <w:bookmarkEnd w:id="227"/>
      <w:bookmarkEnd w:id="228"/>
      <w:bookmarkEnd w:id="229"/>
      <w:bookmarkEnd w:id="231"/>
      <w:bookmarkEnd w:id="232"/>
      <w:bookmarkEnd w:id="233"/>
    </w:p>
    <w:p>
      <w:pPr>
        <w:pStyle w:val="19"/>
        <w:keepNext w:val="0"/>
        <w:keepLines w:val="0"/>
        <w:pageBreakBefore w:val="0"/>
        <w:widowControl w:val="0"/>
        <w:kinsoku/>
        <w:overflowPunct/>
        <w:topLinePunct w:val="0"/>
        <w:bidi w:val="0"/>
        <w:spacing w:line="460" w:lineRule="exact"/>
        <w:ind w:left="0" w:firstLine="480" w:firstLineChars="200"/>
        <w:rPr>
          <w:rFonts w:hint="eastAsia" w:ascii="宋体" w:hAnsi="宋体" w:eastAsia="宋体" w:cs="宋体"/>
          <w:color w:val="auto"/>
          <w:spacing w:val="-6"/>
          <w:sz w:val="24"/>
          <w:szCs w:val="24"/>
        </w:rPr>
      </w:pPr>
      <w:bookmarkStart w:id="234" w:name="_Toc334087238"/>
      <w:bookmarkStart w:id="235" w:name="_Toc390938585"/>
      <w:bookmarkStart w:id="236" w:name="_Toc335664280"/>
      <w:r>
        <w:rPr>
          <w:rFonts w:hint="eastAsia" w:ascii="宋体" w:hAnsi="宋体" w:eastAsia="宋体" w:cs="宋体"/>
          <w:color w:val="auto"/>
          <w:sz w:val="24"/>
          <w:szCs w:val="24"/>
        </w:rPr>
        <w:t>33.1</w:t>
      </w:r>
      <w:r>
        <w:rPr>
          <w:rFonts w:hint="eastAsia" w:ascii="宋体" w:hAnsi="宋体" w:eastAsia="宋体" w:cs="宋体"/>
          <w:color w:val="auto"/>
          <w:spacing w:val="-6"/>
          <w:sz w:val="24"/>
          <w:szCs w:val="24"/>
        </w:rPr>
        <w:t xml:space="preserve"> 供应商认为磋商文件、采购过程和成交结果使自己的权益受到损害的，可以在知道或者应知其权益受到损害之日起七个工作日内，以书面形式向采购代理机构提出质疑。</w:t>
      </w:r>
    </w:p>
    <w:p>
      <w:pPr>
        <w:pStyle w:val="19"/>
        <w:keepNext w:val="0"/>
        <w:keepLines w:val="0"/>
        <w:pageBreakBefore w:val="0"/>
        <w:widowControl w:val="0"/>
        <w:kinsoku/>
        <w:overflowPunct/>
        <w:topLinePunct w:val="0"/>
        <w:bidi w:val="0"/>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33.2 质疑的主要内容应符合相关法律法规以及浙江省和丽水市相关文件的规定。质疑内容涉及保密事项，质疑供应商应提供有效的信息来源或有效证据。</w:t>
      </w:r>
    </w:p>
    <w:p>
      <w:pPr>
        <w:pStyle w:val="19"/>
        <w:keepNext w:val="0"/>
        <w:keepLines w:val="0"/>
        <w:pageBreakBefore w:val="0"/>
        <w:widowControl w:val="0"/>
        <w:kinsoku/>
        <w:overflowPunct/>
        <w:topLinePunct w:val="0"/>
        <w:bidi w:val="0"/>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33.3 质疑供应商可直接提交、传真或邮寄方式提交质疑书（一式三份以上）。以其他方式提出的质疑，采购代理机构可不予接受、答复。</w:t>
      </w:r>
    </w:p>
    <w:p>
      <w:pPr>
        <w:pStyle w:val="19"/>
        <w:keepNext w:val="0"/>
        <w:keepLines w:val="0"/>
        <w:pageBreakBefore w:val="0"/>
        <w:widowControl w:val="0"/>
        <w:kinsoku/>
        <w:overflowPunct/>
        <w:topLinePunct w:val="0"/>
        <w:bidi w:val="0"/>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33.3.1 邮寄方式送达质疑书的，以采购代理机构实际收到邮件之日作为收到质疑的日期。</w:t>
      </w:r>
    </w:p>
    <w:p>
      <w:pPr>
        <w:pStyle w:val="19"/>
        <w:keepNext w:val="0"/>
        <w:keepLines w:val="0"/>
        <w:pageBreakBefore w:val="0"/>
        <w:widowControl w:val="0"/>
        <w:kinsoku/>
        <w:overflowPunct/>
        <w:topLinePunct w:val="0"/>
        <w:bidi w:val="0"/>
        <w:spacing w:line="460" w:lineRule="exact"/>
        <w:ind w:left="0" w:firstLine="480" w:firstLineChars="200"/>
        <w:rPr>
          <w:rFonts w:hint="eastAsia" w:ascii="宋体" w:hAnsi="宋体" w:eastAsia="宋体" w:cs="宋体"/>
          <w:color w:val="auto"/>
          <w:kern w:val="2"/>
          <w:sz w:val="24"/>
          <w:szCs w:val="24"/>
        </w:rPr>
      </w:pPr>
      <w:r>
        <w:rPr>
          <w:rFonts w:hint="eastAsia" w:ascii="宋体" w:hAnsi="宋体" w:eastAsia="宋体" w:cs="宋体"/>
          <w:color w:val="auto"/>
          <w:sz w:val="24"/>
          <w:szCs w:val="24"/>
        </w:rPr>
        <w:t>33.3.2 传</w:t>
      </w:r>
      <w:r>
        <w:rPr>
          <w:rFonts w:hint="eastAsia" w:ascii="宋体" w:hAnsi="宋体" w:eastAsia="宋体" w:cs="宋体"/>
          <w:color w:val="auto"/>
          <w:kern w:val="2"/>
          <w:sz w:val="24"/>
          <w:szCs w:val="24"/>
        </w:rPr>
        <w:t>真方式送达质疑书的，质疑供应商应当取得采购代理机构确认收到传真的意见，并及时将质疑书原件送达采购代理机构。采购代理机构以实际收到原件之日作为收到质疑的日期。</w:t>
      </w:r>
    </w:p>
    <w:p>
      <w:pPr>
        <w:pStyle w:val="19"/>
        <w:keepNext w:val="0"/>
        <w:keepLines w:val="0"/>
        <w:pageBreakBefore w:val="0"/>
        <w:widowControl w:val="0"/>
        <w:kinsoku/>
        <w:overflowPunct/>
        <w:topLinePunct w:val="0"/>
        <w:bidi w:val="0"/>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33.3.3 在质疑期限届满前，质疑书已经邮寄或传真成功的，质疑不视为过期。</w:t>
      </w:r>
    </w:p>
    <w:p>
      <w:pPr>
        <w:pStyle w:val="19"/>
        <w:keepNext w:val="0"/>
        <w:keepLines w:val="0"/>
        <w:pageBreakBefore w:val="0"/>
        <w:widowControl w:val="0"/>
        <w:kinsoku/>
        <w:overflowPunct/>
        <w:topLinePunct w:val="0"/>
        <w:bidi w:val="0"/>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33.4 质疑供应商提供的相关材料中有外文资料的，应将与质疑相关的外文资料完整、客观、真实地翻译为中文，并注明翻译人员姓名、工作单位、联系方式等信息。</w:t>
      </w:r>
    </w:p>
    <w:p>
      <w:pPr>
        <w:pStyle w:val="19"/>
        <w:keepNext w:val="0"/>
        <w:keepLines w:val="0"/>
        <w:pageBreakBefore w:val="0"/>
        <w:widowControl w:val="0"/>
        <w:kinsoku/>
        <w:overflowPunct/>
        <w:topLinePunct w:val="0"/>
        <w:bidi w:val="0"/>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33.5 采购代理机构在收到质疑供应商的书面质疑后7个工作日内作出答复，并以书面形式答复质疑供应商。</w:t>
      </w:r>
    </w:p>
    <w:p>
      <w:pPr>
        <w:pStyle w:val="19"/>
        <w:keepNext w:val="0"/>
        <w:keepLines w:val="0"/>
        <w:pageBreakBefore w:val="0"/>
        <w:widowControl w:val="0"/>
        <w:kinsoku/>
        <w:overflowPunct/>
        <w:topLinePunct w:val="0"/>
        <w:bidi w:val="0"/>
        <w:spacing w:line="46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33.6 质疑供应商捏造事实、提供虚假材料进行质疑的，采购代理机构报告同级财政部门，由同级财政部门审查，情况属实的，应列入不良行为记录，并在指定的媒体上公告。</w:t>
      </w:r>
    </w:p>
    <w:p>
      <w:pPr>
        <w:pStyle w:val="6"/>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37" w:name="_Toc495479102"/>
      <w:bookmarkStart w:id="238" w:name="_Toc25983"/>
      <w:bookmarkStart w:id="239" w:name="_Toc24404"/>
      <w:bookmarkStart w:id="240" w:name="_Toc461"/>
      <w:r>
        <w:rPr>
          <w:rFonts w:hint="eastAsia" w:ascii="宋体" w:hAnsi="宋体" w:eastAsia="宋体" w:cs="宋体"/>
          <w:b/>
          <w:bCs/>
          <w:color w:val="auto"/>
          <w:sz w:val="28"/>
          <w:szCs w:val="28"/>
        </w:rPr>
        <w:t>十  投诉</w:t>
      </w:r>
      <w:bookmarkEnd w:id="234"/>
      <w:bookmarkEnd w:id="235"/>
      <w:bookmarkEnd w:id="236"/>
      <w:bookmarkEnd w:id="237"/>
      <w:bookmarkEnd w:id="238"/>
      <w:bookmarkEnd w:id="239"/>
      <w:bookmarkEnd w:id="240"/>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pacing w:val="-6"/>
          <w:kern w:val="0"/>
          <w:sz w:val="24"/>
          <w:szCs w:val="24"/>
        </w:rPr>
      </w:pPr>
      <w:bookmarkStart w:id="241" w:name="_Toc390938586"/>
      <w:bookmarkStart w:id="242" w:name="_Toc334087239"/>
      <w:bookmarkStart w:id="243" w:name="_Toc335664281"/>
      <w:r>
        <w:rPr>
          <w:rFonts w:hint="eastAsia" w:ascii="宋体" w:hAnsi="宋体" w:eastAsia="宋体" w:cs="宋体"/>
          <w:color w:val="auto"/>
          <w:sz w:val="24"/>
          <w:szCs w:val="24"/>
        </w:rPr>
        <w:t>34.</w:t>
      </w:r>
      <w:r>
        <w:rPr>
          <w:rFonts w:hint="eastAsia" w:ascii="宋体" w:hAnsi="宋体" w:eastAsia="宋体" w:cs="宋体"/>
          <w:color w:val="auto"/>
          <w:spacing w:val="-6"/>
          <w:kern w:val="0"/>
          <w:sz w:val="24"/>
          <w:szCs w:val="24"/>
        </w:rPr>
        <w:t>质疑供应商对采购代理机构的答复不满意或者采购代理机构未在规定时间内答复的，可以在答复期满后十五个工作日内按有关规定，以书面形式向同级监督管理部门投诉。</w:t>
      </w:r>
    </w:p>
    <w:p>
      <w:pPr>
        <w:pStyle w:val="6"/>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44" w:name="_Toc5520"/>
      <w:bookmarkStart w:id="245" w:name="_Toc495479103"/>
      <w:bookmarkStart w:id="246" w:name="_Toc16294"/>
      <w:bookmarkStart w:id="247" w:name="_Toc2276"/>
      <w:r>
        <w:rPr>
          <w:rFonts w:hint="eastAsia" w:ascii="宋体" w:hAnsi="宋体" w:eastAsia="宋体" w:cs="宋体"/>
          <w:b/>
          <w:bCs/>
          <w:color w:val="auto"/>
          <w:sz w:val="28"/>
          <w:szCs w:val="28"/>
        </w:rPr>
        <w:t>十一  授予合同</w:t>
      </w:r>
      <w:bookmarkEnd w:id="230"/>
      <w:bookmarkEnd w:id="241"/>
      <w:bookmarkEnd w:id="242"/>
      <w:bookmarkEnd w:id="243"/>
      <w:bookmarkEnd w:id="244"/>
      <w:bookmarkEnd w:id="245"/>
      <w:bookmarkEnd w:id="246"/>
      <w:bookmarkEnd w:id="247"/>
    </w:p>
    <w:p>
      <w:pPr>
        <w:keepNext w:val="0"/>
        <w:keepLines w:val="0"/>
        <w:pageBreakBefore w:val="0"/>
        <w:widowControl w:val="0"/>
        <w:kinsoku/>
        <w:overflowPunct/>
        <w:topLinePunct w:val="0"/>
        <w:bidi w:val="0"/>
        <w:spacing w:line="460" w:lineRule="exact"/>
        <w:ind w:firstLine="480" w:firstLineChars="200"/>
        <w:outlineLvl w:val="1"/>
        <w:rPr>
          <w:rFonts w:hint="eastAsia" w:ascii="宋体" w:hAnsi="宋体" w:eastAsia="宋体" w:cs="宋体"/>
          <w:color w:val="auto"/>
          <w:sz w:val="24"/>
          <w:szCs w:val="24"/>
        </w:rPr>
      </w:pPr>
      <w:bookmarkStart w:id="248" w:name="_Toc24069"/>
      <w:bookmarkStart w:id="249" w:name="_Toc21691"/>
      <w:bookmarkStart w:id="250" w:name="_Toc107820052"/>
      <w:bookmarkStart w:id="251" w:name="_Toc334087240"/>
      <w:bookmarkStart w:id="252" w:name="_Toc15813254"/>
      <w:bookmarkStart w:id="253" w:name="_Toc15805937"/>
      <w:bookmarkStart w:id="254" w:name="_Toc390938587"/>
      <w:bookmarkStart w:id="255" w:name="_Toc335664282"/>
      <w:bookmarkStart w:id="256" w:name="_Toc47756031"/>
      <w:bookmarkStart w:id="257" w:name="_Toc45506731"/>
      <w:r>
        <w:rPr>
          <w:rFonts w:hint="eastAsia" w:ascii="宋体" w:hAnsi="宋体" w:eastAsia="宋体" w:cs="宋体"/>
          <w:color w:val="auto"/>
          <w:sz w:val="24"/>
          <w:szCs w:val="24"/>
        </w:rPr>
        <w:t>35. 成交结果公告及成交通知书</w:t>
      </w:r>
      <w:bookmarkEnd w:id="248"/>
      <w:bookmarkEnd w:id="249"/>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35.1 采购代理机构将在“浙江政府采购网”和“丽水市公共资源交易网（庆元）”上发布成交结果公告，同时向成交人发出成交通知书。</w:t>
      </w:r>
    </w:p>
    <w:p>
      <w:pPr>
        <w:keepNext w:val="0"/>
        <w:keepLines w:val="0"/>
        <w:pageBreakBefore w:val="0"/>
        <w:widowControl w:val="0"/>
        <w:kinsoku/>
        <w:overflowPunct/>
        <w:topLinePunct w:val="0"/>
        <w:bidi w:val="0"/>
        <w:spacing w:line="460" w:lineRule="exact"/>
        <w:ind w:firstLine="480" w:firstLineChars="200"/>
        <w:outlineLvl w:val="1"/>
        <w:rPr>
          <w:rFonts w:hint="eastAsia" w:ascii="宋体" w:hAnsi="宋体" w:eastAsia="宋体" w:cs="宋体"/>
          <w:color w:val="auto"/>
          <w:sz w:val="24"/>
          <w:szCs w:val="24"/>
        </w:rPr>
      </w:pPr>
      <w:bookmarkStart w:id="258" w:name="_Toc30200"/>
      <w:bookmarkStart w:id="259" w:name="_Toc19215"/>
      <w:r>
        <w:rPr>
          <w:rFonts w:hint="eastAsia" w:ascii="宋体" w:hAnsi="宋体" w:eastAsia="宋体" w:cs="宋体"/>
          <w:color w:val="auto"/>
          <w:sz w:val="24"/>
          <w:szCs w:val="24"/>
        </w:rPr>
        <w:t>36. 授予合同时变更数量的权力</w:t>
      </w:r>
      <w:bookmarkEnd w:id="258"/>
      <w:bookmarkEnd w:id="259"/>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36.1 采购人需追加与合同标的相同的货物、工程或者服务，在不改变合同其他条款的前提下，可以与成交人签订补充合同，但所有补充合同的采购总额不得超过原合同采购金额的百分之十。签订补充合同之前，采购人经同级政府采购监督管理部门同意，补充合同交同级政府采购监督管理部门备案。</w:t>
      </w:r>
    </w:p>
    <w:p>
      <w:pPr>
        <w:keepNext w:val="0"/>
        <w:keepLines w:val="0"/>
        <w:pageBreakBefore w:val="0"/>
        <w:widowControl w:val="0"/>
        <w:kinsoku/>
        <w:overflowPunct/>
        <w:topLinePunct w:val="0"/>
        <w:bidi w:val="0"/>
        <w:spacing w:line="460" w:lineRule="exact"/>
        <w:ind w:firstLine="480" w:firstLineChars="200"/>
        <w:outlineLvl w:val="1"/>
        <w:rPr>
          <w:rFonts w:hint="eastAsia" w:ascii="宋体" w:hAnsi="宋体" w:eastAsia="宋体" w:cs="宋体"/>
          <w:color w:val="auto"/>
          <w:sz w:val="24"/>
          <w:szCs w:val="24"/>
        </w:rPr>
      </w:pPr>
      <w:bookmarkStart w:id="260" w:name="_Toc20080"/>
      <w:bookmarkStart w:id="261" w:name="_Toc8957"/>
      <w:r>
        <w:rPr>
          <w:rFonts w:hint="eastAsia" w:ascii="宋体" w:hAnsi="宋体" w:eastAsia="宋体" w:cs="宋体"/>
          <w:color w:val="auto"/>
          <w:sz w:val="24"/>
          <w:szCs w:val="24"/>
        </w:rPr>
        <w:t>37. 签订合同</w:t>
      </w:r>
      <w:bookmarkEnd w:id="260"/>
      <w:bookmarkEnd w:id="261"/>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37.1成交人自成交通知书发出之日起10日内与采购人签定合同。</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37.2 磋商文件、成交人的响应文件及其澄清文件等，均为签订合同的依据。</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37.3 成交人不遵守磋商文件和响应文件的要约条款及所作的承诺，擅自修改报价或在成交通知书发出之日起30日内，无故拖延、拒签合同者，采购代理机构和采购人有权取消供应商的成交资格。</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按有关法律法规成交人拒绝与采购人签订合同的，采购人可以按照评审报告推荐的成交候选人名单排序，确定下一候选人为成交人，也可以重新开展政府采购活动。</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37.4 询问或者质疑事项可能影响成交结果的，采购人应当暂停签订合同，已经签订合同的，应当中止履行合同。（成交结果的质疑期为成交结果公告期限届满之日起七个工作日）。</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pacing w:val="-6"/>
          <w:sz w:val="24"/>
          <w:szCs w:val="24"/>
        </w:rPr>
      </w:pPr>
      <w:r>
        <w:rPr>
          <w:rFonts w:hint="eastAsia" w:ascii="宋体" w:hAnsi="宋体" w:eastAsia="宋体" w:cs="宋体"/>
          <w:color w:val="auto"/>
          <w:sz w:val="24"/>
          <w:szCs w:val="24"/>
        </w:rPr>
        <w:t>37.5</w:t>
      </w:r>
      <w:r>
        <w:rPr>
          <w:rFonts w:hint="eastAsia" w:ascii="宋体" w:hAnsi="宋体" w:eastAsia="宋体" w:cs="宋体"/>
          <w:color w:val="auto"/>
          <w:spacing w:val="-6"/>
          <w:sz w:val="24"/>
          <w:szCs w:val="24"/>
        </w:rPr>
        <w:t>采购人自政府采购合同签订之日起2个工作日内，将政府采购合同在省级以上人民政府财政部门指定的媒体上公告，但政府采购合同中涉及国家秘密、商业秘密的内容除外。</w:t>
      </w:r>
    </w:p>
    <w:bookmarkEnd w:id="250"/>
    <w:bookmarkEnd w:id="251"/>
    <w:bookmarkEnd w:id="252"/>
    <w:bookmarkEnd w:id="253"/>
    <w:bookmarkEnd w:id="254"/>
    <w:bookmarkEnd w:id="255"/>
    <w:bookmarkEnd w:id="256"/>
    <w:bookmarkEnd w:id="257"/>
    <w:p>
      <w:pPr>
        <w:pStyle w:val="6"/>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62" w:name="_Toc493955970"/>
      <w:bookmarkStart w:id="263" w:name="_Toc3322"/>
      <w:bookmarkStart w:id="264" w:name="_Toc8815"/>
      <w:bookmarkStart w:id="265" w:name="_Toc495479104"/>
      <w:bookmarkStart w:id="266" w:name="_Toc494558365"/>
      <w:bookmarkStart w:id="267" w:name="_Toc20773"/>
      <w:r>
        <w:rPr>
          <w:rFonts w:hint="eastAsia" w:ascii="宋体" w:hAnsi="宋体" w:eastAsia="宋体" w:cs="宋体"/>
          <w:b/>
          <w:bCs/>
          <w:color w:val="auto"/>
          <w:sz w:val="28"/>
          <w:szCs w:val="28"/>
        </w:rPr>
        <w:t>十二  验收</w:t>
      </w:r>
      <w:bookmarkEnd w:id="262"/>
      <w:bookmarkEnd w:id="263"/>
      <w:bookmarkEnd w:id="264"/>
      <w:bookmarkEnd w:id="265"/>
      <w:bookmarkEnd w:id="266"/>
      <w:bookmarkEnd w:id="267"/>
    </w:p>
    <w:p>
      <w:pPr>
        <w:keepNext w:val="0"/>
        <w:keepLines w:val="0"/>
        <w:pageBreakBefore w:val="0"/>
        <w:widowControl w:val="0"/>
        <w:kinsoku/>
        <w:overflowPunct/>
        <w:topLinePunct w:val="0"/>
        <w:bidi w:val="0"/>
        <w:spacing w:line="460" w:lineRule="exact"/>
        <w:ind w:firstLine="480" w:firstLineChars="200"/>
        <w:outlineLvl w:val="1"/>
        <w:rPr>
          <w:rFonts w:hint="eastAsia" w:ascii="宋体" w:hAnsi="宋体" w:eastAsia="宋体" w:cs="宋体"/>
          <w:color w:val="auto"/>
          <w:sz w:val="24"/>
          <w:szCs w:val="24"/>
        </w:rPr>
      </w:pPr>
      <w:bookmarkStart w:id="268" w:name="_Toc18628"/>
      <w:bookmarkStart w:id="269" w:name="_Toc12486"/>
      <w:r>
        <w:rPr>
          <w:rFonts w:hint="eastAsia" w:ascii="宋体" w:hAnsi="宋体" w:eastAsia="宋体" w:cs="宋体"/>
          <w:color w:val="auto"/>
          <w:sz w:val="24"/>
          <w:szCs w:val="24"/>
        </w:rPr>
        <w:t>38. 采购人应当及时对供应商履约情况进行验收或考核。</w:t>
      </w:r>
      <w:bookmarkEnd w:id="268"/>
      <w:bookmarkEnd w:id="269"/>
    </w:p>
    <w:p>
      <w:pPr>
        <w:pStyle w:val="32"/>
        <w:keepNext w:val="0"/>
        <w:keepLines w:val="0"/>
        <w:pageBreakBefore w:val="0"/>
        <w:widowControl w:val="0"/>
        <w:kinsoku/>
        <w:overflowPunct/>
        <w:topLinePunct w:val="0"/>
        <w:bidi w:val="0"/>
        <w:snapToGrid w:val="0"/>
        <w:spacing w:before="0" w:beforeAutospacing="0" w:after="0" w:afterAutospacing="0" w:line="460" w:lineRule="exact"/>
        <w:ind w:firstLine="480" w:firstLineChars="200"/>
        <w:rPr>
          <w:rFonts w:hint="eastAsia" w:ascii="宋体" w:hAnsi="宋体" w:eastAsia="宋体" w:cs="宋体"/>
          <w:color w:val="auto"/>
          <w:kern w:val="2"/>
        </w:rPr>
      </w:pPr>
      <w:r>
        <w:rPr>
          <w:rFonts w:hint="eastAsia" w:ascii="宋体" w:hAnsi="宋体" w:eastAsia="宋体" w:cs="宋体"/>
          <w:color w:val="auto"/>
          <w:kern w:val="2"/>
        </w:rPr>
        <w:t>38.1如本项目采购人将邀请其他供应商或者第三方机构参与验收、核对成交标的的技术指标、承诺等内容，是否和磋商文件、成交人响应文件的内容相符合。</w:t>
      </w:r>
    </w:p>
    <w:p>
      <w:pPr>
        <w:pStyle w:val="32"/>
        <w:keepNext w:val="0"/>
        <w:keepLines w:val="0"/>
        <w:pageBreakBefore w:val="0"/>
        <w:widowControl w:val="0"/>
        <w:kinsoku/>
        <w:overflowPunct/>
        <w:topLinePunct w:val="0"/>
        <w:bidi w:val="0"/>
        <w:snapToGrid w:val="0"/>
        <w:spacing w:before="0" w:beforeAutospacing="0" w:after="0" w:afterAutospacing="0" w:line="460" w:lineRule="exact"/>
        <w:ind w:firstLine="480" w:firstLineChars="200"/>
        <w:rPr>
          <w:rFonts w:hint="eastAsia" w:ascii="宋体" w:hAnsi="宋体" w:eastAsia="宋体" w:cs="宋体"/>
          <w:color w:val="auto"/>
          <w:kern w:val="2"/>
        </w:rPr>
      </w:pPr>
      <w:r>
        <w:rPr>
          <w:rFonts w:hint="eastAsia" w:ascii="宋体" w:hAnsi="宋体" w:eastAsia="宋体" w:cs="宋体"/>
          <w:color w:val="auto"/>
          <w:kern w:val="2"/>
        </w:rPr>
        <w:t>38.2其他供应商如要参与验收，在项目成交结果公告前将参与验收的人员名单、联系方式等相关信息书面告知采购人。采购人在验收二日前告知其参加验收的具体时间和地址。参加验收工作的人员，应提供供应商出具的授权委托书。</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38.</w:t>
      </w:r>
      <w:r>
        <w:rPr>
          <w:rFonts w:hint="eastAsia" w:ascii="宋体" w:hAnsi="宋体" w:eastAsia="宋体" w:cs="宋体"/>
          <w:color w:val="auto"/>
          <w:spacing w:val="-6"/>
          <w:sz w:val="24"/>
          <w:szCs w:val="24"/>
        </w:rPr>
        <w:t>3</w:t>
      </w:r>
      <w:r>
        <w:rPr>
          <w:rFonts w:hint="eastAsia" w:ascii="宋体" w:hAnsi="宋体" w:eastAsia="宋体" w:cs="宋体"/>
          <w:color w:val="auto"/>
          <w:sz w:val="24"/>
          <w:szCs w:val="24"/>
        </w:rPr>
        <w:t>其他供应商应遵守诚实信用、实事求是的原则，在验收期间积极配合采购人组织的验收工作，不得影响或阻扰验收工作的正常进行。参与验收的一切费用，原则上由供应商自行承担。</w:t>
      </w:r>
    </w:p>
    <w:p>
      <w:pPr>
        <w:pStyle w:val="6"/>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270" w:name="_Toc23629"/>
      <w:bookmarkStart w:id="271" w:name="_Toc18070"/>
      <w:bookmarkStart w:id="272" w:name="_Toc28616"/>
      <w:bookmarkStart w:id="273" w:name="_Toc493955972"/>
      <w:bookmarkStart w:id="274" w:name="_Toc494558367"/>
      <w:bookmarkStart w:id="275" w:name="_Toc495479106"/>
      <w:r>
        <w:rPr>
          <w:rFonts w:hint="eastAsia" w:ascii="宋体" w:hAnsi="宋体" w:eastAsia="宋体" w:cs="宋体"/>
          <w:b/>
          <w:bCs/>
          <w:color w:val="auto"/>
          <w:sz w:val="28"/>
          <w:szCs w:val="28"/>
        </w:rPr>
        <w:t>十三  政府采购政策</w:t>
      </w:r>
      <w:bookmarkEnd w:id="270"/>
      <w:bookmarkEnd w:id="271"/>
      <w:bookmarkEnd w:id="272"/>
    </w:p>
    <w:p>
      <w:pPr>
        <w:keepNext w:val="0"/>
        <w:keepLines w:val="0"/>
        <w:pageBreakBefore w:val="0"/>
        <w:widowControl w:val="0"/>
        <w:kinsoku/>
        <w:wordWrap/>
        <w:overflowPunct/>
        <w:topLinePunct w:val="0"/>
        <w:autoSpaceDE/>
        <w:autoSpaceDN/>
        <w:bidi w:val="0"/>
        <w:spacing w:line="480" w:lineRule="exact"/>
        <w:ind w:firstLine="480" w:firstLineChars="200"/>
        <w:textAlignment w:val="auto"/>
        <w:outlineLvl w:val="1"/>
        <w:rPr>
          <w:rFonts w:hint="eastAsia" w:ascii="宋体" w:hAnsi="宋体" w:eastAsia="宋体" w:cs="宋体"/>
          <w:color w:val="auto"/>
          <w:sz w:val="24"/>
          <w:szCs w:val="22"/>
        </w:rPr>
      </w:pPr>
      <w:bookmarkStart w:id="276" w:name="_Toc24708"/>
      <w:bookmarkStart w:id="277" w:name="_Toc1157"/>
      <w:bookmarkStart w:id="278" w:name="_Toc32694"/>
      <w:bookmarkStart w:id="279" w:name="_Toc22062"/>
      <w:r>
        <w:rPr>
          <w:rFonts w:hint="eastAsia" w:ascii="宋体" w:hAnsi="宋体" w:eastAsia="宋体" w:cs="宋体"/>
          <w:color w:val="auto"/>
          <w:sz w:val="24"/>
          <w:szCs w:val="22"/>
        </w:rPr>
        <w:t>39.关于中小企业参与政府采购活动的规定</w:t>
      </w:r>
      <w:bookmarkEnd w:id="276"/>
      <w:bookmarkEnd w:id="277"/>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outlineLvl w:val="2"/>
        <w:rPr>
          <w:rFonts w:hint="eastAsia" w:ascii="宋体" w:hAnsi="宋体" w:eastAsia="宋体" w:cs="宋体"/>
          <w:b w:val="0"/>
          <w:bCs w:val="0"/>
          <w:color w:val="auto"/>
          <w:sz w:val="24"/>
          <w:szCs w:val="22"/>
          <w:highlight w:val="none"/>
        </w:rPr>
      </w:pPr>
      <w:bookmarkStart w:id="280" w:name="_Toc20148"/>
      <w:r>
        <w:rPr>
          <w:rFonts w:hint="eastAsia" w:ascii="宋体" w:hAnsi="宋体" w:eastAsia="宋体" w:cs="宋体"/>
          <w:b w:val="0"/>
          <w:bCs w:val="0"/>
          <w:color w:val="auto"/>
          <w:sz w:val="24"/>
          <w:szCs w:val="22"/>
          <w:highlight w:val="none"/>
        </w:rPr>
        <w:t>39.1本项目</w:t>
      </w:r>
      <w:r>
        <w:rPr>
          <w:rFonts w:hint="eastAsia" w:ascii="宋体" w:hAnsi="宋体" w:eastAsia="宋体" w:cs="宋体"/>
          <w:b w:val="0"/>
          <w:bCs w:val="0"/>
          <w:color w:val="auto"/>
          <w:sz w:val="24"/>
          <w:szCs w:val="22"/>
          <w:highlight w:val="none"/>
          <w:u w:val="single"/>
        </w:rPr>
        <w:t xml:space="preserve"> 是 </w:t>
      </w:r>
      <w:r>
        <w:rPr>
          <w:rFonts w:hint="eastAsia" w:ascii="宋体" w:hAnsi="宋体" w:eastAsia="宋体" w:cs="宋体"/>
          <w:b w:val="0"/>
          <w:bCs w:val="0"/>
          <w:color w:val="auto"/>
          <w:sz w:val="24"/>
          <w:szCs w:val="22"/>
          <w:highlight w:val="none"/>
        </w:rPr>
        <w:t>专门面向中小企业采购。</w:t>
      </w:r>
      <w:bookmarkEnd w:id="280"/>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b/>
          <w:color w:val="auto"/>
          <w:sz w:val="24"/>
          <w:szCs w:val="22"/>
          <w:u w:val="single"/>
        </w:rPr>
      </w:pPr>
      <w:r>
        <w:rPr>
          <w:rFonts w:hint="eastAsia" w:ascii="宋体" w:hAnsi="宋体" w:eastAsia="宋体" w:cs="宋体"/>
          <w:color w:val="auto"/>
          <w:sz w:val="24"/>
          <w:szCs w:val="22"/>
        </w:rPr>
        <w:t>39.2本项目对应的中小企业划分标准所属行业：</w:t>
      </w:r>
      <w:r>
        <w:rPr>
          <w:rFonts w:hint="eastAsia" w:ascii="宋体" w:hAnsi="宋体" w:eastAsia="宋体" w:cs="宋体"/>
          <w:b/>
          <w:color w:val="auto"/>
          <w:sz w:val="24"/>
          <w:szCs w:val="22"/>
          <w:u w:val="single"/>
        </w:rPr>
        <w:t>其他未列明行业。</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39.3中小企业是指在中华人民共和国境内依法设立，依据国务院批准的中小企业划分标准确定的中型企业、小型企业和微型企业，但与大企业的负责人为同一人，或者与大企业存在直接控股、管理关系的除外。</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符合中小企业划分标准的个体工商户，在政府采购活动中视同中小企业。</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39.4在政府采购活动中，供应商提供的货物、工程或者服务符合下列情形的，视为本办法规定的中小企业：</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（一）在货物采购项目中，货物由中小企业制造，即货物由中小企业生产且使用该中小企业商号或者注册商标；</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（二）在工程采购项目中，工程由中小企业承建，即工程施工单位为中小企业；</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（三）在服务采购项目中，服务由中小企业承接，即提供服务的人员为中小企业依照《中华人民共和国劳动</w:t>
      </w:r>
      <w:r>
        <w:rPr>
          <w:rFonts w:hint="eastAsia" w:ascii="宋体" w:hAnsi="宋体" w:eastAsia="宋体" w:cs="宋体"/>
          <w:color w:val="auto"/>
          <w:sz w:val="24"/>
          <w:szCs w:val="22"/>
          <w:lang w:eastAsia="zh-CN"/>
        </w:rPr>
        <w:t>民法典</w:t>
      </w:r>
      <w:r>
        <w:rPr>
          <w:rFonts w:hint="eastAsia" w:ascii="宋体" w:hAnsi="宋体" w:eastAsia="宋体" w:cs="宋体"/>
          <w:color w:val="auto"/>
          <w:sz w:val="24"/>
          <w:szCs w:val="22"/>
        </w:rPr>
        <w:t>》订立劳动合同的从业人员。</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在货物采购项目中，供应商提供的货物既有中小企业制造货物，也有大型企业制造货物的，视为非中小企业。</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以联合体形式参加政府采购活动，联合体各方均为中小企业的，联合体视同中小企业。其中，联合体各方均为小微企业的，联合体视同小微企业。</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39.5中小企业应按照采购文件格式要求提供《中小企业声明函》</w:t>
      </w:r>
      <w:r>
        <w:rPr>
          <w:rFonts w:hint="eastAsia" w:ascii="宋体" w:hAnsi="宋体" w:eastAsia="宋体" w:cs="宋体"/>
          <w:color w:val="auto"/>
          <w:spacing w:val="8"/>
          <w:kern w:val="0"/>
          <w:sz w:val="24"/>
          <w:szCs w:val="28"/>
        </w:rPr>
        <w:t>，否则</w:t>
      </w:r>
      <w:r>
        <w:rPr>
          <w:rFonts w:hint="eastAsia" w:ascii="宋体" w:hAnsi="宋体" w:eastAsia="宋体" w:cs="宋体"/>
          <w:color w:val="auto"/>
          <w:sz w:val="24"/>
          <w:szCs w:val="22"/>
        </w:rPr>
        <w:t>视为非中小企业。</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39.6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39.7根据《关于促进残疾人就业政府采购政策的通知》（财库[2017]141号）规定，在政府采购活动中，残疾人福利性单位视同小型、微型企业。残疾人福利性单位参加政府采购活动时，提供《残疾人福利性单位声明函》。</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2"/>
        </w:rPr>
      </w:pPr>
      <w:r>
        <w:rPr>
          <w:rFonts w:hint="eastAsia" w:ascii="宋体" w:hAnsi="宋体" w:eastAsia="宋体" w:cs="宋体"/>
          <w:color w:val="auto"/>
          <w:sz w:val="24"/>
          <w:szCs w:val="22"/>
        </w:rPr>
        <w:t>39.8小微企业不得将合同分包给大中型企业，中型企业不得将合同分包给大型企业。</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hint="eastAsia" w:ascii="宋体" w:hAnsi="宋体" w:eastAsia="宋体" w:cs="宋体"/>
          <w:bCs/>
          <w:color w:val="auto"/>
          <w:sz w:val="24"/>
          <w:szCs w:val="22"/>
        </w:rPr>
      </w:pPr>
      <w:r>
        <w:rPr>
          <w:rFonts w:hint="eastAsia" w:ascii="宋体" w:hAnsi="宋体" w:eastAsia="宋体" w:cs="宋体"/>
          <w:color w:val="auto"/>
          <w:sz w:val="24"/>
          <w:szCs w:val="22"/>
        </w:rPr>
        <w:t>39.9供应商按照《政府采购促进中小企业发展管理办法》（财库﹝2020﹞46号）规定提供声明函内容不实的，属于提供虚假材料谋取中标、成交，依照《中华人民共和国政府采购法》等国家有关规定追究相应责任。</w:t>
      </w:r>
    </w:p>
    <w:p>
      <w:pPr>
        <w:pStyle w:val="6"/>
        <w:keepNext w:val="0"/>
        <w:keepLines w:val="0"/>
        <w:pageBreakBefore w:val="0"/>
        <w:widowControl w:val="0"/>
        <w:kinsoku/>
        <w:overflowPunct/>
        <w:topLinePunct w:val="0"/>
        <w:bidi w:val="0"/>
        <w:spacing w:before="240" w:after="240" w:line="480" w:lineRule="exact"/>
        <w:ind w:left="0" w:firstLine="0"/>
        <w:outlineLvl w:val="1"/>
        <w:rPr>
          <w:rFonts w:hint="eastAsia" w:ascii="宋体" w:hAnsi="宋体" w:eastAsia="宋体" w:cs="宋体"/>
          <w:b/>
          <w:bCs/>
          <w:color w:val="auto"/>
          <w:sz w:val="28"/>
          <w:szCs w:val="28"/>
        </w:rPr>
      </w:pPr>
      <w:bookmarkStart w:id="281" w:name="_Toc3900"/>
      <w:bookmarkStart w:id="282" w:name="_Toc7655"/>
      <w:r>
        <w:rPr>
          <w:rFonts w:hint="eastAsia" w:ascii="宋体" w:hAnsi="宋体" w:eastAsia="宋体" w:cs="宋体"/>
          <w:b/>
          <w:bCs/>
          <w:color w:val="auto"/>
          <w:sz w:val="28"/>
          <w:szCs w:val="28"/>
        </w:rPr>
        <w:t>十四</w:t>
      </w:r>
      <w:bookmarkEnd w:id="278"/>
      <w:bookmarkEnd w:id="279"/>
      <w:bookmarkStart w:id="283" w:name="_Toc2850"/>
      <w:bookmarkStart w:id="284" w:name="_Toc20113"/>
      <w:r>
        <w:rPr>
          <w:rFonts w:hint="eastAsia" w:ascii="宋体" w:hAnsi="宋体" w:eastAsia="宋体" w:cs="宋体"/>
          <w:b/>
          <w:bCs/>
          <w:color w:val="auto"/>
          <w:sz w:val="28"/>
          <w:szCs w:val="28"/>
        </w:rPr>
        <w:t xml:space="preserve">  其他事项</w:t>
      </w:r>
      <w:bookmarkEnd w:id="273"/>
      <w:bookmarkEnd w:id="274"/>
      <w:bookmarkEnd w:id="275"/>
      <w:bookmarkEnd w:id="281"/>
      <w:bookmarkEnd w:id="282"/>
      <w:bookmarkEnd w:id="283"/>
      <w:bookmarkEnd w:id="284"/>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z w:val="24"/>
          <w:szCs w:val="24"/>
        </w:rPr>
      </w:pPr>
      <w:bookmarkStart w:id="285" w:name="_Toc17048"/>
      <w:bookmarkStart w:id="286" w:name="_Toc4668"/>
      <w:r>
        <w:rPr>
          <w:rFonts w:hint="eastAsia" w:ascii="宋体" w:hAnsi="宋体" w:eastAsia="宋体" w:cs="宋体"/>
          <w:bCs/>
          <w:color w:val="auto"/>
          <w:sz w:val="24"/>
          <w:szCs w:val="24"/>
        </w:rPr>
        <w:t>41. 解释权</w:t>
      </w:r>
      <w:bookmarkEnd w:id="285"/>
      <w:bookmarkEnd w:id="286"/>
      <w:r>
        <w:rPr>
          <w:rFonts w:hint="eastAsia" w:ascii="宋体" w:hAnsi="宋体" w:eastAsia="宋体" w:cs="宋体"/>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41.1本磋商文件是根据国家有关法律、法规、规章和有关规定编制的，解释权属采购代理机构。</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2"/>
        <w:rPr>
          <w:rFonts w:hint="eastAsia" w:ascii="宋体" w:hAnsi="宋体" w:eastAsia="宋体" w:cs="宋体"/>
          <w:bCs/>
          <w:color w:val="auto"/>
          <w:sz w:val="24"/>
          <w:szCs w:val="24"/>
        </w:rPr>
      </w:pPr>
      <w:bookmarkStart w:id="287" w:name="_Toc3557"/>
      <w:r>
        <w:rPr>
          <w:rFonts w:hint="eastAsia" w:ascii="宋体" w:hAnsi="宋体" w:eastAsia="宋体" w:cs="宋体"/>
          <w:bCs/>
          <w:color w:val="auto"/>
          <w:sz w:val="24"/>
          <w:szCs w:val="24"/>
        </w:rPr>
        <w:t>41.2.采购代理机构对决标结果不负责解释。</w:t>
      </w:r>
      <w:bookmarkEnd w:id="287"/>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bCs/>
          <w:color w:val="auto"/>
          <w:sz w:val="24"/>
          <w:szCs w:val="24"/>
        </w:rPr>
      </w:pPr>
      <w:bookmarkStart w:id="288" w:name="_Toc17835"/>
      <w:bookmarkStart w:id="289" w:name="_Toc21917"/>
      <w:r>
        <w:rPr>
          <w:rFonts w:hint="eastAsia" w:ascii="宋体" w:hAnsi="宋体" w:eastAsia="宋体" w:cs="宋体"/>
          <w:bCs/>
          <w:color w:val="auto"/>
          <w:sz w:val="24"/>
          <w:szCs w:val="24"/>
        </w:rPr>
        <w:t>42. 采购代理服务费：</w:t>
      </w:r>
      <w:bookmarkEnd w:id="288"/>
      <w:bookmarkEnd w:id="289"/>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每标项的代理费</w:t>
      </w:r>
      <w:r>
        <w:rPr>
          <w:rFonts w:hint="eastAsia" w:ascii="宋体" w:hAnsi="宋体" w:eastAsia="宋体" w:cs="宋体"/>
          <w:bCs/>
          <w:color w:val="auto"/>
          <w:sz w:val="24"/>
          <w:szCs w:val="24"/>
        </w:rPr>
        <w:t>由</w:t>
      </w:r>
      <w:r>
        <w:rPr>
          <w:rFonts w:hint="eastAsia" w:ascii="宋体" w:hAnsi="宋体" w:eastAsia="宋体" w:cs="宋体"/>
          <w:bCs/>
          <w:color w:val="auto"/>
          <w:sz w:val="24"/>
          <w:szCs w:val="24"/>
          <w:lang w:eastAsia="zh-CN"/>
        </w:rPr>
        <w:t>各标项的中标</w:t>
      </w:r>
      <w:r>
        <w:rPr>
          <w:rFonts w:hint="eastAsia" w:ascii="宋体" w:hAnsi="宋体" w:eastAsia="宋体" w:cs="宋体"/>
          <w:bCs/>
          <w:color w:val="auto"/>
          <w:sz w:val="24"/>
          <w:szCs w:val="24"/>
        </w:rPr>
        <w:t>人支付，</w:t>
      </w:r>
      <w:r>
        <w:rPr>
          <w:rFonts w:hint="eastAsia" w:ascii="宋体" w:hAnsi="宋体" w:eastAsia="宋体" w:cs="宋体"/>
          <w:bCs/>
          <w:color w:val="auto"/>
          <w:sz w:val="24"/>
          <w:szCs w:val="24"/>
          <w:lang w:eastAsia="zh-CN"/>
        </w:rPr>
        <w:t>标项一代理费为</w:t>
      </w:r>
      <w:r>
        <w:rPr>
          <w:rFonts w:hint="eastAsia" w:ascii="宋体" w:hAnsi="宋体" w:eastAsia="宋体" w:cs="宋体"/>
          <w:bCs/>
          <w:color w:val="auto"/>
          <w:sz w:val="24"/>
          <w:szCs w:val="24"/>
        </w:rPr>
        <w:t>人民币</w:t>
      </w:r>
      <w:r>
        <w:rPr>
          <w:rFonts w:hint="eastAsia" w:ascii="宋体" w:hAnsi="宋体" w:eastAsia="宋体" w:cs="宋体"/>
          <w:bCs/>
          <w:color w:val="auto"/>
          <w:sz w:val="24"/>
          <w:szCs w:val="24"/>
          <w:lang w:val="en-US" w:eastAsia="zh-CN"/>
        </w:rPr>
        <w:t>1460</w:t>
      </w:r>
      <w:r>
        <w:rPr>
          <w:rFonts w:hint="eastAsia" w:ascii="宋体" w:hAnsi="宋体" w:eastAsia="宋体" w:cs="宋体"/>
          <w:bCs/>
          <w:color w:val="auto"/>
          <w:sz w:val="24"/>
          <w:szCs w:val="24"/>
        </w:rPr>
        <w:t>元整，</w:t>
      </w:r>
      <w:r>
        <w:rPr>
          <w:rFonts w:hint="eastAsia" w:ascii="宋体" w:hAnsi="宋体" w:eastAsia="宋体" w:cs="宋体"/>
          <w:bCs/>
          <w:color w:val="auto"/>
          <w:sz w:val="24"/>
          <w:szCs w:val="24"/>
          <w:lang w:eastAsia="zh-CN"/>
        </w:rPr>
        <w:t>标项二代理费为</w:t>
      </w:r>
      <w:r>
        <w:rPr>
          <w:rFonts w:hint="eastAsia" w:ascii="宋体" w:hAnsi="宋体" w:eastAsia="宋体" w:cs="宋体"/>
          <w:bCs/>
          <w:color w:val="auto"/>
          <w:sz w:val="24"/>
          <w:szCs w:val="24"/>
        </w:rPr>
        <w:t>人民币</w:t>
      </w:r>
      <w:r>
        <w:rPr>
          <w:rFonts w:hint="eastAsia" w:ascii="宋体" w:hAnsi="宋体" w:eastAsia="宋体" w:cs="宋体"/>
          <w:bCs/>
          <w:color w:val="auto"/>
          <w:sz w:val="24"/>
          <w:szCs w:val="24"/>
          <w:lang w:val="en-US" w:eastAsia="zh-CN"/>
        </w:rPr>
        <w:t>1830</w:t>
      </w:r>
      <w:r>
        <w:rPr>
          <w:rFonts w:hint="eastAsia" w:ascii="宋体" w:hAnsi="宋体" w:eastAsia="宋体" w:cs="宋体"/>
          <w:bCs/>
          <w:color w:val="auto"/>
          <w:sz w:val="24"/>
          <w:szCs w:val="24"/>
        </w:rPr>
        <w:t>元整，</w:t>
      </w:r>
      <w:r>
        <w:rPr>
          <w:rFonts w:hint="eastAsia" w:ascii="宋体" w:hAnsi="宋体" w:eastAsia="宋体" w:cs="宋体"/>
          <w:bCs/>
          <w:color w:val="auto"/>
          <w:sz w:val="24"/>
          <w:szCs w:val="24"/>
          <w:lang w:eastAsia="zh-CN"/>
        </w:rPr>
        <w:t>标项三代理费为</w:t>
      </w:r>
      <w:r>
        <w:rPr>
          <w:rFonts w:hint="eastAsia" w:ascii="宋体" w:hAnsi="宋体" w:eastAsia="宋体" w:cs="宋体"/>
          <w:bCs/>
          <w:color w:val="auto"/>
          <w:sz w:val="24"/>
          <w:szCs w:val="24"/>
        </w:rPr>
        <w:t>人民币</w:t>
      </w:r>
      <w:r>
        <w:rPr>
          <w:rFonts w:hint="eastAsia" w:ascii="宋体" w:hAnsi="宋体" w:eastAsia="宋体" w:cs="宋体"/>
          <w:bCs/>
          <w:color w:val="auto"/>
          <w:sz w:val="24"/>
          <w:szCs w:val="24"/>
          <w:lang w:val="en-US" w:eastAsia="zh-CN"/>
        </w:rPr>
        <w:t>2300</w:t>
      </w:r>
      <w:r>
        <w:rPr>
          <w:rFonts w:hint="eastAsia" w:ascii="宋体" w:hAnsi="宋体" w:eastAsia="宋体" w:cs="宋体"/>
          <w:bCs/>
          <w:color w:val="auto"/>
          <w:sz w:val="24"/>
          <w:szCs w:val="24"/>
        </w:rPr>
        <w:t>元整，</w:t>
      </w:r>
      <w:r>
        <w:rPr>
          <w:rFonts w:hint="eastAsia" w:ascii="宋体" w:hAnsi="宋体" w:eastAsia="宋体" w:cs="宋体"/>
          <w:bCs/>
          <w:color w:val="auto"/>
          <w:sz w:val="24"/>
          <w:szCs w:val="24"/>
          <w:lang w:eastAsia="zh-CN"/>
        </w:rPr>
        <w:t>各</w:t>
      </w:r>
      <w:r>
        <w:rPr>
          <w:rFonts w:hint="eastAsia" w:ascii="宋体" w:hAnsi="宋体" w:eastAsia="宋体" w:cs="宋体"/>
          <w:bCs/>
          <w:color w:val="auto"/>
          <w:sz w:val="24"/>
          <w:szCs w:val="24"/>
        </w:rPr>
        <w:t>成交人在成交公告发布之日起5个工作日内向采购代理机构一次性付清。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Cs/>
          <w:color w:val="auto"/>
          <w:szCs w:val="21"/>
        </w:rPr>
      </w:pPr>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bCs/>
          <w:color w:val="auto"/>
          <w:szCs w:val="21"/>
        </w:rPr>
      </w:pPr>
    </w:p>
    <w:p>
      <w:pPr>
        <w:keepNext w:val="0"/>
        <w:keepLines w:val="0"/>
        <w:pageBreakBefore w:val="0"/>
        <w:widowControl w:val="0"/>
        <w:kinsoku/>
        <w:overflowPunct/>
        <w:topLinePunct w:val="0"/>
        <w:bidi w:val="0"/>
        <w:rPr>
          <w:rFonts w:hint="eastAsia" w:ascii="宋体" w:hAnsi="宋体" w:eastAsia="宋体" w:cs="宋体"/>
          <w:bCs/>
          <w:color w:val="auto"/>
          <w:szCs w:val="21"/>
        </w:rPr>
      </w:pPr>
    </w:p>
    <w:p>
      <w:pPr>
        <w:keepNext w:val="0"/>
        <w:keepLines w:val="0"/>
        <w:pageBreakBefore w:val="0"/>
        <w:widowControl w:val="0"/>
        <w:kinsoku/>
        <w:overflowPunct/>
        <w:topLinePunct w:val="0"/>
        <w:bidi w:val="0"/>
        <w:spacing w:line="460" w:lineRule="exact"/>
        <w:rPr>
          <w:rFonts w:hint="eastAsia" w:ascii="宋体" w:hAnsi="宋体" w:eastAsia="宋体" w:cs="宋体"/>
          <w:bCs/>
          <w:color w:val="auto"/>
          <w:szCs w:val="21"/>
        </w:rPr>
      </w:pPr>
      <w:bookmarkStart w:id="290" w:name="_Toc41566461"/>
      <w:bookmarkStart w:id="291" w:name="_Toc29734948"/>
      <w:bookmarkStart w:id="292" w:name="_Toc13528"/>
      <w:bookmarkStart w:id="293" w:name="_Toc12776"/>
      <w:bookmarkStart w:id="294" w:name="_Toc21207"/>
      <w:bookmarkStart w:id="295" w:name="_Toc390938597"/>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bCs/>
          <w:color w:val="auto"/>
          <w:szCs w:val="21"/>
        </w:rPr>
      </w:pPr>
    </w:p>
    <w:p>
      <w:pPr>
        <w:keepNext w:val="0"/>
        <w:keepLines w:val="0"/>
        <w:pageBreakBefore w:val="0"/>
        <w:widowControl w:val="0"/>
        <w:kinsoku/>
        <w:overflowPunct/>
        <w:topLinePunct w:val="0"/>
        <w:bidi w:val="0"/>
        <w:rPr>
          <w:rFonts w:hint="eastAsia" w:ascii="宋体" w:hAnsi="宋体" w:eastAsia="宋体" w:cs="宋体"/>
          <w:bCs/>
          <w:color w:val="auto"/>
          <w:szCs w:val="21"/>
        </w:rPr>
      </w:pPr>
    </w:p>
    <w:p>
      <w:pPr>
        <w:keepNext w:val="0"/>
        <w:keepLines w:val="0"/>
        <w:pageBreakBefore w:val="0"/>
        <w:widowControl w:val="0"/>
        <w:kinsoku/>
        <w:overflowPunct/>
        <w:topLinePunct w:val="0"/>
        <w:bidi w:val="0"/>
        <w:spacing w:line="460" w:lineRule="exact"/>
        <w:rPr>
          <w:rFonts w:hint="eastAsia" w:ascii="宋体" w:hAnsi="宋体" w:eastAsia="宋体" w:cs="宋体"/>
          <w:bCs/>
          <w:color w:val="auto"/>
          <w:szCs w:val="21"/>
        </w:rPr>
      </w:pPr>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bCs/>
          <w:color w:val="auto"/>
          <w:szCs w:val="21"/>
        </w:rPr>
      </w:pPr>
    </w:p>
    <w:p>
      <w:pPr>
        <w:keepNext w:val="0"/>
        <w:keepLines w:val="0"/>
        <w:pageBreakBefore w:val="0"/>
        <w:widowControl w:val="0"/>
        <w:kinsoku/>
        <w:overflowPunct/>
        <w:topLinePunct w:val="0"/>
        <w:bidi w:val="0"/>
        <w:rPr>
          <w:rFonts w:hint="eastAsia" w:ascii="宋体" w:hAnsi="宋体" w:eastAsia="宋体" w:cs="宋体"/>
          <w:bCs/>
          <w:color w:val="auto"/>
          <w:szCs w:val="21"/>
        </w:rPr>
      </w:pPr>
    </w:p>
    <w:p>
      <w:pPr>
        <w:keepNext w:val="0"/>
        <w:keepLines w:val="0"/>
        <w:pageBreakBefore w:val="0"/>
        <w:widowControl w:val="0"/>
        <w:kinsoku/>
        <w:overflowPunct/>
        <w:topLinePunct w:val="0"/>
        <w:bidi w:val="0"/>
        <w:spacing w:line="460" w:lineRule="exact"/>
        <w:rPr>
          <w:rFonts w:hint="eastAsia" w:ascii="宋体" w:hAnsi="宋体" w:eastAsia="宋体" w:cs="宋体"/>
          <w:bCs/>
          <w:color w:val="auto"/>
          <w:szCs w:val="21"/>
        </w:rPr>
      </w:pPr>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bCs/>
          <w:color w:val="auto"/>
          <w:szCs w:val="21"/>
        </w:rPr>
      </w:pPr>
    </w:p>
    <w:p>
      <w:pPr>
        <w:keepNext w:val="0"/>
        <w:keepLines w:val="0"/>
        <w:pageBreakBefore w:val="0"/>
        <w:widowControl w:val="0"/>
        <w:kinsoku/>
        <w:overflowPunct/>
        <w:topLinePunct w:val="0"/>
        <w:bidi w:val="0"/>
        <w:rPr>
          <w:rFonts w:hint="eastAsia" w:ascii="宋体" w:hAnsi="宋体" w:eastAsia="宋体" w:cs="宋体"/>
          <w:bCs/>
          <w:color w:val="auto"/>
          <w:szCs w:val="21"/>
        </w:rPr>
      </w:pPr>
    </w:p>
    <w:p>
      <w:pPr>
        <w:keepNext w:val="0"/>
        <w:keepLines w:val="0"/>
        <w:pageBreakBefore w:val="0"/>
        <w:widowControl w:val="0"/>
        <w:kinsoku/>
        <w:overflowPunct/>
        <w:topLinePunct w:val="0"/>
        <w:bidi w:val="0"/>
        <w:spacing w:line="460" w:lineRule="exact"/>
        <w:rPr>
          <w:rFonts w:hint="eastAsia" w:ascii="宋体" w:hAnsi="宋体" w:eastAsia="宋体" w:cs="宋体"/>
          <w:bCs/>
          <w:color w:val="auto"/>
          <w:szCs w:val="21"/>
        </w:rPr>
      </w:pPr>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bCs/>
          <w:color w:val="auto"/>
          <w:szCs w:val="21"/>
        </w:rPr>
      </w:pPr>
    </w:p>
    <w:p>
      <w:pPr>
        <w:keepNext w:val="0"/>
        <w:keepLines w:val="0"/>
        <w:pageBreakBefore w:val="0"/>
        <w:widowControl w:val="0"/>
        <w:kinsoku/>
        <w:overflowPunct/>
        <w:topLinePunct w:val="0"/>
        <w:bidi w:val="0"/>
        <w:rPr>
          <w:rFonts w:hint="eastAsia" w:ascii="宋体" w:hAnsi="宋体" w:eastAsia="宋体" w:cs="宋体"/>
          <w:bCs/>
          <w:color w:val="auto"/>
          <w:szCs w:val="21"/>
        </w:rPr>
      </w:pPr>
    </w:p>
    <w:p>
      <w:pPr>
        <w:keepNext w:val="0"/>
        <w:keepLines w:val="0"/>
        <w:pageBreakBefore w:val="0"/>
        <w:widowControl w:val="0"/>
        <w:kinsoku/>
        <w:overflowPunct/>
        <w:topLinePunct w:val="0"/>
        <w:bidi w:val="0"/>
        <w:spacing w:line="460" w:lineRule="exact"/>
        <w:rPr>
          <w:rFonts w:hint="eastAsia" w:ascii="宋体" w:hAnsi="宋体" w:eastAsia="宋体" w:cs="宋体"/>
          <w:bCs/>
          <w:color w:val="auto"/>
          <w:szCs w:val="21"/>
        </w:rPr>
      </w:pPr>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bCs/>
          <w:color w:val="auto"/>
          <w:szCs w:val="21"/>
        </w:rPr>
      </w:pPr>
    </w:p>
    <w:p>
      <w:pPr>
        <w:keepNext w:val="0"/>
        <w:keepLines w:val="0"/>
        <w:pageBreakBefore w:val="0"/>
        <w:widowControl w:val="0"/>
        <w:kinsoku/>
        <w:overflowPunct/>
        <w:topLinePunct w:val="0"/>
        <w:bidi w:val="0"/>
        <w:rPr>
          <w:rFonts w:hint="eastAsia" w:ascii="宋体" w:hAnsi="宋体" w:eastAsia="宋体" w:cs="宋体"/>
          <w:bCs/>
          <w:color w:val="auto"/>
          <w:szCs w:val="21"/>
        </w:rPr>
      </w:pPr>
    </w:p>
    <w:p>
      <w:pPr>
        <w:keepNext w:val="0"/>
        <w:keepLines w:val="0"/>
        <w:pageBreakBefore w:val="0"/>
        <w:widowControl w:val="0"/>
        <w:kinsoku/>
        <w:overflowPunct/>
        <w:topLinePunct w:val="0"/>
        <w:bidi w:val="0"/>
        <w:spacing w:line="460" w:lineRule="exact"/>
        <w:rPr>
          <w:rFonts w:hint="eastAsia" w:ascii="宋体" w:hAnsi="宋体" w:eastAsia="宋体" w:cs="宋体"/>
          <w:bCs/>
          <w:color w:val="auto"/>
          <w:szCs w:val="21"/>
        </w:rPr>
      </w:pPr>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bCs/>
          <w:color w:val="auto"/>
          <w:szCs w:val="21"/>
        </w:rPr>
      </w:pPr>
    </w:p>
    <w:p>
      <w:pPr>
        <w:keepNext w:val="0"/>
        <w:keepLines w:val="0"/>
        <w:pageBreakBefore w:val="0"/>
        <w:widowControl w:val="0"/>
        <w:kinsoku/>
        <w:overflowPunct/>
        <w:topLinePunct w:val="0"/>
        <w:bidi w:val="0"/>
        <w:rPr>
          <w:rFonts w:hint="eastAsia" w:ascii="宋体" w:hAnsi="宋体" w:eastAsia="宋体" w:cs="宋体"/>
          <w:bCs/>
          <w:color w:val="auto"/>
          <w:szCs w:val="21"/>
        </w:rPr>
      </w:pPr>
    </w:p>
    <w:p>
      <w:pPr>
        <w:keepNext w:val="0"/>
        <w:keepLines w:val="0"/>
        <w:pageBreakBefore w:val="0"/>
        <w:widowControl w:val="0"/>
        <w:kinsoku/>
        <w:overflowPunct/>
        <w:topLinePunct w:val="0"/>
        <w:bidi w:val="0"/>
        <w:spacing w:line="460" w:lineRule="exact"/>
        <w:rPr>
          <w:rFonts w:hint="eastAsia" w:ascii="宋体" w:hAnsi="宋体" w:eastAsia="宋体" w:cs="宋体"/>
          <w:bCs/>
          <w:color w:val="auto"/>
          <w:szCs w:val="21"/>
        </w:rPr>
      </w:pPr>
    </w:p>
    <w:p>
      <w:pPr>
        <w:pStyle w:val="30"/>
        <w:keepNext w:val="0"/>
        <w:keepLines w:val="0"/>
        <w:pageBreakBefore w:val="0"/>
        <w:widowControl w:val="0"/>
        <w:kinsoku/>
        <w:overflowPunct/>
        <w:topLinePunct w:val="0"/>
        <w:bidi w:val="0"/>
        <w:ind w:left="0" w:leftChars="0" w:firstLine="0" w:firstLineChars="0"/>
        <w:rPr>
          <w:rFonts w:hint="eastAsia" w:ascii="宋体" w:hAnsi="宋体" w:eastAsia="宋体" w:cs="宋体"/>
          <w:bCs/>
          <w:color w:val="auto"/>
          <w:szCs w:val="21"/>
        </w:rPr>
      </w:pPr>
    </w:p>
    <w:p>
      <w:pPr>
        <w:keepNext w:val="0"/>
        <w:keepLines w:val="0"/>
        <w:pageBreakBefore w:val="0"/>
        <w:widowControl w:val="0"/>
        <w:kinsoku/>
        <w:overflowPunct/>
        <w:topLinePunct w:val="0"/>
        <w:bidi w:val="0"/>
        <w:rPr>
          <w:rFonts w:hint="eastAsia" w:ascii="宋体" w:hAnsi="宋体" w:eastAsia="宋体" w:cs="宋体"/>
          <w:bCs/>
          <w:color w:val="auto"/>
          <w:szCs w:val="21"/>
        </w:rPr>
      </w:pPr>
    </w:p>
    <w:p>
      <w:pPr>
        <w:keepNext w:val="0"/>
        <w:keepLines w:val="0"/>
        <w:pageBreakBefore w:val="0"/>
        <w:widowControl w:val="0"/>
        <w:kinsoku/>
        <w:overflowPunct/>
        <w:topLinePunct w:val="0"/>
        <w:bidi w:val="0"/>
        <w:spacing w:line="460" w:lineRule="exact"/>
        <w:rPr>
          <w:rFonts w:hint="eastAsia" w:ascii="宋体" w:hAnsi="宋体" w:eastAsia="宋体" w:cs="宋体"/>
          <w:bCs/>
          <w:color w:val="auto"/>
          <w:szCs w:val="21"/>
        </w:rPr>
      </w:pPr>
    </w:p>
    <w:p>
      <w:pPr>
        <w:pStyle w:val="5"/>
        <w:keepNext w:val="0"/>
        <w:keepLines w:val="0"/>
        <w:pageBreakBefore w:val="0"/>
        <w:widowControl w:val="0"/>
        <w:kinsoku/>
        <w:overflowPunct/>
        <w:topLinePunct w:val="0"/>
        <w:bidi w:val="0"/>
        <w:spacing w:line="480" w:lineRule="exact"/>
        <w:ind w:left="0"/>
        <w:jc w:val="center"/>
        <w:outlineLvl w:val="0"/>
        <w:rPr>
          <w:rFonts w:hint="eastAsia" w:ascii="宋体" w:hAnsi="宋体" w:eastAsia="宋体" w:cs="宋体"/>
          <w:b/>
          <w:bCs/>
          <w:color w:val="auto"/>
          <w:sz w:val="36"/>
          <w:szCs w:val="72"/>
        </w:rPr>
      </w:pPr>
      <w:bookmarkStart w:id="296" w:name="_Toc4590"/>
      <w:bookmarkStart w:id="297" w:name="_Toc16458"/>
      <w:r>
        <w:rPr>
          <w:rFonts w:hint="eastAsia" w:ascii="宋体" w:hAnsi="宋体" w:eastAsia="宋体" w:cs="宋体"/>
          <w:b/>
          <w:bCs/>
          <w:color w:val="auto"/>
          <w:sz w:val="36"/>
          <w:szCs w:val="72"/>
        </w:rPr>
        <w:t xml:space="preserve">第三章  </w:t>
      </w:r>
      <w:bookmarkStart w:id="298" w:name="_Toc3539"/>
      <w:r>
        <w:rPr>
          <w:rFonts w:hint="eastAsia" w:ascii="宋体" w:hAnsi="宋体" w:eastAsia="宋体" w:cs="宋体"/>
          <w:b/>
          <w:bCs/>
          <w:color w:val="auto"/>
          <w:sz w:val="36"/>
          <w:szCs w:val="72"/>
        </w:rPr>
        <w:t>采购需求</w:t>
      </w:r>
      <w:bookmarkEnd w:id="296"/>
      <w:bookmarkEnd w:id="297"/>
      <w:bookmarkEnd w:id="298"/>
    </w:p>
    <w:bookmarkEnd w:id="290"/>
    <w:bookmarkEnd w:id="291"/>
    <w:p>
      <w:pPr>
        <w:keepNext w:val="0"/>
        <w:keepLines w:val="0"/>
        <w:pageBreakBefore w:val="0"/>
        <w:widowControl w:val="0"/>
        <w:kinsoku/>
        <w:overflowPunct/>
        <w:topLinePunct w:val="0"/>
        <w:bidi w:val="0"/>
        <w:spacing w:line="360" w:lineRule="auto"/>
        <w:outlineLvl w:val="1"/>
        <w:rPr>
          <w:rFonts w:hint="eastAsia" w:ascii="宋体" w:hAnsi="宋体" w:eastAsia="宋体" w:cs="宋体"/>
          <w:b/>
          <w:bCs/>
          <w:color w:val="auto"/>
          <w:sz w:val="24"/>
        </w:rPr>
      </w:pPr>
      <w:bookmarkStart w:id="299" w:name="_Toc26080"/>
      <w:bookmarkStart w:id="300" w:name="_Toc43885031"/>
      <w:bookmarkStart w:id="301" w:name="_Toc9461"/>
      <w:bookmarkStart w:id="302" w:name="_Toc485817901"/>
      <w:bookmarkStart w:id="303" w:name="_Toc25414"/>
      <w:r>
        <w:rPr>
          <w:rFonts w:hint="eastAsia" w:ascii="宋体" w:hAnsi="宋体" w:eastAsia="宋体" w:cs="宋体"/>
          <w:b/>
          <w:bCs/>
          <w:color w:val="auto"/>
          <w:sz w:val="24"/>
        </w:rPr>
        <w:t>一、服务范围</w:t>
      </w:r>
      <w:bookmarkEnd w:id="299"/>
      <w:bookmarkEnd w:id="300"/>
      <w:bookmarkEnd w:id="301"/>
    </w:p>
    <w:p>
      <w:pPr>
        <w:pStyle w:val="7"/>
        <w:keepNext w:val="0"/>
        <w:keepLines w:val="0"/>
        <w:pageBreakBefore w:val="0"/>
        <w:widowControl w:val="0"/>
        <w:kinsoku/>
        <w:overflowPunct/>
        <w:topLinePunct w:val="0"/>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1、本项目通过社会化、市场化、专业化运作，依照“廉洁、服务、节俭”的原则，采用竞争性磋商方式，确定中标供应商承担</w:t>
      </w:r>
      <w:r>
        <w:rPr>
          <w:rFonts w:hint="eastAsia" w:ascii="宋体" w:hAnsi="宋体" w:eastAsia="宋体" w:cs="宋体"/>
          <w:color w:val="auto"/>
          <w:sz w:val="24"/>
          <w:lang w:eastAsia="zh-CN"/>
        </w:rPr>
        <w:t>2022年</w:t>
      </w:r>
      <w:r>
        <w:rPr>
          <w:rFonts w:hint="eastAsia" w:ascii="宋体" w:hAnsi="宋体" w:eastAsia="宋体" w:cs="宋体"/>
          <w:color w:val="auto"/>
          <w:sz w:val="24"/>
        </w:rPr>
        <w:t>食品安全检验检测服务</w:t>
      </w:r>
      <w:r>
        <w:rPr>
          <w:rFonts w:hint="eastAsia" w:ascii="宋体" w:hAnsi="宋体" w:eastAsia="宋体" w:cs="宋体"/>
          <w:color w:val="auto"/>
          <w:sz w:val="24"/>
          <w:szCs w:val="24"/>
        </w:rPr>
        <w:t>。</w:t>
      </w:r>
    </w:p>
    <w:p>
      <w:pPr>
        <w:pStyle w:val="7"/>
        <w:keepNext w:val="0"/>
        <w:keepLines w:val="0"/>
        <w:pageBreakBefore w:val="0"/>
        <w:widowControl w:val="0"/>
        <w:kinsoku/>
        <w:overflowPunct/>
        <w:topLinePunct w:val="0"/>
        <w:bidi w:val="0"/>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lang w:eastAsia="zh-CN"/>
        </w:rPr>
        <w:t>2022年</w:t>
      </w:r>
      <w:r>
        <w:rPr>
          <w:rFonts w:hint="eastAsia" w:ascii="宋体" w:hAnsi="宋体" w:eastAsia="宋体" w:cs="宋体"/>
          <w:color w:val="auto"/>
          <w:sz w:val="24"/>
        </w:rPr>
        <w:t>食品安全检验检测服务</w:t>
      </w:r>
      <w:r>
        <w:rPr>
          <w:rFonts w:hint="eastAsia" w:ascii="宋体" w:hAnsi="宋体" w:eastAsia="宋体" w:cs="宋体"/>
          <w:color w:val="auto"/>
          <w:sz w:val="24"/>
          <w:szCs w:val="24"/>
        </w:rPr>
        <w:t>范围覆盖庆元县行政区所有区域。</w:t>
      </w:r>
    </w:p>
    <w:p>
      <w:pPr>
        <w:pStyle w:val="7"/>
        <w:keepNext w:val="0"/>
        <w:keepLines w:val="0"/>
        <w:pageBreakBefore w:val="0"/>
        <w:widowControl w:val="0"/>
        <w:kinsoku/>
        <w:overflowPunct/>
        <w:topLinePunct w:val="0"/>
        <w:bidi w:val="0"/>
        <w:spacing w:line="360" w:lineRule="auto"/>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rPr>
        <w:t>检验检测</w:t>
      </w:r>
      <w:r>
        <w:rPr>
          <w:rFonts w:hint="eastAsia" w:ascii="宋体" w:hAnsi="宋体" w:eastAsia="宋体" w:cs="宋体"/>
          <w:color w:val="auto"/>
          <w:sz w:val="24"/>
          <w:szCs w:val="24"/>
        </w:rPr>
        <w:t>周期为15个工作日，每个周期抽检前安排各</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w:t>
      </w:r>
      <w:r>
        <w:rPr>
          <w:rFonts w:hint="eastAsia" w:ascii="宋体" w:hAnsi="宋体" w:eastAsia="宋体" w:cs="宋体"/>
          <w:color w:val="auto"/>
          <w:sz w:val="24"/>
        </w:rPr>
        <w:t>检验检测</w:t>
      </w:r>
      <w:r>
        <w:rPr>
          <w:rFonts w:hint="eastAsia" w:ascii="宋体" w:hAnsi="宋体" w:eastAsia="宋体" w:cs="宋体"/>
          <w:color w:val="auto"/>
          <w:sz w:val="24"/>
          <w:szCs w:val="24"/>
        </w:rPr>
        <w:t>任务。</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4、中标供应商的</w:t>
      </w:r>
      <w:r>
        <w:rPr>
          <w:rFonts w:hint="eastAsia" w:ascii="宋体" w:hAnsi="宋体" w:eastAsia="宋体" w:cs="宋体"/>
          <w:b w:val="0"/>
          <w:bCs w:val="0"/>
          <w:color w:val="auto"/>
          <w:sz w:val="24"/>
        </w:rPr>
        <w:t>检验检测服务</w:t>
      </w:r>
      <w:r>
        <w:rPr>
          <w:rFonts w:hint="eastAsia" w:ascii="宋体" w:hAnsi="宋体" w:eastAsia="宋体" w:cs="宋体"/>
          <w:b w:val="0"/>
          <w:bCs w:val="0"/>
          <w:color w:val="auto"/>
          <w:sz w:val="24"/>
          <w:szCs w:val="24"/>
        </w:rPr>
        <w:t>有效期限截止到合同约定抽检工作项目完成。</w:t>
      </w:r>
    </w:p>
    <w:p>
      <w:pPr>
        <w:keepNext w:val="0"/>
        <w:keepLines w:val="0"/>
        <w:pageBreakBefore w:val="0"/>
        <w:widowControl w:val="0"/>
        <w:kinsoku/>
        <w:overflowPunct/>
        <w:topLinePunct w:val="0"/>
        <w:bidi w:val="0"/>
        <w:spacing w:line="46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kern w:val="2"/>
          <w:sz w:val="24"/>
          <w:szCs w:val="24"/>
          <w:lang w:val="en-US" w:eastAsia="zh-CN" w:bidi="ar-SA"/>
        </w:rPr>
        <w:t>本次采购为2022年食品安全检验检测服务，本次采购场次划分成三个标段进行采购：</w:t>
      </w:r>
    </w:p>
    <w:tbl>
      <w:tblPr>
        <w:tblStyle w:val="35"/>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445"/>
        <w:gridCol w:w="1523"/>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1067"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sz w:val="24"/>
                <w:szCs w:val="20"/>
              </w:rPr>
            </w:pPr>
            <w:r>
              <w:rPr>
                <w:rFonts w:hint="eastAsia" w:ascii="宋体" w:hAnsi="宋体" w:eastAsia="宋体" w:cs="宋体"/>
                <w:b/>
                <w:bCs/>
                <w:color w:val="auto"/>
                <w:sz w:val="24"/>
                <w:szCs w:val="20"/>
              </w:rPr>
              <w:t>标项</w:t>
            </w:r>
          </w:p>
        </w:tc>
        <w:tc>
          <w:tcPr>
            <w:tcW w:w="4399"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sz w:val="24"/>
                <w:szCs w:val="20"/>
                <w:lang w:eastAsia="zh-CN"/>
              </w:rPr>
            </w:pPr>
            <w:r>
              <w:rPr>
                <w:rFonts w:hint="eastAsia" w:ascii="宋体" w:hAnsi="宋体" w:eastAsia="宋体" w:cs="宋体"/>
                <w:b/>
                <w:bCs/>
                <w:color w:val="auto"/>
                <w:sz w:val="24"/>
                <w:szCs w:val="20"/>
                <w:lang w:eastAsia="zh-CN"/>
              </w:rPr>
              <w:t>检测内容</w:t>
            </w:r>
          </w:p>
        </w:tc>
        <w:tc>
          <w:tcPr>
            <w:tcW w:w="1507"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sz w:val="24"/>
                <w:szCs w:val="20"/>
                <w:lang w:eastAsia="zh-CN"/>
              </w:rPr>
            </w:pPr>
            <w:r>
              <w:rPr>
                <w:rFonts w:hint="eastAsia" w:ascii="宋体" w:hAnsi="宋体" w:eastAsia="宋体" w:cs="宋体"/>
                <w:b/>
                <w:bCs/>
                <w:color w:val="auto"/>
                <w:sz w:val="24"/>
                <w:szCs w:val="20"/>
                <w:lang w:eastAsia="zh-CN"/>
              </w:rPr>
              <w:t>检测批次</w:t>
            </w:r>
          </w:p>
        </w:tc>
        <w:tc>
          <w:tcPr>
            <w:tcW w:w="2284"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sz w:val="24"/>
                <w:szCs w:val="20"/>
              </w:rPr>
            </w:pPr>
            <w:r>
              <w:rPr>
                <w:rFonts w:hint="eastAsia" w:ascii="宋体" w:hAnsi="宋体" w:eastAsia="宋体" w:cs="宋体"/>
                <w:b/>
                <w:bCs/>
                <w:color w:val="auto"/>
                <w:sz w:val="24"/>
                <w:szCs w:val="20"/>
              </w:rPr>
              <w:t>预算金额</w:t>
            </w:r>
          </w:p>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kern w:val="2"/>
                <w:sz w:val="24"/>
                <w:szCs w:val="20"/>
                <w:lang w:val="en-US" w:eastAsia="zh-CN" w:bidi="ar-SA"/>
              </w:rPr>
            </w:pPr>
            <w:r>
              <w:rPr>
                <w:rFonts w:hint="eastAsia" w:ascii="宋体" w:hAnsi="宋体" w:eastAsia="宋体" w:cs="宋体"/>
                <w:b/>
                <w:bCs/>
                <w:color w:val="auto"/>
                <w:sz w:val="24"/>
                <w:szCs w:val="20"/>
                <w:lang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067"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sz w:val="24"/>
                <w:szCs w:val="20"/>
                <w:lang w:val="en-US" w:eastAsia="zh-CN"/>
              </w:rPr>
            </w:pPr>
            <w:r>
              <w:rPr>
                <w:rFonts w:hint="eastAsia" w:ascii="宋体" w:hAnsi="宋体" w:eastAsia="宋体" w:cs="宋体"/>
                <w:b/>
                <w:bCs/>
                <w:color w:val="auto"/>
                <w:sz w:val="24"/>
                <w:szCs w:val="20"/>
                <w:lang w:val="en-US" w:eastAsia="zh-CN"/>
              </w:rPr>
              <w:t>一</w:t>
            </w:r>
          </w:p>
        </w:tc>
        <w:tc>
          <w:tcPr>
            <w:tcW w:w="4399" w:type="dxa"/>
            <w:noWrap w:val="0"/>
            <w:vAlign w:val="center"/>
          </w:tcPr>
          <w:p>
            <w:pPr>
              <w:keepNext w:val="0"/>
              <w:keepLines w:val="0"/>
              <w:pageBreakBefore w:val="0"/>
              <w:widowControl w:val="0"/>
              <w:kinsoku/>
              <w:overflowPunct/>
              <w:topLinePunct w:val="0"/>
              <w:bidi w:val="0"/>
              <w:spacing w:line="400" w:lineRule="exact"/>
              <w:jc w:val="left"/>
              <w:rPr>
                <w:rFonts w:hint="eastAsia" w:ascii="宋体" w:hAnsi="宋体" w:eastAsia="宋体" w:cs="宋体"/>
                <w:b/>
                <w:bCs/>
                <w:color w:val="auto"/>
                <w:sz w:val="24"/>
                <w:szCs w:val="20"/>
                <w:lang w:val="en-US" w:eastAsia="zh-CN"/>
              </w:rPr>
            </w:pPr>
            <w:r>
              <w:rPr>
                <w:rFonts w:hint="eastAsia" w:ascii="宋体" w:hAnsi="宋体" w:eastAsia="宋体" w:cs="宋体"/>
                <w:b/>
                <w:bCs/>
                <w:color w:val="auto"/>
                <w:sz w:val="24"/>
                <w:szCs w:val="20"/>
                <w:lang w:val="en-US" w:eastAsia="zh-CN"/>
              </w:rPr>
              <w:t>生产、餐饮环节的抽检</w:t>
            </w:r>
          </w:p>
        </w:tc>
        <w:tc>
          <w:tcPr>
            <w:tcW w:w="1507"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sz w:val="24"/>
                <w:szCs w:val="20"/>
                <w:lang w:val="en-US" w:eastAsia="zh-CN"/>
              </w:rPr>
            </w:pPr>
            <w:r>
              <w:rPr>
                <w:rFonts w:hint="eastAsia" w:ascii="宋体" w:hAnsi="宋体" w:eastAsia="宋体" w:cs="宋体"/>
                <w:b/>
                <w:bCs/>
                <w:color w:val="auto"/>
                <w:sz w:val="24"/>
                <w:szCs w:val="20"/>
                <w:lang w:eastAsia="zh-CN"/>
              </w:rPr>
              <w:t>约</w:t>
            </w:r>
            <w:r>
              <w:rPr>
                <w:rFonts w:hint="eastAsia" w:ascii="宋体" w:hAnsi="宋体" w:eastAsia="宋体" w:cs="宋体"/>
                <w:b/>
                <w:bCs/>
                <w:color w:val="auto"/>
                <w:sz w:val="24"/>
                <w:szCs w:val="20"/>
                <w:lang w:val="en-US" w:eastAsia="zh-CN"/>
              </w:rPr>
              <w:t>100</w:t>
            </w:r>
          </w:p>
        </w:tc>
        <w:tc>
          <w:tcPr>
            <w:tcW w:w="2284"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kern w:val="2"/>
                <w:sz w:val="24"/>
                <w:szCs w:val="20"/>
                <w:lang w:val="en-US" w:eastAsia="zh-CN" w:bidi="ar-SA"/>
              </w:rPr>
            </w:pPr>
            <w:r>
              <w:rPr>
                <w:rFonts w:hint="eastAsia" w:ascii="宋体" w:hAnsi="宋体" w:eastAsia="宋体" w:cs="宋体"/>
                <w:b/>
                <w:bCs/>
                <w:color w:val="auto"/>
                <w:sz w:val="24"/>
                <w:szCs w:val="20"/>
                <w:lang w:eastAsia="zh-CN"/>
              </w:rPr>
              <w:t>80000</w:t>
            </w:r>
            <w:r>
              <w:rPr>
                <w:rFonts w:hint="eastAsia" w:ascii="宋体" w:hAnsi="宋体" w:eastAsia="宋体" w:cs="宋体"/>
                <w:b/>
                <w:bCs/>
                <w:color w:val="auto"/>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67"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sz w:val="24"/>
                <w:szCs w:val="20"/>
                <w:lang w:val="en-US" w:eastAsia="zh-CN"/>
              </w:rPr>
            </w:pPr>
            <w:r>
              <w:rPr>
                <w:rFonts w:hint="eastAsia" w:ascii="宋体" w:hAnsi="宋体" w:eastAsia="宋体" w:cs="宋体"/>
                <w:b/>
                <w:bCs/>
                <w:color w:val="auto"/>
                <w:sz w:val="24"/>
                <w:szCs w:val="20"/>
                <w:lang w:val="en-US" w:eastAsia="zh-CN"/>
              </w:rPr>
              <w:t>二</w:t>
            </w:r>
          </w:p>
        </w:tc>
        <w:tc>
          <w:tcPr>
            <w:tcW w:w="4399" w:type="dxa"/>
            <w:noWrap w:val="0"/>
            <w:vAlign w:val="center"/>
          </w:tcPr>
          <w:p>
            <w:pPr>
              <w:keepNext w:val="0"/>
              <w:keepLines w:val="0"/>
              <w:pageBreakBefore w:val="0"/>
              <w:widowControl w:val="0"/>
              <w:kinsoku/>
              <w:overflowPunct/>
              <w:topLinePunct w:val="0"/>
              <w:bidi w:val="0"/>
              <w:spacing w:line="400" w:lineRule="exact"/>
              <w:jc w:val="left"/>
              <w:rPr>
                <w:rFonts w:hint="eastAsia" w:ascii="宋体" w:hAnsi="宋体" w:eastAsia="宋体" w:cs="宋体"/>
                <w:b/>
                <w:bCs/>
                <w:color w:val="auto"/>
                <w:sz w:val="24"/>
                <w:szCs w:val="20"/>
                <w:lang w:val="en-US" w:eastAsia="zh-CN"/>
              </w:rPr>
            </w:pPr>
            <w:r>
              <w:rPr>
                <w:rFonts w:hint="eastAsia" w:ascii="宋体" w:hAnsi="宋体" w:eastAsia="宋体" w:cs="宋体"/>
                <w:b/>
                <w:bCs/>
                <w:color w:val="auto"/>
                <w:sz w:val="24"/>
                <w:szCs w:val="20"/>
                <w:lang w:val="en-US" w:eastAsia="zh-CN"/>
              </w:rPr>
              <w:t>食用农产品的抽检</w:t>
            </w:r>
          </w:p>
        </w:tc>
        <w:tc>
          <w:tcPr>
            <w:tcW w:w="1507"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sz w:val="24"/>
                <w:szCs w:val="20"/>
                <w:lang w:val="en-US" w:eastAsia="zh-CN"/>
              </w:rPr>
            </w:pPr>
            <w:r>
              <w:rPr>
                <w:rFonts w:hint="eastAsia" w:ascii="宋体" w:hAnsi="宋体" w:eastAsia="宋体" w:cs="宋体"/>
                <w:b/>
                <w:bCs/>
                <w:color w:val="auto"/>
                <w:sz w:val="24"/>
                <w:szCs w:val="20"/>
                <w:lang w:val="en-US" w:eastAsia="zh-CN"/>
              </w:rPr>
              <w:t>约200</w:t>
            </w:r>
          </w:p>
        </w:tc>
        <w:tc>
          <w:tcPr>
            <w:tcW w:w="2284"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kern w:val="2"/>
                <w:sz w:val="24"/>
                <w:szCs w:val="20"/>
                <w:lang w:val="en-US" w:eastAsia="zh-CN" w:bidi="ar-SA"/>
              </w:rPr>
            </w:pPr>
            <w:r>
              <w:rPr>
                <w:rFonts w:hint="eastAsia" w:ascii="宋体" w:hAnsi="宋体" w:eastAsia="宋体" w:cs="宋体"/>
                <w:b/>
                <w:bCs/>
                <w:color w:val="auto"/>
                <w:sz w:val="24"/>
                <w:szCs w:val="20"/>
                <w:lang w:eastAsia="zh-CN"/>
              </w:rPr>
              <w:t>100000</w:t>
            </w:r>
            <w:r>
              <w:rPr>
                <w:rFonts w:hint="eastAsia" w:ascii="宋体" w:hAnsi="宋体" w:eastAsia="宋体" w:cs="宋体"/>
                <w:b/>
                <w:bCs/>
                <w:color w:val="auto"/>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067"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sz w:val="24"/>
                <w:szCs w:val="20"/>
                <w:lang w:val="en-US" w:eastAsia="zh-CN"/>
              </w:rPr>
            </w:pPr>
            <w:r>
              <w:rPr>
                <w:rFonts w:hint="eastAsia" w:ascii="宋体" w:hAnsi="宋体" w:eastAsia="宋体" w:cs="宋体"/>
                <w:b/>
                <w:bCs/>
                <w:color w:val="auto"/>
                <w:sz w:val="24"/>
                <w:szCs w:val="20"/>
                <w:lang w:val="en-US" w:eastAsia="zh-CN"/>
              </w:rPr>
              <w:t>三</w:t>
            </w:r>
          </w:p>
        </w:tc>
        <w:tc>
          <w:tcPr>
            <w:tcW w:w="4399" w:type="dxa"/>
            <w:noWrap w:val="0"/>
            <w:vAlign w:val="center"/>
          </w:tcPr>
          <w:p>
            <w:pPr>
              <w:keepNext w:val="0"/>
              <w:keepLines w:val="0"/>
              <w:pageBreakBefore w:val="0"/>
              <w:widowControl w:val="0"/>
              <w:kinsoku/>
              <w:overflowPunct/>
              <w:topLinePunct w:val="0"/>
              <w:bidi w:val="0"/>
              <w:spacing w:line="400" w:lineRule="exact"/>
              <w:jc w:val="left"/>
              <w:rPr>
                <w:rFonts w:hint="eastAsia" w:ascii="宋体" w:hAnsi="宋体" w:eastAsia="宋体" w:cs="宋体"/>
                <w:b/>
                <w:bCs/>
                <w:color w:val="auto"/>
                <w:sz w:val="24"/>
                <w:szCs w:val="20"/>
                <w:lang w:val="en-US" w:eastAsia="zh-CN"/>
              </w:rPr>
            </w:pPr>
            <w:r>
              <w:rPr>
                <w:rFonts w:hint="eastAsia" w:ascii="宋体" w:hAnsi="宋体" w:eastAsia="宋体" w:cs="宋体"/>
                <w:b/>
                <w:bCs/>
                <w:color w:val="auto"/>
                <w:sz w:val="24"/>
                <w:szCs w:val="20"/>
                <w:lang w:val="en-US" w:eastAsia="zh-CN"/>
              </w:rPr>
              <w:t>流通环节（除食用农产品外）的抽检</w:t>
            </w:r>
          </w:p>
        </w:tc>
        <w:tc>
          <w:tcPr>
            <w:tcW w:w="1507"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sz w:val="24"/>
                <w:szCs w:val="20"/>
                <w:lang w:val="en-US" w:eastAsia="zh-CN"/>
              </w:rPr>
            </w:pPr>
            <w:r>
              <w:rPr>
                <w:rFonts w:hint="eastAsia" w:ascii="宋体" w:hAnsi="宋体" w:eastAsia="宋体" w:cs="宋体"/>
                <w:b/>
                <w:bCs/>
                <w:color w:val="auto"/>
                <w:sz w:val="24"/>
                <w:szCs w:val="20"/>
                <w:lang w:val="en-US" w:eastAsia="zh-CN"/>
              </w:rPr>
              <w:t>约200</w:t>
            </w:r>
          </w:p>
        </w:tc>
        <w:tc>
          <w:tcPr>
            <w:tcW w:w="2284" w:type="dxa"/>
            <w:noWrap w:val="0"/>
            <w:vAlign w:val="center"/>
          </w:tcPr>
          <w:p>
            <w:pPr>
              <w:keepNext w:val="0"/>
              <w:keepLines w:val="0"/>
              <w:pageBreakBefore w:val="0"/>
              <w:widowControl w:val="0"/>
              <w:kinsoku/>
              <w:overflowPunct/>
              <w:topLinePunct w:val="0"/>
              <w:bidi w:val="0"/>
              <w:spacing w:line="400" w:lineRule="exact"/>
              <w:jc w:val="center"/>
              <w:rPr>
                <w:rFonts w:hint="eastAsia" w:ascii="宋体" w:hAnsi="宋体" w:eastAsia="宋体" w:cs="宋体"/>
                <w:b/>
                <w:bCs/>
                <w:color w:val="auto"/>
                <w:kern w:val="2"/>
                <w:sz w:val="24"/>
                <w:szCs w:val="20"/>
                <w:lang w:val="en-US" w:eastAsia="zh-CN" w:bidi="ar-SA"/>
              </w:rPr>
            </w:pPr>
            <w:r>
              <w:rPr>
                <w:rFonts w:hint="eastAsia" w:ascii="宋体" w:hAnsi="宋体" w:eastAsia="宋体" w:cs="宋体"/>
                <w:b/>
                <w:bCs/>
                <w:color w:val="auto"/>
                <w:sz w:val="24"/>
                <w:szCs w:val="20"/>
                <w:lang w:eastAsia="zh-CN"/>
              </w:rPr>
              <w:t>120000</w:t>
            </w:r>
            <w:r>
              <w:rPr>
                <w:rFonts w:hint="eastAsia" w:ascii="宋体" w:hAnsi="宋体" w:eastAsia="宋体" w:cs="宋体"/>
                <w:b/>
                <w:bCs/>
                <w:color w:val="auto"/>
                <w:sz w:val="24"/>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257" w:type="dxa"/>
            <w:gridSpan w:val="4"/>
            <w:noWrap w:val="0"/>
            <w:vAlign w:val="center"/>
          </w:tcPr>
          <w:p>
            <w:pPr>
              <w:keepNext w:val="0"/>
              <w:keepLines w:val="0"/>
              <w:pageBreakBefore w:val="0"/>
              <w:widowControl w:val="0"/>
              <w:kinsoku/>
              <w:overflowPunct/>
              <w:topLinePunct w:val="0"/>
              <w:bidi w:val="0"/>
              <w:spacing w:line="400" w:lineRule="exact"/>
              <w:jc w:val="left"/>
              <w:rPr>
                <w:rFonts w:hint="eastAsia" w:ascii="宋体" w:hAnsi="宋体" w:eastAsia="宋体" w:cs="宋体"/>
                <w:b/>
                <w:bCs/>
                <w:color w:val="auto"/>
                <w:sz w:val="24"/>
                <w:szCs w:val="20"/>
              </w:rPr>
            </w:pPr>
            <w:r>
              <w:rPr>
                <w:rFonts w:hint="eastAsia" w:ascii="宋体" w:hAnsi="宋体" w:eastAsia="宋体" w:cs="宋体"/>
                <w:b/>
                <w:bCs/>
                <w:color w:val="auto"/>
                <w:sz w:val="24"/>
                <w:szCs w:val="20"/>
              </w:rPr>
              <w:t>本项目采购预算总价共计</w:t>
            </w:r>
            <w:r>
              <w:rPr>
                <w:rFonts w:hint="eastAsia" w:ascii="宋体" w:hAnsi="宋体" w:eastAsia="宋体" w:cs="宋体"/>
                <w:b/>
                <w:bCs/>
                <w:color w:val="auto"/>
                <w:sz w:val="24"/>
                <w:szCs w:val="20"/>
                <w:lang w:eastAsia="zh-CN"/>
              </w:rPr>
              <w:t>30</w:t>
            </w:r>
            <w:r>
              <w:rPr>
                <w:rFonts w:hint="eastAsia" w:ascii="宋体" w:hAnsi="宋体" w:eastAsia="宋体" w:cs="宋体"/>
                <w:b/>
                <w:bCs/>
                <w:color w:val="auto"/>
                <w:sz w:val="24"/>
                <w:szCs w:val="20"/>
              </w:rPr>
              <w:t>万元。</w:t>
            </w:r>
          </w:p>
        </w:tc>
      </w:tr>
    </w:tbl>
    <w:p>
      <w:pPr>
        <w:keepNext w:val="0"/>
        <w:keepLines w:val="0"/>
        <w:pageBreakBefore w:val="0"/>
        <w:widowControl w:val="0"/>
        <w:kinsoku/>
        <w:overflowPunct/>
        <w:topLinePunct w:val="0"/>
        <w:bidi w:val="0"/>
        <w:spacing w:line="460" w:lineRule="exact"/>
        <w:ind w:firstLine="482" w:firstLineChars="200"/>
        <w:textAlignment w:val="auto"/>
        <w:rPr>
          <w:rFonts w:hint="eastAsia" w:ascii="宋体" w:hAnsi="宋体" w:eastAsia="宋体" w:cs="宋体"/>
          <w:b/>
          <w:bCs/>
          <w:color w:val="auto"/>
          <w:sz w:val="24"/>
        </w:rPr>
      </w:pPr>
      <w:r>
        <w:rPr>
          <w:rFonts w:hint="eastAsia" w:ascii="宋体" w:hAnsi="宋体" w:eastAsia="宋体" w:cs="宋体"/>
          <w:b/>
          <w:color w:val="auto"/>
          <w:sz w:val="24"/>
        </w:rPr>
        <w:t>注：</w:t>
      </w:r>
      <w:r>
        <w:rPr>
          <w:rFonts w:hint="eastAsia" w:ascii="宋体" w:hAnsi="宋体" w:eastAsia="宋体" w:cs="宋体"/>
          <w:b/>
          <w:bCs/>
          <w:color w:val="auto"/>
          <w:sz w:val="24"/>
          <w:lang w:eastAsia="zh-CN"/>
        </w:rPr>
        <w:t>本项目共有三个标项，</w:t>
      </w:r>
      <w:r>
        <w:rPr>
          <w:rFonts w:hint="eastAsia" w:ascii="宋体" w:hAnsi="宋体" w:eastAsia="宋体" w:cs="宋体"/>
          <w:b/>
          <w:bCs/>
          <w:color w:val="auto"/>
          <w:sz w:val="24"/>
          <w:highlight w:val="none"/>
          <w:lang w:eastAsia="zh-CN"/>
        </w:rPr>
        <w:t>投标供应商</w:t>
      </w:r>
      <w:r>
        <w:rPr>
          <w:rFonts w:hint="eastAsia" w:ascii="宋体" w:hAnsi="宋体" w:eastAsia="宋体" w:cs="宋体"/>
          <w:b/>
          <w:bCs/>
          <w:color w:val="auto"/>
          <w:sz w:val="24"/>
          <w:highlight w:val="none"/>
        </w:rPr>
        <w:t>可选择一个或多个标项进行投标</w:t>
      </w:r>
      <w:r>
        <w:rPr>
          <w:rFonts w:hint="eastAsia" w:ascii="宋体" w:hAnsi="宋体" w:eastAsia="宋体" w:cs="宋体"/>
          <w:b/>
          <w:bCs/>
          <w:color w:val="auto"/>
          <w:sz w:val="24"/>
          <w:highlight w:val="none"/>
          <w:lang w:eastAsia="zh-CN"/>
        </w:rPr>
        <w:t>，</w:t>
      </w:r>
      <w:r>
        <w:rPr>
          <w:rFonts w:hint="eastAsia" w:ascii="宋体" w:hAnsi="宋体" w:eastAsia="宋体" w:cs="宋体"/>
          <w:b/>
          <w:bCs w:val="0"/>
          <w:color w:val="auto"/>
          <w:sz w:val="24"/>
          <w:highlight w:val="none"/>
        </w:rPr>
        <w:t>但只能中一个标项</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中标次序按标项一、标项二</w:t>
      </w:r>
      <w:r>
        <w:rPr>
          <w:rFonts w:hint="eastAsia" w:ascii="宋体" w:hAnsi="宋体" w:eastAsia="宋体" w:cs="宋体"/>
          <w:b/>
          <w:bCs w:val="0"/>
          <w:color w:val="auto"/>
          <w:sz w:val="24"/>
          <w:highlight w:val="none"/>
          <w:lang w:eastAsia="zh-CN"/>
        </w:rPr>
        <w:t>、</w:t>
      </w:r>
      <w:r>
        <w:rPr>
          <w:rFonts w:hint="eastAsia" w:ascii="宋体" w:hAnsi="宋体" w:eastAsia="宋体" w:cs="宋体"/>
          <w:b/>
          <w:bCs w:val="0"/>
          <w:color w:val="auto"/>
          <w:sz w:val="24"/>
          <w:highlight w:val="none"/>
        </w:rPr>
        <w:t>标项</w:t>
      </w:r>
      <w:r>
        <w:rPr>
          <w:rFonts w:hint="eastAsia" w:ascii="宋体" w:hAnsi="宋体" w:eastAsia="宋体" w:cs="宋体"/>
          <w:b/>
          <w:bCs w:val="0"/>
          <w:color w:val="auto"/>
          <w:sz w:val="24"/>
          <w:highlight w:val="none"/>
          <w:lang w:eastAsia="zh-CN"/>
        </w:rPr>
        <w:t>三</w:t>
      </w:r>
      <w:r>
        <w:rPr>
          <w:rFonts w:hint="eastAsia" w:ascii="宋体" w:hAnsi="宋体" w:eastAsia="宋体" w:cs="宋体"/>
          <w:b/>
          <w:bCs w:val="0"/>
          <w:color w:val="auto"/>
          <w:sz w:val="24"/>
          <w:highlight w:val="none"/>
        </w:rPr>
        <w:t>进行确定（如投标人被确定为标项一的第一中标候选人，</w:t>
      </w:r>
      <w:r>
        <w:rPr>
          <w:rFonts w:hint="eastAsia" w:ascii="宋体" w:hAnsi="宋体" w:eastAsia="宋体" w:cs="宋体"/>
          <w:b/>
          <w:bCs w:val="0"/>
          <w:color w:val="auto"/>
          <w:sz w:val="24"/>
          <w:highlight w:val="none"/>
          <w:lang w:eastAsia="zh-CN"/>
        </w:rPr>
        <w:t>则不参加</w:t>
      </w:r>
      <w:r>
        <w:rPr>
          <w:rFonts w:hint="eastAsia" w:ascii="宋体" w:hAnsi="宋体" w:eastAsia="宋体" w:cs="宋体"/>
          <w:b/>
          <w:bCs w:val="0"/>
          <w:color w:val="auto"/>
          <w:sz w:val="24"/>
          <w:highlight w:val="none"/>
        </w:rPr>
        <w:t>标项二</w:t>
      </w:r>
      <w:r>
        <w:rPr>
          <w:rFonts w:hint="eastAsia" w:ascii="宋体" w:hAnsi="宋体" w:eastAsia="宋体" w:cs="宋体"/>
          <w:b/>
          <w:bCs w:val="0"/>
          <w:color w:val="auto"/>
          <w:sz w:val="24"/>
          <w:highlight w:val="none"/>
          <w:lang w:eastAsia="zh-CN"/>
        </w:rPr>
        <w:t>的评审，</w:t>
      </w:r>
      <w:r>
        <w:rPr>
          <w:rFonts w:hint="eastAsia" w:ascii="宋体" w:hAnsi="宋体" w:eastAsia="宋体" w:cs="宋体"/>
          <w:b/>
          <w:bCs w:val="0"/>
          <w:color w:val="auto"/>
          <w:sz w:val="24"/>
          <w:highlight w:val="none"/>
        </w:rPr>
        <w:t>以此类推）</w:t>
      </w:r>
      <w:r>
        <w:rPr>
          <w:rFonts w:hint="eastAsia" w:ascii="宋体" w:hAnsi="宋体" w:eastAsia="宋体" w:cs="宋体"/>
          <w:b/>
          <w:bCs w:val="0"/>
          <w:color w:val="auto"/>
          <w:sz w:val="24"/>
          <w:highlight w:val="none"/>
          <w:lang w:eastAsia="zh-CN"/>
        </w:rPr>
        <w:t>，</w:t>
      </w:r>
      <w:r>
        <w:rPr>
          <w:rFonts w:hint="eastAsia" w:ascii="宋体" w:hAnsi="宋体" w:eastAsia="宋体" w:cs="宋体"/>
          <w:b/>
          <w:color w:val="auto"/>
          <w:sz w:val="24"/>
          <w:highlight w:val="none"/>
          <w:lang w:eastAsia="zh-CN"/>
        </w:rPr>
        <w:t>每标项必须不少于三家（不含已中标）供应商参加磋商，不足3家的，不得开标。</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 w:val="0"/>
          <w:bCs w:val="0"/>
          <w:color w:val="auto"/>
          <w:sz w:val="24"/>
        </w:rPr>
      </w:pPr>
      <w:r>
        <w:rPr>
          <w:rFonts w:hint="eastAsia" w:ascii="宋体" w:hAnsi="宋体" w:eastAsia="宋体" w:cs="宋体"/>
          <w:b w:val="0"/>
          <w:bCs w:val="0"/>
          <w:color w:val="auto"/>
          <w:sz w:val="24"/>
        </w:rPr>
        <w:t>▲二、服务要求</w:t>
      </w:r>
    </w:p>
    <w:p>
      <w:pPr>
        <w:keepNext w:val="0"/>
        <w:keepLines w:val="0"/>
        <w:pageBreakBefore w:val="0"/>
        <w:widowControl w:val="0"/>
        <w:kinsoku/>
        <w:overflowPunct/>
        <w:topLinePunct w:val="0"/>
        <w:bidi w:val="0"/>
        <w:spacing w:line="360" w:lineRule="auto"/>
        <w:ind w:firstLine="480" w:firstLineChars="200"/>
        <w:outlineLvl w:val="2"/>
        <w:rPr>
          <w:rFonts w:hint="eastAsia" w:ascii="宋体" w:hAnsi="宋体" w:eastAsia="宋体" w:cs="宋体"/>
          <w:color w:val="auto"/>
          <w:sz w:val="24"/>
        </w:rPr>
      </w:pPr>
      <w:bookmarkStart w:id="304" w:name="_Toc2639"/>
      <w:r>
        <w:rPr>
          <w:rFonts w:hint="eastAsia" w:ascii="宋体" w:hAnsi="宋体" w:eastAsia="宋体" w:cs="宋体"/>
          <w:color w:val="auto"/>
          <w:sz w:val="24"/>
        </w:rPr>
        <w:t>1、检验检测期限要求：</w:t>
      </w:r>
      <w:bookmarkEnd w:id="304"/>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1.1</w:t>
      </w:r>
      <w:r>
        <w:rPr>
          <w:rFonts w:hint="eastAsia" w:ascii="宋体" w:hAnsi="宋体" w:eastAsia="宋体" w:cs="宋体"/>
          <w:color w:val="auto"/>
          <w:sz w:val="24"/>
        </w:rPr>
        <w:t>供应商应在接到采购人检测通知后2天内，组织安排好相关人员及车辆，负责抽样（样品费用按实结算）。</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2正常检验检测：在抽样后，15个工作日内出具相应检验检测报告。</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1.3</w:t>
      </w:r>
      <w:r>
        <w:rPr>
          <w:rFonts w:hint="eastAsia" w:ascii="宋体" w:hAnsi="宋体" w:eastAsia="宋体" w:cs="宋体"/>
          <w:color w:val="auto"/>
          <w:sz w:val="24"/>
        </w:rPr>
        <w:t>加急检验检测：在抽样后，必须在采购人要求的时间内出具相应检验检测报告。</w:t>
      </w:r>
    </w:p>
    <w:p>
      <w:pPr>
        <w:keepNext w:val="0"/>
        <w:keepLines w:val="0"/>
        <w:pageBreakBefore w:val="0"/>
        <w:widowControl w:val="0"/>
        <w:kinsoku/>
        <w:overflowPunct/>
        <w:topLinePunct w:val="0"/>
        <w:bidi w:val="0"/>
        <w:spacing w:line="360" w:lineRule="auto"/>
        <w:ind w:firstLine="480" w:firstLineChars="200"/>
        <w:outlineLvl w:val="2"/>
        <w:rPr>
          <w:rFonts w:hint="eastAsia" w:ascii="宋体" w:hAnsi="宋体" w:eastAsia="宋体" w:cs="宋体"/>
          <w:color w:val="auto"/>
          <w:sz w:val="24"/>
        </w:rPr>
      </w:pPr>
      <w:bookmarkStart w:id="305" w:name="_Toc23518"/>
      <w:r>
        <w:rPr>
          <w:rFonts w:hint="eastAsia" w:ascii="宋体" w:hAnsi="宋体" w:eastAsia="宋体" w:cs="宋体"/>
          <w:color w:val="auto"/>
          <w:sz w:val="24"/>
        </w:rPr>
        <w:t>2、检验检测内容及要求：</w:t>
      </w:r>
      <w:bookmarkEnd w:id="305"/>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1供应商应根据采购人和合同的要求按时完成相应产品的抽检工作。</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.2</w:t>
      </w:r>
      <w:r>
        <w:rPr>
          <w:rFonts w:hint="eastAsia" w:ascii="宋体" w:hAnsi="宋体" w:eastAsia="宋体" w:cs="宋体"/>
          <w:color w:val="auto"/>
          <w:sz w:val="24"/>
        </w:rPr>
        <w:t>供应商出具的检验检测报告应具有相关执法效力，并对检验检测结果做出科学分析，完成相应的数据汇总、总结报告等，报送给采购人。</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w:t>
      </w:r>
      <w:r>
        <w:rPr>
          <w:rFonts w:hint="eastAsia" w:ascii="宋体" w:hAnsi="宋体" w:eastAsia="宋体" w:cs="宋体"/>
          <w:color w:val="auto"/>
          <w:sz w:val="24"/>
        </w:rPr>
        <w:t>3若需要复检的，由采购人指定省级及以上的第三方复检机构进行复检。</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2.4</w:t>
      </w:r>
      <w:r>
        <w:rPr>
          <w:rFonts w:hint="eastAsia" w:ascii="宋体" w:hAnsi="宋体" w:eastAsia="宋体" w:cs="宋体"/>
          <w:color w:val="auto"/>
          <w:sz w:val="24"/>
        </w:rPr>
        <w:t>若提交的报告经复检后，更改结果的，由原检验检测中标供应商支付并承担相应的复检费用。</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供应商提供自有专门用于存放食品抽检档案场地情况、管理情况等，并提供相关证明材料</w:t>
      </w:r>
      <w:r>
        <w:rPr>
          <w:rFonts w:hint="eastAsia" w:ascii="宋体" w:hAnsi="宋体" w:eastAsia="宋体" w:cs="宋体"/>
          <w:bCs/>
          <w:color w:val="auto"/>
          <w:sz w:val="24"/>
        </w:rPr>
        <w:t>。</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2.6</w:t>
      </w:r>
      <w:r>
        <w:rPr>
          <w:rFonts w:hint="eastAsia" w:ascii="宋体" w:hAnsi="宋体" w:eastAsia="宋体" w:cs="宋体"/>
          <w:bCs/>
          <w:color w:val="auto"/>
          <w:sz w:val="24"/>
        </w:rPr>
        <w:t>供应商提供用于本项目的冷库情况，提供相关自有或租赁证明材料。</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2.7</w:t>
      </w:r>
      <w:r>
        <w:rPr>
          <w:rFonts w:hint="eastAsia" w:ascii="宋体" w:hAnsi="宋体" w:eastAsia="宋体" w:cs="宋体"/>
          <w:bCs/>
          <w:color w:val="auto"/>
          <w:sz w:val="24"/>
        </w:rPr>
        <w:t>供应商提供食品抽检过程中针对各种突发事件的应急措施并提供相关案例以供参考。</w:t>
      </w:r>
    </w:p>
    <w:p>
      <w:pPr>
        <w:keepNext w:val="0"/>
        <w:keepLines w:val="0"/>
        <w:pageBreakBefore w:val="0"/>
        <w:widowControl w:val="0"/>
        <w:kinsoku/>
        <w:overflowPunct/>
        <w:topLinePunct w:val="0"/>
        <w:bidi w:val="0"/>
        <w:spacing w:line="400" w:lineRule="exact"/>
        <w:ind w:firstLine="482" w:firstLineChars="200"/>
        <w:outlineLvl w:val="1"/>
        <w:rPr>
          <w:rFonts w:hint="eastAsia" w:ascii="宋体" w:hAnsi="宋体" w:eastAsia="宋体" w:cs="宋体"/>
          <w:b/>
          <w:color w:val="auto"/>
          <w:sz w:val="24"/>
        </w:rPr>
      </w:pPr>
      <w:bookmarkStart w:id="306" w:name="_Toc21579"/>
      <w:bookmarkStart w:id="307" w:name="_Toc28486"/>
      <w:r>
        <w:rPr>
          <w:rFonts w:hint="eastAsia" w:ascii="宋体" w:hAnsi="宋体" w:eastAsia="宋体" w:cs="宋体"/>
          <w:b/>
          <w:color w:val="auto"/>
          <w:sz w:val="24"/>
        </w:rPr>
        <w:t>三、检验检测项目、依据及预算单价</w:t>
      </w:r>
      <w:bookmarkEnd w:id="306"/>
      <w:bookmarkEnd w:id="307"/>
    </w:p>
    <w:tbl>
      <w:tblPr>
        <w:tblStyle w:val="35"/>
        <w:tblW w:w="96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85" w:type="dxa"/>
          <w:bottom w:w="0" w:type="dxa"/>
          <w:right w:w="85" w:type="dxa"/>
        </w:tblCellMar>
      </w:tblPr>
      <w:tblGrid>
        <w:gridCol w:w="872"/>
        <w:gridCol w:w="2656"/>
        <w:gridCol w:w="4935"/>
        <w:gridCol w:w="113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序号</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检验项目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检测依据</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预算单价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color w:val="auto"/>
                <w:sz w:val="21"/>
                <w:szCs w:val="21"/>
              </w:rPr>
            </w:pPr>
            <w:r>
              <w:rPr>
                <w:rFonts w:hint="eastAsia" w:ascii="宋体" w:hAnsi="宋体" w:eastAsia="宋体" w:cs="宋体"/>
                <w:b/>
                <w:color w:val="auto"/>
                <w:kern w:val="0"/>
                <w:sz w:val="21"/>
                <w:szCs w:val="21"/>
                <w:lang w:bidi="ar"/>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10-羟基-2-癸烯酸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GB9697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2，4-滴</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GB/T5009.175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3-氯-1，2-丙二醇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GB5009.191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6-苄基腺嘌呤（6-BA）</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GB/T23381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N，N-双去甲基西布曲明</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国家食品药品监督管理局药品检验补充检验方法和检验项目批准件2006004、2012005、食药监办[2010]114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6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N-单去甲基西布曲明</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国家食品药品监督管理局药品检验补充检验方法和检验项目批准件2006004、2012005、食药监办[2010]114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N-二甲基亚硝胺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α-亚麻酸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α-亚麻酸供能比</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β-苯乙醇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GB/T13662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β-胡萝卜素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GB5009.83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06"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阿普唑仑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阿斯巴甜</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GB5009.263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3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阿替洛尔</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阿维菌素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GB23200.20、GB23200.19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艾氏剂</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NY/T761、GB/T5009.19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9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艾司唑仑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安赛蜜</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GB/T5009.140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氨苄青霉素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氨基酸态氮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GB18186、GB5009.235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46"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氨氯地平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9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铵盐（以占氨基酸态氮的百分比计）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GB5009.234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37"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奥沙西泮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7"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巴比妥</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百菌清</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NY/T761、GB/T5009.105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阪崎肠杆菌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GB4789.40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饱和酸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倍硫磷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4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苯巴比妥</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苯并[a]芘</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苯丁锡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参照SN0592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3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苯甲酸及其钠盐（以苯甲酸计）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苯醚甲环唑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苯霜灵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苯酰菌胺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8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苯线磷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GB/T5009.145、GB23200.8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苯唑西林</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GB29682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吡虫啉</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GB/T23379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苄青霉素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丙草胺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GB23200.24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丙二醛</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丙森锌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参照SN/T0711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丙酸睾酮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SN/T3235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8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丙酸及其钠盐、钙盐（以丙酸计）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GB5009.120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丙溴磷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参照GB23200.8、NY/T761、SN/T2234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不溶性膳食纤维</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不溶于水杂质</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QB/T2343.2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草甘膦</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GB/T23750、SN/T1923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茶多酚</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GB/T21733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产气荚膜梭菌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呈味核苷酸二钠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SB/T10371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赤藓红</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虫螨腈</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NY/T1379、GB23200.8、SN/T1986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虫酰肼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除虫脲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GB/T5009.147、NY/T1720、GB23200.13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雌二醇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农业部958号公告-10-2007、GB/T21981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哒螨灵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GB/T23204、SN/T2432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达氟沙星</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大肠埃希氏菌O157</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H7</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GB4789.36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大肠菌群</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GB/T4789.3、GB4789.3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代森锰锌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参照SN/T0711、参照SN/T1541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单核细胞增生李斯特氏菌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GB4789.30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胆碱</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GB5413.20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蛋白质</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稻瘟灵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GB/T5009.155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滴滴涕</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狄氏剂</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NY/T761、GB/T5009.19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敌百虫</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敌草快</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参照GB/T5009.221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敌敌畏</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GB/T5009.20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敌菌灵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NY/T1722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敌瘟磷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GB/T20770、SN/T2324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地虫硫磷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cantSplit/>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地美硝唑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GB/T21318、SN/T1928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地塞米松</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GB/T22978、农业部1031号公告-2-2008、GB/T21981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17"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地西泮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蒂巴因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DB31/2010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碘</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GB5009.267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淀粉</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GB9697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靛蓝</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GB/T21916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丁基羟基茴香醚（BHA）</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丁硫克百威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GB23200.13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丁醚脲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GB23200.13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啶虫脒</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GB/T23584、GB/T20769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啶酰菌胺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豆蔻酸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毒杀芬</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YC/T180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毒死蜱</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GB23200.8、NY/T761、SN/T2158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对硫磷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GB/T5009.145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对羟基苯甲酸丙酯及其钠盐（以对羟基苯甲酸计）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GB5009.31、SN/T3545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124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对羟基苯甲酸酯类及其钠盐（对羟基苯甲酸甲酯钠，对羟基苯甲酸乙酯及其钠盐）（以对羟基苯甲酸计）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GB5009.31、SN/T3545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多菌灵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GB/T20769、NY/T1453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2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多氯联苯（以PCB28、PCB52、PCB101、PCB118、PCB138、PCB153和PCB180总和计）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GB5009.190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多西环素（强力霉素）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噁喹酸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GB/T23198、农业部1077号公告-1-2008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噁霜灵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NY/T1379、GB23200.8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噁唑菌酮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8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恩诺沙星（以恩诺沙星与环丙沙星之和计）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二丁基羟基甲苯（BHT）</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二甲戊灵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GB23200.8、NY/T1379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二十二碳二烯酸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二十二碳六烯酸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1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二十二碳六烯酸与二十碳四烯酸的比</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8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二十二碳六烯酸与总脂肪酸比</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2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二十四碳一烯酸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9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二十四烷酸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9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二十碳四烯酸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8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二十碳四烯酸与总脂肪酸比</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1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二十碳五烯酸与二十二碳六烯酸的比</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二十碳烯酸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二氧化硫</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二氧化钛</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GB5009.246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二氧化碳气容量</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GB/T10792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85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伐地那非</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总局关于发布食品中那非类物质的测定和小麦粉中硫脲的测定2项检验方法的公告(2016年第196号)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29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反式脂肪酸（C18</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1T）</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GB5009.257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56"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反式脂肪酸（C18</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2T+C18</w:t>
            </w:r>
            <w:r>
              <w:rPr>
                <w:rFonts w:hint="eastAsia" w:ascii="宋体" w:hAnsi="宋体" w:eastAsia="宋体" w:cs="宋体"/>
                <w:color w:val="auto"/>
                <w:kern w:val="0"/>
                <w:sz w:val="21"/>
                <w:szCs w:val="21"/>
                <w:lang w:eastAsia="zh-CN" w:bidi="ar"/>
              </w:rPr>
              <w:t>：</w:t>
            </w:r>
            <w:r>
              <w:rPr>
                <w:rFonts w:hint="eastAsia" w:ascii="宋体" w:hAnsi="宋体" w:eastAsia="宋体" w:cs="宋体"/>
                <w:color w:val="auto"/>
                <w:kern w:val="0"/>
                <w:sz w:val="21"/>
                <w:szCs w:val="21"/>
                <w:lang w:bidi="ar"/>
              </w:rPr>
              <w:t>3T）</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GB5009.257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2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反式脂肪酸与总脂肪酸比值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GB5009.168、GB5413.36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3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反式脂肪酸最高含量与总脂肪酸比值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GB5009.168、GB5413.36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81"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泛酸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96"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防腐剂混合使用时各自用量占其最大使用量的比例之和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5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非洛地平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非糖固形物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GB/T13662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非脂乳固体</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GB5413.39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7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芬氟拉明</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国家食品药品监督管理局药品检验补充检验方法和检验项目批准件2006004、2012005、食药监办[2010]114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86"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酚酞</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国家食品药品监督管理局药品检验补充检验方法和检验项目批准件2006004、2012005、食药监办[2010]114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粪链球菌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呋喃它酮代谢物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呋喃妥因代谢物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呋喃西林代谢物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呋喃唑酮代谢物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8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呋塞米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国家食品药品监督管理局药品检验补充检验方法和检验项目批准件2006004、2012005、食药监办[2010]114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氟胺氰菊酯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农业部781号公告-9-2006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氟苯尼考</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GB/T22338、GB/T20756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氟苯脲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NY/T1453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0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氟吡甲禾灵和高效氟吡甲禾灵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8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氟虫腈</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SN/T1982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3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氟硅唑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GB23200.8、GB/T20769、GB23200.53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7"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氟化物（以F-计）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67"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氟甲喹</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67"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氟菌唑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NY/T1379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0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氟铃脲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NY/T1720、GB/T20769、SN/T2152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36"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氟罗沙星</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农业部1077号公告-1-2008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氟氯氰菊酯和高效氟氯氰菊酯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GB/T23204、SN/T1117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氟氰戊菊酯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GB/T23204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氟酰脲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参照GB23200.34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福美双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参照SN/T0711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腐霉利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复原乳酸度</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GB5009.239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副溶血性弧菌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富马酸二甲酯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NY/T1723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2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钙</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GB5009.92、GB5009.268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0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钙磷比值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0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干浸出物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GB/T15038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干物质含量</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格列本脲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格列吡嗪</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3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格列波脲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1"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格列喹酮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9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格列美脲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格列齐特</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镉（以Cd计）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铬（以Cr计）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GB5009.123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汞</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GB/T5750.6、GB5009.17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谷氨酸钠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SB/T10371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固形物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GB/T10345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癸酸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果糖和葡萄糖</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过氧化苯甲酰</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GB/T22325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过氧化物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GB6783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过氧化值（以脂肪计）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GB5009.227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还原糖</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GB317、GB1445、QB/T2343.2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耗氧量（以O2计）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禾草敌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GB/T5009.134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河豚毒素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GB5009.206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核苷酸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GB5413.40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红霉素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花生二烯酸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花生酸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花生一烯酸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滑石粉</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黄曲霉毒素B1</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黄曲霉毒素M1</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黄曲霉毒素M1或黄曲霉毒素B1</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8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磺胺类（总量）</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农业部1025号公告-23-2008、GB/T21316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灰分</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挥发性酚（以苯酚计）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189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挥发性盐基氮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浑浊度</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肌醇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GB5009.270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极性组分</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己酸乙酯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GB/T10345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己烯雌酚</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GB/T21981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己唑醇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甲氨基阿维菌素苯甲酸盐</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甲胺磷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GB/T5009.103、NY/T761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甲拌磷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52"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199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甲苯氟磺胺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3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甲苯磺丁脲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GB5009.266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甲砜霉素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GB/T22338、GB/T20756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甲基毒死蜱</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甲基对硫磷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甲基睾丸酮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SN/T3235、GB/T21981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甲基汞（以Hg计）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甲基立枯磷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甲基硫环磷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209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甲基硫菌灵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NY/T1680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甲基异柳磷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GB/T5009.144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甲萘威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GB/T5009.145、NY/T761、GB/T20769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甲氰菊酯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GB/T23376、SN/T1117、GB/T23204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甲醛</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SN/T1547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2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甲醛次硫酸氢钠（以甲醛计）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GB/T21126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甲霜灵和精甲霜灵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甲硝唑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GB/T21318、SN/T1928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钾</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GB5009.268、GB5009.91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碱性橙21</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GB/T23496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碱性橙22</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GB/T23496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碱性橙Ⅱ</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GB/T23496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碱性嫩黄</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DB33/T703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胶囊壳中的铬</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《中国药典》2015年版</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酵母</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GB4789.15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结晶紫</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GB/T19857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芥酸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芥酸与总脂肪酸比值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界限指标-碘化物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界限指标-锂</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229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界限指标-偏硅酸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界限指标-溶解性总固体</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界限指标-锶</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界限指标-硒</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界限指标-锌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界限指标-游离二氧化碳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金刚烷胺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食药监食监三便函[2014]73号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金黄色葡萄球菌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GB4789.10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金霉素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精噁唑禾草灵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NY/T1379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久效磷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酒精度</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GB5009.225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菌落总数</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咖啡因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GB5009.139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卡托普利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可待因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DB31/2010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可可脂（以干物质计）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GB5009.6、GB/T20705、GB/T20706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可溶性固形物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企业标准</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克百威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克菌丹</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GB23200.8、SN0654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249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克伦特罗</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GB/T22286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孔雀石绿</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GB/T19857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喹螨醚</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GB/T23204、GB23200.13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喹乙醇代谢物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农业部1077号公告-5-2008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莱克多巴胺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GB/T22286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劳拉西泮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乐果</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GB/T5009.145、NY/T761、GB/T20769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86"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利血平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联苯肼酯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联苯菊酯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SN/T1969、GB/T23204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259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亮蓝</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GB5009.35、SN/T1743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邻苯二甲酸二（2-乙基）己酯（DEHP）</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GB5009.271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邻苯二甲酸二丁酯（DBP）</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GB5009.271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邻苯基苯酚</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邻氯青霉素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林丹</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GB/T5009.19、GB/T5009.162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林可霉素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GB5009.87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磷胺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31"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硫代艾地那非</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总局关于发布食品中那非类物质的测定和小麦粉中硫脲的测定2项检验方法的公告(2016年第196号)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9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269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硫丹</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GB/T5009.19、GB/T23204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0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硫环磷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0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六六六</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0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罗丹明B</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SN/T2430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296"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罗通定</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洛伐他汀</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食药监办许[2010]114号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洛硝哒唑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GB/T21318、SN/T1928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79"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铝的残留量（干样品，以Al计）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参照GB5009.268、GB5009.182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11"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铝的残留量（以即食海蜇中Al计）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GB5009.268、GB5009.182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GB5009.44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exac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氯苯胺灵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2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氯苯那敏</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氯吡脲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参照GB/T20770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氯丙嗪</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氯丹</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氯氮卓</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71"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氯氟氰菊酯和高效氯氟氰菊酯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SN/T1117、GB/T23204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GB/T23204、SN/T1117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GB/T22338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0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氯美扎酮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7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289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氯氰菊酯和高效氯氰菊酯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GB/T23204、SN/T1117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881"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氯硝西泮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0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氯唑磷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81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麻黄碱</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国家食品药品监督管理局药品检验补充检验方法和检验项目批准件2006004、2012005、食药监办[2010]114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马拉硫磷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4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马来酸罗格列酮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马来酸咪达唑仑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吗啡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DB31/2010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麦芽糖</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螨</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GB13104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299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没食子酸丙酯（PG）</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霉菌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GB4789.15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霉菌和酵母</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GB4789.15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GB5009.241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锰</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咪鲜胺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NY/T1456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醚菊酯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参照SN/T2151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米酵菌酸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GB5009.189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嘧菌环胺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NY/T1379、GB23200.8、GB/T20769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嘧菌酯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NY/T1453、SN/T1976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309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嘧霉胺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灭多威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NY/T761、GB23200.13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灭菌丹</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GB/T20769、SN/T2320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灭线磷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灭幼脲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木焦油酸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木糖醇含量（以干基计）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GB1886.234、GB13509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281"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那红地那非</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总局关于发布食品中那非类物质的测定和小麦粉中硫脲的测定2项检验方法的公告(2016年第196号)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那可丁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DB31/2010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37"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那莫西地那非</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总局关于发布食品中那非类物质的测定和小麦粉中硫脲的测定2项检验方法的公告(2016年第196号)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99"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319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纳他霉素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GB/T21915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99"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GB5009.91、GB5009.268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99"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内吸磷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99"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能量</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99"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尼卡巴嗪残留标志物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GB29690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8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尼莫地平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69"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尼群地平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0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尼索地平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脲酶试验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GB/T5009.183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镍（以Ni计）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329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柠檬黄</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柠檬酸钠含量（以干物质计）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GB1886.25、GB6782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凝冻强度（6.67%）</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GB6783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牛磺酸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牛源性成分</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SN/T2557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纽甜</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GB5009.247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7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诺氟沙星</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GB/T21312、GB/T20366、农业部1077号公告-1-2008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哌唑嗪</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培氟沙星</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GB/T21312、GB/T20366、农业部1077号公告-1-2008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硼酸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GB5009.275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339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硼酸盐（以B计）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七氯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NY/T761、GB/T5009.19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铅（以Pb计）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GB5009.75、GB5009.12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羟基甲硝唑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GB/T21318、SN/T1928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羟甲基甲硝咪唑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GB/T21318、SN/T1928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4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嗪氨灵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参照SN0695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青藤碱</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氢氯噻嗪</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氢氰酸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氰化物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349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氰霜唑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参照GB23200.14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氰戊菊酯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GB/T23204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氰戊菊酯和S-氰戊菊酯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庆大霉素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GB/T21323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炔螨特</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NY/T1652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群勃龙</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GB/T21981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日落黄</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GB5009.35、SN/T1743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溶剂残留量</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GB5009.262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溶血性链球菌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肉豆蔻酸占总脂肪的比值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359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乳固体</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GB13102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乳酸菌数</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乳糖</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乳糖占碳水化合物总量比</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5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瑞格列奈</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噻虫嗪</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GB/T20770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噻菌灵</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NY/T1680、GB/T20769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噻螨酮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GB23200.8、GB/T20769、GB/T23376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噻嗪酮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GB/T23204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三甲胺氮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GB5009.179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三聚氰胺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GB/T22388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三氯甲烷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GB/T5750.8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三氯杀螨醇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GB/T23204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三氯蔗糖</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GB22255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三唑醇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三唑磷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1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三唑仑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三唑酮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NY/T761、GB23200.8、GB/T20769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色度</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色值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GB317、GB1445、QB/T2343.2、QB/T4093、GB15108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379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杀虫环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GB/T5009.113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杀虫脒</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杀螟丹</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杀螟硫磷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GB/T14553、GB/T5009.20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杀扑磷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GB/T14553、GB23200.8、NY/T761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杀线威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NY/T1453、SN/T0134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沙丁胺醇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GB/T22286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沙拉沙星</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GB/T21312、GB/T20366、农业部1077号公告-1-2008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沙门氏菌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山梨酸及其钾盐（以山梨酸计）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山梨酸钾（以干基计）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GB1886.39、GB13736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山嵛酸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商业无菌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GB4789.26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砷（以As计）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GB5009.76、GB25591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砷盐</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生物苄呋菊酯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GB/T20770、SN/T2151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生物素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GB5009.259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十七碳一烯酸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十七烷酸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十四碳以下脂肪酸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399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嗜渗酵母计数</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GB14963(附录A)</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双氟沙星</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GB/T20366、农业部1077号公告-1-2008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双甲脒</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农业部781号公告-8-2006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双乙酰</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GB/T4928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霜霉威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NY/T1379、GB/T20769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水胺硫磷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GB/T5009.20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水分</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司可巴比妥</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司帕沙星</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GB/T20366、农业部1077号公告-1-2008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四环素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409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四氯化碳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GB/T5750.8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四氯硝基苯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四螨嗪</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苏丹红Ⅰ</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GB/T19681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苏丹红Ⅱ</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GB/T19681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苏丹红Ⅲ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GB/T19681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苏丹红Ⅳ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GB/T19681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酸度</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GB5009.239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酸价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GB5009.229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酸性橙Ⅱ</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SN/T3536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酸性红</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SN/T1743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酸值（KOH）</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GB5009.229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6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他达拉非</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总局关于发布食品中那非类物质的测定和小麦粉中硫脲的测定2项检验方法的公告(2016年第196号)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碳水化合物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GB25596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糖精钠（以糖精计）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绦虫裂头蚴</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GB10136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特丁基对苯二酚（TBHQ）</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特丁硫磷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NY/T1379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涕灭威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429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替米考星</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38"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甜蜜素（以环己基氨基磺酸计）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GB5009.97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GB5009.90、GB5009.268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铜</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铜绿假单胞菌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透光率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GB1886.25、GB6782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土霉素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9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褪黑素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0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脱氢乙酸及其钠盐（以脱氢乙酸计）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GB/T23377、GB5009.121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脱氧雪腐镰刀菌烯醇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维生素A</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GB5009.82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维生素B1</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GB5009.84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维生素B12</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GB5413.14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维生素B2</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GB5009.85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维生素B6</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GB5009.154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维生素C</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GB5413.18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维生素D</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GB5009.82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维生素E</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GB5009.82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维生素K1</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GB5009.158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57"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伪伐地那非</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总局关于发布食品中那非类物质的测定和小麦粉中硫脲的测定2项检验方法的公告(2016年第196号)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37"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449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文拉法辛</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乌洛托品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SN/T2226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无机砷（以As计）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五氯酚酸钠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GB29708、GB23200.92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五氯硝基苯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GB/T5009.136、GB/T5009.19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戊菌唑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戊唑醇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0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西布曲明</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国家食品药品监督管理局药品检验补充检验方法和检验项目批准件2006004、2012005、食药监办[2010]114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4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西地那非</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总局关于发布食品中那非类物质的测定和小麦粉中硫脲的测定2项检验方法的公告(2016年第196号)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西马特罗</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GB/T22286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459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吸虫囊蚴</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GB10136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硒</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烯草酮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烯酰吗啉</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锡（以Sn计）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苋菜红</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线虫幼虫</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GB10136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71"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相同色泽着色剂混合使用时各自用量占其最大使用量的比例之和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85"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硝苯地平</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7"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硝酸盐</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5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469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硝西泮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辛伐他汀</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食药监办许[2010]114号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辛硫磷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GB/T5009.102、GB/T20769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GB5009.14、GB5009.268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新红</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溴螨酯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NY/T1379、GB23200.8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溴氰菊酯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GB/T5009.110、GB23200.9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溴酸钾</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GB/T20188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溴酸盐</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亚胺硫磷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参照GB23200.8、GB/T20770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亚硫酸盐（以SO2计）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GB5009.34</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亚麻酸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亚硝酸盐</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亚油酸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亚油酸供能比</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亚油酸与α-亚麻酸比值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胭脂红</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烟酸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食药监办许[2010]114号</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619"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盐酸苯乙双胍</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1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盐酸吡格列酮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1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盐酸丁二胍</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71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盐酸二甲双胍</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国家食品药品监督管理局药品检验补充检验方法和检验项目批准件2009029、2011008、2013001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盐酸二氧丙嗪</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《关于印发保健食品中非法添加沙丁胺醇检验方法等8项检验方法的通知》</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盐酸可乐定</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国家食品药品监督管理局药品检验补充检验方法和检验项目批准件2009032、2014008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羊源性成分</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SN/T2051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363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氧氟沙星</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GB/T21312、GB/T20366、农业部1077号公告-1-2008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氧乐果</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NY/T1379、NY/T761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叶黄素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GB5009.248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叶酸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GB5413.16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214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依维菌素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参照GB/T22968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乙二胺四乙酸二钠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SN/T3855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乙霉威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乙酸乙酯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GB/T10345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乙烯菌核利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乙烯利</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GB23200.16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乙酰磺胺酸钾（安赛蜜）</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GB/T5009.140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乙酰甲胺磷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参照SN/T1950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异丙威</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异菌脲</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NY/T761、NY/T1277、GB23200.8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5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异戊巴比妥</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509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抑霉唑</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GB23200.8、GB/T20769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阴离子合成洗涤剂</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银</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GB8538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罂粟碱</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DB31/2010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荧光增白物质</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NY/T1257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蝇毒磷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硬脂酸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油酸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游离矿酸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GB5009.233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游离棉酚</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GB/T5009.37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519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诱惑红</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SN/T1743</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余氯（游离氯）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GB/T5750.11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玉米赤霉醇</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GB/T21982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玉米赤霉烯酮</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GB5009.209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原麦汁浓度</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GB/T4928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月桂酸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月桂酸占总脂肪的比值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杂质度</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GB5413.30</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增效醚</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554"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扎来普隆</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国家食品药品监督管理局药品检验补充检验方法和检验项目批准件2012004、2009024、2013002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529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展青霉素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GB5009.185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赭曲霉毒素A</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GB5009.96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蔗糖</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GB5413.5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蔗糖转化酶活性</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GB/T4928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脂肪</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GB5009.6</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志贺氏菌</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GB4789.5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治螟磷</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NY/T761、GB23200.8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333"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终产品脂肪中月桂酸和肉豆蔻酸（十四烷酸）总量占总脂肪酸的比值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90"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终产品中月桂酸和肉豆蔻酸（十四烷酸）总量占总脂肪酸的比值</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重金属（以Pb计）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GB1886.245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539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棕榈酸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540</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棕榈一烯酸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541</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棕榈油酸</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GB5009.168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542</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总汞（以Hg计）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GB5009.17</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543</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总钠</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GB5009.268、GB5009.91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544</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总砷（以As计）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GB5009.11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545</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总酸（以乙酸计）</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GB/T5009.41</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546</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总糖</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GB/T13662</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547</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总酯</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GB/T10345</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548</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组胺</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GBT5009.208</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99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5" w:type="dxa"/>
            <w:bottom w:w="0" w:type="dxa"/>
            <w:right w:w="85" w:type="dxa"/>
          </w:tblCellMar>
        </w:tblPrEx>
        <w:trPr>
          <w:trHeight w:val="442" w:hRule="atLeast"/>
          <w:jc w:val="center"/>
        </w:trPr>
        <w:tc>
          <w:tcPr>
            <w:tcW w:w="872"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549</w:t>
            </w:r>
          </w:p>
        </w:tc>
        <w:tc>
          <w:tcPr>
            <w:tcW w:w="2656"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左旋肉碱</w:t>
            </w:r>
          </w:p>
        </w:tc>
        <w:tc>
          <w:tcPr>
            <w:tcW w:w="4935"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GB29989</w:t>
            </w:r>
          </w:p>
        </w:tc>
        <w:tc>
          <w:tcPr>
            <w:tcW w:w="1137" w:type="dxa"/>
            <w:tcBorders>
              <w:tl2br w:val="nil"/>
              <w:tr2bl w:val="nil"/>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128</w:t>
            </w:r>
          </w:p>
        </w:tc>
      </w:tr>
    </w:tbl>
    <w:p>
      <w:pPr>
        <w:keepNext w:val="0"/>
        <w:keepLines w:val="0"/>
        <w:pageBreakBefore w:val="0"/>
        <w:widowControl w:val="0"/>
        <w:kinsoku/>
        <w:overflowPunct/>
        <w:topLinePunct w:val="0"/>
        <w:bidi w:val="0"/>
        <w:spacing w:line="360" w:lineRule="auto"/>
        <w:rPr>
          <w:rFonts w:hint="eastAsia" w:ascii="宋体" w:hAnsi="宋体" w:eastAsia="宋体" w:cs="宋体"/>
          <w:color w:val="auto"/>
          <w:kern w:val="1"/>
          <w:sz w:val="24"/>
        </w:rPr>
      </w:pPr>
      <w:r>
        <w:rPr>
          <w:rFonts w:hint="eastAsia" w:ascii="宋体" w:hAnsi="宋体" w:eastAsia="宋体" w:cs="宋体"/>
          <w:color w:val="auto"/>
          <w:sz w:val="24"/>
        </w:rPr>
        <w:t>▲</w:t>
      </w:r>
      <w:r>
        <w:rPr>
          <w:rFonts w:hint="eastAsia" w:ascii="宋体" w:hAnsi="宋体" w:eastAsia="宋体" w:cs="宋体"/>
          <w:color w:val="auto"/>
          <w:kern w:val="1"/>
          <w:sz w:val="24"/>
        </w:rPr>
        <w:t>备注：</w:t>
      </w:r>
    </w:p>
    <w:p>
      <w:pPr>
        <w:keepNext w:val="0"/>
        <w:keepLines w:val="0"/>
        <w:pageBreakBefore w:val="0"/>
        <w:widowControl w:val="0"/>
        <w:kinsoku/>
        <w:overflowPunct/>
        <w:topLinePunct w:val="0"/>
        <w:bidi w:val="0"/>
        <w:spacing w:line="360" w:lineRule="auto"/>
        <w:ind w:firstLine="480" w:firstLineChars="200"/>
        <w:outlineLvl w:val="2"/>
        <w:rPr>
          <w:rFonts w:hint="eastAsia" w:ascii="宋体" w:hAnsi="宋体" w:eastAsia="宋体" w:cs="宋体"/>
          <w:color w:val="auto"/>
          <w:kern w:val="1"/>
          <w:sz w:val="24"/>
        </w:rPr>
      </w:pPr>
      <w:bookmarkStart w:id="308" w:name="_Toc13826"/>
      <w:r>
        <w:rPr>
          <w:rFonts w:hint="eastAsia" w:ascii="宋体" w:hAnsi="宋体" w:eastAsia="宋体" w:cs="宋体"/>
          <w:color w:val="auto"/>
          <w:kern w:val="1"/>
          <w:sz w:val="24"/>
        </w:rPr>
        <w:t>1.上述表格内</w:t>
      </w:r>
      <w:r>
        <w:rPr>
          <w:rFonts w:hint="eastAsia" w:ascii="宋体" w:hAnsi="宋体" w:eastAsia="宋体" w:cs="宋体"/>
          <w:color w:val="auto"/>
          <w:kern w:val="0"/>
          <w:sz w:val="24"/>
          <w:lang w:bidi="ar"/>
        </w:rPr>
        <w:t>检验检测方法</w:t>
      </w:r>
      <w:r>
        <w:rPr>
          <w:rFonts w:hint="eastAsia" w:ascii="宋体" w:hAnsi="宋体" w:eastAsia="宋体" w:cs="宋体"/>
          <w:color w:val="auto"/>
          <w:kern w:val="0"/>
          <w:sz w:val="24"/>
          <w:lang w:eastAsia="zh-CN" w:bidi="ar"/>
        </w:rPr>
        <w:t>若有变动，则</w:t>
      </w:r>
      <w:r>
        <w:rPr>
          <w:rFonts w:hint="eastAsia" w:ascii="宋体" w:hAnsi="宋体" w:eastAsia="宋体" w:cs="宋体"/>
          <w:color w:val="auto"/>
          <w:kern w:val="0"/>
          <w:sz w:val="24"/>
          <w:lang w:bidi="ar"/>
        </w:rPr>
        <w:t>以最新国家标准执行。</w:t>
      </w:r>
      <w:bookmarkEnd w:id="308"/>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1"/>
          <w:sz w:val="24"/>
        </w:rPr>
        <w:t>2.如上述表格内没有的检验检测内容，采购人需增加检验检测项目，以中标供应商中标</w:t>
      </w:r>
      <w:r>
        <w:rPr>
          <w:rFonts w:hint="eastAsia" w:ascii="宋体" w:hAnsi="宋体" w:eastAsia="宋体" w:cs="宋体"/>
          <w:color w:val="auto"/>
          <w:kern w:val="1"/>
          <w:sz w:val="24"/>
          <w:lang w:eastAsia="zh-CN"/>
        </w:rPr>
        <w:t>折扣</w:t>
      </w:r>
      <w:r>
        <w:rPr>
          <w:rFonts w:hint="eastAsia" w:ascii="宋体" w:hAnsi="宋体" w:eastAsia="宋体" w:cs="宋体"/>
          <w:color w:val="auto"/>
          <w:kern w:val="0"/>
          <w:sz w:val="24"/>
        </w:rPr>
        <w:t>率计算；</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3.供应商</w:t>
      </w:r>
      <w:r>
        <w:rPr>
          <w:rFonts w:hint="eastAsia" w:ascii="宋体" w:hAnsi="宋体" w:eastAsia="宋体" w:cs="宋体"/>
          <w:color w:val="auto"/>
          <w:sz w:val="24"/>
          <w:lang w:eastAsia="zh-CN"/>
        </w:rPr>
        <w:t>在分项报价中</w:t>
      </w:r>
      <w:r>
        <w:rPr>
          <w:rFonts w:hint="eastAsia" w:ascii="宋体" w:hAnsi="宋体" w:eastAsia="宋体" w:cs="宋体"/>
          <w:color w:val="auto"/>
          <w:sz w:val="24"/>
        </w:rPr>
        <w:t>各项单价的报价不得超过预算单价，若超过预算单价，</w:t>
      </w:r>
      <w:r>
        <w:rPr>
          <w:rFonts w:hint="eastAsia" w:ascii="宋体" w:hAnsi="宋体" w:eastAsia="宋体" w:cs="宋体"/>
          <w:bCs/>
          <w:color w:val="auto"/>
          <w:sz w:val="24"/>
        </w:rPr>
        <w:t>其</w:t>
      </w:r>
      <w:r>
        <w:rPr>
          <w:rFonts w:hint="eastAsia" w:ascii="宋体" w:hAnsi="宋体" w:eastAsia="宋体" w:cs="宋体"/>
          <w:color w:val="auto"/>
          <w:sz w:val="24"/>
        </w:rPr>
        <w:t>报价无效。</w:t>
      </w:r>
    </w:p>
    <w:p>
      <w:pPr>
        <w:keepNext w:val="0"/>
        <w:keepLines w:val="0"/>
        <w:pageBreakBefore w:val="0"/>
        <w:widowControl w:val="0"/>
        <w:kinsoku/>
        <w:overflowPunct/>
        <w:topLinePunct w:val="0"/>
        <w:bidi w:val="0"/>
        <w:spacing w:line="360" w:lineRule="auto"/>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rPr>
        <w:t>四、磋商报价：</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供应商以</w:t>
      </w:r>
      <w:r>
        <w:rPr>
          <w:rFonts w:hint="eastAsia" w:ascii="宋体" w:hAnsi="宋体" w:eastAsia="宋体" w:cs="宋体"/>
          <w:color w:val="auto"/>
          <w:sz w:val="24"/>
          <w:lang w:eastAsia="zh-CN"/>
        </w:rPr>
        <w:t>上表</w:t>
      </w:r>
      <w:r>
        <w:rPr>
          <w:rFonts w:hint="eastAsia" w:ascii="宋体" w:hAnsi="宋体" w:eastAsia="宋体" w:cs="宋体"/>
          <w:color w:val="auto"/>
          <w:sz w:val="24"/>
        </w:rPr>
        <w:t>中检测项目的价格为</w:t>
      </w:r>
      <w:r>
        <w:rPr>
          <w:rFonts w:hint="eastAsia" w:ascii="宋体" w:hAnsi="宋体" w:eastAsia="宋体" w:cs="宋体"/>
          <w:color w:val="auto"/>
          <w:sz w:val="24"/>
          <w:lang w:eastAsia="zh-CN"/>
        </w:rPr>
        <w:t>预算单价</w:t>
      </w:r>
      <w:r>
        <w:rPr>
          <w:rFonts w:hint="eastAsia" w:ascii="宋体" w:hAnsi="宋体" w:eastAsia="宋体" w:cs="宋体"/>
          <w:color w:val="auto"/>
          <w:sz w:val="24"/>
        </w:rPr>
        <w:t>，报平均折扣率，该折扣率适用于本项目涉及的所有检测项目</w:t>
      </w:r>
      <w:r>
        <w:rPr>
          <w:rFonts w:hint="eastAsia" w:ascii="宋体" w:hAnsi="宋体" w:eastAsia="宋体" w:cs="宋体"/>
          <w:color w:val="auto"/>
          <w:sz w:val="24"/>
          <w:lang w:eastAsia="zh-CN"/>
        </w:rPr>
        <w:t>，</w:t>
      </w:r>
      <w:r>
        <w:rPr>
          <w:rFonts w:hint="eastAsia" w:ascii="宋体" w:hAnsi="宋体" w:eastAsia="宋体" w:cs="宋体"/>
          <w:color w:val="auto"/>
          <w:sz w:val="24"/>
        </w:rPr>
        <w:t>折扣率不得为负数。</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各标段检测费用按照实际承检的项目及成交单价计算（成交单价=</w:t>
      </w:r>
      <w:r>
        <w:rPr>
          <w:rFonts w:hint="eastAsia" w:ascii="宋体" w:hAnsi="宋体" w:eastAsia="宋体" w:cs="宋体"/>
          <w:color w:val="auto"/>
          <w:sz w:val="24"/>
          <w:lang w:eastAsia="zh-CN"/>
        </w:rPr>
        <w:t>预算单价</w:t>
      </w:r>
      <w:r>
        <w:rPr>
          <w:rFonts w:hint="eastAsia" w:ascii="宋体" w:hAnsi="宋体" w:eastAsia="宋体" w:cs="宋体"/>
          <w:color w:val="auto"/>
          <w:sz w:val="24"/>
        </w:rPr>
        <w:t>×成交折扣率）</w:t>
      </w:r>
      <w:r>
        <w:rPr>
          <w:rFonts w:hint="eastAsia" w:ascii="宋体" w:hAnsi="宋体" w:eastAsia="宋体" w:cs="宋体"/>
          <w:color w:val="auto"/>
          <w:sz w:val="24"/>
          <w:lang w:eastAsia="zh-CN"/>
        </w:rPr>
        <w:t>，分类别单独计算、汇总，但检测费总额不得超过对应标段预算金额。</w:t>
      </w:r>
    </w:p>
    <w:p>
      <w:pPr>
        <w:keepNext w:val="0"/>
        <w:keepLines w:val="0"/>
        <w:pageBreakBefore w:val="0"/>
        <w:widowControl w:val="0"/>
        <w:kinsoku/>
        <w:overflowPunct/>
        <w:topLinePunct w:val="0"/>
        <w:bidi w:val="0"/>
        <w:spacing w:line="360" w:lineRule="auto"/>
        <w:ind w:firstLine="482" w:firstLineChars="200"/>
        <w:outlineLvl w:val="1"/>
        <w:rPr>
          <w:rFonts w:hint="eastAsia" w:ascii="宋体" w:hAnsi="宋体" w:eastAsia="宋体" w:cs="宋体"/>
          <w:b/>
          <w:color w:val="auto"/>
          <w:sz w:val="24"/>
        </w:rPr>
      </w:pPr>
      <w:bookmarkStart w:id="309" w:name="_Toc19703"/>
      <w:bookmarkStart w:id="310" w:name="_Toc21351"/>
      <w:r>
        <w:rPr>
          <w:rFonts w:hint="eastAsia" w:ascii="宋体" w:hAnsi="宋体" w:eastAsia="宋体" w:cs="宋体"/>
          <w:b/>
          <w:color w:val="auto"/>
          <w:sz w:val="24"/>
        </w:rPr>
        <w:t>五、管理要求</w:t>
      </w:r>
      <w:bookmarkEnd w:id="309"/>
      <w:bookmarkEnd w:id="310"/>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中标供应商应接受庆元县市场监督管理局的各项规定，切实遵守各项权利，严格履行承诺的义务，为庆元县食品安全检验检测工作做好服务，并接受以下各项管理要求：</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1.中标供应商确定后，由采购人与中标供应商就</w:t>
      </w:r>
      <w:r>
        <w:rPr>
          <w:rFonts w:hint="eastAsia" w:ascii="宋体" w:hAnsi="宋体" w:eastAsia="宋体" w:cs="宋体"/>
          <w:color w:val="auto"/>
          <w:sz w:val="24"/>
          <w:lang w:eastAsia="zh-CN"/>
        </w:rPr>
        <w:t>2022年</w:t>
      </w:r>
      <w:r>
        <w:rPr>
          <w:rFonts w:hint="eastAsia" w:ascii="宋体" w:hAnsi="宋体" w:eastAsia="宋体" w:cs="宋体"/>
          <w:color w:val="auto"/>
          <w:sz w:val="24"/>
        </w:rPr>
        <w:t>食品安全检验检测服务采购项目签订合同。</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2.中标供应商遵守统一服务承诺，做好各项服务工作，认真履行义务。</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3.在服务期内，中标供应商必须接受庆元县市场监督管理局的管理，并协助庆元县市场监督管理局完成省市县相关检验检测系统录入和相关表格报送。</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4.业务建档制度：中标供应商须针对关庆元县区域内食品安全检验检测业务建立单独的业务档案资料，并按规定进行备案。</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5.投诉制度：庆元县市场监督管理局有权对检验检测机构监督投诉。</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6.违规处理：采购人可在中标供应商接收委托期间对检验检测机构是否规范操作进行监督检查，如发现违规事件，第一次口头警告；第二次书面警告；第三次取消资格。</w:t>
      </w:r>
    </w:p>
    <w:p>
      <w:pPr>
        <w:keepNext w:val="0"/>
        <w:keepLines w:val="0"/>
        <w:pageBreakBefore w:val="0"/>
        <w:widowControl w:val="0"/>
        <w:kinsoku/>
        <w:overflowPunct/>
        <w:topLinePunct w:val="0"/>
        <w:bidi w:val="0"/>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rPr>
        <w:t>六</w:t>
      </w:r>
      <w:r>
        <w:rPr>
          <w:rFonts w:hint="eastAsia" w:ascii="宋体" w:hAnsi="宋体" w:eastAsia="宋体" w:cs="宋体"/>
          <w:b/>
          <w:color w:val="auto"/>
          <w:sz w:val="24"/>
          <w:highlight w:val="none"/>
        </w:rPr>
        <w:t>、商务要求</w:t>
      </w:r>
    </w:p>
    <w:p>
      <w:pPr>
        <w:keepNext w:val="0"/>
        <w:keepLines w:val="0"/>
        <w:pageBreakBefore w:val="0"/>
        <w:widowControl w:val="0"/>
        <w:kinsoku/>
        <w:overflowPunct/>
        <w:topLinePunct w:val="0"/>
        <w:bidi w:val="0"/>
        <w:spacing w:line="360" w:lineRule="auto"/>
        <w:ind w:firstLine="480" w:firstLineChars="200"/>
        <w:outlineLvl w:val="2"/>
        <w:rPr>
          <w:rFonts w:hint="eastAsia" w:ascii="宋体" w:hAnsi="宋体" w:eastAsia="宋体" w:cs="宋体"/>
          <w:color w:val="auto"/>
          <w:sz w:val="24"/>
          <w:highlight w:val="none"/>
        </w:rPr>
      </w:pPr>
      <w:bookmarkStart w:id="311" w:name="_Toc2332"/>
      <w:r>
        <w:rPr>
          <w:rFonts w:hint="eastAsia" w:ascii="宋体" w:hAnsi="宋体" w:eastAsia="宋体" w:cs="宋体"/>
          <w:color w:val="auto"/>
          <w:sz w:val="24"/>
          <w:highlight w:val="none"/>
        </w:rPr>
        <w:t>1、服务时间及地点</w:t>
      </w:r>
      <w:bookmarkEnd w:id="311"/>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本项目服务期限为</w:t>
      </w:r>
      <w:r>
        <w:rPr>
          <w:rFonts w:hint="eastAsia" w:ascii="宋体" w:hAnsi="宋体" w:eastAsia="宋体" w:cs="宋体"/>
          <w:color w:val="auto"/>
          <w:sz w:val="24"/>
          <w:highlight w:val="none"/>
          <w:lang w:eastAsia="zh-CN"/>
        </w:rPr>
        <w:t>一年，</w:t>
      </w:r>
      <w:r>
        <w:rPr>
          <w:rFonts w:hint="eastAsia" w:ascii="宋体" w:hAnsi="宋体" w:eastAsia="宋体" w:cs="宋体"/>
          <w:color w:val="auto"/>
          <w:sz w:val="24"/>
          <w:highlight w:val="none"/>
        </w:rPr>
        <w:t>服务地点为庆元县范围内。</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1.2 </w:t>
      </w:r>
      <w:r>
        <w:rPr>
          <w:rFonts w:hint="eastAsia" w:ascii="宋体" w:hAnsi="宋体" w:eastAsia="宋体" w:cs="宋体"/>
          <w:color w:val="auto"/>
          <w:sz w:val="24"/>
          <w:highlight w:val="none"/>
        </w:rPr>
        <w:t>如中标供应商在服务期内违反合同约定，经考核不合格，采购单位有权提前终止合同。</w:t>
      </w:r>
    </w:p>
    <w:p>
      <w:pPr>
        <w:keepNext w:val="0"/>
        <w:keepLines w:val="0"/>
        <w:pageBreakBefore w:val="0"/>
        <w:widowControl w:val="0"/>
        <w:kinsoku/>
        <w:overflowPunct/>
        <w:topLinePunct w:val="0"/>
        <w:bidi w:val="0"/>
        <w:spacing w:line="360" w:lineRule="auto"/>
        <w:ind w:firstLine="482" w:firstLineChars="200"/>
        <w:outlineLvl w:val="2"/>
        <w:rPr>
          <w:rFonts w:hint="eastAsia" w:ascii="宋体" w:hAnsi="宋体" w:eastAsia="宋体" w:cs="宋体"/>
          <w:b/>
          <w:color w:val="auto"/>
          <w:sz w:val="24"/>
          <w:highlight w:val="none"/>
        </w:rPr>
      </w:pPr>
      <w:bookmarkStart w:id="312" w:name="_Toc22077"/>
      <w:r>
        <w:rPr>
          <w:rFonts w:hint="eastAsia" w:ascii="宋体" w:hAnsi="宋体" w:eastAsia="宋体" w:cs="宋体"/>
          <w:b/>
          <w:color w:val="auto"/>
          <w:sz w:val="24"/>
          <w:highlight w:val="none"/>
        </w:rPr>
        <w:t>2、付款方式</w:t>
      </w:r>
      <w:bookmarkEnd w:id="312"/>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highlight w:val="none"/>
          <w:lang w:val="en-US" w:eastAsia="zh-CN"/>
        </w:rPr>
        <w:t xml:space="preserve">2.1 </w:t>
      </w:r>
      <w:r>
        <w:rPr>
          <w:rFonts w:hint="eastAsia" w:ascii="宋体" w:hAnsi="宋体" w:eastAsia="宋体" w:cs="宋体"/>
          <w:color w:val="auto"/>
          <w:spacing w:val="0"/>
          <w:w w:val="100"/>
          <w:sz w:val="24"/>
          <w:szCs w:val="24"/>
          <w:highlight w:val="none"/>
          <w:lang w:val="en-US" w:eastAsia="zh-CN"/>
        </w:rPr>
        <w:t>合同签订并实施项目7个工作日内支付该项目预算金额的40%；</w:t>
      </w:r>
      <w:r>
        <w:rPr>
          <w:rFonts w:hint="eastAsia" w:ascii="宋体" w:hAnsi="宋体" w:eastAsia="宋体" w:cs="宋体"/>
          <w:color w:val="auto"/>
          <w:sz w:val="24"/>
          <w:highlight w:val="none"/>
          <w:lang w:eastAsia="zh-CN"/>
        </w:rPr>
        <w:t>剩下部分</w:t>
      </w:r>
      <w:r>
        <w:rPr>
          <w:rFonts w:hint="eastAsia" w:ascii="宋体" w:hAnsi="宋体" w:eastAsia="宋体" w:cs="宋体"/>
          <w:color w:val="auto"/>
          <w:sz w:val="24"/>
        </w:rPr>
        <w:t>按照完成的检验检测批次数量以</w:t>
      </w:r>
      <w:r>
        <w:rPr>
          <w:rFonts w:hint="eastAsia" w:ascii="宋体" w:hAnsi="宋体" w:eastAsia="宋体" w:cs="宋体"/>
          <w:color w:val="auto"/>
          <w:sz w:val="24"/>
          <w:lang w:eastAsia="zh-CN"/>
        </w:rPr>
        <w:t>成交</w:t>
      </w:r>
      <w:r>
        <w:rPr>
          <w:rFonts w:hint="eastAsia" w:ascii="宋体" w:hAnsi="宋体" w:eastAsia="宋体" w:cs="宋体"/>
          <w:color w:val="auto"/>
          <w:sz w:val="24"/>
        </w:rPr>
        <w:t>单价进行核算</w:t>
      </w:r>
      <w:r>
        <w:rPr>
          <w:rFonts w:hint="eastAsia" w:ascii="宋体" w:hAnsi="宋体" w:eastAsia="宋体" w:cs="宋体"/>
          <w:color w:val="auto"/>
          <w:sz w:val="24"/>
          <w:lang w:eastAsia="zh-CN"/>
        </w:rPr>
        <w:t>后，减原</w:t>
      </w:r>
      <w:r>
        <w:rPr>
          <w:rFonts w:hint="eastAsia" w:ascii="宋体" w:hAnsi="宋体" w:eastAsia="宋体" w:cs="宋体"/>
          <w:color w:val="auto"/>
          <w:sz w:val="24"/>
        </w:rPr>
        <w:t>支付</w:t>
      </w:r>
      <w:r>
        <w:rPr>
          <w:rFonts w:hint="eastAsia" w:ascii="宋体" w:hAnsi="宋体" w:eastAsia="宋体" w:cs="宋体"/>
          <w:color w:val="auto"/>
          <w:sz w:val="24"/>
          <w:lang w:eastAsia="zh-CN"/>
        </w:rPr>
        <w:t>金额，在</w:t>
      </w:r>
      <w:r>
        <w:rPr>
          <w:rFonts w:hint="eastAsia" w:ascii="宋体" w:hAnsi="宋体" w:eastAsia="宋体" w:cs="宋体"/>
          <w:color w:val="auto"/>
          <w:sz w:val="24"/>
        </w:rPr>
        <w:t>中标供应商出具合格的检验检测报告后，采购人全额支付</w:t>
      </w:r>
      <w:r>
        <w:rPr>
          <w:rFonts w:hint="eastAsia" w:ascii="宋体" w:hAnsi="宋体" w:eastAsia="宋体" w:cs="宋体"/>
          <w:color w:val="auto"/>
          <w:spacing w:val="0"/>
          <w:w w:val="100"/>
          <w:sz w:val="24"/>
          <w:szCs w:val="24"/>
          <w:lang w:val="en-US" w:eastAsia="zh-CN"/>
        </w:rPr>
        <w:t>（中标人根据支付金额提供正规税务发票）</w:t>
      </w:r>
      <w:r>
        <w:rPr>
          <w:rFonts w:hint="eastAsia" w:ascii="宋体" w:hAnsi="宋体" w:eastAsia="宋体" w:cs="宋体"/>
          <w:color w:val="auto"/>
          <w:sz w:val="24"/>
        </w:rPr>
        <w:t>。</w:t>
      </w:r>
    </w:p>
    <w:p>
      <w:pPr>
        <w:pStyle w:val="3"/>
        <w:keepNext w:val="0"/>
        <w:keepLines w:val="0"/>
        <w:pageBreakBefore w:val="0"/>
        <w:widowControl w:val="0"/>
        <w:tabs>
          <w:tab w:val="left" w:pos="208"/>
        </w:tabs>
        <w:kinsoku/>
        <w:overflowPunct/>
        <w:topLinePunct w:val="0"/>
        <w:bidi w:val="0"/>
        <w:spacing w:after="0" w:line="360" w:lineRule="auto"/>
        <w:ind w:left="0" w:leftChars="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 xml:space="preserve">2.2 </w:t>
      </w:r>
      <w:r>
        <w:rPr>
          <w:rFonts w:hint="eastAsia" w:ascii="宋体" w:hAnsi="宋体" w:eastAsia="宋体" w:cs="宋体"/>
          <w:color w:val="auto"/>
          <w:sz w:val="24"/>
        </w:rPr>
        <w:t>中标供应商在服务期限内，采购人将对其服务态度和检验检测质量进行评价，若经采购人评价为检验检测质量差、服务态度差的，采购人将不予以支付费用，待纠纷解决后再根据具体情况予以支付。</w:t>
      </w:r>
    </w:p>
    <w:p>
      <w:pPr>
        <w:keepNext w:val="0"/>
        <w:keepLines w:val="0"/>
        <w:pageBreakBefore w:val="0"/>
        <w:widowControl w:val="0"/>
        <w:kinsoku/>
        <w:overflowPunct/>
        <w:topLinePunct w:val="0"/>
        <w:bidi w:val="0"/>
        <w:spacing w:line="360" w:lineRule="auto"/>
        <w:ind w:firstLine="482" w:firstLineChars="200"/>
        <w:outlineLvl w:val="2"/>
        <w:rPr>
          <w:rFonts w:hint="eastAsia" w:ascii="宋体" w:hAnsi="宋体" w:eastAsia="宋体" w:cs="宋体"/>
          <w:color w:val="auto"/>
          <w:sz w:val="24"/>
        </w:rPr>
      </w:pPr>
      <w:bookmarkStart w:id="313" w:name="_Toc7241"/>
      <w:r>
        <w:rPr>
          <w:rFonts w:hint="eastAsia" w:ascii="宋体" w:hAnsi="宋体" w:eastAsia="宋体" w:cs="宋体"/>
          <w:b/>
          <w:color w:val="auto"/>
          <w:sz w:val="24"/>
        </w:rPr>
        <w:t>3、保障合同履行的措施及其他需要说明的事项</w:t>
      </w:r>
      <w:bookmarkEnd w:id="313"/>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在合同规定期限内，达不到项目规定的质量和服务要求，中标供应商应当承担违约责任。</w:t>
      </w:r>
    </w:p>
    <w:bookmarkEnd w:id="302"/>
    <w:p>
      <w:pPr>
        <w:keepNext w:val="0"/>
        <w:keepLines w:val="0"/>
        <w:pageBreakBefore w:val="0"/>
        <w:widowControl w:val="0"/>
        <w:kinsoku/>
        <w:overflowPunct/>
        <w:topLinePunct w:val="0"/>
        <w:bidi w:val="0"/>
        <w:spacing w:line="360" w:lineRule="auto"/>
        <w:ind w:firstLine="482" w:firstLineChars="200"/>
        <w:outlineLvl w:val="1"/>
        <w:rPr>
          <w:rFonts w:hint="eastAsia" w:ascii="宋体" w:hAnsi="宋体" w:eastAsia="宋体" w:cs="宋体"/>
          <w:b/>
          <w:bCs/>
          <w:color w:val="auto"/>
          <w:sz w:val="24"/>
        </w:rPr>
      </w:pPr>
      <w:bookmarkStart w:id="314" w:name="_Toc6472"/>
      <w:bookmarkStart w:id="315" w:name="_Toc20252"/>
      <w:r>
        <w:rPr>
          <w:rFonts w:hint="eastAsia" w:ascii="宋体" w:hAnsi="宋体" w:eastAsia="宋体" w:cs="宋体"/>
          <w:b/>
          <w:bCs/>
          <w:color w:val="auto"/>
          <w:sz w:val="24"/>
        </w:rPr>
        <w:t>七、其他</w:t>
      </w:r>
      <w:bookmarkEnd w:id="303"/>
      <w:bookmarkEnd w:id="314"/>
      <w:bookmarkEnd w:id="315"/>
    </w:p>
    <w:p>
      <w:pPr>
        <w:keepNext w:val="0"/>
        <w:keepLines w:val="0"/>
        <w:pageBreakBefore w:val="0"/>
        <w:widowControl w:val="0"/>
        <w:kinsoku/>
        <w:overflowPunct/>
        <w:topLinePunct w:val="0"/>
        <w:bidi w:val="0"/>
        <w:spacing w:line="360" w:lineRule="auto"/>
        <w:ind w:firstLine="456"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本项目所涉及的报价，包括本次项目实施所需的物资、检验检测设备、运输工具、检验检测费、第三方复检费、管理、工资、福利、利润、税金、培训、保险（包括医疗、工伤、养老等社会保险及人身意外保险）、政策性收费以及实施本项目所需的其他一切费用，供应商应列入而未列入其中的费用，均视为已包含在内，风险由供应商承担。</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本章和第五章内容为磋商过程中可能实质性变动的内容。</w:t>
      </w: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jc w:val="center"/>
        <w:outlineLvl w:val="0"/>
        <w:rPr>
          <w:rFonts w:hint="eastAsia" w:ascii="宋体" w:hAnsi="宋体" w:eastAsia="宋体" w:cs="宋体"/>
          <w:b/>
          <w:color w:val="auto"/>
          <w:sz w:val="36"/>
          <w:szCs w:val="36"/>
        </w:rPr>
      </w:pPr>
      <w:bookmarkStart w:id="316" w:name="_Toc28309"/>
      <w:bookmarkStart w:id="317" w:name="_Toc7266"/>
      <w:r>
        <w:rPr>
          <w:rFonts w:hint="eastAsia" w:ascii="宋体" w:hAnsi="宋体" w:eastAsia="宋体" w:cs="宋体"/>
          <w:b/>
          <w:color w:val="auto"/>
          <w:sz w:val="36"/>
          <w:szCs w:val="36"/>
        </w:rPr>
        <w:t>第四章  政府采购合同格式（范本）</w:t>
      </w:r>
      <w:bookmarkEnd w:id="316"/>
      <w:bookmarkEnd w:id="317"/>
    </w:p>
    <w:p>
      <w:pPr>
        <w:keepNext w:val="0"/>
        <w:keepLines w:val="0"/>
        <w:pageBreakBefore w:val="0"/>
        <w:widowControl w:val="0"/>
        <w:kinsoku/>
        <w:overflowPunct/>
        <w:topLinePunct w:val="0"/>
        <w:bidi w:val="0"/>
        <w:ind w:firstLine="6480" w:firstLineChars="2700"/>
        <w:rPr>
          <w:rFonts w:hint="eastAsia" w:ascii="宋体" w:hAnsi="宋体" w:eastAsia="宋体" w:cs="宋体"/>
          <w:color w:val="auto"/>
          <w:sz w:val="24"/>
          <w:szCs w:val="24"/>
        </w:rPr>
      </w:pPr>
    </w:p>
    <w:bookmarkEnd w:id="292"/>
    <w:bookmarkEnd w:id="293"/>
    <w:bookmarkEnd w:id="294"/>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bookmarkStart w:id="318" w:name="_Toc15353"/>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ind w:firstLine="560" w:firstLineChars="200"/>
        <w:rPr>
          <w:rFonts w:hint="eastAsia" w:ascii="宋体" w:hAnsi="宋体" w:eastAsia="宋体" w:cs="宋体"/>
          <w:b w:val="0"/>
          <w:bCs/>
          <w:color w:val="auto"/>
          <w:sz w:val="28"/>
          <w:szCs w:val="28"/>
          <w:u w:val="single"/>
          <w:lang w:val="en-US" w:eastAsia="zh-CN"/>
        </w:rPr>
      </w:pPr>
      <w:r>
        <w:rPr>
          <w:rFonts w:hint="eastAsia" w:ascii="宋体" w:hAnsi="宋体" w:eastAsia="宋体" w:cs="宋体"/>
          <w:b w:val="0"/>
          <w:bCs/>
          <w:color w:val="auto"/>
          <w:sz w:val="28"/>
          <w:szCs w:val="28"/>
          <w:u w:val="none"/>
          <w:lang w:eastAsia="zh-CN"/>
        </w:rPr>
        <w:t>项目名称：</w:t>
      </w:r>
      <w:r>
        <w:rPr>
          <w:rFonts w:hint="eastAsia" w:ascii="宋体" w:hAnsi="宋体" w:eastAsia="宋体" w:cs="宋体"/>
          <w:b w:val="0"/>
          <w:bCs/>
          <w:color w:val="auto"/>
          <w:sz w:val="28"/>
          <w:szCs w:val="28"/>
          <w:u w:val="single"/>
          <w:lang w:val="en-US" w:eastAsia="zh-CN"/>
        </w:rPr>
        <w:t xml:space="preserve">                                        </w:t>
      </w:r>
    </w:p>
    <w:p>
      <w:pPr>
        <w:pStyle w:val="7"/>
        <w:keepNext w:val="0"/>
        <w:keepLines w:val="0"/>
        <w:pageBreakBefore w:val="0"/>
        <w:widowControl w:val="0"/>
        <w:kinsoku/>
        <w:overflowPunct/>
        <w:topLinePunct w:val="0"/>
        <w:bidi w:val="0"/>
        <w:rPr>
          <w:rFonts w:hint="eastAsia" w:ascii="宋体" w:hAnsi="宋体" w:eastAsia="宋体" w:cs="宋体"/>
          <w:color w:val="auto"/>
          <w:sz w:val="28"/>
          <w:szCs w:val="28"/>
        </w:rPr>
      </w:pPr>
    </w:p>
    <w:p>
      <w:pPr>
        <w:keepNext w:val="0"/>
        <w:keepLines w:val="0"/>
        <w:pageBreakBefore w:val="0"/>
        <w:widowControl w:val="0"/>
        <w:kinsoku/>
        <w:overflowPunct/>
        <w:topLinePunct w:val="0"/>
        <w:bidi w:val="0"/>
        <w:rPr>
          <w:rFonts w:hint="eastAsia" w:ascii="宋体" w:hAnsi="宋体" w:eastAsia="宋体" w:cs="宋体"/>
          <w:color w:val="auto"/>
          <w:sz w:val="28"/>
          <w:szCs w:val="28"/>
        </w:rPr>
      </w:pPr>
    </w:p>
    <w:p>
      <w:pPr>
        <w:keepNext w:val="0"/>
        <w:keepLines w:val="0"/>
        <w:pageBreakBefore w:val="0"/>
        <w:widowControl w:val="0"/>
        <w:kinsoku/>
        <w:overflowPunct/>
        <w:topLinePunct w:val="0"/>
        <w:bidi w:val="0"/>
        <w:snapToGrid w:val="0"/>
        <w:spacing w:line="440" w:lineRule="exact"/>
        <w:ind w:firstLine="560" w:firstLineChars="200"/>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lang w:eastAsia="zh-CN"/>
        </w:rPr>
        <w:t>采购人：（以下称甲方）</w:t>
      </w:r>
      <w:r>
        <w:rPr>
          <w:rFonts w:hint="eastAsia" w:ascii="宋体" w:hAnsi="宋体" w:eastAsia="宋体" w:cs="宋体"/>
          <w:b w:val="0"/>
          <w:bCs/>
          <w:color w:val="auto"/>
          <w:sz w:val="28"/>
          <w:szCs w:val="28"/>
          <w:u w:val="single"/>
          <w:lang w:val="en-US" w:eastAsia="zh-CN"/>
        </w:rPr>
        <w:t xml:space="preserve">                            </w:t>
      </w:r>
    </w:p>
    <w:p>
      <w:pPr>
        <w:pStyle w:val="7"/>
        <w:keepNext w:val="0"/>
        <w:keepLines w:val="0"/>
        <w:pageBreakBefore w:val="0"/>
        <w:widowControl w:val="0"/>
        <w:kinsoku/>
        <w:overflowPunct/>
        <w:topLinePunct w:val="0"/>
        <w:bidi w:val="0"/>
        <w:rPr>
          <w:rFonts w:hint="eastAsia" w:ascii="宋体" w:hAnsi="宋体" w:eastAsia="宋体" w:cs="宋体"/>
          <w:color w:val="auto"/>
          <w:sz w:val="28"/>
          <w:szCs w:val="28"/>
        </w:rPr>
      </w:pPr>
    </w:p>
    <w:p>
      <w:pPr>
        <w:pStyle w:val="7"/>
        <w:keepNext w:val="0"/>
        <w:keepLines w:val="0"/>
        <w:pageBreakBefore w:val="0"/>
        <w:widowControl w:val="0"/>
        <w:kinsoku/>
        <w:overflowPunct/>
        <w:topLinePunct w:val="0"/>
        <w:bidi w:val="0"/>
        <w:rPr>
          <w:rFonts w:hint="eastAsia" w:ascii="宋体" w:hAnsi="宋体" w:eastAsia="宋体" w:cs="宋体"/>
          <w:color w:val="auto"/>
          <w:sz w:val="28"/>
          <w:szCs w:val="28"/>
        </w:rPr>
      </w:pPr>
    </w:p>
    <w:p>
      <w:pPr>
        <w:keepNext w:val="0"/>
        <w:keepLines w:val="0"/>
        <w:pageBreakBefore w:val="0"/>
        <w:widowControl w:val="0"/>
        <w:kinsoku/>
        <w:overflowPunct/>
        <w:topLinePunct w:val="0"/>
        <w:bidi w:val="0"/>
        <w:snapToGrid w:val="0"/>
        <w:spacing w:line="440" w:lineRule="exact"/>
        <w:ind w:firstLine="560" w:firstLineChars="200"/>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lang w:eastAsia="zh-CN"/>
        </w:rPr>
        <w:t>中标人：（以下称乙方）</w:t>
      </w:r>
      <w:r>
        <w:rPr>
          <w:rFonts w:hint="eastAsia" w:ascii="宋体" w:hAnsi="宋体" w:eastAsia="宋体" w:cs="宋体"/>
          <w:b w:val="0"/>
          <w:bCs/>
          <w:color w:val="auto"/>
          <w:sz w:val="28"/>
          <w:szCs w:val="28"/>
          <w:u w:val="single"/>
          <w:lang w:val="en-US" w:eastAsia="zh-CN"/>
        </w:rPr>
        <w:t xml:space="preserve">                            </w:t>
      </w:r>
    </w:p>
    <w:p>
      <w:pPr>
        <w:pStyle w:val="7"/>
        <w:keepNext w:val="0"/>
        <w:keepLines w:val="0"/>
        <w:pageBreakBefore w:val="0"/>
        <w:widowControl w:val="0"/>
        <w:kinsoku/>
        <w:overflowPunct/>
        <w:topLinePunct w:val="0"/>
        <w:bidi w:val="0"/>
        <w:rPr>
          <w:rFonts w:hint="eastAsia" w:ascii="宋体" w:hAnsi="宋体" w:eastAsia="宋体" w:cs="宋体"/>
          <w:color w:val="auto"/>
          <w:sz w:val="28"/>
          <w:szCs w:val="28"/>
        </w:rPr>
      </w:pPr>
    </w:p>
    <w:p>
      <w:pPr>
        <w:pStyle w:val="7"/>
        <w:keepNext w:val="0"/>
        <w:keepLines w:val="0"/>
        <w:pageBreakBefore w:val="0"/>
        <w:widowControl w:val="0"/>
        <w:kinsoku/>
        <w:overflowPunct/>
        <w:topLinePunct w:val="0"/>
        <w:bidi w:val="0"/>
        <w:rPr>
          <w:rFonts w:hint="eastAsia" w:ascii="宋体" w:hAnsi="宋体" w:eastAsia="宋体" w:cs="宋体"/>
          <w:color w:val="auto"/>
          <w:sz w:val="28"/>
          <w:szCs w:val="28"/>
        </w:rPr>
      </w:pPr>
    </w:p>
    <w:p>
      <w:pPr>
        <w:keepNext w:val="0"/>
        <w:keepLines w:val="0"/>
        <w:pageBreakBefore w:val="0"/>
        <w:widowControl w:val="0"/>
        <w:kinsoku/>
        <w:overflowPunct/>
        <w:topLinePunct w:val="0"/>
        <w:bidi w:val="0"/>
        <w:snapToGrid w:val="0"/>
        <w:spacing w:line="440" w:lineRule="exact"/>
        <w:ind w:firstLine="560" w:firstLineChars="200"/>
        <w:rPr>
          <w:rFonts w:hint="eastAsia" w:ascii="宋体" w:hAnsi="宋体" w:eastAsia="宋体" w:cs="宋体"/>
          <w:b w:val="0"/>
          <w:bCs/>
          <w:color w:val="auto"/>
          <w:sz w:val="28"/>
          <w:szCs w:val="28"/>
          <w:u w:val="none"/>
          <w:lang w:eastAsia="zh-CN"/>
        </w:rPr>
      </w:pPr>
      <w:r>
        <w:rPr>
          <w:rFonts w:hint="eastAsia" w:ascii="宋体" w:hAnsi="宋体" w:eastAsia="宋体" w:cs="宋体"/>
          <w:b w:val="0"/>
          <w:bCs/>
          <w:color w:val="auto"/>
          <w:sz w:val="28"/>
          <w:szCs w:val="28"/>
          <w:u w:val="none"/>
          <w:lang w:eastAsia="zh-CN"/>
        </w:rPr>
        <w:t>签署地点：</w:t>
      </w:r>
      <w:r>
        <w:rPr>
          <w:rFonts w:hint="eastAsia" w:ascii="宋体" w:hAnsi="宋体" w:eastAsia="宋体" w:cs="宋体"/>
          <w:b w:val="0"/>
          <w:bCs/>
          <w:color w:val="auto"/>
          <w:sz w:val="28"/>
          <w:szCs w:val="28"/>
          <w:u w:val="single"/>
          <w:lang w:val="en-US" w:eastAsia="zh-CN"/>
        </w:rPr>
        <w:t xml:space="preserve">                                  </w:t>
      </w:r>
    </w:p>
    <w:p>
      <w:pPr>
        <w:pStyle w:val="7"/>
        <w:keepNext w:val="0"/>
        <w:keepLines w:val="0"/>
        <w:pageBreakBefore w:val="0"/>
        <w:widowControl w:val="0"/>
        <w:kinsoku/>
        <w:overflowPunct/>
        <w:topLinePunct w:val="0"/>
        <w:bidi w:val="0"/>
        <w:rPr>
          <w:rFonts w:hint="eastAsia" w:ascii="宋体" w:hAnsi="宋体" w:eastAsia="宋体" w:cs="宋体"/>
          <w:color w:val="auto"/>
          <w:sz w:val="28"/>
          <w:szCs w:val="28"/>
        </w:rPr>
      </w:pPr>
    </w:p>
    <w:p>
      <w:pPr>
        <w:pStyle w:val="7"/>
        <w:keepNext w:val="0"/>
        <w:keepLines w:val="0"/>
        <w:pageBreakBefore w:val="0"/>
        <w:widowControl w:val="0"/>
        <w:kinsoku/>
        <w:overflowPunct/>
        <w:topLinePunct w:val="0"/>
        <w:bidi w:val="0"/>
        <w:rPr>
          <w:rFonts w:hint="eastAsia" w:ascii="宋体" w:hAnsi="宋体" w:eastAsia="宋体" w:cs="宋体"/>
          <w:color w:val="auto"/>
          <w:sz w:val="28"/>
          <w:szCs w:val="28"/>
        </w:rPr>
      </w:pPr>
    </w:p>
    <w:p>
      <w:pPr>
        <w:keepNext w:val="0"/>
        <w:keepLines w:val="0"/>
        <w:pageBreakBefore w:val="0"/>
        <w:widowControl w:val="0"/>
        <w:kinsoku/>
        <w:overflowPunct/>
        <w:topLinePunct w:val="0"/>
        <w:bidi w:val="0"/>
        <w:snapToGrid w:val="0"/>
        <w:spacing w:line="440" w:lineRule="exact"/>
        <w:ind w:firstLine="560" w:firstLineChars="200"/>
        <w:rPr>
          <w:rFonts w:hint="eastAsia" w:ascii="宋体" w:hAnsi="宋体" w:eastAsia="宋体" w:cs="宋体"/>
          <w:b w:val="0"/>
          <w:bCs/>
          <w:color w:val="auto"/>
          <w:sz w:val="28"/>
          <w:szCs w:val="28"/>
          <w:u w:val="single"/>
          <w:lang w:val="en-US" w:eastAsia="zh-CN"/>
        </w:rPr>
      </w:pPr>
      <w:r>
        <w:rPr>
          <w:rFonts w:hint="eastAsia" w:ascii="宋体" w:hAnsi="宋体" w:eastAsia="宋体" w:cs="宋体"/>
          <w:b w:val="0"/>
          <w:bCs/>
          <w:color w:val="auto"/>
          <w:sz w:val="28"/>
          <w:szCs w:val="28"/>
          <w:u w:val="none"/>
          <w:lang w:eastAsia="zh-CN"/>
        </w:rPr>
        <w:t>签署日期：</w:t>
      </w:r>
      <w:r>
        <w:rPr>
          <w:rFonts w:hint="eastAsia" w:ascii="宋体" w:hAnsi="宋体" w:eastAsia="宋体" w:cs="宋体"/>
          <w:b w:val="0"/>
          <w:bCs/>
          <w:color w:val="auto"/>
          <w:sz w:val="28"/>
          <w:szCs w:val="28"/>
          <w:u w:val="single"/>
          <w:lang w:val="en-US" w:eastAsia="zh-CN"/>
        </w:rPr>
        <w:t xml:space="preserve">                                </w:t>
      </w: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8"/>
          <w:szCs w:val="28"/>
          <w:u w:val="non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non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pStyle w:val="34"/>
        <w:keepNext w:val="0"/>
        <w:keepLines w:val="0"/>
        <w:pageBreakBefore w:val="0"/>
        <w:widowControl w:val="0"/>
        <w:kinsoku/>
        <w:overflowPunct/>
        <w:topLinePunct w:val="0"/>
        <w:bidi w:val="0"/>
        <w:ind w:left="0" w:leftChars="0" w:firstLine="0" w:firstLineChars="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rPr>
          <w:rFonts w:hint="eastAsia" w:ascii="宋体" w:hAnsi="宋体" w:eastAsia="宋体" w:cs="宋体"/>
          <w:b w:val="0"/>
          <w:bCs/>
          <w:color w:val="auto"/>
          <w:sz w:val="24"/>
          <w:szCs w:val="24"/>
          <w:u w:val="single"/>
        </w:rPr>
      </w:pP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根据</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竞争性磋商文件</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color w:val="auto"/>
          <w:sz w:val="24"/>
          <w:szCs w:val="24"/>
          <w:u w:val="none"/>
        </w:rPr>
        <w:t>采购编号</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在</w:t>
      </w:r>
      <w:r>
        <w:rPr>
          <w:rFonts w:hint="eastAsia" w:ascii="宋体" w:hAnsi="宋体" w:eastAsia="宋体" w:cs="宋体"/>
          <w:b w:val="0"/>
          <w:bCs/>
          <w:color w:val="auto"/>
          <w:sz w:val="24"/>
          <w:szCs w:val="24"/>
          <w:u w:val="none"/>
          <w:lang w:eastAsia="zh-CN"/>
        </w:rPr>
        <w:t>2022年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日磋商会上，经磋商小组评定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(乙方)为中标人。甲、乙双方依据《中华人民共和国政府采购法》、《中华人民共和国</w:t>
      </w:r>
      <w:r>
        <w:rPr>
          <w:rFonts w:hint="eastAsia" w:ascii="宋体" w:hAnsi="宋体" w:eastAsia="宋体" w:cs="宋体"/>
          <w:b w:val="0"/>
          <w:bCs/>
          <w:color w:val="auto"/>
          <w:sz w:val="24"/>
          <w:szCs w:val="24"/>
          <w:u w:val="none"/>
          <w:lang w:eastAsia="zh-CN"/>
        </w:rPr>
        <w:t>民法典</w:t>
      </w:r>
      <w:r>
        <w:rPr>
          <w:rFonts w:hint="eastAsia" w:ascii="宋体" w:hAnsi="宋体" w:eastAsia="宋体" w:cs="宋体"/>
          <w:b w:val="0"/>
          <w:bCs/>
          <w:color w:val="auto"/>
          <w:sz w:val="24"/>
          <w:szCs w:val="24"/>
          <w:u w:val="none"/>
        </w:rPr>
        <w:t>》、《中华人民共和国劳动法》等相关法律法规和竞争性磋商文件的要求，在平等自愿的基础上，同意按照下面的条款和条件，签署本合同</w:t>
      </w:r>
      <w:r>
        <w:rPr>
          <w:rFonts w:hint="eastAsia" w:ascii="宋体" w:hAnsi="宋体" w:eastAsia="宋体" w:cs="宋体"/>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19" w:name="_Toc7364"/>
      <w:bookmarkStart w:id="320" w:name="_Toc12508"/>
      <w:r>
        <w:rPr>
          <w:rFonts w:hint="eastAsia" w:ascii="宋体" w:hAnsi="宋体" w:eastAsia="宋体" w:cs="宋体"/>
          <w:b/>
          <w:bCs w:val="0"/>
          <w:color w:val="auto"/>
          <w:sz w:val="24"/>
          <w:szCs w:val="24"/>
          <w:u w:val="none"/>
        </w:rPr>
        <w:t>一、组成本合同的有关文件</w:t>
      </w:r>
      <w:bookmarkEnd w:id="319"/>
      <w:bookmarkEnd w:id="320"/>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1.下列文件构成本合同的组成部分，应该认为是一个整体，彼此相互解释，相互补充。组成合同的多个文件的优先支配地位的次序如下</w:t>
      </w:r>
      <w:r>
        <w:rPr>
          <w:rFonts w:hint="eastAsia" w:ascii="宋体" w:hAnsi="宋体" w:eastAsia="宋体" w:cs="宋体"/>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1.1本合同书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1.2中标通知书</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1.3中标人澄清修改文件</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1.4中标人响应文件</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1.5竞争性磋商文件澄清修改文件</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1.6竞争性磋商文件</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21" w:name="_Toc3871"/>
      <w:bookmarkStart w:id="322" w:name="_Toc22589"/>
      <w:r>
        <w:rPr>
          <w:rFonts w:hint="eastAsia" w:ascii="宋体" w:hAnsi="宋体" w:eastAsia="宋体" w:cs="宋体"/>
          <w:b/>
          <w:bCs w:val="0"/>
          <w:color w:val="auto"/>
          <w:sz w:val="24"/>
          <w:szCs w:val="24"/>
          <w:u w:val="none"/>
        </w:rPr>
        <w:t>二、服务内容</w:t>
      </w:r>
      <w:bookmarkEnd w:id="321"/>
      <w:bookmarkEnd w:id="322"/>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1.服务内容</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i w:val="0"/>
          <w:iCs w:val="0"/>
          <w:color w:val="auto"/>
          <w:sz w:val="24"/>
          <w:szCs w:val="24"/>
          <w:u w:val="single"/>
          <w:lang w:val="en-US" w:eastAsia="zh-CN"/>
        </w:rPr>
        <w:t xml:space="preserve">                                          </w:t>
      </w:r>
      <w:r>
        <w:rPr>
          <w:rFonts w:hint="eastAsia" w:ascii="宋体" w:hAnsi="宋体" w:eastAsia="宋体" w:cs="宋体"/>
          <w:b w:val="0"/>
          <w:bCs/>
          <w:color w:val="auto"/>
          <w:sz w:val="24"/>
          <w:szCs w:val="24"/>
          <w:u w:val="none"/>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2.食品抽检种类、品种、项目和批次</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color w:val="auto"/>
          <w:sz w:val="24"/>
          <w:szCs w:val="24"/>
          <w:u w:val="none"/>
        </w:rPr>
        <w:t>以每个抽检周期实际安排为准。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3.抽检经费</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color w:val="auto"/>
          <w:sz w:val="24"/>
          <w:szCs w:val="24"/>
          <w:u w:val="none"/>
        </w:rPr>
        <w:t>按照完成的检验检测批次数量以中标单价进行结算。中标单位每年合计检验检测费用不得超过财政预算金额</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color w:val="auto"/>
          <w:sz w:val="24"/>
          <w:szCs w:val="24"/>
          <w:u w:val="none"/>
        </w:rPr>
        <w:t>按中标单价</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结算）。</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4.服务期限</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color w:val="auto"/>
          <w:sz w:val="24"/>
          <w:szCs w:val="24"/>
          <w:u w:val="none"/>
        </w:rPr>
        <w:t>合同签订之日起至</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日，从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日至</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rPr>
        <w:t>日止</w:t>
      </w:r>
      <w:r>
        <w:rPr>
          <w:rFonts w:hint="eastAsia" w:ascii="宋体" w:hAnsi="宋体" w:eastAsia="宋体" w:cs="宋体"/>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5.在合同规定期限内，达不到项目规定的质量和服务要求，乙方应当承担违约责任。</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23" w:name="_Toc27591"/>
      <w:bookmarkStart w:id="324" w:name="_Toc26268"/>
      <w:r>
        <w:rPr>
          <w:rFonts w:hint="eastAsia" w:ascii="宋体" w:hAnsi="宋体" w:eastAsia="宋体" w:cs="宋体"/>
          <w:b/>
          <w:bCs w:val="0"/>
          <w:color w:val="auto"/>
          <w:sz w:val="24"/>
          <w:szCs w:val="24"/>
          <w:u w:val="none"/>
        </w:rPr>
        <w:t>三、甲方委托乙方的具体事项</w:t>
      </w:r>
      <w:bookmarkEnd w:id="323"/>
      <w:bookmarkEnd w:id="324"/>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1.按照《中华人民共和国食品安全法》、《食品检验工作规范》等有关法律法规和技术规范，承担庆元县食品安全检验检测服务工作。</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2.按照甲方委托的食品抽检品种、项目、批次和采样区域制订抽检计划。检验检测周期为15工作日左右，采样点的设置以生产、流通和餐饮环节为主</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color w:val="auto"/>
          <w:sz w:val="24"/>
          <w:szCs w:val="24"/>
          <w:u w:val="none"/>
        </w:rPr>
        <w:t>采样品种尽量覆盖所有品牌。</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3.根据甲方认可的抽检计划采集样品。在组织抽样检验检测过程中，检验检测产品的种类、品种、项目、抽样地点及样品处理不得随意调整</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color w:val="auto"/>
          <w:sz w:val="24"/>
          <w:szCs w:val="24"/>
          <w:u w:val="none"/>
        </w:rPr>
        <w:t>如因客观情况必须进行调整的，需征得甲方同意。</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4.按照有关法律法规和技术规范开展食品检验检测。未经甲方同意，乙方不得少检或漏检，不得将委托检验检测的产品交由其他机构检验检测。</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2"/>
        <w:rPr>
          <w:rFonts w:hint="eastAsia" w:ascii="宋体" w:hAnsi="宋体" w:eastAsia="宋体" w:cs="宋体"/>
          <w:b w:val="0"/>
          <w:bCs/>
          <w:color w:val="auto"/>
          <w:sz w:val="24"/>
          <w:szCs w:val="24"/>
          <w:u w:val="none"/>
        </w:rPr>
      </w:pPr>
      <w:bookmarkStart w:id="325" w:name="_Toc31574"/>
      <w:r>
        <w:rPr>
          <w:rFonts w:hint="eastAsia" w:ascii="宋体" w:hAnsi="宋体" w:eastAsia="宋体" w:cs="宋体"/>
          <w:b w:val="0"/>
          <w:bCs/>
          <w:color w:val="auto"/>
          <w:sz w:val="24"/>
          <w:szCs w:val="24"/>
          <w:u w:val="none"/>
        </w:rPr>
        <w:t>5.食品抽检发现的不合格食品信息，乙方应在第一时间报告甲方。</w:t>
      </w:r>
      <w:bookmarkEnd w:id="325"/>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6.每个抽检周期结束前报送食品检验检测结果，同时每个月报送所抽检的食品品种整体质量安全状况报告乙方对报告的可靠性和准确性负责。</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7.规范备样品收集储存。不合格食品样品在规定的贮存条件下至少保存至一;期抽检工作结束为止，最后由检验机构自行处理，并备有处理记录</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color w:val="auto"/>
          <w:sz w:val="24"/>
          <w:szCs w:val="24"/>
          <w:u w:val="none"/>
        </w:rPr>
        <w:t>合格样品保管期限不得少于异议期。</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8.参加由甲方组织的与食品抽检工作有关的宣传、培训活动。</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9.协助甲方完成省市区相关检验检测系统录入和相关表格报送。</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26" w:name="_Toc23044"/>
      <w:bookmarkStart w:id="327" w:name="_Toc21805"/>
      <w:r>
        <w:rPr>
          <w:rFonts w:hint="eastAsia" w:ascii="宋体" w:hAnsi="宋体" w:eastAsia="宋体" w:cs="宋体"/>
          <w:b/>
          <w:bCs w:val="0"/>
          <w:color w:val="auto"/>
          <w:sz w:val="24"/>
          <w:szCs w:val="24"/>
          <w:u w:val="none"/>
        </w:rPr>
        <w:t>四、甲方的权利和义务</w:t>
      </w:r>
      <w:bookmarkEnd w:id="326"/>
      <w:bookmarkEnd w:id="327"/>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1.指定一名抽检工作联系人，确保通讯畅通，每日24小时开机，代表甲方处理食品抽检工作中的有关事宜。</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2.向乙方提供食品抽检计划和服务内容等书面材料和要求。检验检测产品的种类、品种、项目、抽样地点及样品处理由甲方提前3日通知乙方。</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3.对乙方食品抽检计划完成情况予以审核确认，如期向乙方支付抽检费用。4.有权利就委托的事项提出合法、合理的要求。</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2"/>
        <w:rPr>
          <w:rFonts w:hint="eastAsia" w:ascii="宋体" w:hAnsi="宋体" w:eastAsia="宋体" w:cs="宋体"/>
          <w:b w:val="0"/>
          <w:bCs/>
          <w:color w:val="auto"/>
          <w:sz w:val="24"/>
          <w:szCs w:val="24"/>
          <w:u w:val="none"/>
        </w:rPr>
      </w:pPr>
      <w:bookmarkStart w:id="328" w:name="_Toc23574"/>
      <w:r>
        <w:rPr>
          <w:rFonts w:hint="eastAsia" w:ascii="宋体" w:hAnsi="宋体" w:eastAsia="宋体" w:cs="宋体"/>
          <w:b w:val="0"/>
          <w:bCs/>
          <w:color w:val="auto"/>
          <w:sz w:val="24"/>
          <w:szCs w:val="24"/>
          <w:u w:val="none"/>
        </w:rPr>
        <w:t>5.有权利对乙方食品抽检行为进行考核。</w:t>
      </w:r>
      <w:bookmarkEnd w:id="328"/>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6.有权利派专家和工作人员监督抽检工作，但不得非法干预、影响检验检测过程和结果，甲方参加监督的专家和工作人员必须出具授权书，并写明参加的具体人员姓名。</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7.有义务保守检验检测工作的相关秘密。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8.应遵守法律法规和各项食品检验检测规范和制度。</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29" w:name="_Toc1754"/>
      <w:bookmarkStart w:id="330" w:name="_Toc26875"/>
      <w:r>
        <w:rPr>
          <w:rFonts w:hint="eastAsia" w:ascii="宋体" w:hAnsi="宋体" w:eastAsia="宋体" w:cs="宋体"/>
          <w:b/>
          <w:bCs w:val="0"/>
          <w:color w:val="auto"/>
          <w:sz w:val="24"/>
          <w:szCs w:val="24"/>
          <w:u w:val="none"/>
        </w:rPr>
        <w:t>五、乙方的权利和义务</w:t>
      </w:r>
      <w:bookmarkEnd w:id="329"/>
      <w:bookmarkEnd w:id="330"/>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1.指派专人负责项目联络工作，确保通讯畅通，每日24小时开机，及时响应，如有变化应及时告知甲方</w:t>
      </w:r>
      <w:r>
        <w:rPr>
          <w:rFonts w:hint="eastAsia" w:ascii="宋体" w:hAnsi="宋体" w:eastAsia="宋体" w:cs="宋体"/>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2.按照有关法律法规和技术规范要求，加强质量控制和规范管理，确保检验检测结果客观、准</w:t>
      </w:r>
      <w:r>
        <w:rPr>
          <w:rFonts w:hint="eastAsia" w:ascii="宋体" w:hAnsi="宋体" w:eastAsia="宋体" w:cs="宋体"/>
          <w:b w:val="0"/>
          <w:bCs/>
          <w:color w:val="auto"/>
          <w:sz w:val="24"/>
          <w:szCs w:val="24"/>
          <w:u w:val="none"/>
          <w:lang w:eastAsia="zh-CN"/>
        </w:rPr>
        <w:t>确</w:t>
      </w:r>
      <w:r>
        <w:rPr>
          <w:rFonts w:hint="eastAsia" w:ascii="宋体" w:hAnsi="宋体" w:eastAsia="宋体" w:cs="宋体"/>
          <w:b w:val="0"/>
          <w:bCs/>
          <w:color w:val="auto"/>
          <w:sz w:val="24"/>
          <w:szCs w:val="24"/>
          <w:u w:val="none"/>
        </w:rPr>
        <w:t>，并按照委托时限上报。</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3.根据甲方要求制订食品抽检计划</w:t>
      </w:r>
      <w:r>
        <w:rPr>
          <w:rFonts w:hint="eastAsia" w:ascii="宋体" w:hAnsi="宋体" w:eastAsia="宋体" w:cs="宋体"/>
          <w:b w:val="0"/>
          <w:bCs/>
          <w:color w:val="auto"/>
          <w:sz w:val="24"/>
          <w:szCs w:val="24"/>
          <w:u w:val="none"/>
          <w:lang w:eastAsia="zh-CN"/>
        </w:rPr>
        <w:t>，</w:t>
      </w:r>
      <w:r>
        <w:rPr>
          <w:rFonts w:hint="eastAsia" w:ascii="宋体" w:hAnsi="宋体" w:eastAsia="宋体" w:cs="宋体"/>
          <w:b w:val="0"/>
          <w:bCs/>
          <w:color w:val="auto"/>
          <w:sz w:val="24"/>
          <w:szCs w:val="24"/>
          <w:u w:val="none"/>
        </w:rPr>
        <w:t>同时可以根据甲方需求提出合理化建议。</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4.根据甲方要求开展食品抽检工作，每个周期抽检工作结束后向甲方出具书面检验检测报告，出具期限必须和投标文件中承诺的时间一致.</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5.满足甲方的合法、合理要求，但对违法违规以及无理的要求应予拒绝。</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6.可根据需要，就食品抽检工作征询专家意见</w:t>
      </w:r>
      <w:r>
        <w:rPr>
          <w:rFonts w:hint="eastAsia" w:ascii="宋体" w:hAnsi="宋体" w:eastAsia="宋体" w:cs="宋体"/>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7.在委托事项范围内应及时答复甲方的询问和质疑。</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8.有义务保守检验检测工作的相关秘密。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9.在采样过程中不得收取食品生产经营单位任何费用</w:t>
      </w:r>
      <w:r>
        <w:rPr>
          <w:rFonts w:hint="eastAsia" w:ascii="宋体" w:hAnsi="宋体" w:eastAsia="宋体" w:cs="宋体"/>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10.有权向甲方举报食品生产经营单位违法违规行为</w:t>
      </w:r>
      <w:r>
        <w:rPr>
          <w:rFonts w:hint="eastAsia" w:ascii="宋体" w:hAnsi="宋体" w:eastAsia="宋体" w:cs="宋体"/>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11.应遵守法律法规和食品检验检测技术规范和相关制度。</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31" w:name="_Toc174"/>
      <w:bookmarkStart w:id="332" w:name="_Toc23138"/>
      <w:r>
        <w:rPr>
          <w:rFonts w:hint="eastAsia" w:ascii="宋体" w:hAnsi="宋体" w:eastAsia="宋体" w:cs="宋体"/>
          <w:b/>
          <w:bCs w:val="0"/>
          <w:color w:val="auto"/>
          <w:sz w:val="24"/>
          <w:szCs w:val="24"/>
          <w:u w:val="none"/>
        </w:rPr>
        <w:t>六、付款方式</w:t>
      </w:r>
      <w:bookmarkEnd w:id="331"/>
      <w:bookmarkEnd w:id="332"/>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color w:val="auto"/>
          <w:sz w:val="24"/>
          <w:u w:val="single"/>
          <w:lang w:val="en-US" w:eastAsia="zh-CN"/>
        </w:rPr>
      </w:pPr>
      <w:r>
        <w:rPr>
          <w:rFonts w:hint="eastAsia" w:ascii="宋体" w:hAnsi="宋体" w:eastAsia="宋体" w:cs="宋体"/>
          <w:b w:val="0"/>
          <w:bCs/>
          <w:color w:val="auto"/>
          <w:sz w:val="24"/>
          <w:szCs w:val="24"/>
          <w:u w:val="none"/>
        </w:rPr>
        <w:t>1.</w:t>
      </w:r>
      <w:r>
        <w:rPr>
          <w:rFonts w:hint="eastAsia" w:ascii="宋体" w:hAnsi="宋体" w:eastAsia="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textAlignment w:val="auto"/>
        <w:rPr>
          <w:rFonts w:hint="eastAsia" w:ascii="宋体" w:hAnsi="宋体" w:eastAsia="宋体" w:cs="宋体"/>
          <w:b w:val="0"/>
          <w:bCs/>
          <w:color w:val="auto"/>
          <w:sz w:val="24"/>
          <w:szCs w:val="24"/>
          <w:u w:val="none"/>
          <w:lang w:val="en-US"/>
        </w:rPr>
      </w:pPr>
      <w:r>
        <w:rPr>
          <w:rFonts w:hint="eastAsia" w:ascii="宋体" w:hAnsi="宋体" w:eastAsia="宋体" w:cs="宋体"/>
          <w:color w:val="auto"/>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lang w:val="en-US" w:eastAsia="zh-CN"/>
        </w:rPr>
        <w:t>2</w:t>
      </w:r>
      <w:r>
        <w:rPr>
          <w:rFonts w:hint="eastAsia" w:ascii="宋体" w:hAnsi="宋体" w:eastAsia="宋体" w:cs="宋体"/>
          <w:b w:val="0"/>
          <w:bCs/>
          <w:color w:val="auto"/>
          <w:sz w:val="24"/>
          <w:szCs w:val="24"/>
          <w:u w:val="none"/>
        </w:rPr>
        <w:t>.乙方在服务期限内，甲方将对其服务态度和检验检测质量进行评价，若经甲方评价为检验检测质量差、服务态度差的，甲方将不于以支付费用，特纠纷解决后再根据具体情况予以支付。</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33" w:name="_Toc22368"/>
      <w:bookmarkStart w:id="334" w:name="_Toc17423"/>
      <w:r>
        <w:rPr>
          <w:rFonts w:hint="eastAsia" w:ascii="宋体" w:hAnsi="宋体" w:eastAsia="宋体" w:cs="宋体"/>
          <w:b/>
          <w:bCs w:val="0"/>
          <w:color w:val="auto"/>
          <w:sz w:val="24"/>
          <w:szCs w:val="24"/>
          <w:u w:val="none"/>
        </w:rPr>
        <w:t>七、违约责任及处理</w:t>
      </w:r>
      <w:bookmarkEnd w:id="333"/>
      <w:bookmarkEnd w:id="334"/>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甲乙双方应遵守法律法规、技术规范和本协议有关规定，否则，将承担相应的违约责任。甲方应如期支付相关检验检测费用，逾期未支付相关检验检测费用，甲方承担违约责任。乙方应按协议如期完成食品抽检工作，未按协议规定开展抽检工作的，乙方承担违约责任。甲乙双方如发现对方存在违约事件，经向采购监管部门报告后，由采购监管部门做出口头警告、书面警告、赔付违约金和取消委托事宜等处理。因违约造成经济损失的，由违约方承担。</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35" w:name="_Toc12054"/>
      <w:bookmarkStart w:id="336" w:name="_Toc16494"/>
      <w:r>
        <w:rPr>
          <w:rFonts w:hint="eastAsia" w:ascii="宋体" w:hAnsi="宋体" w:eastAsia="宋体" w:cs="宋体"/>
          <w:b/>
          <w:bCs w:val="0"/>
          <w:color w:val="auto"/>
          <w:sz w:val="24"/>
          <w:szCs w:val="24"/>
          <w:u w:val="none"/>
        </w:rPr>
        <w:t>八、合同的变更和终止</w:t>
      </w:r>
      <w:bookmarkEnd w:id="335"/>
      <w:bookmarkEnd w:id="336"/>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除《政府采购法》第50条第二款规定的情形外，本合同一经签订，双方不得擅自变更、中止或终止合同。</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37" w:name="_Toc13565"/>
      <w:bookmarkStart w:id="338" w:name="_Toc11410"/>
      <w:r>
        <w:rPr>
          <w:rFonts w:hint="eastAsia" w:ascii="宋体" w:hAnsi="宋体" w:eastAsia="宋体" w:cs="宋体"/>
          <w:b/>
          <w:bCs w:val="0"/>
          <w:color w:val="auto"/>
          <w:sz w:val="24"/>
          <w:szCs w:val="24"/>
          <w:u w:val="none"/>
        </w:rPr>
        <w:t>九、不可抗力</w:t>
      </w:r>
      <w:bookmarkEnd w:id="337"/>
      <w:bookmarkEnd w:id="338"/>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1.如果双方中任何一方遭遇法律规定的不可抗力，致使合同履行受阻时，履行合同的期限应</w:t>
      </w:r>
      <w:r>
        <w:rPr>
          <w:rFonts w:hint="eastAsia" w:ascii="宋体" w:hAnsi="宋体" w:eastAsia="宋体" w:cs="宋体"/>
          <w:b w:val="0"/>
          <w:bCs/>
          <w:color w:val="auto"/>
          <w:sz w:val="24"/>
          <w:szCs w:val="24"/>
          <w:u w:val="none"/>
          <w:lang w:eastAsia="zh-CN"/>
        </w:rPr>
        <w:t>予</w:t>
      </w:r>
      <w:r>
        <w:rPr>
          <w:rFonts w:hint="eastAsia" w:ascii="宋体" w:hAnsi="宋体" w:eastAsia="宋体" w:cs="宋体"/>
          <w:b w:val="0"/>
          <w:bCs/>
          <w:color w:val="auto"/>
          <w:sz w:val="24"/>
          <w:szCs w:val="24"/>
          <w:u w:val="none"/>
        </w:rPr>
        <w:t>延长，延长的期限应相当于不可抗力所影响的时间。</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2.受事故影响的一方应在不可抗力的事故发生后尽快书面形式通知另一方，并尽快将有关部门出具的证明文件送达另一方。</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3.不可抗力使合同的某些内容有变更必要的，双方应通过协商达成进一步履行合同的协议，因不可抗力致使合同不能履行的，合同终止。</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39" w:name="_Toc23266"/>
      <w:bookmarkStart w:id="340" w:name="_Toc23566"/>
      <w:r>
        <w:rPr>
          <w:rFonts w:hint="eastAsia" w:ascii="宋体" w:hAnsi="宋体" w:eastAsia="宋体" w:cs="宋体"/>
          <w:b/>
          <w:bCs w:val="0"/>
          <w:color w:val="auto"/>
          <w:sz w:val="24"/>
          <w:szCs w:val="24"/>
          <w:u w:val="none"/>
        </w:rPr>
        <w:t>十、争议的解决</w:t>
      </w:r>
      <w:bookmarkEnd w:id="339"/>
      <w:bookmarkEnd w:id="340"/>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因服务的质量问题发生争议的，双方应首先通过友好协商解决，如果协商不能解决争议，则采取以下第</w:t>
      </w:r>
      <w:r>
        <w:rPr>
          <w:rFonts w:hint="eastAsia" w:ascii="宋体" w:hAnsi="宋体" w:eastAsia="宋体" w:cs="宋体"/>
          <w:b w:val="0"/>
          <w:bCs/>
          <w:color w:val="auto"/>
          <w:sz w:val="24"/>
          <w:szCs w:val="24"/>
          <w:u w:val="single"/>
          <w:lang w:val="en-US" w:eastAsia="zh-CN"/>
        </w:rPr>
        <w:t xml:space="preserve"> 1 </w:t>
      </w:r>
      <w:r>
        <w:rPr>
          <w:rFonts w:hint="eastAsia" w:ascii="宋体" w:hAnsi="宋体" w:eastAsia="宋体" w:cs="宋体"/>
          <w:b w:val="0"/>
          <w:bCs/>
          <w:color w:val="auto"/>
          <w:sz w:val="24"/>
          <w:szCs w:val="24"/>
          <w:u w:val="none"/>
        </w:rPr>
        <w:t>种方式解决争议</w:t>
      </w:r>
      <w:r>
        <w:rPr>
          <w:rFonts w:hint="eastAsia" w:ascii="宋体" w:hAnsi="宋体" w:eastAsia="宋体" w:cs="宋体"/>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lang w:eastAsia="zh-CN"/>
        </w:rPr>
      </w:pPr>
      <w:r>
        <w:rPr>
          <w:rFonts w:hint="eastAsia" w:ascii="宋体" w:hAnsi="宋体" w:eastAsia="宋体" w:cs="宋体"/>
          <w:b w:val="0"/>
          <w:bCs/>
          <w:color w:val="auto"/>
          <w:sz w:val="24"/>
          <w:szCs w:val="24"/>
          <w:u w:val="none"/>
        </w:rPr>
        <w:t>1.向甲方所在地有管辖权的人民法院提起诉讼</w:t>
      </w:r>
      <w:r>
        <w:rPr>
          <w:rFonts w:hint="eastAsia" w:ascii="宋体" w:hAnsi="宋体" w:eastAsia="宋体" w:cs="宋体"/>
          <w:b w:val="0"/>
          <w:bCs/>
          <w:color w:val="auto"/>
          <w:sz w:val="24"/>
          <w:szCs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2.向丽水仲裁委员会按其仲裁规则申请仲裁。</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在仲裁期间，本合同应继续履行</w:t>
      </w:r>
    </w:p>
    <w:p>
      <w:pPr>
        <w:keepNext w:val="0"/>
        <w:keepLines w:val="0"/>
        <w:pageBreakBefore w:val="0"/>
        <w:widowControl w:val="0"/>
        <w:kinsoku/>
        <w:wordWrap/>
        <w:overflowPunct/>
        <w:topLinePunct w:val="0"/>
        <w:autoSpaceDE/>
        <w:autoSpaceDN/>
        <w:bidi w:val="0"/>
        <w:adjustRightInd/>
        <w:snapToGrid w:val="0"/>
        <w:spacing w:line="460" w:lineRule="exact"/>
        <w:ind w:firstLine="482" w:firstLineChars="200"/>
        <w:textAlignment w:val="auto"/>
        <w:outlineLvl w:val="1"/>
        <w:rPr>
          <w:rFonts w:hint="eastAsia" w:ascii="宋体" w:hAnsi="宋体" w:eastAsia="宋体" w:cs="宋体"/>
          <w:b/>
          <w:bCs w:val="0"/>
          <w:color w:val="auto"/>
          <w:sz w:val="24"/>
          <w:szCs w:val="24"/>
          <w:u w:val="none"/>
        </w:rPr>
      </w:pPr>
      <w:bookmarkStart w:id="341" w:name="_Toc26201"/>
      <w:bookmarkStart w:id="342" w:name="_Toc27342"/>
      <w:r>
        <w:rPr>
          <w:rFonts w:hint="eastAsia" w:ascii="宋体" w:hAnsi="宋体" w:eastAsia="宋体" w:cs="宋体"/>
          <w:b/>
          <w:bCs w:val="0"/>
          <w:color w:val="auto"/>
          <w:sz w:val="24"/>
          <w:szCs w:val="24"/>
          <w:u w:val="none"/>
        </w:rPr>
        <w:t>十一、合同生效及其他</w:t>
      </w:r>
      <w:bookmarkEnd w:id="341"/>
      <w:bookmarkEnd w:id="342"/>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2"/>
        <w:rPr>
          <w:rFonts w:hint="eastAsia" w:ascii="宋体" w:hAnsi="宋体" w:eastAsia="宋体" w:cs="宋体"/>
          <w:b w:val="0"/>
          <w:bCs/>
          <w:color w:val="auto"/>
          <w:sz w:val="24"/>
          <w:szCs w:val="24"/>
          <w:u w:val="none"/>
        </w:rPr>
      </w:pPr>
      <w:bookmarkStart w:id="343" w:name="_Toc8368"/>
      <w:r>
        <w:rPr>
          <w:rFonts w:hint="eastAsia" w:ascii="宋体" w:hAnsi="宋体" w:eastAsia="宋体" w:cs="宋体"/>
          <w:b w:val="0"/>
          <w:bCs/>
          <w:color w:val="auto"/>
          <w:sz w:val="24"/>
          <w:szCs w:val="24"/>
          <w:u w:val="none"/>
        </w:rPr>
        <w:t>1.合同经双方法定代表人或被委托人签字并加盖单位公章。</w:t>
      </w:r>
      <w:bookmarkEnd w:id="343"/>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2.合同执行中涉及采购资金和采购内容修改或补充的，须经财政部门批准，并签书面补充协议报政府采购监督管理部门备案，方可作为合同不可分割的一部分。</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2"/>
        <w:rPr>
          <w:rFonts w:hint="eastAsia" w:ascii="宋体" w:hAnsi="宋体" w:eastAsia="宋体" w:cs="宋体"/>
          <w:b w:val="0"/>
          <w:bCs/>
          <w:color w:val="auto"/>
          <w:sz w:val="24"/>
          <w:szCs w:val="24"/>
          <w:u w:val="none"/>
        </w:rPr>
      </w:pPr>
      <w:bookmarkStart w:id="344" w:name="_Toc7916"/>
      <w:r>
        <w:rPr>
          <w:rFonts w:hint="eastAsia" w:ascii="宋体" w:hAnsi="宋体" w:eastAsia="宋体" w:cs="宋体"/>
          <w:b w:val="0"/>
          <w:bCs/>
          <w:color w:val="auto"/>
          <w:sz w:val="24"/>
          <w:szCs w:val="24"/>
          <w:u w:val="none"/>
        </w:rPr>
        <w:t>3.本合同自签订之日起生效。</w:t>
      </w:r>
      <w:bookmarkEnd w:id="344"/>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eastAsia" w:ascii="宋体" w:hAnsi="宋体" w:eastAsia="宋体" w:cs="宋体"/>
          <w:b w:val="0"/>
          <w:bCs/>
          <w:color w:val="auto"/>
          <w:sz w:val="24"/>
          <w:szCs w:val="24"/>
          <w:u w:val="none"/>
        </w:rPr>
      </w:pPr>
      <w:r>
        <w:rPr>
          <w:rFonts w:hint="eastAsia" w:ascii="宋体" w:hAnsi="宋体" w:eastAsia="宋体" w:cs="宋体"/>
          <w:b w:val="0"/>
          <w:bCs/>
          <w:color w:val="auto"/>
          <w:sz w:val="24"/>
          <w:szCs w:val="24"/>
          <w:u w:val="none"/>
        </w:rPr>
        <w:t>4.本合同式六份，买卖双方各执二份，一份交代理机构存档，一份报送政府采购监督管理部门备案。</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outlineLvl w:val="2"/>
        <w:rPr>
          <w:rFonts w:hint="eastAsia" w:ascii="宋体" w:hAnsi="宋体" w:eastAsia="宋体" w:cs="宋体"/>
          <w:b w:val="0"/>
          <w:bCs/>
          <w:color w:val="auto"/>
          <w:sz w:val="24"/>
          <w:szCs w:val="24"/>
          <w:u w:val="none"/>
        </w:rPr>
      </w:pPr>
      <w:bookmarkStart w:id="345" w:name="_Toc4642"/>
      <w:r>
        <w:rPr>
          <w:rFonts w:hint="eastAsia" w:ascii="宋体" w:hAnsi="宋体" w:eastAsia="宋体" w:cs="宋体"/>
          <w:b w:val="0"/>
          <w:bCs/>
          <w:color w:val="auto"/>
          <w:sz w:val="24"/>
          <w:szCs w:val="24"/>
          <w:u w:val="none"/>
        </w:rPr>
        <w:t>5.本合同应按照中华人民共和国的现行法律进行解释。</w:t>
      </w:r>
      <w:bookmarkEnd w:id="345"/>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val="0"/>
          <w:bCs/>
          <w:color w:val="auto"/>
          <w:sz w:val="24"/>
          <w:szCs w:val="24"/>
          <w:u w:val="single"/>
        </w:rPr>
      </w:pPr>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val="0"/>
          <w:bCs/>
          <w:color w:val="auto"/>
          <w:sz w:val="24"/>
          <w:szCs w:val="24"/>
        </w:rPr>
      </w:pPr>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甲</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方：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乙</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方：</w:t>
      </w:r>
      <w:r>
        <w:rPr>
          <w:rFonts w:hint="eastAsia" w:ascii="宋体" w:hAnsi="宋体" w:eastAsia="宋体" w:cs="宋体"/>
          <w:b w:val="0"/>
          <w:bCs/>
          <w:color w:val="auto"/>
          <w:sz w:val="24"/>
          <w:szCs w:val="24"/>
          <w:u w:val="single"/>
          <w:lang w:val="en-US" w:eastAsia="zh-CN"/>
        </w:rPr>
        <w:t xml:space="preserve">                  </w:t>
      </w:r>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val="0"/>
          <w:bCs/>
          <w:color w:val="auto"/>
          <w:sz w:val="24"/>
          <w:szCs w:val="24"/>
          <w:lang w:val="en-US"/>
        </w:rPr>
      </w:pPr>
      <w:r>
        <w:rPr>
          <w:rFonts w:hint="eastAsia" w:ascii="宋体" w:hAnsi="宋体" w:eastAsia="宋体" w:cs="宋体"/>
          <w:b w:val="0"/>
          <w:bCs/>
          <w:color w:val="auto"/>
          <w:sz w:val="24"/>
          <w:szCs w:val="24"/>
        </w:rPr>
        <w:t>名</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称：(印章)                         名</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称：(印章)</w:t>
      </w:r>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val="0"/>
          <w:bCs/>
          <w:color w:val="auto"/>
          <w:sz w:val="24"/>
          <w:szCs w:val="24"/>
        </w:rPr>
      </w:pPr>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eastAsia="zh-CN"/>
        </w:rPr>
        <w:t>法定代表人（签字或盖章）：</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lang w:eastAsia="zh-CN"/>
        </w:rPr>
        <w:t>法定代表人（签字或盖章）：</w:t>
      </w:r>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eastAsia="zh-CN"/>
        </w:rPr>
        <w:t>被委托人</w:t>
      </w:r>
      <w:r>
        <w:rPr>
          <w:rFonts w:hint="eastAsia" w:ascii="宋体" w:hAnsi="宋体" w:eastAsia="宋体" w:cs="宋体"/>
          <w:b w:val="0"/>
          <w:bCs/>
          <w:color w:val="auto"/>
          <w:sz w:val="24"/>
          <w:szCs w:val="24"/>
        </w:rPr>
        <w:t>(签字</w:t>
      </w:r>
      <w:r>
        <w:rPr>
          <w:rFonts w:hint="eastAsia" w:ascii="宋体" w:hAnsi="宋体" w:eastAsia="宋体" w:cs="宋体"/>
          <w:b w:val="0"/>
          <w:bCs/>
          <w:color w:val="auto"/>
          <w:sz w:val="24"/>
          <w:szCs w:val="24"/>
          <w:lang w:eastAsia="zh-CN"/>
        </w:rPr>
        <w:t>或盖章</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w:t>
      </w:r>
      <w:r>
        <w:rPr>
          <w:rFonts w:hint="eastAsia" w:ascii="宋体" w:hAnsi="宋体" w:eastAsia="宋体" w:cs="宋体"/>
          <w:b w:val="0"/>
          <w:bCs/>
          <w:color w:val="auto"/>
          <w:sz w:val="24"/>
          <w:szCs w:val="24"/>
          <w:lang w:eastAsia="zh-CN"/>
        </w:rPr>
        <w:t>被委托人</w:t>
      </w:r>
      <w:r>
        <w:rPr>
          <w:rFonts w:hint="eastAsia" w:ascii="宋体" w:hAnsi="宋体" w:eastAsia="宋体" w:cs="宋体"/>
          <w:b w:val="0"/>
          <w:bCs/>
          <w:color w:val="auto"/>
          <w:sz w:val="24"/>
          <w:szCs w:val="24"/>
        </w:rPr>
        <w:t>(签字</w:t>
      </w:r>
      <w:r>
        <w:rPr>
          <w:rFonts w:hint="eastAsia" w:ascii="宋体" w:hAnsi="宋体" w:eastAsia="宋体" w:cs="宋体"/>
          <w:b w:val="0"/>
          <w:bCs/>
          <w:color w:val="auto"/>
          <w:sz w:val="24"/>
          <w:szCs w:val="24"/>
          <w:lang w:eastAsia="zh-CN"/>
        </w:rPr>
        <w:t>或盖章</w:t>
      </w:r>
      <w:r>
        <w:rPr>
          <w:rFonts w:hint="eastAsia" w:ascii="宋体" w:hAnsi="宋体" w:eastAsia="宋体" w:cs="宋体"/>
          <w:b w:val="0"/>
          <w:bCs/>
          <w:color w:val="auto"/>
          <w:sz w:val="24"/>
          <w:szCs w:val="24"/>
        </w:rPr>
        <w:t>)：</w:t>
      </w:r>
      <w:r>
        <w:rPr>
          <w:rFonts w:hint="eastAsia" w:ascii="宋体" w:hAnsi="宋体" w:eastAsia="宋体" w:cs="宋体"/>
          <w:b w:val="0"/>
          <w:bCs/>
          <w:color w:val="auto"/>
          <w:sz w:val="24"/>
          <w:szCs w:val="24"/>
          <w:u w:val="single"/>
          <w:lang w:val="en-US" w:eastAsia="zh-CN"/>
        </w:rPr>
        <w:t xml:space="preserve">           </w:t>
      </w:r>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地</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址：</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地</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址：</w:t>
      </w:r>
      <w:r>
        <w:rPr>
          <w:rFonts w:hint="eastAsia" w:ascii="宋体" w:hAnsi="宋体" w:eastAsia="宋体" w:cs="宋体"/>
          <w:b w:val="0"/>
          <w:bCs/>
          <w:color w:val="auto"/>
          <w:sz w:val="24"/>
          <w:szCs w:val="24"/>
          <w:u w:val="single"/>
          <w:lang w:val="en-US" w:eastAsia="zh-CN"/>
        </w:rPr>
        <w:t xml:space="preserve">                       </w:t>
      </w:r>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rPr>
        <w:t>电</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话：</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电</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话：</w:t>
      </w:r>
      <w:r>
        <w:rPr>
          <w:rFonts w:hint="eastAsia" w:ascii="宋体" w:hAnsi="宋体" w:eastAsia="宋体" w:cs="宋体"/>
          <w:b w:val="0"/>
          <w:bCs/>
          <w:color w:val="auto"/>
          <w:sz w:val="24"/>
          <w:szCs w:val="24"/>
          <w:u w:val="single"/>
          <w:lang w:val="en-US" w:eastAsia="zh-CN"/>
        </w:rPr>
        <w:t xml:space="preserve">                       </w:t>
      </w:r>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开户银行：</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开户银行：</w:t>
      </w:r>
      <w:r>
        <w:rPr>
          <w:rFonts w:hint="eastAsia" w:ascii="宋体" w:hAnsi="宋体" w:eastAsia="宋体" w:cs="宋体"/>
          <w:b w:val="0"/>
          <w:bCs/>
          <w:color w:val="auto"/>
          <w:sz w:val="24"/>
          <w:szCs w:val="24"/>
          <w:u w:val="single"/>
          <w:lang w:val="en-US" w:eastAsia="zh-CN"/>
        </w:rPr>
        <w:t xml:space="preserve">                       </w:t>
      </w:r>
    </w:p>
    <w:p>
      <w:pPr>
        <w:keepNext w:val="0"/>
        <w:keepLines w:val="0"/>
        <w:pageBreakBefore w:val="0"/>
        <w:widowControl w:val="0"/>
        <w:kinsoku/>
        <w:overflowPunct/>
        <w:topLinePunct w:val="0"/>
        <w:bidi w:val="0"/>
        <w:snapToGrid w:val="0"/>
        <w:spacing w:line="440" w:lineRule="exact"/>
        <w:ind w:firstLine="480" w:firstLineChars="200"/>
        <w:rPr>
          <w:rFonts w:hint="eastAsia" w:ascii="宋体" w:hAnsi="宋体" w:eastAsia="宋体" w:cs="宋体"/>
          <w:b/>
          <w:color w:val="auto"/>
          <w:sz w:val="24"/>
          <w:szCs w:val="24"/>
          <w:lang w:eastAsia="zh-CN"/>
        </w:rPr>
      </w:pPr>
      <w:r>
        <w:rPr>
          <w:rFonts w:hint="eastAsia" w:ascii="宋体" w:hAnsi="宋体" w:eastAsia="宋体" w:cs="宋体"/>
          <w:b w:val="0"/>
          <w:bCs/>
          <w:color w:val="auto"/>
          <w:sz w:val="24"/>
          <w:szCs w:val="24"/>
        </w:rPr>
        <w:t>账</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号：</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color w:val="auto"/>
          <w:sz w:val="24"/>
          <w:szCs w:val="24"/>
        </w:rPr>
        <w:t>账</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号：</w:t>
      </w:r>
      <w:r>
        <w:rPr>
          <w:rFonts w:hint="eastAsia" w:ascii="宋体" w:hAnsi="宋体" w:eastAsia="宋体" w:cs="宋体"/>
          <w:b w:val="0"/>
          <w:bCs/>
          <w:color w:val="auto"/>
          <w:sz w:val="24"/>
          <w:szCs w:val="24"/>
          <w:u w:val="single"/>
          <w:lang w:val="en-US" w:eastAsia="zh-CN"/>
        </w:rPr>
        <w:t xml:space="preserve">                       </w:t>
      </w:r>
    </w:p>
    <w:p>
      <w:pPr>
        <w:keepNext w:val="0"/>
        <w:keepLines w:val="0"/>
        <w:pageBreakBefore w:val="0"/>
        <w:widowControl w:val="0"/>
        <w:kinsoku/>
        <w:overflowPunct/>
        <w:topLinePunct w:val="0"/>
        <w:bidi w:val="0"/>
        <w:snapToGrid w:val="0"/>
        <w:spacing w:line="440" w:lineRule="exact"/>
        <w:ind w:firstLine="1680" w:firstLineChars="7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年　月　日　　　　</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 xml:space="preserve">         年　月　日</w:t>
      </w:r>
    </w:p>
    <w:p>
      <w:pPr>
        <w:keepNext w:val="0"/>
        <w:keepLines w:val="0"/>
        <w:pageBreakBefore w:val="0"/>
        <w:widowControl w:val="0"/>
        <w:kinsoku/>
        <w:overflowPunct/>
        <w:topLinePunct w:val="0"/>
        <w:bidi w:val="0"/>
        <w:snapToGrid w:val="0"/>
        <w:spacing w:line="440" w:lineRule="exact"/>
        <w:ind w:firstLine="482" w:firstLineChars="200"/>
        <w:rPr>
          <w:rFonts w:hint="eastAsia" w:ascii="宋体" w:hAnsi="宋体" w:eastAsia="宋体" w:cs="宋体"/>
          <w:b/>
          <w:color w:val="auto"/>
          <w:sz w:val="24"/>
          <w:szCs w:val="24"/>
        </w:rPr>
      </w:pPr>
    </w:p>
    <w:p>
      <w:pPr>
        <w:keepNext w:val="0"/>
        <w:keepLines w:val="0"/>
        <w:pageBreakBefore w:val="0"/>
        <w:widowControl w:val="0"/>
        <w:kinsoku/>
        <w:overflowPunct/>
        <w:topLinePunct w:val="0"/>
        <w:bidi w:val="0"/>
        <w:snapToGrid w:val="0"/>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注：本合同仅作示范文本，具体以双方签定的正式合同为准，合同内容不得违背本招标文件实质性要求。</w:t>
      </w:r>
    </w:p>
    <w:p>
      <w:pPr>
        <w:pStyle w:val="5"/>
        <w:keepNext w:val="0"/>
        <w:keepLines w:val="0"/>
        <w:pageBreakBefore w:val="0"/>
        <w:widowControl w:val="0"/>
        <w:kinsoku/>
        <w:overflowPunct/>
        <w:topLinePunct w:val="0"/>
        <w:bidi w:val="0"/>
        <w:spacing w:line="480" w:lineRule="exact"/>
        <w:ind w:left="0"/>
        <w:jc w:val="center"/>
        <w:outlineLvl w:val="9"/>
        <w:rPr>
          <w:rFonts w:hint="eastAsia" w:ascii="宋体" w:hAnsi="宋体" w:eastAsia="宋体" w:cs="宋体"/>
          <w:b/>
          <w:bCs/>
          <w:color w:val="auto"/>
          <w:sz w:val="36"/>
          <w:szCs w:val="72"/>
        </w:rPr>
      </w:pPr>
      <w:bookmarkStart w:id="346" w:name="_Toc6007"/>
    </w:p>
    <w:p>
      <w:pPr>
        <w:pStyle w:val="5"/>
        <w:keepNext w:val="0"/>
        <w:keepLines w:val="0"/>
        <w:pageBreakBefore w:val="0"/>
        <w:widowControl w:val="0"/>
        <w:kinsoku/>
        <w:overflowPunct/>
        <w:topLinePunct w:val="0"/>
        <w:bidi w:val="0"/>
        <w:spacing w:line="480" w:lineRule="exact"/>
        <w:ind w:left="0"/>
        <w:jc w:val="center"/>
        <w:outlineLvl w:val="9"/>
        <w:rPr>
          <w:rFonts w:hint="eastAsia" w:ascii="宋体" w:hAnsi="宋体" w:eastAsia="宋体" w:cs="宋体"/>
          <w:b/>
          <w:bCs/>
          <w:color w:val="auto"/>
          <w:sz w:val="36"/>
          <w:szCs w:val="72"/>
        </w:rPr>
      </w:pPr>
    </w:p>
    <w:p>
      <w:pPr>
        <w:pStyle w:val="5"/>
        <w:keepNext w:val="0"/>
        <w:keepLines w:val="0"/>
        <w:pageBreakBefore w:val="0"/>
        <w:widowControl w:val="0"/>
        <w:kinsoku/>
        <w:overflowPunct/>
        <w:topLinePunct w:val="0"/>
        <w:bidi w:val="0"/>
        <w:spacing w:line="480" w:lineRule="exact"/>
        <w:ind w:left="0"/>
        <w:jc w:val="center"/>
        <w:outlineLvl w:val="0"/>
        <w:rPr>
          <w:rFonts w:hint="eastAsia" w:ascii="宋体" w:hAnsi="宋体" w:eastAsia="宋体" w:cs="宋体"/>
          <w:b/>
          <w:bCs/>
          <w:color w:val="auto"/>
          <w:sz w:val="36"/>
          <w:szCs w:val="72"/>
        </w:rPr>
      </w:pPr>
      <w:bookmarkStart w:id="347" w:name="_Toc15395"/>
      <w:bookmarkStart w:id="348" w:name="_Toc19886"/>
      <w:r>
        <w:rPr>
          <w:rFonts w:hint="eastAsia" w:ascii="宋体" w:hAnsi="宋体" w:eastAsia="宋体" w:cs="宋体"/>
          <w:b/>
          <w:bCs/>
          <w:color w:val="auto"/>
          <w:sz w:val="36"/>
          <w:szCs w:val="72"/>
        </w:rPr>
        <w:t>第五章</w:t>
      </w:r>
      <w:r>
        <w:rPr>
          <w:rFonts w:hint="eastAsia" w:ascii="宋体" w:hAnsi="宋体" w:eastAsia="宋体" w:cs="宋体"/>
          <w:b/>
          <w:bCs/>
          <w:color w:val="auto"/>
          <w:sz w:val="36"/>
          <w:szCs w:val="72"/>
          <w:lang w:val="en-US" w:eastAsia="zh-CN"/>
        </w:rPr>
        <w:t xml:space="preserve">  </w:t>
      </w:r>
      <w:r>
        <w:rPr>
          <w:rFonts w:hint="eastAsia" w:ascii="宋体" w:hAnsi="宋体" w:eastAsia="宋体" w:cs="宋体"/>
          <w:b/>
          <w:bCs/>
          <w:color w:val="auto"/>
          <w:sz w:val="36"/>
          <w:szCs w:val="72"/>
        </w:rPr>
        <w:t>磋商相关文件格式</w:t>
      </w:r>
      <w:bookmarkEnd w:id="295"/>
      <w:bookmarkEnd w:id="318"/>
      <w:bookmarkEnd w:id="346"/>
      <w:bookmarkEnd w:id="347"/>
      <w:bookmarkEnd w:id="348"/>
      <w:bookmarkStart w:id="349" w:name="_Toc47756041"/>
      <w:bookmarkStart w:id="350" w:name="_Toc15813259"/>
      <w:bookmarkStart w:id="351" w:name="_Toc15805942"/>
      <w:bookmarkStart w:id="352" w:name="_Toc45506740"/>
    </w:p>
    <w:p>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bookmarkStart w:id="353" w:name="_Toc494558370"/>
      <w:bookmarkStart w:id="354" w:name="_Toc493955975"/>
    </w:p>
    <w:p>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bookmarkStart w:id="355" w:name="_Toc24057"/>
    </w:p>
    <w:p>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pPr>
        <w:pStyle w:val="6"/>
        <w:keepNext w:val="0"/>
        <w:keepLines w:val="0"/>
        <w:pageBreakBefore w:val="0"/>
        <w:widowControl w:val="0"/>
        <w:tabs>
          <w:tab w:val="left" w:pos="3405"/>
        </w:tabs>
        <w:kinsoku/>
        <w:overflowPunct/>
        <w:topLinePunct w:val="0"/>
        <w:bidi w:val="0"/>
        <w:ind w:left="0" w:firstLine="0"/>
        <w:jc w:val="center"/>
        <w:outlineLvl w:val="9"/>
        <w:rPr>
          <w:rFonts w:hint="eastAsia" w:ascii="宋体" w:hAnsi="宋体" w:eastAsia="宋体" w:cs="宋体"/>
          <w:color w:val="auto"/>
          <w:sz w:val="32"/>
        </w:rPr>
      </w:pPr>
    </w:p>
    <w:p>
      <w:pPr>
        <w:pStyle w:val="6"/>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2"/>
        </w:rPr>
      </w:pPr>
      <w:bookmarkStart w:id="356" w:name="_Toc4053"/>
      <w:bookmarkStart w:id="357" w:name="_Toc32430"/>
      <w:r>
        <w:rPr>
          <w:rFonts w:hint="eastAsia" w:ascii="宋体" w:hAnsi="宋体" w:eastAsia="宋体" w:cs="宋体"/>
          <w:b/>
          <w:bCs/>
          <w:color w:val="auto"/>
          <w:sz w:val="32"/>
        </w:rPr>
        <w:t>一  资格审查文件格式</w:t>
      </w:r>
      <w:bookmarkEnd w:id="355"/>
      <w:bookmarkEnd w:id="356"/>
      <w:bookmarkEnd w:id="357"/>
    </w:p>
    <w:p>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28"/>
          <w:szCs w:val="21"/>
        </w:rPr>
      </w:pPr>
      <w:r>
        <w:rPr>
          <w:rFonts w:hint="eastAsia" w:ascii="宋体" w:hAnsi="宋体" w:eastAsia="宋体" w:cs="宋体"/>
          <w:b/>
          <w:color w:val="auto"/>
          <w:sz w:val="28"/>
          <w:szCs w:val="21"/>
        </w:rPr>
        <w:t>注：多标项投标的，应分标项制作资格审查文件</w:t>
      </w:r>
    </w:p>
    <w:p>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b/>
          <w:color w:val="auto"/>
          <w:sz w:val="30"/>
        </w:rPr>
      </w:pPr>
    </w:p>
    <w:p>
      <w:pPr>
        <w:pStyle w:val="2"/>
        <w:rPr>
          <w:rFonts w:hint="eastAsia"/>
          <w:color w:val="auto"/>
        </w:rPr>
      </w:pPr>
    </w:p>
    <w:p>
      <w:pPr>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bidi w:val="0"/>
        <w:spacing w:line="360" w:lineRule="auto"/>
        <w:rPr>
          <w:rFonts w:hint="eastAsia" w:ascii="宋体" w:hAnsi="宋体" w:eastAsia="宋体" w:cs="宋体"/>
          <w:b/>
          <w:color w:val="auto"/>
          <w:sz w:val="30"/>
        </w:rPr>
      </w:pPr>
    </w:p>
    <w:p>
      <w:pPr>
        <w:keepNext w:val="0"/>
        <w:keepLines w:val="0"/>
        <w:pageBreakBefore w:val="0"/>
        <w:widowControl w:val="0"/>
        <w:kinsoku/>
        <w:overflowPunct/>
        <w:topLinePunct w:val="0"/>
        <w:bidi w:val="0"/>
        <w:spacing w:line="360" w:lineRule="auto"/>
        <w:rPr>
          <w:rFonts w:hint="eastAsia" w:ascii="宋体" w:hAnsi="宋体" w:eastAsia="宋体" w:cs="宋体"/>
          <w:b/>
          <w:color w:val="auto"/>
          <w:sz w:val="30"/>
        </w:rPr>
      </w:pPr>
    </w:p>
    <w:p>
      <w:pPr>
        <w:pStyle w:val="7"/>
        <w:keepNext w:val="0"/>
        <w:keepLines w:val="0"/>
        <w:pageBreakBefore w:val="0"/>
        <w:widowControl w:val="0"/>
        <w:kinsoku/>
        <w:overflowPunct/>
        <w:topLinePunct w:val="0"/>
        <w:bidi w:val="0"/>
        <w:rPr>
          <w:rFonts w:hint="eastAsia" w:ascii="宋体" w:hAnsi="宋体" w:eastAsia="宋体" w:cs="宋体"/>
          <w:b/>
          <w:color w:val="auto"/>
          <w:sz w:val="30"/>
        </w:rPr>
      </w:pPr>
    </w:p>
    <w:p>
      <w:pPr>
        <w:keepNext w:val="0"/>
        <w:keepLines w:val="0"/>
        <w:pageBreakBefore w:val="0"/>
        <w:widowControl w:val="0"/>
        <w:kinsoku/>
        <w:overflowPunct/>
        <w:topLinePunct w:val="0"/>
        <w:bidi w:val="0"/>
        <w:rPr>
          <w:rFonts w:hint="eastAsia" w:ascii="宋体" w:hAnsi="宋体" w:eastAsia="宋体" w:cs="宋体"/>
          <w:b/>
          <w:color w:val="auto"/>
          <w:sz w:val="30"/>
        </w:rPr>
      </w:pPr>
    </w:p>
    <w:p>
      <w:pPr>
        <w:pStyle w:val="7"/>
        <w:keepNext w:val="0"/>
        <w:keepLines w:val="0"/>
        <w:pageBreakBefore w:val="0"/>
        <w:widowControl w:val="0"/>
        <w:kinsoku/>
        <w:overflowPunct/>
        <w:topLinePunct w:val="0"/>
        <w:bidi w:val="0"/>
        <w:rPr>
          <w:rFonts w:hint="eastAsia" w:ascii="宋体" w:hAnsi="宋体" w:eastAsia="宋体" w:cs="宋体"/>
          <w:b/>
          <w:color w:val="auto"/>
          <w:sz w:val="30"/>
        </w:rPr>
      </w:pPr>
    </w:p>
    <w:p>
      <w:pPr>
        <w:keepNext w:val="0"/>
        <w:keepLines w:val="0"/>
        <w:pageBreakBefore w:val="0"/>
        <w:widowControl w:val="0"/>
        <w:kinsoku/>
        <w:overflowPunct/>
        <w:topLinePunct w:val="0"/>
        <w:bidi w:val="0"/>
        <w:rPr>
          <w:rFonts w:hint="eastAsia" w:ascii="宋体" w:hAnsi="宋体" w:eastAsia="宋体" w:cs="宋体"/>
          <w:b/>
          <w:color w:val="auto"/>
          <w:sz w:val="30"/>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bidi w:val="0"/>
        <w:spacing w:line="360" w:lineRule="auto"/>
        <w:outlineLvl w:val="2"/>
        <w:rPr>
          <w:rFonts w:hint="eastAsia" w:ascii="宋体" w:hAnsi="宋体" w:eastAsia="宋体" w:cs="宋体"/>
          <w:b/>
          <w:color w:val="auto"/>
          <w:sz w:val="30"/>
        </w:rPr>
      </w:pPr>
      <w:bookmarkStart w:id="358" w:name="_Toc1980"/>
      <w:r>
        <w:rPr>
          <w:rFonts w:hint="eastAsia" w:ascii="宋体" w:hAnsi="宋体" w:eastAsia="宋体" w:cs="宋体"/>
          <w:b/>
          <w:color w:val="auto"/>
          <w:sz w:val="30"/>
        </w:rPr>
        <w:t>“资格审查文件”封面格式</w:t>
      </w:r>
      <w:bookmarkEnd w:id="358"/>
    </w:p>
    <w:p>
      <w:pPr>
        <w:keepNext w:val="0"/>
        <w:keepLines w:val="0"/>
        <w:pageBreakBefore w:val="0"/>
        <w:widowControl w:val="0"/>
        <w:kinsoku/>
        <w:overflowPunct/>
        <w:topLinePunct w:val="0"/>
        <w:bidi w:val="0"/>
        <w:spacing w:before="508"/>
        <w:ind w:right="155"/>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磋商响应文件</w:t>
      </w:r>
    </w:p>
    <w:p>
      <w:pPr>
        <w:keepNext w:val="0"/>
        <w:keepLines w:val="0"/>
        <w:pageBreakBefore w:val="0"/>
        <w:widowControl w:val="0"/>
        <w:kinsoku/>
        <w:overflowPunct/>
        <w:topLinePunct w:val="0"/>
        <w:bidi w:val="0"/>
        <w:spacing w:before="151"/>
        <w:ind w:right="154"/>
        <w:jc w:val="center"/>
        <w:rPr>
          <w:rFonts w:hint="eastAsia" w:ascii="宋体" w:hAnsi="宋体" w:eastAsia="宋体" w:cs="宋体"/>
          <w:b/>
          <w:color w:val="auto"/>
          <w:sz w:val="48"/>
        </w:rPr>
      </w:pPr>
      <w:r>
        <w:rPr>
          <w:rFonts w:hint="eastAsia" w:ascii="宋体" w:hAnsi="宋体" w:eastAsia="宋体" w:cs="宋体"/>
          <w:b/>
          <w:color w:val="auto"/>
          <w:sz w:val="48"/>
        </w:rPr>
        <w:t>（资格审查文件）</w:t>
      </w:r>
    </w:p>
    <w:p>
      <w:pPr>
        <w:pStyle w:val="3"/>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rPr>
      </w:pPr>
    </w:p>
    <w:p>
      <w:pPr>
        <w:pStyle w:val="3"/>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rPr>
      </w:pPr>
    </w:p>
    <w:p>
      <w:pPr>
        <w:pStyle w:val="2"/>
        <w:keepNext w:val="0"/>
        <w:keepLines w:val="0"/>
        <w:pageBreakBefore w:val="0"/>
        <w:widowControl w:val="0"/>
        <w:kinsoku/>
        <w:overflowPunct/>
        <w:topLinePunct w:val="0"/>
        <w:bidi w:val="0"/>
        <w:ind w:firstLine="210"/>
        <w:rPr>
          <w:rFonts w:hint="eastAsia" w:ascii="宋体" w:hAnsi="宋体" w:eastAsia="宋体" w:cs="宋体"/>
          <w:color w:val="auto"/>
        </w:rPr>
      </w:pPr>
    </w:p>
    <w:p>
      <w:pPr>
        <w:pStyle w:val="3"/>
        <w:keepNext w:val="0"/>
        <w:keepLines w:val="0"/>
        <w:pageBreakBefore w:val="0"/>
        <w:widowControl w:val="0"/>
        <w:tabs>
          <w:tab w:val="left" w:pos="208"/>
        </w:tabs>
        <w:kinsoku/>
        <w:overflowPunct/>
        <w:topLinePunct w:val="0"/>
        <w:bidi w:val="0"/>
        <w:ind w:firstLine="341"/>
        <w:rPr>
          <w:rFonts w:hint="eastAsia" w:ascii="宋体" w:hAnsi="宋体" w:eastAsia="宋体" w:cs="宋体"/>
          <w:b/>
          <w:color w:val="auto"/>
          <w:sz w:val="17"/>
        </w:rPr>
      </w:pPr>
    </w:p>
    <w:tbl>
      <w:tblPr>
        <w:tblStyle w:val="35"/>
        <w:tblW w:w="8504" w:type="dxa"/>
        <w:jc w:val="center"/>
        <w:tblLayout w:type="fixed"/>
        <w:tblCellMar>
          <w:top w:w="0" w:type="dxa"/>
          <w:left w:w="0" w:type="dxa"/>
          <w:bottom w:w="0" w:type="dxa"/>
          <w:right w:w="0" w:type="dxa"/>
        </w:tblCellMar>
      </w:tblPr>
      <w:tblGrid>
        <w:gridCol w:w="8504"/>
      </w:tblGrid>
      <w:tr>
        <w:trPr>
          <w:trHeight w:val="1247" w:hRule="atLeast"/>
          <w:jc w:val="center"/>
        </w:trPr>
        <w:tc>
          <w:tcPr>
            <w:tcW w:w="8504" w:type="dxa"/>
            <w:vAlign w:val="center"/>
          </w:tcPr>
          <w:p>
            <w:pPr>
              <w:pStyle w:val="93"/>
              <w:keepNext w:val="0"/>
              <w:keepLines w:val="0"/>
              <w:pageBreakBefore w:val="0"/>
              <w:widowControl w:val="0"/>
              <w:kinsoku/>
              <w:overflowPunct/>
              <w:topLinePunct w:val="0"/>
              <w:autoSpaceDE w:val="0"/>
              <w:autoSpaceDN w:val="0"/>
              <w:bidi w:val="0"/>
              <w:spacing w:line="480" w:lineRule="auto"/>
              <w:ind w:left="200"/>
              <w:rPr>
                <w:rFonts w:hint="default" w:ascii="宋体" w:hAnsi="宋体" w:eastAsia="宋体" w:cs="宋体"/>
                <w:b/>
                <w:color w:val="auto"/>
                <w:sz w:val="28"/>
                <w:lang w:val="en-US" w:eastAsia="zh-CN"/>
              </w:rPr>
            </w:pPr>
            <w:r>
              <w:rPr>
                <w:rFonts w:hint="eastAsia" w:ascii="宋体" w:hAnsi="宋体" w:eastAsia="宋体" w:cs="宋体"/>
                <w:b/>
                <w:color w:val="auto"/>
                <w:sz w:val="28"/>
              </w:rPr>
              <w:t>项目名称：</w:t>
            </w:r>
            <w:r>
              <w:rPr>
                <w:rFonts w:hint="eastAsia" w:ascii="宋体" w:hAnsi="宋体" w:eastAsia="宋体" w:cs="宋体"/>
                <w:b/>
                <w:color w:val="auto"/>
                <w:sz w:val="28"/>
                <w:u w:val="single"/>
                <w:lang w:val="en-US" w:eastAsia="zh-CN"/>
              </w:rPr>
              <w:t xml:space="preserve">                                  </w:t>
            </w:r>
          </w:p>
        </w:tc>
      </w:tr>
      <w:tr>
        <w:tblPrEx>
          <w:tblCellMar>
            <w:top w:w="0" w:type="dxa"/>
            <w:left w:w="0" w:type="dxa"/>
            <w:bottom w:w="0" w:type="dxa"/>
            <w:right w:w="0" w:type="dxa"/>
          </w:tblCellMar>
        </w:tblPrEx>
        <w:trPr>
          <w:trHeight w:val="1247" w:hRule="atLeast"/>
          <w:jc w:val="center"/>
        </w:trPr>
        <w:tc>
          <w:tcPr>
            <w:tcW w:w="8504" w:type="dxa"/>
            <w:vAlign w:val="center"/>
          </w:tcPr>
          <w:p>
            <w:pPr>
              <w:pStyle w:val="93"/>
              <w:keepNext w:val="0"/>
              <w:keepLines w:val="0"/>
              <w:pageBreakBefore w:val="0"/>
              <w:widowControl w:val="0"/>
              <w:kinsoku/>
              <w:overflowPunct/>
              <w:topLinePunct w:val="0"/>
              <w:autoSpaceDE w:val="0"/>
              <w:autoSpaceDN w:val="0"/>
              <w:bidi w:val="0"/>
              <w:spacing w:before="161" w:line="480" w:lineRule="auto"/>
              <w:ind w:left="200"/>
              <w:rPr>
                <w:rFonts w:hint="eastAsia" w:ascii="宋体" w:hAnsi="宋体" w:eastAsia="宋体" w:cs="宋体"/>
                <w:b/>
                <w:color w:val="auto"/>
                <w:sz w:val="28"/>
              </w:rPr>
            </w:pPr>
            <w:r>
              <w:rPr>
                <w:rFonts w:hint="eastAsia" w:ascii="宋体" w:hAnsi="宋体" w:eastAsia="宋体" w:cs="宋体"/>
                <w:b/>
                <w:color w:val="auto"/>
                <w:sz w:val="28"/>
              </w:rPr>
              <w:t>项目编号：</w:t>
            </w:r>
            <w:r>
              <w:rPr>
                <w:rFonts w:hint="eastAsia" w:ascii="宋体" w:hAnsi="宋体" w:eastAsia="宋体" w:cs="宋体"/>
                <w:b/>
                <w:color w:val="auto"/>
                <w:sz w:val="28"/>
                <w:u w:val="single"/>
                <w:lang w:val="en-US" w:eastAsia="zh-CN"/>
              </w:rPr>
              <w:t xml:space="preserve">                                  </w:t>
            </w:r>
          </w:p>
        </w:tc>
      </w:tr>
      <w:tr>
        <w:tblPrEx>
          <w:tblCellMar>
            <w:top w:w="0" w:type="dxa"/>
            <w:left w:w="0" w:type="dxa"/>
            <w:bottom w:w="0" w:type="dxa"/>
            <w:right w:w="0" w:type="dxa"/>
          </w:tblCellMar>
        </w:tblPrEx>
        <w:trPr>
          <w:trHeight w:val="1247" w:hRule="atLeast"/>
          <w:jc w:val="center"/>
        </w:trPr>
        <w:tc>
          <w:tcPr>
            <w:tcW w:w="8504" w:type="dxa"/>
          </w:tcPr>
          <w:p>
            <w:pPr>
              <w:pStyle w:val="93"/>
              <w:keepNext w:val="0"/>
              <w:keepLines w:val="0"/>
              <w:pageBreakBefore w:val="0"/>
              <w:widowControl w:val="0"/>
              <w:tabs>
                <w:tab w:val="left" w:pos="8323"/>
              </w:tabs>
              <w:kinsoku/>
              <w:overflowPunct/>
              <w:topLinePunct w:val="0"/>
              <w:autoSpaceDE w:val="0"/>
              <w:autoSpaceDN w:val="0"/>
              <w:bidi w:val="0"/>
              <w:spacing w:before="160" w:line="480" w:lineRule="auto"/>
              <w:ind w:left="200"/>
              <w:rPr>
                <w:rFonts w:hint="eastAsia" w:ascii="宋体" w:hAnsi="宋体" w:eastAsia="宋体" w:cs="宋体"/>
                <w:color w:val="auto"/>
                <w:sz w:val="28"/>
              </w:rPr>
            </w:pPr>
            <w:r>
              <w:rPr>
                <w:rFonts w:hint="eastAsia" w:ascii="宋体" w:hAnsi="宋体" w:eastAsia="宋体" w:cs="宋体"/>
                <w:color w:val="auto"/>
                <w:sz w:val="28"/>
              </w:rPr>
              <w:t>磋商供</w:t>
            </w:r>
            <w:r>
              <w:rPr>
                <w:rFonts w:hint="eastAsia" w:ascii="宋体" w:hAnsi="宋体" w:eastAsia="宋体" w:cs="宋体"/>
                <w:color w:val="auto"/>
                <w:spacing w:val="-3"/>
                <w:sz w:val="28"/>
              </w:rPr>
              <w:t>应</w:t>
            </w:r>
            <w:r>
              <w:rPr>
                <w:rFonts w:hint="eastAsia" w:ascii="宋体" w:hAnsi="宋体" w:eastAsia="宋体" w:cs="宋体"/>
                <w:color w:val="auto"/>
                <w:sz w:val="28"/>
              </w:rPr>
              <w:t>商名</w:t>
            </w:r>
            <w:r>
              <w:rPr>
                <w:rFonts w:hint="eastAsia" w:ascii="宋体" w:hAnsi="宋体" w:eastAsia="宋体" w:cs="宋体"/>
                <w:color w:val="auto"/>
                <w:spacing w:val="-3"/>
                <w:sz w:val="28"/>
              </w:rPr>
              <w:t>称（CA签章）：</w:t>
            </w:r>
            <w:r>
              <w:rPr>
                <w:rFonts w:hint="eastAsia" w:ascii="宋体" w:hAnsi="宋体" w:eastAsia="宋体" w:cs="宋体"/>
                <w:b/>
                <w:color w:val="auto"/>
                <w:sz w:val="28"/>
                <w:u w:val="single"/>
                <w:lang w:val="en-US" w:eastAsia="zh-CN"/>
              </w:rPr>
              <w:t xml:space="preserve">                           </w:t>
            </w:r>
          </w:p>
        </w:tc>
      </w:tr>
      <w:tr>
        <w:tblPrEx>
          <w:tblCellMar>
            <w:top w:w="0" w:type="dxa"/>
            <w:left w:w="0" w:type="dxa"/>
            <w:bottom w:w="0" w:type="dxa"/>
            <w:right w:w="0" w:type="dxa"/>
          </w:tblCellMar>
        </w:tblPrEx>
        <w:trPr>
          <w:trHeight w:val="1247" w:hRule="atLeast"/>
          <w:jc w:val="center"/>
        </w:trPr>
        <w:tc>
          <w:tcPr>
            <w:tcW w:w="8504" w:type="dxa"/>
          </w:tcPr>
          <w:p>
            <w:pPr>
              <w:pStyle w:val="93"/>
              <w:keepNext w:val="0"/>
              <w:keepLines w:val="0"/>
              <w:pageBreakBefore w:val="0"/>
              <w:widowControl w:val="0"/>
              <w:tabs>
                <w:tab w:val="left" w:pos="8168"/>
              </w:tabs>
              <w:kinsoku/>
              <w:overflowPunct/>
              <w:topLinePunct w:val="0"/>
              <w:autoSpaceDE w:val="0"/>
              <w:autoSpaceDN w:val="0"/>
              <w:bidi w:val="0"/>
              <w:spacing w:before="161" w:line="480" w:lineRule="auto"/>
              <w:ind w:left="200"/>
              <w:rPr>
                <w:rFonts w:hint="default" w:ascii="宋体" w:hAnsi="宋体" w:eastAsia="宋体" w:cs="宋体"/>
                <w:color w:val="auto"/>
                <w:sz w:val="22"/>
                <w:lang w:val="en-US" w:eastAsia="en-US"/>
              </w:rPr>
            </w:pPr>
            <w:r>
              <w:rPr>
                <w:rFonts w:hint="eastAsia" w:ascii="宋体" w:hAnsi="宋体" w:eastAsia="宋体" w:cs="宋体"/>
                <w:color w:val="auto"/>
                <w:sz w:val="28"/>
                <w:lang w:eastAsia="en-US"/>
              </w:rPr>
              <w:t>磋商供</w:t>
            </w:r>
            <w:r>
              <w:rPr>
                <w:rFonts w:hint="eastAsia" w:ascii="宋体" w:hAnsi="宋体" w:eastAsia="宋体" w:cs="宋体"/>
                <w:color w:val="auto"/>
                <w:spacing w:val="-3"/>
                <w:sz w:val="28"/>
                <w:lang w:eastAsia="en-US"/>
              </w:rPr>
              <w:t>应</w:t>
            </w:r>
            <w:r>
              <w:rPr>
                <w:rFonts w:hint="eastAsia" w:ascii="宋体" w:hAnsi="宋体" w:eastAsia="宋体" w:cs="宋体"/>
                <w:color w:val="auto"/>
                <w:sz w:val="28"/>
                <w:lang w:eastAsia="en-US"/>
              </w:rPr>
              <w:t>商地</w:t>
            </w:r>
            <w:r>
              <w:rPr>
                <w:rFonts w:hint="eastAsia" w:ascii="宋体" w:hAnsi="宋体" w:eastAsia="宋体" w:cs="宋体"/>
                <w:color w:val="auto"/>
                <w:spacing w:val="-3"/>
                <w:sz w:val="28"/>
                <w:lang w:eastAsia="en-US"/>
              </w:rPr>
              <w:t>址</w:t>
            </w:r>
            <w:r>
              <w:rPr>
                <w:rFonts w:hint="eastAsia" w:ascii="宋体" w:hAnsi="宋体" w:eastAsia="宋体" w:cs="宋体"/>
                <w:color w:val="auto"/>
                <w:spacing w:val="3"/>
                <w:sz w:val="28"/>
                <w:lang w:eastAsia="en-US"/>
              </w:rPr>
              <w:t>：</w:t>
            </w:r>
            <w:r>
              <w:rPr>
                <w:rFonts w:hint="eastAsia" w:ascii="宋体" w:hAnsi="宋体" w:eastAsia="宋体" w:cs="宋体"/>
                <w:b/>
                <w:color w:val="auto"/>
                <w:sz w:val="28"/>
                <w:u w:val="single"/>
                <w:lang w:val="en-US" w:eastAsia="zh-CN"/>
              </w:rPr>
              <w:t xml:space="preserve">                                    </w:t>
            </w:r>
          </w:p>
        </w:tc>
      </w:tr>
      <w:tr>
        <w:tblPrEx>
          <w:tblCellMar>
            <w:top w:w="0" w:type="dxa"/>
            <w:left w:w="0" w:type="dxa"/>
            <w:bottom w:w="0" w:type="dxa"/>
            <w:right w:w="0" w:type="dxa"/>
          </w:tblCellMar>
        </w:tblPrEx>
        <w:trPr>
          <w:trHeight w:val="1247" w:hRule="atLeast"/>
          <w:jc w:val="center"/>
        </w:trPr>
        <w:tc>
          <w:tcPr>
            <w:tcW w:w="8504" w:type="dxa"/>
          </w:tcPr>
          <w:p>
            <w:pPr>
              <w:pStyle w:val="93"/>
              <w:keepNext w:val="0"/>
              <w:keepLines w:val="0"/>
              <w:pageBreakBefore w:val="0"/>
              <w:widowControl w:val="0"/>
              <w:tabs>
                <w:tab w:val="left" w:pos="8221"/>
              </w:tabs>
              <w:kinsoku/>
              <w:overflowPunct/>
              <w:topLinePunct w:val="0"/>
              <w:autoSpaceDE w:val="0"/>
              <w:autoSpaceDN w:val="0"/>
              <w:bidi w:val="0"/>
              <w:spacing w:before="161" w:line="480" w:lineRule="auto"/>
              <w:ind w:left="200"/>
              <w:rPr>
                <w:rFonts w:hint="eastAsia" w:ascii="宋体" w:hAnsi="宋体" w:eastAsia="宋体" w:cs="宋体"/>
                <w:color w:val="auto"/>
                <w:sz w:val="28"/>
              </w:rPr>
            </w:pPr>
            <w:r>
              <w:rPr>
                <w:rFonts w:hint="eastAsia" w:ascii="宋体" w:hAnsi="宋体" w:eastAsia="宋体" w:cs="宋体"/>
                <w:color w:val="auto"/>
                <w:spacing w:val="-1"/>
                <w:sz w:val="28"/>
              </w:rPr>
              <w:t>磋</w:t>
            </w:r>
            <w:r>
              <w:rPr>
                <w:rFonts w:hint="eastAsia" w:ascii="宋体" w:hAnsi="宋体" w:eastAsia="宋体" w:cs="宋体"/>
                <w:color w:val="auto"/>
                <w:sz w:val="28"/>
              </w:rPr>
              <w:t>商供</w:t>
            </w:r>
            <w:r>
              <w:rPr>
                <w:rFonts w:hint="eastAsia" w:ascii="宋体" w:hAnsi="宋体" w:eastAsia="宋体" w:cs="宋体"/>
                <w:color w:val="auto"/>
                <w:spacing w:val="-3"/>
                <w:sz w:val="28"/>
              </w:rPr>
              <w:t>应</w:t>
            </w:r>
            <w:r>
              <w:rPr>
                <w:rFonts w:hint="eastAsia" w:ascii="宋体" w:hAnsi="宋体" w:eastAsia="宋体" w:cs="宋体"/>
                <w:color w:val="auto"/>
                <w:sz w:val="28"/>
              </w:rPr>
              <w:t>商联</w:t>
            </w:r>
            <w:r>
              <w:rPr>
                <w:rFonts w:hint="eastAsia" w:ascii="宋体" w:hAnsi="宋体" w:eastAsia="宋体" w:cs="宋体"/>
                <w:color w:val="auto"/>
                <w:spacing w:val="-3"/>
                <w:sz w:val="28"/>
              </w:rPr>
              <w:t>系电</w:t>
            </w:r>
            <w:r>
              <w:rPr>
                <w:rFonts w:hint="eastAsia" w:ascii="宋体" w:hAnsi="宋体" w:eastAsia="宋体" w:cs="宋体"/>
                <w:color w:val="auto"/>
                <w:sz w:val="28"/>
              </w:rPr>
              <w:t>话：</w:t>
            </w:r>
            <w:r>
              <w:rPr>
                <w:rFonts w:hint="eastAsia" w:ascii="宋体" w:hAnsi="宋体" w:eastAsia="宋体" w:cs="宋体"/>
                <w:b/>
                <w:color w:val="auto"/>
                <w:sz w:val="28"/>
                <w:u w:val="single"/>
                <w:lang w:val="en-US" w:eastAsia="zh-CN"/>
              </w:rPr>
              <w:t xml:space="preserve">                                </w:t>
            </w:r>
          </w:p>
        </w:tc>
      </w:tr>
      <w:tr>
        <w:tblPrEx>
          <w:tblCellMar>
            <w:top w:w="0" w:type="dxa"/>
            <w:left w:w="0" w:type="dxa"/>
            <w:bottom w:w="0" w:type="dxa"/>
            <w:right w:w="0" w:type="dxa"/>
          </w:tblCellMar>
        </w:tblPrEx>
        <w:trPr>
          <w:trHeight w:val="1247" w:hRule="atLeast"/>
          <w:jc w:val="center"/>
        </w:trPr>
        <w:tc>
          <w:tcPr>
            <w:tcW w:w="8504" w:type="dxa"/>
          </w:tcPr>
          <w:p>
            <w:pPr>
              <w:pStyle w:val="93"/>
              <w:keepNext w:val="0"/>
              <w:keepLines w:val="0"/>
              <w:pageBreakBefore w:val="0"/>
              <w:widowControl w:val="0"/>
              <w:tabs>
                <w:tab w:val="left" w:pos="8150"/>
              </w:tabs>
              <w:kinsoku/>
              <w:overflowPunct/>
              <w:topLinePunct w:val="0"/>
              <w:autoSpaceDE w:val="0"/>
              <w:autoSpaceDN w:val="0"/>
              <w:bidi w:val="0"/>
              <w:spacing w:before="160" w:line="480" w:lineRule="auto"/>
              <w:ind w:left="200"/>
              <w:rPr>
                <w:rFonts w:hint="default" w:ascii="宋体" w:hAnsi="宋体" w:eastAsia="宋体" w:cs="宋体"/>
                <w:color w:val="auto"/>
                <w:sz w:val="22"/>
                <w:lang w:val="en-US"/>
              </w:rPr>
            </w:pPr>
            <w:r>
              <w:rPr>
                <w:rFonts w:hint="eastAsia" w:ascii="宋体" w:hAnsi="宋体" w:eastAsia="宋体" w:cs="宋体"/>
                <w:color w:val="auto"/>
                <w:sz w:val="28"/>
                <w:lang w:eastAsia="en-US"/>
              </w:rPr>
              <w:t>日期：</w:t>
            </w:r>
            <w:r>
              <w:rPr>
                <w:rFonts w:hint="eastAsia" w:ascii="宋体" w:hAnsi="宋体" w:eastAsia="宋体" w:cs="宋体"/>
                <w:b/>
                <w:color w:val="auto"/>
                <w:sz w:val="28"/>
                <w:u w:val="single"/>
                <w:lang w:val="en-US" w:eastAsia="zh-CN"/>
              </w:rPr>
              <w:t xml:space="preserve">                                            </w:t>
            </w:r>
          </w:p>
        </w:tc>
      </w:tr>
      <w:bookmarkEnd w:id="353"/>
      <w:bookmarkEnd w:id="354"/>
    </w:tbl>
    <w:p>
      <w:pPr>
        <w:pStyle w:val="6"/>
        <w:keepNext w:val="0"/>
        <w:keepLines w:val="0"/>
        <w:pageBreakBefore w:val="0"/>
        <w:widowControl w:val="0"/>
        <w:kinsoku/>
        <w:overflowPunct/>
        <w:topLinePunct w:val="0"/>
        <w:bidi w:val="0"/>
        <w:ind w:left="0" w:firstLine="0"/>
        <w:jc w:val="center"/>
        <w:outlineLvl w:val="1"/>
        <w:rPr>
          <w:rFonts w:hint="eastAsia" w:ascii="宋体" w:hAnsi="宋体" w:eastAsia="宋体" w:cs="宋体"/>
          <w:b/>
          <w:bCs/>
          <w:color w:val="auto"/>
          <w:sz w:val="28"/>
          <w:szCs w:val="28"/>
        </w:rPr>
      </w:pPr>
      <w:r>
        <w:rPr>
          <w:rFonts w:hint="eastAsia" w:ascii="宋体" w:hAnsi="宋体" w:eastAsia="宋体" w:cs="宋体"/>
          <w:b/>
          <w:color w:val="auto"/>
          <w:sz w:val="32"/>
        </w:rPr>
        <w:br w:type="page"/>
      </w:r>
      <w:bookmarkStart w:id="359" w:name="_Toc29191"/>
      <w:bookmarkStart w:id="360" w:name="_Toc980"/>
      <w:bookmarkStart w:id="361" w:name="_Toc4551"/>
      <w:r>
        <w:rPr>
          <w:rFonts w:hint="eastAsia" w:ascii="宋体" w:hAnsi="宋体" w:eastAsia="宋体" w:cs="宋体"/>
          <w:b/>
          <w:bCs/>
          <w:color w:val="auto"/>
          <w:sz w:val="28"/>
          <w:szCs w:val="28"/>
        </w:rPr>
        <w:t>1、公司有效营业执照复印件</w:t>
      </w:r>
      <w:bookmarkEnd w:id="359"/>
      <w:bookmarkEnd w:id="360"/>
      <w:bookmarkEnd w:id="361"/>
    </w:p>
    <w:p>
      <w:pPr>
        <w:keepNext w:val="0"/>
        <w:keepLines w:val="0"/>
        <w:pageBreakBefore w:val="0"/>
        <w:widowControl w:val="0"/>
        <w:kinsoku/>
        <w:overflowPunct/>
        <w:topLinePunct w:val="0"/>
        <w:bidi w:val="0"/>
        <w:snapToGrid w:val="0"/>
        <w:spacing w:line="360" w:lineRule="auto"/>
        <w:jc w:val="left"/>
        <w:rPr>
          <w:rFonts w:hint="eastAsia" w:ascii="宋体" w:hAnsi="宋体" w:eastAsia="宋体" w:cs="宋体"/>
          <w:color w:val="auto"/>
          <w:sz w:val="22"/>
        </w:rPr>
      </w:pPr>
    </w:p>
    <w:p>
      <w:pPr>
        <w:keepNext w:val="0"/>
        <w:keepLines w:val="0"/>
        <w:pageBreakBefore w:val="0"/>
        <w:widowControl w:val="0"/>
        <w:kinsoku/>
        <w:overflowPunct/>
        <w:topLinePunct w:val="0"/>
        <w:bidi w:val="0"/>
        <w:snapToGrid w:val="0"/>
        <w:spacing w:line="360" w:lineRule="auto"/>
        <w:jc w:val="left"/>
        <w:rPr>
          <w:rFonts w:hint="eastAsia" w:ascii="宋体" w:hAnsi="宋体" w:eastAsia="宋体" w:cs="宋体"/>
          <w:color w:val="auto"/>
          <w:sz w:val="22"/>
        </w:rPr>
      </w:pPr>
    </w:p>
    <w:p>
      <w:pPr>
        <w:keepNext w:val="0"/>
        <w:keepLines w:val="0"/>
        <w:pageBreakBefore w:val="0"/>
        <w:widowControl w:val="0"/>
        <w:kinsoku/>
        <w:overflowPunct/>
        <w:topLinePunct w:val="0"/>
        <w:bidi w:val="0"/>
        <w:snapToGri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要求：</w:t>
      </w:r>
    </w:p>
    <w:p>
      <w:pPr>
        <w:keepNext w:val="0"/>
        <w:keepLines w:val="0"/>
        <w:pageBreakBefore w:val="0"/>
        <w:widowControl w:val="0"/>
        <w:kinsoku/>
        <w:overflowPunct/>
        <w:topLinePunct w:val="0"/>
        <w:bidi w:val="0"/>
        <w:snapToGrid w:val="0"/>
        <w:spacing w:line="360" w:lineRule="auto"/>
        <w:jc w:val="left"/>
        <w:outlineLvl w:val="1"/>
        <w:rPr>
          <w:rFonts w:hint="eastAsia" w:ascii="宋体" w:hAnsi="宋体" w:eastAsia="宋体" w:cs="宋体"/>
          <w:color w:val="auto"/>
          <w:sz w:val="24"/>
          <w:szCs w:val="24"/>
        </w:rPr>
      </w:pPr>
      <w:bookmarkStart w:id="362" w:name="_Toc751"/>
      <w:bookmarkStart w:id="363" w:name="_Toc14964"/>
      <w:r>
        <w:rPr>
          <w:rFonts w:hint="eastAsia" w:ascii="宋体" w:hAnsi="宋体" w:eastAsia="宋体" w:cs="宋体"/>
          <w:color w:val="auto"/>
          <w:sz w:val="24"/>
          <w:szCs w:val="24"/>
        </w:rPr>
        <w:t>1.提供有效的营业执照原件扫描件；</w:t>
      </w:r>
      <w:bookmarkEnd w:id="362"/>
      <w:bookmarkEnd w:id="363"/>
    </w:p>
    <w:p>
      <w:pPr>
        <w:keepNext w:val="0"/>
        <w:keepLines w:val="0"/>
        <w:pageBreakBefore w:val="0"/>
        <w:widowControl w:val="0"/>
        <w:kinsoku/>
        <w:overflowPunct/>
        <w:topLinePunct w:val="0"/>
        <w:bidi w:val="0"/>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注：扫描件须加盖公章确认</w:t>
      </w:r>
    </w:p>
    <w:p>
      <w:pPr>
        <w:keepNext w:val="0"/>
        <w:keepLines w:val="0"/>
        <w:pageBreakBefore w:val="0"/>
        <w:widowControl w:val="0"/>
        <w:kinsoku/>
        <w:overflowPunct/>
        <w:topLinePunct w:val="0"/>
        <w:bidi w:val="0"/>
        <w:spacing w:line="360" w:lineRule="auto"/>
        <w:rPr>
          <w:rFonts w:hint="eastAsia" w:ascii="宋体" w:hAnsi="宋体" w:eastAsia="宋体" w:cs="宋体"/>
          <w:color w:val="auto"/>
          <w:sz w:val="24"/>
        </w:rPr>
      </w:pPr>
    </w:p>
    <w:p>
      <w:pPr>
        <w:pStyle w:val="19"/>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pPr>
        <w:pStyle w:val="19"/>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pPr>
        <w:pStyle w:val="19"/>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pPr>
        <w:pStyle w:val="19"/>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pPr>
        <w:pStyle w:val="20"/>
        <w:keepNext w:val="0"/>
        <w:keepLines w:val="0"/>
        <w:pageBreakBefore w:val="0"/>
        <w:widowControl w:val="0"/>
        <w:kinsoku/>
        <w:overflowPunct/>
        <w:topLinePunct w:val="0"/>
        <w:bidi w:val="0"/>
        <w:rPr>
          <w:rFonts w:hint="eastAsia" w:ascii="宋体" w:hAnsi="宋体" w:eastAsia="宋体" w:cs="宋体"/>
          <w:color w:val="auto"/>
        </w:rPr>
      </w:pPr>
    </w:p>
    <w:p>
      <w:pPr>
        <w:pStyle w:val="19"/>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pPr>
        <w:pStyle w:val="19"/>
        <w:keepNext w:val="0"/>
        <w:keepLines w:val="0"/>
        <w:pageBreakBefore w:val="0"/>
        <w:widowControl w:val="0"/>
        <w:kinsoku/>
        <w:overflowPunct/>
        <w:topLinePunct w:val="0"/>
        <w:bidi w:val="0"/>
        <w:spacing w:line="360" w:lineRule="auto"/>
        <w:ind w:left="0" w:leftChars="0" w:firstLine="0" w:firstLineChars="0"/>
        <w:jc w:val="both"/>
        <w:rPr>
          <w:rFonts w:hint="default" w:ascii="宋体" w:hAnsi="宋体" w:eastAsia="宋体" w:cs="宋体"/>
          <w:b/>
          <w:color w:val="auto"/>
          <w:sz w:val="28"/>
          <w:szCs w:val="18"/>
          <w:lang w:val="en-US" w:eastAsia="zh-CN"/>
        </w:rPr>
      </w:pPr>
      <w:r>
        <w:rPr>
          <w:rFonts w:hint="eastAsia" w:ascii="宋体" w:hAnsi="宋体" w:eastAsia="宋体" w:cs="宋体"/>
          <w:b/>
          <w:color w:val="auto"/>
          <w:sz w:val="28"/>
          <w:szCs w:val="18"/>
        </w:rPr>
        <w:t>2、供应商须具有有效的省级及以上质量技术监督部门实验室资质认定（含有食品检测）、并取得食品检验检测机构资质认定证书和计量认证证书</w:t>
      </w:r>
      <w:r>
        <w:rPr>
          <w:rFonts w:hint="eastAsia" w:ascii="宋体" w:hAnsi="宋体" w:eastAsia="宋体" w:cs="宋体"/>
          <w:b/>
          <w:color w:val="auto"/>
          <w:sz w:val="28"/>
          <w:szCs w:val="18"/>
          <w:lang w:eastAsia="zh-CN"/>
        </w:rPr>
        <w:t>扫描件（需加盖公章）</w:t>
      </w:r>
    </w:p>
    <w:p>
      <w:pPr>
        <w:pStyle w:val="19"/>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pPr>
        <w:pStyle w:val="19"/>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pPr>
        <w:pStyle w:val="19"/>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pPr>
        <w:pStyle w:val="19"/>
        <w:keepNext w:val="0"/>
        <w:keepLines w:val="0"/>
        <w:pageBreakBefore w:val="0"/>
        <w:widowControl w:val="0"/>
        <w:kinsoku/>
        <w:overflowPunct/>
        <w:topLinePunct w:val="0"/>
        <w:bidi w:val="0"/>
        <w:spacing w:line="360" w:lineRule="auto"/>
        <w:ind w:firstLine="3373" w:firstLineChars="1050"/>
        <w:rPr>
          <w:rFonts w:hint="eastAsia" w:ascii="宋体" w:hAnsi="宋体" w:eastAsia="宋体" w:cs="宋体"/>
          <w:b/>
          <w:color w:val="auto"/>
          <w:sz w:val="32"/>
        </w:rPr>
      </w:pPr>
    </w:p>
    <w:p>
      <w:pPr>
        <w:pStyle w:val="19"/>
        <w:keepNext w:val="0"/>
        <w:keepLines w:val="0"/>
        <w:pageBreakBefore w:val="0"/>
        <w:widowControl w:val="0"/>
        <w:kinsoku/>
        <w:overflowPunct/>
        <w:topLinePunct w:val="0"/>
        <w:bidi w:val="0"/>
        <w:spacing w:line="360" w:lineRule="auto"/>
        <w:ind w:left="0"/>
        <w:jc w:val="center"/>
        <w:outlineLvl w:val="1"/>
        <w:rPr>
          <w:rFonts w:hint="eastAsia" w:ascii="宋体" w:hAnsi="宋体" w:eastAsia="宋体" w:cs="宋体"/>
          <w:b/>
          <w:color w:val="auto"/>
          <w:sz w:val="32"/>
        </w:rPr>
      </w:pPr>
      <w:r>
        <w:rPr>
          <w:rFonts w:hint="eastAsia" w:ascii="宋体" w:hAnsi="宋体" w:eastAsia="宋体" w:cs="宋体"/>
          <w:b/>
          <w:color w:val="auto"/>
          <w:sz w:val="32"/>
        </w:rPr>
        <w:br w:type="page"/>
      </w:r>
      <w:bookmarkStart w:id="364" w:name="_Toc27097"/>
      <w:bookmarkStart w:id="365" w:name="_Toc912"/>
      <w:r>
        <w:rPr>
          <w:rFonts w:hint="eastAsia" w:ascii="宋体" w:hAnsi="宋体" w:eastAsia="宋体" w:cs="宋体"/>
          <w:b/>
          <w:color w:val="auto"/>
          <w:sz w:val="32"/>
          <w:lang w:val="en-US" w:eastAsia="zh-CN"/>
        </w:rPr>
        <w:t>3</w:t>
      </w:r>
      <w:r>
        <w:rPr>
          <w:rFonts w:hint="eastAsia" w:ascii="宋体" w:hAnsi="宋体" w:eastAsia="宋体" w:cs="宋体"/>
          <w:b/>
          <w:color w:val="auto"/>
          <w:sz w:val="32"/>
        </w:rPr>
        <w:t>、授权委托书</w:t>
      </w:r>
      <w:bookmarkEnd w:id="364"/>
      <w:bookmarkEnd w:id="365"/>
    </w:p>
    <w:p>
      <w:pPr>
        <w:pStyle w:val="74"/>
        <w:keepNext w:val="0"/>
        <w:keepLines w:val="0"/>
        <w:pageBreakBefore w:val="0"/>
        <w:widowControl w:val="0"/>
        <w:kinsoku/>
        <w:overflowPunct/>
        <w:topLinePunct w:val="0"/>
        <w:bidi w:val="0"/>
        <w:spacing w:line="44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（代理机构名称） </w:t>
      </w:r>
      <w:r>
        <w:rPr>
          <w:rFonts w:hint="eastAsia" w:ascii="宋体" w:hAnsi="宋体" w:eastAsia="宋体" w:cs="宋体"/>
          <w:color w:val="auto"/>
          <w:sz w:val="24"/>
        </w:rPr>
        <w:t>：</w:t>
      </w:r>
    </w:p>
    <w:p>
      <w:pPr>
        <w:pStyle w:val="74"/>
        <w:keepNext w:val="0"/>
        <w:keepLines w:val="0"/>
        <w:pageBreakBefore w:val="0"/>
        <w:widowControl w:val="0"/>
        <w:kinsoku/>
        <w:overflowPunct/>
        <w:topLinePunct w:val="0"/>
        <w:bidi w:val="0"/>
        <w:spacing w:line="4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我</w:t>
      </w:r>
      <w:r>
        <w:rPr>
          <w:rFonts w:hint="eastAsia" w:ascii="宋体" w:hAnsi="宋体" w:eastAsia="宋体" w:cs="宋体"/>
          <w:color w:val="auto"/>
          <w:sz w:val="24"/>
          <w:u w:val="single"/>
        </w:rPr>
        <w:t xml:space="preserve">              （</w:t>
      </w:r>
      <w:r>
        <w:rPr>
          <w:rFonts w:hint="eastAsia" w:ascii="宋体" w:hAnsi="宋体" w:eastAsia="宋体" w:cs="宋体"/>
          <w:color w:val="auto"/>
          <w:sz w:val="24"/>
        </w:rPr>
        <w:t>负责人姓名）系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（供应商全称）的负责人，现授权委托</w:t>
      </w:r>
      <w:r>
        <w:rPr>
          <w:rFonts w:hint="eastAsia" w:ascii="宋体" w:hAnsi="宋体" w:eastAsia="宋体" w:cs="宋体"/>
          <w:b/>
          <w:color w:val="auto"/>
          <w:sz w:val="24"/>
        </w:rPr>
        <w:t>本单位在职职工</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（姓名）以我方的名义参加就贵方组织的</w:t>
      </w:r>
      <w:r>
        <w:rPr>
          <w:rFonts w:hint="eastAsia" w:ascii="宋体" w:hAnsi="宋体" w:eastAsia="宋体" w:cs="宋体"/>
          <w:color w:val="auto"/>
          <w:sz w:val="24"/>
          <w:u w:val="single"/>
        </w:rPr>
        <w:t xml:space="preserve">          （采购项目名称）</w:t>
      </w:r>
      <w:r>
        <w:rPr>
          <w:rFonts w:hint="eastAsia" w:ascii="宋体" w:hAnsi="宋体" w:eastAsia="宋体" w:cs="宋体"/>
          <w:color w:val="auto"/>
          <w:sz w:val="24"/>
        </w:rPr>
        <w:t>（采购编号：</w:t>
      </w:r>
      <w:r>
        <w:rPr>
          <w:rFonts w:hint="eastAsia" w:ascii="宋体" w:hAnsi="宋体" w:eastAsia="宋体" w:cs="宋体"/>
          <w:color w:val="auto"/>
          <w:sz w:val="24"/>
          <w:u w:val="single"/>
        </w:rPr>
        <w:t>　　　　</w:t>
      </w:r>
      <w:r>
        <w:rPr>
          <w:rFonts w:hint="eastAsia" w:ascii="宋体" w:hAnsi="宋体" w:eastAsia="宋体" w:cs="宋体"/>
          <w:color w:val="auto"/>
          <w:sz w:val="24"/>
        </w:rPr>
        <w:t>）项目的磋商活动，并代表我方全权办理针对上述项目的磋商、开标、评审、签约等具体事务和签署相关文件。</w:t>
      </w:r>
    </w:p>
    <w:p>
      <w:pPr>
        <w:pStyle w:val="74"/>
        <w:keepNext w:val="0"/>
        <w:keepLines w:val="0"/>
        <w:pageBreakBefore w:val="0"/>
        <w:widowControl w:val="0"/>
        <w:kinsoku/>
        <w:overflowPunct/>
        <w:topLinePunct w:val="0"/>
        <w:autoSpaceDE w:val="0"/>
        <w:autoSpaceDN w:val="0"/>
        <w:bidi w:val="0"/>
        <w:spacing w:line="440" w:lineRule="exact"/>
        <w:textAlignment w:val="bottom"/>
        <w:rPr>
          <w:rFonts w:hint="eastAsia" w:ascii="宋体" w:hAnsi="宋体" w:eastAsia="宋体" w:cs="宋体"/>
          <w:color w:val="auto"/>
          <w:sz w:val="24"/>
        </w:rPr>
      </w:pPr>
      <w:r>
        <w:rPr>
          <w:rFonts w:hint="eastAsia" w:ascii="宋体" w:hAnsi="宋体" w:eastAsia="宋体" w:cs="宋体"/>
          <w:color w:val="auto"/>
          <w:sz w:val="24"/>
        </w:rPr>
        <w:t xml:space="preserve">    我方对委托代理人的签字或盖章事项负全部责任。</w:t>
      </w:r>
    </w:p>
    <w:p>
      <w:pPr>
        <w:pStyle w:val="74"/>
        <w:keepNext w:val="0"/>
        <w:keepLines w:val="0"/>
        <w:pageBreakBefore w:val="0"/>
        <w:widowControl w:val="0"/>
        <w:kinsoku/>
        <w:overflowPunct/>
        <w:topLinePunct w:val="0"/>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本授权书自签署之日起生效，在撤销授权的书面通知送达贵方以前，本授权委托书一直有效。委托代理人在授权书有效期内签署的所有文件不因授权的撤销而失效。</w:t>
      </w:r>
    </w:p>
    <w:p>
      <w:pPr>
        <w:pStyle w:val="74"/>
        <w:keepNext w:val="0"/>
        <w:keepLines w:val="0"/>
        <w:pageBreakBefore w:val="0"/>
        <w:widowControl w:val="0"/>
        <w:kinsoku/>
        <w:overflowPunct/>
        <w:topLinePunct w:val="0"/>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委托代理人无转委托权，特此声明。</w:t>
      </w:r>
    </w:p>
    <w:p>
      <w:pPr>
        <w:pStyle w:val="74"/>
        <w:keepNext w:val="0"/>
        <w:keepLines w:val="0"/>
        <w:pageBreakBefore w:val="0"/>
        <w:widowControl w:val="0"/>
        <w:kinsoku/>
        <w:overflowPunct/>
        <w:topLinePunct w:val="0"/>
        <w:bidi w:val="0"/>
        <w:spacing w:line="440" w:lineRule="exact"/>
        <w:ind w:firstLine="480"/>
        <w:rPr>
          <w:rFonts w:hint="eastAsia" w:ascii="宋体" w:hAnsi="宋体" w:eastAsia="宋体" w:cs="宋体"/>
          <w:color w:val="auto"/>
          <w:sz w:val="24"/>
        </w:rPr>
      </w:pPr>
    </w:p>
    <w:p>
      <w:pPr>
        <w:pStyle w:val="74"/>
        <w:keepNext w:val="0"/>
        <w:keepLines w:val="0"/>
        <w:pageBreakBefore w:val="0"/>
        <w:widowControl w:val="0"/>
        <w:kinsoku/>
        <w:overflowPunct/>
        <w:topLinePunct w:val="0"/>
        <w:bidi w:val="0"/>
        <w:spacing w:line="440" w:lineRule="exact"/>
        <w:ind w:firstLine="3840" w:firstLineChars="1600"/>
        <w:rPr>
          <w:rFonts w:hint="eastAsia" w:ascii="宋体" w:hAnsi="宋体" w:eastAsia="宋体" w:cs="宋体"/>
          <w:b/>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w:t>
      </w:r>
    </w:p>
    <w:p>
      <w:pPr>
        <w:pStyle w:val="74"/>
        <w:keepNext w:val="0"/>
        <w:keepLines w:val="0"/>
        <w:pageBreakBefore w:val="0"/>
        <w:widowControl w:val="0"/>
        <w:kinsoku/>
        <w:overflowPunct/>
        <w:topLinePunct w:val="0"/>
        <w:bidi w:val="0"/>
        <w:spacing w:line="440" w:lineRule="exact"/>
        <w:ind w:firstLine="3855" w:firstLineChars="1600"/>
        <w:rPr>
          <w:rFonts w:hint="eastAsia" w:ascii="宋体" w:hAnsi="宋体" w:eastAsia="宋体" w:cs="宋体"/>
          <w:b/>
          <w:color w:val="auto"/>
          <w:sz w:val="24"/>
        </w:rPr>
      </w:pPr>
    </w:p>
    <w:p>
      <w:pPr>
        <w:pStyle w:val="74"/>
        <w:keepNext w:val="0"/>
        <w:keepLines w:val="0"/>
        <w:pageBreakBefore w:val="0"/>
        <w:widowControl w:val="0"/>
        <w:kinsoku/>
        <w:overflowPunct/>
        <w:topLinePunct w:val="0"/>
        <w:bidi w:val="0"/>
        <w:spacing w:line="440" w:lineRule="exact"/>
        <w:ind w:firstLine="4495" w:firstLineChars="1600"/>
        <w:rPr>
          <w:rFonts w:hint="eastAsia" w:ascii="宋体" w:hAnsi="宋体" w:eastAsia="宋体" w:cs="宋体"/>
          <w:color w:val="auto"/>
          <w:spacing w:val="20"/>
          <w:sz w:val="24"/>
        </w:rPr>
      </w:pPr>
      <w:r>
        <w:rPr>
          <w:rFonts w:hint="eastAsia" w:ascii="宋体" w:hAnsi="宋体" w:eastAsia="宋体" w:cs="宋体"/>
          <w:b/>
          <w:color w:val="auto"/>
          <w:spacing w:val="20"/>
          <w:sz w:val="24"/>
        </w:rPr>
        <w:t>负责人</w:t>
      </w:r>
      <w:r>
        <w:rPr>
          <w:rFonts w:hint="eastAsia" w:ascii="宋体" w:hAnsi="宋体" w:eastAsia="宋体" w:cs="宋体"/>
          <w:color w:val="auto"/>
          <w:spacing w:val="20"/>
          <w:sz w:val="24"/>
        </w:rPr>
        <w:t>签字或盖章：</w:t>
      </w:r>
      <w:r>
        <w:rPr>
          <w:rFonts w:hint="eastAsia" w:ascii="宋体" w:hAnsi="宋体" w:eastAsia="宋体" w:cs="宋体"/>
          <w:color w:val="auto"/>
          <w:spacing w:val="20"/>
          <w:sz w:val="24"/>
          <w:u w:val="single"/>
        </w:rPr>
        <w:t xml:space="preserve">           </w:t>
      </w:r>
    </w:p>
    <w:p>
      <w:pPr>
        <w:pStyle w:val="74"/>
        <w:keepNext w:val="0"/>
        <w:keepLines w:val="0"/>
        <w:pageBreakBefore w:val="0"/>
        <w:widowControl w:val="0"/>
        <w:kinsoku/>
        <w:overflowPunct/>
        <w:topLinePunct w:val="0"/>
        <w:bidi w:val="0"/>
        <w:spacing w:line="440" w:lineRule="exact"/>
        <w:ind w:firstLine="5320" w:firstLineChars="19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r>
        <w:rPr>
          <w:rFonts w:hint="eastAsia" w:ascii="宋体" w:hAnsi="宋体" w:eastAsia="宋体" w:cs="宋体"/>
          <w:color w:val="auto"/>
          <w:spacing w:val="20"/>
          <w:sz w:val="24"/>
          <w:u w:val="single"/>
        </w:rPr>
        <w:t xml:space="preserve">           </w:t>
      </w:r>
    </w:p>
    <w:p>
      <w:pPr>
        <w:pStyle w:val="74"/>
        <w:keepNext w:val="0"/>
        <w:keepLines w:val="0"/>
        <w:pageBreakBefore w:val="0"/>
        <w:widowControl w:val="0"/>
        <w:kinsoku/>
        <w:overflowPunct/>
        <w:topLinePunct w:val="0"/>
        <w:bidi w:val="0"/>
        <w:spacing w:line="440" w:lineRule="exact"/>
        <w:ind w:firstLine="5320" w:firstLineChars="19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pPr>
        <w:pStyle w:val="74"/>
        <w:keepNext w:val="0"/>
        <w:keepLines w:val="0"/>
        <w:pageBreakBefore w:val="0"/>
        <w:widowControl w:val="0"/>
        <w:kinsoku/>
        <w:overflowPunct/>
        <w:topLinePunct w:val="0"/>
        <w:bidi w:val="0"/>
        <w:spacing w:line="440" w:lineRule="exact"/>
        <w:rPr>
          <w:rFonts w:hint="eastAsia" w:ascii="宋体" w:hAnsi="宋体" w:eastAsia="宋体" w:cs="宋体"/>
          <w:color w:val="auto"/>
          <w:sz w:val="24"/>
        </w:rPr>
      </w:pPr>
      <w:r>
        <w:rPr>
          <w:rFonts w:hint="eastAsia" w:ascii="宋体" w:hAnsi="宋体" w:eastAsia="宋体" w:cs="宋体"/>
          <w:color w:val="auto"/>
          <w:sz w:val="24"/>
          <w:u w:val="single"/>
        </w:rPr>
        <w:t xml:space="preserve">                                                                                         </w:t>
      </w:r>
    </w:p>
    <w:p>
      <w:pPr>
        <w:pStyle w:val="74"/>
        <w:keepNext w:val="0"/>
        <w:keepLines w:val="0"/>
        <w:pageBreakBefore w:val="0"/>
        <w:widowControl w:val="0"/>
        <w:kinsoku/>
        <w:overflowPunct/>
        <w:topLinePunct w:val="0"/>
        <w:bidi w:val="0"/>
        <w:spacing w:line="440" w:lineRule="exact"/>
        <w:ind w:firstLine="480"/>
        <w:rPr>
          <w:rFonts w:hint="eastAsia" w:ascii="宋体" w:hAnsi="宋体" w:eastAsia="宋体" w:cs="宋体"/>
          <w:color w:val="auto"/>
          <w:sz w:val="24"/>
        </w:rPr>
      </w:pPr>
    </w:p>
    <w:p>
      <w:pPr>
        <w:pStyle w:val="74"/>
        <w:keepNext w:val="0"/>
        <w:keepLines w:val="0"/>
        <w:pageBreakBefore w:val="0"/>
        <w:widowControl w:val="0"/>
        <w:kinsoku/>
        <w:overflowPunct/>
        <w:topLinePunct w:val="0"/>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附：1、委托代理人工作单位：</w:t>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ab/>
      </w:r>
      <w:r>
        <w:rPr>
          <w:rFonts w:hint="eastAsia" w:ascii="宋体" w:hAnsi="宋体" w:eastAsia="宋体" w:cs="宋体"/>
          <w:color w:val="auto"/>
          <w:sz w:val="24"/>
        </w:rPr>
        <w:t>职务：</w:t>
      </w:r>
    </w:p>
    <w:p>
      <w:pPr>
        <w:pStyle w:val="74"/>
        <w:keepNext w:val="0"/>
        <w:keepLines w:val="0"/>
        <w:pageBreakBefore w:val="0"/>
        <w:widowControl w:val="0"/>
        <w:kinsoku/>
        <w:overflowPunct/>
        <w:topLinePunct w:val="0"/>
        <w:bidi w:val="0"/>
        <w:spacing w:line="440" w:lineRule="exact"/>
        <w:ind w:firstLine="480"/>
        <w:rPr>
          <w:rFonts w:hint="eastAsia" w:ascii="宋体" w:hAnsi="宋体" w:eastAsia="宋体" w:cs="宋体"/>
          <w:color w:val="auto"/>
          <w:sz w:val="24"/>
        </w:rPr>
      </w:pPr>
      <w:r>
        <w:rPr>
          <w:rFonts w:hint="eastAsia" w:ascii="宋体" w:hAnsi="宋体" w:eastAsia="宋体" w:cs="宋体"/>
          <w:color w:val="auto"/>
          <w:sz w:val="24"/>
        </w:rPr>
        <w:t xml:space="preserve">       身份证号码：　　　　　　　　  　　</w:t>
      </w:r>
      <w:r>
        <w:rPr>
          <w:rFonts w:hint="eastAsia" w:ascii="宋体" w:hAnsi="宋体" w:eastAsia="宋体" w:cs="宋体"/>
          <w:color w:val="auto"/>
          <w:sz w:val="24"/>
        </w:rPr>
        <w:tab/>
      </w:r>
      <w:r>
        <w:rPr>
          <w:rFonts w:hint="eastAsia" w:ascii="宋体" w:hAnsi="宋体" w:eastAsia="宋体" w:cs="宋体"/>
          <w:color w:val="auto"/>
          <w:sz w:val="24"/>
        </w:rPr>
        <w:t>性别：</w:t>
      </w:r>
    </w:p>
    <w:p>
      <w:pPr>
        <w:pStyle w:val="74"/>
        <w:keepNext w:val="0"/>
        <w:keepLines w:val="0"/>
        <w:pageBreakBefore w:val="0"/>
        <w:widowControl w:val="0"/>
        <w:kinsoku/>
        <w:overflowPunct/>
        <w:topLinePunct w:val="0"/>
        <w:bidi w:val="0"/>
        <w:spacing w:line="440" w:lineRule="exact"/>
        <w:ind w:firstLine="420"/>
        <w:rPr>
          <w:rFonts w:hint="eastAsia" w:ascii="宋体" w:hAnsi="宋体" w:eastAsia="宋体" w:cs="宋体"/>
          <w:b/>
          <w:color w:val="auto"/>
          <w:sz w:val="24"/>
        </w:rPr>
      </w:pPr>
    </w:p>
    <w:p>
      <w:pPr>
        <w:pStyle w:val="74"/>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rPr>
      </w:pPr>
      <w:r>
        <w:rPr>
          <w:rFonts w:hint="eastAsia" w:ascii="宋体" w:hAnsi="宋体" w:eastAsia="宋体" w:cs="宋体"/>
          <w:b/>
          <w:color w:val="auto"/>
          <w:sz w:val="24"/>
        </w:rPr>
        <w:t>注：</w:t>
      </w:r>
      <w:r>
        <w:rPr>
          <w:rFonts w:hint="eastAsia" w:ascii="宋体" w:hAnsi="宋体" w:eastAsia="宋体" w:cs="宋体"/>
          <w:color w:val="auto"/>
          <w:sz w:val="24"/>
        </w:rPr>
        <w:t>1、供应商为法人企业的，其负责人为其法定代表人；供应商为其他组织的，其负责人为法律、行政法规规定代表单位行使职权的主要负责人。</w:t>
      </w:r>
    </w:p>
    <w:p>
      <w:pPr>
        <w:pStyle w:val="74"/>
        <w:keepNext w:val="0"/>
        <w:keepLines w:val="0"/>
        <w:pageBreakBefore w:val="0"/>
        <w:widowControl w:val="0"/>
        <w:kinsoku/>
        <w:overflowPunct/>
        <w:topLinePunct w:val="0"/>
        <w:bidi w:val="0"/>
        <w:spacing w:line="440" w:lineRule="exact"/>
        <w:ind w:firstLine="900" w:firstLineChars="375"/>
        <w:outlineLvl w:val="1"/>
        <w:rPr>
          <w:rFonts w:hint="eastAsia" w:ascii="宋体" w:hAnsi="宋体" w:eastAsia="宋体" w:cs="宋体"/>
          <w:color w:val="auto"/>
          <w:sz w:val="24"/>
        </w:rPr>
      </w:pPr>
      <w:bookmarkStart w:id="366" w:name="_Toc7251"/>
      <w:bookmarkStart w:id="367" w:name="_Toc728"/>
      <w:r>
        <w:rPr>
          <w:rFonts w:hint="eastAsia" w:ascii="宋体" w:hAnsi="宋体" w:eastAsia="宋体" w:cs="宋体"/>
          <w:color w:val="auto"/>
          <w:sz w:val="24"/>
        </w:rPr>
        <w:t>2、委托人为上述条款中的负责人。</w:t>
      </w:r>
      <w:bookmarkEnd w:id="366"/>
      <w:bookmarkEnd w:id="367"/>
    </w:p>
    <w:p>
      <w:pPr>
        <w:pStyle w:val="74"/>
        <w:keepNext w:val="0"/>
        <w:keepLines w:val="0"/>
        <w:pageBreakBefore w:val="0"/>
        <w:widowControl w:val="0"/>
        <w:kinsoku/>
        <w:overflowPunct/>
        <w:topLinePunct w:val="0"/>
        <w:bidi w:val="0"/>
        <w:spacing w:line="440" w:lineRule="exact"/>
        <w:ind w:firstLine="900" w:firstLineChars="375"/>
        <w:rPr>
          <w:rFonts w:hint="eastAsia" w:ascii="宋体" w:hAnsi="宋体" w:eastAsia="宋体" w:cs="宋体"/>
          <w:color w:val="auto"/>
          <w:sz w:val="24"/>
        </w:rPr>
      </w:pPr>
      <w:r>
        <w:rPr>
          <w:rFonts w:hint="eastAsia" w:ascii="宋体" w:hAnsi="宋体" w:eastAsia="宋体" w:cs="宋体"/>
          <w:color w:val="auto"/>
          <w:sz w:val="24"/>
        </w:rPr>
        <w:t>3、本“授权委托书”需附负责人</w:t>
      </w:r>
      <w:r>
        <w:rPr>
          <w:rFonts w:hint="eastAsia" w:ascii="宋体" w:hAnsi="宋体" w:eastAsia="宋体" w:cs="宋体"/>
          <w:b/>
          <w:color w:val="auto"/>
          <w:sz w:val="24"/>
        </w:rPr>
        <w:t>和</w:t>
      </w:r>
      <w:r>
        <w:rPr>
          <w:rFonts w:hint="eastAsia" w:ascii="宋体" w:hAnsi="宋体" w:eastAsia="宋体" w:cs="宋体"/>
          <w:color w:val="auto"/>
          <w:sz w:val="24"/>
        </w:rPr>
        <w:t>委托代理人身份证扫描件，如扫描件不清晰或错误的，后果由供应商自行承担。</w:t>
      </w:r>
    </w:p>
    <w:p>
      <w:pPr>
        <w:pStyle w:val="74"/>
        <w:keepNext w:val="0"/>
        <w:keepLines w:val="0"/>
        <w:pageBreakBefore w:val="0"/>
        <w:widowControl w:val="0"/>
        <w:kinsoku/>
        <w:overflowPunct/>
        <w:topLinePunct w:val="0"/>
        <w:bidi w:val="0"/>
        <w:spacing w:line="440" w:lineRule="exact"/>
        <w:ind w:firstLine="904" w:firstLineChars="375"/>
        <w:rPr>
          <w:rFonts w:hint="eastAsia" w:ascii="宋体" w:hAnsi="宋体" w:eastAsia="宋体" w:cs="宋体"/>
          <w:color w:val="auto"/>
          <w:sz w:val="24"/>
        </w:rPr>
      </w:pPr>
      <w:r>
        <w:rPr>
          <w:rFonts w:hint="eastAsia" w:ascii="宋体" w:hAnsi="宋体" w:eastAsia="宋体" w:cs="宋体"/>
          <w:b/>
          <w:color w:val="auto"/>
          <w:sz w:val="24"/>
        </w:rPr>
        <w:t>4、本委托书供应商通过政采云平台电子投标工具无法完成负责人签字或盖章的，可纸质签字或盖章后再将扫描件上传至政采云平台电子投标工具进行CA签章。</w:t>
      </w:r>
    </w:p>
    <w:p>
      <w:pPr>
        <w:pStyle w:val="94"/>
        <w:keepNext w:val="0"/>
        <w:keepLines w:val="0"/>
        <w:pageBreakBefore w:val="0"/>
        <w:widowControl w:val="0"/>
        <w:kinsoku/>
        <w:overflowPunct/>
        <w:topLinePunct w:val="0"/>
        <w:bidi w:val="0"/>
        <w:spacing w:line="440" w:lineRule="exact"/>
        <w:rPr>
          <w:rFonts w:hint="eastAsia" w:ascii="宋体" w:hAnsi="宋体" w:eastAsia="宋体" w:cs="宋体"/>
          <w:bCs/>
          <w:color w:val="auto"/>
          <w:sz w:val="24"/>
          <w:szCs w:val="24"/>
        </w:rPr>
      </w:pPr>
      <w:r>
        <w:rPr>
          <w:rFonts w:hint="eastAsia" w:ascii="宋体" w:hAnsi="宋体" w:eastAsia="宋体" w:cs="宋体"/>
          <w:bCs/>
          <w:color w:val="auto"/>
          <w:sz w:val="24"/>
          <w:szCs w:val="24"/>
        </w:rPr>
        <w:br w:type="page"/>
      </w:r>
    </w:p>
    <w:p>
      <w:pPr>
        <w:pStyle w:val="94"/>
        <w:keepNext w:val="0"/>
        <w:keepLines w:val="0"/>
        <w:pageBreakBefore w:val="0"/>
        <w:widowControl w:val="0"/>
        <w:kinsoku/>
        <w:overflowPunct/>
        <w:topLinePunct w:val="0"/>
        <w:bidi w:val="0"/>
        <w:spacing w:line="440" w:lineRule="exact"/>
        <w:rPr>
          <w:rFonts w:hint="eastAsia" w:ascii="宋体" w:hAnsi="宋体" w:eastAsia="宋体" w:cs="宋体"/>
          <w:bCs/>
          <w:color w:val="auto"/>
        </w:rPr>
      </w:pPr>
      <w:r>
        <w:rPr>
          <w:rFonts w:hint="eastAsia" w:ascii="宋体" w:hAnsi="宋体" w:eastAsia="宋体" w:cs="宋体"/>
          <w:bCs/>
          <w:color w:val="auto"/>
        </w:rPr>
        <w:t>负责人身份证</w:t>
      </w:r>
      <w:r>
        <w:rPr>
          <w:rFonts w:hint="eastAsia" w:ascii="宋体" w:hAnsi="宋体" w:eastAsia="宋体" w:cs="宋体"/>
          <w:bCs/>
          <w:color w:val="auto"/>
          <w:lang w:eastAsia="zh-CN"/>
        </w:rPr>
        <w:t>正反面</w:t>
      </w:r>
      <w:r>
        <w:rPr>
          <w:rFonts w:hint="eastAsia" w:ascii="宋体" w:hAnsi="宋体" w:eastAsia="宋体" w:cs="宋体"/>
          <w:bCs/>
          <w:color w:val="auto"/>
        </w:rPr>
        <w:t>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94"/>
              <w:keepNext w:val="0"/>
              <w:keepLines w:val="0"/>
              <w:pageBreakBefore w:val="0"/>
              <w:widowControl w:val="0"/>
              <w:kinsoku/>
              <w:overflowPunct/>
              <w:topLinePunct w:val="0"/>
              <w:bidi w:val="0"/>
              <w:spacing w:line="440" w:lineRule="exact"/>
              <w:rPr>
                <w:rFonts w:hint="eastAsia" w:ascii="宋体" w:hAnsi="宋体" w:eastAsia="宋体" w:cs="宋体"/>
                <w:bCs/>
                <w:color w:val="auto"/>
              </w:rPr>
            </w:pPr>
          </w:p>
          <w:p>
            <w:pPr>
              <w:pStyle w:val="94"/>
              <w:keepNext w:val="0"/>
              <w:keepLines w:val="0"/>
              <w:pageBreakBefore w:val="0"/>
              <w:widowControl w:val="0"/>
              <w:kinsoku/>
              <w:overflowPunct/>
              <w:topLinePunct w:val="0"/>
              <w:bidi w:val="0"/>
              <w:spacing w:line="440" w:lineRule="exact"/>
              <w:rPr>
                <w:rFonts w:hint="eastAsia" w:ascii="宋体" w:hAnsi="宋体" w:eastAsia="宋体" w:cs="宋体"/>
                <w:bCs/>
                <w:color w:val="auto"/>
              </w:rPr>
            </w:pPr>
          </w:p>
        </w:tc>
      </w:tr>
    </w:tbl>
    <w:p>
      <w:pPr>
        <w:pStyle w:val="94"/>
        <w:keepNext w:val="0"/>
        <w:keepLines w:val="0"/>
        <w:pageBreakBefore w:val="0"/>
        <w:widowControl w:val="0"/>
        <w:kinsoku/>
        <w:overflowPunct/>
        <w:topLinePunct w:val="0"/>
        <w:bidi w:val="0"/>
        <w:spacing w:line="440" w:lineRule="exact"/>
        <w:rPr>
          <w:rFonts w:hint="eastAsia" w:ascii="宋体" w:hAnsi="宋体" w:eastAsia="宋体" w:cs="宋体"/>
          <w:bCs/>
          <w:color w:val="auto"/>
        </w:rPr>
      </w:pPr>
      <w:r>
        <w:rPr>
          <w:rFonts w:hint="eastAsia" w:ascii="宋体" w:hAnsi="宋体" w:eastAsia="宋体" w:cs="宋体"/>
          <w:bCs/>
          <w:color w:val="auto"/>
        </w:rPr>
        <w:t>委托代理人身份证</w:t>
      </w:r>
      <w:r>
        <w:rPr>
          <w:rFonts w:hint="eastAsia" w:ascii="宋体" w:hAnsi="宋体" w:eastAsia="宋体" w:cs="宋体"/>
          <w:bCs/>
          <w:color w:val="auto"/>
          <w:lang w:eastAsia="zh-CN"/>
        </w:rPr>
        <w:t>正反面</w:t>
      </w:r>
      <w:r>
        <w:rPr>
          <w:rFonts w:hint="eastAsia" w:ascii="宋体" w:hAnsi="宋体" w:eastAsia="宋体" w:cs="宋体"/>
          <w:bCs/>
          <w:color w:val="auto"/>
        </w:rPr>
        <w:t>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pPr>
              <w:pStyle w:val="94"/>
              <w:keepNext w:val="0"/>
              <w:keepLines w:val="0"/>
              <w:pageBreakBefore w:val="0"/>
              <w:widowControl w:val="0"/>
              <w:kinsoku/>
              <w:overflowPunct/>
              <w:topLinePunct w:val="0"/>
              <w:bidi w:val="0"/>
              <w:spacing w:line="440" w:lineRule="exact"/>
              <w:rPr>
                <w:rFonts w:hint="eastAsia" w:ascii="宋体" w:hAnsi="宋体" w:eastAsia="宋体" w:cs="宋体"/>
                <w:bCs/>
                <w:color w:val="auto"/>
              </w:rPr>
            </w:pPr>
          </w:p>
        </w:tc>
      </w:tr>
    </w:tbl>
    <w:p>
      <w:pPr>
        <w:pStyle w:val="19"/>
        <w:keepNext w:val="0"/>
        <w:keepLines w:val="0"/>
        <w:pageBreakBefore w:val="0"/>
        <w:widowControl w:val="0"/>
        <w:kinsoku/>
        <w:overflowPunct/>
        <w:topLinePunct w:val="0"/>
        <w:bidi w:val="0"/>
        <w:spacing w:line="440" w:lineRule="exact"/>
        <w:ind w:firstLine="2108" w:firstLineChars="1050"/>
        <w:rPr>
          <w:rFonts w:hint="eastAsia" w:ascii="宋体" w:hAnsi="宋体" w:eastAsia="宋体" w:cs="宋体"/>
          <w:b/>
          <w:color w:val="auto"/>
          <w:szCs w:val="21"/>
        </w:rPr>
      </w:pPr>
    </w:p>
    <w:p>
      <w:pPr>
        <w:pStyle w:val="19"/>
        <w:keepNext w:val="0"/>
        <w:keepLines w:val="0"/>
        <w:pageBreakBefore w:val="0"/>
        <w:widowControl w:val="0"/>
        <w:kinsoku/>
        <w:overflowPunct/>
        <w:topLinePunct w:val="0"/>
        <w:bidi w:val="0"/>
        <w:spacing w:line="440" w:lineRule="exact"/>
        <w:ind w:firstLine="2108" w:firstLineChars="1050"/>
        <w:rPr>
          <w:rFonts w:hint="eastAsia" w:ascii="宋体" w:hAnsi="宋体" w:eastAsia="宋体" w:cs="宋体"/>
          <w:b/>
          <w:color w:val="auto"/>
          <w:szCs w:val="21"/>
        </w:rPr>
      </w:pPr>
      <w:r>
        <w:rPr>
          <w:rFonts w:hint="eastAsia" w:ascii="宋体" w:hAnsi="宋体" w:eastAsia="宋体" w:cs="宋体"/>
          <w:b/>
          <w:color w:val="auto"/>
          <w:szCs w:val="21"/>
        </w:rPr>
        <w:br w:type="page"/>
      </w:r>
    </w:p>
    <w:p>
      <w:pPr>
        <w:pStyle w:val="19"/>
        <w:keepNext w:val="0"/>
        <w:keepLines w:val="0"/>
        <w:pageBreakBefore w:val="0"/>
        <w:widowControl w:val="0"/>
        <w:kinsoku/>
        <w:overflowPunct/>
        <w:topLinePunct w:val="0"/>
        <w:bidi w:val="0"/>
        <w:spacing w:line="360" w:lineRule="auto"/>
        <w:jc w:val="center"/>
        <w:outlineLvl w:val="1"/>
        <w:rPr>
          <w:rFonts w:hint="eastAsia" w:ascii="宋体" w:hAnsi="宋体" w:eastAsia="宋体" w:cs="宋体"/>
          <w:b/>
          <w:color w:val="auto"/>
          <w:sz w:val="32"/>
        </w:rPr>
      </w:pPr>
      <w:bookmarkStart w:id="368" w:name="_Toc27762"/>
      <w:bookmarkStart w:id="369" w:name="_Toc25159"/>
      <w:r>
        <w:rPr>
          <w:rFonts w:hint="eastAsia" w:ascii="宋体" w:hAnsi="宋体" w:eastAsia="宋体" w:cs="宋体"/>
          <w:b/>
          <w:color w:val="auto"/>
          <w:sz w:val="32"/>
          <w:lang w:val="en-US" w:eastAsia="zh-CN"/>
        </w:rPr>
        <w:t>4</w:t>
      </w:r>
      <w:r>
        <w:rPr>
          <w:rFonts w:hint="eastAsia" w:ascii="宋体" w:hAnsi="宋体" w:eastAsia="宋体" w:cs="宋体"/>
          <w:b/>
          <w:color w:val="auto"/>
          <w:sz w:val="32"/>
        </w:rPr>
        <w:t>、政府采购资格承诺函</w:t>
      </w:r>
      <w:bookmarkEnd w:id="368"/>
      <w:bookmarkEnd w:id="369"/>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我单位</w:t>
      </w:r>
      <w:r>
        <w:rPr>
          <w:rFonts w:hint="eastAsia" w:ascii="宋体" w:hAnsi="宋体" w:eastAsia="宋体" w:cs="宋体"/>
          <w:color w:val="auto"/>
          <w:sz w:val="24"/>
          <w:u w:val="single"/>
        </w:rPr>
        <w:t xml:space="preserve">                 （供应商全称）</w:t>
      </w:r>
      <w:r>
        <w:rPr>
          <w:rFonts w:hint="eastAsia" w:ascii="宋体" w:hAnsi="宋体" w:eastAsia="宋体" w:cs="宋体"/>
          <w:bCs/>
          <w:color w:val="auto"/>
          <w:sz w:val="24"/>
          <w:lang w:bidi="ar"/>
        </w:rPr>
        <w:t>参与</w:t>
      </w:r>
      <w:r>
        <w:rPr>
          <w:rFonts w:hint="eastAsia" w:ascii="宋体" w:hAnsi="宋体" w:eastAsia="宋体" w:cs="宋体"/>
          <w:bCs/>
          <w:color w:val="auto"/>
          <w:sz w:val="24"/>
          <w:u w:val="single"/>
          <w:lang w:bidi="ar"/>
        </w:rPr>
        <w:t xml:space="preserve">   </w:t>
      </w:r>
      <w:r>
        <w:rPr>
          <w:rFonts w:hint="eastAsia" w:ascii="宋体" w:hAnsi="宋体" w:eastAsia="宋体" w:cs="宋体"/>
          <w:color w:val="auto"/>
          <w:sz w:val="24"/>
          <w:u w:val="single"/>
        </w:rPr>
        <w:t>（项目名称）</w:t>
      </w:r>
      <w:r>
        <w:rPr>
          <w:rFonts w:hint="eastAsia" w:ascii="宋体" w:hAnsi="宋体" w:eastAsia="宋体" w:cs="宋体"/>
          <w:bCs/>
          <w:color w:val="auto"/>
          <w:sz w:val="24"/>
          <w:lang w:bidi="ar"/>
        </w:rPr>
        <w:t>（项目编号：</w:t>
      </w:r>
      <w:r>
        <w:rPr>
          <w:rFonts w:hint="eastAsia" w:ascii="宋体" w:hAnsi="宋体" w:eastAsia="宋体" w:cs="宋体"/>
          <w:bCs/>
          <w:color w:val="auto"/>
          <w:sz w:val="24"/>
          <w:u w:val="single"/>
          <w:lang w:bidi="ar"/>
        </w:rPr>
        <w:t xml:space="preserve"> </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lang w:bidi="ar"/>
        </w:rPr>
        <w:t>）磋商，郑重</w:t>
      </w:r>
      <w:r>
        <w:rPr>
          <w:rFonts w:hint="eastAsia" w:ascii="宋体" w:hAnsi="宋体" w:eastAsia="宋体" w:cs="宋体"/>
          <w:color w:val="auto"/>
          <w:sz w:val="24"/>
        </w:rPr>
        <w:t>承诺具备下列条件：</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1.具有独立承担民事责任的能力；</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2.具有良好的商业信誉和健全的财务会计制度；</w:t>
      </w:r>
    </w:p>
    <w:p>
      <w:pPr>
        <w:keepNext w:val="0"/>
        <w:keepLines w:val="0"/>
        <w:pageBreakBefore w:val="0"/>
        <w:widowControl w:val="0"/>
        <w:kinsoku/>
        <w:overflowPunct/>
        <w:topLinePunct w:val="0"/>
        <w:bidi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rPr>
        <w:t>3.具有履行合同所必需的设备和专业技术能力；</w:t>
      </w:r>
    </w:p>
    <w:p>
      <w:pPr>
        <w:keepNext w:val="0"/>
        <w:keepLines w:val="0"/>
        <w:pageBreakBefore w:val="0"/>
        <w:widowControl w:val="0"/>
        <w:kinsoku/>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bCs/>
          <w:color w:val="auto"/>
          <w:sz w:val="24"/>
        </w:rPr>
        <w:t>4.有依法缴纳税收和社会保障资金的良好记</w:t>
      </w:r>
      <w:r>
        <w:rPr>
          <w:rFonts w:hint="eastAsia" w:ascii="宋体" w:hAnsi="宋体" w:eastAsia="宋体" w:cs="宋体"/>
          <w:color w:val="auto"/>
          <w:sz w:val="24"/>
        </w:rPr>
        <w:t>录；</w:t>
      </w:r>
    </w:p>
    <w:p>
      <w:pPr>
        <w:keepNext w:val="0"/>
        <w:keepLines w:val="0"/>
        <w:pageBreakBefore w:val="0"/>
        <w:widowControl w:val="0"/>
        <w:kinsoku/>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5.参加</w:t>
      </w:r>
      <w:r>
        <w:rPr>
          <w:rFonts w:hint="eastAsia" w:ascii="宋体" w:hAnsi="宋体" w:eastAsia="宋体" w:cs="宋体"/>
          <w:bCs/>
          <w:color w:val="auto"/>
          <w:sz w:val="24"/>
        </w:rPr>
        <w:t>本项目采购活动前三</w:t>
      </w:r>
      <w:r>
        <w:rPr>
          <w:rFonts w:hint="eastAsia" w:ascii="宋体" w:hAnsi="宋体" w:eastAsia="宋体" w:cs="宋体"/>
          <w:color w:val="auto"/>
          <w:sz w:val="24"/>
        </w:rPr>
        <w:t>年内</w:t>
      </w:r>
      <w:r>
        <w:rPr>
          <w:rFonts w:hint="eastAsia" w:ascii="宋体" w:hAnsi="宋体" w:eastAsia="宋体" w:cs="宋体"/>
          <w:color w:val="auto"/>
          <w:sz w:val="24"/>
          <w:lang w:eastAsia="zh-CN"/>
        </w:rPr>
        <w:t>，</w:t>
      </w:r>
      <w:r>
        <w:rPr>
          <w:rFonts w:hint="eastAsia" w:ascii="宋体" w:hAnsi="宋体" w:eastAsia="宋体" w:cs="宋体"/>
          <w:color w:val="auto"/>
          <w:sz w:val="24"/>
        </w:rPr>
        <w:t>在经营活动中没有重大违法记录（包括行贿犯罪记录）。</w:t>
      </w:r>
    </w:p>
    <w:p>
      <w:pPr>
        <w:keepNext w:val="0"/>
        <w:keepLines w:val="0"/>
        <w:pageBreakBefore w:val="0"/>
        <w:widowControl w:val="0"/>
        <w:kinsoku/>
        <w:overflowPunct/>
        <w:topLinePunct w:val="0"/>
        <w:bidi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6.磋商截止时间前未被“信用中国”网站（www.creditchina.gov.cn）、中国政府采购网（www.ccgp.gov.cn）列入失信被执行人、重大税收违法当事人名单、政府采购严重违法失信行为记录名单</w:t>
      </w:r>
      <w:r>
        <w:rPr>
          <w:rFonts w:hint="eastAsia" w:ascii="宋体" w:hAnsi="宋体" w:eastAsia="宋体" w:cs="宋体"/>
          <w:b/>
          <w:color w:val="auto"/>
          <w:sz w:val="24"/>
        </w:rPr>
        <w:t>（注：本项内容以代理机构在资格审查现场查询为准）。</w:t>
      </w:r>
    </w:p>
    <w:p>
      <w:pPr>
        <w:keepNext w:val="0"/>
        <w:keepLines w:val="0"/>
        <w:pageBreakBefore w:val="0"/>
        <w:widowControl w:val="0"/>
        <w:kinsoku/>
        <w:overflowPunct/>
        <w:topLinePunct w:val="0"/>
        <w:bidi w:val="0"/>
        <w:snapToGrid w:val="0"/>
        <w:spacing w:line="400" w:lineRule="exact"/>
        <w:ind w:firstLine="480" w:firstLineChars="200"/>
        <w:rPr>
          <w:rFonts w:hint="eastAsia" w:ascii="宋体" w:hAnsi="宋体" w:eastAsia="宋体" w:cs="宋体"/>
          <w:color w:val="auto"/>
          <w:sz w:val="24"/>
        </w:rPr>
      </w:pPr>
    </w:p>
    <w:p>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auto"/>
          <w:sz w:val="24"/>
        </w:rPr>
      </w:pPr>
    </w:p>
    <w:p>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如有虚假，采购人可取消我单位任何资格（投标/中标（成交）/签订合同），我单位对此无任何异议。</w:t>
      </w:r>
    </w:p>
    <w:p>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auto"/>
          <w:sz w:val="24"/>
        </w:rPr>
      </w:pPr>
    </w:p>
    <w:p>
      <w:pPr>
        <w:keepNext w:val="0"/>
        <w:keepLines w:val="0"/>
        <w:pageBreakBefore w:val="0"/>
        <w:widowControl w:val="0"/>
        <w:kinsoku/>
        <w:overflowPunct/>
        <w:topLinePunct w:val="0"/>
        <w:bidi w:val="0"/>
        <w:snapToGrid w:val="0"/>
        <w:spacing w:line="400" w:lineRule="exact"/>
        <w:ind w:firstLine="482" w:firstLineChars="200"/>
        <w:rPr>
          <w:rFonts w:hint="eastAsia" w:ascii="宋体" w:hAnsi="宋体" w:eastAsia="宋体" w:cs="宋体"/>
          <w:b/>
          <w:color w:val="auto"/>
          <w:sz w:val="24"/>
        </w:rPr>
      </w:pPr>
      <w:r>
        <w:rPr>
          <w:rFonts w:hint="eastAsia" w:ascii="宋体" w:hAnsi="宋体" w:eastAsia="宋体" w:cs="宋体"/>
          <w:b/>
          <w:color w:val="auto"/>
          <w:sz w:val="24"/>
        </w:rPr>
        <w:t>特此承诺！</w:t>
      </w:r>
    </w:p>
    <w:p>
      <w:pPr>
        <w:keepNext w:val="0"/>
        <w:keepLines w:val="0"/>
        <w:pageBreakBefore w:val="0"/>
        <w:widowControl w:val="0"/>
        <w:tabs>
          <w:tab w:val="left" w:pos="9180"/>
        </w:tabs>
        <w:kinsoku/>
        <w:overflowPunct/>
        <w:topLinePunct w:val="0"/>
        <w:bidi w:val="0"/>
        <w:spacing w:line="400" w:lineRule="exact"/>
        <w:ind w:firstLine="480" w:firstLineChars="200"/>
        <w:rPr>
          <w:rFonts w:hint="eastAsia" w:ascii="宋体" w:hAnsi="宋体" w:eastAsia="宋体" w:cs="宋体"/>
          <w:snapToGrid w:val="0"/>
          <w:color w:val="auto"/>
          <w:sz w:val="24"/>
        </w:rPr>
      </w:pPr>
    </w:p>
    <w:p>
      <w:pPr>
        <w:keepNext w:val="0"/>
        <w:keepLines w:val="0"/>
        <w:pageBreakBefore w:val="0"/>
        <w:widowControl w:val="0"/>
        <w:kinsoku/>
        <w:overflowPunct/>
        <w:topLinePunct w:val="0"/>
        <w:bidi w:val="0"/>
        <w:snapToGrid w:val="0"/>
        <w:spacing w:line="360" w:lineRule="auto"/>
        <w:ind w:firstLine="5320" w:firstLineChars="19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r>
        <w:rPr>
          <w:rFonts w:hint="eastAsia" w:ascii="宋体" w:hAnsi="宋体" w:eastAsia="宋体" w:cs="宋体"/>
          <w:color w:val="auto"/>
          <w:spacing w:val="20"/>
          <w:sz w:val="24"/>
          <w:u w:val="single"/>
        </w:rPr>
        <w:t xml:space="preserve">            </w:t>
      </w:r>
    </w:p>
    <w:p>
      <w:pPr>
        <w:keepNext w:val="0"/>
        <w:keepLines w:val="0"/>
        <w:pageBreakBefore w:val="0"/>
        <w:widowControl w:val="0"/>
        <w:kinsoku/>
        <w:overflowPunct/>
        <w:topLinePunct w:val="0"/>
        <w:bidi w:val="0"/>
        <w:snapToGrid w:val="0"/>
        <w:spacing w:line="360" w:lineRule="auto"/>
        <w:ind w:firstLine="5320" w:firstLineChars="19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pPr>
        <w:pStyle w:val="2"/>
        <w:keepNext w:val="0"/>
        <w:keepLines w:val="0"/>
        <w:pageBreakBefore w:val="0"/>
        <w:widowControl w:val="0"/>
        <w:kinsoku/>
        <w:overflowPunct/>
        <w:topLinePunct w:val="0"/>
        <w:bidi w:val="0"/>
        <w:ind w:firstLine="210"/>
        <w:rPr>
          <w:rFonts w:hint="eastAsia" w:ascii="宋体" w:hAnsi="宋体" w:eastAsia="宋体" w:cs="宋体"/>
          <w:color w:val="auto"/>
        </w:rPr>
      </w:pPr>
    </w:p>
    <w:p>
      <w:pPr>
        <w:keepNext w:val="0"/>
        <w:keepLines w:val="0"/>
        <w:pageBreakBefore w:val="0"/>
        <w:widowControl w:val="0"/>
        <w:tabs>
          <w:tab w:val="left" w:pos="9180"/>
        </w:tabs>
        <w:kinsoku/>
        <w:overflowPunct/>
        <w:topLinePunct w:val="0"/>
        <w:bidi w:val="0"/>
        <w:spacing w:line="360" w:lineRule="auto"/>
        <w:ind w:firstLine="480" w:firstLineChars="200"/>
        <w:rPr>
          <w:rFonts w:hint="eastAsia" w:ascii="宋体" w:hAnsi="宋体" w:eastAsia="宋体" w:cs="宋体"/>
          <w:b/>
          <w:color w:val="auto"/>
          <w:sz w:val="32"/>
        </w:rPr>
      </w:pPr>
      <w:r>
        <w:rPr>
          <w:rFonts w:hint="eastAsia" w:ascii="宋体" w:hAnsi="宋体" w:eastAsia="宋体" w:cs="宋体"/>
          <w:snapToGrid w:val="0"/>
          <w:color w:val="auto"/>
          <w:sz w:val="24"/>
        </w:rPr>
        <w:t>注：本承诺函必须提供。</w:t>
      </w:r>
    </w:p>
    <w:p>
      <w:pPr>
        <w:keepNext w:val="0"/>
        <w:keepLines w:val="0"/>
        <w:pageBreakBefore w:val="0"/>
        <w:widowControl w:val="0"/>
        <w:kinsoku/>
        <w:overflowPunct/>
        <w:topLinePunct w:val="0"/>
        <w:bidi w:val="0"/>
        <w:spacing w:line="360" w:lineRule="auto"/>
        <w:rPr>
          <w:rFonts w:hint="eastAsia" w:ascii="宋体" w:hAnsi="宋体" w:eastAsia="宋体" w:cs="宋体"/>
          <w:color w:val="auto"/>
          <w:sz w:val="24"/>
        </w:rPr>
      </w:pPr>
    </w:p>
    <w:p>
      <w:pPr>
        <w:pStyle w:val="19"/>
        <w:keepNext w:val="0"/>
        <w:keepLines w:val="0"/>
        <w:pageBreakBefore w:val="0"/>
        <w:widowControl w:val="0"/>
        <w:kinsoku/>
        <w:overflowPunct/>
        <w:topLinePunct w:val="0"/>
        <w:bidi w:val="0"/>
        <w:spacing w:line="360" w:lineRule="auto"/>
        <w:ind w:left="0"/>
        <w:jc w:val="center"/>
        <w:outlineLvl w:val="1"/>
        <w:rPr>
          <w:rFonts w:hint="eastAsia" w:ascii="宋体" w:hAnsi="宋体" w:eastAsia="宋体" w:cs="宋体"/>
          <w:b/>
          <w:color w:val="auto"/>
          <w:sz w:val="32"/>
        </w:rPr>
      </w:pPr>
      <w:bookmarkStart w:id="370" w:name="_Toc493955980"/>
      <w:r>
        <w:rPr>
          <w:rFonts w:hint="eastAsia" w:ascii="宋体" w:hAnsi="宋体" w:eastAsia="宋体" w:cs="宋体"/>
          <w:b/>
          <w:color w:val="auto"/>
          <w:sz w:val="32"/>
        </w:rPr>
        <w:br w:type="page"/>
      </w:r>
      <w:bookmarkStart w:id="371" w:name="_Toc31054"/>
      <w:bookmarkStart w:id="372" w:name="_Toc15144"/>
      <w:r>
        <w:rPr>
          <w:rFonts w:hint="eastAsia" w:ascii="宋体" w:hAnsi="宋体" w:eastAsia="宋体" w:cs="宋体"/>
          <w:b/>
          <w:color w:val="auto"/>
          <w:sz w:val="32"/>
          <w:lang w:val="en-US" w:eastAsia="zh-CN"/>
        </w:rPr>
        <w:t>5</w:t>
      </w:r>
      <w:r>
        <w:rPr>
          <w:rFonts w:hint="eastAsia" w:ascii="宋体" w:hAnsi="宋体" w:eastAsia="宋体" w:cs="宋体"/>
          <w:b/>
          <w:color w:val="auto"/>
          <w:sz w:val="32"/>
        </w:rPr>
        <w:t>、资格证明</w:t>
      </w:r>
      <w:bookmarkEnd w:id="371"/>
      <w:bookmarkEnd w:id="372"/>
    </w:p>
    <w:p>
      <w:pPr>
        <w:pStyle w:val="80"/>
        <w:keepNext w:val="0"/>
        <w:keepLines w:val="0"/>
        <w:pageBreakBefore w:val="0"/>
        <w:widowControl w:val="0"/>
        <w:tabs>
          <w:tab w:val="left" w:pos="0"/>
        </w:tabs>
        <w:kinsoku/>
        <w:overflowPunct/>
        <w:topLinePunct w:val="0"/>
        <w:bidi w:val="0"/>
        <w:spacing w:line="440" w:lineRule="exact"/>
        <w:ind w:left="0"/>
        <w:rPr>
          <w:rFonts w:hint="eastAsia" w:ascii="宋体" w:hAnsi="宋体" w:eastAsia="宋体" w:cs="宋体"/>
          <w:color w:val="auto"/>
          <w:sz w:val="24"/>
          <w:szCs w:val="24"/>
        </w:rPr>
      </w:pPr>
      <w:r>
        <w:rPr>
          <w:rFonts w:hint="eastAsia" w:ascii="宋体" w:hAnsi="宋体" w:eastAsia="宋体" w:cs="宋体"/>
          <w:color w:val="auto"/>
          <w:sz w:val="24"/>
          <w:szCs w:val="24"/>
          <w:u w:val="single"/>
        </w:rPr>
        <w:t>（代理机构名称）</w:t>
      </w:r>
      <w:r>
        <w:rPr>
          <w:rFonts w:hint="eastAsia" w:ascii="宋体" w:hAnsi="宋体" w:eastAsia="宋体" w:cs="宋体"/>
          <w:color w:val="auto"/>
          <w:sz w:val="24"/>
          <w:szCs w:val="24"/>
        </w:rPr>
        <w:t>：</w:t>
      </w:r>
    </w:p>
    <w:p>
      <w:pPr>
        <w:pStyle w:val="80"/>
        <w:keepNext w:val="0"/>
        <w:keepLines w:val="0"/>
        <w:pageBreakBefore w:val="0"/>
        <w:widowControl w:val="0"/>
        <w:kinsoku/>
        <w:overflowPunct/>
        <w:topLinePunct w:val="0"/>
        <w:bidi w:val="0"/>
        <w:spacing w:line="44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(供应商全称)     </w:t>
      </w:r>
      <w:r>
        <w:rPr>
          <w:rFonts w:hint="eastAsia" w:ascii="宋体" w:hAnsi="宋体" w:eastAsia="宋体" w:cs="宋体"/>
          <w:color w:val="auto"/>
          <w:sz w:val="24"/>
          <w:szCs w:val="24"/>
        </w:rPr>
        <w:t>系中华人民共和国合法企业，经营地址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7"/>
        <w:keepNext w:val="0"/>
        <w:keepLines w:val="0"/>
        <w:pageBreakBefore w:val="0"/>
        <w:widowControl w:val="0"/>
        <w:kinsoku/>
        <w:overflowPunct/>
        <w:topLinePunct w:val="0"/>
        <w:bidi w:val="0"/>
        <w:spacing w:line="440" w:lineRule="exact"/>
        <w:ind w:lef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(负责人名字)</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的负责人，我方愿意参加贵方组织的</w:t>
      </w:r>
      <w:r>
        <w:rPr>
          <w:rFonts w:hint="eastAsia" w:ascii="宋体" w:hAnsi="宋体" w:eastAsia="宋体" w:cs="宋体"/>
          <w:color w:val="auto"/>
          <w:sz w:val="24"/>
          <w:szCs w:val="24"/>
          <w:u w:val="single"/>
        </w:rPr>
        <w:t xml:space="preserve">    （项目名称）（采购编号：   ）</w:t>
      </w:r>
      <w:r>
        <w:rPr>
          <w:rFonts w:hint="eastAsia" w:ascii="宋体" w:hAnsi="宋体" w:eastAsia="宋体" w:cs="宋体"/>
          <w:color w:val="auto"/>
          <w:sz w:val="24"/>
          <w:szCs w:val="24"/>
        </w:rPr>
        <w:t>的磋商。为便于贵方公正、择优地确定成交人以及磋商产品和服务，我方就本次磋商有关事项证明如下：</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（一）名称及概况：</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1．企业名称：________________________________________________ </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b/>
          <w:bCs/>
          <w:color w:val="auto"/>
          <w:sz w:val="24"/>
          <w:szCs w:val="24"/>
        </w:rPr>
      </w:pPr>
      <w:r>
        <w:rPr>
          <w:rFonts w:hint="eastAsia" w:ascii="宋体" w:hAnsi="宋体" w:eastAsia="宋体" w:cs="宋体"/>
          <w:color w:val="auto"/>
          <w:sz w:val="24"/>
          <w:szCs w:val="24"/>
        </w:rPr>
        <w:t>银行开户名称：________________________________________________</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开户银行：_________________________________________________ </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账    号：________________________________________________ </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企业详细地址：________________________________________________ </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传    真： ________________________________________________</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    电    话： ________________________________________________</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2．负责人姓名：___________________________________________ </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3．项目联系人：姓名__________职务：______电话______手机______</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4．注册地址：________________________________________________</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5．注册资金：________________________________________________ </w:t>
      </w:r>
    </w:p>
    <w:p>
      <w:pPr>
        <w:pStyle w:val="97"/>
        <w:keepNext w:val="0"/>
        <w:keepLines w:val="0"/>
        <w:pageBreakBefore w:val="0"/>
        <w:widowControl w:val="0"/>
        <w:kinsoku/>
        <w:overflowPunct/>
        <w:topLinePunct w:val="0"/>
        <w:bidi w:val="0"/>
        <w:spacing w:line="440" w:lineRule="exact"/>
        <w:ind w:firstLine="735"/>
        <w:rPr>
          <w:rFonts w:hint="eastAsia" w:ascii="宋体" w:hAnsi="宋体" w:eastAsia="宋体" w:cs="宋体"/>
          <w:color w:val="auto"/>
          <w:sz w:val="24"/>
          <w:szCs w:val="24"/>
        </w:rPr>
      </w:pPr>
      <w:r>
        <w:rPr>
          <w:rFonts w:hint="eastAsia" w:ascii="宋体" w:hAnsi="宋体" w:eastAsia="宋体" w:cs="宋体"/>
          <w:color w:val="auto"/>
          <w:sz w:val="24"/>
          <w:szCs w:val="24"/>
        </w:rPr>
        <w:t>自有资金：______________________________________________________</w:t>
      </w:r>
    </w:p>
    <w:p>
      <w:pPr>
        <w:pStyle w:val="97"/>
        <w:keepNext w:val="0"/>
        <w:keepLines w:val="0"/>
        <w:pageBreakBefore w:val="0"/>
        <w:widowControl w:val="0"/>
        <w:kinsoku/>
        <w:overflowPunct/>
        <w:topLinePunct w:val="0"/>
        <w:bidi w:val="0"/>
        <w:spacing w:line="440" w:lineRule="exact"/>
        <w:ind w:firstLine="735"/>
        <w:rPr>
          <w:rFonts w:hint="eastAsia" w:ascii="宋体" w:hAnsi="宋体" w:eastAsia="宋体" w:cs="宋体"/>
          <w:color w:val="auto"/>
          <w:sz w:val="24"/>
          <w:szCs w:val="24"/>
        </w:rPr>
      </w:pPr>
      <w:r>
        <w:rPr>
          <w:rFonts w:hint="eastAsia" w:ascii="宋体" w:hAnsi="宋体" w:eastAsia="宋体" w:cs="宋体"/>
          <w:color w:val="auto"/>
          <w:sz w:val="24"/>
          <w:szCs w:val="24"/>
        </w:rPr>
        <w:t>企业人数：______</w:t>
      </w:r>
      <w:r>
        <w:rPr>
          <w:rFonts w:hint="eastAsia" w:ascii="宋体" w:hAnsi="宋体" w:eastAsia="宋体" w:cs="宋体"/>
          <w:b/>
          <w:bCs/>
          <w:color w:val="auto"/>
          <w:sz w:val="24"/>
          <w:szCs w:val="24"/>
        </w:rPr>
        <w:t>_</w:t>
      </w:r>
      <w:r>
        <w:rPr>
          <w:rFonts w:hint="eastAsia" w:ascii="宋体" w:hAnsi="宋体" w:eastAsia="宋体" w:cs="宋体"/>
          <w:color w:val="auto"/>
          <w:sz w:val="24"/>
          <w:szCs w:val="24"/>
        </w:rPr>
        <w:t>人</w:t>
      </w:r>
    </w:p>
    <w:p>
      <w:pPr>
        <w:pStyle w:val="97"/>
        <w:keepNext w:val="0"/>
        <w:keepLines w:val="0"/>
        <w:pageBreakBefore w:val="0"/>
        <w:widowControl w:val="0"/>
        <w:kinsoku/>
        <w:overflowPunct/>
        <w:topLinePunct w:val="0"/>
        <w:bidi w:val="0"/>
        <w:spacing w:line="440" w:lineRule="exact"/>
        <w:ind w:firstLine="420"/>
        <w:outlineLvl w:val="1"/>
        <w:rPr>
          <w:rFonts w:hint="eastAsia" w:ascii="宋体" w:hAnsi="宋体" w:eastAsia="宋体" w:cs="宋体"/>
          <w:color w:val="auto"/>
          <w:sz w:val="24"/>
          <w:szCs w:val="24"/>
        </w:rPr>
      </w:pPr>
      <w:bookmarkStart w:id="373" w:name="_Toc13764"/>
      <w:bookmarkStart w:id="374" w:name="_Toc10150"/>
      <w:r>
        <w:rPr>
          <w:rFonts w:hint="eastAsia" w:ascii="宋体" w:hAnsi="宋体" w:eastAsia="宋体" w:cs="宋体"/>
          <w:color w:val="auto"/>
          <w:sz w:val="24"/>
          <w:szCs w:val="24"/>
        </w:rPr>
        <w:t>6．企业性质：</w:t>
      </w:r>
      <w:bookmarkEnd w:id="373"/>
      <w:bookmarkEnd w:id="374"/>
      <w:r>
        <w:rPr>
          <w:rFonts w:hint="eastAsia" w:ascii="宋体" w:hAnsi="宋体" w:eastAsia="宋体" w:cs="宋体"/>
          <w:color w:val="auto"/>
          <w:sz w:val="24"/>
          <w:szCs w:val="24"/>
          <w:u w:val="single"/>
        </w:rPr>
        <w:t xml:space="preserve">               </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 xml:space="preserve">7．主要经营地点：________________________________________________ </w:t>
      </w:r>
    </w:p>
    <w:p>
      <w:pPr>
        <w:pStyle w:val="97"/>
        <w:keepNext w:val="0"/>
        <w:keepLines w:val="0"/>
        <w:pageBreakBefore w:val="0"/>
        <w:widowControl w:val="0"/>
        <w:kinsoku/>
        <w:overflowPunct/>
        <w:topLinePunct w:val="0"/>
        <w:bidi w:val="0"/>
        <w:spacing w:line="44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如有派出机构，请列出名称及详细通讯地址如下：________________</w:t>
      </w:r>
    </w:p>
    <w:p>
      <w:pPr>
        <w:pStyle w:val="97"/>
        <w:keepNext w:val="0"/>
        <w:keepLines w:val="0"/>
        <w:pageBreakBefore w:val="0"/>
        <w:widowControl w:val="0"/>
        <w:kinsoku/>
        <w:overflowPunct/>
        <w:topLinePunct w:val="0"/>
        <w:bidi w:val="0"/>
        <w:spacing w:line="440" w:lineRule="exact"/>
        <w:ind w:firstLine="465"/>
        <w:rPr>
          <w:rFonts w:hint="eastAsia" w:ascii="宋体" w:hAnsi="宋体" w:eastAsia="宋体" w:cs="宋体"/>
          <w:color w:val="auto"/>
          <w:sz w:val="24"/>
          <w:szCs w:val="24"/>
        </w:rPr>
      </w:pPr>
      <w:r>
        <w:rPr>
          <w:rFonts w:hint="eastAsia" w:ascii="宋体" w:hAnsi="宋体" w:eastAsia="宋体" w:cs="宋体"/>
          <w:color w:val="auto"/>
          <w:sz w:val="24"/>
          <w:szCs w:val="24"/>
        </w:rPr>
        <w:t>8.必需的设备：_______________________________________________</w:t>
      </w:r>
    </w:p>
    <w:p>
      <w:pPr>
        <w:pStyle w:val="97"/>
        <w:keepNext w:val="0"/>
        <w:keepLines w:val="0"/>
        <w:pageBreakBefore w:val="0"/>
        <w:widowControl w:val="0"/>
        <w:kinsoku/>
        <w:overflowPunct/>
        <w:topLinePunct w:val="0"/>
        <w:bidi w:val="0"/>
        <w:spacing w:line="440" w:lineRule="exact"/>
        <w:ind w:firstLine="465"/>
        <w:jc w:val="left"/>
        <w:rPr>
          <w:rFonts w:hint="eastAsia" w:ascii="宋体" w:hAnsi="宋体" w:eastAsia="宋体" w:cs="宋体"/>
          <w:color w:val="auto"/>
          <w:sz w:val="24"/>
          <w:szCs w:val="24"/>
        </w:rPr>
      </w:pPr>
      <w:r>
        <w:rPr>
          <w:rFonts w:hint="eastAsia" w:ascii="宋体" w:hAnsi="宋体" w:eastAsia="宋体" w:cs="宋体"/>
          <w:color w:val="auto"/>
          <w:sz w:val="24"/>
          <w:szCs w:val="24"/>
        </w:rPr>
        <w:t>9.专业技术能力的证明材料：__________________________</w:t>
      </w:r>
    </w:p>
    <w:p>
      <w:pPr>
        <w:pStyle w:val="97"/>
        <w:keepNext w:val="0"/>
        <w:keepLines w:val="0"/>
        <w:pageBreakBefore w:val="0"/>
        <w:widowControl w:val="0"/>
        <w:kinsoku/>
        <w:overflowPunct/>
        <w:topLinePunct w:val="0"/>
        <w:bidi w:val="0"/>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兹证明上述声明是真实、正确的，并提供了全部能提供的资料和数据，我们同意遵照贵方要求出示有关证明文件。</w:t>
      </w:r>
    </w:p>
    <w:p>
      <w:pPr>
        <w:keepNext w:val="0"/>
        <w:keepLines w:val="0"/>
        <w:pageBreakBefore w:val="0"/>
        <w:widowControl w:val="0"/>
        <w:kinsoku/>
        <w:overflowPunct/>
        <w:topLinePunct w:val="0"/>
        <w:bidi w:val="0"/>
        <w:snapToGrid w:val="0"/>
        <w:spacing w:line="360" w:lineRule="auto"/>
        <w:rPr>
          <w:rFonts w:hint="eastAsia" w:ascii="宋体" w:hAnsi="宋体" w:eastAsia="宋体" w:cs="宋体"/>
          <w:color w:val="auto"/>
          <w:spacing w:val="20"/>
          <w:sz w:val="24"/>
        </w:rPr>
      </w:pPr>
    </w:p>
    <w:p>
      <w:pPr>
        <w:keepNext w:val="0"/>
        <w:keepLines w:val="0"/>
        <w:pageBreakBefore w:val="0"/>
        <w:widowControl w:val="0"/>
        <w:kinsoku/>
        <w:overflowPunct/>
        <w:topLinePunct w:val="0"/>
        <w:bidi w:val="0"/>
        <w:snapToGrid w:val="0"/>
        <w:spacing w:line="360" w:lineRule="auto"/>
        <w:ind w:firstLine="5320" w:firstLineChars="19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供应商盖章：</w:t>
      </w:r>
      <w:r>
        <w:rPr>
          <w:rFonts w:hint="eastAsia" w:ascii="宋体" w:hAnsi="宋体" w:eastAsia="宋体" w:cs="宋体"/>
          <w:color w:val="auto"/>
          <w:spacing w:val="20"/>
          <w:sz w:val="24"/>
          <w:u w:val="single"/>
        </w:rPr>
        <w:t xml:space="preserve">            </w:t>
      </w:r>
    </w:p>
    <w:p>
      <w:pPr>
        <w:keepNext w:val="0"/>
        <w:keepLines w:val="0"/>
        <w:pageBreakBefore w:val="0"/>
        <w:widowControl w:val="0"/>
        <w:kinsoku/>
        <w:overflowPunct/>
        <w:topLinePunct w:val="0"/>
        <w:bidi w:val="0"/>
        <w:snapToGrid w:val="0"/>
        <w:spacing w:line="360" w:lineRule="auto"/>
        <w:ind w:firstLine="5320" w:firstLineChars="1900"/>
        <w:rPr>
          <w:rFonts w:hint="eastAsia" w:ascii="宋体" w:hAnsi="宋体" w:eastAsia="宋体" w:cs="宋体"/>
          <w:color w:val="auto"/>
          <w:spacing w:val="20"/>
          <w:sz w:val="24"/>
          <w:u w:val="single"/>
        </w:rPr>
      </w:pPr>
      <w:r>
        <w:rPr>
          <w:rFonts w:hint="eastAsia" w:ascii="宋体" w:hAnsi="宋体" w:eastAsia="宋体" w:cs="宋体"/>
          <w:color w:val="auto"/>
          <w:spacing w:val="20"/>
          <w:sz w:val="24"/>
        </w:rPr>
        <w:t>日     期：</w:t>
      </w:r>
      <w:r>
        <w:rPr>
          <w:rFonts w:hint="eastAsia" w:ascii="宋体" w:hAnsi="宋体" w:eastAsia="宋体" w:cs="宋体"/>
          <w:color w:val="auto"/>
          <w:spacing w:val="20"/>
          <w:sz w:val="24"/>
          <w:u w:val="single"/>
        </w:rPr>
        <w:t xml:space="preserve">            </w:t>
      </w:r>
    </w:p>
    <w:p>
      <w:pPr>
        <w:pStyle w:val="7"/>
        <w:keepNext w:val="0"/>
        <w:keepLines w:val="0"/>
        <w:pageBreakBefore w:val="0"/>
        <w:widowControl w:val="0"/>
        <w:kinsoku/>
        <w:overflowPunct/>
        <w:topLinePunct w:val="0"/>
        <w:bidi w:val="0"/>
        <w:spacing w:line="440" w:lineRule="exact"/>
        <w:ind w:left="0"/>
        <w:jc w:val="center"/>
        <w:rPr>
          <w:rFonts w:hint="eastAsia" w:ascii="宋体" w:hAnsi="宋体" w:eastAsia="宋体" w:cs="宋体"/>
          <w:b/>
          <w:color w:val="auto"/>
          <w:sz w:val="32"/>
        </w:rPr>
      </w:pPr>
      <w:r>
        <w:rPr>
          <w:rFonts w:hint="eastAsia" w:ascii="宋体" w:hAnsi="宋体" w:eastAsia="宋体" w:cs="宋体"/>
          <w:b/>
          <w:color w:val="auto"/>
          <w:sz w:val="24"/>
          <w:szCs w:val="24"/>
        </w:rPr>
        <w:t>注：</w:t>
      </w:r>
      <w:r>
        <w:rPr>
          <w:rFonts w:hint="eastAsia" w:ascii="宋体" w:hAnsi="宋体" w:eastAsia="宋体" w:cs="宋体"/>
          <w:color w:val="auto"/>
          <w:sz w:val="24"/>
          <w:szCs w:val="24"/>
        </w:rPr>
        <w:t>上表8、9项内容可自行添加（格式自拟）。</w:t>
      </w:r>
      <w:r>
        <w:rPr>
          <w:rFonts w:hint="eastAsia" w:ascii="宋体" w:hAnsi="宋体" w:eastAsia="宋体" w:cs="宋体"/>
          <w:b/>
          <w:color w:val="auto"/>
          <w:sz w:val="32"/>
        </w:rPr>
        <w:br w:type="page"/>
      </w:r>
      <w:bookmarkStart w:id="375" w:name="_Toc1841"/>
      <w:bookmarkStart w:id="376" w:name="_Toc9913"/>
      <w:r>
        <w:rPr>
          <w:rFonts w:hint="eastAsia" w:ascii="宋体" w:hAnsi="宋体" w:eastAsia="宋体" w:cs="宋体"/>
          <w:b/>
          <w:color w:val="auto"/>
          <w:sz w:val="32"/>
          <w:lang w:val="en-US" w:eastAsia="zh-CN"/>
        </w:rPr>
        <w:t>6</w:t>
      </w:r>
      <w:r>
        <w:rPr>
          <w:rFonts w:hint="eastAsia" w:ascii="宋体" w:hAnsi="宋体" w:eastAsia="宋体" w:cs="宋体"/>
          <w:b/>
          <w:color w:val="auto"/>
          <w:sz w:val="32"/>
        </w:rPr>
        <w:t>、无重大违法记录声明书</w:t>
      </w:r>
      <w:bookmarkEnd w:id="370"/>
      <w:bookmarkEnd w:id="375"/>
      <w:bookmarkEnd w:id="376"/>
    </w:p>
    <w:p>
      <w:pPr>
        <w:pStyle w:val="92"/>
        <w:keepNext w:val="0"/>
        <w:keepLines w:val="0"/>
        <w:pageBreakBefore w:val="0"/>
        <w:widowControl w:val="0"/>
        <w:kinsoku/>
        <w:overflowPunct/>
        <w:topLinePunct w:val="0"/>
        <w:bidi w:val="0"/>
        <w:spacing w:before="312" w:beforeLines="100" w:line="660" w:lineRule="exact"/>
        <w:rPr>
          <w:rFonts w:hint="eastAsia" w:ascii="宋体" w:hAnsi="宋体" w:eastAsia="宋体" w:cs="宋体"/>
          <w:color w:val="auto"/>
          <w:spacing w:val="6"/>
          <w:sz w:val="24"/>
        </w:rPr>
      </w:pPr>
      <w:r>
        <w:rPr>
          <w:rFonts w:hint="eastAsia" w:ascii="宋体" w:hAnsi="宋体" w:eastAsia="宋体" w:cs="宋体"/>
          <w:color w:val="auto"/>
          <w:sz w:val="24"/>
          <w:u w:val="single"/>
        </w:rPr>
        <w:t>（代理机构名称）</w:t>
      </w:r>
      <w:r>
        <w:rPr>
          <w:rFonts w:hint="eastAsia" w:ascii="宋体" w:hAnsi="宋体" w:eastAsia="宋体" w:cs="宋体"/>
          <w:color w:val="auto"/>
          <w:spacing w:val="6"/>
          <w:sz w:val="24"/>
        </w:rPr>
        <w:t>：</w:t>
      </w:r>
    </w:p>
    <w:p>
      <w:pPr>
        <w:pStyle w:val="92"/>
        <w:keepNext w:val="0"/>
        <w:keepLines w:val="0"/>
        <w:pageBreakBefore w:val="0"/>
        <w:widowControl w:val="0"/>
        <w:kinsoku/>
        <w:overflowPunct/>
        <w:topLinePunct w:val="0"/>
        <w:bidi w:val="0"/>
        <w:spacing w:before="156" w:beforeLines="50" w:line="66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 xml:space="preserve"> 我方参与的</w:t>
      </w:r>
      <w:r>
        <w:rPr>
          <w:rFonts w:hint="eastAsia" w:ascii="宋体" w:hAnsi="宋体" w:eastAsia="宋体" w:cs="宋体"/>
          <w:color w:val="auto"/>
          <w:spacing w:val="6"/>
          <w:sz w:val="24"/>
          <w:u w:val="single"/>
        </w:rPr>
        <w:t xml:space="preserve">                         </w:t>
      </w:r>
      <w:r>
        <w:rPr>
          <w:rFonts w:hint="eastAsia" w:ascii="宋体" w:hAnsi="宋体" w:eastAsia="宋体" w:cs="宋体"/>
          <w:color w:val="auto"/>
          <w:spacing w:val="6"/>
          <w:sz w:val="24"/>
        </w:rPr>
        <w:t>（采购项目名称）（采购编号：</w:t>
      </w:r>
      <w:r>
        <w:rPr>
          <w:rFonts w:hint="eastAsia" w:ascii="宋体" w:hAnsi="宋体" w:eastAsia="宋体" w:cs="宋体"/>
          <w:color w:val="auto"/>
          <w:spacing w:val="6"/>
          <w:sz w:val="24"/>
          <w:u w:val="single"/>
        </w:rPr>
        <w:t>　　  　　</w:t>
      </w:r>
      <w:r>
        <w:rPr>
          <w:rFonts w:hint="eastAsia" w:ascii="宋体" w:hAnsi="宋体" w:eastAsia="宋体" w:cs="宋体"/>
          <w:color w:val="auto"/>
          <w:spacing w:val="6"/>
          <w:sz w:val="24"/>
        </w:rPr>
        <w:t>）项目的磋商活动，我方郑重声明，我方参加本项目磋商活动前三年内无重大违法记录</w:t>
      </w:r>
      <w:r>
        <w:rPr>
          <w:rFonts w:hint="eastAsia" w:ascii="宋体" w:hAnsi="宋体" w:eastAsia="宋体" w:cs="宋体"/>
          <w:b/>
          <w:color w:val="auto"/>
          <w:spacing w:val="6"/>
          <w:sz w:val="24"/>
        </w:rPr>
        <w:t>（重大违法记录是指供应商因违法经营受到刑事处罚或者责令停产停业、吊销许可证或者执照、较大数额罚款等行政处罚），</w:t>
      </w:r>
      <w:r>
        <w:rPr>
          <w:rFonts w:hint="eastAsia" w:ascii="宋体" w:hAnsi="宋体" w:eastAsia="宋体" w:cs="宋体"/>
          <w:color w:val="auto"/>
          <w:spacing w:val="6"/>
          <w:sz w:val="24"/>
        </w:rPr>
        <w:t>符合《中华人民共和国政府采购法》、《中华人民共和国政府采购法实施条例》的规定。我方对此声明负全部法律责任。</w:t>
      </w:r>
    </w:p>
    <w:p>
      <w:pPr>
        <w:pStyle w:val="92"/>
        <w:keepNext w:val="0"/>
        <w:keepLines w:val="0"/>
        <w:pageBreakBefore w:val="0"/>
        <w:widowControl w:val="0"/>
        <w:kinsoku/>
        <w:overflowPunct/>
        <w:topLinePunct w:val="0"/>
        <w:bidi w:val="0"/>
        <w:spacing w:line="660" w:lineRule="exact"/>
        <w:ind w:firstLine="504" w:firstLineChars="200"/>
        <w:rPr>
          <w:rFonts w:hint="eastAsia" w:ascii="宋体" w:hAnsi="宋体" w:eastAsia="宋体" w:cs="宋体"/>
          <w:color w:val="auto"/>
          <w:spacing w:val="6"/>
          <w:sz w:val="24"/>
        </w:rPr>
      </w:pPr>
      <w:r>
        <w:rPr>
          <w:rFonts w:hint="eastAsia" w:ascii="宋体" w:hAnsi="宋体" w:eastAsia="宋体" w:cs="宋体"/>
          <w:color w:val="auto"/>
          <w:spacing w:val="6"/>
          <w:sz w:val="24"/>
        </w:rPr>
        <w:t>特此声明。</w:t>
      </w:r>
    </w:p>
    <w:p>
      <w:pPr>
        <w:pStyle w:val="91"/>
        <w:keepNext w:val="0"/>
        <w:keepLines w:val="0"/>
        <w:pageBreakBefore w:val="0"/>
        <w:widowControl w:val="0"/>
        <w:kinsoku/>
        <w:overflowPunct/>
        <w:topLinePunct w:val="0"/>
        <w:bidi w:val="0"/>
        <w:jc w:val="center"/>
        <w:rPr>
          <w:rFonts w:hint="eastAsia" w:ascii="宋体" w:hAnsi="宋体" w:eastAsia="宋体" w:cs="宋体"/>
          <w:color w:val="auto"/>
          <w:sz w:val="24"/>
          <w:szCs w:val="24"/>
        </w:rPr>
      </w:pPr>
    </w:p>
    <w:p>
      <w:pPr>
        <w:pStyle w:val="19"/>
        <w:keepNext w:val="0"/>
        <w:keepLines w:val="0"/>
        <w:pageBreakBefore w:val="0"/>
        <w:widowControl w:val="0"/>
        <w:kinsoku/>
        <w:overflowPunct/>
        <w:topLinePunct w:val="0"/>
        <w:bidi w:val="0"/>
        <w:spacing w:line="500" w:lineRule="exact"/>
        <w:ind w:firstLine="3080" w:firstLineChars="1100"/>
        <w:rPr>
          <w:rFonts w:hint="eastAsia" w:ascii="宋体" w:hAnsi="宋体" w:eastAsia="宋体" w:cs="宋体"/>
          <w:color w:val="auto"/>
          <w:spacing w:val="20"/>
          <w:sz w:val="24"/>
          <w:szCs w:val="24"/>
        </w:rPr>
      </w:pPr>
      <w:bookmarkStart w:id="377" w:name="_Toc386467624"/>
      <w:r>
        <w:rPr>
          <w:rFonts w:hint="eastAsia" w:ascii="宋体" w:hAnsi="宋体" w:eastAsia="宋体" w:cs="宋体"/>
          <w:color w:val="auto"/>
          <w:spacing w:val="20"/>
          <w:sz w:val="24"/>
          <w:szCs w:val="24"/>
        </w:rPr>
        <w:t>供应商盖章：</w:t>
      </w:r>
      <w:r>
        <w:rPr>
          <w:rFonts w:hint="eastAsia" w:ascii="宋体" w:hAnsi="宋体" w:eastAsia="宋体" w:cs="宋体"/>
          <w:color w:val="auto"/>
          <w:spacing w:val="20"/>
          <w:sz w:val="24"/>
          <w:szCs w:val="24"/>
          <w:u w:val="single"/>
        </w:rPr>
        <w:t xml:space="preserve">            </w:t>
      </w:r>
    </w:p>
    <w:p>
      <w:pPr>
        <w:pStyle w:val="19"/>
        <w:keepNext w:val="0"/>
        <w:keepLines w:val="0"/>
        <w:pageBreakBefore w:val="0"/>
        <w:widowControl w:val="0"/>
        <w:kinsoku/>
        <w:overflowPunct/>
        <w:topLinePunct w:val="0"/>
        <w:bidi w:val="0"/>
        <w:spacing w:line="500" w:lineRule="exact"/>
        <w:ind w:firstLine="3080" w:firstLineChars="1100"/>
        <w:rPr>
          <w:rFonts w:hint="eastAsia" w:ascii="宋体" w:hAnsi="宋体" w:eastAsia="宋体" w:cs="宋体"/>
          <w:color w:val="auto"/>
          <w:spacing w:val="20"/>
          <w:sz w:val="24"/>
          <w:szCs w:val="24"/>
        </w:rPr>
      </w:pPr>
      <w:r>
        <w:rPr>
          <w:rFonts w:hint="eastAsia" w:ascii="宋体" w:hAnsi="宋体" w:eastAsia="宋体" w:cs="宋体"/>
          <w:color w:val="auto"/>
          <w:spacing w:val="20"/>
          <w:sz w:val="24"/>
          <w:szCs w:val="24"/>
        </w:rPr>
        <w:t>日    期：</w:t>
      </w:r>
      <w:r>
        <w:rPr>
          <w:rFonts w:hint="eastAsia" w:ascii="宋体" w:hAnsi="宋体" w:eastAsia="宋体" w:cs="宋体"/>
          <w:color w:val="auto"/>
          <w:spacing w:val="20"/>
          <w:sz w:val="24"/>
          <w:szCs w:val="24"/>
          <w:u w:val="single"/>
        </w:rPr>
        <w:t xml:space="preserve">            </w:t>
      </w:r>
    </w:p>
    <w:p>
      <w:pPr>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color w:val="auto"/>
          <w:spacing w:val="0"/>
          <w:sz w:val="30"/>
        </w:rPr>
      </w:pPr>
      <w:bookmarkStart w:id="378" w:name="_Toc11952"/>
      <w:r>
        <w:rPr>
          <w:rFonts w:hint="eastAsia" w:ascii="宋体" w:hAnsi="宋体" w:eastAsia="宋体" w:cs="宋体"/>
          <w:b/>
          <w:color w:val="auto"/>
          <w:spacing w:val="0"/>
          <w:sz w:val="30"/>
        </w:rPr>
        <w:t>▲</w:t>
      </w:r>
      <w:r>
        <w:rPr>
          <w:rFonts w:hint="eastAsia" w:ascii="宋体" w:hAnsi="宋体" w:eastAsia="宋体" w:cs="宋体"/>
          <w:b/>
          <w:color w:val="auto"/>
          <w:spacing w:val="0"/>
          <w:sz w:val="30"/>
          <w:lang w:val="en-US" w:eastAsia="zh-CN"/>
        </w:rPr>
        <w:t>7</w:t>
      </w:r>
      <w:r>
        <w:rPr>
          <w:rFonts w:hint="eastAsia" w:ascii="宋体" w:hAnsi="宋体" w:eastAsia="宋体" w:cs="宋体"/>
          <w:b/>
          <w:color w:val="auto"/>
          <w:spacing w:val="0"/>
          <w:sz w:val="30"/>
        </w:rPr>
        <w:t>.企业类型声明函</w:t>
      </w:r>
      <w:bookmarkEnd w:id="378"/>
    </w:p>
    <w:p>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color w:val="auto"/>
          <w:spacing w:val="0"/>
          <w:sz w:val="30"/>
        </w:rPr>
      </w:pPr>
      <w:bookmarkStart w:id="379" w:name="_Toc5203"/>
      <w:r>
        <w:rPr>
          <w:rFonts w:hint="eastAsia" w:ascii="宋体" w:hAnsi="宋体" w:eastAsia="宋体" w:cs="宋体"/>
          <w:b/>
          <w:color w:val="auto"/>
          <w:spacing w:val="0"/>
          <w:sz w:val="30"/>
          <w:lang w:val="en-US" w:eastAsia="zh-CN"/>
        </w:rPr>
        <w:t>7</w:t>
      </w:r>
      <w:r>
        <w:rPr>
          <w:rFonts w:hint="eastAsia" w:ascii="宋体" w:hAnsi="宋体" w:eastAsia="宋体" w:cs="宋体"/>
          <w:b/>
          <w:color w:val="auto"/>
          <w:spacing w:val="0"/>
          <w:sz w:val="30"/>
        </w:rPr>
        <w:t>.1</w:t>
      </w:r>
      <w:r>
        <w:rPr>
          <w:rFonts w:hint="eastAsia" w:ascii="宋体" w:hAnsi="宋体" w:eastAsia="宋体" w:cs="宋体"/>
          <w:b/>
          <w:bCs/>
          <w:color w:val="auto"/>
          <w:spacing w:val="0"/>
          <w:sz w:val="30"/>
        </w:rPr>
        <w:t>中小企业声明函</w:t>
      </w:r>
      <w:bookmarkEnd w:id="379"/>
    </w:p>
    <w:p>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本公司（联合体）郑重声明，根据《政府采购促进中小企业发展管理办法》（财库﹝2020﹞46 号）的规定，本公司（联合体）参加</w:t>
      </w:r>
      <w:r>
        <w:rPr>
          <w:rFonts w:hint="eastAsia" w:ascii="宋体" w:hAnsi="宋体" w:eastAsia="宋体" w:cs="宋体"/>
          <w:color w:val="auto"/>
          <w:spacing w:val="0"/>
          <w:sz w:val="22"/>
          <w:szCs w:val="22"/>
          <w:u w:val="single"/>
        </w:rPr>
        <w:t>（单位名称）</w:t>
      </w:r>
      <w:r>
        <w:rPr>
          <w:rFonts w:hint="eastAsia" w:ascii="宋体" w:hAnsi="宋体" w:eastAsia="宋体" w:cs="宋体"/>
          <w:color w:val="auto"/>
          <w:spacing w:val="0"/>
          <w:sz w:val="22"/>
          <w:szCs w:val="22"/>
        </w:rPr>
        <w:t>的</w:t>
      </w:r>
      <w:r>
        <w:rPr>
          <w:rFonts w:hint="eastAsia" w:ascii="宋体" w:hAnsi="宋体" w:eastAsia="宋体" w:cs="宋体"/>
          <w:color w:val="auto"/>
          <w:spacing w:val="0"/>
          <w:sz w:val="22"/>
          <w:szCs w:val="22"/>
          <w:u w:val="single"/>
        </w:rPr>
        <w:t xml:space="preserve">  （项目名称）</w:t>
      </w:r>
      <w:r>
        <w:rPr>
          <w:rFonts w:hint="eastAsia" w:ascii="宋体" w:hAnsi="宋体" w:eastAsia="宋体" w:cs="宋体"/>
          <w:color w:val="auto"/>
          <w:spacing w:val="0"/>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1.</w:t>
      </w:r>
      <w:r>
        <w:rPr>
          <w:rFonts w:hint="eastAsia" w:ascii="宋体" w:hAnsi="宋体" w:eastAsia="宋体" w:cs="宋体"/>
          <w:color w:val="auto"/>
          <w:spacing w:val="0"/>
          <w:sz w:val="22"/>
          <w:szCs w:val="22"/>
          <w:u w:val="single"/>
        </w:rPr>
        <w:t xml:space="preserve"> （标的名称） </w:t>
      </w:r>
      <w:r>
        <w:rPr>
          <w:rFonts w:hint="eastAsia" w:ascii="宋体" w:hAnsi="宋体" w:eastAsia="宋体" w:cs="宋体"/>
          <w:color w:val="auto"/>
          <w:spacing w:val="0"/>
          <w:sz w:val="22"/>
          <w:szCs w:val="22"/>
        </w:rPr>
        <w:t>，属于</w:t>
      </w:r>
      <w:r>
        <w:rPr>
          <w:rFonts w:hint="eastAsia" w:ascii="宋体" w:hAnsi="宋体" w:eastAsia="宋体" w:cs="宋体"/>
          <w:color w:val="auto"/>
          <w:spacing w:val="0"/>
          <w:sz w:val="22"/>
          <w:szCs w:val="22"/>
          <w:u w:val="single"/>
        </w:rPr>
        <w:t>（采购文件中明确的所属行业）</w:t>
      </w:r>
      <w:r>
        <w:rPr>
          <w:rFonts w:hint="eastAsia" w:ascii="宋体" w:hAnsi="宋体" w:eastAsia="宋体" w:cs="宋体"/>
          <w:color w:val="auto"/>
          <w:spacing w:val="0"/>
          <w:sz w:val="22"/>
          <w:szCs w:val="22"/>
        </w:rPr>
        <w:t>； 承建（承接）企业为</w:t>
      </w:r>
      <w:r>
        <w:rPr>
          <w:rFonts w:hint="eastAsia" w:ascii="宋体" w:hAnsi="宋体" w:eastAsia="宋体" w:cs="宋体"/>
          <w:color w:val="auto"/>
          <w:spacing w:val="0"/>
          <w:sz w:val="22"/>
          <w:szCs w:val="22"/>
          <w:u w:val="single"/>
        </w:rPr>
        <w:t>（企业名称）</w:t>
      </w:r>
      <w:r>
        <w:rPr>
          <w:rFonts w:hint="eastAsia" w:ascii="宋体" w:hAnsi="宋体" w:eastAsia="宋体" w:cs="宋体"/>
          <w:color w:val="auto"/>
          <w:spacing w:val="0"/>
          <w:sz w:val="22"/>
          <w:szCs w:val="22"/>
        </w:rPr>
        <w:t>，从业人员</w:t>
      </w:r>
      <w:r>
        <w:rPr>
          <w:rFonts w:hint="eastAsia" w:ascii="宋体" w:hAnsi="宋体" w:eastAsia="宋体" w:cs="宋体"/>
          <w:color w:val="auto"/>
          <w:spacing w:val="0"/>
          <w:sz w:val="22"/>
          <w:szCs w:val="22"/>
          <w:u w:val="single"/>
        </w:rPr>
        <w:t xml:space="preserve">     </w:t>
      </w:r>
      <w:r>
        <w:rPr>
          <w:rFonts w:hint="eastAsia" w:ascii="宋体" w:hAnsi="宋体" w:eastAsia="宋体" w:cs="宋体"/>
          <w:color w:val="auto"/>
          <w:spacing w:val="0"/>
          <w:sz w:val="22"/>
          <w:szCs w:val="22"/>
        </w:rPr>
        <w:t>人，营业收入为</w:t>
      </w:r>
      <w:r>
        <w:rPr>
          <w:rFonts w:hint="eastAsia" w:ascii="宋体" w:hAnsi="宋体" w:eastAsia="宋体" w:cs="宋体"/>
          <w:color w:val="auto"/>
          <w:spacing w:val="0"/>
          <w:sz w:val="22"/>
          <w:szCs w:val="22"/>
          <w:u w:val="single"/>
        </w:rPr>
        <w:t xml:space="preserve">        </w:t>
      </w:r>
      <w:r>
        <w:rPr>
          <w:rFonts w:hint="eastAsia" w:ascii="宋体" w:hAnsi="宋体" w:eastAsia="宋体" w:cs="宋体"/>
          <w:color w:val="auto"/>
          <w:spacing w:val="0"/>
          <w:sz w:val="22"/>
          <w:szCs w:val="22"/>
        </w:rPr>
        <w:t>万元，资产总额为</w:t>
      </w:r>
      <w:r>
        <w:rPr>
          <w:rFonts w:hint="eastAsia" w:ascii="宋体" w:hAnsi="宋体" w:eastAsia="宋体" w:cs="宋体"/>
          <w:color w:val="auto"/>
          <w:spacing w:val="0"/>
          <w:sz w:val="22"/>
          <w:szCs w:val="22"/>
          <w:u w:val="single"/>
        </w:rPr>
        <w:t xml:space="preserve">      </w:t>
      </w:r>
      <w:r>
        <w:rPr>
          <w:rFonts w:hint="eastAsia" w:ascii="宋体" w:hAnsi="宋体" w:eastAsia="宋体" w:cs="宋体"/>
          <w:color w:val="auto"/>
          <w:spacing w:val="0"/>
          <w:sz w:val="22"/>
          <w:szCs w:val="22"/>
        </w:rPr>
        <w:t>万元，属于</w:t>
      </w:r>
      <w:r>
        <w:rPr>
          <w:rFonts w:hint="eastAsia" w:ascii="宋体" w:hAnsi="宋体" w:eastAsia="宋体" w:cs="宋体"/>
          <w:color w:val="auto"/>
          <w:spacing w:val="0"/>
          <w:sz w:val="22"/>
          <w:szCs w:val="22"/>
          <w:u w:val="single"/>
        </w:rPr>
        <w:t>（中型企业、小型企业、微型企业）</w:t>
      </w:r>
      <w:r>
        <w:rPr>
          <w:rFonts w:hint="eastAsia" w:ascii="宋体" w:hAnsi="宋体" w:eastAsia="宋体" w:cs="宋体"/>
          <w:color w:val="auto"/>
          <w:spacing w:val="0"/>
          <w:sz w:val="22"/>
          <w:szCs w:val="22"/>
        </w:rPr>
        <w:t xml:space="preserve">； </w:t>
      </w:r>
    </w:p>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w:t>
      </w:r>
    </w:p>
    <w:p>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以上企业，不属于大企业的分支机构，不存在控股股东为大企业的情形，也不存在与大企业的负责人为同一人的情形。</w:t>
      </w:r>
    </w:p>
    <w:p>
      <w:pPr>
        <w:keepNext w:val="0"/>
        <w:keepLines w:val="0"/>
        <w:pageBreakBefore w:val="0"/>
        <w:widowControl w:val="0"/>
        <w:kinsoku/>
        <w:overflowPunct/>
        <w:topLinePunct w:val="0"/>
        <w:bidi w:val="0"/>
        <w:spacing w:line="360" w:lineRule="auto"/>
        <w:ind w:firstLine="440" w:firstLineChars="200"/>
        <w:rPr>
          <w:rFonts w:hint="eastAsia" w:ascii="宋体" w:hAnsi="宋体" w:eastAsia="宋体" w:cs="宋体"/>
          <w:color w:val="auto"/>
          <w:spacing w:val="0"/>
          <w:kern w:val="0"/>
          <w:sz w:val="22"/>
          <w:szCs w:val="22"/>
        </w:rPr>
      </w:pPr>
      <w:r>
        <w:rPr>
          <w:rFonts w:hint="eastAsia" w:ascii="宋体" w:hAnsi="宋体" w:eastAsia="宋体" w:cs="宋体"/>
          <w:color w:val="auto"/>
          <w:spacing w:val="0"/>
          <w:sz w:val="22"/>
          <w:szCs w:val="22"/>
        </w:rPr>
        <w:t>本企业对上述声明内容的真实性负责。如有虚假，将依法承担相应责任。</w:t>
      </w:r>
      <w:r>
        <w:rPr>
          <w:rFonts w:hint="eastAsia" w:ascii="宋体" w:hAnsi="宋体" w:eastAsia="宋体" w:cs="宋体"/>
          <w:color w:val="auto"/>
          <w:spacing w:val="0"/>
          <w:kern w:val="0"/>
          <w:sz w:val="22"/>
          <w:szCs w:val="22"/>
        </w:rPr>
        <w:t xml:space="preserve"> </w:t>
      </w:r>
    </w:p>
    <w:p>
      <w:pPr>
        <w:pStyle w:val="19"/>
        <w:keepNext w:val="0"/>
        <w:keepLines w:val="0"/>
        <w:pageBreakBefore w:val="0"/>
        <w:widowControl w:val="0"/>
        <w:kinsoku/>
        <w:wordWrap/>
        <w:overflowPunct/>
        <w:topLinePunct w:val="0"/>
        <w:bidi w:val="0"/>
        <w:spacing w:line="360" w:lineRule="auto"/>
        <w:ind w:left="0" w:firstLine="442" w:firstLineChars="200"/>
        <w:rPr>
          <w:rFonts w:hint="eastAsia" w:ascii="宋体" w:hAnsi="宋体" w:eastAsia="宋体" w:cs="宋体"/>
          <w:b/>
          <w:bCs/>
          <w:color w:val="auto"/>
          <w:spacing w:val="0"/>
          <w:sz w:val="22"/>
          <w:szCs w:val="22"/>
        </w:rPr>
      </w:pPr>
      <w:r>
        <w:rPr>
          <w:rFonts w:hint="eastAsia" w:ascii="宋体" w:hAnsi="宋体" w:eastAsia="宋体" w:cs="宋体"/>
          <w:b/>
          <w:bCs/>
          <w:color w:val="auto"/>
          <w:spacing w:val="0"/>
          <w:sz w:val="22"/>
          <w:szCs w:val="22"/>
        </w:rPr>
        <w:t>注：</w:t>
      </w:r>
    </w:p>
    <w:p>
      <w:pPr>
        <w:pStyle w:val="19"/>
        <w:keepNext w:val="0"/>
        <w:keepLines w:val="0"/>
        <w:pageBreakBefore w:val="0"/>
        <w:widowControl w:val="0"/>
        <w:kinsoku/>
        <w:wordWrap/>
        <w:overflowPunct/>
        <w:topLinePunct w:val="0"/>
        <w:bidi w:val="0"/>
        <w:spacing w:line="360" w:lineRule="auto"/>
        <w:ind w:left="420" w:leftChars="200" w:firstLine="442" w:firstLineChars="200"/>
        <w:rPr>
          <w:rFonts w:hint="eastAsia" w:ascii="宋体" w:hAnsi="宋体" w:eastAsia="宋体" w:cs="宋体"/>
          <w:b/>
          <w:bCs/>
          <w:color w:val="auto"/>
          <w:spacing w:val="0"/>
          <w:sz w:val="22"/>
          <w:szCs w:val="22"/>
        </w:rPr>
      </w:pPr>
      <w:r>
        <w:rPr>
          <w:rFonts w:hint="eastAsia" w:ascii="宋体" w:hAnsi="宋体" w:eastAsia="宋体" w:cs="宋体"/>
          <w:b/>
          <w:bCs/>
          <w:color w:val="auto"/>
          <w:spacing w:val="0"/>
          <w:sz w:val="22"/>
          <w:szCs w:val="22"/>
        </w:rPr>
        <w:t>1.从业人员、营业收入、资产总额填报上一年度数据，无上一年度数据的新成立企业可不填报。</w:t>
      </w:r>
    </w:p>
    <w:p>
      <w:pPr>
        <w:pStyle w:val="74"/>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2"/>
          <w:szCs w:val="22"/>
          <w:u w:val="single"/>
        </w:rPr>
      </w:pPr>
      <w:r>
        <w:rPr>
          <w:rFonts w:hint="eastAsia" w:ascii="宋体" w:hAnsi="宋体" w:eastAsia="宋体" w:cs="宋体"/>
          <w:color w:val="auto"/>
          <w:spacing w:val="0"/>
          <w:sz w:val="22"/>
          <w:szCs w:val="22"/>
          <w:lang w:eastAsia="zh-CN"/>
        </w:rPr>
        <w:t>供应商</w:t>
      </w:r>
      <w:r>
        <w:rPr>
          <w:rFonts w:hint="eastAsia" w:ascii="宋体" w:hAnsi="宋体" w:eastAsia="宋体" w:cs="宋体"/>
          <w:color w:val="auto"/>
          <w:spacing w:val="0"/>
          <w:sz w:val="22"/>
          <w:szCs w:val="22"/>
        </w:rPr>
        <w:t>盖章：</w:t>
      </w:r>
      <w:r>
        <w:rPr>
          <w:rFonts w:hint="eastAsia" w:ascii="宋体" w:hAnsi="宋体" w:eastAsia="宋体" w:cs="宋体"/>
          <w:color w:val="auto"/>
          <w:spacing w:val="0"/>
          <w:sz w:val="22"/>
          <w:szCs w:val="22"/>
          <w:u w:val="single"/>
        </w:rPr>
        <w:t xml:space="preserve">                </w:t>
      </w:r>
    </w:p>
    <w:p>
      <w:pPr>
        <w:pStyle w:val="74"/>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2"/>
          <w:szCs w:val="22"/>
          <w:u w:val="single"/>
        </w:rPr>
      </w:pPr>
      <w:r>
        <w:rPr>
          <w:rFonts w:hint="eastAsia" w:ascii="宋体" w:hAnsi="宋体" w:eastAsia="宋体" w:cs="宋体"/>
          <w:color w:val="auto"/>
          <w:spacing w:val="0"/>
          <w:sz w:val="22"/>
          <w:szCs w:val="22"/>
        </w:rPr>
        <w:t>日      期：</w:t>
      </w:r>
      <w:r>
        <w:rPr>
          <w:rFonts w:hint="eastAsia" w:ascii="宋体" w:hAnsi="宋体" w:eastAsia="宋体" w:cs="宋体"/>
          <w:color w:val="auto"/>
          <w:spacing w:val="0"/>
          <w:sz w:val="22"/>
          <w:szCs w:val="22"/>
          <w:u w:val="single"/>
        </w:rPr>
        <w:t xml:space="preserve">                </w:t>
      </w: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spacing w:val="0"/>
        </w:rPr>
      </w:pP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rPr>
      </w:pP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rPr>
      </w:pP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rPr>
      </w:pP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rPr>
      </w:pP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rPr>
      </w:pP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rPr>
      </w:pP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rPr>
      </w:pP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rPr>
      </w:pP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rPr>
      </w:pPr>
    </w:p>
    <w:p>
      <w:pPr>
        <w:pStyle w:val="42"/>
        <w:keepNext w:val="0"/>
        <w:keepLines w:val="0"/>
        <w:pageBreakBefore w:val="0"/>
        <w:widowControl w:val="0"/>
        <w:kinsoku/>
        <w:overflowPunct/>
        <w:topLinePunct w:val="0"/>
        <w:bidi w:val="0"/>
        <w:ind w:firstLine="0" w:firstLineChars="0"/>
        <w:rPr>
          <w:rFonts w:hint="eastAsia" w:ascii="宋体" w:hAnsi="宋体" w:eastAsia="宋体" w:cs="宋体"/>
          <w:color w:val="auto"/>
        </w:rPr>
      </w:pPr>
    </w:p>
    <w:p>
      <w:pPr>
        <w:keepNext w:val="0"/>
        <w:keepLines w:val="0"/>
        <w:pageBreakBefore w:val="0"/>
        <w:widowControl w:val="0"/>
        <w:kinsoku/>
        <w:overflowPunct/>
        <w:topLinePunct w:val="0"/>
        <w:bidi w:val="0"/>
        <w:spacing w:line="480" w:lineRule="auto"/>
        <w:jc w:val="center"/>
        <w:outlineLvl w:val="2"/>
        <w:rPr>
          <w:rFonts w:hint="eastAsia" w:ascii="宋体" w:hAnsi="宋体" w:eastAsia="宋体" w:cs="宋体"/>
          <w:b/>
          <w:bCs/>
          <w:color w:val="auto"/>
          <w:sz w:val="30"/>
        </w:rPr>
      </w:pPr>
      <w:bookmarkStart w:id="380" w:name="_Toc185"/>
      <w:r>
        <w:rPr>
          <w:rFonts w:hint="eastAsia" w:ascii="宋体" w:hAnsi="宋体" w:eastAsia="宋体" w:cs="宋体"/>
          <w:b/>
          <w:bCs/>
          <w:color w:val="auto"/>
          <w:sz w:val="30"/>
          <w:lang w:val="en-US" w:eastAsia="zh-CN"/>
        </w:rPr>
        <w:t>7</w:t>
      </w:r>
      <w:r>
        <w:rPr>
          <w:rFonts w:hint="eastAsia" w:ascii="宋体" w:hAnsi="宋体" w:eastAsia="宋体" w:cs="宋体"/>
          <w:b/>
          <w:bCs/>
          <w:color w:val="auto"/>
          <w:sz w:val="30"/>
        </w:rPr>
        <w:t>.2残疾人福利性单位声明函</w:t>
      </w:r>
      <w:bookmarkEnd w:id="380"/>
    </w:p>
    <w:p>
      <w:pPr>
        <w:pStyle w:val="42"/>
        <w:keepNext w:val="0"/>
        <w:keepLines w:val="0"/>
        <w:pageBreakBefore w:val="0"/>
        <w:widowControl w:val="0"/>
        <w:kinsoku/>
        <w:overflowPunct/>
        <w:topLinePunct w:val="0"/>
        <w:bidi w:val="0"/>
        <w:ind w:firstLine="0" w:firstLineChars="0"/>
        <w:jc w:val="center"/>
        <w:rPr>
          <w:rFonts w:hint="eastAsia" w:ascii="宋体" w:hAnsi="宋体" w:eastAsia="宋体" w:cs="宋体"/>
          <w:b/>
          <w:bCs/>
          <w:color w:val="auto"/>
          <w:sz w:val="22"/>
          <w:szCs w:val="21"/>
        </w:rPr>
      </w:pPr>
      <w:r>
        <w:rPr>
          <w:rFonts w:hint="eastAsia" w:ascii="宋体" w:hAnsi="宋体" w:eastAsia="宋体" w:cs="宋体"/>
          <w:b/>
          <w:bCs/>
          <w:color w:val="auto"/>
          <w:sz w:val="22"/>
          <w:szCs w:val="21"/>
        </w:rPr>
        <w:t>【非残疾人福利性单位不用提供】</w:t>
      </w:r>
    </w:p>
    <w:p>
      <w:pPr>
        <w:pStyle w:val="117"/>
        <w:keepNext w:val="0"/>
        <w:keepLines w:val="0"/>
        <w:pageBreakBefore w:val="0"/>
        <w:widowControl w:val="0"/>
        <w:kinsoku/>
        <w:overflowPunct/>
        <w:topLinePunct w:val="0"/>
        <w:bidi w:val="0"/>
        <w:spacing w:before="120" w:after="120" w:line="360" w:lineRule="auto"/>
        <w:ind w:firstLine="601"/>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pacing w:val="0"/>
          <w:kern w:val="2"/>
          <w:sz w:val="24"/>
          <w:szCs w:val="24"/>
          <w:u w:val="single"/>
        </w:rPr>
        <w:t xml:space="preserve">        </w:t>
      </w:r>
      <w:r>
        <w:rPr>
          <w:rFonts w:hint="eastAsia" w:ascii="宋体" w:hAnsi="宋体" w:eastAsia="宋体" w:cs="宋体"/>
          <w:color w:val="auto"/>
          <w:spacing w:val="0"/>
          <w:kern w:val="2"/>
          <w:sz w:val="24"/>
          <w:szCs w:val="24"/>
        </w:rPr>
        <w:t>单位的</w:t>
      </w:r>
      <w:r>
        <w:rPr>
          <w:rFonts w:hint="eastAsia" w:ascii="宋体" w:hAnsi="宋体" w:eastAsia="宋体" w:cs="宋体"/>
          <w:color w:val="auto"/>
          <w:spacing w:val="0"/>
          <w:kern w:val="2"/>
          <w:sz w:val="24"/>
          <w:szCs w:val="24"/>
          <w:u w:val="single"/>
        </w:rPr>
        <w:t xml:space="preserve">       </w:t>
      </w:r>
      <w:r>
        <w:rPr>
          <w:rFonts w:hint="eastAsia" w:ascii="宋体" w:hAnsi="宋体" w:eastAsia="宋体" w:cs="宋体"/>
          <w:color w:val="auto"/>
          <w:spacing w:val="0"/>
          <w:kern w:val="2"/>
          <w:sz w:val="24"/>
          <w:szCs w:val="24"/>
        </w:rPr>
        <w:t>项目采购活动提供本单位制造的货物（由本单位承担工程/提供服务），或者提供其他残疾人福利性单位制造的货物（不包括使用非残疾人福利性单位注册商标的货物）。</w:t>
      </w:r>
    </w:p>
    <w:p>
      <w:pPr>
        <w:pStyle w:val="117"/>
        <w:keepNext w:val="0"/>
        <w:keepLines w:val="0"/>
        <w:pageBreakBefore w:val="0"/>
        <w:widowControl w:val="0"/>
        <w:kinsoku/>
        <w:overflowPunct/>
        <w:topLinePunct w:val="0"/>
        <w:bidi w:val="0"/>
        <w:spacing w:before="120" w:after="120" w:line="360" w:lineRule="auto"/>
        <w:ind w:firstLine="600"/>
        <w:rPr>
          <w:rFonts w:hint="eastAsia" w:ascii="宋体" w:hAnsi="宋体" w:eastAsia="宋体" w:cs="宋体"/>
          <w:color w:val="auto"/>
          <w:spacing w:val="0"/>
          <w:kern w:val="2"/>
          <w:sz w:val="24"/>
          <w:szCs w:val="24"/>
        </w:rPr>
      </w:pPr>
      <w:r>
        <w:rPr>
          <w:rFonts w:hint="eastAsia" w:ascii="宋体" w:hAnsi="宋体" w:eastAsia="宋体" w:cs="宋体"/>
          <w:color w:val="auto"/>
          <w:spacing w:val="0"/>
          <w:kern w:val="2"/>
          <w:sz w:val="24"/>
          <w:szCs w:val="24"/>
        </w:rPr>
        <w:t>本单位对上述声明的真实性负责。如有虚假，将依法承担相应责任。</w:t>
      </w:r>
    </w:p>
    <w:p>
      <w:pPr>
        <w:pStyle w:val="117"/>
        <w:keepNext w:val="0"/>
        <w:keepLines w:val="0"/>
        <w:pageBreakBefore w:val="0"/>
        <w:widowControl w:val="0"/>
        <w:kinsoku/>
        <w:overflowPunct/>
        <w:topLinePunct w:val="0"/>
        <w:bidi w:val="0"/>
        <w:spacing w:before="120" w:after="120" w:line="360" w:lineRule="auto"/>
        <w:rPr>
          <w:rFonts w:hint="eastAsia" w:ascii="宋体" w:hAnsi="宋体" w:eastAsia="宋体" w:cs="宋体"/>
          <w:color w:val="auto"/>
          <w:spacing w:val="0"/>
          <w:sz w:val="24"/>
          <w:szCs w:val="24"/>
        </w:rPr>
      </w:pPr>
    </w:p>
    <w:p>
      <w:pPr>
        <w:pStyle w:val="74"/>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盖章：</w:t>
      </w:r>
      <w:r>
        <w:rPr>
          <w:rFonts w:hint="eastAsia" w:ascii="宋体" w:hAnsi="宋体" w:eastAsia="宋体" w:cs="宋体"/>
          <w:color w:val="auto"/>
          <w:spacing w:val="0"/>
          <w:sz w:val="24"/>
          <w:szCs w:val="24"/>
          <w:u w:val="single"/>
        </w:rPr>
        <w:t xml:space="preserve">                </w:t>
      </w:r>
    </w:p>
    <w:p>
      <w:pPr>
        <w:pStyle w:val="74"/>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日      期：</w:t>
      </w:r>
      <w:r>
        <w:rPr>
          <w:rFonts w:hint="eastAsia" w:ascii="宋体" w:hAnsi="宋体" w:eastAsia="宋体" w:cs="宋体"/>
          <w:color w:val="auto"/>
          <w:spacing w:val="0"/>
          <w:sz w:val="24"/>
          <w:szCs w:val="24"/>
          <w:u w:val="single"/>
        </w:rPr>
        <w:t xml:space="preserve">                </w:t>
      </w:r>
    </w:p>
    <w:p>
      <w:pPr>
        <w:keepNext w:val="0"/>
        <w:keepLines w:val="0"/>
        <w:pageBreakBefore w:val="0"/>
        <w:widowControl w:val="0"/>
        <w:kinsoku/>
        <w:overflowPunct/>
        <w:topLinePunct w:val="0"/>
        <w:bidi w:val="0"/>
        <w:rPr>
          <w:rFonts w:hint="eastAsia" w:ascii="宋体" w:hAnsi="宋体" w:eastAsia="宋体" w:cs="宋体"/>
          <w:color w:val="auto"/>
          <w:spacing w:val="0"/>
          <w:sz w:val="22"/>
          <w:szCs w:val="22"/>
        </w:rPr>
      </w:pPr>
    </w:p>
    <w:p>
      <w:pPr>
        <w:keepNext w:val="0"/>
        <w:keepLines w:val="0"/>
        <w:pageBreakBefore w:val="0"/>
        <w:widowControl w:val="0"/>
        <w:kinsoku/>
        <w:overflowPunct/>
        <w:topLinePunct w:val="0"/>
        <w:bidi w:val="0"/>
        <w:rPr>
          <w:rFonts w:hint="eastAsia" w:ascii="宋体" w:hAnsi="宋体" w:eastAsia="宋体" w:cs="宋体"/>
          <w:color w:val="auto"/>
          <w:spacing w:val="0"/>
          <w:sz w:val="22"/>
          <w:szCs w:val="22"/>
        </w:rPr>
      </w:pPr>
    </w:p>
    <w:p>
      <w:pPr>
        <w:pStyle w:val="5"/>
        <w:keepNext w:val="0"/>
        <w:keepLines w:val="0"/>
        <w:pageBreakBefore w:val="0"/>
        <w:widowControl w:val="0"/>
        <w:kinsoku/>
        <w:overflowPunct/>
        <w:topLinePunct w:val="0"/>
        <w:bidi w:val="0"/>
        <w:ind w:left="0"/>
        <w:outlineLvl w:val="9"/>
        <w:rPr>
          <w:rFonts w:hint="eastAsia" w:ascii="宋体" w:hAnsi="宋体" w:eastAsia="宋体" w:cs="宋体"/>
          <w:color w:val="auto"/>
          <w:spacing w:val="0"/>
          <w:sz w:val="22"/>
          <w:szCs w:val="22"/>
        </w:rPr>
      </w:pPr>
    </w:p>
    <w:p>
      <w:pPr>
        <w:keepNext w:val="0"/>
        <w:keepLines w:val="0"/>
        <w:pageBreakBefore w:val="0"/>
        <w:widowControl w:val="0"/>
        <w:kinsoku/>
        <w:overflowPunct/>
        <w:topLinePunct w:val="0"/>
        <w:bidi w:val="0"/>
        <w:rPr>
          <w:rFonts w:hint="eastAsia" w:ascii="宋体" w:hAnsi="宋体" w:eastAsia="宋体" w:cs="宋体"/>
          <w:color w:val="auto"/>
          <w:spacing w:val="0"/>
        </w:rPr>
      </w:pPr>
    </w:p>
    <w:p>
      <w:pPr>
        <w:pStyle w:val="5"/>
        <w:keepNext w:val="0"/>
        <w:keepLines w:val="0"/>
        <w:pageBreakBefore w:val="0"/>
        <w:widowControl w:val="0"/>
        <w:kinsoku/>
        <w:overflowPunct/>
        <w:topLinePunct w:val="0"/>
        <w:bidi w:val="0"/>
        <w:ind w:left="0"/>
        <w:outlineLvl w:val="9"/>
        <w:rPr>
          <w:rFonts w:hint="eastAsia" w:ascii="宋体" w:hAnsi="宋体" w:eastAsia="宋体" w:cs="宋体"/>
          <w:color w:val="auto"/>
          <w:spacing w:val="0"/>
        </w:rPr>
      </w:pPr>
    </w:p>
    <w:p>
      <w:pPr>
        <w:keepNext w:val="0"/>
        <w:keepLines w:val="0"/>
        <w:pageBreakBefore w:val="0"/>
        <w:widowControl w:val="0"/>
        <w:kinsoku/>
        <w:overflowPunct/>
        <w:topLinePunct w:val="0"/>
        <w:bidi w:val="0"/>
        <w:rPr>
          <w:rFonts w:hint="eastAsia" w:ascii="宋体" w:hAnsi="宋体" w:eastAsia="宋体" w:cs="宋体"/>
          <w:color w:val="auto"/>
          <w:spacing w:val="0"/>
        </w:rPr>
      </w:pPr>
    </w:p>
    <w:p>
      <w:pPr>
        <w:pStyle w:val="19"/>
        <w:keepNext w:val="0"/>
        <w:keepLines w:val="0"/>
        <w:pageBreakBefore w:val="0"/>
        <w:widowControl w:val="0"/>
        <w:kinsoku/>
        <w:overflowPunct/>
        <w:topLinePunct w:val="0"/>
        <w:bidi w:val="0"/>
        <w:spacing w:line="360" w:lineRule="auto"/>
        <w:ind w:left="0"/>
        <w:jc w:val="center"/>
        <w:outlineLvl w:val="2"/>
        <w:rPr>
          <w:rFonts w:hint="eastAsia" w:ascii="宋体" w:hAnsi="宋体" w:eastAsia="宋体" w:cs="宋体"/>
          <w:b/>
          <w:bCs/>
          <w:color w:val="auto"/>
          <w:spacing w:val="0"/>
          <w:sz w:val="30"/>
        </w:rPr>
      </w:pPr>
      <w:bookmarkStart w:id="381" w:name="_Toc3724"/>
      <w:r>
        <w:rPr>
          <w:rFonts w:hint="eastAsia" w:ascii="宋体" w:hAnsi="宋体" w:eastAsia="宋体" w:cs="宋体"/>
          <w:b/>
          <w:bCs/>
          <w:color w:val="auto"/>
          <w:spacing w:val="0"/>
          <w:sz w:val="30"/>
          <w:lang w:val="en-US" w:eastAsia="zh-CN"/>
        </w:rPr>
        <w:t>7</w:t>
      </w:r>
      <w:r>
        <w:rPr>
          <w:rFonts w:hint="eastAsia" w:ascii="宋体" w:hAnsi="宋体" w:eastAsia="宋体" w:cs="宋体"/>
          <w:b/>
          <w:bCs/>
          <w:color w:val="auto"/>
          <w:spacing w:val="0"/>
          <w:sz w:val="30"/>
        </w:rPr>
        <w:t>.3监狱企业证明</w:t>
      </w:r>
      <w:bookmarkEnd w:id="381"/>
    </w:p>
    <w:p>
      <w:pPr>
        <w:pStyle w:val="42"/>
        <w:keepNext w:val="0"/>
        <w:keepLines w:val="0"/>
        <w:pageBreakBefore w:val="0"/>
        <w:widowControl w:val="0"/>
        <w:kinsoku/>
        <w:overflowPunct/>
        <w:topLinePunct w:val="0"/>
        <w:bidi w:val="0"/>
        <w:ind w:firstLine="0" w:firstLineChars="0"/>
        <w:jc w:val="center"/>
        <w:rPr>
          <w:rFonts w:hint="eastAsia" w:ascii="宋体" w:hAnsi="宋体" w:eastAsia="宋体" w:cs="宋体"/>
          <w:b/>
          <w:bCs/>
          <w:color w:val="auto"/>
          <w:spacing w:val="0"/>
          <w:sz w:val="22"/>
          <w:szCs w:val="21"/>
        </w:rPr>
      </w:pPr>
      <w:r>
        <w:rPr>
          <w:rFonts w:hint="eastAsia" w:ascii="宋体" w:hAnsi="宋体" w:eastAsia="宋体" w:cs="宋体"/>
          <w:b/>
          <w:bCs/>
          <w:color w:val="auto"/>
          <w:spacing w:val="0"/>
          <w:sz w:val="22"/>
          <w:szCs w:val="21"/>
        </w:rPr>
        <w:t>【非监狱企业的不用提供】</w:t>
      </w:r>
    </w:p>
    <w:p>
      <w:pPr>
        <w:pStyle w:val="7"/>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4"/>
          <w:szCs w:val="24"/>
        </w:rPr>
      </w:pPr>
    </w:p>
    <w:p>
      <w:pPr>
        <w:pStyle w:val="7"/>
        <w:keepNext w:val="0"/>
        <w:keepLines w:val="0"/>
        <w:pageBreakBefore w:val="0"/>
        <w:widowControl w:val="0"/>
        <w:kinsoku/>
        <w:overflowPunct/>
        <w:topLinePunct w:val="0"/>
        <w:bidi w:val="0"/>
        <w:spacing w:line="360" w:lineRule="auto"/>
        <w:ind w:left="0" w:firstLine="482" w:firstLineChars="200"/>
        <w:jc w:val="left"/>
        <w:rPr>
          <w:rFonts w:hint="eastAsia" w:ascii="宋体" w:hAnsi="宋体" w:eastAsia="宋体" w:cs="宋体"/>
          <w:color w:val="auto"/>
          <w:spacing w:val="0"/>
          <w:sz w:val="24"/>
          <w:szCs w:val="24"/>
        </w:rPr>
      </w:pPr>
      <w:r>
        <w:rPr>
          <w:rFonts w:hint="eastAsia" w:ascii="宋体" w:hAnsi="宋体" w:eastAsia="宋体" w:cs="宋体"/>
          <w:b/>
          <w:color w:val="auto"/>
          <w:spacing w:val="0"/>
          <w:sz w:val="24"/>
          <w:szCs w:val="24"/>
        </w:rPr>
        <w:t>注：</w:t>
      </w:r>
      <w:r>
        <w:rPr>
          <w:rFonts w:hint="eastAsia" w:ascii="宋体" w:hAnsi="宋体" w:eastAsia="宋体" w:cs="宋体"/>
          <w:color w:val="auto"/>
          <w:spacing w:val="0"/>
          <w:sz w:val="24"/>
          <w:szCs w:val="24"/>
        </w:rPr>
        <w:t>须提供省级以上监狱管理局、戒毒管理局（含新疆生产建设兵团）出具的属于监狱企业的证明文件</w:t>
      </w:r>
    </w:p>
    <w:p>
      <w:pPr>
        <w:pStyle w:val="2"/>
        <w:keepNext w:val="0"/>
        <w:keepLines w:val="0"/>
        <w:pageBreakBefore w:val="0"/>
        <w:widowControl w:val="0"/>
        <w:kinsoku/>
        <w:overflowPunct/>
        <w:topLinePunct w:val="0"/>
        <w:bidi w:val="0"/>
        <w:ind w:firstLine="240"/>
        <w:rPr>
          <w:rFonts w:hint="eastAsia" w:ascii="宋体" w:hAnsi="宋体" w:eastAsia="宋体" w:cs="宋体"/>
          <w:color w:val="auto"/>
          <w:spacing w:val="0"/>
          <w:sz w:val="24"/>
          <w:szCs w:val="24"/>
        </w:rPr>
      </w:pPr>
    </w:p>
    <w:p>
      <w:pPr>
        <w:keepNext w:val="0"/>
        <w:keepLines w:val="0"/>
        <w:pageBreakBefore w:val="0"/>
        <w:widowControl w:val="0"/>
        <w:kinsoku/>
        <w:overflowPunct/>
        <w:topLinePunct w:val="0"/>
        <w:bidi w:val="0"/>
        <w:rPr>
          <w:rFonts w:hint="eastAsia" w:ascii="宋体" w:hAnsi="宋体" w:eastAsia="宋体" w:cs="宋体"/>
          <w:color w:val="auto"/>
          <w:spacing w:val="0"/>
          <w:sz w:val="24"/>
          <w:szCs w:val="24"/>
        </w:rPr>
      </w:pPr>
    </w:p>
    <w:p>
      <w:pPr>
        <w:pStyle w:val="74"/>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lang w:eastAsia="zh-CN"/>
        </w:rPr>
        <w:t>供应商</w:t>
      </w:r>
      <w:r>
        <w:rPr>
          <w:rFonts w:hint="eastAsia" w:ascii="宋体" w:hAnsi="宋体" w:eastAsia="宋体" w:cs="宋体"/>
          <w:color w:val="auto"/>
          <w:spacing w:val="0"/>
          <w:sz w:val="24"/>
          <w:szCs w:val="24"/>
        </w:rPr>
        <w:t>盖章：</w:t>
      </w:r>
      <w:r>
        <w:rPr>
          <w:rFonts w:hint="eastAsia" w:ascii="宋体" w:hAnsi="宋体" w:eastAsia="宋体" w:cs="宋体"/>
          <w:color w:val="auto"/>
          <w:spacing w:val="0"/>
          <w:sz w:val="24"/>
          <w:szCs w:val="24"/>
          <w:u w:val="single"/>
        </w:rPr>
        <w:t xml:space="preserve">                </w:t>
      </w:r>
    </w:p>
    <w:p>
      <w:pPr>
        <w:pStyle w:val="74"/>
        <w:keepNext w:val="0"/>
        <w:keepLines w:val="0"/>
        <w:pageBreakBefore w:val="0"/>
        <w:widowControl w:val="0"/>
        <w:kinsoku/>
        <w:wordWrap w:val="0"/>
        <w:overflowPunct/>
        <w:topLinePunct w:val="0"/>
        <w:bidi w:val="0"/>
        <w:spacing w:line="360" w:lineRule="auto"/>
        <w:ind w:firstLine="480"/>
        <w:jc w:val="right"/>
        <w:rPr>
          <w:rFonts w:hint="eastAsia" w:ascii="宋体" w:hAnsi="宋体" w:eastAsia="宋体" w:cs="宋体"/>
          <w:color w:val="auto"/>
          <w:spacing w:val="0"/>
          <w:sz w:val="24"/>
          <w:szCs w:val="24"/>
          <w:u w:val="single"/>
        </w:rPr>
      </w:pPr>
      <w:r>
        <w:rPr>
          <w:rFonts w:hint="eastAsia" w:ascii="宋体" w:hAnsi="宋体" w:eastAsia="宋体" w:cs="宋体"/>
          <w:color w:val="auto"/>
          <w:spacing w:val="0"/>
          <w:sz w:val="24"/>
          <w:szCs w:val="24"/>
        </w:rPr>
        <w:t>日      期：</w:t>
      </w:r>
      <w:r>
        <w:rPr>
          <w:rFonts w:hint="eastAsia" w:ascii="宋体" w:hAnsi="宋体" w:eastAsia="宋体" w:cs="宋体"/>
          <w:color w:val="auto"/>
          <w:spacing w:val="0"/>
          <w:sz w:val="24"/>
          <w:szCs w:val="24"/>
          <w:u w:val="single"/>
        </w:rPr>
        <w:t xml:space="preserve">                </w:t>
      </w:r>
    </w:p>
    <w:p>
      <w:pPr>
        <w:pStyle w:val="7"/>
        <w:keepNext w:val="0"/>
        <w:keepLines w:val="0"/>
        <w:pageBreakBefore w:val="0"/>
        <w:widowControl w:val="0"/>
        <w:kinsoku/>
        <w:overflowPunct/>
        <w:topLinePunct w:val="0"/>
        <w:bidi w:val="0"/>
        <w:ind w:left="0"/>
        <w:rPr>
          <w:rFonts w:hint="eastAsia" w:ascii="宋体" w:hAnsi="宋体" w:eastAsia="宋体" w:cs="宋体"/>
          <w:color w:val="auto"/>
          <w:spacing w:val="0"/>
          <w:sz w:val="22"/>
          <w:szCs w:val="22"/>
        </w:rPr>
      </w:pPr>
    </w:p>
    <w:p>
      <w:pPr>
        <w:pStyle w:val="7"/>
        <w:keepNext w:val="0"/>
        <w:keepLines w:val="0"/>
        <w:pageBreakBefore w:val="0"/>
        <w:widowControl w:val="0"/>
        <w:kinsoku/>
        <w:overflowPunct/>
        <w:topLinePunct w:val="0"/>
        <w:bidi w:val="0"/>
        <w:ind w:left="0"/>
        <w:rPr>
          <w:rFonts w:hint="eastAsia" w:ascii="宋体" w:hAnsi="宋体" w:eastAsia="宋体" w:cs="宋体"/>
          <w:color w:val="auto"/>
          <w:spacing w:val="0"/>
        </w:rPr>
      </w:pPr>
    </w:p>
    <w:p>
      <w:pPr>
        <w:keepNext w:val="0"/>
        <w:keepLines w:val="0"/>
        <w:pageBreakBefore w:val="0"/>
        <w:widowControl w:val="0"/>
        <w:kinsoku/>
        <w:overflowPunct/>
        <w:topLinePunct w:val="0"/>
        <w:bidi w:val="0"/>
        <w:rPr>
          <w:rFonts w:hint="eastAsia" w:ascii="宋体" w:hAnsi="宋体" w:eastAsia="宋体" w:cs="宋体"/>
          <w:color w:val="auto"/>
          <w:spacing w:val="0"/>
        </w:rPr>
      </w:pPr>
    </w:p>
    <w:p>
      <w:pPr>
        <w:pStyle w:val="42"/>
        <w:keepNext w:val="0"/>
        <w:keepLines w:val="0"/>
        <w:pageBreakBefore w:val="0"/>
        <w:widowControl w:val="0"/>
        <w:kinsoku/>
        <w:overflowPunct/>
        <w:topLinePunct w:val="0"/>
        <w:bidi w:val="0"/>
        <w:rPr>
          <w:rFonts w:hint="eastAsia" w:ascii="宋体" w:hAnsi="宋体" w:eastAsia="宋体" w:cs="宋体"/>
          <w:color w:val="auto"/>
        </w:rPr>
      </w:pPr>
    </w:p>
    <w:p>
      <w:pPr>
        <w:pStyle w:val="42"/>
        <w:keepNext w:val="0"/>
        <w:keepLines w:val="0"/>
        <w:pageBreakBefore w:val="0"/>
        <w:widowControl w:val="0"/>
        <w:kinsoku/>
        <w:overflowPunct/>
        <w:topLinePunct w:val="0"/>
        <w:bidi w:val="0"/>
        <w:rPr>
          <w:rFonts w:hint="eastAsia" w:ascii="宋体" w:hAnsi="宋体" w:eastAsia="宋体" w:cs="宋体"/>
          <w:color w:val="auto"/>
        </w:rPr>
      </w:pPr>
    </w:p>
    <w:p>
      <w:pPr>
        <w:pStyle w:val="42"/>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bidi w:val="0"/>
        <w:rPr>
          <w:rFonts w:hint="eastAsia" w:ascii="宋体" w:hAnsi="宋体" w:eastAsia="宋体" w:cs="宋体"/>
          <w:color w:val="auto"/>
        </w:rPr>
      </w:pPr>
    </w:p>
    <w:p>
      <w:pPr>
        <w:pStyle w:val="5"/>
        <w:keepNext w:val="0"/>
        <w:keepLines w:val="0"/>
        <w:pageBreakBefore w:val="0"/>
        <w:widowControl w:val="0"/>
        <w:kinsoku/>
        <w:overflowPunct/>
        <w:topLinePunct w:val="0"/>
        <w:bidi w:val="0"/>
        <w:outlineLvl w:val="9"/>
        <w:rPr>
          <w:rFonts w:hint="eastAsia" w:ascii="宋体" w:hAnsi="宋体" w:eastAsia="宋体" w:cs="宋体"/>
          <w:color w:val="auto"/>
        </w:rPr>
      </w:pPr>
    </w:p>
    <w:p>
      <w:pPr>
        <w:keepNext w:val="0"/>
        <w:keepLines w:val="0"/>
        <w:pageBreakBefore w:val="0"/>
        <w:widowControl w:val="0"/>
        <w:kinsoku/>
        <w:overflowPunct/>
        <w:topLinePunct w:val="0"/>
        <w:bidi w:val="0"/>
        <w:rPr>
          <w:rFonts w:hint="eastAsia" w:ascii="宋体" w:hAnsi="宋体" w:eastAsia="宋体" w:cs="宋体"/>
          <w:color w:val="auto"/>
        </w:rPr>
      </w:pPr>
    </w:p>
    <w:p>
      <w:pPr>
        <w:pStyle w:val="5"/>
        <w:keepNext w:val="0"/>
        <w:keepLines w:val="0"/>
        <w:pageBreakBefore w:val="0"/>
        <w:widowControl w:val="0"/>
        <w:kinsoku/>
        <w:overflowPunct/>
        <w:topLinePunct w:val="0"/>
        <w:bidi w:val="0"/>
        <w:outlineLvl w:val="9"/>
        <w:rPr>
          <w:rFonts w:hint="eastAsia" w:ascii="宋体" w:hAnsi="宋体" w:eastAsia="宋体" w:cs="宋体"/>
          <w:color w:val="auto"/>
        </w:rPr>
      </w:pPr>
    </w:p>
    <w:p>
      <w:pPr>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bidi w:val="0"/>
        <w:rPr>
          <w:rFonts w:hint="eastAsia" w:ascii="宋体" w:hAnsi="宋体" w:eastAsia="宋体" w:cs="宋体"/>
          <w:color w:val="auto"/>
        </w:rPr>
      </w:pPr>
    </w:p>
    <w:p>
      <w:pPr>
        <w:pStyle w:val="6"/>
        <w:keepNext w:val="0"/>
        <w:keepLines w:val="0"/>
        <w:pageBreakBefore w:val="0"/>
        <w:widowControl w:val="0"/>
        <w:tabs>
          <w:tab w:val="left" w:pos="3405"/>
        </w:tabs>
        <w:kinsoku/>
        <w:overflowPunct/>
        <w:topLinePunct w:val="0"/>
        <w:bidi w:val="0"/>
        <w:ind w:left="0" w:firstLine="0"/>
        <w:jc w:val="center"/>
        <w:outlineLvl w:val="1"/>
        <w:rPr>
          <w:rFonts w:hint="eastAsia" w:ascii="宋体" w:hAnsi="宋体" w:eastAsia="宋体" w:cs="宋体"/>
          <w:b/>
          <w:bCs/>
          <w:color w:val="auto"/>
          <w:sz w:val="36"/>
          <w:szCs w:val="36"/>
        </w:rPr>
      </w:pPr>
      <w:bookmarkStart w:id="382" w:name="_Toc22926"/>
      <w:bookmarkStart w:id="383" w:name="_Toc7695"/>
      <w:bookmarkStart w:id="384" w:name="_Toc11055"/>
      <w:r>
        <w:rPr>
          <w:rFonts w:hint="eastAsia" w:ascii="宋体" w:hAnsi="宋体" w:eastAsia="宋体" w:cs="宋体"/>
          <w:b/>
          <w:bCs/>
          <w:color w:val="auto"/>
          <w:sz w:val="36"/>
          <w:szCs w:val="36"/>
        </w:rPr>
        <w:t>二  资信商务及技术文件格式</w:t>
      </w:r>
      <w:bookmarkEnd w:id="377"/>
      <w:bookmarkEnd w:id="382"/>
      <w:bookmarkEnd w:id="383"/>
      <w:bookmarkEnd w:id="384"/>
    </w:p>
    <w:bookmarkEnd w:id="349"/>
    <w:bookmarkEnd w:id="350"/>
    <w:bookmarkEnd w:id="351"/>
    <w:bookmarkEnd w:id="352"/>
    <w:p>
      <w:pPr>
        <w:keepNext w:val="0"/>
        <w:keepLines w:val="0"/>
        <w:pageBreakBefore w:val="0"/>
        <w:widowControl w:val="0"/>
        <w:kinsoku/>
        <w:overflowPunct/>
        <w:topLinePunct w:val="0"/>
        <w:bidi w:val="0"/>
        <w:rPr>
          <w:rFonts w:hint="eastAsia" w:ascii="宋体" w:hAnsi="宋体" w:eastAsia="宋体" w:cs="宋体"/>
          <w:color w:val="auto"/>
        </w:rPr>
      </w:pPr>
      <w:r>
        <w:rPr>
          <w:rFonts w:hint="eastAsia" w:ascii="宋体" w:hAnsi="宋体" w:eastAsia="宋体" w:cs="宋体"/>
          <w:color w:val="auto"/>
        </w:rPr>
        <w:t xml:space="preserve">  </w:t>
      </w:r>
    </w:p>
    <w:p>
      <w:pPr>
        <w:keepNext w:val="0"/>
        <w:keepLines w:val="0"/>
        <w:pageBreakBefore w:val="0"/>
        <w:widowControl w:val="0"/>
        <w:kinsoku/>
        <w:overflowPunct/>
        <w:topLinePunct w:val="0"/>
        <w:bidi w:val="0"/>
        <w:rPr>
          <w:rFonts w:hint="eastAsia" w:ascii="宋体" w:hAnsi="宋体" w:eastAsia="宋体" w:cs="宋体"/>
          <w:color w:val="auto"/>
        </w:rPr>
      </w:pPr>
    </w:p>
    <w:p>
      <w:pPr>
        <w:spacing w:line="360" w:lineRule="auto"/>
        <w:jc w:val="center"/>
        <w:rPr>
          <w:rFonts w:hint="eastAsia" w:ascii="宋体" w:hAnsi="宋体" w:eastAsia="宋体" w:cs="宋体"/>
          <w:b/>
          <w:color w:val="auto"/>
          <w:sz w:val="30"/>
          <w:szCs w:val="20"/>
        </w:rPr>
      </w:pPr>
      <w:r>
        <w:rPr>
          <w:rFonts w:hint="eastAsia" w:ascii="宋体" w:hAnsi="宋体" w:eastAsia="宋体" w:cs="宋体"/>
          <w:b/>
          <w:color w:val="auto"/>
          <w:sz w:val="30"/>
          <w:szCs w:val="20"/>
        </w:rPr>
        <w:t>注：多标项投标的，应分标项制作资信商务及技术文件</w:t>
      </w:r>
    </w:p>
    <w:p>
      <w:pPr>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bidi w:val="0"/>
        <w:rPr>
          <w:rFonts w:hint="eastAsia" w:ascii="宋体" w:hAnsi="宋体" w:eastAsia="宋体" w:cs="宋体"/>
          <w:color w:val="auto"/>
        </w:rPr>
      </w:pPr>
    </w:p>
    <w:p>
      <w:pPr>
        <w:pStyle w:val="19"/>
        <w:keepNext w:val="0"/>
        <w:keepLines w:val="0"/>
        <w:pageBreakBefore w:val="0"/>
        <w:widowControl w:val="0"/>
        <w:kinsoku/>
        <w:overflowPunct/>
        <w:topLinePunct w:val="0"/>
        <w:bidi w:val="0"/>
        <w:spacing w:line="360" w:lineRule="auto"/>
        <w:ind w:firstLine="3480" w:firstLineChars="1450"/>
        <w:rPr>
          <w:rFonts w:hint="eastAsia" w:ascii="宋体" w:hAnsi="宋体" w:eastAsia="宋体" w:cs="宋体"/>
          <w:color w:val="auto"/>
          <w:sz w:val="24"/>
        </w:rPr>
      </w:pPr>
    </w:p>
    <w:p>
      <w:pPr>
        <w:pStyle w:val="19"/>
        <w:keepNext w:val="0"/>
        <w:keepLines w:val="0"/>
        <w:pageBreakBefore w:val="0"/>
        <w:widowControl w:val="0"/>
        <w:kinsoku/>
        <w:overflowPunct/>
        <w:topLinePunct w:val="0"/>
        <w:bidi w:val="0"/>
        <w:spacing w:line="360" w:lineRule="auto"/>
        <w:ind w:firstLine="3480" w:firstLineChars="1450"/>
        <w:rPr>
          <w:rFonts w:hint="eastAsia" w:ascii="宋体" w:hAnsi="宋体" w:eastAsia="宋体" w:cs="宋体"/>
          <w:color w:val="auto"/>
          <w:sz w:val="24"/>
        </w:rPr>
      </w:pPr>
    </w:p>
    <w:p>
      <w:pPr>
        <w:keepNext w:val="0"/>
        <w:keepLines w:val="0"/>
        <w:pageBreakBefore w:val="0"/>
        <w:widowControl w:val="0"/>
        <w:kinsoku/>
        <w:overflowPunct/>
        <w:topLinePunct w:val="0"/>
        <w:bidi w:val="0"/>
        <w:spacing w:line="360" w:lineRule="auto"/>
        <w:rPr>
          <w:rFonts w:hint="eastAsia" w:ascii="宋体" w:hAnsi="宋体" w:eastAsia="宋体" w:cs="宋体"/>
          <w:color w:val="auto"/>
          <w:sz w:val="30"/>
        </w:rPr>
      </w:pPr>
      <w:r>
        <w:rPr>
          <w:rFonts w:hint="eastAsia" w:ascii="宋体" w:hAnsi="宋体" w:eastAsia="宋体" w:cs="宋体"/>
          <w:color w:val="auto"/>
          <w:sz w:val="30"/>
        </w:rPr>
        <w:br w:type="page"/>
      </w:r>
    </w:p>
    <w:p>
      <w:pPr>
        <w:keepNext w:val="0"/>
        <w:keepLines w:val="0"/>
        <w:pageBreakBefore w:val="0"/>
        <w:widowControl w:val="0"/>
        <w:kinsoku/>
        <w:overflowPunct/>
        <w:topLinePunct w:val="0"/>
        <w:bidi w:val="0"/>
        <w:spacing w:line="360" w:lineRule="auto"/>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rPr>
          <w:rFonts w:hint="eastAsia" w:ascii="宋体" w:hAnsi="宋体" w:eastAsia="宋体" w:cs="宋体"/>
          <w:b/>
          <w:color w:val="auto"/>
          <w:sz w:val="30"/>
        </w:rPr>
      </w:pPr>
      <w:r>
        <w:rPr>
          <w:rFonts w:hint="eastAsia" w:ascii="宋体" w:hAnsi="宋体" w:eastAsia="宋体" w:cs="宋体"/>
          <w:b/>
          <w:color w:val="auto"/>
          <w:sz w:val="30"/>
        </w:rPr>
        <w:t>“资信商务及技术文件”封面格式</w:t>
      </w:r>
    </w:p>
    <w:p>
      <w:pPr>
        <w:pStyle w:val="27"/>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bidi w:val="0"/>
        <w:spacing w:before="508"/>
        <w:ind w:right="155"/>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磋商响应文件</w:t>
      </w:r>
    </w:p>
    <w:p>
      <w:pPr>
        <w:keepNext w:val="0"/>
        <w:keepLines w:val="0"/>
        <w:pageBreakBefore w:val="0"/>
        <w:widowControl w:val="0"/>
        <w:kinsoku/>
        <w:overflowPunct/>
        <w:topLinePunct w:val="0"/>
        <w:bidi w:val="0"/>
        <w:spacing w:before="151"/>
        <w:ind w:right="154"/>
        <w:jc w:val="center"/>
        <w:rPr>
          <w:rFonts w:hint="eastAsia" w:ascii="宋体" w:hAnsi="宋体" w:eastAsia="宋体" w:cs="宋体"/>
          <w:b/>
          <w:color w:val="auto"/>
          <w:sz w:val="48"/>
        </w:rPr>
      </w:pPr>
      <w:r>
        <w:rPr>
          <w:rFonts w:hint="eastAsia" w:ascii="宋体" w:hAnsi="宋体" w:eastAsia="宋体" w:cs="宋体"/>
          <w:b/>
          <w:color w:val="auto"/>
          <w:sz w:val="48"/>
        </w:rPr>
        <w:t>（资信商务及技术文件）</w:t>
      </w:r>
    </w:p>
    <w:p>
      <w:pPr>
        <w:pStyle w:val="3"/>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rPr>
      </w:pPr>
    </w:p>
    <w:p>
      <w:pPr>
        <w:pStyle w:val="3"/>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rPr>
      </w:pPr>
    </w:p>
    <w:p>
      <w:pPr>
        <w:pStyle w:val="2"/>
        <w:keepNext w:val="0"/>
        <w:keepLines w:val="0"/>
        <w:pageBreakBefore w:val="0"/>
        <w:widowControl w:val="0"/>
        <w:kinsoku/>
        <w:overflowPunct/>
        <w:topLinePunct w:val="0"/>
        <w:bidi w:val="0"/>
        <w:ind w:firstLine="210"/>
        <w:rPr>
          <w:rFonts w:hint="eastAsia" w:ascii="宋体" w:hAnsi="宋体" w:eastAsia="宋体" w:cs="宋体"/>
          <w:color w:val="auto"/>
        </w:rPr>
      </w:pPr>
    </w:p>
    <w:p>
      <w:pPr>
        <w:pStyle w:val="3"/>
        <w:keepNext w:val="0"/>
        <w:keepLines w:val="0"/>
        <w:pageBreakBefore w:val="0"/>
        <w:widowControl w:val="0"/>
        <w:tabs>
          <w:tab w:val="left" w:pos="208"/>
        </w:tabs>
        <w:kinsoku/>
        <w:overflowPunct/>
        <w:topLinePunct w:val="0"/>
        <w:bidi w:val="0"/>
        <w:ind w:firstLine="341"/>
        <w:rPr>
          <w:rFonts w:hint="eastAsia" w:ascii="宋体" w:hAnsi="宋体" w:eastAsia="宋体" w:cs="宋体"/>
          <w:b/>
          <w:color w:val="auto"/>
          <w:sz w:val="17"/>
        </w:rPr>
      </w:pPr>
    </w:p>
    <w:tbl>
      <w:tblPr>
        <w:tblStyle w:val="35"/>
        <w:tblW w:w="8538" w:type="dxa"/>
        <w:tblInd w:w="615" w:type="dxa"/>
        <w:tblLayout w:type="fixed"/>
        <w:tblCellMar>
          <w:top w:w="0" w:type="dxa"/>
          <w:left w:w="0" w:type="dxa"/>
          <w:bottom w:w="0" w:type="dxa"/>
          <w:right w:w="0" w:type="dxa"/>
        </w:tblCellMar>
      </w:tblPr>
      <w:tblGrid>
        <w:gridCol w:w="8538"/>
      </w:tblGrid>
      <w:tr>
        <w:tblPrEx>
          <w:tblCellMar>
            <w:top w:w="0" w:type="dxa"/>
            <w:left w:w="0" w:type="dxa"/>
            <w:bottom w:w="0" w:type="dxa"/>
            <w:right w:w="0" w:type="dxa"/>
          </w:tblCellMar>
        </w:tblPrEx>
        <w:trPr>
          <w:trHeight w:val="481" w:hRule="atLeast"/>
        </w:trPr>
        <w:tc>
          <w:tcPr>
            <w:tcW w:w="8538" w:type="dxa"/>
          </w:tcPr>
          <w:p>
            <w:pPr>
              <w:pStyle w:val="93"/>
              <w:keepNext w:val="0"/>
              <w:keepLines w:val="0"/>
              <w:pageBreakBefore w:val="0"/>
              <w:widowControl w:val="0"/>
              <w:kinsoku/>
              <w:overflowPunct/>
              <w:topLinePunct w:val="0"/>
              <w:autoSpaceDE w:val="0"/>
              <w:autoSpaceDN w:val="0"/>
              <w:bidi w:val="0"/>
              <w:spacing w:line="480" w:lineRule="auto"/>
              <w:ind w:left="200"/>
              <w:rPr>
                <w:rFonts w:hint="eastAsia" w:ascii="宋体" w:hAnsi="宋体" w:eastAsia="宋体" w:cs="宋体"/>
                <w:b/>
                <w:color w:val="auto"/>
                <w:sz w:val="28"/>
              </w:rPr>
            </w:pPr>
            <w:r>
              <w:rPr>
                <w:rFonts w:hint="eastAsia" w:ascii="宋体" w:hAnsi="宋体" w:eastAsia="宋体" w:cs="宋体"/>
                <w:b/>
                <w:color w:val="auto"/>
                <w:sz w:val="28"/>
              </w:rPr>
              <w:t xml:space="preserve">项目名称： </w:t>
            </w:r>
          </w:p>
        </w:tc>
      </w:tr>
      <w:tr>
        <w:tblPrEx>
          <w:tblCellMar>
            <w:top w:w="0" w:type="dxa"/>
            <w:left w:w="0" w:type="dxa"/>
            <w:bottom w:w="0" w:type="dxa"/>
            <w:right w:w="0" w:type="dxa"/>
          </w:tblCellMar>
        </w:tblPrEx>
        <w:trPr>
          <w:trHeight w:val="680" w:hRule="atLeast"/>
        </w:trPr>
        <w:tc>
          <w:tcPr>
            <w:tcW w:w="8538" w:type="dxa"/>
          </w:tcPr>
          <w:p>
            <w:pPr>
              <w:pStyle w:val="93"/>
              <w:keepNext w:val="0"/>
              <w:keepLines w:val="0"/>
              <w:pageBreakBefore w:val="0"/>
              <w:widowControl w:val="0"/>
              <w:kinsoku/>
              <w:overflowPunct/>
              <w:topLinePunct w:val="0"/>
              <w:autoSpaceDE w:val="0"/>
              <w:autoSpaceDN w:val="0"/>
              <w:bidi w:val="0"/>
              <w:spacing w:before="161" w:line="480" w:lineRule="auto"/>
              <w:ind w:left="200"/>
              <w:rPr>
                <w:rFonts w:hint="eastAsia" w:ascii="宋体" w:hAnsi="宋体" w:eastAsia="宋体" w:cs="宋体"/>
                <w:b/>
                <w:color w:val="auto"/>
                <w:sz w:val="28"/>
              </w:rPr>
            </w:pPr>
            <w:r>
              <w:rPr>
                <w:rFonts w:hint="eastAsia" w:ascii="宋体" w:hAnsi="宋体" w:eastAsia="宋体" w:cs="宋体"/>
                <w:b/>
                <w:color w:val="auto"/>
                <w:sz w:val="28"/>
              </w:rPr>
              <w:t xml:space="preserve">项目编号： </w:t>
            </w:r>
          </w:p>
        </w:tc>
      </w:tr>
      <w:tr>
        <w:tblPrEx>
          <w:tblCellMar>
            <w:top w:w="0" w:type="dxa"/>
            <w:left w:w="0" w:type="dxa"/>
            <w:bottom w:w="0" w:type="dxa"/>
            <w:right w:w="0" w:type="dxa"/>
          </w:tblCellMar>
        </w:tblPrEx>
        <w:trPr>
          <w:trHeight w:val="679" w:hRule="atLeast"/>
        </w:trPr>
        <w:tc>
          <w:tcPr>
            <w:tcW w:w="8538" w:type="dxa"/>
          </w:tcPr>
          <w:p>
            <w:pPr>
              <w:pStyle w:val="93"/>
              <w:keepNext w:val="0"/>
              <w:keepLines w:val="0"/>
              <w:pageBreakBefore w:val="0"/>
              <w:widowControl w:val="0"/>
              <w:tabs>
                <w:tab w:val="left" w:pos="8323"/>
              </w:tabs>
              <w:kinsoku/>
              <w:overflowPunct/>
              <w:topLinePunct w:val="0"/>
              <w:autoSpaceDE w:val="0"/>
              <w:autoSpaceDN w:val="0"/>
              <w:bidi w:val="0"/>
              <w:spacing w:before="160" w:line="480" w:lineRule="auto"/>
              <w:ind w:left="200"/>
              <w:rPr>
                <w:rFonts w:hint="eastAsia" w:ascii="宋体" w:hAnsi="宋体" w:eastAsia="宋体" w:cs="宋体"/>
                <w:color w:val="auto"/>
                <w:sz w:val="28"/>
              </w:rPr>
            </w:pPr>
            <w:r>
              <w:rPr>
                <w:rFonts w:hint="eastAsia" w:ascii="宋体" w:hAnsi="宋体" w:eastAsia="宋体" w:cs="宋体"/>
                <w:color w:val="auto"/>
                <w:sz w:val="28"/>
              </w:rPr>
              <w:t>磋商供</w:t>
            </w:r>
            <w:r>
              <w:rPr>
                <w:rFonts w:hint="eastAsia" w:ascii="宋体" w:hAnsi="宋体" w:eastAsia="宋体" w:cs="宋体"/>
                <w:color w:val="auto"/>
                <w:spacing w:val="-3"/>
                <w:sz w:val="28"/>
              </w:rPr>
              <w:t>应</w:t>
            </w:r>
            <w:r>
              <w:rPr>
                <w:rFonts w:hint="eastAsia" w:ascii="宋体" w:hAnsi="宋体" w:eastAsia="宋体" w:cs="宋体"/>
                <w:color w:val="auto"/>
                <w:sz w:val="28"/>
              </w:rPr>
              <w:t>商</w:t>
            </w:r>
            <w:r>
              <w:rPr>
                <w:rFonts w:hint="eastAsia" w:ascii="宋体" w:hAnsi="宋体" w:eastAsia="宋体" w:cs="宋体"/>
                <w:color w:val="auto"/>
                <w:spacing w:val="-3"/>
                <w:sz w:val="28"/>
              </w:rPr>
              <w:t xml:space="preserve">名称（CA签章）： </w:t>
            </w:r>
            <w:r>
              <w:rPr>
                <w:rFonts w:hint="eastAsia" w:ascii="宋体" w:hAnsi="宋体" w:eastAsia="宋体" w:cs="宋体"/>
                <w:color w:val="auto"/>
                <w:sz w:val="28"/>
                <w:u w:val="single"/>
              </w:rPr>
              <w:tab/>
            </w:r>
          </w:p>
        </w:tc>
      </w:tr>
      <w:tr>
        <w:tblPrEx>
          <w:tblCellMar>
            <w:top w:w="0" w:type="dxa"/>
            <w:left w:w="0" w:type="dxa"/>
            <w:bottom w:w="0" w:type="dxa"/>
            <w:right w:w="0" w:type="dxa"/>
          </w:tblCellMar>
        </w:tblPrEx>
        <w:trPr>
          <w:trHeight w:val="680" w:hRule="atLeast"/>
        </w:trPr>
        <w:tc>
          <w:tcPr>
            <w:tcW w:w="8538" w:type="dxa"/>
          </w:tcPr>
          <w:p>
            <w:pPr>
              <w:pStyle w:val="93"/>
              <w:keepNext w:val="0"/>
              <w:keepLines w:val="0"/>
              <w:pageBreakBefore w:val="0"/>
              <w:widowControl w:val="0"/>
              <w:tabs>
                <w:tab w:val="left" w:pos="8168"/>
              </w:tabs>
              <w:kinsoku/>
              <w:overflowPunct/>
              <w:topLinePunct w:val="0"/>
              <w:autoSpaceDE w:val="0"/>
              <w:autoSpaceDN w:val="0"/>
              <w:bidi w:val="0"/>
              <w:spacing w:before="161" w:line="480" w:lineRule="auto"/>
              <w:ind w:left="200"/>
              <w:rPr>
                <w:rFonts w:hint="eastAsia" w:ascii="宋体" w:hAnsi="宋体" w:eastAsia="宋体" w:cs="宋体"/>
                <w:color w:val="auto"/>
                <w:sz w:val="22"/>
                <w:lang w:eastAsia="en-US"/>
              </w:rPr>
            </w:pPr>
            <w:r>
              <w:rPr>
                <w:rFonts w:hint="eastAsia" w:ascii="宋体" w:hAnsi="宋体" w:eastAsia="宋体" w:cs="宋体"/>
                <w:color w:val="auto"/>
                <w:sz w:val="28"/>
                <w:lang w:eastAsia="en-US"/>
              </w:rPr>
              <w:t>磋商供</w:t>
            </w:r>
            <w:r>
              <w:rPr>
                <w:rFonts w:hint="eastAsia" w:ascii="宋体" w:hAnsi="宋体" w:eastAsia="宋体" w:cs="宋体"/>
                <w:color w:val="auto"/>
                <w:spacing w:val="-3"/>
                <w:sz w:val="28"/>
                <w:lang w:eastAsia="en-US"/>
              </w:rPr>
              <w:t>应</w:t>
            </w:r>
            <w:r>
              <w:rPr>
                <w:rFonts w:hint="eastAsia" w:ascii="宋体" w:hAnsi="宋体" w:eastAsia="宋体" w:cs="宋体"/>
                <w:color w:val="auto"/>
                <w:sz w:val="28"/>
                <w:lang w:eastAsia="en-US"/>
              </w:rPr>
              <w:t>商地</w:t>
            </w:r>
            <w:r>
              <w:rPr>
                <w:rFonts w:hint="eastAsia" w:ascii="宋体" w:hAnsi="宋体" w:eastAsia="宋体" w:cs="宋体"/>
                <w:color w:val="auto"/>
                <w:spacing w:val="-3"/>
                <w:sz w:val="28"/>
                <w:lang w:eastAsia="en-US"/>
              </w:rPr>
              <w:t>址</w:t>
            </w:r>
            <w:r>
              <w:rPr>
                <w:rFonts w:hint="eastAsia" w:ascii="宋体" w:hAnsi="宋体" w:eastAsia="宋体" w:cs="宋体"/>
                <w:color w:val="auto"/>
                <w:spacing w:val="3"/>
                <w:sz w:val="28"/>
                <w:lang w:eastAsia="en-US"/>
              </w:rPr>
              <w:t>：</w:t>
            </w:r>
            <w:r>
              <w:rPr>
                <w:rFonts w:hint="eastAsia" w:ascii="宋体" w:hAnsi="宋体" w:eastAsia="宋体" w:cs="宋体"/>
                <w:color w:val="auto"/>
                <w:spacing w:val="3"/>
                <w:sz w:val="28"/>
                <w:u w:val="single"/>
                <w:lang w:eastAsia="en-US"/>
              </w:rPr>
              <w:t xml:space="preserve"> </w:t>
            </w:r>
            <w:r>
              <w:rPr>
                <w:rFonts w:hint="eastAsia" w:ascii="宋体" w:hAnsi="宋体" w:eastAsia="宋体" w:cs="宋体"/>
                <w:color w:val="auto"/>
                <w:spacing w:val="3"/>
                <w:sz w:val="28"/>
                <w:u w:val="single"/>
                <w:lang w:eastAsia="en-US"/>
              </w:rPr>
              <w:tab/>
            </w:r>
            <w:r>
              <w:rPr>
                <w:rFonts w:hint="eastAsia" w:ascii="宋体" w:hAnsi="宋体" w:eastAsia="宋体" w:cs="宋体"/>
                <w:color w:val="auto"/>
                <w:sz w:val="22"/>
                <w:lang w:eastAsia="en-US"/>
              </w:rPr>
              <w:t>_</w:t>
            </w:r>
          </w:p>
        </w:tc>
      </w:tr>
      <w:tr>
        <w:tblPrEx>
          <w:tblCellMar>
            <w:top w:w="0" w:type="dxa"/>
            <w:left w:w="0" w:type="dxa"/>
            <w:bottom w:w="0" w:type="dxa"/>
            <w:right w:w="0" w:type="dxa"/>
          </w:tblCellMar>
        </w:tblPrEx>
        <w:trPr>
          <w:trHeight w:val="680" w:hRule="atLeast"/>
        </w:trPr>
        <w:tc>
          <w:tcPr>
            <w:tcW w:w="8538" w:type="dxa"/>
          </w:tcPr>
          <w:p>
            <w:pPr>
              <w:pStyle w:val="93"/>
              <w:keepNext w:val="0"/>
              <w:keepLines w:val="0"/>
              <w:pageBreakBefore w:val="0"/>
              <w:widowControl w:val="0"/>
              <w:tabs>
                <w:tab w:val="left" w:pos="8221"/>
              </w:tabs>
              <w:kinsoku/>
              <w:overflowPunct/>
              <w:topLinePunct w:val="0"/>
              <w:autoSpaceDE w:val="0"/>
              <w:autoSpaceDN w:val="0"/>
              <w:bidi w:val="0"/>
              <w:spacing w:before="161" w:line="480" w:lineRule="auto"/>
              <w:ind w:left="200"/>
              <w:rPr>
                <w:rFonts w:hint="eastAsia" w:ascii="宋体" w:hAnsi="宋体" w:eastAsia="宋体" w:cs="宋体"/>
                <w:color w:val="auto"/>
                <w:sz w:val="28"/>
              </w:rPr>
            </w:pPr>
            <w:r>
              <w:rPr>
                <w:rFonts w:hint="eastAsia" w:ascii="宋体" w:hAnsi="宋体" w:eastAsia="宋体" w:cs="宋体"/>
                <w:color w:val="auto"/>
                <w:spacing w:val="-1"/>
                <w:sz w:val="28"/>
              </w:rPr>
              <w:t>磋</w:t>
            </w:r>
            <w:r>
              <w:rPr>
                <w:rFonts w:hint="eastAsia" w:ascii="宋体" w:hAnsi="宋体" w:eastAsia="宋体" w:cs="宋体"/>
                <w:color w:val="auto"/>
                <w:sz w:val="28"/>
              </w:rPr>
              <w:t>商供</w:t>
            </w:r>
            <w:r>
              <w:rPr>
                <w:rFonts w:hint="eastAsia" w:ascii="宋体" w:hAnsi="宋体" w:eastAsia="宋体" w:cs="宋体"/>
                <w:color w:val="auto"/>
                <w:spacing w:val="-3"/>
                <w:sz w:val="28"/>
              </w:rPr>
              <w:t>应</w:t>
            </w:r>
            <w:r>
              <w:rPr>
                <w:rFonts w:hint="eastAsia" w:ascii="宋体" w:hAnsi="宋体" w:eastAsia="宋体" w:cs="宋体"/>
                <w:color w:val="auto"/>
                <w:sz w:val="28"/>
              </w:rPr>
              <w:t>商联</w:t>
            </w:r>
            <w:r>
              <w:rPr>
                <w:rFonts w:hint="eastAsia" w:ascii="宋体" w:hAnsi="宋体" w:eastAsia="宋体" w:cs="宋体"/>
                <w:color w:val="auto"/>
                <w:spacing w:val="-3"/>
                <w:sz w:val="28"/>
              </w:rPr>
              <w:t>系电</w:t>
            </w:r>
            <w:r>
              <w:rPr>
                <w:rFonts w:hint="eastAsia" w:ascii="宋体" w:hAnsi="宋体" w:eastAsia="宋体" w:cs="宋体"/>
                <w:color w:val="auto"/>
                <w:sz w:val="28"/>
              </w:rPr>
              <w:t>话：</w:t>
            </w:r>
            <w:r>
              <w:rPr>
                <w:rFonts w:hint="eastAsia" w:ascii="宋体" w:hAnsi="宋体" w:eastAsia="宋体" w:cs="宋体"/>
                <w:color w:val="auto"/>
                <w:sz w:val="28"/>
                <w:u w:val="single"/>
              </w:rPr>
              <w:t xml:space="preserve"> </w:t>
            </w:r>
            <w:r>
              <w:rPr>
                <w:rFonts w:hint="eastAsia" w:ascii="宋体" w:hAnsi="宋体" w:eastAsia="宋体" w:cs="宋体"/>
                <w:color w:val="auto"/>
                <w:sz w:val="28"/>
                <w:u w:val="single"/>
              </w:rPr>
              <w:tab/>
            </w:r>
          </w:p>
        </w:tc>
      </w:tr>
      <w:tr>
        <w:tblPrEx>
          <w:tblCellMar>
            <w:top w:w="0" w:type="dxa"/>
            <w:left w:w="0" w:type="dxa"/>
            <w:bottom w:w="0" w:type="dxa"/>
            <w:right w:w="0" w:type="dxa"/>
          </w:tblCellMar>
        </w:tblPrEx>
        <w:trPr>
          <w:trHeight w:val="679" w:hRule="atLeast"/>
        </w:trPr>
        <w:tc>
          <w:tcPr>
            <w:tcW w:w="8538" w:type="dxa"/>
          </w:tcPr>
          <w:p>
            <w:pPr>
              <w:pStyle w:val="93"/>
              <w:keepNext w:val="0"/>
              <w:keepLines w:val="0"/>
              <w:pageBreakBefore w:val="0"/>
              <w:widowControl w:val="0"/>
              <w:tabs>
                <w:tab w:val="left" w:pos="8150"/>
              </w:tabs>
              <w:kinsoku/>
              <w:overflowPunct/>
              <w:topLinePunct w:val="0"/>
              <w:autoSpaceDE w:val="0"/>
              <w:autoSpaceDN w:val="0"/>
              <w:bidi w:val="0"/>
              <w:spacing w:before="160" w:line="480" w:lineRule="auto"/>
              <w:ind w:left="200"/>
              <w:rPr>
                <w:rFonts w:hint="eastAsia" w:ascii="宋体" w:hAnsi="宋体" w:eastAsia="宋体" w:cs="宋体"/>
                <w:color w:val="auto"/>
                <w:sz w:val="22"/>
                <w:lang w:eastAsia="en-US"/>
              </w:rPr>
            </w:pPr>
            <w:r>
              <w:rPr>
                <w:rFonts w:hint="eastAsia" w:ascii="宋体" w:hAnsi="宋体" w:eastAsia="宋体" w:cs="宋体"/>
                <w:color w:val="auto"/>
                <w:sz w:val="28"/>
                <w:lang w:eastAsia="en-US"/>
              </w:rPr>
              <w:t>日期：</w:t>
            </w:r>
            <w:r>
              <w:rPr>
                <w:rFonts w:hint="eastAsia" w:ascii="宋体" w:hAnsi="宋体" w:eastAsia="宋体" w:cs="宋体"/>
                <w:color w:val="auto"/>
                <w:sz w:val="28"/>
                <w:u w:val="single"/>
                <w:lang w:eastAsia="en-US"/>
              </w:rPr>
              <w:t xml:space="preserve"> </w:t>
            </w:r>
            <w:r>
              <w:rPr>
                <w:rFonts w:hint="eastAsia" w:ascii="宋体" w:hAnsi="宋体" w:eastAsia="宋体" w:cs="宋体"/>
                <w:color w:val="auto"/>
                <w:sz w:val="28"/>
                <w:u w:val="single"/>
                <w:lang w:eastAsia="en-US"/>
              </w:rPr>
              <w:tab/>
            </w:r>
            <w:r>
              <w:rPr>
                <w:rFonts w:hint="eastAsia" w:ascii="宋体" w:hAnsi="宋体" w:eastAsia="宋体" w:cs="宋体"/>
                <w:color w:val="auto"/>
                <w:sz w:val="22"/>
                <w:lang w:eastAsia="en-US"/>
              </w:rPr>
              <w:t>_</w:t>
            </w:r>
          </w:p>
        </w:tc>
      </w:tr>
    </w:tbl>
    <w:p>
      <w:pPr>
        <w:pStyle w:val="19"/>
        <w:keepNext w:val="0"/>
        <w:keepLines w:val="0"/>
        <w:pageBreakBefore w:val="0"/>
        <w:widowControl w:val="0"/>
        <w:kinsoku/>
        <w:overflowPunct/>
        <w:topLinePunct w:val="0"/>
        <w:bidi w:val="0"/>
        <w:spacing w:line="360" w:lineRule="auto"/>
        <w:ind w:firstLine="4640" w:firstLineChars="1450"/>
        <w:rPr>
          <w:rFonts w:hint="eastAsia" w:ascii="宋体" w:hAnsi="宋体" w:eastAsia="宋体" w:cs="宋体"/>
          <w:color w:val="auto"/>
          <w:sz w:val="32"/>
          <w:szCs w:val="32"/>
        </w:rPr>
      </w:pPr>
    </w:p>
    <w:p>
      <w:pPr>
        <w:pStyle w:val="19"/>
        <w:keepNext w:val="0"/>
        <w:keepLines w:val="0"/>
        <w:pageBreakBefore w:val="0"/>
        <w:widowControl w:val="0"/>
        <w:kinsoku/>
        <w:overflowPunct/>
        <w:topLinePunct w:val="0"/>
        <w:bidi w:val="0"/>
        <w:spacing w:line="360" w:lineRule="auto"/>
        <w:ind w:firstLine="4640" w:firstLineChars="1450"/>
        <w:rPr>
          <w:rFonts w:hint="eastAsia" w:ascii="宋体" w:hAnsi="宋体" w:eastAsia="宋体" w:cs="宋体"/>
          <w:color w:val="auto"/>
          <w:sz w:val="32"/>
          <w:szCs w:val="32"/>
        </w:rPr>
      </w:pPr>
    </w:p>
    <w:p>
      <w:pPr>
        <w:pStyle w:val="19"/>
        <w:keepNext w:val="0"/>
        <w:keepLines w:val="0"/>
        <w:pageBreakBefore w:val="0"/>
        <w:widowControl w:val="0"/>
        <w:kinsoku/>
        <w:overflowPunct/>
        <w:topLinePunct w:val="0"/>
        <w:bidi w:val="0"/>
        <w:spacing w:line="360" w:lineRule="auto"/>
        <w:rPr>
          <w:rFonts w:hint="eastAsia" w:ascii="宋体" w:hAnsi="宋体" w:eastAsia="宋体" w:cs="宋体"/>
          <w:color w:val="auto"/>
          <w:sz w:val="24"/>
        </w:rPr>
      </w:pPr>
    </w:p>
    <w:p>
      <w:pPr>
        <w:pStyle w:val="19"/>
        <w:keepNext w:val="0"/>
        <w:keepLines w:val="0"/>
        <w:pageBreakBefore w:val="0"/>
        <w:widowControl w:val="0"/>
        <w:kinsoku/>
        <w:overflowPunct/>
        <w:topLinePunct w:val="0"/>
        <w:bidi w:val="0"/>
        <w:spacing w:line="360" w:lineRule="auto"/>
        <w:rPr>
          <w:rFonts w:hint="eastAsia" w:ascii="宋体" w:hAnsi="宋体" w:eastAsia="宋体" w:cs="宋体"/>
          <w:color w:val="auto"/>
          <w:sz w:val="24"/>
        </w:rPr>
      </w:pPr>
    </w:p>
    <w:p>
      <w:pPr>
        <w:pStyle w:val="19"/>
        <w:keepNext w:val="0"/>
        <w:keepLines w:val="0"/>
        <w:pageBreakBefore w:val="0"/>
        <w:widowControl w:val="0"/>
        <w:kinsoku/>
        <w:overflowPunct/>
        <w:topLinePunct w:val="0"/>
        <w:bidi w:val="0"/>
        <w:spacing w:line="360" w:lineRule="auto"/>
        <w:rPr>
          <w:rFonts w:hint="eastAsia" w:ascii="宋体" w:hAnsi="宋体" w:eastAsia="宋体" w:cs="宋体"/>
          <w:color w:val="auto"/>
          <w:sz w:val="24"/>
        </w:rPr>
      </w:pPr>
    </w:p>
    <w:p>
      <w:pPr>
        <w:keepNext w:val="0"/>
        <w:keepLines w:val="0"/>
        <w:pageBreakBefore w:val="0"/>
        <w:widowControl w:val="0"/>
        <w:kinsoku/>
        <w:overflowPunct/>
        <w:topLinePunct w:val="0"/>
        <w:bidi w:val="0"/>
        <w:spacing w:line="500" w:lineRule="exact"/>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目  录</w:t>
      </w:r>
    </w:p>
    <w:p>
      <w:pPr>
        <w:pStyle w:val="116"/>
        <w:keepNext w:val="0"/>
        <w:keepLines w:val="0"/>
        <w:pageBreakBefore w:val="0"/>
        <w:widowControl w:val="0"/>
        <w:kinsoku/>
        <w:overflowPunct/>
        <w:topLinePunct w:val="0"/>
        <w:bidi w:val="0"/>
        <w:spacing w:line="480" w:lineRule="exact"/>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1）磋商声明书------------------------------------------------------（页码）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（2）供应商磋商申请表------------------------------------------------（页码）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类似项目业绩----------------------------------------------------（页码）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综合实力--------------------------------------------------------（页码）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eastAsia="zh-CN"/>
        </w:rPr>
        <w:t>行业熟悉程度</w:t>
      </w:r>
      <w:r>
        <w:rPr>
          <w:rFonts w:hint="eastAsia" w:ascii="宋体" w:hAnsi="宋体" w:eastAsia="宋体" w:cs="宋体"/>
          <w:color w:val="auto"/>
          <w:sz w:val="24"/>
          <w:szCs w:val="24"/>
        </w:rPr>
        <w:t>----------------------------------------------------（页码）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zh-CN"/>
        </w:rPr>
        <w:t>技术方案及响应能力</w:t>
      </w:r>
      <w:r>
        <w:rPr>
          <w:rFonts w:hint="eastAsia" w:ascii="宋体" w:hAnsi="宋体" w:eastAsia="宋体" w:cs="宋体"/>
          <w:color w:val="auto"/>
          <w:sz w:val="24"/>
          <w:szCs w:val="24"/>
        </w:rPr>
        <w:t>----------------------------------------------（页码）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人员配置--------------------------------------------------------（页码）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）仪器投入--------------------------------------------------------（页码）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场地设施</w:t>
      </w:r>
      <w:r>
        <w:rPr>
          <w:rFonts w:hint="eastAsia" w:ascii="宋体" w:hAnsi="宋体" w:eastAsia="宋体" w:cs="宋体"/>
          <w:color w:val="auto"/>
          <w:sz w:val="24"/>
          <w:szCs w:val="24"/>
        </w:rPr>
        <w:t>--------------------------------------------------------（页码）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采样及样品储备设施</w:t>
      </w:r>
      <w:r>
        <w:rPr>
          <w:rFonts w:hint="eastAsia" w:ascii="宋体" w:hAnsi="宋体" w:eastAsia="宋体" w:cs="宋体"/>
          <w:color w:val="auto"/>
          <w:sz w:val="24"/>
          <w:szCs w:val="24"/>
        </w:rPr>
        <w:t>----------------------------------------------（页码）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检测能力</w:t>
      </w:r>
      <w:r>
        <w:rPr>
          <w:rFonts w:hint="eastAsia" w:ascii="宋体" w:hAnsi="宋体" w:eastAsia="宋体" w:cs="宋体"/>
          <w:color w:val="auto"/>
          <w:sz w:val="24"/>
          <w:szCs w:val="24"/>
        </w:rPr>
        <w:t>--------------------------------------------------------（页码）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能力验证</w:t>
      </w:r>
      <w:r>
        <w:rPr>
          <w:rFonts w:hint="eastAsia" w:ascii="宋体" w:hAnsi="宋体" w:eastAsia="宋体" w:cs="宋体"/>
          <w:color w:val="auto"/>
          <w:sz w:val="24"/>
          <w:szCs w:val="24"/>
        </w:rPr>
        <w:t>--------------------------------------------------------（页码）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实验室实力</w:t>
      </w:r>
      <w:r>
        <w:rPr>
          <w:rFonts w:hint="eastAsia" w:ascii="宋体" w:hAnsi="宋体" w:eastAsia="宋体" w:cs="宋体"/>
          <w:color w:val="auto"/>
          <w:sz w:val="24"/>
          <w:szCs w:val="24"/>
        </w:rPr>
        <w:t>------------------------------------------------------（页码）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服务方案</w:t>
      </w:r>
      <w:r>
        <w:rPr>
          <w:rFonts w:hint="eastAsia" w:ascii="宋体" w:hAnsi="宋体" w:eastAsia="宋体" w:cs="宋体"/>
          <w:color w:val="auto"/>
          <w:sz w:val="24"/>
          <w:szCs w:val="24"/>
        </w:rPr>
        <w:t>-------------------------------------------------------（页码）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突发事件应急保障及相应情况</w:t>
      </w:r>
      <w:r>
        <w:rPr>
          <w:rFonts w:hint="eastAsia" w:ascii="宋体" w:hAnsi="宋体" w:eastAsia="宋体" w:cs="宋体"/>
          <w:color w:val="auto"/>
          <w:sz w:val="24"/>
          <w:szCs w:val="24"/>
        </w:rPr>
        <w:t>-------------------------------------（页码）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检测信息共享情况</w:t>
      </w:r>
      <w:r>
        <w:rPr>
          <w:rFonts w:hint="eastAsia" w:ascii="宋体" w:hAnsi="宋体" w:eastAsia="宋体" w:cs="宋体"/>
          <w:color w:val="auto"/>
          <w:sz w:val="24"/>
          <w:szCs w:val="24"/>
        </w:rPr>
        <w:t>-----------------------------------------------（页码）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18</w:t>
      </w:r>
      <w:r>
        <w:rPr>
          <w:rFonts w:hint="eastAsia" w:ascii="宋体" w:hAnsi="宋体" w:eastAsia="宋体" w:cs="宋体"/>
          <w:color w:val="auto"/>
          <w:sz w:val="24"/>
          <w:szCs w:val="24"/>
        </w:rPr>
        <w:t>）质量保证措施---------------------------------------------------（页码）</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）其他供应商认为有必要提供的资料等-------------------------------（页码）</w:t>
      </w:r>
    </w:p>
    <w:p>
      <w:pPr>
        <w:keepNext w:val="0"/>
        <w:keepLines w:val="0"/>
        <w:pageBreakBefore w:val="0"/>
        <w:widowControl w:val="0"/>
        <w:kinsoku/>
        <w:overflowPunct/>
        <w:topLinePunct w:val="0"/>
        <w:bidi w:val="0"/>
        <w:spacing w:line="480" w:lineRule="exact"/>
        <w:rPr>
          <w:rFonts w:hint="eastAsia" w:ascii="宋体" w:hAnsi="宋体" w:eastAsia="宋体" w:cs="宋体"/>
          <w:b/>
          <w:color w:val="auto"/>
          <w:sz w:val="24"/>
          <w:szCs w:val="24"/>
        </w:rPr>
      </w:pPr>
    </w:p>
    <w:p>
      <w:pPr>
        <w:keepNext w:val="0"/>
        <w:keepLines w:val="0"/>
        <w:pageBreakBefore w:val="0"/>
        <w:widowControl w:val="0"/>
        <w:kinsoku/>
        <w:overflowPunct/>
        <w:topLinePunct w:val="0"/>
        <w:bidi w:val="0"/>
        <w:rPr>
          <w:rFonts w:hint="eastAsia" w:ascii="宋体" w:hAnsi="宋体" w:eastAsia="宋体" w:cs="宋体"/>
          <w:color w:val="auto"/>
          <w:lang w:val="zh-CN"/>
        </w:rPr>
      </w:pPr>
    </w:p>
    <w:p>
      <w:pPr>
        <w:pStyle w:val="19"/>
        <w:keepNext w:val="0"/>
        <w:keepLines w:val="0"/>
        <w:pageBreakBefore w:val="0"/>
        <w:widowControl w:val="0"/>
        <w:kinsoku/>
        <w:overflowPunct/>
        <w:topLinePunct w:val="0"/>
        <w:bidi w:val="0"/>
        <w:snapToGrid w:val="0"/>
        <w:spacing w:line="560" w:lineRule="exact"/>
        <w:ind w:left="0" w:firstLine="482" w:firstLineChars="200"/>
        <w:rPr>
          <w:rFonts w:hint="eastAsia" w:ascii="宋体" w:hAnsi="宋体" w:eastAsia="宋体" w:cs="宋体"/>
          <w:b/>
          <w:color w:val="auto"/>
          <w:sz w:val="24"/>
          <w:szCs w:val="24"/>
          <w:lang w:val="zh-CN"/>
        </w:rPr>
      </w:pPr>
      <w:r>
        <w:rPr>
          <w:rFonts w:hint="eastAsia" w:ascii="宋体" w:hAnsi="宋体" w:eastAsia="宋体" w:cs="宋体"/>
          <w:b/>
          <w:color w:val="auto"/>
          <w:sz w:val="24"/>
          <w:szCs w:val="24"/>
          <w:lang w:val="zh-CN"/>
        </w:rPr>
        <w:t>响应文件中所需的各种证书、证件、证明资料如是复印件，须在复印件上加盖有效公章。供应商的</w:t>
      </w:r>
      <w:r>
        <w:rPr>
          <w:rFonts w:hint="eastAsia" w:ascii="宋体" w:hAnsi="宋体" w:eastAsia="宋体" w:cs="宋体"/>
          <w:b/>
          <w:color w:val="auto"/>
          <w:sz w:val="24"/>
          <w:szCs w:val="24"/>
        </w:rPr>
        <w:t>响应文件必须按照磋商文件要求制作</w:t>
      </w:r>
      <w:r>
        <w:rPr>
          <w:rFonts w:hint="eastAsia" w:ascii="宋体" w:hAnsi="宋体" w:eastAsia="宋体" w:cs="宋体"/>
          <w:b/>
          <w:bCs/>
          <w:color w:val="auto"/>
          <w:sz w:val="24"/>
          <w:szCs w:val="24"/>
        </w:rPr>
        <w:t>。</w:t>
      </w:r>
    </w:p>
    <w:p>
      <w:pPr>
        <w:keepNext w:val="0"/>
        <w:keepLines w:val="0"/>
        <w:pageBreakBefore w:val="0"/>
        <w:widowControl w:val="0"/>
        <w:kinsoku/>
        <w:overflowPunct/>
        <w:topLinePunct w:val="0"/>
        <w:bidi w:val="0"/>
        <w:spacing w:line="560" w:lineRule="exact"/>
        <w:jc w:val="center"/>
        <w:rPr>
          <w:rFonts w:hint="eastAsia" w:ascii="宋体" w:hAnsi="宋体" w:eastAsia="宋体" w:cs="宋体"/>
          <w:b/>
          <w:color w:val="auto"/>
          <w:sz w:val="24"/>
          <w:szCs w:val="24"/>
        </w:rPr>
      </w:pPr>
    </w:p>
    <w:p>
      <w:pPr>
        <w:pStyle w:val="19"/>
        <w:keepNext w:val="0"/>
        <w:keepLines w:val="0"/>
        <w:pageBreakBefore w:val="0"/>
        <w:widowControl w:val="0"/>
        <w:kinsoku/>
        <w:overflowPunct/>
        <w:topLinePunct w:val="0"/>
        <w:autoSpaceDE/>
        <w:autoSpaceDN/>
        <w:bidi w:val="0"/>
        <w:adjustRightInd/>
        <w:snapToGrid/>
        <w:spacing w:line="480" w:lineRule="exact"/>
        <w:ind w:left="0"/>
        <w:jc w:val="center"/>
        <w:textAlignment w:val="auto"/>
        <w:outlineLvl w:val="1"/>
        <w:rPr>
          <w:rFonts w:hint="eastAsia" w:ascii="宋体" w:hAnsi="宋体" w:eastAsia="宋体" w:cs="宋体"/>
          <w:color w:val="auto"/>
          <w:sz w:val="32"/>
          <w:szCs w:val="32"/>
        </w:rPr>
      </w:pPr>
      <w:bookmarkStart w:id="385" w:name="_Toc21455"/>
      <w:bookmarkStart w:id="386" w:name="_Toc1374"/>
      <w:r>
        <w:rPr>
          <w:rFonts w:hint="eastAsia" w:ascii="宋体" w:hAnsi="宋体" w:eastAsia="宋体" w:cs="宋体"/>
          <w:b/>
          <w:color w:val="auto"/>
          <w:sz w:val="32"/>
        </w:rPr>
        <w:t>1、磋商声明书</w:t>
      </w:r>
      <w:bookmarkEnd w:id="385"/>
      <w:bookmarkEnd w:id="386"/>
    </w:p>
    <w:p>
      <w:pPr>
        <w:pStyle w:val="19"/>
        <w:keepNext w:val="0"/>
        <w:keepLines w:val="0"/>
        <w:pageBreakBefore w:val="0"/>
        <w:widowControl w:val="0"/>
        <w:tabs>
          <w:tab w:val="left" w:pos="0"/>
        </w:tabs>
        <w:kinsoku/>
        <w:overflowPunct/>
        <w:topLinePunct w:val="0"/>
        <w:autoSpaceDE/>
        <w:autoSpaceDN/>
        <w:bidi w:val="0"/>
        <w:adjustRightInd/>
        <w:snapToGrid/>
        <w:spacing w:line="48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（代理机构名称）</w:t>
      </w:r>
      <w:r>
        <w:rPr>
          <w:rFonts w:hint="eastAsia" w:ascii="宋体" w:hAnsi="宋体" w:eastAsia="宋体" w:cs="宋体"/>
          <w:color w:val="auto"/>
          <w:sz w:val="24"/>
          <w:szCs w:val="24"/>
        </w:rPr>
        <w:t>：</w:t>
      </w:r>
    </w:p>
    <w:p>
      <w:pPr>
        <w:pStyle w:val="19"/>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auto"/>
          <w:sz w:val="24"/>
          <w:szCs w:val="24"/>
        </w:rPr>
      </w:pPr>
      <w:r>
        <w:rPr>
          <w:rFonts w:hint="eastAsia" w:ascii="宋体" w:hAnsi="宋体" w:eastAsia="宋体" w:cs="宋体"/>
          <w:color w:val="auto"/>
          <w:sz w:val="24"/>
          <w:szCs w:val="24"/>
          <w:u w:val="single"/>
        </w:rPr>
        <w:t>　(供应商名称) 　</w:t>
      </w:r>
      <w:r>
        <w:rPr>
          <w:rFonts w:hint="eastAsia" w:ascii="宋体" w:hAnsi="宋体" w:eastAsia="宋体" w:cs="宋体"/>
          <w:color w:val="auto"/>
          <w:sz w:val="24"/>
          <w:szCs w:val="24"/>
        </w:rPr>
        <w:t>系中华人民共和国合法企业，经营地址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pPr>
        <w:pStyle w:val="19"/>
        <w:keepNext w:val="0"/>
        <w:keepLines w:val="0"/>
        <w:pageBreakBefore w:val="0"/>
        <w:widowControl w:val="0"/>
        <w:kinsoku/>
        <w:overflowPunct/>
        <w:topLinePunct w:val="0"/>
        <w:autoSpaceDE/>
        <w:autoSpaceDN/>
        <w:bidi w:val="0"/>
        <w:adjustRightInd/>
        <w:snapToGrid/>
        <w:spacing w:line="480" w:lineRule="exact"/>
        <w:ind w:left="0" w:firstLine="72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w:t>
      </w:r>
      <w:r>
        <w:rPr>
          <w:rFonts w:hint="eastAsia" w:ascii="宋体" w:hAnsi="宋体" w:eastAsia="宋体" w:cs="宋体"/>
          <w:color w:val="auto"/>
          <w:sz w:val="24"/>
          <w:szCs w:val="24"/>
          <w:u w:val="single"/>
        </w:rPr>
        <w:t>(负责人名字)</w:t>
      </w: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(供应商名称)       </w:t>
      </w:r>
      <w:r>
        <w:rPr>
          <w:rFonts w:hint="eastAsia" w:ascii="宋体" w:hAnsi="宋体" w:eastAsia="宋体" w:cs="宋体"/>
          <w:color w:val="auto"/>
          <w:sz w:val="24"/>
          <w:szCs w:val="24"/>
        </w:rPr>
        <w:t>的负责人，我方愿意参加贵方组织的</w:t>
      </w:r>
      <w:r>
        <w:rPr>
          <w:rFonts w:hint="eastAsia" w:ascii="宋体" w:hAnsi="宋体" w:eastAsia="宋体" w:cs="宋体"/>
          <w:color w:val="auto"/>
          <w:sz w:val="24"/>
          <w:szCs w:val="24"/>
          <w:u w:val="single"/>
        </w:rPr>
        <w:t xml:space="preserve">   （项目名称）（采购编号：   ）</w:t>
      </w:r>
      <w:r>
        <w:rPr>
          <w:rFonts w:hint="eastAsia" w:ascii="宋体" w:hAnsi="宋体" w:eastAsia="宋体" w:cs="宋体"/>
          <w:color w:val="auto"/>
          <w:sz w:val="24"/>
          <w:szCs w:val="24"/>
        </w:rPr>
        <w:t>的竞争性磋商。为便于贵方公正、择优地确定成交人以及磋商产品和服务，我方就本次磋商有关事项郑重承诺如下：</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rPr>
      </w:pPr>
      <w:bookmarkStart w:id="387" w:name="_Toc13052"/>
      <w:bookmarkStart w:id="388" w:name="_Toc7997"/>
      <w:r>
        <w:rPr>
          <w:rFonts w:hint="eastAsia" w:ascii="宋体" w:hAnsi="宋体" w:eastAsia="宋体" w:cs="宋体"/>
          <w:color w:val="auto"/>
          <w:sz w:val="24"/>
          <w:szCs w:val="24"/>
        </w:rPr>
        <w:t>1、我方向贵方提交的所有响应文件、资料都是准确的和真实的。</w:t>
      </w:r>
      <w:bookmarkEnd w:id="387"/>
      <w:bookmarkEnd w:id="388"/>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2、我方承诺已经具备《中华人民共和国政府采购法》、《中华人民共和国政府采购法实施条例》中规定的参加政府采购活动的供应商应当具备的条件，并真实提供相关材料。</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rPr>
      </w:pPr>
      <w:bookmarkStart w:id="389" w:name="_Toc22815"/>
      <w:bookmarkStart w:id="390" w:name="_Toc28235"/>
      <w:r>
        <w:rPr>
          <w:rFonts w:hint="eastAsia" w:ascii="宋体" w:hAnsi="宋体" w:eastAsia="宋体" w:cs="宋体"/>
          <w:color w:val="auto"/>
          <w:sz w:val="24"/>
          <w:szCs w:val="24"/>
        </w:rPr>
        <w:t>3、提供供应商须知规定的全部响应文件，包括：</w:t>
      </w:r>
      <w:bookmarkEnd w:id="389"/>
      <w:bookmarkEnd w:id="390"/>
    </w:p>
    <w:p>
      <w:pPr>
        <w:pStyle w:val="80"/>
        <w:keepNext w:val="0"/>
        <w:keepLines w:val="0"/>
        <w:pageBreakBefore w:val="0"/>
        <w:widowControl w:val="0"/>
        <w:tabs>
          <w:tab w:val="left" w:pos="0"/>
        </w:tabs>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①电子响应文件；</w:t>
      </w:r>
    </w:p>
    <w:p>
      <w:pPr>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②备份响应文件（注：是否提交由供应商自行决定，如不提交，本条可删除）。</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4、如果我方成交，将派出  </w:t>
      </w:r>
      <w:r>
        <w:rPr>
          <w:rFonts w:hint="eastAsia" w:ascii="宋体" w:hAnsi="宋体" w:eastAsia="宋体" w:cs="宋体"/>
          <w:color w:val="auto"/>
          <w:sz w:val="24"/>
          <w:szCs w:val="24"/>
          <w:u w:val="single"/>
        </w:rPr>
        <w:t xml:space="preserve">（姓名及身份证号码）   </w:t>
      </w:r>
      <w:r>
        <w:rPr>
          <w:rFonts w:hint="eastAsia" w:ascii="宋体" w:hAnsi="宋体" w:eastAsia="宋体" w:cs="宋体"/>
          <w:color w:val="auto"/>
          <w:sz w:val="24"/>
          <w:szCs w:val="24"/>
        </w:rPr>
        <w:t>，作为本项目与采购单位联系的项目实施负责人，联系手机号码：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在项目实施过程中，并承诺项目实施负责人不更换，若确需更换的，书面征得采购人同意后才准予更换。</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outlineLvl w:val="1"/>
        <w:rPr>
          <w:rFonts w:hint="eastAsia" w:ascii="宋体" w:hAnsi="宋体" w:eastAsia="宋体" w:cs="宋体"/>
          <w:color w:val="auto"/>
          <w:sz w:val="24"/>
          <w:szCs w:val="24"/>
        </w:rPr>
      </w:pPr>
      <w:bookmarkStart w:id="391" w:name="_Toc3300"/>
      <w:bookmarkStart w:id="392" w:name="_Toc10580"/>
      <w:r>
        <w:rPr>
          <w:rFonts w:hint="eastAsia" w:ascii="宋体" w:hAnsi="宋体" w:eastAsia="宋体" w:cs="宋体"/>
          <w:color w:val="auto"/>
          <w:sz w:val="24"/>
          <w:szCs w:val="24"/>
        </w:rPr>
        <w:t>5、我方的磋商有效期自在提交响应文件截止之日起</w:t>
      </w:r>
      <w:r>
        <w:rPr>
          <w:rFonts w:hint="eastAsia" w:ascii="宋体" w:hAnsi="宋体" w:eastAsia="宋体" w:cs="宋体"/>
          <w:color w:val="auto"/>
          <w:sz w:val="24"/>
          <w:szCs w:val="24"/>
          <w:u w:val="single"/>
        </w:rPr>
        <w:t>90</w:t>
      </w:r>
      <w:r>
        <w:rPr>
          <w:rFonts w:hint="eastAsia" w:ascii="宋体" w:hAnsi="宋体" w:eastAsia="宋体" w:cs="宋体"/>
          <w:color w:val="auto"/>
          <w:sz w:val="24"/>
          <w:szCs w:val="24"/>
        </w:rPr>
        <w:t>天内有效。</w:t>
      </w:r>
      <w:bookmarkEnd w:id="391"/>
      <w:bookmarkEnd w:id="392"/>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6、我方在磋商之前已经与贵方进行了充分的沟通，完全理解并接受磋商文件的各项规定和要求，对磋商文件的合理性、合法性不再有异议。</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我方愿意向贵方提供真实完整的任何与该项磋商有关的数据、情况和技术资料。若贵方需要，我方愿意提供我方作出的一切承诺的证明材料。</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7、我方已详阅全部磋商文件内容，包括磋商文件的澄清或修改文件（如有）、参考资料及有关附件，已经了解我方对于磋商文件、采购过程、采购结果有依法进行询问、质疑、投诉的权利及相关渠道和要求。</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8、我方不是采购人的附属机构，并未为本项目提供整体设计、规范编制或者项目管理、监理、监测等服务。</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（一）提供虚假材料谋取成交的；</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（二）采取不正当手段诋毁、排挤其他供应商的；</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（三）与采购人、其它供应商或者采购代理机构恶意串通的；</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（四）向采购人、采购代理机构行贿或者提供其他不正当利益的；</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（五）在磋商采购过程中与采购人进行协商谈判的；</w:t>
      </w:r>
    </w:p>
    <w:p>
      <w:pPr>
        <w:pStyle w:val="19"/>
        <w:keepNext w:val="0"/>
        <w:keepLines w:val="0"/>
        <w:pageBreakBefore w:val="0"/>
        <w:widowControl w:val="0"/>
        <w:kinsoku/>
        <w:overflowPunct/>
        <w:topLinePunct w:val="0"/>
        <w:autoSpaceDE/>
        <w:autoSpaceDN/>
        <w:bidi w:val="0"/>
        <w:adjustRightInd/>
        <w:snapToGrid/>
        <w:spacing w:line="480" w:lineRule="exact"/>
        <w:ind w:lef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（六）拒绝有关部门监督检查或提供虚假情况的。</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10、如成交，本响应文件至本项目合同履行完毕止均保持有效，我方将按磋商文件及政府采购法律、法规的规定履行合同责任和义务。</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11、以上事项如有虚假或隐瞒，我方愿意承担一切不利后果，并不再寻求任何旨在减轻或免除法律责任。</w:t>
      </w:r>
    </w:p>
    <w:p>
      <w:pPr>
        <w:pStyle w:val="19"/>
        <w:keepNext w:val="0"/>
        <w:keepLines w:val="0"/>
        <w:pageBreakBefore w:val="0"/>
        <w:widowControl w:val="0"/>
        <w:kinsoku/>
        <w:overflowPunct/>
        <w:topLinePunct w:val="0"/>
        <w:autoSpaceDE/>
        <w:autoSpaceDN/>
        <w:bidi w:val="0"/>
        <w:adjustRightInd/>
        <w:snapToGrid/>
        <w:spacing w:line="480" w:lineRule="exact"/>
        <w:ind w:lef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与本次磋商有关的一切正式往来信函请寄：</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邮编：</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w:t>
      </w:r>
    </w:p>
    <w:p>
      <w:pPr>
        <w:pStyle w:val="19"/>
        <w:keepNext w:val="0"/>
        <w:keepLines w:val="0"/>
        <w:pageBreakBefore w:val="0"/>
        <w:widowControl w:val="0"/>
        <w:kinsoku/>
        <w:overflowPunct/>
        <w:topLinePunct w:val="0"/>
        <w:autoSpaceDE/>
        <w:autoSpaceDN/>
        <w:bidi w:val="0"/>
        <w:adjustRightInd/>
        <w:snapToGrid/>
        <w:spacing w:line="48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pPr>
        <w:pStyle w:val="19"/>
        <w:keepNext w:val="0"/>
        <w:keepLines w:val="0"/>
        <w:pageBreakBefore w:val="0"/>
        <w:widowControl w:val="0"/>
        <w:kinsoku/>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p>
    <w:p>
      <w:pPr>
        <w:keepNext w:val="0"/>
        <w:keepLines w:val="0"/>
        <w:pageBreakBefore w:val="0"/>
        <w:widowControl w:val="0"/>
        <w:kinsoku/>
        <w:overflowPunct/>
        <w:topLinePunct w:val="0"/>
        <w:bidi w:val="0"/>
        <w:rPr>
          <w:rFonts w:hint="eastAsia" w:ascii="宋体" w:hAnsi="宋体" w:eastAsia="宋体" w:cs="宋体"/>
          <w:color w:val="auto"/>
          <w:sz w:val="24"/>
          <w:szCs w:val="24"/>
        </w:rPr>
      </w:pPr>
    </w:p>
    <w:p>
      <w:pPr>
        <w:pStyle w:val="19"/>
        <w:keepNext w:val="0"/>
        <w:keepLines w:val="0"/>
        <w:pageBreakBefore w:val="0"/>
        <w:widowControl w:val="0"/>
        <w:kinsoku/>
        <w:overflowPunct/>
        <w:topLinePunct w:val="0"/>
        <w:bidi w:val="0"/>
        <w:spacing w:line="500" w:lineRule="exact"/>
        <w:ind w:firstLine="5040" w:firstLineChars="2100"/>
        <w:rPr>
          <w:rFonts w:hint="eastAsia" w:ascii="宋体" w:hAnsi="宋体" w:eastAsia="宋体" w:cs="宋体"/>
          <w:color w:val="auto"/>
          <w:sz w:val="24"/>
          <w:szCs w:val="24"/>
        </w:rPr>
      </w:pPr>
      <w:bookmarkStart w:id="393" w:name="_Toc47756042"/>
      <w:bookmarkStart w:id="394" w:name="_Toc15813264"/>
      <w:bookmarkStart w:id="395" w:name="_Toc15805947"/>
      <w:bookmarkStart w:id="396" w:name="_Toc45506741"/>
      <w:r>
        <w:rPr>
          <w:rFonts w:hint="eastAsia" w:ascii="宋体" w:hAnsi="宋体" w:eastAsia="宋体" w:cs="宋体"/>
          <w:color w:val="auto"/>
          <w:sz w:val="24"/>
          <w:szCs w:val="24"/>
        </w:rPr>
        <w:t>供应商盖章：</w:t>
      </w:r>
      <w:r>
        <w:rPr>
          <w:rFonts w:hint="eastAsia" w:ascii="宋体" w:hAnsi="宋体" w:eastAsia="宋体" w:cs="宋体"/>
          <w:color w:val="auto"/>
          <w:sz w:val="24"/>
          <w:szCs w:val="24"/>
          <w:u w:val="single"/>
        </w:rPr>
        <w:t xml:space="preserve">            </w:t>
      </w:r>
    </w:p>
    <w:p>
      <w:pPr>
        <w:pStyle w:val="19"/>
        <w:keepNext w:val="0"/>
        <w:keepLines w:val="0"/>
        <w:pageBreakBefore w:val="0"/>
        <w:widowControl w:val="0"/>
        <w:kinsoku/>
        <w:overflowPunct/>
        <w:topLinePunct w:val="0"/>
        <w:bidi w:val="0"/>
        <w:spacing w:line="500" w:lineRule="exact"/>
        <w:ind w:firstLine="5280" w:firstLineChars="2200"/>
        <w:rPr>
          <w:rFonts w:hint="eastAsia" w:ascii="宋体" w:hAnsi="宋体" w:eastAsia="宋体" w:cs="宋体"/>
          <w:color w:val="auto"/>
          <w:sz w:val="24"/>
          <w:szCs w:val="24"/>
        </w:rPr>
      </w:pPr>
      <w:r>
        <w:rPr>
          <w:rFonts w:hint="eastAsia" w:ascii="宋体" w:hAnsi="宋体" w:eastAsia="宋体" w:cs="宋体"/>
          <w:color w:val="auto"/>
          <w:sz w:val="24"/>
          <w:szCs w:val="24"/>
        </w:rPr>
        <w:t>日     期：</w:t>
      </w:r>
      <w:r>
        <w:rPr>
          <w:rFonts w:hint="eastAsia" w:ascii="宋体" w:hAnsi="宋体" w:eastAsia="宋体" w:cs="宋体"/>
          <w:color w:val="auto"/>
          <w:sz w:val="24"/>
          <w:szCs w:val="24"/>
          <w:u w:val="single"/>
        </w:rPr>
        <w:t xml:space="preserve">            </w:t>
      </w:r>
    </w:p>
    <w:p>
      <w:pPr>
        <w:pStyle w:val="19"/>
        <w:keepNext w:val="0"/>
        <w:keepLines w:val="0"/>
        <w:pageBreakBefore w:val="0"/>
        <w:widowControl w:val="0"/>
        <w:kinsoku/>
        <w:overflowPunct/>
        <w:topLinePunct w:val="0"/>
        <w:bidi w:val="0"/>
        <w:spacing w:line="500" w:lineRule="exact"/>
        <w:rPr>
          <w:rFonts w:hint="eastAsia" w:ascii="宋体" w:hAnsi="宋体" w:eastAsia="宋体" w:cs="宋体"/>
          <w:color w:val="auto"/>
          <w:sz w:val="24"/>
          <w:szCs w:val="24"/>
        </w:rPr>
      </w:pPr>
    </w:p>
    <w:p>
      <w:pPr>
        <w:pStyle w:val="19"/>
        <w:keepNext w:val="0"/>
        <w:keepLines w:val="0"/>
        <w:pageBreakBefore w:val="0"/>
        <w:widowControl w:val="0"/>
        <w:kinsoku/>
        <w:overflowPunct/>
        <w:topLinePunct w:val="0"/>
        <w:bidi w:val="0"/>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注：▲按照本声明书要求填报。</w:t>
      </w:r>
    </w:p>
    <w:p>
      <w:pPr>
        <w:keepNext w:val="0"/>
        <w:keepLines w:val="0"/>
        <w:pageBreakBefore w:val="0"/>
        <w:widowControl w:val="0"/>
        <w:kinsoku/>
        <w:overflowPunct/>
        <w:topLinePunct w:val="0"/>
        <w:bidi w:val="0"/>
        <w:spacing w:line="500" w:lineRule="exact"/>
        <w:rPr>
          <w:rFonts w:hint="eastAsia" w:ascii="宋体" w:hAnsi="宋体" w:eastAsia="宋体" w:cs="宋体"/>
          <w:color w:val="auto"/>
          <w:spacing w:val="20"/>
          <w:sz w:val="24"/>
          <w:szCs w:val="24"/>
          <w:u w:val="single"/>
        </w:rPr>
      </w:pPr>
    </w:p>
    <w:p>
      <w:pPr>
        <w:pStyle w:val="19"/>
        <w:keepNext w:val="0"/>
        <w:keepLines w:val="0"/>
        <w:pageBreakBefore w:val="0"/>
        <w:widowControl w:val="0"/>
        <w:kinsoku/>
        <w:overflowPunct/>
        <w:topLinePunct w:val="0"/>
        <w:bidi w:val="0"/>
        <w:spacing w:line="360" w:lineRule="auto"/>
        <w:ind w:left="0"/>
        <w:jc w:val="center"/>
        <w:outlineLvl w:val="1"/>
        <w:rPr>
          <w:rFonts w:hint="eastAsia" w:ascii="宋体" w:hAnsi="宋体" w:eastAsia="宋体" w:cs="宋体"/>
          <w:b/>
          <w:color w:val="auto"/>
          <w:sz w:val="32"/>
        </w:rPr>
      </w:pPr>
      <w:r>
        <w:rPr>
          <w:rFonts w:hint="eastAsia" w:ascii="宋体" w:hAnsi="宋体" w:eastAsia="宋体" w:cs="宋体"/>
          <w:b/>
          <w:color w:val="auto"/>
          <w:sz w:val="32"/>
        </w:rPr>
        <w:br w:type="page"/>
      </w:r>
      <w:bookmarkStart w:id="397" w:name="_Toc27508"/>
      <w:bookmarkStart w:id="398" w:name="_Toc17681"/>
      <w:r>
        <w:rPr>
          <w:rFonts w:hint="eastAsia" w:ascii="宋体" w:hAnsi="宋体" w:eastAsia="宋体" w:cs="宋体"/>
          <w:b/>
          <w:color w:val="auto"/>
          <w:sz w:val="32"/>
        </w:rPr>
        <w:t>2、供应商磋商申请表</w:t>
      </w:r>
      <w:bookmarkEnd w:id="397"/>
      <w:bookmarkEnd w:id="398"/>
    </w:p>
    <w:tbl>
      <w:tblPr>
        <w:tblStyle w:val="35"/>
        <w:tblW w:w="907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3"/>
        <w:gridCol w:w="348"/>
        <w:gridCol w:w="401"/>
        <w:gridCol w:w="1283"/>
        <w:gridCol w:w="507"/>
        <w:gridCol w:w="1016"/>
        <w:gridCol w:w="1539"/>
        <w:gridCol w:w="30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vMerge w:val="restart"/>
            <w:tcBorders>
              <w:top w:val="single" w:color="auto" w:sz="4" w:space="0"/>
              <w:left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r>
              <w:rPr>
                <w:rFonts w:hint="eastAsia" w:ascii="宋体" w:hAnsi="宋体" w:eastAsia="宋体" w:cs="宋体"/>
                <w:color w:val="auto"/>
                <w:szCs w:val="21"/>
              </w:rPr>
              <w:t>统一社会</w:t>
            </w:r>
          </w:p>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r>
              <w:rPr>
                <w:rFonts w:hint="eastAsia" w:ascii="宋体" w:hAnsi="宋体" w:eastAsia="宋体" w:cs="宋体"/>
                <w:color w:val="auto"/>
                <w:szCs w:val="21"/>
              </w:rPr>
              <w:t>信用代码</w:t>
            </w:r>
          </w:p>
        </w:tc>
        <w:tc>
          <w:tcPr>
            <w:tcW w:w="2977" w:type="dxa"/>
            <w:gridSpan w:val="3"/>
            <w:vMerge w:val="restart"/>
            <w:tcBorders>
              <w:top w:val="single" w:color="auto" w:sz="4" w:space="0"/>
              <w:left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r>
              <w:rPr>
                <w:rFonts w:hint="eastAsia" w:ascii="宋体" w:hAnsi="宋体" w:eastAsia="宋体" w:cs="宋体"/>
                <w:color w:val="auto"/>
                <w:szCs w:val="21"/>
              </w:rPr>
              <w:t>供应商名称</w:t>
            </w: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vMerge w:val="continue"/>
            <w:tcBorders>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p>
        </w:tc>
        <w:tc>
          <w:tcPr>
            <w:tcW w:w="2977" w:type="dxa"/>
            <w:gridSpan w:val="3"/>
            <w:vMerge w:val="continue"/>
            <w:tcBorders>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r>
              <w:rPr>
                <w:rFonts w:hint="eastAsia" w:ascii="宋体" w:hAnsi="宋体" w:eastAsia="宋体" w:cs="宋体"/>
                <w:color w:val="auto"/>
                <w:szCs w:val="21"/>
              </w:rPr>
              <w:t>供应商地址</w:t>
            </w: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r>
              <w:rPr>
                <w:rFonts w:hint="eastAsia" w:ascii="宋体" w:hAnsi="宋体" w:eastAsia="宋体" w:cs="宋体"/>
                <w:color w:val="auto"/>
                <w:szCs w:val="21"/>
              </w:rPr>
              <w:t>注册日期</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r>
              <w:rPr>
                <w:rFonts w:hint="eastAsia" w:ascii="宋体" w:hAnsi="宋体" w:eastAsia="宋体" w:cs="宋体"/>
                <w:color w:val="auto"/>
                <w:szCs w:val="21"/>
              </w:rPr>
              <w:t>注册资金</w:t>
            </w: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01" w:type="dxa"/>
            <w:gridSpan w:val="3"/>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r>
              <w:rPr>
                <w:rFonts w:hint="eastAsia" w:ascii="宋体" w:hAnsi="宋体" w:eastAsia="宋体" w:cs="宋体"/>
                <w:color w:val="auto"/>
                <w:szCs w:val="21"/>
              </w:rPr>
              <w:t>供应商网址</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p>
        </w:tc>
        <w:tc>
          <w:tcPr>
            <w:tcW w:w="1628"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left"/>
              <w:rPr>
                <w:rFonts w:hint="eastAsia" w:ascii="宋体" w:hAnsi="宋体" w:eastAsia="宋体" w:cs="宋体"/>
                <w:color w:val="auto"/>
                <w:szCs w:val="21"/>
              </w:rPr>
            </w:pPr>
            <w:r>
              <w:rPr>
                <w:rFonts w:hint="eastAsia" w:ascii="宋体" w:hAnsi="宋体" w:eastAsia="宋体" w:cs="宋体"/>
                <w:color w:val="auto"/>
                <w:szCs w:val="21"/>
              </w:rPr>
              <w:t>E-mail</w:t>
            </w: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r>
              <w:rPr>
                <w:rFonts w:hint="eastAsia" w:ascii="宋体" w:hAnsi="宋体" w:eastAsia="宋体" w:cs="宋体"/>
                <w:color w:val="auto"/>
                <w:szCs w:val="21"/>
              </w:rPr>
              <w:t>负责人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rPr>
                <w:rFonts w:hint="eastAsia" w:ascii="宋体" w:hAnsi="宋体" w:eastAsia="宋体" w:cs="宋体"/>
                <w:color w:val="auto"/>
                <w:szCs w:val="21"/>
              </w:rPr>
            </w:pPr>
            <w:r>
              <w:rPr>
                <w:rFonts w:hint="eastAsia" w:ascii="宋体" w:hAnsi="宋体" w:eastAsia="宋体" w:cs="宋体"/>
                <w:color w:val="auto"/>
                <w:szCs w:val="21"/>
              </w:rPr>
              <w:t>联系电话：</w:t>
            </w: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rPr>
                <w:rFonts w:hint="eastAsia" w:ascii="宋体" w:hAnsi="宋体" w:eastAsia="宋体" w:cs="宋体"/>
                <w:color w:val="auto"/>
                <w:szCs w:val="21"/>
              </w:rPr>
            </w:pPr>
            <w:r>
              <w:rPr>
                <w:rFonts w:hint="eastAsia" w:ascii="宋体" w:hAnsi="宋体" w:eastAsia="宋体" w:cs="宋体"/>
                <w:color w:val="auto"/>
                <w:szCs w:val="21"/>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r>
              <w:rPr>
                <w:rFonts w:hint="eastAsia" w:ascii="宋体" w:hAnsi="宋体" w:eastAsia="宋体" w:cs="宋体"/>
                <w:color w:val="auto"/>
                <w:szCs w:val="21"/>
              </w:rPr>
              <w:t>联系人</w:t>
            </w:r>
          </w:p>
        </w:tc>
        <w:tc>
          <w:tcPr>
            <w:tcW w:w="1784"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3247" w:type="dxa"/>
            <w:gridSpan w:val="3"/>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rPr>
                <w:rFonts w:hint="eastAsia" w:ascii="宋体" w:hAnsi="宋体" w:eastAsia="宋体" w:cs="宋体"/>
                <w:color w:val="auto"/>
                <w:szCs w:val="21"/>
              </w:rPr>
            </w:pPr>
            <w:r>
              <w:rPr>
                <w:rFonts w:hint="eastAsia" w:ascii="宋体" w:hAnsi="宋体" w:eastAsia="宋体" w:cs="宋体"/>
                <w:color w:val="auto"/>
                <w:szCs w:val="21"/>
              </w:rPr>
              <w:t>联系电话：</w:t>
            </w: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rPr>
                <w:rFonts w:hint="eastAsia" w:ascii="宋体" w:hAnsi="宋体" w:eastAsia="宋体" w:cs="宋体"/>
                <w:color w:val="auto"/>
                <w:szCs w:val="21"/>
              </w:rPr>
            </w:pPr>
            <w:r>
              <w:rPr>
                <w:rFonts w:hint="eastAsia" w:ascii="宋体" w:hAnsi="宋体" w:eastAsia="宋体" w:cs="宋体"/>
                <w:color w:val="auto"/>
                <w:szCs w:val="21"/>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ind w:left="-109" w:leftChars="-52" w:right="-113" w:rightChars="-54"/>
              <w:jc w:val="center"/>
              <w:rPr>
                <w:rFonts w:hint="eastAsia" w:ascii="宋体" w:hAnsi="宋体" w:eastAsia="宋体" w:cs="宋体"/>
                <w:color w:val="auto"/>
                <w:szCs w:val="21"/>
              </w:rPr>
            </w:pPr>
            <w:r>
              <w:rPr>
                <w:rFonts w:hint="eastAsia" w:ascii="宋体" w:hAnsi="宋体" w:eastAsia="宋体" w:cs="宋体"/>
                <w:color w:val="auto"/>
                <w:szCs w:val="21"/>
              </w:rPr>
              <w:t>主营项目</w:t>
            </w:r>
          </w:p>
        </w:tc>
        <w:tc>
          <w:tcPr>
            <w:tcW w:w="8245" w:type="dxa"/>
            <w:gridSpan w:val="6"/>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375"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ind w:left="-109" w:leftChars="-52" w:right="-113" w:rightChars="-54"/>
              <w:jc w:val="center"/>
              <w:rPr>
                <w:rFonts w:hint="eastAsia" w:ascii="宋体" w:hAnsi="宋体" w:eastAsia="宋体" w:cs="宋体"/>
                <w:color w:val="auto"/>
                <w:szCs w:val="21"/>
              </w:rPr>
            </w:pPr>
            <w:r>
              <w:rPr>
                <w:rFonts w:hint="eastAsia" w:ascii="宋体" w:hAnsi="宋体" w:eastAsia="宋体" w:cs="宋体"/>
                <w:color w:val="auto"/>
                <w:szCs w:val="21"/>
              </w:rPr>
              <w:t>兼营项目</w:t>
            </w:r>
          </w:p>
        </w:tc>
        <w:tc>
          <w:tcPr>
            <w:tcW w:w="8245" w:type="dxa"/>
            <w:gridSpan w:val="6"/>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620" w:type="dxa"/>
            <w:gridSpan w:val="8"/>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rPr>
                <w:rFonts w:hint="eastAsia" w:ascii="宋体" w:hAnsi="宋体" w:eastAsia="宋体" w:cs="宋体"/>
                <w:color w:val="auto"/>
                <w:szCs w:val="21"/>
              </w:rPr>
            </w:pPr>
            <w:r>
              <w:rPr>
                <w:rFonts w:hint="eastAsia" w:ascii="宋体" w:hAnsi="宋体" w:eastAsia="宋体" w:cs="宋体"/>
                <w:color w:val="auto"/>
                <w:szCs w:val="21"/>
              </w:rPr>
              <w:t>本单位申请参加下列采购项目的磋商：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l2br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r>
              <w:rPr>
                <w:rFonts w:hint="eastAsia" w:ascii="宋体" w:hAnsi="宋体" w:eastAsia="宋体" w:cs="宋体"/>
                <w:color w:val="auto"/>
                <w:szCs w:val="21"/>
              </w:rPr>
              <w:t>采购编号</w:t>
            </w: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r>
              <w:rPr>
                <w:rFonts w:hint="eastAsia" w:ascii="宋体" w:hAnsi="宋体" w:eastAsia="宋体" w:cs="宋体"/>
                <w:color w:val="auto"/>
                <w:szCs w:val="21"/>
              </w:rPr>
              <w:t>项目名称</w:t>
            </w: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r>
              <w:rPr>
                <w:rFonts w:hint="eastAsia" w:ascii="宋体" w:hAnsi="宋体" w:eastAsia="宋体" w:cs="宋体"/>
                <w:color w:val="auto"/>
                <w:szCs w:val="21"/>
              </w:rPr>
              <w:t>1</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r>
              <w:rPr>
                <w:rFonts w:hint="eastAsia" w:ascii="宋体" w:hAnsi="宋体" w:eastAsia="宋体" w:cs="宋体"/>
                <w:color w:val="auto"/>
                <w:szCs w:val="21"/>
              </w:rPr>
              <w:t>2</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r>
              <w:rPr>
                <w:rFonts w:hint="eastAsia" w:ascii="宋体" w:hAnsi="宋体" w:eastAsia="宋体" w:cs="宋体"/>
                <w:color w:val="auto"/>
                <w:szCs w:val="21"/>
              </w:rPr>
              <w:t>3</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r>
              <w:rPr>
                <w:rFonts w:hint="eastAsia" w:ascii="宋体" w:hAnsi="宋体" w:eastAsia="宋体" w:cs="宋体"/>
                <w:color w:val="auto"/>
                <w:szCs w:val="21"/>
              </w:rPr>
              <w:t>4</w:t>
            </w: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03"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695" w:type="dxa"/>
            <w:gridSpan w:val="4"/>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c>
          <w:tcPr>
            <w:tcW w:w="3214" w:type="dxa"/>
            <w:tcBorders>
              <w:top w:val="single" w:color="auto" w:sz="4" w:space="0"/>
              <w:left w:val="single" w:color="auto" w:sz="4" w:space="0"/>
              <w:bottom w:val="single" w:color="auto" w:sz="4" w:space="0"/>
              <w:right w:val="single" w:color="auto" w:sz="4" w:space="0"/>
            </w:tcBorders>
            <w:vAlign w:val="center"/>
          </w:tcPr>
          <w:p>
            <w:pPr>
              <w:pStyle w:val="98"/>
              <w:keepNext w:val="0"/>
              <w:keepLines w:val="0"/>
              <w:pageBreakBefore w:val="0"/>
              <w:widowControl w:val="0"/>
              <w:kinsoku/>
              <w:overflowPunct/>
              <w:topLinePunct w:val="0"/>
              <w:bidi w:val="0"/>
              <w:jc w:val="center"/>
              <w:rPr>
                <w:rFonts w:hint="eastAsia" w:ascii="宋体" w:hAnsi="宋体" w:eastAsia="宋体" w:cs="宋体"/>
                <w:color w:val="auto"/>
                <w:szCs w:val="21"/>
              </w:rPr>
            </w:pPr>
          </w:p>
        </w:tc>
      </w:tr>
    </w:tbl>
    <w:p>
      <w:pPr>
        <w:pStyle w:val="74"/>
        <w:keepNext w:val="0"/>
        <w:keepLines w:val="0"/>
        <w:pageBreakBefore w:val="0"/>
        <w:widowControl w:val="0"/>
        <w:kinsoku/>
        <w:overflowPunct/>
        <w:topLinePunct w:val="0"/>
        <w:bidi w:val="0"/>
        <w:spacing w:line="360" w:lineRule="auto"/>
        <w:ind w:firstLine="4480" w:firstLineChars="1600"/>
        <w:rPr>
          <w:rFonts w:hint="eastAsia" w:ascii="宋体" w:hAnsi="宋体" w:eastAsia="宋体" w:cs="宋体"/>
          <w:color w:val="auto"/>
          <w:spacing w:val="20"/>
          <w:sz w:val="24"/>
          <w:szCs w:val="21"/>
        </w:rPr>
      </w:pPr>
    </w:p>
    <w:bookmarkEnd w:id="393"/>
    <w:bookmarkEnd w:id="394"/>
    <w:bookmarkEnd w:id="395"/>
    <w:bookmarkEnd w:id="396"/>
    <w:p>
      <w:pPr>
        <w:keepNext w:val="0"/>
        <w:keepLines w:val="0"/>
        <w:pageBreakBefore w:val="0"/>
        <w:widowControl w:val="0"/>
        <w:kinsoku/>
        <w:overflowPunct/>
        <w:topLinePunct w:val="0"/>
        <w:bidi w:val="0"/>
        <w:spacing w:line="360" w:lineRule="auto"/>
        <w:ind w:firstLine="5880" w:firstLineChars="2100"/>
        <w:rPr>
          <w:rFonts w:hint="eastAsia" w:ascii="宋体" w:hAnsi="宋体" w:eastAsia="宋体" w:cs="宋体"/>
          <w:color w:val="auto"/>
          <w:spacing w:val="20"/>
          <w:sz w:val="24"/>
          <w:u w:val="single"/>
        </w:rPr>
      </w:pPr>
    </w:p>
    <w:p>
      <w:pPr>
        <w:keepNext w:val="0"/>
        <w:keepLines w:val="0"/>
        <w:pageBreakBefore w:val="0"/>
        <w:widowControl w:val="0"/>
        <w:kinsoku/>
        <w:overflowPunct/>
        <w:topLinePunct w:val="0"/>
        <w:bidi w:val="0"/>
        <w:spacing w:line="360" w:lineRule="auto"/>
        <w:ind w:firstLine="5880" w:firstLineChars="2100"/>
        <w:rPr>
          <w:rFonts w:hint="eastAsia" w:ascii="宋体" w:hAnsi="宋体" w:eastAsia="宋体" w:cs="宋体"/>
          <w:color w:val="auto"/>
          <w:spacing w:val="20"/>
          <w:sz w:val="24"/>
          <w:u w:val="single"/>
        </w:rPr>
      </w:pPr>
    </w:p>
    <w:p>
      <w:pPr>
        <w:keepNext w:val="0"/>
        <w:keepLines w:val="0"/>
        <w:pageBreakBefore w:val="0"/>
        <w:widowControl w:val="0"/>
        <w:kinsoku/>
        <w:overflowPunct/>
        <w:topLinePunct w:val="0"/>
        <w:bidi w:val="0"/>
        <w:spacing w:before="97"/>
        <w:ind w:right="159"/>
        <w:jc w:val="center"/>
        <w:rPr>
          <w:rFonts w:hint="eastAsia" w:ascii="宋体" w:hAnsi="宋体" w:eastAsia="宋体" w:cs="宋体"/>
          <w:b/>
          <w:color w:val="auto"/>
          <w:sz w:val="30"/>
          <w:szCs w:val="30"/>
        </w:rPr>
      </w:pPr>
    </w:p>
    <w:p>
      <w:pPr>
        <w:pStyle w:val="42"/>
        <w:keepNext w:val="0"/>
        <w:keepLines w:val="0"/>
        <w:pageBreakBefore w:val="0"/>
        <w:widowControl w:val="0"/>
        <w:kinsoku/>
        <w:overflowPunct/>
        <w:topLinePunct w:val="0"/>
        <w:bidi w:val="0"/>
        <w:ind w:firstLine="723"/>
        <w:rPr>
          <w:rFonts w:hint="eastAsia" w:ascii="宋体" w:hAnsi="宋体" w:eastAsia="宋体" w:cs="宋体"/>
          <w:b/>
          <w:color w:val="auto"/>
          <w:sz w:val="36"/>
          <w:szCs w:val="36"/>
        </w:rPr>
      </w:pPr>
    </w:p>
    <w:p>
      <w:pPr>
        <w:pStyle w:val="97"/>
        <w:keepNext w:val="0"/>
        <w:keepLines w:val="0"/>
        <w:pageBreakBefore w:val="0"/>
        <w:widowControl w:val="0"/>
        <w:kinsoku/>
        <w:overflowPunct/>
        <w:topLinePunct w:val="0"/>
        <w:bidi w:val="0"/>
        <w:spacing w:line="520" w:lineRule="exact"/>
        <w:jc w:val="center"/>
        <w:rPr>
          <w:rFonts w:hint="eastAsia" w:ascii="宋体" w:hAnsi="宋体" w:eastAsia="宋体" w:cs="宋体"/>
          <w:b/>
          <w:color w:val="auto"/>
          <w:sz w:val="30"/>
        </w:rPr>
      </w:pPr>
      <w:r>
        <w:rPr>
          <w:rFonts w:hint="eastAsia" w:ascii="宋体" w:hAnsi="宋体" w:eastAsia="宋体" w:cs="宋体"/>
          <w:b/>
          <w:color w:val="auto"/>
          <w:sz w:val="32"/>
        </w:rPr>
        <w:br w:type="page"/>
      </w: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bookmarkStart w:id="399" w:name="_Toc9790"/>
      <w:r>
        <w:rPr>
          <w:rFonts w:hint="eastAsia" w:ascii="宋体" w:hAnsi="宋体" w:eastAsia="宋体" w:cs="宋体"/>
          <w:color w:val="auto"/>
          <w:sz w:val="30"/>
        </w:rPr>
        <w:t xml:space="preserve"> </w:t>
      </w: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pStyle w:val="6"/>
        <w:keepNext w:val="0"/>
        <w:keepLines w:val="0"/>
        <w:pageBreakBefore w:val="0"/>
        <w:widowControl w:val="0"/>
        <w:tabs>
          <w:tab w:val="left" w:pos="3405"/>
        </w:tabs>
        <w:kinsoku/>
        <w:overflowPunct/>
        <w:topLinePunct w:val="0"/>
        <w:bidi w:val="0"/>
        <w:ind w:left="0" w:firstLine="0"/>
        <w:jc w:val="center"/>
        <w:rPr>
          <w:rFonts w:hint="eastAsia" w:ascii="宋体" w:hAnsi="宋体" w:eastAsia="宋体" w:cs="宋体"/>
          <w:b/>
          <w:bCs/>
          <w:color w:val="auto"/>
          <w:sz w:val="44"/>
          <w:szCs w:val="24"/>
        </w:rPr>
      </w:pPr>
      <w:bookmarkStart w:id="400" w:name="_Toc31490"/>
      <w:r>
        <w:rPr>
          <w:rFonts w:hint="eastAsia" w:ascii="宋体" w:hAnsi="宋体" w:eastAsia="宋体" w:cs="宋体"/>
          <w:b/>
          <w:bCs/>
          <w:color w:val="auto"/>
          <w:sz w:val="44"/>
          <w:szCs w:val="24"/>
        </w:rPr>
        <w:t>三  报价文件格式</w:t>
      </w:r>
      <w:bookmarkEnd w:id="399"/>
      <w:bookmarkEnd w:id="400"/>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r>
        <w:rPr>
          <w:rFonts w:hint="eastAsia" w:ascii="宋体" w:hAnsi="宋体" w:eastAsia="宋体" w:cs="宋体"/>
          <w:color w:val="auto"/>
          <w:sz w:val="30"/>
        </w:rPr>
        <w:t xml:space="preserve"> </w:t>
      </w:r>
    </w:p>
    <w:p>
      <w:pPr>
        <w:spacing w:line="360" w:lineRule="auto"/>
        <w:jc w:val="center"/>
        <w:rPr>
          <w:rFonts w:hint="eastAsia" w:ascii="宋体" w:hAnsi="宋体" w:eastAsia="宋体" w:cs="宋体"/>
          <w:b/>
          <w:color w:val="auto"/>
          <w:sz w:val="30"/>
          <w:szCs w:val="20"/>
        </w:rPr>
      </w:pPr>
      <w:r>
        <w:rPr>
          <w:rFonts w:hint="eastAsia" w:ascii="宋体" w:hAnsi="宋体" w:eastAsia="宋体" w:cs="宋体"/>
          <w:b/>
          <w:color w:val="auto"/>
          <w:sz w:val="30"/>
          <w:szCs w:val="20"/>
        </w:rPr>
        <w:t>注：</w:t>
      </w:r>
      <w:r>
        <w:rPr>
          <w:rFonts w:hint="eastAsia" w:ascii="宋体" w:hAnsi="宋体" w:eastAsia="宋体" w:cs="宋体"/>
          <w:b/>
          <w:color w:val="auto"/>
          <w:sz w:val="30"/>
        </w:rPr>
        <w:t>多标项投标的，应分标项制作报价文件</w:t>
      </w: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pStyle w:val="2"/>
        <w:keepNext w:val="0"/>
        <w:keepLines w:val="0"/>
        <w:pageBreakBefore w:val="0"/>
        <w:widowControl w:val="0"/>
        <w:kinsoku/>
        <w:overflowPunct/>
        <w:topLinePunct w:val="0"/>
        <w:bidi w:val="0"/>
        <w:ind w:firstLine="210"/>
        <w:rPr>
          <w:rFonts w:hint="eastAsia" w:ascii="宋体" w:hAnsi="宋体" w:eastAsia="宋体" w:cs="宋体"/>
          <w:color w:val="auto"/>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z w:val="30"/>
        </w:rPr>
      </w:pPr>
    </w:p>
    <w:p>
      <w:pPr>
        <w:pStyle w:val="82"/>
        <w:keepNext w:val="0"/>
        <w:keepLines w:val="0"/>
        <w:pageBreakBefore w:val="0"/>
        <w:widowControl w:val="0"/>
        <w:tabs>
          <w:tab w:val="left" w:pos="1344"/>
        </w:tabs>
        <w:kinsoku/>
        <w:overflowPunct/>
        <w:topLinePunct w:val="0"/>
        <w:autoSpaceDE w:val="0"/>
        <w:autoSpaceDN w:val="0"/>
        <w:bidi w:val="0"/>
        <w:spacing w:before="146"/>
        <w:ind w:left="0"/>
        <w:jc w:val="left"/>
        <w:rPr>
          <w:rFonts w:hint="eastAsia" w:ascii="宋体" w:hAnsi="宋体" w:eastAsia="宋体" w:cs="宋体"/>
          <w:b/>
          <w:color w:val="auto"/>
          <w:sz w:val="30"/>
        </w:rPr>
      </w:pPr>
      <w:r>
        <w:rPr>
          <w:rFonts w:hint="eastAsia" w:ascii="宋体" w:hAnsi="宋体" w:eastAsia="宋体" w:cs="宋体"/>
          <w:b/>
          <w:color w:val="auto"/>
          <w:sz w:val="30"/>
        </w:rPr>
        <w:t>“报价文件”封面格式</w:t>
      </w:r>
    </w:p>
    <w:p>
      <w:pPr>
        <w:pStyle w:val="7"/>
        <w:keepNext w:val="0"/>
        <w:keepLines w:val="0"/>
        <w:pageBreakBefore w:val="0"/>
        <w:widowControl w:val="0"/>
        <w:kinsoku/>
        <w:overflowPunct/>
        <w:topLinePunct w:val="0"/>
        <w:bidi w:val="0"/>
        <w:ind w:firstLine="1331" w:firstLineChars="416"/>
        <w:rPr>
          <w:rFonts w:hint="eastAsia" w:ascii="宋体" w:hAnsi="宋体" w:eastAsia="宋体" w:cs="宋体"/>
          <w:color w:val="auto"/>
          <w:sz w:val="32"/>
          <w:szCs w:val="32"/>
        </w:rPr>
      </w:pPr>
    </w:p>
    <w:p>
      <w:pPr>
        <w:keepNext w:val="0"/>
        <w:keepLines w:val="0"/>
        <w:pageBreakBefore w:val="0"/>
        <w:widowControl w:val="0"/>
        <w:kinsoku/>
        <w:overflowPunct/>
        <w:topLinePunct w:val="0"/>
        <w:bidi w:val="0"/>
        <w:spacing w:before="509"/>
        <w:ind w:right="155"/>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磋商响应文件</w:t>
      </w:r>
    </w:p>
    <w:p>
      <w:pPr>
        <w:keepNext w:val="0"/>
        <w:keepLines w:val="0"/>
        <w:pageBreakBefore w:val="0"/>
        <w:widowControl w:val="0"/>
        <w:kinsoku/>
        <w:overflowPunct/>
        <w:topLinePunct w:val="0"/>
        <w:bidi w:val="0"/>
        <w:spacing w:before="150"/>
        <w:ind w:right="154"/>
        <w:jc w:val="center"/>
        <w:rPr>
          <w:rFonts w:hint="eastAsia" w:ascii="宋体" w:hAnsi="宋体" w:eastAsia="宋体" w:cs="宋体"/>
          <w:b/>
          <w:color w:val="auto"/>
          <w:sz w:val="48"/>
        </w:rPr>
      </w:pPr>
      <w:r>
        <w:rPr>
          <w:rFonts w:hint="eastAsia" w:ascii="宋体" w:hAnsi="宋体" w:eastAsia="宋体" w:cs="宋体"/>
          <w:b/>
          <w:color w:val="auto"/>
          <w:sz w:val="48"/>
        </w:rPr>
        <w:t>（报价文件）</w:t>
      </w:r>
    </w:p>
    <w:p>
      <w:pPr>
        <w:pStyle w:val="3"/>
        <w:keepNext w:val="0"/>
        <w:keepLines w:val="0"/>
        <w:pageBreakBefore w:val="0"/>
        <w:widowControl w:val="0"/>
        <w:tabs>
          <w:tab w:val="left" w:pos="208"/>
        </w:tabs>
        <w:kinsoku/>
        <w:overflowPunct/>
        <w:topLinePunct w:val="0"/>
        <w:bidi w:val="0"/>
        <w:ind w:firstLine="402"/>
        <w:rPr>
          <w:rFonts w:hint="eastAsia" w:ascii="宋体" w:hAnsi="宋体" w:eastAsia="宋体" w:cs="宋体"/>
          <w:b/>
          <w:color w:val="auto"/>
        </w:rPr>
      </w:pPr>
    </w:p>
    <w:p>
      <w:pPr>
        <w:pStyle w:val="3"/>
        <w:keepNext w:val="0"/>
        <w:keepLines w:val="0"/>
        <w:pageBreakBefore w:val="0"/>
        <w:widowControl w:val="0"/>
        <w:tabs>
          <w:tab w:val="left" w:pos="208"/>
        </w:tabs>
        <w:kinsoku/>
        <w:overflowPunct/>
        <w:topLinePunct w:val="0"/>
        <w:bidi w:val="0"/>
        <w:spacing w:before="13"/>
        <w:ind w:firstLine="221"/>
        <w:rPr>
          <w:rFonts w:hint="eastAsia" w:ascii="宋体" w:hAnsi="宋体" w:eastAsia="宋体" w:cs="宋体"/>
          <w:b/>
          <w:color w:val="auto"/>
          <w:sz w:val="11"/>
        </w:rPr>
      </w:pPr>
    </w:p>
    <w:tbl>
      <w:tblPr>
        <w:tblStyle w:val="35"/>
        <w:tblW w:w="8537" w:type="dxa"/>
        <w:tblInd w:w="615" w:type="dxa"/>
        <w:tblLayout w:type="fixed"/>
        <w:tblCellMar>
          <w:top w:w="0" w:type="dxa"/>
          <w:left w:w="0" w:type="dxa"/>
          <w:bottom w:w="0" w:type="dxa"/>
          <w:right w:w="0" w:type="dxa"/>
        </w:tblCellMar>
      </w:tblPr>
      <w:tblGrid>
        <w:gridCol w:w="8537"/>
      </w:tblGrid>
      <w:tr>
        <w:trPr>
          <w:trHeight w:val="480" w:hRule="atLeast"/>
        </w:trPr>
        <w:tc>
          <w:tcPr>
            <w:tcW w:w="8537" w:type="dxa"/>
          </w:tcPr>
          <w:p>
            <w:pPr>
              <w:pStyle w:val="93"/>
              <w:keepNext w:val="0"/>
              <w:keepLines w:val="0"/>
              <w:pageBreakBefore w:val="0"/>
              <w:widowControl w:val="0"/>
              <w:kinsoku/>
              <w:overflowPunct/>
              <w:topLinePunct w:val="0"/>
              <w:autoSpaceDE w:val="0"/>
              <w:autoSpaceDN w:val="0"/>
              <w:bidi w:val="0"/>
              <w:spacing w:line="480" w:lineRule="auto"/>
              <w:ind w:left="200"/>
              <w:rPr>
                <w:rFonts w:hint="eastAsia" w:ascii="宋体" w:hAnsi="宋体" w:eastAsia="宋体" w:cs="宋体"/>
                <w:b/>
                <w:color w:val="auto"/>
                <w:sz w:val="28"/>
              </w:rPr>
            </w:pPr>
          </w:p>
          <w:p>
            <w:pPr>
              <w:pStyle w:val="93"/>
              <w:keepNext w:val="0"/>
              <w:keepLines w:val="0"/>
              <w:pageBreakBefore w:val="0"/>
              <w:widowControl w:val="0"/>
              <w:kinsoku/>
              <w:overflowPunct/>
              <w:topLinePunct w:val="0"/>
              <w:autoSpaceDE w:val="0"/>
              <w:autoSpaceDN w:val="0"/>
              <w:bidi w:val="0"/>
              <w:spacing w:line="480" w:lineRule="auto"/>
              <w:ind w:left="200"/>
              <w:rPr>
                <w:rFonts w:hint="eastAsia" w:ascii="宋体" w:hAnsi="宋体" w:eastAsia="宋体" w:cs="宋体"/>
                <w:b/>
                <w:color w:val="auto"/>
                <w:sz w:val="28"/>
              </w:rPr>
            </w:pPr>
          </w:p>
          <w:p>
            <w:pPr>
              <w:pStyle w:val="93"/>
              <w:keepNext w:val="0"/>
              <w:keepLines w:val="0"/>
              <w:pageBreakBefore w:val="0"/>
              <w:widowControl w:val="0"/>
              <w:kinsoku/>
              <w:overflowPunct/>
              <w:topLinePunct w:val="0"/>
              <w:autoSpaceDE w:val="0"/>
              <w:autoSpaceDN w:val="0"/>
              <w:bidi w:val="0"/>
              <w:spacing w:line="480" w:lineRule="auto"/>
              <w:ind w:left="200"/>
              <w:rPr>
                <w:rFonts w:hint="eastAsia" w:ascii="宋体" w:hAnsi="宋体" w:eastAsia="宋体" w:cs="宋体"/>
                <w:b/>
                <w:color w:val="auto"/>
                <w:sz w:val="28"/>
              </w:rPr>
            </w:pPr>
            <w:r>
              <w:rPr>
                <w:rFonts w:hint="eastAsia" w:ascii="宋体" w:hAnsi="宋体" w:eastAsia="宋体" w:cs="宋体"/>
                <w:b/>
                <w:color w:val="auto"/>
                <w:sz w:val="28"/>
              </w:rPr>
              <w:t xml:space="preserve">项目名称： </w:t>
            </w:r>
          </w:p>
        </w:tc>
      </w:tr>
      <w:tr>
        <w:tblPrEx>
          <w:tblCellMar>
            <w:top w:w="0" w:type="dxa"/>
            <w:left w:w="0" w:type="dxa"/>
            <w:bottom w:w="0" w:type="dxa"/>
            <w:right w:w="0" w:type="dxa"/>
          </w:tblCellMar>
        </w:tblPrEx>
        <w:trPr>
          <w:trHeight w:val="680" w:hRule="atLeast"/>
        </w:trPr>
        <w:tc>
          <w:tcPr>
            <w:tcW w:w="8537" w:type="dxa"/>
          </w:tcPr>
          <w:p>
            <w:pPr>
              <w:pStyle w:val="93"/>
              <w:keepNext w:val="0"/>
              <w:keepLines w:val="0"/>
              <w:pageBreakBefore w:val="0"/>
              <w:widowControl w:val="0"/>
              <w:kinsoku/>
              <w:overflowPunct/>
              <w:topLinePunct w:val="0"/>
              <w:autoSpaceDE w:val="0"/>
              <w:autoSpaceDN w:val="0"/>
              <w:bidi w:val="0"/>
              <w:spacing w:before="160" w:line="480" w:lineRule="auto"/>
              <w:ind w:left="200"/>
              <w:rPr>
                <w:rFonts w:hint="eastAsia" w:ascii="宋体" w:hAnsi="宋体" w:eastAsia="宋体" w:cs="宋体"/>
                <w:b/>
                <w:color w:val="auto"/>
                <w:sz w:val="28"/>
              </w:rPr>
            </w:pPr>
            <w:r>
              <w:rPr>
                <w:rFonts w:hint="eastAsia" w:ascii="宋体" w:hAnsi="宋体" w:eastAsia="宋体" w:cs="宋体"/>
                <w:b/>
                <w:color w:val="auto"/>
                <w:sz w:val="28"/>
              </w:rPr>
              <w:t xml:space="preserve">项目编号： </w:t>
            </w:r>
          </w:p>
        </w:tc>
      </w:tr>
      <w:tr>
        <w:tblPrEx>
          <w:tblCellMar>
            <w:top w:w="0" w:type="dxa"/>
            <w:left w:w="0" w:type="dxa"/>
            <w:bottom w:w="0" w:type="dxa"/>
            <w:right w:w="0" w:type="dxa"/>
          </w:tblCellMar>
        </w:tblPrEx>
        <w:trPr>
          <w:trHeight w:val="680" w:hRule="atLeast"/>
        </w:trPr>
        <w:tc>
          <w:tcPr>
            <w:tcW w:w="8537" w:type="dxa"/>
          </w:tcPr>
          <w:p>
            <w:pPr>
              <w:pStyle w:val="93"/>
              <w:keepNext w:val="0"/>
              <w:keepLines w:val="0"/>
              <w:pageBreakBefore w:val="0"/>
              <w:widowControl w:val="0"/>
              <w:tabs>
                <w:tab w:val="left" w:pos="8323"/>
              </w:tabs>
              <w:kinsoku/>
              <w:overflowPunct/>
              <w:topLinePunct w:val="0"/>
              <w:autoSpaceDE w:val="0"/>
              <w:autoSpaceDN w:val="0"/>
              <w:bidi w:val="0"/>
              <w:spacing w:before="162" w:line="480" w:lineRule="auto"/>
              <w:ind w:left="200"/>
              <w:rPr>
                <w:rFonts w:hint="eastAsia" w:ascii="宋体" w:hAnsi="宋体" w:eastAsia="宋体" w:cs="宋体"/>
                <w:color w:val="auto"/>
                <w:sz w:val="28"/>
              </w:rPr>
            </w:pPr>
            <w:r>
              <w:rPr>
                <w:rFonts w:hint="eastAsia" w:ascii="宋体" w:hAnsi="宋体" w:eastAsia="宋体" w:cs="宋体"/>
                <w:color w:val="auto"/>
                <w:sz w:val="28"/>
              </w:rPr>
              <w:t>磋商供</w:t>
            </w:r>
            <w:r>
              <w:rPr>
                <w:rFonts w:hint="eastAsia" w:ascii="宋体" w:hAnsi="宋体" w:eastAsia="宋体" w:cs="宋体"/>
                <w:color w:val="auto"/>
                <w:spacing w:val="-3"/>
                <w:sz w:val="28"/>
              </w:rPr>
              <w:t>应</w:t>
            </w:r>
            <w:r>
              <w:rPr>
                <w:rFonts w:hint="eastAsia" w:ascii="宋体" w:hAnsi="宋体" w:eastAsia="宋体" w:cs="宋体"/>
                <w:color w:val="auto"/>
                <w:sz w:val="28"/>
              </w:rPr>
              <w:t>商名</w:t>
            </w:r>
            <w:r>
              <w:rPr>
                <w:rFonts w:hint="eastAsia" w:ascii="宋体" w:hAnsi="宋体" w:eastAsia="宋体" w:cs="宋体"/>
                <w:color w:val="auto"/>
                <w:spacing w:val="-3"/>
                <w:sz w:val="28"/>
              </w:rPr>
              <w:t>称（</w:t>
            </w:r>
            <w:r>
              <w:rPr>
                <w:rFonts w:hint="eastAsia" w:ascii="宋体" w:hAnsi="宋体" w:eastAsia="宋体" w:cs="宋体"/>
                <w:color w:val="auto"/>
                <w:sz w:val="32"/>
                <w:szCs w:val="32"/>
              </w:rPr>
              <w:t>CA签章</w:t>
            </w:r>
            <w:r>
              <w:rPr>
                <w:rFonts w:hint="eastAsia" w:ascii="宋体" w:hAnsi="宋体" w:eastAsia="宋体" w:cs="宋体"/>
                <w:color w:val="auto"/>
                <w:spacing w:val="-142"/>
                <w:sz w:val="28"/>
              </w:rPr>
              <w:t>）</w:t>
            </w:r>
            <w:r>
              <w:rPr>
                <w:rFonts w:hint="eastAsia" w:ascii="宋体" w:hAnsi="宋体" w:eastAsia="宋体" w:cs="宋体"/>
                <w:color w:val="auto"/>
                <w:spacing w:val="3"/>
                <w:sz w:val="28"/>
              </w:rPr>
              <w:t>：</w:t>
            </w:r>
            <w:r>
              <w:rPr>
                <w:rFonts w:hint="eastAsia" w:ascii="宋体" w:hAnsi="宋体" w:eastAsia="宋体" w:cs="宋体"/>
                <w:color w:val="auto"/>
                <w:sz w:val="28"/>
                <w:u w:val="single"/>
              </w:rPr>
              <w:t xml:space="preserve"> </w:t>
            </w:r>
            <w:r>
              <w:rPr>
                <w:rFonts w:hint="eastAsia" w:ascii="宋体" w:hAnsi="宋体" w:eastAsia="宋体" w:cs="宋体"/>
                <w:color w:val="auto"/>
                <w:sz w:val="28"/>
                <w:u w:val="single"/>
              </w:rPr>
              <w:tab/>
            </w:r>
          </w:p>
        </w:tc>
      </w:tr>
      <w:tr>
        <w:tblPrEx>
          <w:tblCellMar>
            <w:top w:w="0" w:type="dxa"/>
            <w:left w:w="0" w:type="dxa"/>
            <w:bottom w:w="0" w:type="dxa"/>
            <w:right w:w="0" w:type="dxa"/>
          </w:tblCellMar>
        </w:tblPrEx>
        <w:trPr>
          <w:trHeight w:val="679" w:hRule="atLeast"/>
        </w:trPr>
        <w:tc>
          <w:tcPr>
            <w:tcW w:w="8537" w:type="dxa"/>
          </w:tcPr>
          <w:p>
            <w:pPr>
              <w:pStyle w:val="93"/>
              <w:keepNext w:val="0"/>
              <w:keepLines w:val="0"/>
              <w:pageBreakBefore w:val="0"/>
              <w:widowControl w:val="0"/>
              <w:tabs>
                <w:tab w:val="left" w:pos="8169"/>
              </w:tabs>
              <w:kinsoku/>
              <w:overflowPunct/>
              <w:topLinePunct w:val="0"/>
              <w:autoSpaceDE w:val="0"/>
              <w:autoSpaceDN w:val="0"/>
              <w:bidi w:val="0"/>
              <w:spacing w:before="160" w:line="480" w:lineRule="auto"/>
              <w:ind w:left="200"/>
              <w:rPr>
                <w:rFonts w:hint="eastAsia" w:ascii="宋体" w:hAnsi="宋体" w:eastAsia="宋体" w:cs="宋体"/>
                <w:color w:val="auto"/>
                <w:sz w:val="22"/>
                <w:lang w:eastAsia="en-US"/>
              </w:rPr>
            </w:pPr>
            <w:r>
              <w:rPr>
                <w:rFonts w:hint="eastAsia" w:ascii="宋体" w:hAnsi="宋体" w:eastAsia="宋体" w:cs="宋体"/>
                <w:color w:val="auto"/>
                <w:sz w:val="28"/>
                <w:lang w:eastAsia="en-US"/>
              </w:rPr>
              <w:t>磋商供</w:t>
            </w:r>
            <w:r>
              <w:rPr>
                <w:rFonts w:hint="eastAsia" w:ascii="宋体" w:hAnsi="宋体" w:eastAsia="宋体" w:cs="宋体"/>
                <w:color w:val="auto"/>
                <w:spacing w:val="-3"/>
                <w:sz w:val="28"/>
                <w:lang w:eastAsia="en-US"/>
              </w:rPr>
              <w:t>应</w:t>
            </w:r>
            <w:r>
              <w:rPr>
                <w:rFonts w:hint="eastAsia" w:ascii="宋体" w:hAnsi="宋体" w:eastAsia="宋体" w:cs="宋体"/>
                <w:color w:val="auto"/>
                <w:sz w:val="28"/>
                <w:lang w:eastAsia="en-US"/>
              </w:rPr>
              <w:t>商地</w:t>
            </w:r>
            <w:r>
              <w:rPr>
                <w:rFonts w:hint="eastAsia" w:ascii="宋体" w:hAnsi="宋体" w:eastAsia="宋体" w:cs="宋体"/>
                <w:color w:val="auto"/>
                <w:spacing w:val="-3"/>
                <w:sz w:val="28"/>
                <w:lang w:eastAsia="en-US"/>
              </w:rPr>
              <w:t>址</w:t>
            </w:r>
            <w:r>
              <w:rPr>
                <w:rFonts w:hint="eastAsia" w:ascii="宋体" w:hAnsi="宋体" w:eastAsia="宋体" w:cs="宋体"/>
                <w:color w:val="auto"/>
                <w:spacing w:val="3"/>
                <w:sz w:val="28"/>
                <w:lang w:eastAsia="en-US"/>
              </w:rPr>
              <w:t>：</w:t>
            </w:r>
            <w:r>
              <w:rPr>
                <w:rFonts w:hint="eastAsia" w:ascii="宋体" w:hAnsi="宋体" w:eastAsia="宋体" w:cs="宋体"/>
                <w:color w:val="auto"/>
                <w:spacing w:val="3"/>
                <w:sz w:val="28"/>
                <w:u w:val="single"/>
                <w:lang w:eastAsia="en-US"/>
              </w:rPr>
              <w:t xml:space="preserve"> </w:t>
            </w:r>
            <w:r>
              <w:rPr>
                <w:rFonts w:hint="eastAsia" w:ascii="宋体" w:hAnsi="宋体" w:eastAsia="宋体" w:cs="宋体"/>
                <w:color w:val="auto"/>
                <w:spacing w:val="3"/>
                <w:sz w:val="28"/>
                <w:u w:val="single"/>
                <w:lang w:eastAsia="en-US"/>
              </w:rPr>
              <w:tab/>
            </w:r>
            <w:r>
              <w:rPr>
                <w:rFonts w:hint="eastAsia" w:ascii="宋体" w:hAnsi="宋体" w:eastAsia="宋体" w:cs="宋体"/>
                <w:color w:val="auto"/>
                <w:sz w:val="22"/>
                <w:lang w:eastAsia="en-US"/>
              </w:rPr>
              <w:t>_</w:t>
            </w:r>
          </w:p>
        </w:tc>
      </w:tr>
      <w:tr>
        <w:tblPrEx>
          <w:tblCellMar>
            <w:top w:w="0" w:type="dxa"/>
            <w:left w:w="0" w:type="dxa"/>
            <w:bottom w:w="0" w:type="dxa"/>
            <w:right w:w="0" w:type="dxa"/>
          </w:tblCellMar>
        </w:tblPrEx>
        <w:trPr>
          <w:trHeight w:val="680" w:hRule="atLeast"/>
        </w:trPr>
        <w:tc>
          <w:tcPr>
            <w:tcW w:w="8537" w:type="dxa"/>
          </w:tcPr>
          <w:p>
            <w:pPr>
              <w:pStyle w:val="93"/>
              <w:keepNext w:val="0"/>
              <w:keepLines w:val="0"/>
              <w:pageBreakBefore w:val="0"/>
              <w:widowControl w:val="0"/>
              <w:tabs>
                <w:tab w:val="left" w:pos="8221"/>
              </w:tabs>
              <w:kinsoku/>
              <w:overflowPunct/>
              <w:topLinePunct w:val="0"/>
              <w:autoSpaceDE w:val="0"/>
              <w:autoSpaceDN w:val="0"/>
              <w:bidi w:val="0"/>
              <w:spacing w:before="160" w:line="480" w:lineRule="auto"/>
              <w:ind w:left="200"/>
              <w:rPr>
                <w:rFonts w:hint="eastAsia" w:ascii="宋体" w:hAnsi="宋体" w:eastAsia="宋体" w:cs="宋体"/>
                <w:color w:val="auto"/>
                <w:sz w:val="28"/>
              </w:rPr>
            </w:pPr>
            <w:r>
              <w:rPr>
                <w:rFonts w:hint="eastAsia" w:ascii="宋体" w:hAnsi="宋体" w:eastAsia="宋体" w:cs="宋体"/>
                <w:color w:val="auto"/>
                <w:spacing w:val="-1"/>
                <w:sz w:val="28"/>
              </w:rPr>
              <w:t>磋</w:t>
            </w:r>
            <w:r>
              <w:rPr>
                <w:rFonts w:hint="eastAsia" w:ascii="宋体" w:hAnsi="宋体" w:eastAsia="宋体" w:cs="宋体"/>
                <w:color w:val="auto"/>
                <w:sz w:val="28"/>
              </w:rPr>
              <w:t>商供</w:t>
            </w:r>
            <w:r>
              <w:rPr>
                <w:rFonts w:hint="eastAsia" w:ascii="宋体" w:hAnsi="宋体" w:eastAsia="宋体" w:cs="宋体"/>
                <w:color w:val="auto"/>
                <w:spacing w:val="-3"/>
                <w:sz w:val="28"/>
              </w:rPr>
              <w:t>应</w:t>
            </w:r>
            <w:r>
              <w:rPr>
                <w:rFonts w:hint="eastAsia" w:ascii="宋体" w:hAnsi="宋体" w:eastAsia="宋体" w:cs="宋体"/>
                <w:color w:val="auto"/>
                <w:sz w:val="28"/>
              </w:rPr>
              <w:t>商联</w:t>
            </w:r>
            <w:r>
              <w:rPr>
                <w:rFonts w:hint="eastAsia" w:ascii="宋体" w:hAnsi="宋体" w:eastAsia="宋体" w:cs="宋体"/>
                <w:color w:val="auto"/>
                <w:spacing w:val="-3"/>
                <w:sz w:val="28"/>
              </w:rPr>
              <w:t>系电</w:t>
            </w:r>
            <w:r>
              <w:rPr>
                <w:rFonts w:hint="eastAsia" w:ascii="宋体" w:hAnsi="宋体" w:eastAsia="宋体" w:cs="宋体"/>
                <w:color w:val="auto"/>
                <w:sz w:val="28"/>
              </w:rPr>
              <w:t>话：</w:t>
            </w:r>
            <w:r>
              <w:rPr>
                <w:rFonts w:hint="eastAsia" w:ascii="宋体" w:hAnsi="宋体" w:eastAsia="宋体" w:cs="宋体"/>
                <w:color w:val="auto"/>
                <w:sz w:val="28"/>
                <w:u w:val="single"/>
              </w:rPr>
              <w:t xml:space="preserve"> </w:t>
            </w:r>
            <w:r>
              <w:rPr>
                <w:rFonts w:hint="eastAsia" w:ascii="宋体" w:hAnsi="宋体" w:eastAsia="宋体" w:cs="宋体"/>
                <w:color w:val="auto"/>
                <w:sz w:val="28"/>
                <w:u w:val="single"/>
              </w:rPr>
              <w:tab/>
            </w:r>
          </w:p>
        </w:tc>
      </w:tr>
      <w:tr>
        <w:tblPrEx>
          <w:tblCellMar>
            <w:top w:w="0" w:type="dxa"/>
            <w:left w:w="0" w:type="dxa"/>
            <w:bottom w:w="0" w:type="dxa"/>
            <w:right w:w="0" w:type="dxa"/>
          </w:tblCellMar>
        </w:tblPrEx>
        <w:trPr>
          <w:trHeight w:val="680" w:hRule="atLeast"/>
        </w:trPr>
        <w:tc>
          <w:tcPr>
            <w:tcW w:w="8537" w:type="dxa"/>
          </w:tcPr>
          <w:p>
            <w:pPr>
              <w:pStyle w:val="93"/>
              <w:keepNext w:val="0"/>
              <w:keepLines w:val="0"/>
              <w:pageBreakBefore w:val="0"/>
              <w:widowControl w:val="0"/>
              <w:tabs>
                <w:tab w:val="left" w:pos="8150"/>
              </w:tabs>
              <w:kinsoku/>
              <w:overflowPunct/>
              <w:topLinePunct w:val="0"/>
              <w:autoSpaceDE w:val="0"/>
              <w:autoSpaceDN w:val="0"/>
              <w:bidi w:val="0"/>
              <w:spacing w:before="161" w:line="480" w:lineRule="auto"/>
              <w:ind w:left="200"/>
              <w:rPr>
                <w:rFonts w:hint="eastAsia" w:ascii="宋体" w:hAnsi="宋体" w:eastAsia="宋体" w:cs="宋体"/>
                <w:color w:val="auto"/>
                <w:sz w:val="22"/>
                <w:lang w:eastAsia="en-US"/>
              </w:rPr>
            </w:pPr>
            <w:r>
              <w:rPr>
                <w:rFonts w:hint="eastAsia" w:ascii="宋体" w:hAnsi="宋体" w:eastAsia="宋体" w:cs="宋体"/>
                <w:color w:val="auto"/>
                <w:sz w:val="28"/>
                <w:lang w:eastAsia="en-US"/>
              </w:rPr>
              <w:t>日期：</w:t>
            </w:r>
            <w:r>
              <w:rPr>
                <w:rFonts w:hint="eastAsia" w:ascii="宋体" w:hAnsi="宋体" w:eastAsia="宋体" w:cs="宋体"/>
                <w:color w:val="auto"/>
                <w:sz w:val="28"/>
                <w:u w:val="single"/>
                <w:lang w:eastAsia="en-US"/>
              </w:rPr>
              <w:t xml:space="preserve"> </w:t>
            </w:r>
            <w:r>
              <w:rPr>
                <w:rFonts w:hint="eastAsia" w:ascii="宋体" w:hAnsi="宋体" w:eastAsia="宋体" w:cs="宋体"/>
                <w:color w:val="auto"/>
                <w:sz w:val="28"/>
                <w:u w:val="single"/>
                <w:lang w:eastAsia="en-US"/>
              </w:rPr>
              <w:tab/>
            </w:r>
            <w:r>
              <w:rPr>
                <w:rFonts w:hint="eastAsia" w:ascii="宋体" w:hAnsi="宋体" w:eastAsia="宋体" w:cs="宋体"/>
                <w:color w:val="auto"/>
                <w:sz w:val="22"/>
                <w:lang w:eastAsia="en-US"/>
              </w:rPr>
              <w:t>_</w:t>
            </w:r>
          </w:p>
        </w:tc>
      </w:tr>
    </w:tbl>
    <w:p>
      <w:pPr>
        <w:keepNext w:val="0"/>
        <w:keepLines w:val="0"/>
        <w:pageBreakBefore w:val="0"/>
        <w:widowControl w:val="0"/>
        <w:kinsoku/>
        <w:overflowPunct/>
        <w:topLinePunct w:val="0"/>
        <w:bidi w:val="0"/>
        <w:spacing w:before="97"/>
        <w:ind w:right="159"/>
        <w:jc w:val="center"/>
        <w:rPr>
          <w:rFonts w:hint="eastAsia" w:ascii="宋体" w:hAnsi="宋体" w:eastAsia="宋体" w:cs="宋体"/>
          <w:b/>
          <w:color w:val="auto"/>
          <w:sz w:val="30"/>
        </w:rPr>
      </w:pPr>
    </w:p>
    <w:p>
      <w:pPr>
        <w:pStyle w:val="42"/>
        <w:keepNext w:val="0"/>
        <w:keepLines w:val="0"/>
        <w:pageBreakBefore w:val="0"/>
        <w:widowControl w:val="0"/>
        <w:kinsoku/>
        <w:overflowPunct/>
        <w:topLinePunct w:val="0"/>
        <w:bidi w:val="0"/>
        <w:ind w:firstLine="602"/>
        <w:rPr>
          <w:rFonts w:hint="eastAsia" w:ascii="宋体" w:hAnsi="宋体" w:eastAsia="宋体" w:cs="宋体"/>
          <w:b/>
          <w:color w:val="auto"/>
          <w:sz w:val="30"/>
        </w:rPr>
      </w:pPr>
    </w:p>
    <w:p>
      <w:pPr>
        <w:pStyle w:val="42"/>
        <w:keepNext w:val="0"/>
        <w:keepLines w:val="0"/>
        <w:pageBreakBefore w:val="0"/>
        <w:widowControl w:val="0"/>
        <w:kinsoku/>
        <w:overflowPunct/>
        <w:topLinePunct w:val="0"/>
        <w:bidi w:val="0"/>
        <w:ind w:firstLine="602"/>
        <w:rPr>
          <w:rFonts w:hint="eastAsia" w:ascii="宋体" w:hAnsi="宋体" w:eastAsia="宋体" w:cs="宋体"/>
          <w:b/>
          <w:color w:val="auto"/>
          <w:sz w:val="30"/>
        </w:rPr>
      </w:pPr>
    </w:p>
    <w:p>
      <w:pPr>
        <w:pStyle w:val="42"/>
        <w:keepNext w:val="0"/>
        <w:keepLines w:val="0"/>
        <w:pageBreakBefore w:val="0"/>
        <w:widowControl w:val="0"/>
        <w:kinsoku/>
        <w:overflowPunct/>
        <w:topLinePunct w:val="0"/>
        <w:bidi w:val="0"/>
        <w:ind w:firstLine="602"/>
        <w:rPr>
          <w:rFonts w:hint="eastAsia" w:ascii="宋体" w:hAnsi="宋体" w:eastAsia="宋体" w:cs="宋体"/>
          <w:b/>
          <w:color w:val="auto"/>
          <w:sz w:val="30"/>
        </w:rPr>
      </w:pPr>
    </w:p>
    <w:p>
      <w:pPr>
        <w:pStyle w:val="2"/>
        <w:keepNext w:val="0"/>
        <w:keepLines w:val="0"/>
        <w:pageBreakBefore w:val="0"/>
        <w:widowControl w:val="0"/>
        <w:kinsoku/>
        <w:overflowPunct/>
        <w:topLinePunct w:val="0"/>
        <w:bidi w:val="0"/>
        <w:ind w:left="0" w:leftChars="0" w:firstLine="0" w:firstLineChars="0"/>
        <w:jc w:val="center"/>
        <w:outlineLvl w:val="1"/>
        <w:rPr>
          <w:rFonts w:hint="eastAsia" w:ascii="宋体" w:hAnsi="宋体" w:eastAsia="宋体" w:cs="宋体"/>
          <w:b/>
          <w:bCs/>
          <w:color w:val="auto"/>
          <w:sz w:val="32"/>
          <w:szCs w:val="32"/>
          <w:lang w:eastAsia="zh-CN"/>
        </w:rPr>
      </w:pPr>
      <w:bookmarkStart w:id="401" w:name="_Toc23769"/>
      <w:bookmarkStart w:id="402" w:name="_Toc11944"/>
      <w:r>
        <w:rPr>
          <w:rFonts w:hint="eastAsia" w:ascii="宋体" w:hAnsi="宋体" w:eastAsia="宋体" w:cs="宋体"/>
          <w:b/>
          <w:bCs/>
          <w:color w:val="auto"/>
          <w:sz w:val="32"/>
          <w:szCs w:val="32"/>
        </w:rPr>
        <w:t>1、开标一览表</w:t>
      </w:r>
      <w:r>
        <w:rPr>
          <w:rFonts w:hint="eastAsia" w:ascii="宋体" w:hAnsi="宋体" w:eastAsia="宋体" w:cs="宋体"/>
          <w:b/>
          <w:bCs/>
          <w:color w:val="auto"/>
          <w:sz w:val="32"/>
          <w:szCs w:val="32"/>
          <w:lang w:eastAsia="zh-CN"/>
        </w:rPr>
        <w:t>（标项一、二、三）</w:t>
      </w:r>
      <w:bookmarkEnd w:id="401"/>
      <w:bookmarkEnd w:id="402"/>
    </w:p>
    <w:p>
      <w:pPr>
        <w:pStyle w:val="2"/>
        <w:keepNext w:val="0"/>
        <w:keepLines w:val="0"/>
        <w:pageBreakBefore w:val="0"/>
        <w:widowControl w:val="0"/>
        <w:kinsoku/>
        <w:overflowPunct/>
        <w:topLinePunct w:val="0"/>
        <w:bidi w:val="0"/>
        <w:ind w:firstLine="240"/>
        <w:rPr>
          <w:rFonts w:hint="eastAsia" w:ascii="宋体" w:hAnsi="宋体" w:eastAsia="宋体" w:cs="宋体"/>
          <w:color w:val="auto"/>
          <w:sz w:val="24"/>
          <w:szCs w:val="24"/>
        </w:rPr>
      </w:pPr>
    </w:p>
    <w:tbl>
      <w:tblPr>
        <w:tblStyle w:val="35"/>
        <w:tblW w:w="0" w:type="auto"/>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6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31" w:type="dxa"/>
            <w:noWrap w:val="0"/>
            <w:vAlign w:val="center"/>
          </w:tcPr>
          <w:p>
            <w:pPr>
              <w:pStyle w:val="2"/>
              <w:keepNext w:val="0"/>
              <w:keepLines w:val="0"/>
              <w:pageBreakBefore w:val="0"/>
              <w:widowControl w:val="0"/>
              <w:kinsoku/>
              <w:overflowPunct/>
              <w:topLinePunct w:val="0"/>
              <w:bidi w:val="0"/>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6947" w:type="dxa"/>
            <w:noWrap w:val="0"/>
            <w:vAlign w:val="center"/>
          </w:tcPr>
          <w:p>
            <w:pPr>
              <w:pStyle w:val="2"/>
              <w:keepNext w:val="0"/>
              <w:keepLines w:val="0"/>
              <w:pageBreakBefore w:val="0"/>
              <w:widowControl w:val="0"/>
              <w:kinsoku/>
              <w:overflowPunct/>
              <w:topLinePunct w:val="0"/>
              <w:bidi w:val="0"/>
              <w:ind w:firstLine="2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31" w:type="dxa"/>
            <w:noWrap w:val="0"/>
            <w:vAlign w:val="center"/>
          </w:tcPr>
          <w:p>
            <w:pPr>
              <w:pStyle w:val="2"/>
              <w:keepNext w:val="0"/>
              <w:keepLines w:val="0"/>
              <w:pageBreakBefore w:val="0"/>
              <w:widowControl w:val="0"/>
              <w:kinsoku/>
              <w:overflowPunct/>
              <w:topLinePunct w:val="0"/>
              <w:bidi w:val="0"/>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招标编号</w:t>
            </w:r>
          </w:p>
        </w:tc>
        <w:tc>
          <w:tcPr>
            <w:tcW w:w="6947" w:type="dxa"/>
            <w:noWrap w:val="0"/>
            <w:vAlign w:val="center"/>
          </w:tcPr>
          <w:p>
            <w:pPr>
              <w:pStyle w:val="2"/>
              <w:keepNext w:val="0"/>
              <w:keepLines w:val="0"/>
              <w:pageBreakBefore w:val="0"/>
              <w:widowControl w:val="0"/>
              <w:kinsoku/>
              <w:overflowPunct/>
              <w:topLinePunct w:val="0"/>
              <w:bidi w:val="0"/>
              <w:ind w:firstLine="2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931" w:type="dxa"/>
            <w:noWrap w:val="0"/>
            <w:vAlign w:val="center"/>
          </w:tcPr>
          <w:p>
            <w:pPr>
              <w:pStyle w:val="2"/>
              <w:keepNext w:val="0"/>
              <w:keepLines w:val="0"/>
              <w:pageBreakBefore w:val="0"/>
              <w:widowControl w:val="0"/>
              <w:kinsoku/>
              <w:overflowPunct/>
              <w:topLinePunct w:val="0"/>
              <w:bidi w:val="0"/>
              <w:ind w:left="0" w:leftChars="0"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标项</w:t>
            </w:r>
          </w:p>
        </w:tc>
        <w:tc>
          <w:tcPr>
            <w:tcW w:w="6947" w:type="dxa"/>
            <w:noWrap w:val="0"/>
            <w:vAlign w:val="center"/>
          </w:tcPr>
          <w:p>
            <w:pPr>
              <w:pStyle w:val="2"/>
              <w:keepNext w:val="0"/>
              <w:keepLines w:val="0"/>
              <w:pageBreakBefore w:val="0"/>
              <w:widowControl w:val="0"/>
              <w:kinsoku/>
              <w:overflowPunct/>
              <w:topLinePunct w:val="0"/>
              <w:bidi w:val="0"/>
              <w:ind w:firstLine="24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trPr>
        <w:tc>
          <w:tcPr>
            <w:tcW w:w="1931" w:type="dxa"/>
            <w:noWrap w:val="0"/>
            <w:vAlign w:val="center"/>
          </w:tcPr>
          <w:p>
            <w:pPr>
              <w:pStyle w:val="2"/>
              <w:keepNext w:val="0"/>
              <w:keepLines w:val="0"/>
              <w:pageBreakBefore w:val="0"/>
              <w:widowControl w:val="0"/>
              <w:kinsoku/>
              <w:overflowPunct/>
              <w:topLinePunct w:val="0"/>
              <w:bidi w:val="0"/>
              <w:ind w:left="0" w:leftChars="0"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折扣率</w:t>
            </w:r>
          </w:p>
        </w:tc>
        <w:tc>
          <w:tcPr>
            <w:tcW w:w="6947" w:type="dxa"/>
            <w:noWrap w:val="0"/>
            <w:vAlign w:val="center"/>
          </w:tcPr>
          <w:p>
            <w:pPr>
              <w:pStyle w:val="2"/>
              <w:keepNext w:val="0"/>
              <w:keepLines w:val="0"/>
              <w:pageBreakBefore w:val="0"/>
              <w:widowControl w:val="0"/>
              <w:kinsoku/>
              <w:overflowPunct/>
              <w:topLinePunct w:val="0"/>
              <w:bidi w:val="0"/>
              <w:ind w:firstLine="240"/>
              <w:rPr>
                <w:rFonts w:hint="eastAsia" w:ascii="宋体" w:hAnsi="宋体" w:eastAsia="宋体" w:cs="宋体"/>
                <w:color w:val="auto"/>
                <w:sz w:val="24"/>
                <w:szCs w:val="24"/>
              </w:rPr>
            </w:pPr>
            <w:r>
              <w:rPr>
                <w:rFonts w:hint="eastAsia" w:ascii="宋体" w:hAnsi="宋体" w:eastAsia="宋体" w:cs="宋体"/>
                <w:color w:val="auto"/>
                <w:sz w:val="24"/>
                <w:szCs w:val="24"/>
              </w:rPr>
              <w:t xml:space="preserve">检测单价折扣率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bl>
    <w:p>
      <w:pPr>
        <w:pStyle w:val="2"/>
        <w:keepNext w:val="0"/>
        <w:keepLines w:val="0"/>
        <w:pageBreakBefore w:val="0"/>
        <w:widowControl w:val="0"/>
        <w:kinsoku/>
        <w:overflowPunct/>
        <w:topLinePunct w:val="0"/>
        <w:bidi w:val="0"/>
        <w:ind w:firstLine="240"/>
        <w:rPr>
          <w:rFonts w:hint="eastAsia" w:ascii="宋体" w:hAnsi="宋体" w:eastAsia="宋体" w:cs="宋体"/>
          <w:color w:val="auto"/>
          <w:sz w:val="24"/>
          <w:szCs w:val="24"/>
        </w:rPr>
      </w:pPr>
    </w:p>
    <w:p>
      <w:pPr>
        <w:pStyle w:val="2"/>
        <w:keepNext w:val="0"/>
        <w:keepLines w:val="0"/>
        <w:pageBreakBefore w:val="0"/>
        <w:widowControl w:val="0"/>
        <w:kinsoku/>
        <w:overflowPunct/>
        <w:topLinePunct w:val="0"/>
        <w:bidi w:val="0"/>
        <w:ind w:left="0" w:leftChars="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注：</w:t>
      </w:r>
    </w:p>
    <w:p>
      <w:pPr>
        <w:pStyle w:val="2"/>
        <w:keepNext w:val="0"/>
        <w:keepLines w:val="0"/>
        <w:pageBreakBefore w:val="0"/>
        <w:widowControl w:val="0"/>
        <w:kinsoku/>
        <w:wordWrap w:val="0"/>
        <w:overflowPunct/>
        <w:topLinePunct w:val="0"/>
        <w:autoSpaceDE w:val="0"/>
        <w:autoSpaceDN w:val="0"/>
        <w:bidi w:val="0"/>
        <w:adjustRightInd w:val="0"/>
        <w:snapToGrid w:val="0"/>
        <w:spacing w:after="0" w:line="480" w:lineRule="exact"/>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1、本次磋商所有检测费单价采用统一的折扣率方式进行报价。</w:t>
      </w:r>
    </w:p>
    <w:p>
      <w:pPr>
        <w:pStyle w:val="2"/>
        <w:keepNext w:val="0"/>
        <w:keepLines w:val="0"/>
        <w:pageBreakBefore w:val="0"/>
        <w:widowControl w:val="0"/>
        <w:kinsoku/>
        <w:wordWrap w:val="0"/>
        <w:overflowPunct/>
        <w:topLinePunct w:val="0"/>
        <w:autoSpaceDE w:val="0"/>
        <w:autoSpaceDN w:val="0"/>
        <w:bidi w:val="0"/>
        <w:adjustRightInd w:val="0"/>
        <w:snapToGrid w:val="0"/>
        <w:spacing w:after="0" w:line="48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审时如发现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磋商处理，同时采购组织机构按规定将该情况报主管部门，并视情将其列入不良供应商名单。</w:t>
      </w:r>
    </w:p>
    <w:p>
      <w:pPr>
        <w:pStyle w:val="2"/>
        <w:keepNext w:val="0"/>
        <w:keepLines w:val="0"/>
        <w:pageBreakBefore w:val="0"/>
        <w:widowControl w:val="0"/>
        <w:kinsoku/>
        <w:wordWrap w:val="0"/>
        <w:overflowPunct/>
        <w:topLinePunct w:val="0"/>
        <w:autoSpaceDE w:val="0"/>
        <w:autoSpaceDN w:val="0"/>
        <w:bidi w:val="0"/>
        <w:adjustRightInd w:val="0"/>
        <w:snapToGrid w:val="0"/>
        <w:spacing w:after="0" w:line="440" w:lineRule="exact"/>
        <w:ind w:left="0" w:leftChars="0" w:firstLine="480" w:firstLineChars="200"/>
        <w:textAlignment w:val="auto"/>
        <w:outlineLvl w:val="1"/>
        <w:rPr>
          <w:rFonts w:hint="eastAsia" w:ascii="宋体" w:hAnsi="宋体" w:eastAsia="宋体" w:cs="宋体"/>
          <w:color w:val="auto"/>
          <w:sz w:val="24"/>
          <w:szCs w:val="24"/>
        </w:rPr>
      </w:pPr>
    </w:p>
    <w:p>
      <w:pPr>
        <w:pStyle w:val="2"/>
        <w:keepNext w:val="0"/>
        <w:keepLines w:val="0"/>
        <w:pageBreakBefore w:val="0"/>
        <w:widowControl w:val="0"/>
        <w:kinsoku/>
        <w:wordWrap w:val="0"/>
        <w:overflowPunct/>
        <w:topLinePunct w:val="0"/>
        <w:autoSpaceDE w:val="0"/>
        <w:autoSpaceDN w:val="0"/>
        <w:bidi w:val="0"/>
        <w:adjustRightInd w:val="0"/>
        <w:snapToGrid w:val="0"/>
        <w:spacing w:after="0" w:line="440" w:lineRule="exact"/>
        <w:ind w:left="0" w:leftChars="0" w:firstLine="480" w:firstLineChars="200"/>
        <w:textAlignment w:val="auto"/>
        <w:rPr>
          <w:rFonts w:hint="eastAsia" w:ascii="宋体" w:hAnsi="宋体" w:eastAsia="宋体" w:cs="宋体"/>
          <w:color w:val="auto"/>
          <w:sz w:val="24"/>
          <w:szCs w:val="24"/>
        </w:rPr>
      </w:pPr>
    </w:p>
    <w:p>
      <w:pPr>
        <w:rPr>
          <w:rFonts w:hint="eastAsia"/>
        </w:rPr>
      </w:pPr>
    </w:p>
    <w:p>
      <w:pPr>
        <w:pStyle w:val="2"/>
        <w:keepNext w:val="0"/>
        <w:keepLines w:val="0"/>
        <w:pageBreakBefore w:val="0"/>
        <w:widowControl w:val="0"/>
        <w:kinsoku/>
        <w:overflowPunct/>
        <w:topLinePunct w:val="0"/>
        <w:bidi w:val="0"/>
        <w:ind w:firstLine="240"/>
        <w:rPr>
          <w:rFonts w:hint="eastAsia" w:ascii="宋体" w:hAnsi="宋体" w:eastAsia="宋体" w:cs="宋体"/>
          <w:color w:val="auto"/>
          <w:sz w:val="24"/>
          <w:szCs w:val="24"/>
        </w:rPr>
      </w:pPr>
    </w:p>
    <w:p>
      <w:pPr>
        <w:keepNext w:val="0"/>
        <w:keepLines w:val="0"/>
        <w:pageBreakBefore w:val="0"/>
        <w:widowControl w:val="0"/>
        <w:kinsoku/>
        <w:overflowPunct/>
        <w:topLinePunct w:val="0"/>
        <w:bidi w:val="0"/>
        <w:snapToGrid w:val="0"/>
        <w:spacing w:line="480" w:lineRule="auto"/>
        <w:ind w:firstLine="5280" w:firstLineChars="2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供应商盖章：</w:t>
      </w:r>
      <w:r>
        <w:rPr>
          <w:rFonts w:hint="eastAsia" w:ascii="宋体" w:hAnsi="宋体" w:eastAsia="宋体" w:cs="宋体"/>
          <w:color w:val="auto"/>
          <w:sz w:val="24"/>
          <w:szCs w:val="24"/>
          <w:u w:val="single"/>
        </w:rPr>
        <w:t xml:space="preserve">            </w:t>
      </w:r>
    </w:p>
    <w:p>
      <w:pPr>
        <w:pStyle w:val="7"/>
        <w:keepNext w:val="0"/>
        <w:keepLines w:val="0"/>
        <w:pageBreakBefore w:val="0"/>
        <w:widowControl w:val="0"/>
        <w:kinsoku/>
        <w:overflowPunct/>
        <w:topLinePunct w:val="0"/>
        <w:bidi w:val="0"/>
        <w:ind w:firstLine="4560" w:firstLineChars="19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r>
        <w:rPr>
          <w:rFonts w:hint="eastAsia" w:ascii="宋体" w:hAnsi="宋体" w:eastAsia="宋体" w:cs="宋体"/>
          <w:color w:val="auto"/>
          <w:sz w:val="24"/>
          <w:szCs w:val="24"/>
          <w:u w:val="single"/>
        </w:rPr>
        <w:t xml:space="preserve">            </w:t>
      </w:r>
    </w:p>
    <w:p>
      <w:pPr>
        <w:keepNext w:val="0"/>
        <w:keepLines w:val="0"/>
        <w:pageBreakBefore w:val="0"/>
        <w:widowControl w:val="0"/>
        <w:kinsoku/>
        <w:overflowPunct/>
        <w:topLinePunct w:val="0"/>
        <w:bidi w:val="0"/>
        <w:rPr>
          <w:rFonts w:hint="eastAsia" w:ascii="宋体" w:hAnsi="宋体" w:eastAsia="宋体" w:cs="宋体"/>
          <w:color w:val="auto"/>
          <w:sz w:val="24"/>
          <w:szCs w:val="24"/>
        </w:rPr>
      </w:pPr>
    </w:p>
    <w:p>
      <w:pPr>
        <w:pStyle w:val="42"/>
        <w:keepNext w:val="0"/>
        <w:keepLines w:val="0"/>
        <w:pageBreakBefore w:val="0"/>
        <w:widowControl w:val="0"/>
        <w:kinsoku/>
        <w:overflowPunct/>
        <w:topLinePunct w:val="0"/>
        <w:bidi w:val="0"/>
        <w:rPr>
          <w:rFonts w:hint="eastAsia" w:ascii="宋体" w:hAnsi="宋体" w:eastAsia="宋体" w:cs="宋体"/>
          <w:color w:val="auto"/>
          <w:szCs w:val="24"/>
        </w:rPr>
      </w:pPr>
    </w:p>
    <w:p>
      <w:pPr>
        <w:keepNext w:val="0"/>
        <w:keepLines w:val="0"/>
        <w:pageBreakBefore w:val="0"/>
        <w:widowControl w:val="0"/>
        <w:kinsoku/>
        <w:overflowPunct/>
        <w:topLinePunct w:val="0"/>
        <w:bidi w:val="0"/>
        <w:rPr>
          <w:rFonts w:hint="eastAsia" w:ascii="宋体" w:hAnsi="宋体" w:eastAsia="宋体" w:cs="宋体"/>
          <w:color w:val="auto"/>
          <w:spacing w:val="20"/>
          <w:sz w:val="24"/>
        </w:rPr>
      </w:pPr>
    </w:p>
    <w:p>
      <w:pPr>
        <w:pStyle w:val="42"/>
        <w:keepNext w:val="0"/>
        <w:keepLines w:val="0"/>
        <w:pageBreakBefore w:val="0"/>
        <w:widowControl w:val="0"/>
        <w:kinsoku/>
        <w:overflowPunct/>
        <w:topLinePunct w:val="0"/>
        <w:bidi w:val="0"/>
        <w:ind w:firstLine="560"/>
        <w:rPr>
          <w:rFonts w:hint="eastAsia" w:ascii="宋体" w:hAnsi="宋体" w:eastAsia="宋体" w:cs="宋体"/>
          <w:color w:val="auto"/>
          <w:spacing w:val="20"/>
        </w:rPr>
      </w:pPr>
    </w:p>
    <w:p>
      <w:pPr>
        <w:keepNext w:val="0"/>
        <w:keepLines w:val="0"/>
        <w:pageBreakBefore w:val="0"/>
        <w:widowControl w:val="0"/>
        <w:kinsoku/>
        <w:overflowPunct/>
        <w:topLinePunct w:val="0"/>
        <w:bidi w:val="0"/>
        <w:jc w:val="center"/>
        <w:rPr>
          <w:rFonts w:hint="eastAsia" w:ascii="宋体" w:hAnsi="宋体" w:eastAsia="宋体" w:cs="宋体"/>
          <w:b/>
          <w:color w:val="auto"/>
          <w:sz w:val="28"/>
          <w:szCs w:val="28"/>
        </w:rPr>
      </w:pPr>
      <w:bookmarkStart w:id="403" w:name="_Toc497376120"/>
    </w:p>
    <w:p>
      <w:pPr>
        <w:pStyle w:val="34"/>
        <w:keepNext w:val="0"/>
        <w:keepLines w:val="0"/>
        <w:pageBreakBefore w:val="0"/>
        <w:widowControl w:val="0"/>
        <w:kinsoku/>
        <w:overflowPunct/>
        <w:topLinePunct w:val="0"/>
        <w:bidi w:val="0"/>
        <w:rPr>
          <w:rFonts w:hint="eastAsia" w:ascii="宋体" w:hAnsi="宋体" w:eastAsia="宋体" w:cs="宋体"/>
          <w:b/>
          <w:color w:val="auto"/>
          <w:sz w:val="28"/>
          <w:szCs w:val="28"/>
        </w:rPr>
      </w:pPr>
    </w:p>
    <w:p>
      <w:pPr>
        <w:keepNext w:val="0"/>
        <w:keepLines w:val="0"/>
        <w:pageBreakBefore w:val="0"/>
        <w:widowControl w:val="0"/>
        <w:kinsoku/>
        <w:overflowPunct/>
        <w:topLinePunct w:val="0"/>
        <w:bidi w:val="0"/>
        <w:rPr>
          <w:rFonts w:hint="eastAsia" w:ascii="宋体" w:hAnsi="宋体" w:eastAsia="宋体" w:cs="宋体"/>
          <w:b/>
          <w:color w:val="auto"/>
          <w:sz w:val="28"/>
          <w:szCs w:val="28"/>
        </w:rPr>
      </w:pPr>
    </w:p>
    <w:p>
      <w:pPr>
        <w:pStyle w:val="7"/>
        <w:keepNext w:val="0"/>
        <w:keepLines w:val="0"/>
        <w:pageBreakBefore w:val="0"/>
        <w:widowControl w:val="0"/>
        <w:kinsoku/>
        <w:overflowPunct/>
        <w:topLinePunct w:val="0"/>
        <w:bidi w:val="0"/>
        <w:rPr>
          <w:rFonts w:hint="eastAsia" w:ascii="宋体" w:hAnsi="宋体" w:eastAsia="宋体" w:cs="宋体"/>
          <w:color w:val="auto"/>
        </w:rPr>
      </w:pPr>
    </w:p>
    <w:p>
      <w:pPr>
        <w:keepNext w:val="0"/>
        <w:keepLines w:val="0"/>
        <w:pageBreakBefore w:val="0"/>
        <w:widowControl w:val="0"/>
        <w:kinsoku/>
        <w:overflowPunct/>
        <w:topLinePunct w:val="0"/>
        <w:bidi w:val="0"/>
        <w:jc w:val="center"/>
        <w:rPr>
          <w:rFonts w:hint="eastAsia" w:ascii="宋体" w:hAnsi="宋体" w:eastAsia="宋体" w:cs="宋体"/>
          <w:b/>
          <w:color w:val="auto"/>
          <w:sz w:val="28"/>
          <w:szCs w:val="28"/>
        </w:rPr>
      </w:pPr>
    </w:p>
    <w:p>
      <w:pPr>
        <w:keepNext w:val="0"/>
        <w:keepLines w:val="0"/>
        <w:pageBreakBefore w:val="0"/>
        <w:widowControl w:val="0"/>
        <w:kinsoku/>
        <w:overflowPunct/>
        <w:topLinePunct w:val="0"/>
        <w:bidi w:val="0"/>
        <w:jc w:val="center"/>
        <w:outlineLvl w:val="1"/>
        <w:rPr>
          <w:rFonts w:hint="eastAsia" w:ascii="宋体" w:hAnsi="宋体" w:eastAsia="宋体" w:cs="宋体"/>
          <w:b/>
          <w:color w:val="auto"/>
          <w:sz w:val="28"/>
          <w:szCs w:val="28"/>
        </w:rPr>
      </w:pPr>
      <w:bookmarkStart w:id="404" w:name="_Toc2521"/>
      <w:bookmarkStart w:id="405" w:name="_Toc15661"/>
      <w:r>
        <w:rPr>
          <w:rFonts w:hint="eastAsia" w:ascii="宋体" w:hAnsi="宋体" w:eastAsia="宋体" w:cs="宋体"/>
          <w:b/>
          <w:color w:val="auto"/>
          <w:sz w:val="28"/>
          <w:szCs w:val="28"/>
        </w:rPr>
        <w:t>2、供应商针对报价需要说明的其他文件和说明</w:t>
      </w:r>
      <w:bookmarkEnd w:id="404"/>
      <w:bookmarkEnd w:id="405"/>
    </w:p>
    <w:p>
      <w:pPr>
        <w:pStyle w:val="19"/>
        <w:keepNext w:val="0"/>
        <w:keepLines w:val="0"/>
        <w:pageBreakBefore w:val="0"/>
        <w:widowControl w:val="0"/>
        <w:kinsoku/>
        <w:overflowPunct/>
        <w:topLinePunct w:val="0"/>
        <w:bidi w:val="0"/>
        <w:spacing w:before="120" w:after="120" w:line="360" w:lineRule="auto"/>
        <w:ind w:left="0" w:leftChars="0" w:firstLine="0" w:firstLineChars="0"/>
        <w:jc w:val="center"/>
        <w:rPr>
          <w:rFonts w:hint="eastAsia" w:ascii="宋体" w:hAnsi="宋体" w:eastAsia="宋体" w:cs="宋体"/>
          <w:color w:val="auto"/>
          <w:spacing w:val="20"/>
          <w:sz w:val="24"/>
          <w:szCs w:val="24"/>
          <w:u w:val="single"/>
        </w:rPr>
      </w:pPr>
      <w:r>
        <w:rPr>
          <w:rFonts w:hint="eastAsia" w:ascii="宋体" w:hAnsi="宋体" w:eastAsia="宋体" w:cs="宋体"/>
          <w:color w:val="auto"/>
          <w:sz w:val="24"/>
          <w:szCs w:val="24"/>
        </w:rPr>
        <w:t>（格式自拟）</w:t>
      </w:r>
    </w:p>
    <w:p>
      <w:pPr>
        <w:pStyle w:val="19"/>
        <w:keepNext w:val="0"/>
        <w:keepLines w:val="0"/>
        <w:pageBreakBefore w:val="0"/>
        <w:widowControl w:val="0"/>
        <w:kinsoku/>
        <w:overflowPunct/>
        <w:topLinePunct w:val="0"/>
        <w:bidi w:val="0"/>
        <w:spacing w:line="440" w:lineRule="exact"/>
        <w:ind w:firstLine="2520" w:firstLineChars="900"/>
        <w:rPr>
          <w:rFonts w:hint="eastAsia" w:ascii="宋体" w:hAnsi="宋体" w:eastAsia="宋体" w:cs="宋体"/>
          <w:color w:val="auto"/>
          <w:spacing w:val="20"/>
          <w:sz w:val="24"/>
          <w:u w:val="single"/>
        </w:rPr>
      </w:pPr>
    </w:p>
    <w:p>
      <w:pPr>
        <w:pStyle w:val="19"/>
        <w:keepNext w:val="0"/>
        <w:keepLines w:val="0"/>
        <w:pageBreakBefore w:val="0"/>
        <w:widowControl w:val="0"/>
        <w:kinsoku/>
        <w:overflowPunct/>
        <w:topLinePunct w:val="0"/>
        <w:bidi w:val="0"/>
        <w:spacing w:line="440" w:lineRule="exact"/>
        <w:ind w:firstLine="2520" w:firstLineChars="900"/>
        <w:rPr>
          <w:rFonts w:hint="eastAsia" w:ascii="宋体" w:hAnsi="宋体" w:eastAsia="宋体" w:cs="宋体"/>
          <w:color w:val="auto"/>
          <w:spacing w:val="20"/>
          <w:sz w:val="24"/>
          <w:u w:val="single"/>
        </w:rPr>
      </w:pPr>
    </w:p>
    <w:p>
      <w:pPr>
        <w:pStyle w:val="20"/>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keepNext w:val="0"/>
        <w:keepLines w:val="0"/>
        <w:pageBreakBefore w:val="0"/>
        <w:widowControl w:val="0"/>
        <w:kinsoku/>
        <w:overflowPunct/>
        <w:topLinePunct w:val="0"/>
        <w:bidi w:val="0"/>
        <w:rPr>
          <w:rFonts w:hint="eastAsia" w:ascii="宋体" w:hAnsi="宋体" w:eastAsia="宋体" w:cs="宋体"/>
          <w:color w:val="auto"/>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p>
      <w:pPr>
        <w:pStyle w:val="7"/>
        <w:keepNext w:val="0"/>
        <w:keepLines w:val="0"/>
        <w:pageBreakBefore w:val="0"/>
        <w:widowControl w:val="0"/>
        <w:kinsoku/>
        <w:overflowPunct/>
        <w:topLinePunct w:val="0"/>
        <w:bidi w:val="0"/>
        <w:rPr>
          <w:rFonts w:hint="eastAsia" w:ascii="宋体" w:hAnsi="宋体" w:eastAsia="宋体" w:cs="宋体"/>
          <w:color w:val="auto"/>
          <w:spacing w:val="20"/>
          <w:sz w:val="24"/>
          <w:u w:val="single"/>
        </w:rPr>
      </w:pPr>
    </w:p>
    <w:bookmarkEnd w:id="403"/>
    <w:p>
      <w:pPr>
        <w:pStyle w:val="103"/>
        <w:keepNext w:val="0"/>
        <w:keepLines w:val="0"/>
        <w:pageBreakBefore w:val="0"/>
        <w:widowControl w:val="0"/>
        <w:kinsoku/>
        <w:overflowPunct/>
        <w:topLinePunct w:val="0"/>
        <w:bidi w:val="0"/>
        <w:snapToGrid w:val="0"/>
        <w:jc w:val="center"/>
        <w:outlineLvl w:val="2"/>
        <w:rPr>
          <w:rFonts w:hint="eastAsia" w:ascii="宋体" w:hAnsi="宋体" w:eastAsia="宋体" w:cs="宋体"/>
          <w:color w:val="auto"/>
          <w:sz w:val="30"/>
        </w:rPr>
      </w:pPr>
      <w:bookmarkStart w:id="406" w:name="_Toc18254"/>
      <w:r>
        <w:rPr>
          <w:rFonts w:hint="eastAsia" w:ascii="宋体" w:hAnsi="宋体" w:eastAsia="宋体" w:cs="宋体"/>
          <w:b/>
          <w:color w:val="auto"/>
          <w:sz w:val="30"/>
          <w:lang w:val="en-US" w:eastAsia="zh-CN"/>
        </w:rPr>
        <w:t>四</w:t>
      </w:r>
      <w:r>
        <w:rPr>
          <w:rFonts w:hint="eastAsia" w:ascii="宋体" w:hAnsi="宋体" w:eastAsia="宋体" w:cs="宋体"/>
          <w:b/>
          <w:color w:val="auto"/>
          <w:sz w:val="30"/>
        </w:rPr>
        <w:t>、现场确认声明书</w:t>
      </w:r>
      <w:bookmarkEnd w:id="406"/>
    </w:p>
    <w:p>
      <w:pPr>
        <w:keepNext w:val="0"/>
        <w:keepLines w:val="0"/>
        <w:pageBreakBefore w:val="0"/>
        <w:widowControl w:val="0"/>
        <w:kinsoku/>
        <w:wordWrap/>
        <w:overflowPunct/>
        <w:topLinePunct w:val="0"/>
        <w:autoSpaceDE/>
        <w:autoSpaceDN/>
        <w:bidi w:val="0"/>
        <w:adjustRightInd/>
        <w:snapToGrid/>
        <w:spacing w:line="430" w:lineRule="exact"/>
        <w:jc w:val="left"/>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u w:val="single"/>
          <w:lang w:eastAsia="zh-CN"/>
        </w:rPr>
        <w:t>庆元县市场监督管理局、</w:t>
      </w:r>
      <w:r>
        <w:rPr>
          <w:rFonts w:hint="eastAsia" w:ascii="宋体" w:hAnsi="宋体" w:eastAsia="宋体" w:cs="宋体"/>
          <w:color w:val="auto"/>
          <w:sz w:val="22"/>
          <w:szCs w:val="22"/>
          <w:u w:val="single"/>
        </w:rPr>
        <w:t>浙江诚远工程咨询有限公司：</w:t>
      </w:r>
    </w:p>
    <w:p>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本人经由</w:t>
      </w:r>
      <w:r>
        <w:rPr>
          <w:rFonts w:hint="eastAsia" w:ascii="宋体" w:hAnsi="宋体" w:eastAsia="宋体" w:cs="宋体"/>
          <w:color w:val="auto"/>
          <w:sz w:val="22"/>
          <w:szCs w:val="22"/>
          <w:u w:val="single"/>
        </w:rPr>
        <w:t xml:space="preserve">                       （公司名称）</w:t>
      </w:r>
      <w:r>
        <w:rPr>
          <w:rFonts w:hint="eastAsia" w:ascii="宋体" w:hAnsi="宋体" w:eastAsia="宋体" w:cs="宋体"/>
          <w:color w:val="auto"/>
          <w:sz w:val="22"/>
          <w:szCs w:val="22"/>
        </w:rPr>
        <w:t>法定代表人（负责人）</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，合法授权参加</w:t>
      </w:r>
      <w:r>
        <w:rPr>
          <w:rFonts w:hint="eastAsia" w:ascii="宋体" w:hAnsi="宋体" w:eastAsia="宋体" w:cs="宋体"/>
          <w:color w:val="auto"/>
          <w:sz w:val="22"/>
          <w:szCs w:val="22"/>
          <w:u w:val="single"/>
          <w:lang w:eastAsia="zh-CN"/>
        </w:rPr>
        <w:t>2022年庆元县食品安全检验检测服务采购项目</w:t>
      </w:r>
      <w:r>
        <w:rPr>
          <w:rFonts w:hint="eastAsia" w:ascii="宋体" w:hAnsi="宋体" w:eastAsia="宋体" w:cs="宋体"/>
          <w:color w:val="auto"/>
          <w:sz w:val="22"/>
          <w:szCs w:val="22"/>
          <w:u w:val="single"/>
        </w:rPr>
        <w:t>（采购编号：浙诚远庆</w:t>
      </w:r>
      <w:r>
        <w:rPr>
          <w:rFonts w:hint="eastAsia" w:ascii="宋体" w:hAnsi="宋体" w:eastAsia="宋体" w:cs="宋体"/>
          <w:color w:val="auto"/>
          <w:sz w:val="22"/>
          <w:szCs w:val="22"/>
          <w:u w:val="single"/>
          <w:lang w:eastAsia="zh-CN"/>
        </w:rPr>
        <w:t>[2022]070号</w:t>
      </w:r>
      <w:r>
        <w:rPr>
          <w:rFonts w:hint="eastAsia" w:ascii="宋体" w:hAnsi="宋体" w:eastAsia="宋体" w:cs="宋体"/>
          <w:color w:val="auto"/>
          <w:sz w:val="22"/>
          <w:szCs w:val="22"/>
          <w:u w:val="single"/>
        </w:rPr>
        <w:t>）</w:t>
      </w:r>
      <w:r>
        <w:rPr>
          <w:rFonts w:hint="eastAsia" w:ascii="宋体" w:hAnsi="宋体" w:eastAsia="宋体" w:cs="宋体"/>
          <w:color w:val="auto"/>
          <w:sz w:val="22"/>
          <w:szCs w:val="22"/>
        </w:rPr>
        <w:t>政府采购活动，经与本单位法人代表（负责人）联系确认，现就有关公平竞争事项郑重声明如下：</w:t>
      </w:r>
    </w:p>
    <w:p>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t xml:space="preserve">一、本单位与采购人之间 </w:t>
      </w:r>
      <w:r>
        <w:rPr>
          <w:rFonts w:hint="eastAsia" w:ascii="宋体" w:hAnsi="宋体" w:eastAsia="宋体" w:cs="宋体"/>
          <w:b/>
          <w:color w:val="auto"/>
          <w:sz w:val="22"/>
          <w:szCs w:val="22"/>
        </w:rPr>
        <w:t>□不存在利害关系</w:t>
      </w:r>
      <w:r>
        <w:rPr>
          <w:rFonts w:hint="eastAsia" w:ascii="宋体" w:hAnsi="宋体" w:eastAsia="宋体" w:cs="宋体"/>
          <w:color w:val="auto"/>
          <w:sz w:val="22"/>
          <w:szCs w:val="22"/>
        </w:rPr>
        <w:t xml:space="preserve"> □存在下列利害关系</w:t>
      </w:r>
      <w:r>
        <w:rPr>
          <w:rFonts w:hint="eastAsia" w:ascii="宋体" w:hAnsi="宋体" w:eastAsia="宋体" w:cs="宋体"/>
          <w:color w:val="auto"/>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line="430" w:lineRule="exact"/>
        <w:ind w:right="42" w:rightChars="20" w:firstLine="440" w:firstLineChars="2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A.投资关系    B.行政隶属关系    C.业务指导关系</w:t>
      </w:r>
    </w:p>
    <w:p>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2"/>
          <w:szCs w:val="22"/>
          <w:u w:val="single"/>
        </w:rPr>
      </w:pPr>
      <w:r>
        <w:rPr>
          <w:rFonts w:hint="eastAsia" w:ascii="宋体" w:hAnsi="宋体" w:eastAsia="宋体" w:cs="宋体"/>
          <w:color w:val="auto"/>
          <w:sz w:val="22"/>
          <w:szCs w:val="22"/>
        </w:rPr>
        <w:t>D.其他可能影响采购公正的利害关系（如有，请如实说明）</w:t>
      </w:r>
      <w:r>
        <w:rPr>
          <w:rFonts w:hint="eastAsia" w:ascii="宋体" w:hAnsi="宋体" w:eastAsia="宋体" w:cs="宋体"/>
          <w:color w:val="auto"/>
          <w:sz w:val="22"/>
          <w:szCs w:val="22"/>
          <w:u w:val="single"/>
        </w:rPr>
        <w:t xml:space="preserve">         </w:t>
      </w:r>
    </w:p>
    <w:p>
      <w:pPr>
        <w:keepNext w:val="0"/>
        <w:keepLines w:val="0"/>
        <w:pageBreakBefore w:val="0"/>
        <w:widowControl w:val="0"/>
        <w:kinsoku/>
        <w:wordWrap/>
        <w:overflowPunct/>
        <w:topLinePunct w:val="0"/>
        <w:autoSpaceDE/>
        <w:autoSpaceDN/>
        <w:bidi w:val="0"/>
        <w:adjustRightInd/>
        <w:snapToGrid/>
        <w:spacing w:line="430" w:lineRule="exact"/>
        <w:ind w:firstLine="480"/>
        <w:textAlignment w:val="auto"/>
        <w:outlineLvl w:val="2"/>
        <w:rPr>
          <w:rFonts w:hint="eastAsia" w:ascii="宋体" w:hAnsi="宋体" w:eastAsia="宋体" w:cs="宋体"/>
          <w:color w:val="auto"/>
          <w:sz w:val="22"/>
          <w:szCs w:val="22"/>
        </w:rPr>
      </w:pPr>
      <w:bookmarkStart w:id="407" w:name="_Toc9246"/>
      <w:r>
        <w:rPr>
          <w:rFonts w:hint="eastAsia" w:ascii="宋体" w:hAnsi="宋体" w:eastAsia="宋体" w:cs="宋体"/>
          <w:color w:val="auto"/>
          <w:sz w:val="22"/>
          <w:szCs w:val="22"/>
        </w:rPr>
        <w:t>二、现已清楚知道参加本项目采购活动的其他所有供应商名称，本单位</w:t>
      </w:r>
      <w:bookmarkEnd w:id="407"/>
    </w:p>
    <w:p>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2"/>
          <w:szCs w:val="22"/>
        </w:rPr>
      </w:pPr>
      <w:r>
        <w:rPr>
          <w:rFonts w:hint="eastAsia" w:ascii="宋体" w:hAnsi="宋体" w:eastAsia="宋体" w:cs="宋体"/>
          <w:b/>
          <w:color w:val="auto"/>
          <w:sz w:val="22"/>
          <w:szCs w:val="22"/>
        </w:rPr>
        <w:t>□与其他所有供应商之间均不存在利害关系</w:t>
      </w:r>
      <w:r>
        <w:rPr>
          <w:rFonts w:hint="eastAsia" w:ascii="宋体" w:hAnsi="宋体" w:eastAsia="宋体" w:cs="宋体"/>
          <w:color w:val="auto"/>
          <w:sz w:val="22"/>
          <w:szCs w:val="22"/>
        </w:rPr>
        <w:t xml:space="preserve">  □与</w:t>
      </w:r>
      <w:r>
        <w:rPr>
          <w:rFonts w:hint="eastAsia" w:ascii="宋体" w:hAnsi="宋体" w:eastAsia="宋体" w:cs="宋体"/>
          <w:color w:val="auto"/>
          <w:sz w:val="22"/>
          <w:szCs w:val="22"/>
          <w:u w:val="single"/>
        </w:rPr>
        <w:t xml:space="preserve">（供应商名称）     </w:t>
      </w:r>
      <w:r>
        <w:rPr>
          <w:rFonts w:hint="eastAsia" w:ascii="宋体" w:hAnsi="宋体" w:eastAsia="宋体" w:cs="宋体"/>
          <w:color w:val="auto"/>
          <w:sz w:val="22"/>
          <w:szCs w:val="22"/>
        </w:rPr>
        <w:t>之间存在下列利害关系</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A.法定代表人或负责人或实际控制人是同一人</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B.法定代表人或负责人或实际控制人是夫妻关系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C.法定代表人或负责人或实际控制人是直系血亲关系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D.法定代表人或负责人或实际控制人存在三代以内旁系血亲关系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E.法定代表人或负责人或实际控制人存在近姻亲关系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F.法定代表人或负责人或实际控制人存在股份控制或实际控制关系</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G.存在共同直接或间接投资设立子公司、联营企业和合营企业情况</w:t>
      </w:r>
    </w:p>
    <w:p>
      <w:pPr>
        <w:keepNext w:val="0"/>
        <w:keepLines w:val="0"/>
        <w:pageBreakBefore w:val="0"/>
        <w:widowControl w:val="0"/>
        <w:kinsoku/>
        <w:wordWrap/>
        <w:overflowPunct/>
        <w:topLinePunct w:val="0"/>
        <w:autoSpaceDE/>
        <w:autoSpaceDN/>
        <w:bidi w:val="0"/>
        <w:adjustRightInd/>
        <w:snapToGrid/>
        <w:spacing w:line="43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H.存在分级代理或代销关系、同一生产制造商关系、管理关系、重要业务（占主营业务收入50%以上）或重要财务往来关系（如融资）等其他实质性控制关系</w:t>
      </w:r>
    </w:p>
    <w:p>
      <w:pPr>
        <w:keepNext w:val="0"/>
        <w:keepLines w:val="0"/>
        <w:pageBreakBefore w:val="0"/>
        <w:widowControl w:val="0"/>
        <w:kinsoku/>
        <w:wordWrap/>
        <w:overflowPunct/>
        <w:topLinePunct w:val="0"/>
        <w:autoSpaceDE/>
        <w:autoSpaceDN/>
        <w:bidi w:val="0"/>
        <w:adjustRightInd/>
        <w:snapToGrid/>
        <w:spacing w:line="430" w:lineRule="exact"/>
        <w:ind w:left="240" w:hanging="220" w:hangingChars="10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    I.其他利害关系情况 </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r>
        <w:rPr>
          <w:rFonts w:hint="eastAsia" w:ascii="宋体" w:hAnsi="宋体" w:eastAsia="宋体" w:cs="宋体"/>
          <w:color w:val="auto"/>
          <w:sz w:val="22"/>
          <w:szCs w:val="22"/>
          <w:u w:val="single"/>
        </w:rPr>
        <w:tab/>
      </w:r>
    </w:p>
    <w:p>
      <w:pPr>
        <w:keepNext w:val="0"/>
        <w:keepLines w:val="0"/>
        <w:pageBreakBefore w:val="0"/>
        <w:widowControl w:val="0"/>
        <w:kinsoku/>
        <w:wordWrap/>
        <w:overflowPunct/>
        <w:topLinePunct w:val="0"/>
        <w:autoSpaceDE/>
        <w:autoSpaceDN/>
        <w:bidi w:val="0"/>
        <w:adjustRightInd/>
        <w:snapToGrid/>
        <w:spacing w:line="430" w:lineRule="exact"/>
        <w:ind w:firstLine="480"/>
        <w:textAlignment w:val="auto"/>
        <w:outlineLvl w:val="2"/>
        <w:rPr>
          <w:rFonts w:hint="eastAsia" w:ascii="宋体" w:hAnsi="宋体" w:eastAsia="宋体" w:cs="宋体"/>
          <w:color w:val="auto"/>
          <w:sz w:val="22"/>
          <w:szCs w:val="22"/>
        </w:rPr>
      </w:pPr>
      <w:bookmarkStart w:id="408" w:name="_Toc10303"/>
      <w:r>
        <w:rPr>
          <w:rFonts w:hint="eastAsia" w:ascii="宋体" w:hAnsi="宋体" w:eastAsia="宋体" w:cs="宋体"/>
          <w:color w:val="auto"/>
          <w:sz w:val="22"/>
          <w:szCs w:val="22"/>
        </w:rPr>
        <w:t>三、现已清楚知道并严格遵守政府采购法律法规和现场纪律。</w:t>
      </w:r>
      <w:bookmarkEnd w:id="408"/>
    </w:p>
    <w:p>
      <w:pPr>
        <w:keepNext w:val="0"/>
        <w:keepLines w:val="0"/>
        <w:pageBreakBefore w:val="0"/>
        <w:widowControl w:val="0"/>
        <w:kinsoku/>
        <w:wordWrap/>
        <w:overflowPunct/>
        <w:topLinePunct w:val="0"/>
        <w:autoSpaceDE/>
        <w:autoSpaceDN/>
        <w:bidi w:val="0"/>
        <w:adjustRightInd/>
        <w:snapToGrid/>
        <w:spacing w:line="430" w:lineRule="exact"/>
        <w:ind w:firstLine="48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四、我发现</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和</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供应商之间存在或可能存在上述第二条第</w:t>
      </w:r>
      <w:r>
        <w:rPr>
          <w:rFonts w:hint="eastAsia" w:ascii="宋体" w:hAnsi="宋体" w:eastAsia="宋体" w:cs="宋体"/>
          <w:color w:val="auto"/>
          <w:sz w:val="22"/>
          <w:szCs w:val="22"/>
          <w:u w:val="single"/>
        </w:rPr>
        <w:t xml:space="preserve">        </w:t>
      </w:r>
      <w:r>
        <w:rPr>
          <w:rFonts w:hint="eastAsia" w:ascii="宋体" w:hAnsi="宋体" w:eastAsia="宋体" w:cs="宋体"/>
          <w:color w:val="auto"/>
          <w:sz w:val="22"/>
          <w:szCs w:val="22"/>
        </w:rPr>
        <w:t xml:space="preserve">项利害关系。 </w:t>
      </w:r>
    </w:p>
    <w:p>
      <w:pPr>
        <w:keepNext w:val="0"/>
        <w:keepLines w:val="0"/>
        <w:pageBreakBefore w:val="0"/>
        <w:widowControl w:val="0"/>
        <w:kinsoku/>
        <w:wordWrap/>
        <w:overflowPunct/>
        <w:topLinePunct w:val="0"/>
        <w:autoSpaceDE/>
        <w:autoSpaceDN/>
        <w:bidi w:val="0"/>
        <w:adjustRightInd/>
        <w:snapToGrid w:val="0"/>
        <w:spacing w:line="240" w:lineRule="auto"/>
        <w:ind w:firstLine="110" w:firstLineChars="50"/>
        <w:jc w:val="right"/>
        <w:textAlignment w:val="auto"/>
        <w:rPr>
          <w:rFonts w:hint="eastAsia" w:ascii="宋体" w:hAnsi="宋体" w:eastAsia="宋体" w:cs="宋体"/>
          <w:color w:val="auto"/>
          <w:sz w:val="22"/>
          <w:szCs w:val="22"/>
        </w:rPr>
      </w:pPr>
    </w:p>
    <w:p>
      <w:pPr>
        <w:keepNext w:val="0"/>
        <w:keepLines w:val="0"/>
        <w:pageBreakBefore w:val="0"/>
        <w:widowControl w:val="0"/>
        <w:kinsoku/>
        <w:wordWrap/>
        <w:overflowPunct/>
        <w:topLinePunct w:val="0"/>
        <w:autoSpaceDE/>
        <w:autoSpaceDN/>
        <w:bidi w:val="0"/>
        <w:adjustRightInd/>
        <w:snapToGrid/>
        <w:spacing w:line="430" w:lineRule="exact"/>
        <w:ind w:firstLine="110" w:firstLineChars="50"/>
        <w:jc w:val="righ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 xml:space="preserve">（负责人或委托代理人签名）：     </w:t>
      </w:r>
    </w:p>
    <w:p>
      <w:pPr>
        <w:keepNext w:val="0"/>
        <w:keepLines w:val="0"/>
        <w:pageBreakBefore w:val="0"/>
        <w:widowControl w:val="0"/>
        <w:kinsoku/>
        <w:wordWrap/>
        <w:overflowPunct/>
        <w:topLinePunct w:val="0"/>
        <w:autoSpaceDE/>
        <w:autoSpaceDN/>
        <w:bidi w:val="0"/>
        <w:adjustRightInd/>
        <w:snapToGrid/>
        <w:spacing w:line="430" w:lineRule="exact"/>
        <w:jc w:val="right"/>
        <w:textAlignment w:val="auto"/>
        <w:rPr>
          <w:rFonts w:hint="eastAsia" w:ascii="宋体" w:hAnsi="宋体" w:eastAsia="宋体" w:cs="宋体"/>
          <w:color w:val="auto"/>
          <w:sz w:val="24"/>
          <w:szCs w:val="24"/>
        </w:rPr>
      </w:pPr>
      <w:r>
        <w:rPr>
          <w:rFonts w:hint="eastAsia" w:ascii="宋体" w:hAnsi="宋体" w:eastAsia="宋体" w:cs="宋体"/>
          <w:color w:val="auto"/>
          <w:sz w:val="22"/>
          <w:szCs w:val="22"/>
        </w:rPr>
        <w:t xml:space="preserve">        年   月   日</w:t>
      </w:r>
      <w:r>
        <w:rPr>
          <w:rFonts w:hint="eastAsia" w:ascii="宋体" w:hAnsi="宋体" w:eastAsia="宋体" w:cs="宋体"/>
          <w:color w:val="auto"/>
          <w:sz w:val="22"/>
          <w:szCs w:val="22"/>
        </w:rPr>
        <w:tab/>
      </w:r>
      <w:r>
        <w:rPr>
          <w:rFonts w:hint="eastAsia" w:ascii="宋体" w:hAnsi="宋体" w:eastAsia="宋体" w:cs="宋体"/>
          <w:color w:val="auto"/>
          <w:sz w:val="22"/>
          <w:szCs w:val="22"/>
        </w:rPr>
        <w:t xml:space="preserve">  </w:t>
      </w:r>
      <w:r>
        <w:rPr>
          <w:rFonts w:hint="eastAsia" w:ascii="宋体" w:hAnsi="宋体" w:eastAsia="宋体" w:cs="宋体"/>
          <w:color w:val="auto"/>
          <w:sz w:val="24"/>
          <w:szCs w:val="24"/>
        </w:rPr>
        <w:t xml:space="preserve"> </w:t>
      </w:r>
    </w:p>
    <w:p>
      <w:pPr>
        <w:keepNext w:val="0"/>
        <w:keepLines w:val="0"/>
        <w:pageBreakBefore w:val="0"/>
        <w:widowControl w:val="0"/>
        <w:kinsoku/>
        <w:overflowPunct/>
        <w:topLinePunct w:val="0"/>
        <w:bidi w:val="0"/>
        <w:spacing w:line="440" w:lineRule="exact"/>
        <w:ind w:firstLine="413" w:firstLineChars="196"/>
        <w:jc w:val="left"/>
        <w:rPr>
          <w:rFonts w:hint="eastAsia" w:ascii="宋体" w:hAnsi="宋体" w:eastAsia="宋体" w:cs="宋体"/>
          <w:b/>
          <w:color w:val="auto"/>
          <w:szCs w:val="21"/>
        </w:rPr>
      </w:pPr>
    </w:p>
    <w:p>
      <w:pPr>
        <w:keepNext w:val="0"/>
        <w:keepLines w:val="0"/>
        <w:pageBreakBefore w:val="0"/>
        <w:widowControl w:val="0"/>
        <w:kinsoku/>
        <w:wordWrap/>
        <w:overflowPunct/>
        <w:topLinePunct w:val="0"/>
        <w:autoSpaceDE/>
        <w:autoSpaceDN/>
        <w:bidi w:val="0"/>
        <w:adjustRightInd/>
        <w:snapToGrid/>
        <w:spacing w:line="400" w:lineRule="exact"/>
        <w:ind w:firstLine="723" w:firstLineChars="343"/>
        <w:textAlignment w:val="auto"/>
        <w:rPr>
          <w:rFonts w:hint="eastAsia" w:ascii="宋体" w:hAnsi="宋体" w:eastAsia="宋体" w:cs="宋体"/>
          <w:b/>
          <w:color w:val="auto"/>
          <w:szCs w:val="21"/>
        </w:rPr>
      </w:pPr>
      <w:r>
        <w:rPr>
          <w:rFonts w:hint="eastAsia" w:ascii="宋体" w:hAnsi="宋体" w:eastAsia="宋体" w:cs="宋体"/>
          <w:b/>
          <w:color w:val="auto"/>
          <w:szCs w:val="21"/>
        </w:rPr>
        <w:t>注：</w:t>
      </w:r>
      <w:r>
        <w:rPr>
          <w:rFonts w:hint="eastAsia" w:ascii="宋体" w:hAnsi="宋体" w:eastAsia="宋体" w:cs="宋体"/>
          <w:b/>
          <w:color w:val="auto"/>
          <w:szCs w:val="21"/>
          <w:lang w:val="en-US" w:eastAsia="zh-CN"/>
        </w:rPr>
        <w:t>1.</w:t>
      </w:r>
      <w:r>
        <w:rPr>
          <w:rFonts w:hint="eastAsia" w:ascii="宋体" w:hAnsi="宋体" w:eastAsia="宋体" w:cs="宋体"/>
          <w:b/>
          <w:color w:val="auto"/>
          <w:szCs w:val="21"/>
        </w:rPr>
        <w:t>供应商根据解密后交易平台公布的供应商名单及信息</w:t>
      </w:r>
      <w:r>
        <w:rPr>
          <w:rFonts w:hint="eastAsia" w:ascii="宋体" w:hAnsi="宋体" w:eastAsia="宋体" w:cs="宋体"/>
          <w:b/>
          <w:color w:val="auto"/>
          <w:szCs w:val="21"/>
          <w:lang w:eastAsia="zh-CN"/>
        </w:rPr>
        <w:t>，</w:t>
      </w:r>
      <w:r>
        <w:rPr>
          <w:rFonts w:hint="eastAsia" w:ascii="宋体" w:hAnsi="宋体" w:eastAsia="宋体" w:cs="宋体"/>
          <w:b/>
          <w:color w:val="auto"/>
          <w:szCs w:val="21"/>
        </w:rPr>
        <w:t>通过邮件方式提交《政府采购活动现场确认声明书》至邮箱1262850359@qq.com，提交时间在名单公布后的20分钟内。</w:t>
      </w:r>
    </w:p>
    <w:p>
      <w:pPr>
        <w:keepNext w:val="0"/>
        <w:keepLines w:val="0"/>
        <w:pageBreakBefore w:val="0"/>
        <w:widowControl w:val="0"/>
        <w:kinsoku/>
        <w:wordWrap/>
        <w:overflowPunct/>
        <w:topLinePunct w:val="0"/>
        <w:autoSpaceDE/>
        <w:autoSpaceDN/>
        <w:bidi w:val="0"/>
        <w:adjustRightInd/>
        <w:snapToGrid/>
        <w:spacing w:line="400" w:lineRule="exact"/>
        <w:ind w:firstLine="723" w:firstLineChars="343"/>
        <w:textAlignment w:val="auto"/>
        <w:rPr>
          <w:rFonts w:hint="eastAsia" w:ascii="宋体" w:hAnsi="宋体" w:eastAsia="宋体" w:cs="宋体"/>
          <w:b/>
          <w:color w:val="auto"/>
          <w:szCs w:val="21"/>
        </w:rPr>
      </w:pPr>
      <w:r>
        <w:rPr>
          <w:rFonts w:hint="eastAsia" w:ascii="宋体" w:hAnsi="宋体" w:eastAsia="宋体" w:cs="宋体"/>
          <w:b/>
          <w:color w:val="auto"/>
          <w:szCs w:val="21"/>
          <w:lang w:val="en-US" w:eastAsia="zh-CN"/>
        </w:rPr>
        <w:t>2.</w:t>
      </w:r>
      <w:r>
        <w:rPr>
          <w:rFonts w:hint="eastAsia" w:ascii="宋体" w:hAnsi="宋体" w:eastAsia="宋体" w:cs="宋体"/>
          <w:b/>
          <w:color w:val="auto"/>
          <w:szCs w:val="21"/>
        </w:rPr>
        <w:t>供应商认为有利害关系和需要回避的人员，应提供相关证明材料，与本声明书一同提交。由采购代理机构和财政监督部门负责询问核查。</w:t>
      </w:r>
    </w:p>
    <w:p>
      <w:pPr>
        <w:pStyle w:val="103"/>
        <w:keepNext w:val="0"/>
        <w:keepLines w:val="0"/>
        <w:pageBreakBefore w:val="0"/>
        <w:widowControl w:val="0"/>
        <w:kinsoku/>
        <w:overflowPunct/>
        <w:topLinePunct w:val="0"/>
        <w:bidi w:val="0"/>
        <w:snapToGrid w:val="0"/>
        <w:jc w:val="center"/>
        <w:outlineLvl w:val="2"/>
        <w:rPr>
          <w:rFonts w:hint="eastAsia" w:ascii="宋体" w:hAnsi="宋体" w:eastAsia="宋体" w:cs="宋体"/>
          <w:b/>
          <w:bCs/>
          <w:color w:val="auto"/>
          <w:spacing w:val="0"/>
          <w:sz w:val="30"/>
          <w:lang w:eastAsia="zh-CN"/>
        </w:rPr>
      </w:pPr>
      <w:bookmarkStart w:id="409" w:name="_Toc26525"/>
      <w:bookmarkStart w:id="410" w:name="_Toc390938600"/>
      <w:bookmarkStart w:id="411" w:name="_Toc11096"/>
      <w:bookmarkStart w:id="412" w:name="_Toc335664294"/>
      <w:bookmarkStart w:id="413" w:name="_Toc2466"/>
      <w:r>
        <w:rPr>
          <w:rFonts w:hint="eastAsia" w:ascii="宋体" w:hAnsi="宋体" w:eastAsia="宋体" w:cs="宋体"/>
          <w:b/>
          <w:bCs/>
          <w:color w:val="auto"/>
          <w:spacing w:val="0"/>
          <w:sz w:val="30"/>
          <w:lang w:eastAsia="zh-CN"/>
        </w:rPr>
        <w:t>五、成交人公告内容</w:t>
      </w:r>
      <w:bookmarkEnd w:id="409"/>
    </w:p>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采购项目：</w:t>
      </w:r>
    </w:p>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采购编号：</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0"/>
        <w:gridCol w:w="2310"/>
        <w:gridCol w:w="24"/>
        <w:gridCol w:w="2287"/>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成交人名称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p>
        </w:tc>
        <w:tc>
          <w:tcPr>
            <w:tcW w:w="23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成交人负责人</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成交人地址</w:t>
            </w:r>
          </w:p>
        </w:tc>
        <w:tc>
          <w:tcPr>
            <w:tcW w:w="6932"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成交标的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内容</w:t>
            </w: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单位</w:t>
            </w: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数量</w:t>
            </w:r>
          </w:p>
        </w:tc>
        <w:tc>
          <w:tcPr>
            <w:tcW w:w="2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单价（元/卷）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p>
        </w:tc>
        <w:tc>
          <w:tcPr>
            <w:tcW w:w="2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p>
        </w:tc>
        <w:tc>
          <w:tcPr>
            <w:tcW w:w="228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p>
        </w:tc>
        <w:tc>
          <w:tcPr>
            <w:tcW w:w="2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2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2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2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2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1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334"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28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1"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bidi w:val="0"/>
              <w:spacing w:line="360" w:lineRule="auto"/>
              <w:jc w:val="center"/>
              <w:rPr>
                <w:rFonts w:hint="eastAsia" w:ascii="宋体" w:hAnsi="宋体" w:eastAsia="宋体" w:cs="宋体"/>
                <w:color w:val="auto"/>
                <w:spacing w:val="0"/>
                <w:sz w:val="22"/>
                <w:szCs w:val="22"/>
              </w:rPr>
            </w:pPr>
          </w:p>
        </w:tc>
        <w:tc>
          <w:tcPr>
            <w:tcW w:w="231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trPr>
        <w:tc>
          <w:tcPr>
            <w:tcW w:w="9242" w:type="dxa"/>
            <w:gridSpan w:val="5"/>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r>
              <w:rPr>
                <w:rFonts w:hint="eastAsia" w:ascii="宋体" w:hAnsi="宋体" w:eastAsia="宋体" w:cs="宋体"/>
                <w:color w:val="auto"/>
                <w:spacing w:val="0"/>
                <w:sz w:val="22"/>
                <w:szCs w:val="22"/>
              </w:rPr>
              <w:t>服务要求：</w:t>
            </w:r>
          </w:p>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p>
            <w:pPr>
              <w:keepNext w:val="0"/>
              <w:keepLines w:val="0"/>
              <w:pageBreakBefore w:val="0"/>
              <w:widowControl w:val="0"/>
              <w:kinsoku/>
              <w:overflowPunct/>
              <w:topLinePunct w:val="0"/>
              <w:bidi w:val="0"/>
              <w:spacing w:line="360" w:lineRule="auto"/>
              <w:rPr>
                <w:rFonts w:hint="eastAsia" w:ascii="宋体" w:hAnsi="宋体" w:eastAsia="宋体" w:cs="宋体"/>
                <w:color w:val="auto"/>
                <w:spacing w:val="0"/>
                <w:sz w:val="22"/>
                <w:szCs w:val="22"/>
              </w:rPr>
            </w:pPr>
          </w:p>
        </w:tc>
      </w:tr>
    </w:tbl>
    <w:p>
      <w:pPr>
        <w:keepNext w:val="0"/>
        <w:keepLines w:val="0"/>
        <w:pageBreakBefore w:val="0"/>
        <w:widowControl w:val="0"/>
        <w:kinsoku/>
        <w:overflowPunct/>
        <w:topLinePunct w:val="0"/>
        <w:bidi w:val="0"/>
        <w:spacing w:line="276" w:lineRule="auto"/>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注：1、供应商应根据其响应情况填写该表，并保证其与响应文件内容的一致性、正确性和真实性；</w:t>
      </w:r>
    </w:p>
    <w:p>
      <w:pPr>
        <w:keepNext w:val="0"/>
        <w:keepLines w:val="0"/>
        <w:pageBreakBefore w:val="0"/>
        <w:widowControl w:val="0"/>
        <w:kinsoku/>
        <w:overflowPunct/>
        <w:topLinePunct w:val="0"/>
        <w:bidi w:val="0"/>
        <w:spacing w:line="276" w:lineRule="auto"/>
        <w:ind w:firstLine="431" w:firstLineChars="196"/>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2、填写该表不代表供应商已具有成交人资格。本表只作为成交结果公告内容的一部分，进行公告使用；</w:t>
      </w:r>
    </w:p>
    <w:p>
      <w:pPr>
        <w:keepNext w:val="0"/>
        <w:keepLines w:val="0"/>
        <w:pageBreakBefore w:val="0"/>
        <w:widowControl w:val="0"/>
        <w:kinsoku/>
        <w:overflowPunct/>
        <w:topLinePunct w:val="0"/>
        <w:bidi w:val="0"/>
        <w:spacing w:line="276" w:lineRule="auto"/>
        <w:ind w:firstLine="431" w:firstLineChars="196"/>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3、本表内容涉及较多，供应商可以适当增减表格行数，以保证表格内容的完整；</w:t>
      </w:r>
    </w:p>
    <w:p>
      <w:pPr>
        <w:keepNext w:val="0"/>
        <w:keepLines w:val="0"/>
        <w:pageBreakBefore w:val="0"/>
        <w:widowControl w:val="0"/>
        <w:kinsoku/>
        <w:overflowPunct/>
        <w:topLinePunct w:val="0"/>
        <w:bidi w:val="0"/>
        <w:spacing w:line="276" w:lineRule="auto"/>
        <w:ind w:firstLine="431" w:firstLineChars="196"/>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4、评审结果排名第一的供应商在评审结束后</w:t>
      </w:r>
      <w:r>
        <w:rPr>
          <w:rFonts w:hint="eastAsia" w:ascii="宋体" w:hAnsi="宋体" w:eastAsia="宋体" w:cs="宋体"/>
          <w:b/>
          <w:snapToGrid w:val="0"/>
          <w:color w:val="auto"/>
          <w:spacing w:val="0"/>
          <w:kern w:val="0"/>
          <w:sz w:val="22"/>
          <w:szCs w:val="22"/>
        </w:rPr>
        <w:t>2个工作日内</w:t>
      </w:r>
      <w:r>
        <w:rPr>
          <w:rFonts w:hint="eastAsia" w:ascii="宋体" w:hAnsi="宋体" w:eastAsia="宋体" w:cs="宋体"/>
          <w:snapToGrid w:val="0"/>
          <w:color w:val="auto"/>
          <w:spacing w:val="0"/>
          <w:kern w:val="0"/>
          <w:sz w:val="22"/>
          <w:szCs w:val="22"/>
        </w:rPr>
        <w:t>将该表格及项目响应文件电子文档刻录成光盘或将电子文档提交给代理机构的项目负责人。未按时提交规定内容造成后果由供应商自行承担。</w:t>
      </w:r>
    </w:p>
    <w:p>
      <w:pPr>
        <w:keepNext w:val="0"/>
        <w:keepLines w:val="0"/>
        <w:pageBreakBefore w:val="0"/>
        <w:widowControl w:val="0"/>
        <w:kinsoku/>
        <w:overflowPunct/>
        <w:topLinePunct w:val="0"/>
        <w:bidi w:val="0"/>
        <w:spacing w:line="276" w:lineRule="auto"/>
        <w:ind w:firstLine="431" w:firstLineChars="196"/>
        <w:rPr>
          <w:rFonts w:hint="eastAsia" w:ascii="宋体" w:hAnsi="宋体" w:eastAsia="宋体" w:cs="宋体"/>
          <w:snapToGrid w:val="0"/>
          <w:color w:val="auto"/>
          <w:spacing w:val="0"/>
          <w:kern w:val="0"/>
          <w:sz w:val="22"/>
          <w:szCs w:val="22"/>
        </w:rPr>
      </w:pPr>
      <w:r>
        <w:rPr>
          <w:rFonts w:hint="eastAsia" w:ascii="宋体" w:hAnsi="宋体" w:eastAsia="宋体" w:cs="宋体"/>
          <w:snapToGrid w:val="0"/>
          <w:color w:val="auto"/>
          <w:spacing w:val="0"/>
          <w:kern w:val="0"/>
          <w:sz w:val="22"/>
          <w:szCs w:val="22"/>
        </w:rPr>
        <w:t>5、成交结果公告内容如涉及供应商的商业秘密等法律法规规定可以不予公告的情形，供应商应另附书面说明，如未事前书面说明造成的后果由供应商自行承担。</w:t>
      </w:r>
    </w:p>
    <w:p>
      <w:pPr>
        <w:keepNext w:val="0"/>
        <w:keepLines w:val="0"/>
        <w:pageBreakBefore w:val="0"/>
        <w:widowControl w:val="0"/>
        <w:kinsoku/>
        <w:wordWrap/>
        <w:overflowPunct/>
        <w:topLinePunct w:val="0"/>
        <w:autoSpaceDE/>
        <w:autoSpaceDN/>
        <w:bidi w:val="0"/>
        <w:adjustRightInd/>
        <w:snapToGrid w:val="0"/>
        <w:spacing w:line="240" w:lineRule="auto"/>
        <w:ind w:firstLine="110" w:firstLineChars="50"/>
        <w:jc w:val="right"/>
        <w:textAlignment w:val="auto"/>
        <w:rPr>
          <w:rFonts w:hint="eastAsia" w:ascii="宋体" w:hAnsi="宋体" w:eastAsia="宋体" w:cs="宋体"/>
          <w:color w:val="auto"/>
          <w:sz w:val="22"/>
          <w:szCs w:val="22"/>
        </w:rPr>
      </w:pPr>
      <w:bookmarkStart w:id="414" w:name="_Toc19893"/>
      <w:bookmarkStart w:id="415" w:name="_Toc13301"/>
    </w:p>
    <w:p>
      <w:pPr>
        <w:pStyle w:val="5"/>
        <w:keepNext w:val="0"/>
        <w:keepLines w:val="0"/>
        <w:pageBreakBefore w:val="0"/>
        <w:widowControl w:val="0"/>
        <w:kinsoku/>
        <w:overflowPunct/>
        <w:topLinePunct w:val="0"/>
        <w:bidi w:val="0"/>
        <w:spacing w:line="560" w:lineRule="exact"/>
        <w:ind w:left="0"/>
        <w:jc w:val="center"/>
        <w:outlineLvl w:val="0"/>
        <w:rPr>
          <w:rFonts w:hint="eastAsia" w:ascii="宋体" w:hAnsi="宋体" w:eastAsia="宋体" w:cs="宋体"/>
          <w:b/>
          <w:bCs/>
          <w:color w:val="auto"/>
          <w:sz w:val="36"/>
          <w:szCs w:val="36"/>
        </w:rPr>
      </w:pPr>
      <w:r>
        <w:rPr>
          <w:rFonts w:hint="eastAsia" w:ascii="宋体" w:hAnsi="宋体" w:eastAsia="宋体" w:cs="宋体"/>
          <w:b/>
          <w:bCs/>
          <w:color w:val="auto"/>
          <w:sz w:val="36"/>
          <w:szCs w:val="36"/>
        </w:rPr>
        <w:t>第六章  磋商办法和细则</w:t>
      </w:r>
      <w:bookmarkEnd w:id="410"/>
      <w:bookmarkEnd w:id="411"/>
      <w:bookmarkEnd w:id="412"/>
      <w:bookmarkEnd w:id="413"/>
      <w:bookmarkEnd w:id="414"/>
      <w:bookmarkEnd w:id="415"/>
    </w:p>
    <w:p>
      <w:pPr>
        <w:pStyle w:val="23"/>
        <w:keepNext w:val="0"/>
        <w:keepLines w:val="0"/>
        <w:pageBreakBefore w:val="0"/>
        <w:widowControl w:val="0"/>
        <w:kinsoku/>
        <w:overflowPunct/>
        <w:topLinePunct w:val="0"/>
        <w:bidi w:val="0"/>
        <w:snapToGrid/>
        <w:spacing w:line="440" w:lineRule="exact"/>
        <w:ind w:left="0" w:firstLineChars="200"/>
        <w:rPr>
          <w:rFonts w:hint="eastAsia" w:ascii="宋体" w:hAnsi="宋体" w:eastAsia="宋体" w:cs="宋体"/>
          <w:color w:val="auto"/>
          <w:szCs w:val="24"/>
        </w:rPr>
      </w:pPr>
      <w:r>
        <w:rPr>
          <w:rFonts w:hint="eastAsia" w:ascii="宋体" w:hAnsi="宋体" w:eastAsia="宋体" w:cs="宋体"/>
          <w:color w:val="auto"/>
          <w:szCs w:val="24"/>
        </w:rPr>
        <w:t>根据《中华人民共和国政府采购法》、《政府采购竞争性磋商采购方式管理暂行办法》等有关法律法规的规定，并结合本项目的实际，按照公正、公平、科学、择优的原则选择成交人，特制定本办法。</w:t>
      </w:r>
    </w:p>
    <w:p>
      <w:pPr>
        <w:pStyle w:val="6"/>
        <w:keepNext w:val="0"/>
        <w:keepLines w:val="0"/>
        <w:pageBreakBefore w:val="0"/>
        <w:widowControl w:val="0"/>
        <w:kinsoku/>
        <w:overflowPunct/>
        <w:topLinePunct w:val="0"/>
        <w:bidi w:val="0"/>
        <w:spacing w:before="120" w:after="120" w:line="480" w:lineRule="exact"/>
        <w:ind w:left="0" w:firstLine="0"/>
        <w:outlineLvl w:val="1"/>
        <w:rPr>
          <w:rFonts w:hint="eastAsia" w:ascii="宋体" w:hAnsi="宋体" w:eastAsia="宋体" w:cs="宋体"/>
          <w:b/>
          <w:bCs/>
          <w:color w:val="auto"/>
          <w:sz w:val="28"/>
          <w:szCs w:val="28"/>
        </w:rPr>
      </w:pPr>
      <w:bookmarkStart w:id="416" w:name="_Toc335664295"/>
      <w:bookmarkStart w:id="417" w:name="_Toc9865"/>
      <w:bookmarkStart w:id="418" w:name="_Toc27639"/>
      <w:bookmarkStart w:id="419" w:name="_Toc28076"/>
      <w:bookmarkStart w:id="420" w:name="_Toc493955998"/>
      <w:bookmarkStart w:id="421" w:name="_Toc26047"/>
      <w:bookmarkStart w:id="422" w:name="_Toc494558393"/>
      <w:bookmarkStart w:id="423" w:name="_Toc335664299"/>
      <w:bookmarkStart w:id="424" w:name="_Toc390938605"/>
      <w:r>
        <w:rPr>
          <w:rFonts w:hint="eastAsia" w:ascii="宋体" w:hAnsi="宋体" w:eastAsia="宋体" w:cs="宋体"/>
          <w:b/>
          <w:bCs/>
          <w:color w:val="auto"/>
          <w:sz w:val="28"/>
          <w:szCs w:val="28"/>
        </w:rPr>
        <w:t>一  总则</w:t>
      </w:r>
      <w:bookmarkEnd w:id="416"/>
      <w:bookmarkEnd w:id="417"/>
      <w:bookmarkEnd w:id="418"/>
      <w:bookmarkEnd w:id="419"/>
      <w:bookmarkEnd w:id="420"/>
      <w:bookmarkEnd w:id="421"/>
      <w:bookmarkEnd w:id="422"/>
    </w:p>
    <w:p>
      <w:pPr>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1.1 为最大限度地保护各当事人的权益，磋商小组应严格按照磋商文件的技术、资信、商务要求，对响应文件进行综合分析评价并编制评标报告。磋商小组成员必须严格遵守保密规定，不得泄漏评审有关的情况，不得索贿受贿，不得参加影响评审的任何活动。</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auto"/>
          <w:sz w:val="24"/>
          <w:highlight w:val="none"/>
        </w:rPr>
      </w:pPr>
      <w:bookmarkStart w:id="425" w:name="_Toc335664296"/>
      <w:bookmarkStart w:id="426" w:name="_Toc494558394"/>
      <w:bookmarkStart w:id="427" w:name="_Toc3484"/>
      <w:bookmarkStart w:id="428" w:name="_Toc493955999"/>
      <w:bookmarkStart w:id="429" w:name="_Toc30682"/>
      <w:r>
        <w:rPr>
          <w:rFonts w:hint="eastAsia" w:ascii="宋体" w:hAnsi="宋体" w:eastAsia="宋体" w:cs="宋体"/>
          <w:b w:val="0"/>
          <w:bCs/>
          <w:color w:val="auto"/>
          <w:sz w:val="24"/>
          <w:szCs w:val="24"/>
          <w:highlight w:val="none"/>
        </w:rPr>
        <w:t>1.2 本次评审方法采取百分制综合评分法，按总得分由高到低顺序排列。总得分相同的，按报价得分由高到低顺序排列；总得分和报价得分均相同的，按技术得分由高到低顺序排列；以上得分均相同的，由采购人抽签确定排名（即第一抽出人为第一名，以此类推）。</w:t>
      </w:r>
      <w:r>
        <w:rPr>
          <w:rFonts w:hint="eastAsia" w:ascii="宋体" w:hAnsi="宋体" w:eastAsia="宋体" w:cs="宋体"/>
          <w:b w:val="0"/>
          <w:bCs/>
          <w:color w:val="auto"/>
          <w:sz w:val="24"/>
          <w:highlight w:val="none"/>
        </w:rPr>
        <w:t>评审委员会按总得分从高到低推荐预中标人，由采购人确定本项目中标人。</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lang w:val="en-US" w:eastAsia="zh-CN"/>
        </w:rPr>
        <w:t xml:space="preserve">1.3 </w:t>
      </w:r>
      <w:r>
        <w:rPr>
          <w:rFonts w:hint="eastAsia" w:ascii="宋体" w:hAnsi="宋体" w:eastAsia="宋体" w:cs="宋体"/>
          <w:b w:val="0"/>
          <w:bCs/>
          <w:color w:val="auto"/>
          <w:sz w:val="24"/>
          <w:highlight w:val="none"/>
        </w:rPr>
        <w:t>本项目共有</w:t>
      </w:r>
      <w:r>
        <w:rPr>
          <w:rFonts w:hint="eastAsia" w:ascii="宋体" w:hAnsi="宋体" w:eastAsia="宋体" w:cs="宋体"/>
          <w:b w:val="0"/>
          <w:bCs/>
          <w:color w:val="auto"/>
          <w:sz w:val="24"/>
          <w:highlight w:val="none"/>
          <w:lang w:eastAsia="zh-CN"/>
        </w:rPr>
        <w:t>三</w:t>
      </w:r>
      <w:r>
        <w:rPr>
          <w:rFonts w:hint="eastAsia" w:ascii="宋体" w:hAnsi="宋体" w:eastAsia="宋体" w:cs="宋体"/>
          <w:b w:val="0"/>
          <w:bCs/>
          <w:color w:val="auto"/>
          <w:sz w:val="24"/>
          <w:highlight w:val="none"/>
        </w:rPr>
        <w:t>个标项，投标人可选择一个或多个标项进行投标</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但只能中一个标项</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中标次序按标项一、标项二</w:t>
      </w:r>
      <w:r>
        <w:rPr>
          <w:rFonts w:hint="eastAsia" w:ascii="宋体" w:hAnsi="宋体" w:eastAsia="宋体" w:cs="宋体"/>
          <w:b w:val="0"/>
          <w:bCs/>
          <w:color w:val="auto"/>
          <w:sz w:val="24"/>
          <w:highlight w:val="none"/>
          <w:lang w:eastAsia="zh-CN"/>
        </w:rPr>
        <w:t>、</w:t>
      </w:r>
      <w:r>
        <w:rPr>
          <w:rFonts w:hint="eastAsia" w:ascii="宋体" w:hAnsi="宋体" w:eastAsia="宋体" w:cs="宋体"/>
          <w:b w:val="0"/>
          <w:bCs/>
          <w:color w:val="auto"/>
          <w:sz w:val="24"/>
          <w:highlight w:val="none"/>
        </w:rPr>
        <w:t>标项</w:t>
      </w:r>
      <w:r>
        <w:rPr>
          <w:rFonts w:hint="eastAsia" w:ascii="宋体" w:hAnsi="宋体" w:eastAsia="宋体" w:cs="宋体"/>
          <w:b w:val="0"/>
          <w:bCs/>
          <w:color w:val="auto"/>
          <w:sz w:val="24"/>
          <w:highlight w:val="none"/>
          <w:lang w:eastAsia="zh-CN"/>
        </w:rPr>
        <w:t>三</w:t>
      </w:r>
      <w:r>
        <w:rPr>
          <w:rFonts w:hint="eastAsia" w:ascii="宋体" w:hAnsi="宋体" w:eastAsia="宋体" w:cs="宋体"/>
          <w:b w:val="0"/>
          <w:bCs/>
          <w:color w:val="auto"/>
          <w:sz w:val="24"/>
          <w:highlight w:val="none"/>
        </w:rPr>
        <w:t>进行确定（如投标人被确定为标项一的第一中标候选人，</w:t>
      </w:r>
      <w:r>
        <w:rPr>
          <w:rFonts w:hint="eastAsia" w:ascii="宋体" w:hAnsi="宋体" w:eastAsia="宋体" w:cs="宋体"/>
          <w:b w:val="0"/>
          <w:bCs/>
          <w:color w:val="auto"/>
          <w:sz w:val="24"/>
          <w:highlight w:val="none"/>
          <w:lang w:eastAsia="zh-CN"/>
        </w:rPr>
        <w:t>则不参加</w:t>
      </w:r>
      <w:r>
        <w:rPr>
          <w:rFonts w:hint="eastAsia" w:ascii="宋体" w:hAnsi="宋体" w:eastAsia="宋体" w:cs="宋体"/>
          <w:b w:val="0"/>
          <w:bCs/>
          <w:color w:val="auto"/>
          <w:sz w:val="24"/>
          <w:highlight w:val="none"/>
        </w:rPr>
        <w:t>标项二</w:t>
      </w:r>
      <w:r>
        <w:rPr>
          <w:rFonts w:hint="eastAsia" w:ascii="宋体" w:hAnsi="宋体" w:eastAsia="宋体" w:cs="宋体"/>
          <w:b w:val="0"/>
          <w:bCs/>
          <w:color w:val="auto"/>
          <w:sz w:val="24"/>
          <w:highlight w:val="none"/>
          <w:lang w:eastAsia="zh-CN"/>
        </w:rPr>
        <w:t>的评审，</w:t>
      </w:r>
      <w:r>
        <w:rPr>
          <w:rFonts w:hint="eastAsia" w:ascii="宋体" w:hAnsi="宋体" w:eastAsia="宋体" w:cs="宋体"/>
          <w:b w:val="0"/>
          <w:bCs/>
          <w:color w:val="auto"/>
          <w:sz w:val="24"/>
          <w:highlight w:val="none"/>
        </w:rPr>
        <w:t>以此类推）</w:t>
      </w:r>
      <w:r>
        <w:rPr>
          <w:rFonts w:hint="eastAsia" w:ascii="宋体" w:hAnsi="宋体" w:eastAsia="宋体" w:cs="宋体"/>
          <w:b w:val="0"/>
          <w:bCs/>
          <w:color w:val="auto"/>
          <w:sz w:val="24"/>
          <w:highlight w:val="none"/>
          <w:lang w:eastAsia="zh-CN"/>
        </w:rPr>
        <w:t>，每标项必须不少于三家（不含已中标）供应商参加磋商，不足3家的，不得开标。</w:t>
      </w:r>
    </w:p>
    <w:p>
      <w:pPr>
        <w:pStyle w:val="6"/>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z w:val="28"/>
          <w:szCs w:val="28"/>
        </w:rPr>
      </w:pPr>
      <w:bookmarkStart w:id="430" w:name="_Toc8997"/>
      <w:r>
        <w:rPr>
          <w:rFonts w:hint="eastAsia" w:ascii="宋体" w:hAnsi="宋体" w:eastAsia="宋体" w:cs="宋体"/>
          <w:b/>
          <w:bCs/>
          <w:color w:val="auto"/>
          <w:sz w:val="28"/>
          <w:szCs w:val="28"/>
        </w:rPr>
        <w:t xml:space="preserve">二   </w:t>
      </w:r>
      <w:bookmarkEnd w:id="425"/>
      <w:r>
        <w:rPr>
          <w:rFonts w:hint="eastAsia" w:ascii="宋体" w:hAnsi="宋体" w:eastAsia="宋体" w:cs="宋体"/>
          <w:b/>
          <w:bCs/>
          <w:color w:val="auto"/>
          <w:sz w:val="28"/>
          <w:szCs w:val="28"/>
        </w:rPr>
        <w:t>磋商小组</w:t>
      </w:r>
      <w:bookmarkEnd w:id="426"/>
      <w:bookmarkEnd w:id="427"/>
      <w:bookmarkEnd w:id="428"/>
      <w:bookmarkEnd w:id="429"/>
      <w:bookmarkEnd w:id="43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1"/>
        <w:rPr>
          <w:rFonts w:hint="eastAsia" w:ascii="宋体" w:hAnsi="宋体" w:eastAsia="宋体" w:cs="宋体"/>
          <w:color w:val="auto"/>
          <w:sz w:val="24"/>
          <w:szCs w:val="24"/>
        </w:rPr>
      </w:pPr>
      <w:bookmarkStart w:id="431" w:name="_Toc7840"/>
      <w:bookmarkStart w:id="432" w:name="_Toc24246"/>
      <w:r>
        <w:rPr>
          <w:rFonts w:hint="eastAsia" w:ascii="宋体" w:hAnsi="宋体" w:eastAsia="宋体" w:cs="宋体"/>
          <w:color w:val="auto"/>
          <w:sz w:val="24"/>
          <w:szCs w:val="24"/>
        </w:rPr>
        <w:t>2.1磋商小组</w:t>
      </w:r>
      <w:bookmarkEnd w:id="431"/>
      <w:bookmarkEnd w:id="432"/>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2.1.1成员：由采购人代表和评审专家组成，其中评审专家人数不得少于磋商小组成员总数的三分之二。除国务院财政部门规定的情形外，评审专家由采购代理机构在政府采购专家库中随机抽取。</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2.1.2职责：严格按政府采购法律法规的有关规定执行，磋商小组成员应按磋商文件规定的评审要求、评审程序、评审内容、评审方法和评审标准进行评审，对评审意见承担个人责任。</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2.2磋商小组成员的评审情况和评审意见受监督人员和采购代理机构审查，如发现磋商小组成员的评审意见带有明显倾向性，或不按规定程序和标准评审、计分的，可要求磋商小组成员进行书面澄清和说明。</w:t>
      </w:r>
    </w:p>
    <w:p>
      <w:pPr>
        <w:pStyle w:val="6"/>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z w:val="28"/>
          <w:szCs w:val="28"/>
        </w:rPr>
      </w:pPr>
      <w:bookmarkStart w:id="433" w:name="_Toc494558395"/>
      <w:bookmarkStart w:id="434" w:name="_Toc5778"/>
      <w:bookmarkStart w:id="435" w:name="_Toc25156"/>
      <w:bookmarkStart w:id="436" w:name="_Toc19589"/>
      <w:r>
        <w:rPr>
          <w:rFonts w:hint="eastAsia" w:ascii="宋体" w:hAnsi="宋体" w:eastAsia="宋体" w:cs="宋体"/>
          <w:b/>
          <w:bCs/>
          <w:color w:val="auto"/>
          <w:sz w:val="28"/>
          <w:szCs w:val="28"/>
        </w:rPr>
        <w:t>三   磋商程序</w:t>
      </w:r>
      <w:bookmarkEnd w:id="433"/>
      <w:bookmarkEnd w:id="434"/>
      <w:bookmarkEnd w:id="435"/>
      <w:bookmarkEnd w:id="436"/>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z w:val="24"/>
          <w:szCs w:val="24"/>
        </w:rPr>
      </w:pPr>
      <w:bookmarkStart w:id="437" w:name="_Toc15754"/>
      <w:bookmarkStart w:id="438" w:name="_Toc17289"/>
      <w:r>
        <w:rPr>
          <w:rFonts w:hint="eastAsia" w:ascii="宋体" w:hAnsi="宋体" w:eastAsia="宋体" w:cs="宋体"/>
          <w:b/>
          <w:color w:val="auto"/>
          <w:sz w:val="24"/>
          <w:szCs w:val="24"/>
        </w:rPr>
        <w:t>3.1 符合性审查</w:t>
      </w:r>
      <w:bookmarkEnd w:id="437"/>
      <w:bookmarkEnd w:id="438"/>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磋商小组会依据磋商文件的规定，从响应文件的有效性、完整性和对磋商文件的响应程度进行审查，以确定是否对磋商文件的实质性要求作出响应。</w:t>
      </w:r>
      <w:r>
        <w:rPr>
          <w:rFonts w:hint="eastAsia" w:ascii="宋体" w:hAnsi="宋体" w:eastAsia="宋体" w:cs="宋体"/>
          <w:color w:val="auto"/>
          <w:sz w:val="24"/>
        </w:rPr>
        <w:t>通过符合性审查不足三家的，除采购任务取消的情形外，按相关规定重新组织采购。</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outlineLvl w:val="1"/>
        <w:rPr>
          <w:rFonts w:hint="eastAsia" w:ascii="宋体" w:hAnsi="宋体" w:eastAsia="宋体" w:cs="宋体"/>
          <w:b/>
          <w:color w:val="auto"/>
          <w:sz w:val="24"/>
          <w:szCs w:val="24"/>
        </w:rPr>
      </w:pPr>
      <w:bookmarkStart w:id="439" w:name="_Toc24203"/>
      <w:bookmarkStart w:id="440" w:name="_Toc30554"/>
      <w:r>
        <w:rPr>
          <w:rFonts w:hint="eastAsia" w:ascii="宋体" w:hAnsi="宋体" w:eastAsia="宋体" w:cs="宋体"/>
          <w:b/>
          <w:color w:val="auto"/>
          <w:sz w:val="24"/>
          <w:szCs w:val="24"/>
        </w:rPr>
        <w:t>3.2 磋商</w:t>
      </w:r>
      <w:bookmarkEnd w:id="439"/>
      <w:bookmarkEnd w:id="440"/>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3.2.1磋商小组对响应文件进行评审，并根据磋商文件规定的程序、评定成交的标准等事项与实质性响应磋商文件要求的供应商进行多轮磋商。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6"/>
          <w:sz w:val="24"/>
          <w:szCs w:val="24"/>
        </w:rPr>
        <w:t>磋商小组按电子交易平台解密后自动生成的“投标（响应）文件签收登记表”名单顺序分别进行磋商（若有演示、讲解内容，演示、讲解顺序同磋商顺序）。磋商小组所有成员应当集中与单一供应商分别进行磋商，并给予所有参加磋商的供应商平等的磋商机会。</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响应文件中含义不明确、同类问题表述不一致或者有明显文字和计算错误的内容，磋商小组应当通过电子交易平台交换数据电文的形式要求供应商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（3）在磋商过程中，磋商小组可以根据磋商文件和磋商情况实质性变动采购需求中的技术、服务要求以及合同条款。实质性变动的内容，须经采购人代表确认。</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对磋商文件作出实质性变动是磋商文件的有效组成部分，磋商小组应当通过电子交易平台交换数据电文的形式同时通知所有参加磋商的供应商。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（4）磋商文件能够详细列明采购标的的技术、服务要求的，磋商结束后，磋商小组应当要求所有继续参加磋商的供应商在规定时间内提交最终报价。</w:t>
      </w:r>
    </w:p>
    <w:p>
      <w:pPr>
        <w:keepNext w:val="0"/>
        <w:keepLines w:val="0"/>
        <w:pageBreakBefore w:val="0"/>
        <w:widowControl w:val="0"/>
        <w:tabs>
          <w:tab w:val="left" w:pos="6870"/>
        </w:tabs>
        <w:kinsoku/>
        <w:wordWrap/>
        <w:overflowPunct/>
        <w:topLinePunct w:val="0"/>
        <w:autoSpaceDE/>
        <w:autoSpaceDN/>
        <w:bidi w:val="0"/>
        <w:adjustRightInd/>
        <w:snapToGrid/>
        <w:spacing w:line="480" w:lineRule="exact"/>
        <w:ind w:firstLine="482" w:firstLineChars="200"/>
        <w:textAlignment w:val="auto"/>
        <w:outlineLvl w:val="2"/>
        <w:rPr>
          <w:rFonts w:hint="eastAsia" w:ascii="宋体" w:hAnsi="宋体" w:eastAsia="宋体" w:cs="宋体"/>
          <w:b/>
          <w:color w:val="auto"/>
          <w:sz w:val="24"/>
          <w:szCs w:val="24"/>
        </w:rPr>
      </w:pPr>
      <w:bookmarkStart w:id="441" w:name="_Toc17085"/>
      <w:r>
        <w:rPr>
          <w:rFonts w:hint="eastAsia" w:ascii="宋体" w:hAnsi="宋体" w:eastAsia="宋体" w:cs="宋体"/>
          <w:b/>
          <w:color w:val="auto"/>
          <w:sz w:val="24"/>
          <w:szCs w:val="24"/>
        </w:rPr>
        <w:t>3.2.2 磋商注意事项</w:t>
      </w:r>
      <w:bookmarkEnd w:id="441"/>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szCs w:val="24"/>
        </w:rPr>
      </w:pPr>
      <w:r>
        <w:rPr>
          <w:rFonts w:hint="eastAsia" w:ascii="宋体" w:hAnsi="宋体" w:eastAsia="宋体" w:cs="宋体"/>
          <w:color w:val="auto"/>
          <w:sz w:val="24"/>
          <w:szCs w:val="24"/>
        </w:rPr>
        <w:t>（1）磋商时，参与磋商的供应商应派代表应在线参加磋商。参与磋商的供应商人员应及时解释和澄清磋商响应文件相关内容，通过电子交易平台交换数据电文的形式重新做出承诺并签署确定。后一轮磋商的价格、服务承诺及优惠条件等必须优于或等于前一轮磋商的价格、服务承诺及优惠条件等。</w:t>
      </w:r>
      <w:r>
        <w:rPr>
          <w:rFonts w:hint="eastAsia" w:ascii="宋体" w:hAnsi="宋体" w:eastAsia="宋体" w:cs="宋体"/>
          <w:b/>
          <w:bCs/>
          <w:color w:val="auto"/>
          <w:sz w:val="24"/>
          <w:szCs w:val="24"/>
        </w:rPr>
        <w:t>如磋商只要求对总价进行报价的，各分项报价以总价按前一轮报价下浮比例下浮。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明显低于其他通过符合性审查供应商的报价，有可能影响产品质量或者不能诚信履约的，应当要求其在磋商现场合理的时间内通过电子交易平台交换数据电文的形式提供说明，必要时提交相关证明材料；供应商不能证明其报价合理性的，磋商小组应当将其作为无效标处理。</w:t>
      </w:r>
    </w:p>
    <w:p>
      <w:pPr>
        <w:keepNext w:val="0"/>
        <w:keepLines w:val="0"/>
        <w:pageBreakBefore w:val="0"/>
        <w:widowControl w:val="0"/>
        <w:kinsoku/>
        <w:wordWrap/>
        <w:overflowPunct/>
        <w:topLinePunct w:val="0"/>
        <w:autoSpaceDE/>
        <w:autoSpaceDN/>
        <w:bidi w:val="0"/>
        <w:adjustRightInd/>
        <w:snapToGrid/>
        <w:spacing w:line="480" w:lineRule="exact"/>
        <w:ind w:firstLine="456"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出席磋商的有关人员：监督人员、磋商小组成员和采购代理机构工作人员；监督人员负责现场监督。参与磋商的供应商的所有响应文件(包括每次报价及重新承诺)规定截至时间前由代理机构工作人员进行接收，任何参与磋商的个人均不得私自拆封。磋商小组负责本次项目所有磋商任务，包括全程磋商、推荐成交候选人、填写评审报告等。</w:t>
      </w:r>
    </w:p>
    <w:p>
      <w:pPr>
        <w:keepNext w:val="0"/>
        <w:keepLines w:val="0"/>
        <w:pageBreakBefore w:val="0"/>
        <w:widowControl w:val="0"/>
        <w:tabs>
          <w:tab w:val="left" w:pos="6870"/>
        </w:tabs>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rPr>
      </w:pPr>
      <w:bookmarkStart w:id="442" w:name="_Toc23292"/>
      <w:bookmarkStart w:id="443" w:name="_Toc22464"/>
      <w:r>
        <w:rPr>
          <w:rFonts w:hint="eastAsia" w:ascii="宋体" w:hAnsi="宋体" w:eastAsia="宋体" w:cs="宋体"/>
          <w:b/>
          <w:color w:val="auto"/>
          <w:sz w:val="24"/>
          <w:szCs w:val="24"/>
        </w:rPr>
        <w:t>3.3 评审</w:t>
      </w:r>
      <w:bookmarkEnd w:id="442"/>
      <w:bookmarkEnd w:id="443"/>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3.3.1磋商小组采用综合评分法对确定作出最终报价的供应商的响应文件进行综合评分。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（1）磋商小组依据磋商文件的规定，对各供应商的资信商务部分进行评审，对客观分应统一意见后统一给分。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磋商小组依据磋商文件的规定，对各供应商的技术部分进行独立评审。对各响应文件进行比较和必要的澄清，若有演示、样品要求和技术文件评审同步进行，演示顺序为电子交易平台解密后自动生成的“投标（响应）文件签收登记表”名单顺序，并根据审查、澄清、演示、样品等情况结合评审办法进行独立打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（3）各供应商的资信商务及技术得分，为各磋商小组成员对该供应商的评分汇总后的算术平均数。</w:t>
      </w:r>
    </w:p>
    <w:p>
      <w:pPr>
        <w:keepNext w:val="0"/>
        <w:keepLines w:val="0"/>
        <w:pageBreakBefore w:val="0"/>
        <w:widowControl w:val="0"/>
        <w:tabs>
          <w:tab w:val="left" w:pos="6870"/>
        </w:tabs>
        <w:kinsoku/>
        <w:wordWrap/>
        <w:overflowPunct/>
        <w:topLinePunct w:val="0"/>
        <w:autoSpaceDE/>
        <w:autoSpaceDN/>
        <w:bidi w:val="0"/>
        <w:adjustRightInd/>
        <w:snapToGrid/>
        <w:spacing w:line="460" w:lineRule="exact"/>
        <w:ind w:firstLine="482" w:firstLineChars="200"/>
        <w:textAlignment w:val="auto"/>
        <w:outlineLvl w:val="2"/>
        <w:rPr>
          <w:rFonts w:hint="eastAsia" w:ascii="宋体" w:hAnsi="宋体" w:eastAsia="宋体" w:cs="宋体"/>
          <w:b/>
          <w:color w:val="auto"/>
          <w:sz w:val="24"/>
          <w:szCs w:val="24"/>
        </w:rPr>
      </w:pPr>
      <w:bookmarkStart w:id="444" w:name="_Toc28711"/>
      <w:r>
        <w:rPr>
          <w:rFonts w:hint="eastAsia" w:ascii="宋体" w:hAnsi="宋体" w:eastAsia="宋体" w:cs="宋体"/>
          <w:b/>
          <w:color w:val="auto"/>
          <w:sz w:val="24"/>
          <w:szCs w:val="24"/>
        </w:rPr>
        <w:t>3.3.2 报价文件评审</w:t>
      </w:r>
      <w:bookmarkEnd w:id="444"/>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（1）供应商提交最终报价。</w:t>
      </w:r>
    </w:p>
    <w:p>
      <w:pPr>
        <w:keepNext w:val="0"/>
        <w:keepLines w:val="0"/>
        <w:pageBreakBefore w:val="0"/>
        <w:widowControl w:val="0"/>
        <w:kinsoku/>
        <w:wordWrap/>
        <w:overflowPunct/>
        <w:topLinePunct w:val="0"/>
        <w:autoSpaceDE/>
        <w:autoSpaceDN/>
        <w:bidi w:val="0"/>
        <w:adjustRightInd/>
        <w:snapToGrid/>
        <w:spacing w:line="460" w:lineRule="exact"/>
        <w:ind w:firstLine="456" w:firstLineChars="200"/>
        <w:textAlignment w:val="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（2）代理机构通过电子交易平台同时公布各供应商最终报价和资信商务及技术得分。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（3）磋商小组依据磋商文件的规定，对各供应商的最终报价的合理性进行审查，必要时可要求供应商对其报价做出澄清、说明。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（4）政府政策优惠扣除；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（5）报价修正；</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（6）磋商小组根据供应商的报价和评审标准，计算各供应商的报价得分。</w:t>
      </w:r>
    </w:p>
    <w:p>
      <w:pPr>
        <w:keepNext w:val="0"/>
        <w:keepLines w:val="0"/>
        <w:pageBreakBefore w:val="0"/>
        <w:widowControl w:val="0"/>
        <w:tabs>
          <w:tab w:val="left" w:pos="6870"/>
        </w:tabs>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b/>
          <w:color w:val="auto"/>
          <w:sz w:val="24"/>
          <w:szCs w:val="24"/>
        </w:rPr>
      </w:pPr>
      <w:bookmarkStart w:id="445" w:name="_Toc32061"/>
      <w:bookmarkStart w:id="446" w:name="_Toc10704"/>
      <w:r>
        <w:rPr>
          <w:rFonts w:hint="eastAsia" w:ascii="宋体" w:hAnsi="宋体" w:eastAsia="宋体" w:cs="宋体"/>
          <w:b/>
          <w:color w:val="auto"/>
          <w:sz w:val="24"/>
          <w:szCs w:val="24"/>
        </w:rPr>
        <w:t>3.4 评审结果</w:t>
      </w:r>
      <w:bookmarkEnd w:id="445"/>
      <w:bookmarkEnd w:id="446"/>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3.4.1 评审结果汇总，供应商结果排序；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3.4.2 起草评审报告，确定成交候选人；</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outlineLvl w:val="1"/>
        <w:rPr>
          <w:rFonts w:hint="eastAsia" w:ascii="宋体" w:hAnsi="宋体" w:eastAsia="宋体" w:cs="宋体"/>
          <w:color w:val="auto"/>
          <w:sz w:val="24"/>
        </w:rPr>
      </w:pPr>
      <w:bookmarkStart w:id="447" w:name="_Toc28148"/>
      <w:bookmarkStart w:id="448" w:name="_Toc6313"/>
      <w:r>
        <w:rPr>
          <w:rFonts w:hint="eastAsia" w:ascii="宋体" w:hAnsi="宋体" w:eastAsia="宋体" w:cs="宋体"/>
          <w:b/>
          <w:color w:val="auto"/>
          <w:sz w:val="24"/>
        </w:rPr>
        <w:t>3.5 结果公布。</w:t>
      </w:r>
      <w:bookmarkEnd w:id="447"/>
      <w:bookmarkEnd w:id="448"/>
    </w:p>
    <w:p>
      <w:pPr>
        <w:pStyle w:val="6"/>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z w:val="28"/>
          <w:szCs w:val="28"/>
        </w:rPr>
      </w:pPr>
      <w:bookmarkStart w:id="449" w:name="_Toc6802"/>
      <w:bookmarkStart w:id="450" w:name="_Toc21186"/>
      <w:bookmarkStart w:id="451" w:name="_Toc19279"/>
      <w:r>
        <w:rPr>
          <w:rFonts w:hint="eastAsia" w:ascii="宋体" w:hAnsi="宋体" w:eastAsia="宋体" w:cs="宋体"/>
          <w:b/>
          <w:bCs/>
          <w:color w:val="auto"/>
          <w:sz w:val="28"/>
          <w:szCs w:val="28"/>
        </w:rPr>
        <w:t xml:space="preserve">四   </w:t>
      </w:r>
      <w:bookmarkEnd w:id="423"/>
      <w:r>
        <w:rPr>
          <w:rFonts w:hint="eastAsia" w:ascii="宋体" w:hAnsi="宋体" w:eastAsia="宋体" w:cs="宋体"/>
          <w:b/>
          <w:bCs/>
          <w:color w:val="auto"/>
          <w:sz w:val="28"/>
          <w:szCs w:val="28"/>
        </w:rPr>
        <w:t>磋商内容及规定</w:t>
      </w:r>
      <w:bookmarkEnd w:id="424"/>
      <w:bookmarkEnd w:id="449"/>
      <w:bookmarkEnd w:id="450"/>
      <w:bookmarkEnd w:id="451"/>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auto"/>
          <w:sz w:val="24"/>
          <w:szCs w:val="24"/>
        </w:rPr>
      </w:pPr>
      <w:bookmarkStart w:id="452" w:name="_Toc31438"/>
      <w:bookmarkStart w:id="453" w:name="_Toc32187"/>
      <w:r>
        <w:rPr>
          <w:rFonts w:hint="eastAsia" w:ascii="宋体" w:hAnsi="宋体" w:eastAsia="宋体" w:cs="宋体"/>
          <w:color w:val="auto"/>
          <w:sz w:val="24"/>
          <w:szCs w:val="24"/>
        </w:rPr>
        <w:t>4.1本评审办法采用综合评分法，总分100分。</w:t>
      </w:r>
      <w:bookmarkEnd w:id="452"/>
      <w:bookmarkEnd w:id="453"/>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4.2资信商务及技术分的权重为</w:t>
      </w:r>
      <w:r>
        <w:rPr>
          <w:rFonts w:hint="eastAsia" w:ascii="宋体" w:hAnsi="宋体" w:eastAsia="宋体" w:cs="宋体"/>
          <w:color w:val="auto"/>
          <w:sz w:val="24"/>
          <w:szCs w:val="24"/>
          <w:u w:val="single"/>
          <w:lang w:val="en-US" w:eastAsia="zh-CN"/>
        </w:rPr>
        <w:t>90</w:t>
      </w:r>
      <w:r>
        <w:rPr>
          <w:rFonts w:hint="eastAsia" w:ascii="宋体" w:hAnsi="宋体" w:eastAsia="宋体" w:cs="宋体"/>
          <w:color w:val="auto"/>
          <w:sz w:val="24"/>
          <w:szCs w:val="24"/>
        </w:rPr>
        <w:t>%，评审分值为</w:t>
      </w:r>
      <w:r>
        <w:rPr>
          <w:rFonts w:hint="eastAsia" w:ascii="宋体" w:hAnsi="宋体" w:eastAsia="宋体" w:cs="宋体"/>
          <w:color w:val="auto"/>
          <w:sz w:val="24"/>
          <w:szCs w:val="24"/>
          <w:u w:val="single"/>
          <w:lang w:val="en-US" w:eastAsia="zh-CN"/>
        </w:rPr>
        <w:t>90</w:t>
      </w:r>
      <w:r>
        <w:rPr>
          <w:rFonts w:hint="eastAsia" w:ascii="宋体" w:hAnsi="宋体" w:eastAsia="宋体" w:cs="宋体"/>
          <w:color w:val="auto"/>
          <w:sz w:val="24"/>
          <w:szCs w:val="24"/>
        </w:rPr>
        <w:t>分。磋商小组对各投标人的资信商务及技术文件经充分审核，讨论后，其中客观部分（即资信商务部分）应统一意见后统一给分，其他部分（即技术部分）由磋商小组对各磋商文件的技术部分经充分审核后单独评定打分。如果某个单项的打分超过所规定的分值范围，则该张打分表无效。</w:t>
      </w:r>
    </w:p>
    <w:p>
      <w:pPr>
        <w:pStyle w:val="23"/>
        <w:keepNext w:val="0"/>
        <w:keepLines w:val="0"/>
        <w:pageBreakBefore w:val="0"/>
        <w:widowControl w:val="0"/>
        <w:kinsoku/>
        <w:overflowPunct/>
        <w:topLinePunct w:val="0"/>
        <w:autoSpaceDE/>
        <w:autoSpaceDN/>
        <w:bidi w:val="0"/>
        <w:adjustRightInd/>
        <w:snapToGrid/>
        <w:spacing w:line="440" w:lineRule="exact"/>
        <w:ind w:left="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各磋商供应商的资信商务及技术得分为各磋商小组对该投标人的评审得分结果汇总后的算术平均值。</w:t>
      </w:r>
    </w:p>
    <w:p>
      <w:pPr>
        <w:pStyle w:val="23"/>
        <w:keepNext w:val="0"/>
        <w:keepLines w:val="0"/>
        <w:pageBreakBefore w:val="0"/>
        <w:widowControl w:val="0"/>
        <w:kinsoku/>
        <w:overflowPunct/>
        <w:topLinePunct w:val="0"/>
        <w:autoSpaceDE/>
        <w:autoSpaceDN/>
        <w:bidi w:val="0"/>
        <w:adjustRightInd/>
        <w:snapToGrid/>
        <w:spacing w:line="440" w:lineRule="exact"/>
        <w:ind w:left="0" w:firstLineChars="200"/>
        <w:textAlignment w:val="auto"/>
        <w:rPr>
          <w:rFonts w:hint="eastAsia" w:ascii="宋体" w:hAnsi="宋体" w:eastAsia="宋体" w:cs="宋体"/>
          <w:color w:val="auto"/>
          <w:szCs w:val="24"/>
        </w:rPr>
      </w:pPr>
      <w:r>
        <w:rPr>
          <w:rFonts w:hint="eastAsia" w:ascii="宋体" w:hAnsi="宋体" w:eastAsia="宋体" w:cs="宋体"/>
          <w:color w:val="auto"/>
          <w:szCs w:val="24"/>
        </w:rPr>
        <w:t>4.3磋商报价分的权重为</w:t>
      </w:r>
      <w:r>
        <w:rPr>
          <w:rFonts w:hint="eastAsia" w:ascii="宋体" w:hAnsi="宋体" w:eastAsia="宋体" w:cs="宋体"/>
          <w:color w:val="auto"/>
          <w:szCs w:val="24"/>
          <w:u w:val="single"/>
          <w:lang w:val="en-US" w:eastAsia="zh-CN"/>
        </w:rPr>
        <w:t>10</w:t>
      </w:r>
      <w:r>
        <w:rPr>
          <w:rFonts w:hint="eastAsia" w:ascii="宋体" w:hAnsi="宋体" w:eastAsia="宋体" w:cs="宋体"/>
          <w:color w:val="auto"/>
          <w:szCs w:val="24"/>
        </w:rPr>
        <w:t>%，评审分值为</w:t>
      </w:r>
      <w:r>
        <w:rPr>
          <w:rFonts w:hint="eastAsia" w:ascii="宋体" w:hAnsi="宋体" w:eastAsia="宋体" w:cs="宋体"/>
          <w:color w:val="auto"/>
          <w:szCs w:val="24"/>
          <w:lang w:val="en-US" w:eastAsia="zh-CN"/>
        </w:rPr>
        <w:t>10</w:t>
      </w:r>
      <w:r>
        <w:rPr>
          <w:rFonts w:hint="eastAsia" w:ascii="宋体" w:hAnsi="宋体" w:eastAsia="宋体" w:cs="宋体"/>
          <w:color w:val="auto"/>
          <w:szCs w:val="24"/>
        </w:rPr>
        <w:t>分，由磋商小组按各磋商供应商的最终磋商报价统一计算。</w:t>
      </w:r>
    </w:p>
    <w:p>
      <w:pPr>
        <w:keepNext w:val="0"/>
        <w:keepLines w:val="0"/>
        <w:pageBreakBefore w:val="0"/>
        <w:widowControl w:val="0"/>
        <w:kinsoku/>
        <w:overflowPunct/>
        <w:topLinePunct w:val="0"/>
        <w:autoSpaceDE/>
        <w:autoSpaceDN/>
        <w:bidi w:val="0"/>
        <w:adjustRightInd/>
        <w:snapToGrid/>
        <w:spacing w:line="440" w:lineRule="exact"/>
        <w:ind w:firstLine="480" w:firstLineChars="200"/>
        <w:textAlignment w:val="auto"/>
        <w:outlineLvl w:val="1"/>
        <w:rPr>
          <w:rFonts w:hint="eastAsia" w:ascii="宋体" w:hAnsi="宋体" w:eastAsia="宋体" w:cs="宋体"/>
          <w:color w:val="auto"/>
          <w:sz w:val="24"/>
          <w:szCs w:val="24"/>
        </w:rPr>
      </w:pPr>
      <w:bookmarkStart w:id="454" w:name="_Toc18160"/>
      <w:bookmarkStart w:id="455" w:name="_Toc28562"/>
      <w:r>
        <w:rPr>
          <w:rFonts w:hint="eastAsia" w:ascii="宋体" w:hAnsi="宋体" w:eastAsia="宋体" w:cs="宋体"/>
          <w:color w:val="auto"/>
          <w:sz w:val="24"/>
          <w:szCs w:val="24"/>
        </w:rPr>
        <w:t>4.4磋商小组在规定的分值范围内打分，评分保留</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位小数</w:t>
      </w:r>
      <w:bookmarkEnd w:id="454"/>
      <w:bookmarkEnd w:id="455"/>
    </w:p>
    <w:p>
      <w:pPr>
        <w:pStyle w:val="6"/>
        <w:keepNext w:val="0"/>
        <w:keepLines w:val="0"/>
        <w:pageBreakBefore w:val="0"/>
        <w:widowControl w:val="0"/>
        <w:kinsoku/>
        <w:overflowPunct/>
        <w:topLinePunct w:val="0"/>
        <w:bidi w:val="0"/>
        <w:spacing w:before="120" w:after="120" w:line="480" w:lineRule="exact"/>
        <w:ind w:left="0" w:firstLine="0"/>
        <w:rPr>
          <w:rFonts w:hint="eastAsia" w:ascii="宋体" w:hAnsi="宋体" w:eastAsia="宋体" w:cs="宋体"/>
          <w:b/>
          <w:bCs/>
          <w:color w:val="auto"/>
          <w:sz w:val="28"/>
          <w:szCs w:val="28"/>
          <w:lang w:val="en-US" w:eastAsia="zh-CN"/>
        </w:rPr>
      </w:pPr>
      <w:bookmarkStart w:id="456" w:name="_Toc31810"/>
      <w:bookmarkStart w:id="457" w:name="_Toc26204"/>
      <w:bookmarkStart w:id="458" w:name="_Toc1579"/>
      <w:bookmarkStart w:id="459" w:name="_Toc335664301"/>
      <w:bookmarkStart w:id="460" w:name="_Toc390938606"/>
      <w:r>
        <w:rPr>
          <w:rFonts w:hint="eastAsia" w:ascii="宋体" w:hAnsi="宋体" w:eastAsia="宋体" w:cs="宋体"/>
          <w:b/>
          <w:bCs/>
          <w:color w:val="auto"/>
          <w:sz w:val="28"/>
          <w:szCs w:val="28"/>
        </w:rPr>
        <w:t>五   评标办法和细则</w:t>
      </w:r>
      <w:bookmarkEnd w:id="456"/>
      <w:bookmarkEnd w:id="457"/>
      <w:r>
        <w:rPr>
          <w:rFonts w:hint="eastAsia" w:ascii="宋体" w:hAnsi="宋体" w:eastAsia="宋体" w:cs="宋体"/>
          <w:b/>
          <w:bCs/>
          <w:color w:val="auto"/>
          <w:sz w:val="28"/>
          <w:szCs w:val="28"/>
          <w:lang w:eastAsia="zh-CN"/>
        </w:rPr>
        <w:t>（标项一</w:t>
      </w:r>
      <w:r>
        <w:rPr>
          <w:rFonts w:hint="eastAsia" w:ascii="宋体" w:hAnsi="宋体" w:eastAsia="宋体" w:cs="宋体"/>
          <w:b/>
          <w:bCs/>
          <w:color w:val="auto"/>
          <w:sz w:val="28"/>
          <w:szCs w:val="28"/>
          <w:lang w:val="en-US" w:eastAsia="zh-CN"/>
        </w:rPr>
        <w:t>/标项二/标项三）</w:t>
      </w:r>
      <w:bookmarkEnd w:id="458"/>
    </w:p>
    <w:p>
      <w:pPr>
        <w:keepNext w:val="0"/>
        <w:keepLines w:val="0"/>
        <w:pageBreakBefore w:val="0"/>
        <w:widowControl w:val="0"/>
        <w:kinsoku/>
        <w:overflowPunct/>
        <w:topLinePunct w:val="0"/>
        <w:bidi w:val="0"/>
        <w:spacing w:line="360" w:lineRule="auto"/>
        <w:ind w:left="808" w:leftChars="228" w:hanging="329" w:hangingChars="149"/>
        <w:jc w:val="left"/>
        <w:outlineLvl w:val="1"/>
        <w:rPr>
          <w:rFonts w:hint="eastAsia" w:ascii="宋体" w:hAnsi="宋体" w:eastAsia="宋体" w:cs="宋体"/>
          <w:b/>
          <w:bCs/>
          <w:color w:val="auto"/>
          <w:sz w:val="22"/>
          <w:szCs w:val="22"/>
        </w:rPr>
      </w:pPr>
      <w:bookmarkStart w:id="461" w:name="_Toc7018"/>
      <w:bookmarkStart w:id="462" w:name="_Toc10164"/>
      <w:r>
        <w:rPr>
          <w:rFonts w:hint="eastAsia" w:ascii="宋体" w:hAnsi="宋体" w:eastAsia="宋体" w:cs="宋体"/>
          <w:b/>
          <w:color w:val="auto"/>
          <w:sz w:val="22"/>
          <w:szCs w:val="22"/>
        </w:rPr>
        <w:t>5.1</w:t>
      </w:r>
      <w:r>
        <w:rPr>
          <w:rFonts w:hint="eastAsia" w:ascii="宋体" w:hAnsi="宋体" w:eastAsia="宋体" w:cs="宋体"/>
          <w:b/>
          <w:color w:val="auto"/>
          <w:sz w:val="22"/>
          <w:szCs w:val="22"/>
          <w:lang w:eastAsia="zh-CN"/>
        </w:rPr>
        <w:t>资信</w:t>
      </w:r>
      <w:r>
        <w:rPr>
          <w:rFonts w:hint="eastAsia" w:ascii="宋体" w:hAnsi="宋体" w:eastAsia="宋体" w:cs="宋体"/>
          <w:b/>
          <w:bCs/>
          <w:color w:val="auto"/>
          <w:sz w:val="22"/>
          <w:szCs w:val="22"/>
        </w:rPr>
        <w:t>商务</w:t>
      </w:r>
      <w:r>
        <w:rPr>
          <w:rFonts w:hint="eastAsia" w:ascii="宋体" w:hAnsi="宋体" w:eastAsia="宋体" w:cs="宋体"/>
          <w:b/>
          <w:bCs/>
          <w:color w:val="auto"/>
          <w:sz w:val="22"/>
          <w:szCs w:val="22"/>
          <w:lang w:eastAsia="zh-CN"/>
        </w:rPr>
        <w:t>及</w:t>
      </w:r>
      <w:r>
        <w:rPr>
          <w:rFonts w:hint="eastAsia" w:ascii="宋体" w:hAnsi="宋体" w:eastAsia="宋体" w:cs="宋体"/>
          <w:b/>
          <w:bCs/>
          <w:color w:val="auto"/>
          <w:sz w:val="22"/>
          <w:szCs w:val="22"/>
        </w:rPr>
        <w:t>技术文件得分为90分，权重为90%。</w:t>
      </w:r>
      <w:bookmarkEnd w:id="461"/>
      <w:bookmarkEnd w:id="462"/>
    </w:p>
    <w:p>
      <w:pPr>
        <w:keepNext w:val="0"/>
        <w:keepLines w:val="0"/>
        <w:pageBreakBefore w:val="0"/>
        <w:widowControl w:val="0"/>
        <w:kinsoku/>
        <w:overflowPunct/>
        <w:topLinePunct w:val="0"/>
        <w:bidi w:val="0"/>
        <w:spacing w:line="360" w:lineRule="auto"/>
        <w:ind w:left="838" w:leftChars="228" w:hanging="359" w:hangingChars="149"/>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5.1.1</w:t>
      </w:r>
      <w:r>
        <w:rPr>
          <w:rFonts w:hint="eastAsia" w:ascii="宋体" w:hAnsi="宋体" w:eastAsia="宋体" w:cs="宋体"/>
          <w:b/>
          <w:color w:val="auto"/>
          <w:sz w:val="22"/>
          <w:szCs w:val="22"/>
          <w:lang w:eastAsia="zh-CN"/>
        </w:rPr>
        <w:t>资信</w:t>
      </w:r>
      <w:r>
        <w:rPr>
          <w:rFonts w:hint="eastAsia" w:ascii="宋体" w:hAnsi="宋体" w:eastAsia="宋体" w:cs="宋体"/>
          <w:b/>
          <w:bCs/>
          <w:color w:val="auto"/>
          <w:sz w:val="22"/>
          <w:szCs w:val="22"/>
        </w:rPr>
        <w:t>商务</w:t>
      </w:r>
      <w:r>
        <w:rPr>
          <w:rFonts w:hint="eastAsia" w:ascii="宋体" w:hAnsi="宋体" w:eastAsia="宋体" w:cs="宋体"/>
          <w:b/>
          <w:color w:val="auto"/>
          <w:sz w:val="22"/>
          <w:szCs w:val="22"/>
        </w:rPr>
        <w:t>共</w:t>
      </w:r>
      <w:r>
        <w:rPr>
          <w:rFonts w:hint="eastAsia" w:ascii="宋体" w:hAnsi="宋体" w:eastAsia="宋体" w:cs="宋体"/>
          <w:b/>
          <w:color w:val="auto"/>
          <w:sz w:val="22"/>
          <w:szCs w:val="22"/>
          <w:lang w:val="en-US" w:eastAsia="zh-CN"/>
        </w:rPr>
        <w:t>5</w:t>
      </w:r>
      <w:r>
        <w:rPr>
          <w:rFonts w:hint="eastAsia" w:ascii="宋体" w:hAnsi="宋体" w:eastAsia="宋体" w:cs="宋体"/>
          <w:b/>
          <w:color w:val="auto"/>
          <w:sz w:val="22"/>
          <w:szCs w:val="22"/>
        </w:rPr>
        <w:t>分，权重为</w:t>
      </w:r>
      <w:r>
        <w:rPr>
          <w:rFonts w:hint="eastAsia" w:ascii="宋体" w:hAnsi="宋体" w:eastAsia="宋体" w:cs="宋体"/>
          <w:b/>
          <w:color w:val="auto"/>
          <w:sz w:val="22"/>
          <w:szCs w:val="22"/>
          <w:lang w:val="en-US" w:eastAsia="zh-CN"/>
        </w:rPr>
        <w:t>5</w:t>
      </w:r>
      <w:r>
        <w:rPr>
          <w:rFonts w:hint="eastAsia" w:ascii="宋体" w:hAnsi="宋体" w:eastAsia="宋体" w:cs="宋体"/>
          <w:b/>
          <w:color w:val="auto"/>
          <w:sz w:val="22"/>
          <w:szCs w:val="22"/>
        </w:rPr>
        <w:t>%，由磋商小组成员</w:t>
      </w:r>
      <w:r>
        <w:rPr>
          <w:rFonts w:hint="eastAsia" w:ascii="宋体" w:hAnsi="宋体" w:eastAsia="宋体" w:cs="宋体"/>
          <w:b/>
          <w:color w:val="auto"/>
          <w:sz w:val="22"/>
          <w:szCs w:val="22"/>
          <w:lang w:eastAsia="zh-CN"/>
        </w:rPr>
        <w:t>统一打分</w:t>
      </w:r>
      <w:r>
        <w:rPr>
          <w:rFonts w:hint="eastAsia" w:ascii="宋体" w:hAnsi="宋体" w:eastAsia="宋体" w:cs="宋体"/>
          <w:b/>
          <w:color w:val="auto"/>
          <w:sz w:val="22"/>
          <w:szCs w:val="22"/>
        </w:rPr>
        <w:t>。</w:t>
      </w:r>
    </w:p>
    <w:tbl>
      <w:tblPr>
        <w:tblStyle w:val="35"/>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933"/>
        <w:gridCol w:w="6995"/>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682"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序号</w:t>
            </w:r>
          </w:p>
        </w:tc>
        <w:tc>
          <w:tcPr>
            <w:tcW w:w="93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w:t>
            </w:r>
          </w:p>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因素</w:t>
            </w:r>
          </w:p>
        </w:tc>
        <w:tc>
          <w:tcPr>
            <w:tcW w:w="6995"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评分细则</w:t>
            </w:r>
          </w:p>
        </w:tc>
        <w:tc>
          <w:tcPr>
            <w:tcW w:w="718"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bCs/>
                <w:color w:val="auto"/>
                <w:sz w:val="22"/>
                <w:szCs w:val="22"/>
                <w:lang w:eastAsia="zh-CN"/>
              </w:rPr>
            </w:pPr>
            <w:r>
              <w:rPr>
                <w:rFonts w:hint="eastAsia" w:ascii="宋体" w:hAnsi="宋体" w:eastAsia="宋体" w:cs="宋体"/>
                <w:b/>
                <w:bCs/>
                <w:color w:val="auto"/>
                <w:sz w:val="22"/>
                <w:szCs w:val="22"/>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2"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w:t>
            </w:r>
          </w:p>
        </w:tc>
        <w:tc>
          <w:tcPr>
            <w:tcW w:w="933"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sz w:val="22"/>
                <w:szCs w:val="22"/>
              </w:rPr>
              <w:t>类似项目业绩</w:t>
            </w:r>
          </w:p>
        </w:tc>
        <w:tc>
          <w:tcPr>
            <w:tcW w:w="6995" w:type="dxa"/>
            <w:vAlign w:val="center"/>
          </w:tcPr>
          <w:p>
            <w:pPr>
              <w:autoSpaceDE w:val="0"/>
              <w:autoSpaceDN w:val="0"/>
              <w:adjustRightInd w:val="0"/>
              <w:jc w:val="left"/>
              <w:rPr>
                <w:rFonts w:hint="eastAsia" w:ascii="宋体" w:hAnsi="宋体" w:eastAsia="宋体" w:cs="宋体"/>
                <w:color w:val="auto"/>
                <w:sz w:val="22"/>
                <w:szCs w:val="21"/>
              </w:rPr>
            </w:pPr>
            <w:r>
              <w:rPr>
                <w:rFonts w:hint="eastAsia" w:ascii="宋体" w:hAnsi="宋体" w:eastAsia="宋体" w:cs="宋体"/>
                <w:color w:val="auto"/>
                <w:sz w:val="24"/>
              </w:rPr>
              <w:t>2</w:t>
            </w:r>
            <w:r>
              <w:rPr>
                <w:rFonts w:hint="eastAsia" w:ascii="宋体" w:hAnsi="宋体" w:eastAsia="宋体" w:cs="宋体"/>
                <w:color w:val="auto"/>
                <w:sz w:val="22"/>
                <w:szCs w:val="21"/>
              </w:rPr>
              <w:t>01</w:t>
            </w:r>
            <w:r>
              <w:rPr>
                <w:rFonts w:hint="eastAsia" w:ascii="宋体" w:hAnsi="宋体" w:eastAsia="宋体" w:cs="宋体"/>
                <w:color w:val="auto"/>
                <w:sz w:val="22"/>
                <w:szCs w:val="21"/>
                <w:lang w:val="en-US" w:eastAsia="zh-CN"/>
              </w:rPr>
              <w:t>9</w:t>
            </w:r>
            <w:r>
              <w:rPr>
                <w:rFonts w:hint="eastAsia" w:ascii="宋体" w:hAnsi="宋体" w:eastAsia="宋体" w:cs="宋体"/>
                <w:color w:val="auto"/>
                <w:sz w:val="22"/>
                <w:szCs w:val="21"/>
              </w:rPr>
              <w:t>年1月1日起至投标截止时间止（以合同签定时间为准）</w:t>
            </w:r>
            <w:r>
              <w:rPr>
                <w:rFonts w:hint="eastAsia" w:ascii="宋体" w:hAnsi="宋体" w:eastAsia="宋体" w:cs="宋体"/>
                <w:color w:val="auto"/>
                <w:sz w:val="22"/>
                <w:szCs w:val="21"/>
                <w:lang w:eastAsia="zh-CN"/>
              </w:rPr>
              <w:t>，</w:t>
            </w:r>
            <w:r>
              <w:rPr>
                <w:rFonts w:hint="eastAsia" w:ascii="宋体" w:hAnsi="宋体" w:eastAsia="宋体" w:cs="宋体"/>
                <w:color w:val="auto"/>
                <w:sz w:val="22"/>
                <w:szCs w:val="21"/>
              </w:rPr>
              <w:t>投标人具有市级及以上政府部门委托的监督抽检工作业绩的，每提供一个得</w:t>
            </w:r>
            <w:r>
              <w:rPr>
                <w:rFonts w:hint="eastAsia" w:ascii="宋体" w:hAnsi="宋体" w:eastAsia="宋体" w:cs="宋体"/>
                <w:color w:val="auto"/>
                <w:sz w:val="22"/>
                <w:szCs w:val="21"/>
                <w:lang w:val="en-US" w:eastAsia="zh-CN"/>
              </w:rPr>
              <w:t>0.5</w:t>
            </w:r>
            <w:r>
              <w:rPr>
                <w:rFonts w:hint="eastAsia" w:ascii="宋体" w:hAnsi="宋体" w:eastAsia="宋体" w:cs="宋体"/>
                <w:color w:val="auto"/>
                <w:sz w:val="22"/>
                <w:szCs w:val="21"/>
              </w:rPr>
              <w:t>分，最高得</w:t>
            </w:r>
            <w:r>
              <w:rPr>
                <w:rFonts w:hint="eastAsia" w:ascii="宋体" w:hAnsi="宋体" w:eastAsia="宋体" w:cs="宋体"/>
                <w:color w:val="auto"/>
                <w:sz w:val="22"/>
                <w:szCs w:val="21"/>
                <w:lang w:val="en-US" w:eastAsia="zh-CN"/>
              </w:rPr>
              <w:t>1</w:t>
            </w:r>
            <w:r>
              <w:rPr>
                <w:rFonts w:hint="eastAsia" w:ascii="宋体" w:hAnsi="宋体" w:eastAsia="宋体" w:cs="宋体"/>
                <w:color w:val="auto"/>
                <w:sz w:val="22"/>
                <w:szCs w:val="21"/>
              </w:rPr>
              <w:t>分。</w:t>
            </w:r>
          </w:p>
          <w:p>
            <w:pPr>
              <w:rPr>
                <w:rFonts w:hint="eastAsia" w:ascii="宋体" w:hAnsi="宋体" w:eastAsia="宋体" w:cs="宋体"/>
                <w:color w:val="auto"/>
                <w:lang w:val="zh-CN" w:eastAsia="zh-CN"/>
              </w:rPr>
            </w:pPr>
            <w:r>
              <w:rPr>
                <w:rFonts w:hint="eastAsia" w:ascii="宋体" w:hAnsi="宋体" w:eastAsia="宋体" w:cs="宋体"/>
                <w:b/>
                <w:color w:val="auto"/>
                <w:sz w:val="22"/>
                <w:szCs w:val="21"/>
              </w:rPr>
              <w:t>注：业绩合同和任务委托书和中标通知书扫描件上传至资信商务及技术文件内，否则不得分。</w:t>
            </w:r>
          </w:p>
        </w:tc>
        <w:tc>
          <w:tcPr>
            <w:tcW w:w="718"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682"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lang w:val="en-US" w:eastAsia="zh-CN"/>
              </w:rPr>
              <w:t>2</w:t>
            </w:r>
          </w:p>
        </w:tc>
        <w:tc>
          <w:tcPr>
            <w:tcW w:w="933"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综合</w:t>
            </w:r>
          </w:p>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rPr>
              <w:t>实力</w:t>
            </w:r>
          </w:p>
        </w:tc>
        <w:tc>
          <w:tcPr>
            <w:tcW w:w="6995" w:type="dxa"/>
            <w:vAlign w:val="center"/>
          </w:tcPr>
          <w:p>
            <w:pPr>
              <w:keepNext w:val="0"/>
              <w:keepLines w:val="0"/>
              <w:pageBreakBefore w:val="0"/>
              <w:widowControl w:val="0"/>
              <w:kinsoku/>
              <w:wordWrap/>
              <w:overflowPunct/>
              <w:topLinePunct w:val="0"/>
              <w:autoSpaceDE/>
              <w:autoSpaceDN/>
              <w:bidi w:val="0"/>
              <w:adjustRightInd w:val="0"/>
              <w:snapToGrid w:val="0"/>
              <w:spacing w:line="360" w:lineRule="atLeast"/>
              <w:ind w:left="0"/>
              <w:jc w:val="both"/>
              <w:textAlignment w:val="auto"/>
              <w:rPr>
                <w:rFonts w:hint="eastAsia" w:ascii="宋体" w:hAnsi="宋体" w:eastAsia="宋体" w:cs="宋体"/>
                <w:color w:val="auto"/>
                <w:sz w:val="22"/>
                <w:szCs w:val="22"/>
                <w:highlight w:val="none"/>
                <w:lang w:val="zh-CN"/>
              </w:rPr>
            </w:pPr>
            <w:r>
              <w:rPr>
                <w:rFonts w:hint="eastAsia" w:ascii="宋体" w:hAnsi="宋体" w:eastAsia="宋体" w:cs="宋体"/>
                <w:color w:val="auto"/>
                <w:sz w:val="22"/>
                <w:szCs w:val="22"/>
                <w:highlight w:val="none"/>
              </w:rPr>
              <w:t>1、</w:t>
            </w:r>
            <w:r>
              <w:rPr>
                <w:rFonts w:hint="eastAsia" w:ascii="宋体" w:hAnsi="宋体" w:eastAsia="宋体" w:cs="宋体"/>
                <w:color w:val="auto"/>
                <w:sz w:val="22"/>
                <w:szCs w:val="22"/>
                <w:highlight w:val="none"/>
                <w:lang w:val="zh-CN"/>
              </w:rPr>
              <w:t>投标人具有实验室认可资质</w:t>
            </w:r>
            <w:r>
              <w:rPr>
                <w:rFonts w:hint="eastAsia" w:ascii="宋体" w:hAnsi="宋体" w:eastAsia="宋体" w:cs="宋体"/>
                <w:color w:val="auto"/>
                <w:sz w:val="22"/>
                <w:szCs w:val="22"/>
                <w:highlight w:val="none"/>
              </w:rPr>
              <w:t>（CNAS）</w:t>
            </w:r>
            <w:r>
              <w:rPr>
                <w:rFonts w:hint="eastAsia" w:ascii="宋体" w:hAnsi="宋体" w:eastAsia="宋体" w:cs="宋体"/>
                <w:color w:val="auto"/>
                <w:sz w:val="22"/>
                <w:szCs w:val="22"/>
                <w:highlight w:val="none"/>
                <w:lang w:val="zh-CN"/>
              </w:rPr>
              <w:t>得</w:t>
            </w: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highlight w:val="none"/>
                <w:lang w:val="zh-CN"/>
              </w:rPr>
              <w:t>分</w:t>
            </w:r>
            <w:r>
              <w:rPr>
                <w:rFonts w:hint="eastAsia" w:ascii="宋体" w:hAnsi="宋体" w:eastAsia="宋体" w:cs="宋体"/>
                <w:color w:val="auto"/>
                <w:sz w:val="22"/>
                <w:szCs w:val="22"/>
                <w:lang w:val="zh-CN"/>
              </w:rPr>
              <w:t>；</w:t>
            </w:r>
            <w:bookmarkStart w:id="473" w:name="_GoBack"/>
            <w:bookmarkEnd w:id="473"/>
          </w:p>
          <w:p>
            <w:pPr>
              <w:keepNext w:val="0"/>
              <w:keepLines w:val="0"/>
              <w:pageBreakBefore w:val="0"/>
              <w:widowControl w:val="0"/>
              <w:kinsoku/>
              <w:wordWrap/>
              <w:overflowPunct/>
              <w:topLinePunct w:val="0"/>
              <w:autoSpaceDE/>
              <w:autoSpaceDN/>
              <w:bidi w:val="0"/>
              <w:adjustRightInd w:val="0"/>
              <w:snapToGrid w:val="0"/>
              <w:spacing w:line="360" w:lineRule="atLeast"/>
              <w:ind w:left="0"/>
              <w:jc w:val="both"/>
              <w:textAlignment w:val="auto"/>
              <w:rPr>
                <w:rFonts w:hint="eastAsia" w:ascii="宋体" w:hAnsi="宋体" w:eastAsia="宋体" w:cs="宋体"/>
                <w:color w:val="auto"/>
                <w:sz w:val="22"/>
                <w:szCs w:val="22"/>
                <w:lang w:val="zh-CN"/>
              </w:rPr>
            </w:pPr>
            <w:r>
              <w:rPr>
                <w:rFonts w:hint="eastAsia" w:ascii="宋体" w:hAnsi="宋体" w:eastAsia="宋体" w:cs="宋体"/>
                <w:color w:val="auto"/>
                <w:sz w:val="22"/>
                <w:szCs w:val="22"/>
                <w:highlight w:val="none"/>
                <w:lang w:val="en-US" w:eastAsia="zh-CN"/>
              </w:rPr>
              <w:t>2、</w:t>
            </w:r>
            <w:r>
              <w:rPr>
                <w:rFonts w:hint="eastAsia" w:ascii="宋体" w:hAnsi="宋体" w:eastAsia="宋体" w:cs="宋体"/>
                <w:color w:val="auto"/>
                <w:sz w:val="22"/>
                <w:szCs w:val="22"/>
                <w:lang w:val="zh-CN"/>
              </w:rPr>
              <w:t>投标人系国家高新技术企业的，得</w:t>
            </w:r>
            <w:r>
              <w:rPr>
                <w:rFonts w:hint="eastAsia" w:ascii="宋体" w:hAnsi="宋体" w:eastAsia="宋体" w:cs="宋体"/>
                <w:color w:val="auto"/>
                <w:sz w:val="22"/>
                <w:szCs w:val="22"/>
              </w:rPr>
              <w:t>1</w:t>
            </w:r>
            <w:r>
              <w:rPr>
                <w:rFonts w:hint="eastAsia" w:ascii="宋体" w:hAnsi="宋体" w:eastAsia="宋体" w:cs="宋体"/>
                <w:color w:val="auto"/>
                <w:sz w:val="22"/>
                <w:szCs w:val="22"/>
                <w:lang w:val="zh-CN"/>
              </w:rPr>
              <w:t>分；</w:t>
            </w:r>
          </w:p>
          <w:p>
            <w:pPr>
              <w:keepNext w:val="0"/>
              <w:keepLines w:val="0"/>
              <w:pageBreakBefore w:val="0"/>
              <w:widowControl w:val="0"/>
              <w:kinsoku/>
              <w:wordWrap/>
              <w:overflowPunct/>
              <w:topLinePunct w:val="0"/>
              <w:autoSpaceDE/>
              <w:autoSpaceDN/>
              <w:bidi w:val="0"/>
              <w:adjustRightInd w:val="0"/>
              <w:snapToGrid w:val="0"/>
              <w:spacing w:line="360" w:lineRule="atLeast"/>
              <w:ind w:left="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投标人</w:t>
            </w:r>
            <w:r>
              <w:rPr>
                <w:rFonts w:hint="eastAsia" w:ascii="宋体" w:hAnsi="宋体" w:eastAsia="宋体" w:cs="宋体"/>
                <w:color w:val="auto"/>
                <w:sz w:val="22"/>
                <w:szCs w:val="22"/>
                <w:lang w:val="zh-CN"/>
              </w:rPr>
              <w:t>具有</w:t>
            </w:r>
            <w:r>
              <w:rPr>
                <w:rFonts w:hint="eastAsia" w:ascii="宋体" w:hAnsi="宋体" w:eastAsia="宋体" w:cs="宋体"/>
                <w:color w:val="auto"/>
                <w:sz w:val="22"/>
                <w:szCs w:val="22"/>
              </w:rPr>
              <w:t>省级及以上质量检测中心或研究开发中心资质的</w:t>
            </w:r>
            <w:r>
              <w:rPr>
                <w:rFonts w:hint="eastAsia" w:ascii="宋体" w:hAnsi="宋体" w:eastAsia="宋体" w:cs="宋体"/>
                <w:color w:val="auto"/>
                <w:sz w:val="22"/>
                <w:szCs w:val="22"/>
                <w:lang w:val="zh-CN"/>
              </w:rPr>
              <w:t>得</w:t>
            </w: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val="zh-CN"/>
              </w:rPr>
              <w:t>分。</w:t>
            </w:r>
          </w:p>
          <w:p>
            <w:pPr>
              <w:keepNext w:val="0"/>
              <w:keepLines w:val="0"/>
              <w:pageBreakBefore w:val="0"/>
              <w:widowControl w:val="0"/>
              <w:kinsoku/>
              <w:wordWrap/>
              <w:overflowPunct/>
              <w:topLinePunct w:val="0"/>
              <w:autoSpaceDE/>
              <w:autoSpaceDN/>
              <w:bidi w:val="0"/>
              <w:adjustRightInd w:val="0"/>
              <w:snapToGrid w:val="0"/>
              <w:spacing w:line="360" w:lineRule="atLeast"/>
              <w:ind w:left="0" w:leftChars="0"/>
              <w:jc w:val="both"/>
              <w:textAlignment w:val="auto"/>
              <w:rPr>
                <w:rFonts w:hint="eastAsia" w:ascii="宋体" w:hAnsi="宋体" w:eastAsia="宋体" w:cs="宋体"/>
                <w:color w:val="auto"/>
                <w:sz w:val="22"/>
                <w:szCs w:val="22"/>
                <w:lang w:val="en-US" w:eastAsia="zh-CN"/>
              </w:rPr>
            </w:pPr>
            <w:r>
              <w:rPr>
                <w:rFonts w:hint="eastAsia" w:ascii="宋体" w:hAnsi="宋体" w:eastAsia="宋体" w:cs="宋体"/>
                <w:b/>
                <w:color w:val="auto"/>
                <w:sz w:val="22"/>
                <w:szCs w:val="22"/>
                <w:highlight w:val="none"/>
                <w:lang w:val="zh-CN"/>
              </w:rPr>
              <w:t>注：供应商须提供资质证书扫描件</w:t>
            </w:r>
            <w:r>
              <w:rPr>
                <w:rFonts w:hint="eastAsia" w:ascii="宋体" w:hAnsi="宋体" w:eastAsia="宋体" w:cs="宋体"/>
                <w:b/>
                <w:color w:val="auto"/>
                <w:sz w:val="22"/>
                <w:szCs w:val="22"/>
                <w:highlight w:val="none"/>
              </w:rPr>
              <w:t>，否则不得分。</w:t>
            </w:r>
          </w:p>
        </w:tc>
        <w:tc>
          <w:tcPr>
            <w:tcW w:w="718"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kern w:val="0"/>
                <w:sz w:val="22"/>
                <w:szCs w:val="22"/>
                <w:lang w:val="en-US" w:eastAsia="zh-CN" w:bidi="ar-SA"/>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p>
        </w:tc>
      </w:tr>
    </w:tbl>
    <w:p>
      <w:pPr>
        <w:keepNext w:val="0"/>
        <w:keepLines w:val="0"/>
        <w:pageBreakBefore w:val="0"/>
        <w:widowControl w:val="0"/>
        <w:kinsoku/>
        <w:wordWrap/>
        <w:overflowPunct/>
        <w:topLinePunct w:val="0"/>
        <w:autoSpaceDE/>
        <w:autoSpaceDN/>
        <w:bidi w:val="0"/>
        <w:adjustRightInd/>
        <w:snapToGrid w:val="0"/>
        <w:spacing w:before="240" w:after="157" w:afterLines="50" w:line="240" w:lineRule="auto"/>
        <w:textAlignment w:val="auto"/>
        <w:rPr>
          <w:rFonts w:hint="eastAsia" w:ascii="宋体" w:hAnsi="宋体" w:eastAsia="宋体" w:cs="宋体"/>
          <w:color w:val="auto"/>
        </w:rPr>
      </w:pPr>
      <w:r>
        <w:rPr>
          <w:rFonts w:hint="eastAsia" w:ascii="宋体" w:hAnsi="宋体" w:eastAsia="宋体" w:cs="宋体"/>
          <w:b/>
          <w:color w:val="auto"/>
          <w:sz w:val="22"/>
          <w:szCs w:val="22"/>
        </w:rPr>
        <w:t>5.1.2技术部分共</w:t>
      </w:r>
      <w:r>
        <w:rPr>
          <w:rFonts w:hint="eastAsia" w:ascii="宋体" w:hAnsi="宋体" w:eastAsia="宋体" w:cs="宋体"/>
          <w:b/>
          <w:color w:val="auto"/>
          <w:sz w:val="22"/>
          <w:szCs w:val="22"/>
          <w:lang w:val="en-US" w:eastAsia="zh-CN"/>
        </w:rPr>
        <w:t>85</w:t>
      </w:r>
      <w:r>
        <w:rPr>
          <w:rFonts w:hint="eastAsia" w:ascii="宋体" w:hAnsi="宋体" w:eastAsia="宋体" w:cs="宋体"/>
          <w:b/>
          <w:color w:val="auto"/>
          <w:sz w:val="22"/>
          <w:szCs w:val="22"/>
        </w:rPr>
        <w:t>分，权重为</w:t>
      </w:r>
      <w:r>
        <w:rPr>
          <w:rFonts w:hint="eastAsia" w:ascii="宋体" w:hAnsi="宋体" w:eastAsia="宋体" w:cs="宋体"/>
          <w:b/>
          <w:color w:val="auto"/>
          <w:sz w:val="22"/>
          <w:szCs w:val="22"/>
          <w:lang w:val="en-US" w:eastAsia="zh-CN"/>
        </w:rPr>
        <w:t>85</w:t>
      </w:r>
      <w:r>
        <w:rPr>
          <w:rFonts w:hint="eastAsia" w:ascii="宋体" w:hAnsi="宋体" w:eastAsia="宋体" w:cs="宋体"/>
          <w:b/>
          <w:color w:val="auto"/>
          <w:sz w:val="22"/>
          <w:szCs w:val="22"/>
        </w:rPr>
        <w:t>%，由磋商小组成员独立打分。</w:t>
      </w:r>
    </w:p>
    <w:tbl>
      <w:tblPr>
        <w:tblStyle w:val="3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952"/>
        <w:gridCol w:w="6995"/>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sz w:val="22"/>
                <w:szCs w:val="22"/>
              </w:rPr>
              <w:t>序号</w:t>
            </w:r>
          </w:p>
        </w:tc>
        <w:tc>
          <w:tcPr>
            <w:tcW w:w="952"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bCs/>
                <w:color w:val="auto"/>
                <w:sz w:val="22"/>
                <w:szCs w:val="22"/>
              </w:rPr>
            </w:pPr>
            <w:r>
              <w:rPr>
                <w:rFonts w:hint="eastAsia" w:ascii="宋体" w:hAnsi="宋体" w:eastAsia="宋体" w:cs="宋体"/>
                <w:b/>
                <w:bCs/>
                <w:color w:val="auto"/>
                <w:sz w:val="22"/>
                <w:szCs w:val="22"/>
              </w:rPr>
              <w:t>评分</w:t>
            </w:r>
          </w:p>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sz w:val="22"/>
                <w:szCs w:val="22"/>
              </w:rPr>
              <w:t>因素</w:t>
            </w:r>
          </w:p>
        </w:tc>
        <w:tc>
          <w:tcPr>
            <w:tcW w:w="6995"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sz w:val="22"/>
                <w:szCs w:val="22"/>
              </w:rPr>
              <w:t>评分细则</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bCs/>
                <w:color w:val="auto"/>
                <w:kern w:val="0"/>
                <w:sz w:val="22"/>
                <w:szCs w:val="22"/>
                <w:lang w:val="en-US" w:eastAsia="zh-CN" w:bidi="ar-SA"/>
              </w:rPr>
            </w:pPr>
            <w:r>
              <w:rPr>
                <w:rFonts w:hint="eastAsia" w:ascii="宋体" w:hAnsi="宋体" w:eastAsia="宋体" w:cs="宋体"/>
                <w:b/>
                <w:bCs/>
                <w:color w:val="auto"/>
                <w:sz w:val="22"/>
                <w:szCs w:val="22"/>
                <w:lang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w:t>
            </w:r>
          </w:p>
        </w:tc>
        <w:tc>
          <w:tcPr>
            <w:tcW w:w="952" w:type="dxa"/>
            <w:vAlign w:val="center"/>
          </w:tcPr>
          <w:p>
            <w:pPr>
              <w:jc w:val="cente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zh-CN" w:eastAsia="zh-CN" w:bidi="ar-SA"/>
              </w:rPr>
              <w:t>行业熟悉程度</w:t>
            </w:r>
          </w:p>
        </w:tc>
        <w:tc>
          <w:tcPr>
            <w:tcW w:w="6995" w:type="dxa"/>
            <w:vAlign w:val="center"/>
          </w:tcPr>
          <w:p>
            <w:pPr>
              <w:rPr>
                <w:rFonts w:hint="eastAsia" w:ascii="宋体" w:hAnsi="宋体" w:eastAsia="宋体" w:cs="宋体"/>
                <w:b w:val="0"/>
                <w:bCs w:val="0"/>
                <w:color w:val="auto"/>
                <w:kern w:val="2"/>
                <w:sz w:val="22"/>
                <w:szCs w:val="22"/>
                <w:lang w:val="en-US" w:eastAsia="zh-CN" w:bidi="ar-SA"/>
              </w:rPr>
            </w:pPr>
            <w:r>
              <w:rPr>
                <w:rFonts w:hint="eastAsia" w:ascii="宋体" w:hAnsi="宋体" w:eastAsia="宋体" w:cs="宋体"/>
                <w:b w:val="0"/>
                <w:bCs w:val="0"/>
                <w:color w:val="auto"/>
                <w:kern w:val="2"/>
                <w:sz w:val="22"/>
                <w:szCs w:val="22"/>
                <w:lang w:val="zh-CN" w:eastAsia="zh-CN" w:bidi="ar-SA"/>
              </w:rPr>
              <w:t>根据供应商对食品检测行业情况的熟悉程度、准确程度等，由评委在规定分值内打分。</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val="0"/>
                <w:bCs w:val="0"/>
                <w:color w:val="auto"/>
                <w:sz w:val="22"/>
                <w:szCs w:val="22"/>
                <w:lang w:eastAsia="zh-CN"/>
              </w:rPr>
            </w:pPr>
            <w:r>
              <w:rPr>
                <w:rFonts w:hint="eastAsia" w:ascii="宋体" w:hAnsi="宋体" w:eastAsia="宋体" w:cs="宋体"/>
                <w:b w:val="0"/>
                <w:bCs w:val="0"/>
                <w:color w:val="auto"/>
                <w:kern w:val="2"/>
                <w:sz w:val="22"/>
                <w:szCs w:val="22"/>
                <w:lang w:val="en-US" w:eastAsia="zh-CN" w:bidi="ar-SA"/>
              </w:rPr>
              <w:t>4</w:t>
            </w:r>
            <w:r>
              <w:rPr>
                <w:rFonts w:hint="eastAsia" w:ascii="宋体" w:hAnsi="宋体" w:eastAsia="宋体" w:cs="宋体"/>
                <w:b w:val="0"/>
                <w:bCs w:val="0"/>
                <w:color w:val="auto"/>
                <w:kern w:val="2"/>
                <w:sz w:val="22"/>
                <w:szCs w:val="22"/>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609" w:type="dxa"/>
            <w:vMerge w:val="restart"/>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sz w:val="22"/>
                <w:szCs w:val="22"/>
                <w:lang w:val="en-US" w:eastAsia="zh-CN"/>
              </w:rPr>
              <w:t>2</w:t>
            </w:r>
          </w:p>
        </w:tc>
        <w:tc>
          <w:tcPr>
            <w:tcW w:w="952" w:type="dxa"/>
            <w:vMerge w:val="restart"/>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sz w:val="22"/>
                <w:szCs w:val="22"/>
                <w:lang w:val="zh-CN"/>
              </w:rPr>
              <w:t>技术方案及响应能力</w:t>
            </w:r>
          </w:p>
        </w:tc>
        <w:tc>
          <w:tcPr>
            <w:tcW w:w="6995" w:type="dxa"/>
            <w:vAlign w:val="center"/>
          </w:tcPr>
          <w:p>
            <w:pPr>
              <w:pStyle w:val="23"/>
              <w:keepNext w:val="0"/>
              <w:keepLines w:val="0"/>
              <w:pageBreakBefore w:val="0"/>
              <w:widowControl w:val="0"/>
              <w:kinsoku/>
              <w:overflowPunct/>
              <w:topLinePunct w:val="0"/>
              <w:bidi w:val="0"/>
              <w:adjustRightInd w:val="0"/>
              <w:snapToGrid w:val="0"/>
              <w:spacing w:line="360" w:lineRule="exact"/>
              <w:ind w:left="0" w:leftChars="0" w:firstLine="0" w:firstLineChars="0"/>
              <w:jc w:val="left"/>
              <w:textAlignment w:val="auto"/>
              <w:rPr>
                <w:rFonts w:hint="eastAsia" w:ascii="宋体" w:hAnsi="宋体" w:eastAsia="宋体" w:cs="宋体"/>
                <w:b w:val="0"/>
                <w:bCs w:val="0"/>
                <w:color w:val="auto"/>
                <w:kern w:val="0"/>
                <w:sz w:val="22"/>
                <w:szCs w:val="22"/>
                <w:lang w:val="zh-CN" w:eastAsia="zh-CN" w:bidi="ar-SA"/>
              </w:rPr>
            </w:pPr>
            <w:r>
              <w:rPr>
                <w:rFonts w:hint="eastAsia" w:ascii="宋体" w:hAnsi="宋体" w:eastAsia="宋体" w:cs="宋体"/>
                <w:b w:val="0"/>
                <w:bCs w:val="0"/>
                <w:color w:val="auto"/>
                <w:kern w:val="2"/>
                <w:sz w:val="22"/>
                <w:szCs w:val="22"/>
                <w:lang w:val="zh-CN" w:eastAsia="zh-CN" w:bidi="ar-SA"/>
              </w:rPr>
              <w:t>1.根据供应商对本采购项目的总体方案的合理性、全面性、前瞻性、科学性等综合情况，酌情打分。</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b w:val="0"/>
                <w:bCs w:val="0"/>
                <w:color w:val="auto"/>
                <w:kern w:val="0"/>
                <w:sz w:val="22"/>
                <w:szCs w:val="22"/>
                <w:lang w:val="en-US" w:eastAsia="zh-CN" w:bidi="ar-SA"/>
              </w:rPr>
            </w:pPr>
            <w:r>
              <w:rPr>
                <w:rFonts w:hint="eastAsia" w:ascii="宋体" w:hAnsi="宋体" w:eastAsia="宋体" w:cs="宋体"/>
                <w:b w:val="0"/>
                <w:bCs w:val="0"/>
                <w:color w:val="auto"/>
                <w:sz w:val="22"/>
                <w:szCs w:val="22"/>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vMerge w:val="continue"/>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eastAsia="zh-CN"/>
              </w:rPr>
            </w:pPr>
          </w:p>
        </w:tc>
        <w:tc>
          <w:tcPr>
            <w:tcW w:w="952" w:type="dxa"/>
            <w:vMerge w:val="continue"/>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p>
        </w:tc>
        <w:tc>
          <w:tcPr>
            <w:tcW w:w="699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jc w:val="both"/>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zh-CN"/>
              </w:rPr>
              <w:t>2.为满足服务期内的检验工作及检验期限要求，制定相应的食品检验工作方案，包括指导制定抽样工作计划(0-</w:t>
            </w: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分)，指导抽样人员安排(0-</w:t>
            </w: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分)，时间安排、进度安排(0-</w:t>
            </w: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分)，指导抽样具体流程(0-</w:t>
            </w: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分)，指导靶向性抽样(0-</w:t>
            </w: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分)，响应能力(0-</w:t>
            </w:r>
            <w:r>
              <w:rPr>
                <w:rFonts w:hint="eastAsia" w:ascii="宋体" w:hAnsi="宋体" w:eastAsia="宋体" w:cs="宋体"/>
                <w:color w:val="auto"/>
                <w:sz w:val="22"/>
                <w:szCs w:val="22"/>
              </w:rPr>
              <w:t>2</w:t>
            </w:r>
            <w:r>
              <w:rPr>
                <w:rFonts w:hint="eastAsia" w:ascii="宋体" w:hAnsi="宋体" w:eastAsia="宋体" w:cs="宋体"/>
                <w:color w:val="auto"/>
                <w:sz w:val="22"/>
                <w:szCs w:val="22"/>
                <w:lang w:val="zh-CN"/>
              </w:rPr>
              <w:t>分)等技术方案，根据合理性、可行性、科学性综合分析进行打分。</w:t>
            </w:r>
          </w:p>
        </w:tc>
        <w:tc>
          <w:tcPr>
            <w:tcW w:w="663" w:type="dxa"/>
            <w:vAlign w:val="center"/>
          </w:tcPr>
          <w:p>
            <w:pPr>
              <w:pStyle w:val="23"/>
              <w:keepNext w:val="0"/>
              <w:keepLines w:val="0"/>
              <w:pageBreakBefore w:val="0"/>
              <w:widowControl w:val="0"/>
              <w:kinsoku/>
              <w:wordWrap w:val="0"/>
              <w:overflowPunct/>
              <w:topLinePunct w:val="0"/>
              <w:autoSpaceDE/>
              <w:autoSpaceDN/>
              <w:bidi w:val="0"/>
              <w:adjustRightInd w:val="0"/>
              <w:snapToGrid w:val="0"/>
              <w:spacing w:line="240" w:lineRule="auto"/>
              <w:ind w:left="-105" w:leftChars="-50" w:right="-105" w:rightChars="-50" w:firstLine="0" w:firstLineChars="0"/>
              <w:jc w:val="center"/>
              <w:textAlignment w:val="auto"/>
              <w:rPr>
                <w:rFonts w:hint="eastAsia" w:ascii="宋体" w:hAnsi="宋体" w:eastAsia="宋体" w:cs="宋体"/>
                <w:b w:val="0"/>
                <w:bCs w:val="0"/>
                <w:color w:val="auto"/>
                <w:sz w:val="22"/>
                <w:szCs w:val="22"/>
                <w:lang w:val="en-US" w:eastAsia="zh-CN"/>
              </w:rPr>
            </w:pPr>
            <w:r>
              <w:rPr>
                <w:rFonts w:hint="eastAsia" w:ascii="宋体" w:hAnsi="宋体" w:eastAsia="宋体" w:cs="宋体"/>
                <w:b w:val="0"/>
                <w:bCs w:val="0"/>
                <w:color w:val="auto"/>
                <w:sz w:val="22"/>
                <w:szCs w:val="22"/>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3</w:t>
            </w:r>
          </w:p>
        </w:tc>
        <w:tc>
          <w:tcPr>
            <w:tcW w:w="952"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人员</w:t>
            </w:r>
          </w:p>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配置</w:t>
            </w:r>
          </w:p>
        </w:tc>
        <w:tc>
          <w:tcPr>
            <w:tcW w:w="6995" w:type="dxa"/>
            <w:vAlign w:val="center"/>
          </w:tcPr>
          <w:p>
            <w:pPr>
              <w:keepNext w:val="0"/>
              <w:keepLines w:val="0"/>
              <w:pageBreakBefore w:val="0"/>
              <w:widowControl w:val="0"/>
              <w:tabs>
                <w:tab w:val="left" w:pos="0"/>
              </w:tabs>
              <w:kinsoku/>
              <w:wordWrap/>
              <w:overflowPunct/>
              <w:topLinePunct w:val="0"/>
              <w:autoSpaceDE w:val="0"/>
              <w:autoSpaceDN w:val="0"/>
              <w:bidi w:val="0"/>
              <w:adjustRightInd w:val="0"/>
              <w:snapToGrid w:val="0"/>
              <w:spacing w:line="340" w:lineRule="exact"/>
              <w:ind w:left="0" w:left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项目投入人员具有高级职称</w:t>
            </w: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名及以上得2分</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人员未达到不得分</w:t>
            </w:r>
            <w:r>
              <w:rPr>
                <w:rFonts w:hint="eastAsia" w:ascii="宋体" w:hAnsi="宋体" w:eastAsia="宋体" w:cs="宋体"/>
                <w:color w:val="auto"/>
                <w:sz w:val="22"/>
                <w:szCs w:val="2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340" w:lineRule="exact"/>
              <w:ind w:left="0" w:left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中级职称</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不含高级</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名及以上得2分</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人员未达到不得分</w:t>
            </w:r>
            <w:r>
              <w:rPr>
                <w:rFonts w:hint="eastAsia" w:ascii="宋体" w:hAnsi="宋体" w:eastAsia="宋体" w:cs="宋体"/>
                <w:color w:val="auto"/>
                <w:sz w:val="22"/>
                <w:szCs w:val="2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340" w:lineRule="exact"/>
              <w:ind w:left="0" w:leftChars="0"/>
              <w:jc w:val="left"/>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投入检测人员</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0人以上得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人员未达到不得分</w:t>
            </w:r>
            <w:r>
              <w:rPr>
                <w:rFonts w:hint="eastAsia" w:ascii="宋体" w:hAnsi="宋体" w:eastAsia="宋体" w:cs="宋体"/>
                <w:color w:val="auto"/>
                <w:sz w:val="22"/>
                <w:szCs w:val="22"/>
                <w:lang w:eastAsia="zh-CN"/>
              </w:rPr>
              <w:t>；</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340" w:lineRule="exact"/>
              <w:ind w:left="0" w:left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投入采样人员1</w:t>
            </w:r>
            <w:r>
              <w:rPr>
                <w:rFonts w:hint="eastAsia" w:ascii="宋体" w:hAnsi="宋体" w:eastAsia="宋体" w:cs="宋体"/>
                <w:color w:val="auto"/>
                <w:sz w:val="22"/>
                <w:szCs w:val="22"/>
                <w:lang w:val="en-US" w:eastAsia="zh-CN"/>
              </w:rPr>
              <w:t>0</w:t>
            </w:r>
            <w:r>
              <w:rPr>
                <w:rFonts w:hint="eastAsia" w:ascii="宋体" w:hAnsi="宋体" w:eastAsia="宋体" w:cs="宋体"/>
                <w:color w:val="auto"/>
                <w:sz w:val="22"/>
                <w:szCs w:val="22"/>
              </w:rPr>
              <w:t>人以上得</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分</w:t>
            </w:r>
            <w:r>
              <w:rPr>
                <w:rFonts w:hint="eastAsia" w:ascii="宋体" w:hAnsi="宋体" w:eastAsia="宋体" w:cs="宋体"/>
                <w:color w:val="auto"/>
                <w:sz w:val="22"/>
                <w:szCs w:val="22"/>
                <w:lang w:val="en-US" w:eastAsia="zh-CN"/>
              </w:rPr>
              <w:t>，</w:t>
            </w:r>
            <w:r>
              <w:rPr>
                <w:rFonts w:hint="eastAsia" w:ascii="宋体" w:hAnsi="宋体" w:eastAsia="宋体" w:cs="宋体"/>
                <w:color w:val="auto"/>
                <w:sz w:val="22"/>
                <w:szCs w:val="22"/>
              </w:rPr>
              <w:t>人员未达到不得分。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340" w:lineRule="exact"/>
              <w:ind w:left="0" w:leftChars="0"/>
              <w:jc w:val="left"/>
              <w:textAlignment w:val="auto"/>
              <w:rPr>
                <w:rFonts w:hint="eastAsia" w:ascii="宋体" w:hAnsi="宋体" w:eastAsia="宋体" w:cs="宋体"/>
                <w:color w:val="auto"/>
                <w:sz w:val="22"/>
                <w:szCs w:val="22"/>
                <w:lang w:val="zh-CN" w:eastAsia="zh-CN"/>
              </w:rPr>
            </w:pPr>
            <w:r>
              <w:rPr>
                <w:rFonts w:hint="eastAsia" w:ascii="宋体" w:hAnsi="宋体" w:eastAsia="宋体" w:cs="宋体"/>
                <w:b/>
                <w:bCs/>
                <w:color w:val="auto"/>
                <w:sz w:val="22"/>
                <w:szCs w:val="22"/>
                <w:lang w:eastAsia="zh-CN"/>
              </w:rPr>
              <w:t>注：</w:t>
            </w:r>
            <w:r>
              <w:rPr>
                <w:rFonts w:hint="eastAsia" w:ascii="宋体" w:hAnsi="宋体" w:eastAsia="宋体" w:cs="宋体"/>
                <w:b/>
                <w:bCs/>
                <w:color w:val="auto"/>
                <w:sz w:val="22"/>
                <w:szCs w:val="22"/>
              </w:rPr>
              <w:t>提供检测人员职称证书、采样人员上岗证书电子文档并加盖公章及最近</w:t>
            </w:r>
            <w:r>
              <w:rPr>
                <w:rFonts w:hint="eastAsia" w:ascii="宋体" w:hAnsi="宋体" w:eastAsia="宋体" w:cs="宋体"/>
                <w:b/>
                <w:bCs/>
                <w:color w:val="auto"/>
                <w:sz w:val="22"/>
                <w:szCs w:val="22"/>
                <w:lang w:eastAsia="zh-CN"/>
              </w:rPr>
              <w:t>三个</w:t>
            </w:r>
            <w:r>
              <w:rPr>
                <w:rFonts w:hint="eastAsia" w:ascii="宋体" w:hAnsi="宋体" w:eastAsia="宋体" w:cs="宋体"/>
                <w:b/>
                <w:bCs/>
                <w:color w:val="auto"/>
                <w:sz w:val="22"/>
                <w:szCs w:val="22"/>
                <w:lang w:val="en-US" w:eastAsia="zh-CN"/>
              </w:rPr>
              <w:t>月</w:t>
            </w:r>
            <w:r>
              <w:rPr>
                <w:rFonts w:hint="eastAsia" w:ascii="宋体" w:hAnsi="宋体" w:eastAsia="宋体" w:cs="宋体"/>
                <w:b/>
                <w:bCs/>
                <w:color w:val="auto"/>
                <w:sz w:val="22"/>
                <w:szCs w:val="22"/>
                <w:lang w:eastAsia="zh-CN"/>
              </w:rPr>
              <w:t>的</w:t>
            </w:r>
            <w:r>
              <w:rPr>
                <w:rFonts w:hint="eastAsia" w:ascii="宋体" w:hAnsi="宋体" w:eastAsia="宋体" w:cs="宋体"/>
                <w:b/>
                <w:bCs/>
                <w:color w:val="auto"/>
                <w:sz w:val="22"/>
                <w:szCs w:val="22"/>
              </w:rPr>
              <w:t>社保缴费证明，否则不得分</w:t>
            </w:r>
            <w:r>
              <w:rPr>
                <w:rFonts w:hint="eastAsia" w:ascii="宋体" w:hAnsi="宋体" w:eastAsia="宋体" w:cs="宋体"/>
                <w:b/>
                <w:bCs/>
                <w:color w:val="auto"/>
                <w:sz w:val="22"/>
                <w:szCs w:val="22"/>
                <w:lang w:eastAsia="zh-CN"/>
              </w:rPr>
              <w:t>。</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4</w:t>
            </w:r>
          </w:p>
        </w:tc>
        <w:tc>
          <w:tcPr>
            <w:tcW w:w="952"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仪器</w:t>
            </w:r>
          </w:p>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投入</w:t>
            </w:r>
          </w:p>
        </w:tc>
        <w:tc>
          <w:tcPr>
            <w:tcW w:w="6995" w:type="dxa"/>
            <w:vAlign w:val="center"/>
          </w:tcPr>
          <w:p>
            <w:pPr>
              <w:keepNext w:val="0"/>
              <w:keepLines w:val="0"/>
              <w:pageBreakBefore w:val="0"/>
              <w:widowControl w:val="0"/>
              <w:kinsoku/>
              <w:wordWrap/>
              <w:overflowPunct/>
              <w:topLinePunct w:val="0"/>
              <w:bidi w:val="0"/>
              <w:adjustRightInd w:val="0"/>
              <w:snapToGrid w:val="0"/>
              <w:spacing w:line="340" w:lineRule="exact"/>
              <w:ind w:left="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根据</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的检测仪器设备，是否能满足大批量样品的检测周期需要情况进行评分：</w:t>
            </w:r>
          </w:p>
          <w:p>
            <w:pPr>
              <w:keepNext w:val="0"/>
              <w:keepLines w:val="0"/>
              <w:pageBreakBefore w:val="0"/>
              <w:widowControl w:val="0"/>
              <w:kinsoku/>
              <w:wordWrap/>
              <w:overflowPunct/>
              <w:topLinePunct w:val="0"/>
              <w:bidi w:val="0"/>
              <w:adjustRightInd w:val="0"/>
              <w:snapToGrid w:val="0"/>
              <w:spacing w:line="340" w:lineRule="exact"/>
              <w:ind w:left="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1.配备液质联用仪</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套及以上的得1分，其他不得分；</w:t>
            </w:r>
          </w:p>
          <w:p>
            <w:pPr>
              <w:keepNext w:val="0"/>
              <w:keepLines w:val="0"/>
              <w:pageBreakBefore w:val="0"/>
              <w:widowControl w:val="0"/>
              <w:kinsoku/>
              <w:wordWrap/>
              <w:overflowPunct/>
              <w:topLinePunct w:val="0"/>
              <w:bidi w:val="0"/>
              <w:adjustRightInd w:val="0"/>
              <w:snapToGrid w:val="0"/>
              <w:spacing w:line="340" w:lineRule="exact"/>
              <w:ind w:left="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2.配备气质联用仪</w:t>
            </w: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套及以上的得1分，其他不得分；</w:t>
            </w:r>
          </w:p>
          <w:p>
            <w:pPr>
              <w:keepNext w:val="0"/>
              <w:keepLines w:val="0"/>
              <w:pageBreakBefore w:val="0"/>
              <w:widowControl w:val="0"/>
              <w:kinsoku/>
              <w:wordWrap/>
              <w:overflowPunct/>
              <w:topLinePunct w:val="0"/>
              <w:bidi w:val="0"/>
              <w:adjustRightInd w:val="0"/>
              <w:snapToGrid w:val="0"/>
              <w:spacing w:line="340" w:lineRule="exact"/>
              <w:ind w:left="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3.配备</w:t>
            </w: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套及以上液相色谱仪得1分，其他不得分；</w:t>
            </w:r>
          </w:p>
          <w:p>
            <w:pPr>
              <w:keepNext w:val="0"/>
              <w:keepLines w:val="0"/>
              <w:pageBreakBefore w:val="0"/>
              <w:widowControl w:val="0"/>
              <w:kinsoku/>
              <w:wordWrap/>
              <w:overflowPunct/>
              <w:topLinePunct w:val="0"/>
              <w:bidi w:val="0"/>
              <w:adjustRightInd w:val="0"/>
              <w:snapToGrid w:val="0"/>
              <w:spacing w:line="340" w:lineRule="exact"/>
              <w:ind w:left="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4.配备3套及以上气相色谱仪得1分，其他不得分；</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340" w:lineRule="exact"/>
              <w:ind w:left="0" w:leftChars="0"/>
              <w:jc w:val="left"/>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5.配备</w:t>
            </w:r>
            <w:r>
              <w:rPr>
                <w:rFonts w:hint="eastAsia" w:ascii="宋体" w:hAnsi="宋体" w:eastAsia="宋体" w:cs="宋体"/>
                <w:b w:val="0"/>
                <w:bCs w:val="0"/>
                <w:color w:val="auto"/>
                <w:sz w:val="22"/>
                <w:szCs w:val="22"/>
                <w:highlight w:val="none"/>
              </w:rPr>
              <w:t>电感耦合等离子体质谱仪、</w:t>
            </w:r>
            <w:r>
              <w:rPr>
                <w:rFonts w:hint="eastAsia" w:ascii="宋体" w:hAnsi="宋体" w:eastAsia="宋体" w:cs="宋体"/>
                <w:color w:val="auto"/>
                <w:sz w:val="22"/>
                <w:szCs w:val="22"/>
              </w:rPr>
              <w:t>PCR仪、液相色谱-原子荧光联用仪、柱后衍生仪、酶标仪得2分，每缺一个仪器扣0.5分，扣完为止。</w:t>
            </w:r>
          </w:p>
          <w:p>
            <w:pPr>
              <w:keepNext w:val="0"/>
              <w:keepLines w:val="0"/>
              <w:pageBreakBefore w:val="0"/>
              <w:widowControl w:val="0"/>
              <w:tabs>
                <w:tab w:val="left" w:pos="0"/>
              </w:tabs>
              <w:kinsoku/>
              <w:wordWrap/>
              <w:overflowPunct/>
              <w:topLinePunct w:val="0"/>
              <w:autoSpaceDE w:val="0"/>
              <w:autoSpaceDN w:val="0"/>
              <w:bidi w:val="0"/>
              <w:adjustRightInd w:val="0"/>
              <w:snapToGrid w:val="0"/>
              <w:spacing w:line="340" w:lineRule="exact"/>
              <w:ind w:left="0" w:leftChars="0"/>
              <w:jc w:val="left"/>
              <w:textAlignment w:val="auto"/>
              <w:rPr>
                <w:rFonts w:hint="eastAsia" w:ascii="宋体" w:hAnsi="宋体" w:eastAsia="宋体" w:cs="宋体"/>
                <w:color w:val="auto"/>
                <w:sz w:val="22"/>
                <w:szCs w:val="22"/>
                <w:lang w:val="zh-CN" w:eastAsia="zh-CN"/>
              </w:rPr>
            </w:pPr>
            <w:r>
              <w:rPr>
                <w:rFonts w:hint="eastAsia" w:ascii="宋体" w:hAnsi="宋体" w:eastAsia="宋体" w:cs="宋体"/>
                <w:color w:val="auto"/>
                <w:sz w:val="22"/>
                <w:szCs w:val="22"/>
                <w:lang w:eastAsia="zh-CN"/>
              </w:rPr>
              <w:t>注：</w:t>
            </w:r>
            <w:r>
              <w:rPr>
                <w:rFonts w:hint="eastAsia" w:ascii="宋体" w:hAnsi="宋体" w:eastAsia="宋体" w:cs="宋体"/>
                <w:color w:val="auto"/>
                <w:sz w:val="22"/>
                <w:szCs w:val="22"/>
              </w:rPr>
              <w:t>需要提供检定证书</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校准证书</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rPr>
              <w:t>或发票等相关证明文件电子文档并加盖公章</w:t>
            </w:r>
            <w:r>
              <w:rPr>
                <w:rFonts w:hint="eastAsia" w:ascii="宋体" w:hAnsi="宋体" w:eastAsia="宋体" w:cs="宋体"/>
                <w:color w:val="auto"/>
                <w:sz w:val="22"/>
                <w:szCs w:val="22"/>
                <w:lang w:eastAsia="zh-CN"/>
              </w:rPr>
              <w:t>。</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9" w:type="dxa"/>
            <w:vMerge w:val="restart"/>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5</w:t>
            </w:r>
          </w:p>
        </w:tc>
        <w:tc>
          <w:tcPr>
            <w:tcW w:w="952" w:type="dxa"/>
            <w:vMerge w:val="restart"/>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场地</w:t>
            </w:r>
          </w:p>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设施</w:t>
            </w:r>
          </w:p>
        </w:tc>
        <w:tc>
          <w:tcPr>
            <w:tcW w:w="6995" w:type="dxa"/>
            <w:vAlign w:val="center"/>
          </w:tcPr>
          <w:p>
            <w:pPr>
              <w:keepNext w:val="0"/>
              <w:keepLines w:val="0"/>
              <w:pageBreakBefore w:val="0"/>
              <w:widowControl w:val="0"/>
              <w:kinsoku/>
              <w:wordWrap/>
              <w:overflowPunct/>
              <w:topLinePunct w:val="0"/>
              <w:bidi w:val="0"/>
              <w:adjustRightInd w:val="0"/>
              <w:snapToGrid w:val="0"/>
              <w:spacing w:line="340" w:lineRule="exact"/>
              <w:ind w:left="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rPr>
              <w:t>具有满足检测工作需要的、独立、固定的食品检测场地，检测场地面积2000</w:t>
            </w:r>
            <w:r>
              <w:rPr>
                <w:rFonts w:hint="eastAsia" w:ascii="宋体" w:hAnsi="宋体" w:eastAsia="宋体" w:cs="宋体"/>
                <w:color w:val="auto"/>
                <w:sz w:val="22"/>
                <w:szCs w:val="22"/>
                <w:lang w:eastAsia="zh-CN"/>
              </w:rPr>
              <w:t>平方米</w:t>
            </w:r>
            <w:r>
              <w:rPr>
                <w:rFonts w:hint="eastAsia" w:ascii="宋体" w:hAnsi="宋体" w:eastAsia="宋体" w:cs="宋体"/>
                <w:color w:val="auto"/>
                <w:sz w:val="22"/>
                <w:szCs w:val="22"/>
              </w:rPr>
              <w:t>以上的得3分，2000</w:t>
            </w:r>
            <w:r>
              <w:rPr>
                <w:rFonts w:hint="eastAsia" w:ascii="宋体" w:hAnsi="宋体" w:eastAsia="宋体" w:cs="宋体"/>
                <w:color w:val="auto"/>
                <w:sz w:val="22"/>
                <w:szCs w:val="22"/>
                <w:lang w:eastAsia="zh-CN"/>
              </w:rPr>
              <w:t>平方米</w:t>
            </w:r>
            <w:r>
              <w:rPr>
                <w:rFonts w:hint="eastAsia" w:ascii="宋体" w:hAnsi="宋体" w:eastAsia="宋体" w:cs="宋体"/>
                <w:color w:val="auto"/>
                <w:sz w:val="22"/>
                <w:szCs w:val="22"/>
              </w:rPr>
              <w:t>以下的不得分。</w:t>
            </w:r>
          </w:p>
          <w:p>
            <w:pPr>
              <w:keepNext w:val="0"/>
              <w:keepLines w:val="0"/>
              <w:pageBreakBefore w:val="0"/>
              <w:widowControl w:val="0"/>
              <w:kinsoku/>
              <w:wordWrap/>
              <w:overflowPunct/>
              <w:topLinePunct w:val="0"/>
              <w:bidi w:val="0"/>
              <w:adjustRightInd w:val="0"/>
              <w:snapToGrid w:val="0"/>
              <w:spacing w:line="340" w:lineRule="exact"/>
              <w:ind w:left="0"/>
              <w:textAlignment w:val="auto"/>
              <w:rPr>
                <w:rFonts w:hint="eastAsia" w:ascii="宋体" w:hAnsi="宋体" w:eastAsia="宋体" w:cs="宋体"/>
                <w:color w:val="auto"/>
                <w:sz w:val="22"/>
                <w:szCs w:val="22"/>
              </w:rPr>
            </w:pPr>
            <w:r>
              <w:rPr>
                <w:rFonts w:hint="eastAsia" w:ascii="宋体" w:hAnsi="宋体" w:eastAsia="宋体" w:cs="宋体"/>
                <w:b/>
                <w:bCs/>
                <w:color w:val="auto"/>
                <w:sz w:val="22"/>
                <w:szCs w:val="22"/>
                <w:lang w:eastAsia="zh-CN"/>
              </w:rPr>
              <w:t>注：</w:t>
            </w:r>
            <w:r>
              <w:rPr>
                <w:rFonts w:hint="eastAsia" w:ascii="宋体" w:hAnsi="宋体" w:eastAsia="宋体" w:cs="宋体"/>
                <w:b/>
                <w:bCs/>
                <w:color w:val="auto"/>
                <w:sz w:val="22"/>
                <w:szCs w:val="22"/>
              </w:rPr>
              <w:t>自有场地的提供房产证复印件并加盖公章。租用场地的提供房屋租赁合同复印件并加盖公章。</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609" w:type="dxa"/>
            <w:vMerge w:val="continue"/>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p>
        </w:tc>
        <w:tc>
          <w:tcPr>
            <w:tcW w:w="952" w:type="dxa"/>
            <w:vMerge w:val="continue"/>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p>
        </w:tc>
        <w:tc>
          <w:tcPr>
            <w:tcW w:w="6995" w:type="dxa"/>
            <w:vAlign w:val="center"/>
          </w:tcPr>
          <w:p>
            <w:pPr>
              <w:keepNext w:val="0"/>
              <w:keepLines w:val="0"/>
              <w:pageBreakBefore w:val="0"/>
              <w:widowControl w:val="0"/>
              <w:numPr>
                <w:ilvl w:val="0"/>
                <w:numId w:val="0"/>
              </w:numPr>
              <w:kinsoku/>
              <w:wordWrap/>
              <w:overflowPunct/>
              <w:topLinePunct w:val="0"/>
              <w:bidi w:val="0"/>
              <w:adjustRightInd w:val="0"/>
              <w:snapToGrid w:val="0"/>
              <w:spacing w:line="340" w:lineRule="exact"/>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2.</w:t>
            </w:r>
            <w:r>
              <w:rPr>
                <w:rFonts w:hint="eastAsia" w:ascii="宋体" w:hAnsi="宋体" w:eastAsia="宋体" w:cs="宋体"/>
                <w:color w:val="auto"/>
                <w:sz w:val="22"/>
                <w:szCs w:val="22"/>
              </w:rPr>
              <w:t>检测场地布局：具有格局合理的微生物检验区和理化检验区的，酌情打分，最高得2分。</w:t>
            </w:r>
          </w:p>
          <w:p>
            <w:pPr>
              <w:keepNext w:val="0"/>
              <w:keepLines w:val="0"/>
              <w:pageBreakBefore w:val="0"/>
              <w:widowControl w:val="0"/>
              <w:kinsoku/>
              <w:wordWrap/>
              <w:overflowPunct/>
              <w:topLinePunct w:val="0"/>
              <w:bidi w:val="0"/>
              <w:adjustRightInd w:val="0"/>
              <w:snapToGrid w:val="0"/>
              <w:spacing w:line="340" w:lineRule="exact"/>
              <w:ind w:left="0"/>
              <w:textAlignment w:val="auto"/>
              <w:rPr>
                <w:rFonts w:hint="eastAsia" w:ascii="宋体" w:hAnsi="宋体" w:eastAsia="宋体" w:cs="宋体"/>
                <w:color w:val="auto"/>
                <w:sz w:val="22"/>
                <w:szCs w:val="22"/>
                <w:lang w:eastAsia="zh-CN"/>
              </w:rPr>
            </w:pPr>
            <w:r>
              <w:rPr>
                <w:rFonts w:hint="eastAsia" w:ascii="宋体" w:hAnsi="宋体" w:eastAsia="宋体" w:cs="宋体"/>
                <w:b/>
                <w:bCs/>
                <w:color w:val="auto"/>
                <w:sz w:val="22"/>
                <w:szCs w:val="22"/>
                <w:lang w:eastAsia="zh-CN"/>
              </w:rPr>
              <w:t>注：</w:t>
            </w:r>
            <w:r>
              <w:rPr>
                <w:rFonts w:hint="eastAsia" w:ascii="宋体" w:hAnsi="宋体" w:eastAsia="宋体" w:cs="宋体"/>
                <w:b/>
                <w:bCs/>
                <w:color w:val="auto"/>
                <w:sz w:val="22"/>
                <w:szCs w:val="22"/>
              </w:rPr>
              <w:t>提供实验室情况及图片说明等</w:t>
            </w:r>
            <w:r>
              <w:rPr>
                <w:rFonts w:hint="eastAsia" w:ascii="宋体" w:hAnsi="宋体" w:eastAsia="宋体" w:cs="宋体"/>
                <w:b/>
                <w:bCs/>
                <w:color w:val="auto"/>
                <w:sz w:val="22"/>
                <w:szCs w:val="22"/>
                <w:lang w:eastAsia="zh-CN"/>
              </w:rPr>
              <w:t>。</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09" w:type="dxa"/>
            <w:vMerge w:val="continue"/>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p>
        </w:tc>
        <w:tc>
          <w:tcPr>
            <w:tcW w:w="952" w:type="dxa"/>
            <w:vMerge w:val="continue"/>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p>
        </w:tc>
        <w:tc>
          <w:tcPr>
            <w:tcW w:w="6995" w:type="dxa"/>
            <w:vAlign w:val="center"/>
          </w:tcPr>
          <w:p>
            <w:pPr>
              <w:keepNext w:val="0"/>
              <w:keepLines w:val="0"/>
              <w:pageBreakBefore w:val="0"/>
              <w:widowControl w:val="0"/>
              <w:kinsoku/>
              <w:wordWrap/>
              <w:overflowPunct/>
              <w:topLinePunct w:val="0"/>
              <w:bidi w:val="0"/>
              <w:adjustRightInd w:val="0"/>
              <w:snapToGrid w:val="0"/>
              <w:spacing w:line="340" w:lineRule="exact"/>
              <w:ind w:left="0" w:left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项目实施实验室距采购区域及采样送检时效保障能力：根据</w:t>
            </w:r>
            <w:r>
              <w:rPr>
                <w:rFonts w:hint="eastAsia" w:ascii="宋体" w:hAnsi="宋体" w:eastAsia="宋体" w:cs="宋体"/>
                <w:color w:val="auto"/>
                <w:sz w:val="22"/>
                <w:szCs w:val="22"/>
                <w:lang w:eastAsia="zh-CN"/>
              </w:rPr>
              <w:t>供应商</w:t>
            </w:r>
            <w:r>
              <w:rPr>
                <w:rFonts w:hint="eastAsia" w:ascii="宋体" w:hAnsi="宋体" w:eastAsia="宋体" w:cs="宋体"/>
                <w:color w:val="auto"/>
                <w:sz w:val="22"/>
                <w:szCs w:val="22"/>
              </w:rPr>
              <w:t>实验室所在位置的情况结合项目实施过程中对待检样品交接的便利程度和检测时效的保障程度进行综合评析，酌情打分，最高得3分。</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6</w:t>
            </w:r>
          </w:p>
        </w:tc>
        <w:tc>
          <w:tcPr>
            <w:tcW w:w="952"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采样及样品储备设施</w:t>
            </w:r>
          </w:p>
        </w:tc>
        <w:tc>
          <w:tcPr>
            <w:tcW w:w="69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0" w:rightChars="0"/>
              <w:jc w:val="left"/>
              <w:textAlignment w:val="auto"/>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color w:val="auto"/>
                <w:sz w:val="22"/>
                <w:szCs w:val="22"/>
                <w:lang w:val="en-US" w:eastAsia="zh-CN"/>
              </w:rPr>
              <w:t>1.</w:t>
            </w:r>
            <w:r>
              <w:rPr>
                <w:rFonts w:hint="eastAsia" w:ascii="宋体" w:hAnsi="宋体" w:eastAsia="宋体" w:cs="宋体"/>
                <w:color w:val="auto"/>
                <w:sz w:val="22"/>
                <w:szCs w:val="22"/>
                <w:lang w:eastAsia="zh-CN"/>
              </w:rPr>
              <w:t>供应商</w:t>
            </w:r>
            <w:r>
              <w:rPr>
                <w:rFonts w:hint="eastAsia" w:ascii="宋体" w:hAnsi="宋体" w:eastAsia="宋体" w:cs="宋体"/>
                <w:b w:val="0"/>
                <w:bCs w:val="0"/>
                <w:color w:val="auto"/>
                <w:sz w:val="22"/>
                <w:szCs w:val="22"/>
                <w:highlight w:val="none"/>
              </w:rPr>
              <w:t>有专用采样车和冷藏车</w:t>
            </w:r>
            <w:r>
              <w:rPr>
                <w:rFonts w:hint="eastAsia" w:ascii="宋体" w:hAnsi="宋体" w:eastAsia="宋体" w:cs="宋体"/>
                <w:b w:val="0"/>
                <w:bCs w:val="0"/>
                <w:color w:val="auto"/>
                <w:sz w:val="22"/>
                <w:szCs w:val="22"/>
                <w:highlight w:val="none"/>
                <w:lang w:eastAsia="zh-CN"/>
              </w:rPr>
              <w:t>或</w:t>
            </w:r>
            <w:r>
              <w:rPr>
                <w:rFonts w:hint="eastAsia" w:ascii="宋体" w:hAnsi="宋体" w:eastAsia="宋体" w:cs="宋体"/>
                <w:b w:val="0"/>
                <w:bCs w:val="0"/>
                <w:color w:val="auto"/>
                <w:sz w:val="22"/>
                <w:szCs w:val="22"/>
                <w:highlight w:val="none"/>
              </w:rPr>
              <w:t>车载冰箱得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0" w:rightChars="0"/>
              <w:jc w:val="left"/>
              <w:textAlignment w:val="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有专用采样车但无冷藏车和车载冰箱得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b w:val="0"/>
                <w:bCs w:val="0"/>
                <w:color w:val="auto"/>
                <w:sz w:val="22"/>
                <w:szCs w:val="2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right="0" w:rightChars="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eastAsia="zh-CN"/>
              </w:rPr>
              <w:t>供应商</w:t>
            </w:r>
            <w:r>
              <w:rPr>
                <w:rFonts w:hint="eastAsia" w:ascii="宋体" w:hAnsi="宋体" w:eastAsia="宋体" w:cs="宋体"/>
                <w:b w:val="0"/>
                <w:bCs w:val="0"/>
                <w:color w:val="auto"/>
                <w:sz w:val="22"/>
                <w:szCs w:val="22"/>
                <w:highlight w:val="none"/>
              </w:rPr>
              <w:t>提供具备</w:t>
            </w:r>
            <w:r>
              <w:rPr>
                <w:rFonts w:hint="eastAsia" w:ascii="宋体" w:hAnsi="宋体" w:eastAsia="宋体" w:cs="宋体"/>
                <w:color w:val="auto"/>
                <w:sz w:val="22"/>
                <w:szCs w:val="22"/>
              </w:rPr>
              <w:t>冷藏及冷冻食品保存专用</w:t>
            </w:r>
            <w:r>
              <w:rPr>
                <w:rFonts w:hint="eastAsia" w:ascii="宋体" w:hAnsi="宋体" w:eastAsia="宋体" w:cs="宋体"/>
                <w:color w:val="auto"/>
                <w:sz w:val="22"/>
                <w:szCs w:val="22"/>
                <w:lang w:eastAsia="zh-CN"/>
              </w:rPr>
              <w:t>冷柜、</w:t>
            </w:r>
            <w:r>
              <w:rPr>
                <w:rFonts w:hint="eastAsia" w:ascii="宋体" w:hAnsi="宋体" w:eastAsia="宋体" w:cs="宋体"/>
                <w:b w:val="0"/>
                <w:bCs w:val="0"/>
                <w:color w:val="auto"/>
                <w:sz w:val="22"/>
                <w:szCs w:val="22"/>
                <w:highlight w:val="none"/>
              </w:rPr>
              <w:t>专用冷库的得</w:t>
            </w: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分</w:t>
            </w:r>
            <w:r>
              <w:rPr>
                <w:rFonts w:hint="eastAsia" w:ascii="宋体" w:hAnsi="宋体" w:eastAsia="宋体" w:cs="宋体"/>
                <w:color w:val="auto"/>
                <w:sz w:val="22"/>
                <w:szCs w:val="2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40" w:lineRule="exact"/>
              <w:ind w:left="0" w:leftChars="0" w:right="0" w:rightChars="0" w:firstLine="0" w:firstLineChars="0"/>
              <w:jc w:val="left"/>
              <w:textAlignment w:val="auto"/>
              <w:outlineLvl w:val="9"/>
              <w:rPr>
                <w:rFonts w:hint="eastAsia" w:ascii="宋体" w:hAnsi="宋体" w:eastAsia="宋体" w:cs="宋体"/>
                <w:color w:val="auto"/>
                <w:sz w:val="22"/>
                <w:szCs w:val="22"/>
              </w:rPr>
            </w:pPr>
            <w:r>
              <w:rPr>
                <w:rFonts w:hint="eastAsia" w:ascii="宋体" w:hAnsi="宋体" w:eastAsia="宋体" w:cs="宋体"/>
                <w:b/>
                <w:bCs/>
                <w:color w:val="auto"/>
                <w:sz w:val="22"/>
                <w:szCs w:val="22"/>
                <w:highlight w:val="none"/>
                <w:lang w:eastAsia="zh-CN"/>
              </w:rPr>
              <w:t>注：</w:t>
            </w:r>
            <w:r>
              <w:rPr>
                <w:rFonts w:hint="eastAsia" w:ascii="宋体" w:hAnsi="宋体" w:eastAsia="宋体" w:cs="宋体"/>
                <w:b/>
                <w:bCs/>
                <w:color w:val="auto"/>
                <w:sz w:val="22"/>
                <w:szCs w:val="22"/>
                <w:highlight w:val="none"/>
              </w:rPr>
              <w:t>须提供相关证明材料</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如发票或照片或其他证明材料</w:t>
            </w:r>
            <w:r>
              <w:rPr>
                <w:rFonts w:hint="eastAsia" w:ascii="宋体" w:hAnsi="宋体" w:eastAsia="宋体" w:cs="宋体"/>
                <w:b/>
                <w:bCs/>
                <w:color w:val="auto"/>
                <w:sz w:val="22"/>
                <w:szCs w:val="22"/>
                <w:highlight w:val="none"/>
                <w:lang w:eastAsia="zh-CN"/>
              </w:rPr>
              <w:t>）复印件</w:t>
            </w:r>
            <w:r>
              <w:rPr>
                <w:rFonts w:hint="eastAsia" w:ascii="宋体" w:hAnsi="宋体" w:eastAsia="宋体" w:cs="宋体"/>
                <w:b/>
                <w:bCs/>
                <w:color w:val="auto"/>
                <w:sz w:val="22"/>
                <w:szCs w:val="22"/>
                <w:highlight w:val="none"/>
              </w:rPr>
              <w:t>并加盖公章，否则不得分</w:t>
            </w:r>
            <w:r>
              <w:rPr>
                <w:rFonts w:hint="eastAsia" w:ascii="宋体" w:hAnsi="宋体" w:eastAsia="宋体" w:cs="宋体"/>
                <w:b/>
                <w:bCs/>
                <w:color w:val="auto"/>
                <w:sz w:val="22"/>
                <w:szCs w:val="22"/>
              </w:rPr>
              <w:t>。</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6</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7</w:t>
            </w:r>
          </w:p>
        </w:tc>
        <w:tc>
          <w:tcPr>
            <w:tcW w:w="952"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检测</w:t>
            </w:r>
          </w:p>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能力</w:t>
            </w:r>
          </w:p>
        </w:tc>
        <w:tc>
          <w:tcPr>
            <w:tcW w:w="6995" w:type="dxa"/>
            <w:vAlign w:val="center"/>
          </w:tcPr>
          <w:p>
            <w:pPr>
              <w:keepNext w:val="0"/>
              <w:keepLines w:val="0"/>
              <w:pageBreakBefore w:val="0"/>
              <w:widowControl w:val="0"/>
              <w:kinsoku/>
              <w:wordWrap/>
              <w:overflowPunct/>
              <w:topLinePunct w:val="0"/>
              <w:autoSpaceDE/>
              <w:autoSpaceDN/>
              <w:bidi w:val="0"/>
              <w:adjustRightInd w:val="0"/>
              <w:snapToGrid w:val="0"/>
              <w:spacing w:line="340" w:lineRule="exact"/>
              <w:ind w:left="0" w:leftChars="0"/>
              <w:jc w:val="left"/>
              <w:textAlignment w:val="auto"/>
              <w:rPr>
                <w:rFonts w:hint="eastAsia" w:ascii="宋体" w:hAnsi="宋体" w:eastAsia="宋体" w:cs="宋体"/>
                <w:i w:val="0"/>
                <w:caps w:val="0"/>
                <w:color w:val="auto"/>
                <w:spacing w:val="0"/>
                <w:sz w:val="22"/>
                <w:szCs w:val="22"/>
                <w:shd w:val="clear" w:color="auto" w:fill="FFFFFF"/>
                <w:lang w:val="en-US" w:eastAsia="zh-CN"/>
              </w:rPr>
            </w:pPr>
            <w:r>
              <w:rPr>
                <w:rFonts w:hint="eastAsia" w:ascii="宋体" w:hAnsi="宋体" w:eastAsia="宋体" w:cs="宋体"/>
                <w:i w:val="0"/>
                <w:caps w:val="0"/>
                <w:color w:val="auto"/>
                <w:spacing w:val="0"/>
                <w:sz w:val="22"/>
                <w:szCs w:val="22"/>
                <w:shd w:val="clear" w:color="auto" w:fill="FFFFFF"/>
                <w:lang w:val="en-US" w:eastAsia="zh-CN"/>
              </w:rPr>
              <w:t>根据资质认定（计量认证）证书附表标示的检测项目，满足（覆盖）本目中的检测项目：覆盖99%以上的得4分，95%-99%(含)的得3分，90%-95%(含)的得2分，85%-9%(含)的得1分，85%以下不得分。</w:t>
            </w:r>
          </w:p>
          <w:p>
            <w:pPr>
              <w:keepNext w:val="0"/>
              <w:keepLines w:val="0"/>
              <w:pageBreakBefore w:val="0"/>
              <w:widowControl w:val="0"/>
              <w:kinsoku/>
              <w:wordWrap/>
              <w:overflowPunct/>
              <w:topLinePunct w:val="0"/>
              <w:autoSpaceDE/>
              <w:autoSpaceDN/>
              <w:bidi w:val="0"/>
              <w:adjustRightInd w:val="0"/>
              <w:snapToGrid w:val="0"/>
              <w:spacing w:line="340" w:lineRule="exact"/>
              <w:ind w:left="0" w:leftChars="0"/>
              <w:jc w:val="left"/>
              <w:textAlignment w:val="auto"/>
              <w:rPr>
                <w:rFonts w:hint="eastAsia" w:ascii="宋体" w:hAnsi="宋体" w:eastAsia="宋体" w:cs="宋体"/>
                <w:i w:val="0"/>
                <w:caps w:val="0"/>
                <w:color w:val="auto"/>
                <w:spacing w:val="0"/>
                <w:sz w:val="22"/>
                <w:szCs w:val="22"/>
                <w:shd w:val="clear" w:color="auto" w:fill="FFFFFF"/>
                <w:lang w:val="zh-CN" w:eastAsia="zh-CN"/>
              </w:rPr>
            </w:pPr>
            <w:r>
              <w:rPr>
                <w:rFonts w:hint="eastAsia" w:ascii="宋体" w:hAnsi="宋体" w:eastAsia="宋体" w:cs="宋体"/>
                <w:b/>
                <w:bCs/>
                <w:i w:val="0"/>
                <w:caps w:val="0"/>
                <w:color w:val="auto"/>
                <w:spacing w:val="0"/>
                <w:sz w:val="22"/>
                <w:szCs w:val="22"/>
                <w:shd w:val="clear" w:color="auto" w:fill="FFFFFF"/>
                <w:lang w:val="en-US" w:eastAsia="zh-CN"/>
              </w:rPr>
              <w:t>注：提供资质对照表和偏离明细的说明，否则不得分。</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8</w:t>
            </w:r>
          </w:p>
        </w:tc>
        <w:tc>
          <w:tcPr>
            <w:tcW w:w="952"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能力</w:t>
            </w:r>
          </w:p>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rPr>
              <w:t>验证</w:t>
            </w:r>
          </w:p>
        </w:tc>
        <w:tc>
          <w:tcPr>
            <w:tcW w:w="6995" w:type="dxa"/>
            <w:vAlign w:val="center"/>
          </w:tcPr>
          <w:p>
            <w:pPr>
              <w:keepNext w:val="0"/>
              <w:keepLines w:val="0"/>
              <w:pageBreakBefore w:val="0"/>
              <w:widowControl w:val="0"/>
              <w:kinsoku/>
              <w:overflowPunct/>
              <w:topLinePunct w:val="0"/>
              <w:bidi w:val="0"/>
              <w:adjustRightInd w:val="0"/>
              <w:snapToGrid w:val="0"/>
              <w:spacing w:line="360" w:lineRule="exact"/>
              <w:ind w:left="0" w:leftChars="0"/>
              <w:jc w:val="left"/>
              <w:textAlignment w:val="auto"/>
              <w:rPr>
                <w:rFonts w:hint="eastAsia" w:ascii="宋体" w:hAnsi="宋体" w:eastAsia="宋体" w:cs="宋体"/>
                <w:i w:val="0"/>
                <w:caps w:val="0"/>
                <w:color w:val="auto"/>
                <w:spacing w:val="0"/>
                <w:sz w:val="22"/>
                <w:szCs w:val="22"/>
                <w:shd w:val="clear" w:color="auto" w:fill="FFFFFF"/>
                <w:lang w:val="zh-CN" w:eastAsia="zh-CN"/>
              </w:rPr>
            </w:pPr>
            <w:r>
              <w:rPr>
                <w:rFonts w:hint="eastAsia" w:ascii="宋体" w:hAnsi="宋体" w:eastAsia="宋体" w:cs="宋体"/>
                <w:i w:val="0"/>
                <w:caps w:val="0"/>
                <w:color w:val="auto"/>
                <w:spacing w:val="0"/>
                <w:sz w:val="22"/>
                <w:szCs w:val="22"/>
                <w:shd w:val="clear" w:color="auto" w:fill="FFFFFF"/>
                <w:lang w:val="zh-CN" w:eastAsia="zh-CN"/>
              </w:rPr>
              <w:t>201</w:t>
            </w:r>
            <w:r>
              <w:rPr>
                <w:rFonts w:hint="eastAsia" w:ascii="宋体" w:hAnsi="宋体" w:eastAsia="宋体" w:cs="宋体"/>
                <w:i w:val="0"/>
                <w:caps w:val="0"/>
                <w:color w:val="auto"/>
                <w:spacing w:val="0"/>
                <w:sz w:val="22"/>
                <w:szCs w:val="22"/>
                <w:shd w:val="clear" w:color="auto" w:fill="FFFFFF"/>
                <w:lang w:val="en-US" w:eastAsia="zh-CN"/>
              </w:rPr>
              <w:t>9</w:t>
            </w:r>
            <w:r>
              <w:rPr>
                <w:rFonts w:hint="eastAsia" w:ascii="宋体" w:hAnsi="宋体" w:eastAsia="宋体" w:cs="宋体"/>
                <w:i w:val="0"/>
                <w:caps w:val="0"/>
                <w:color w:val="auto"/>
                <w:spacing w:val="0"/>
                <w:sz w:val="22"/>
                <w:szCs w:val="22"/>
                <w:shd w:val="clear" w:color="auto" w:fill="FFFFFF"/>
                <w:lang w:val="zh-CN" w:eastAsia="zh-CN"/>
              </w:rPr>
              <w:t>年1月1日至投标文件递交截止日止，供应商参加能力验证的数量和满意率评定情况，结果满意次数</w:t>
            </w:r>
            <w:r>
              <w:rPr>
                <w:rFonts w:hint="eastAsia" w:ascii="宋体" w:hAnsi="宋体" w:eastAsia="宋体" w:cs="宋体"/>
                <w:i w:val="0"/>
                <w:caps w:val="0"/>
                <w:color w:val="auto"/>
                <w:spacing w:val="0"/>
                <w:sz w:val="22"/>
                <w:szCs w:val="22"/>
                <w:shd w:val="clear" w:color="auto" w:fill="FFFFFF"/>
                <w:lang w:val="en-US" w:eastAsia="zh-CN"/>
              </w:rPr>
              <w:t>3</w:t>
            </w:r>
            <w:r>
              <w:rPr>
                <w:rFonts w:hint="eastAsia" w:ascii="宋体" w:hAnsi="宋体" w:eastAsia="宋体" w:cs="宋体"/>
                <w:i w:val="0"/>
                <w:caps w:val="0"/>
                <w:color w:val="auto"/>
                <w:spacing w:val="0"/>
                <w:sz w:val="22"/>
                <w:szCs w:val="22"/>
                <w:shd w:val="clear" w:color="auto" w:fill="FFFFFF"/>
                <w:lang w:val="zh-CN" w:eastAsia="zh-CN"/>
              </w:rPr>
              <w:t>0次以上得</w:t>
            </w:r>
            <w:r>
              <w:rPr>
                <w:rFonts w:hint="eastAsia" w:ascii="宋体" w:hAnsi="宋体" w:eastAsia="宋体" w:cs="宋体"/>
                <w:i w:val="0"/>
                <w:caps w:val="0"/>
                <w:color w:val="auto"/>
                <w:spacing w:val="0"/>
                <w:sz w:val="22"/>
                <w:szCs w:val="22"/>
                <w:shd w:val="clear" w:color="auto" w:fill="FFFFFF"/>
                <w:lang w:val="en-US" w:eastAsia="zh-CN"/>
              </w:rPr>
              <w:t>4</w:t>
            </w:r>
            <w:r>
              <w:rPr>
                <w:rFonts w:hint="eastAsia" w:ascii="宋体" w:hAnsi="宋体" w:eastAsia="宋体" w:cs="宋体"/>
                <w:i w:val="0"/>
                <w:caps w:val="0"/>
                <w:color w:val="auto"/>
                <w:spacing w:val="0"/>
                <w:sz w:val="22"/>
                <w:szCs w:val="22"/>
                <w:shd w:val="clear" w:color="auto" w:fill="FFFFFF"/>
                <w:lang w:val="zh-CN" w:eastAsia="zh-CN"/>
              </w:rPr>
              <w:t>分，</w:t>
            </w:r>
            <w:r>
              <w:rPr>
                <w:rFonts w:hint="eastAsia" w:ascii="宋体" w:hAnsi="宋体" w:eastAsia="宋体" w:cs="宋体"/>
                <w:i w:val="0"/>
                <w:caps w:val="0"/>
                <w:color w:val="auto"/>
                <w:spacing w:val="0"/>
                <w:sz w:val="22"/>
                <w:szCs w:val="22"/>
                <w:shd w:val="clear" w:color="auto" w:fill="FFFFFF"/>
                <w:lang w:val="en-US" w:eastAsia="zh-CN"/>
              </w:rPr>
              <w:t>2</w:t>
            </w:r>
            <w:r>
              <w:rPr>
                <w:rFonts w:hint="eastAsia" w:ascii="宋体" w:hAnsi="宋体" w:eastAsia="宋体" w:cs="宋体"/>
                <w:i w:val="0"/>
                <w:caps w:val="0"/>
                <w:color w:val="auto"/>
                <w:spacing w:val="0"/>
                <w:sz w:val="22"/>
                <w:szCs w:val="22"/>
                <w:shd w:val="clear" w:color="auto" w:fill="FFFFFF"/>
                <w:lang w:val="zh-CN" w:eastAsia="zh-CN"/>
              </w:rPr>
              <w:t>0</w:t>
            </w:r>
            <w:r>
              <w:rPr>
                <w:rFonts w:hint="eastAsia" w:ascii="宋体" w:hAnsi="宋体" w:eastAsia="宋体" w:cs="宋体"/>
                <w:i w:val="0"/>
                <w:caps w:val="0"/>
                <w:color w:val="auto"/>
                <w:spacing w:val="0"/>
                <w:sz w:val="22"/>
                <w:szCs w:val="22"/>
                <w:shd w:val="clear" w:color="auto" w:fill="FFFFFF"/>
                <w:lang w:val="en-US" w:eastAsia="zh-CN"/>
              </w:rPr>
              <w:t>-29</w:t>
            </w:r>
            <w:r>
              <w:rPr>
                <w:rFonts w:hint="eastAsia" w:ascii="宋体" w:hAnsi="宋体" w:eastAsia="宋体" w:cs="宋体"/>
                <w:i w:val="0"/>
                <w:caps w:val="0"/>
                <w:color w:val="auto"/>
                <w:spacing w:val="0"/>
                <w:sz w:val="22"/>
                <w:szCs w:val="22"/>
                <w:shd w:val="clear" w:color="auto" w:fill="FFFFFF"/>
                <w:lang w:val="zh-CN" w:eastAsia="zh-CN"/>
              </w:rPr>
              <w:t>次得</w:t>
            </w:r>
            <w:r>
              <w:rPr>
                <w:rFonts w:hint="eastAsia" w:ascii="宋体" w:hAnsi="宋体" w:eastAsia="宋体" w:cs="宋体"/>
                <w:i w:val="0"/>
                <w:caps w:val="0"/>
                <w:color w:val="auto"/>
                <w:spacing w:val="0"/>
                <w:sz w:val="22"/>
                <w:szCs w:val="22"/>
                <w:shd w:val="clear" w:color="auto" w:fill="FFFFFF"/>
                <w:lang w:val="en-US" w:eastAsia="zh-CN"/>
              </w:rPr>
              <w:t>3</w:t>
            </w:r>
            <w:r>
              <w:rPr>
                <w:rFonts w:hint="eastAsia" w:ascii="宋体" w:hAnsi="宋体" w:eastAsia="宋体" w:cs="宋体"/>
                <w:i w:val="0"/>
                <w:caps w:val="0"/>
                <w:color w:val="auto"/>
                <w:spacing w:val="0"/>
                <w:sz w:val="22"/>
                <w:szCs w:val="22"/>
                <w:shd w:val="clear" w:color="auto" w:fill="FFFFFF"/>
                <w:lang w:val="zh-CN" w:eastAsia="zh-CN"/>
              </w:rPr>
              <w:t>分，</w:t>
            </w:r>
            <w:r>
              <w:rPr>
                <w:rFonts w:hint="eastAsia" w:ascii="宋体" w:hAnsi="宋体" w:eastAsia="宋体" w:cs="宋体"/>
                <w:i w:val="0"/>
                <w:caps w:val="0"/>
                <w:color w:val="auto"/>
                <w:spacing w:val="0"/>
                <w:sz w:val="22"/>
                <w:szCs w:val="22"/>
                <w:shd w:val="clear" w:color="auto" w:fill="FFFFFF"/>
                <w:lang w:val="en-US" w:eastAsia="zh-CN"/>
              </w:rPr>
              <w:t>10-19</w:t>
            </w:r>
            <w:r>
              <w:rPr>
                <w:rFonts w:hint="eastAsia" w:ascii="宋体" w:hAnsi="宋体" w:eastAsia="宋体" w:cs="宋体"/>
                <w:i w:val="0"/>
                <w:caps w:val="0"/>
                <w:color w:val="auto"/>
                <w:spacing w:val="0"/>
                <w:sz w:val="22"/>
                <w:szCs w:val="22"/>
                <w:shd w:val="clear" w:color="auto" w:fill="FFFFFF"/>
                <w:lang w:val="zh-CN" w:eastAsia="zh-CN"/>
              </w:rPr>
              <w:t>次得</w:t>
            </w:r>
            <w:r>
              <w:rPr>
                <w:rFonts w:hint="eastAsia" w:ascii="宋体" w:hAnsi="宋体" w:eastAsia="宋体" w:cs="宋体"/>
                <w:i w:val="0"/>
                <w:caps w:val="0"/>
                <w:color w:val="auto"/>
                <w:spacing w:val="0"/>
                <w:sz w:val="22"/>
                <w:szCs w:val="22"/>
                <w:shd w:val="clear" w:color="auto" w:fill="FFFFFF"/>
                <w:lang w:val="en-US" w:eastAsia="zh-CN"/>
              </w:rPr>
              <w:t>2</w:t>
            </w:r>
            <w:r>
              <w:rPr>
                <w:rFonts w:hint="eastAsia" w:ascii="宋体" w:hAnsi="宋体" w:eastAsia="宋体" w:cs="宋体"/>
                <w:i w:val="0"/>
                <w:caps w:val="0"/>
                <w:color w:val="auto"/>
                <w:spacing w:val="0"/>
                <w:sz w:val="22"/>
                <w:szCs w:val="22"/>
                <w:shd w:val="clear" w:color="auto" w:fill="FFFFFF"/>
                <w:lang w:val="zh-CN" w:eastAsia="zh-CN"/>
              </w:rPr>
              <w:t>分</w:t>
            </w:r>
            <w:r>
              <w:rPr>
                <w:rFonts w:hint="eastAsia" w:ascii="宋体" w:hAnsi="宋体" w:eastAsia="宋体" w:cs="宋体"/>
                <w:i w:val="0"/>
                <w:caps w:val="0"/>
                <w:color w:val="auto"/>
                <w:spacing w:val="0"/>
                <w:sz w:val="22"/>
                <w:szCs w:val="22"/>
                <w:shd w:val="clear" w:color="auto" w:fill="FFFFFF"/>
                <w:lang w:val="en-US" w:eastAsia="zh-CN"/>
              </w:rPr>
              <w:t>，5-9</w:t>
            </w:r>
            <w:r>
              <w:rPr>
                <w:rFonts w:hint="eastAsia" w:ascii="宋体" w:hAnsi="宋体" w:eastAsia="宋体" w:cs="宋体"/>
                <w:i w:val="0"/>
                <w:caps w:val="0"/>
                <w:color w:val="auto"/>
                <w:spacing w:val="0"/>
                <w:sz w:val="22"/>
                <w:szCs w:val="22"/>
                <w:shd w:val="clear" w:color="auto" w:fill="FFFFFF"/>
                <w:lang w:val="zh-CN" w:eastAsia="zh-CN"/>
              </w:rPr>
              <w:t>次得</w:t>
            </w:r>
            <w:r>
              <w:rPr>
                <w:rFonts w:hint="eastAsia" w:ascii="宋体" w:hAnsi="宋体" w:eastAsia="宋体" w:cs="宋体"/>
                <w:i w:val="0"/>
                <w:caps w:val="0"/>
                <w:color w:val="auto"/>
                <w:spacing w:val="0"/>
                <w:sz w:val="22"/>
                <w:szCs w:val="22"/>
                <w:shd w:val="clear" w:color="auto" w:fill="FFFFFF"/>
                <w:lang w:val="en-US" w:eastAsia="zh-CN"/>
              </w:rPr>
              <w:t>1</w:t>
            </w:r>
            <w:r>
              <w:rPr>
                <w:rFonts w:hint="eastAsia" w:ascii="宋体" w:hAnsi="宋体" w:eastAsia="宋体" w:cs="宋体"/>
                <w:i w:val="0"/>
                <w:caps w:val="0"/>
                <w:color w:val="auto"/>
                <w:spacing w:val="0"/>
                <w:sz w:val="22"/>
                <w:szCs w:val="22"/>
                <w:shd w:val="clear" w:color="auto" w:fill="FFFFFF"/>
                <w:lang w:val="zh-CN" w:eastAsia="zh-CN"/>
              </w:rPr>
              <w:t>分</w:t>
            </w:r>
            <w:r>
              <w:rPr>
                <w:rFonts w:hint="eastAsia" w:ascii="宋体" w:hAnsi="宋体" w:eastAsia="宋体" w:cs="宋体"/>
                <w:i w:val="0"/>
                <w:caps w:val="0"/>
                <w:color w:val="auto"/>
                <w:spacing w:val="0"/>
                <w:sz w:val="22"/>
                <w:szCs w:val="22"/>
                <w:shd w:val="clear" w:color="auto" w:fill="FFFFFF"/>
                <w:lang w:val="en-US" w:eastAsia="zh-CN"/>
              </w:rPr>
              <w:t>，4次及4次以下不得分</w:t>
            </w:r>
            <w:r>
              <w:rPr>
                <w:rFonts w:hint="eastAsia" w:ascii="宋体" w:hAnsi="宋体" w:eastAsia="宋体" w:cs="宋体"/>
                <w:i w:val="0"/>
                <w:caps w:val="0"/>
                <w:color w:val="auto"/>
                <w:spacing w:val="0"/>
                <w:sz w:val="22"/>
                <w:szCs w:val="22"/>
                <w:shd w:val="clear" w:color="auto" w:fill="FFFFFF"/>
                <w:lang w:val="zh-CN" w:eastAsia="zh-CN"/>
              </w:rPr>
              <w:t>。</w:t>
            </w:r>
          </w:p>
          <w:p>
            <w:pPr>
              <w:keepNext w:val="0"/>
              <w:keepLines w:val="0"/>
              <w:pageBreakBefore w:val="0"/>
              <w:widowControl w:val="0"/>
              <w:kinsoku/>
              <w:overflowPunct/>
              <w:topLinePunct w:val="0"/>
              <w:bidi w:val="0"/>
              <w:adjustRightInd w:val="0"/>
              <w:snapToGrid w:val="0"/>
              <w:spacing w:line="360" w:lineRule="exact"/>
              <w:ind w:left="0" w:leftChars="0"/>
              <w:jc w:val="left"/>
              <w:textAlignment w:val="auto"/>
              <w:rPr>
                <w:rFonts w:hint="eastAsia" w:ascii="宋体" w:hAnsi="宋体" w:eastAsia="宋体" w:cs="宋体"/>
                <w:i w:val="0"/>
                <w:caps w:val="0"/>
                <w:color w:val="auto"/>
                <w:spacing w:val="0"/>
                <w:sz w:val="22"/>
                <w:szCs w:val="22"/>
                <w:shd w:val="clear" w:color="auto" w:fill="FFFFFF"/>
                <w:lang w:val="zh-CN" w:eastAsia="zh-CN"/>
              </w:rPr>
            </w:pPr>
            <w:r>
              <w:rPr>
                <w:rFonts w:hint="eastAsia" w:ascii="宋体" w:hAnsi="宋体" w:eastAsia="宋体" w:cs="宋体"/>
                <w:i w:val="0"/>
                <w:caps w:val="0"/>
                <w:color w:val="auto"/>
                <w:spacing w:val="0"/>
                <w:sz w:val="22"/>
                <w:szCs w:val="22"/>
                <w:shd w:val="clear" w:color="auto" w:fill="FFFFFF"/>
                <w:lang w:val="zh-CN" w:eastAsia="zh-CN"/>
              </w:rPr>
              <w:t>注：需提供能力验证满意结果通知单，否则不得分。</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vMerge w:val="restart"/>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eastAsia="zh-CN"/>
              </w:rPr>
            </w:pPr>
            <w:r>
              <w:rPr>
                <w:rFonts w:hint="eastAsia" w:ascii="宋体" w:hAnsi="宋体" w:eastAsia="宋体" w:cs="宋体"/>
                <w:color w:val="auto"/>
                <w:sz w:val="22"/>
                <w:szCs w:val="22"/>
                <w:lang w:val="en-US" w:eastAsia="zh-CN"/>
              </w:rPr>
              <w:t>9</w:t>
            </w:r>
          </w:p>
        </w:tc>
        <w:tc>
          <w:tcPr>
            <w:tcW w:w="952" w:type="dxa"/>
            <w:vMerge w:val="restart"/>
            <w:vAlign w:val="center"/>
          </w:tcPr>
          <w:p>
            <w:pPr>
              <w:keepNext w:val="0"/>
              <w:keepLines w:val="0"/>
              <w:pageBreakBefore w:val="0"/>
              <w:widowControl w:val="0"/>
              <w:kinsoku/>
              <w:overflowPunct/>
              <w:topLinePunct w:val="0"/>
              <w:bidi w:val="0"/>
              <w:spacing w:line="440" w:lineRule="exact"/>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实验室</w:t>
            </w:r>
          </w:p>
          <w:p>
            <w:pPr>
              <w:keepNext w:val="0"/>
              <w:keepLines w:val="0"/>
              <w:pageBreakBefore w:val="0"/>
              <w:widowControl w:val="0"/>
              <w:kinsoku/>
              <w:overflowPunct/>
              <w:topLinePunct w:val="0"/>
              <w:bidi w:val="0"/>
              <w:spacing w:line="440" w:lineRule="exact"/>
              <w:jc w:val="center"/>
              <w:rPr>
                <w:rFonts w:hint="eastAsia" w:ascii="宋体" w:hAnsi="宋体" w:eastAsia="宋体" w:cs="宋体"/>
                <w:color w:val="auto"/>
                <w:sz w:val="22"/>
                <w:szCs w:val="22"/>
              </w:rPr>
            </w:pPr>
            <w:r>
              <w:rPr>
                <w:rFonts w:hint="eastAsia" w:ascii="宋体" w:hAnsi="宋体" w:eastAsia="宋体" w:cs="宋体"/>
                <w:color w:val="auto"/>
                <w:sz w:val="22"/>
                <w:szCs w:val="22"/>
                <w:highlight w:val="none"/>
              </w:rPr>
              <w:t>实力</w:t>
            </w:r>
          </w:p>
        </w:tc>
        <w:tc>
          <w:tcPr>
            <w:tcW w:w="6995" w:type="dxa"/>
            <w:vAlign w:val="center"/>
          </w:tcPr>
          <w:p>
            <w:pPr>
              <w:keepNext w:val="0"/>
              <w:keepLines w:val="0"/>
              <w:pageBreakBefore w:val="0"/>
              <w:widowControl w:val="0"/>
              <w:kinsoku/>
              <w:overflowPunct/>
              <w:topLinePunct w:val="0"/>
              <w:bidi w:val="0"/>
              <w:adjustRightInd w:val="0"/>
              <w:snapToGrid w:val="0"/>
              <w:spacing w:line="360" w:lineRule="exact"/>
              <w:ind w:left="0" w:leftChars="0"/>
              <w:jc w:val="left"/>
              <w:textAlignment w:val="auto"/>
              <w:rPr>
                <w:rFonts w:hint="eastAsia"/>
                <w:lang w:val="en-US" w:eastAsia="zh-CN"/>
              </w:rPr>
            </w:pPr>
            <w:r>
              <w:rPr>
                <w:rFonts w:hint="eastAsia" w:ascii="宋体" w:hAnsi="宋体" w:eastAsia="宋体" w:cs="宋体"/>
                <w:i w:val="0"/>
                <w:caps w:val="0"/>
                <w:color w:val="auto"/>
                <w:spacing w:val="0"/>
                <w:sz w:val="22"/>
                <w:szCs w:val="22"/>
                <w:shd w:val="clear" w:color="auto" w:fill="FFFFFF"/>
                <w:lang w:val="en-US" w:eastAsia="zh-CN"/>
              </w:rPr>
              <w:t>1.供应商具有：总三帖、猪源性、鸡源性成分、鸭源性成分、番茄红素、过敏原大豆成分、鹅源性成分、叶黄素检测、安眠酮、叶绿素、藏花素、藏花酸、狐狸源性、过敏原芥末成分、总黄酮、过敏原花生成分、美术绿（铅铬绿）、过敏原小麦成分、过敏原虾蟹成分检测资质的，每项得0.5分，最高得4分。</w:t>
            </w:r>
          </w:p>
          <w:p>
            <w:pPr>
              <w:keepNext w:val="0"/>
              <w:keepLines w:val="0"/>
              <w:pageBreakBefore w:val="0"/>
              <w:widowControl w:val="0"/>
              <w:kinsoku/>
              <w:overflowPunct/>
              <w:topLinePunct w:val="0"/>
              <w:bidi w:val="0"/>
              <w:adjustRightInd w:val="0"/>
              <w:snapToGrid w:val="0"/>
              <w:spacing w:line="360" w:lineRule="exact"/>
              <w:ind w:left="0" w:leftChars="0"/>
              <w:jc w:val="left"/>
              <w:textAlignment w:val="auto"/>
              <w:rPr>
                <w:rFonts w:hint="eastAsia" w:ascii="宋体" w:hAnsi="宋体" w:eastAsia="宋体" w:cs="宋体"/>
                <w:i w:val="0"/>
                <w:caps w:val="0"/>
                <w:color w:val="auto"/>
                <w:spacing w:val="0"/>
                <w:sz w:val="22"/>
                <w:szCs w:val="22"/>
                <w:shd w:val="clear" w:color="auto" w:fill="FFFFFF"/>
                <w:lang w:val="en-US" w:eastAsia="zh-CN"/>
              </w:rPr>
            </w:pPr>
            <w:r>
              <w:rPr>
                <w:rFonts w:hint="eastAsia" w:ascii="宋体" w:hAnsi="宋体" w:eastAsia="宋体" w:cs="宋体"/>
                <w:b/>
                <w:bCs/>
                <w:i w:val="0"/>
                <w:caps w:val="0"/>
                <w:color w:val="auto"/>
                <w:spacing w:val="0"/>
                <w:sz w:val="22"/>
                <w:szCs w:val="22"/>
                <w:shd w:val="clear" w:color="auto" w:fill="FFFFFF"/>
                <w:lang w:val="en-US" w:eastAsia="zh-CN"/>
              </w:rPr>
              <w:t>注：须提供检测项目在获证资质证书附件的序号和页码等相关材料。</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4</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09" w:type="dxa"/>
            <w:vMerge w:val="continue"/>
            <w:vAlign w:val="center"/>
          </w:tcPr>
          <w:p>
            <w:pPr>
              <w:pStyle w:val="19"/>
              <w:keepNext w:val="0"/>
              <w:keepLines w:val="0"/>
              <w:pageBreakBefore w:val="0"/>
              <w:widowControl w:val="0"/>
              <w:kinsoku/>
              <w:overflowPunct/>
              <w:topLinePunct w:val="0"/>
              <w:bidi w:val="0"/>
              <w:adjustRightInd w:val="0"/>
              <w:snapToGrid w:val="0"/>
              <w:jc w:val="center"/>
              <w:rPr>
                <w:rFonts w:hint="eastAsia" w:ascii="宋体" w:hAnsi="宋体" w:eastAsia="宋体" w:cs="宋体"/>
                <w:color w:val="auto"/>
                <w:sz w:val="22"/>
                <w:szCs w:val="22"/>
              </w:rPr>
            </w:pPr>
          </w:p>
        </w:tc>
        <w:tc>
          <w:tcPr>
            <w:tcW w:w="952" w:type="dxa"/>
            <w:vMerge w:val="continue"/>
            <w:vAlign w:val="center"/>
          </w:tcPr>
          <w:p>
            <w:pPr>
              <w:pStyle w:val="19"/>
              <w:keepNext w:val="0"/>
              <w:keepLines w:val="0"/>
              <w:pageBreakBefore w:val="0"/>
              <w:widowControl w:val="0"/>
              <w:kinsoku/>
              <w:overflowPunct/>
              <w:topLinePunct w:val="0"/>
              <w:bidi w:val="0"/>
              <w:adjustRightInd w:val="0"/>
              <w:snapToGrid w:val="0"/>
              <w:jc w:val="center"/>
              <w:rPr>
                <w:rFonts w:hint="eastAsia" w:ascii="宋体" w:hAnsi="宋体" w:eastAsia="宋体" w:cs="宋体"/>
                <w:color w:val="auto"/>
                <w:sz w:val="22"/>
                <w:szCs w:val="22"/>
              </w:rPr>
            </w:pPr>
          </w:p>
        </w:tc>
        <w:tc>
          <w:tcPr>
            <w:tcW w:w="6995" w:type="dxa"/>
            <w:vAlign w:val="center"/>
          </w:tcPr>
          <w:p>
            <w:pPr>
              <w:keepNext w:val="0"/>
              <w:keepLines w:val="0"/>
              <w:pageBreakBefore w:val="0"/>
              <w:widowControl w:val="0"/>
              <w:kinsoku/>
              <w:overflowPunct/>
              <w:topLinePunct w:val="0"/>
              <w:bidi w:val="0"/>
              <w:adjustRightInd w:val="0"/>
              <w:snapToGrid w:val="0"/>
              <w:spacing w:line="360" w:lineRule="exact"/>
              <w:ind w:left="0" w:leftChars="0"/>
              <w:jc w:val="left"/>
              <w:textAlignment w:val="auto"/>
              <w:rPr>
                <w:rFonts w:hint="eastAsia" w:ascii="宋体" w:hAnsi="宋体" w:eastAsia="宋体" w:cs="宋体"/>
                <w:i w:val="0"/>
                <w:caps w:val="0"/>
                <w:color w:val="auto"/>
                <w:spacing w:val="0"/>
                <w:sz w:val="22"/>
                <w:szCs w:val="22"/>
                <w:shd w:val="clear" w:color="auto" w:fill="FFFFFF"/>
                <w:lang w:val="en-US" w:eastAsia="zh-CN"/>
              </w:rPr>
            </w:pPr>
            <w:r>
              <w:rPr>
                <w:rFonts w:hint="eastAsia" w:ascii="宋体" w:hAnsi="宋体" w:eastAsia="宋体" w:cs="宋体"/>
                <w:i w:val="0"/>
                <w:caps w:val="0"/>
                <w:color w:val="auto"/>
                <w:spacing w:val="0"/>
                <w:sz w:val="22"/>
                <w:szCs w:val="22"/>
                <w:shd w:val="clear" w:color="auto" w:fill="FFFFFF"/>
                <w:lang w:val="en-US" w:eastAsia="zh-CN"/>
              </w:rPr>
              <w:t>2.供应商建有PCR实验室情况，建有且证明材料齐全得5分，材料不全酌情扣分，没有不得分。</w:t>
            </w:r>
          </w:p>
          <w:p>
            <w:pPr>
              <w:keepNext w:val="0"/>
              <w:keepLines w:val="0"/>
              <w:pageBreakBefore w:val="0"/>
              <w:widowControl w:val="0"/>
              <w:kinsoku/>
              <w:overflowPunct/>
              <w:topLinePunct w:val="0"/>
              <w:bidi w:val="0"/>
              <w:adjustRightInd w:val="0"/>
              <w:snapToGrid w:val="0"/>
              <w:spacing w:line="360" w:lineRule="exact"/>
              <w:ind w:left="0" w:leftChars="0"/>
              <w:jc w:val="left"/>
              <w:textAlignment w:val="auto"/>
              <w:rPr>
                <w:rFonts w:hint="eastAsia" w:ascii="宋体" w:hAnsi="宋体" w:eastAsia="宋体" w:cs="宋体"/>
                <w:i w:val="0"/>
                <w:caps w:val="0"/>
                <w:color w:val="auto"/>
                <w:spacing w:val="0"/>
                <w:sz w:val="22"/>
                <w:szCs w:val="22"/>
                <w:shd w:val="clear" w:color="auto" w:fill="FFFFFF"/>
                <w:lang w:val="en-US" w:eastAsia="zh-CN"/>
              </w:rPr>
            </w:pPr>
            <w:r>
              <w:rPr>
                <w:rFonts w:hint="eastAsia" w:ascii="宋体" w:hAnsi="宋体" w:eastAsia="宋体" w:cs="宋体"/>
                <w:b/>
                <w:bCs/>
                <w:i w:val="0"/>
                <w:caps w:val="0"/>
                <w:color w:val="auto"/>
                <w:spacing w:val="0"/>
                <w:sz w:val="22"/>
                <w:szCs w:val="22"/>
                <w:shd w:val="clear" w:color="auto" w:fill="FFFFFF"/>
                <w:lang w:val="en-US" w:eastAsia="zh-CN"/>
              </w:rPr>
              <w:t>注：提供实验室情况及图片说明、主要仪器设备清单发票等相关证明材料。</w:t>
            </w:r>
          </w:p>
        </w:tc>
        <w:tc>
          <w:tcPr>
            <w:tcW w:w="663" w:type="dxa"/>
            <w:vAlign w:val="center"/>
          </w:tcPr>
          <w:p>
            <w:pPr>
              <w:pStyle w:val="23"/>
              <w:keepNext w:val="0"/>
              <w:keepLines w:val="0"/>
              <w:pageBreakBefore w:val="0"/>
              <w:widowControl w:val="0"/>
              <w:kinsoku/>
              <w:overflowPunct/>
              <w:topLinePunct w:val="0"/>
              <w:bidi w:val="0"/>
              <w:adjustRightInd w:val="0"/>
              <w:spacing w:line="240" w:lineRule="auto"/>
              <w:ind w:left="0" w:leftChars="0"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10</w:t>
            </w:r>
          </w:p>
        </w:tc>
        <w:tc>
          <w:tcPr>
            <w:tcW w:w="952" w:type="dxa"/>
            <w:vAlign w:val="center"/>
          </w:tcPr>
          <w:p>
            <w:pPr>
              <w:keepNext w:val="0"/>
              <w:keepLines w:val="0"/>
              <w:pageBreakBefore w:val="0"/>
              <w:widowControl w:val="0"/>
              <w:kinsoku/>
              <w:overflowPunct/>
              <w:topLinePunct w:val="0"/>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服务</w:t>
            </w:r>
          </w:p>
          <w:p>
            <w:pPr>
              <w:keepNext w:val="0"/>
              <w:keepLines w:val="0"/>
              <w:pageBreakBefore w:val="0"/>
              <w:widowControl w:val="0"/>
              <w:kinsoku/>
              <w:overflowPunct/>
              <w:topLinePunct w:val="0"/>
              <w:bidi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方案</w:t>
            </w:r>
          </w:p>
        </w:tc>
        <w:tc>
          <w:tcPr>
            <w:tcW w:w="6995" w:type="dxa"/>
            <w:vAlign w:val="center"/>
          </w:tcPr>
          <w:p>
            <w:pPr>
              <w:keepNext w:val="0"/>
              <w:keepLines w:val="0"/>
              <w:pageBreakBefore w:val="0"/>
              <w:widowControl w:val="0"/>
              <w:kinsoku/>
              <w:overflowPunct/>
              <w:topLinePunct w:val="0"/>
              <w:bidi w:val="0"/>
              <w:adjustRightInd w:val="0"/>
              <w:snapToGrid w:val="0"/>
              <w:spacing w:line="360" w:lineRule="exact"/>
              <w:ind w:left="0" w:leftChars="0"/>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lang w:eastAsia="zh-CN"/>
              </w:rPr>
              <w:t>根据供应商提供的</w:t>
            </w:r>
            <w:r>
              <w:rPr>
                <w:rFonts w:hint="eastAsia" w:ascii="宋体" w:hAnsi="宋体" w:eastAsia="宋体" w:cs="宋体"/>
                <w:color w:val="auto"/>
                <w:sz w:val="22"/>
                <w:szCs w:val="22"/>
              </w:rPr>
              <w:t>方案的合理性、可行性和完整性</w:t>
            </w:r>
            <w:r>
              <w:rPr>
                <w:rFonts w:hint="eastAsia" w:ascii="宋体" w:hAnsi="宋体" w:eastAsia="宋体" w:cs="宋体"/>
                <w:color w:val="auto"/>
                <w:sz w:val="22"/>
                <w:szCs w:val="22"/>
                <w:lang w:eastAsia="zh-CN"/>
              </w:rPr>
              <w:t>进行评审，</w:t>
            </w:r>
            <w:r>
              <w:rPr>
                <w:rFonts w:hint="eastAsia" w:ascii="宋体" w:hAnsi="宋体" w:eastAsia="宋体" w:cs="宋体"/>
                <w:color w:val="auto"/>
                <w:sz w:val="22"/>
                <w:szCs w:val="22"/>
              </w:rPr>
              <w:t>与</w:t>
            </w:r>
            <w:r>
              <w:rPr>
                <w:rFonts w:hint="eastAsia" w:ascii="宋体" w:hAnsi="宋体" w:eastAsia="宋体" w:cs="宋体"/>
                <w:color w:val="auto"/>
                <w:sz w:val="22"/>
                <w:szCs w:val="22"/>
                <w:lang w:eastAsia="zh-CN"/>
              </w:rPr>
              <w:t>本项目</w:t>
            </w:r>
            <w:r>
              <w:rPr>
                <w:rFonts w:hint="eastAsia" w:ascii="宋体" w:hAnsi="宋体" w:eastAsia="宋体" w:cs="宋体"/>
                <w:color w:val="auto"/>
                <w:sz w:val="22"/>
                <w:szCs w:val="22"/>
              </w:rPr>
              <w:t>需求的吻合程度，包括方案的科学性、先进性、可行性和扩展性</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0-4分）</w:t>
            </w:r>
            <w:r>
              <w:rPr>
                <w:rFonts w:hint="eastAsia" w:ascii="宋体" w:hAnsi="宋体" w:eastAsia="宋体" w:cs="宋体"/>
                <w:color w:val="auto"/>
                <w:sz w:val="22"/>
                <w:szCs w:val="22"/>
              </w:rPr>
              <w:t>；方案是否科学合理、安全严密、具有一定的前瞻性</w:t>
            </w:r>
            <w:r>
              <w:rPr>
                <w:rFonts w:hint="eastAsia" w:ascii="宋体" w:hAnsi="宋体" w:eastAsia="宋体" w:cs="宋体"/>
                <w:color w:val="auto"/>
                <w:sz w:val="22"/>
                <w:szCs w:val="22"/>
                <w:lang w:eastAsia="zh-CN"/>
              </w:rPr>
              <w:t>（</w:t>
            </w:r>
            <w:r>
              <w:rPr>
                <w:rFonts w:hint="eastAsia" w:ascii="宋体" w:hAnsi="宋体" w:eastAsia="宋体" w:cs="宋体"/>
                <w:color w:val="auto"/>
                <w:sz w:val="22"/>
                <w:szCs w:val="22"/>
                <w:lang w:val="en-US" w:eastAsia="zh-CN"/>
              </w:rPr>
              <w:t>0-4分）</w:t>
            </w:r>
            <w:r>
              <w:rPr>
                <w:rFonts w:hint="eastAsia" w:ascii="宋体" w:hAnsi="宋体" w:eastAsia="宋体" w:cs="宋体"/>
                <w:color w:val="auto"/>
                <w:sz w:val="22"/>
                <w:szCs w:val="22"/>
              </w:rPr>
              <w:t>，由评委进行打分</w:t>
            </w:r>
            <w:r>
              <w:rPr>
                <w:rFonts w:hint="eastAsia" w:ascii="宋体" w:hAnsi="宋体" w:eastAsia="宋体" w:cs="宋体"/>
                <w:color w:val="auto"/>
                <w:sz w:val="22"/>
                <w:szCs w:val="22"/>
                <w:lang w:eastAsia="zh-CN"/>
              </w:rPr>
              <w:t>。</w:t>
            </w:r>
          </w:p>
        </w:tc>
        <w:tc>
          <w:tcPr>
            <w:tcW w:w="663" w:type="dxa"/>
            <w:vAlign w:val="center"/>
          </w:tcPr>
          <w:p>
            <w:pPr>
              <w:pStyle w:val="19"/>
              <w:keepNext w:val="0"/>
              <w:keepLines w:val="0"/>
              <w:pageBreakBefore w:val="0"/>
              <w:widowControl w:val="0"/>
              <w:kinsoku/>
              <w:overflowPunct/>
              <w:topLinePunct w:val="0"/>
              <w:bidi w:val="0"/>
              <w:adjustRightIn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8</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11</w:t>
            </w:r>
          </w:p>
        </w:tc>
        <w:tc>
          <w:tcPr>
            <w:tcW w:w="952" w:type="dxa"/>
            <w:vAlign w:val="center"/>
          </w:tcPr>
          <w:p>
            <w:pPr>
              <w:keepNext w:val="0"/>
              <w:keepLines w:val="0"/>
              <w:pageBreakBefore w:val="0"/>
              <w:widowControl w:val="0"/>
              <w:kinsoku/>
              <w:wordWrap/>
              <w:overflowPunct/>
              <w:topLinePunct w:val="0"/>
              <w:autoSpaceDE/>
              <w:autoSpaceDN/>
              <w:bidi w:val="0"/>
              <w:adjustRightInd w:val="0"/>
              <w:snapToGrid/>
              <w:ind w:left="-105" w:leftChars="-50" w:right="-105" w:rightChars="-5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突发事件应急保障及相应情况</w:t>
            </w:r>
          </w:p>
        </w:tc>
        <w:tc>
          <w:tcPr>
            <w:tcW w:w="6995" w:type="dxa"/>
            <w:vAlign w:val="center"/>
          </w:tcPr>
          <w:p>
            <w:pPr>
              <w:keepNext w:val="0"/>
              <w:keepLines w:val="0"/>
              <w:pageBreakBefore w:val="0"/>
              <w:widowControl w:val="0"/>
              <w:kinsoku/>
              <w:overflowPunct/>
              <w:topLinePunct w:val="0"/>
              <w:bidi w:val="0"/>
              <w:adjustRightInd w:val="0"/>
              <w:snapToGrid w:val="0"/>
              <w:spacing w:line="360" w:lineRule="exact"/>
              <w:ind w:left="0" w:left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eastAsia="zh-CN"/>
              </w:rPr>
              <w:t>根据供应商</w:t>
            </w:r>
            <w:r>
              <w:rPr>
                <w:rFonts w:hint="eastAsia" w:ascii="宋体" w:hAnsi="宋体" w:eastAsia="宋体" w:cs="宋体"/>
                <w:color w:val="auto"/>
                <w:sz w:val="22"/>
                <w:szCs w:val="22"/>
              </w:rPr>
              <w:t>提供相关应急预案，包含针对可能出现的各项突发情况，如食品安全事件、自然灾害、运输车辆遭遇堵车或车祸等设置应对措施</w:t>
            </w:r>
            <w:r>
              <w:rPr>
                <w:rFonts w:hint="eastAsia" w:ascii="宋体" w:hAnsi="宋体" w:eastAsia="宋体" w:cs="宋体"/>
                <w:color w:val="auto"/>
                <w:sz w:val="22"/>
                <w:szCs w:val="22"/>
                <w:lang w:eastAsia="zh-CN"/>
              </w:rPr>
              <w:t>及</w:t>
            </w:r>
            <w:r>
              <w:rPr>
                <w:rFonts w:hint="eastAsia" w:ascii="宋体" w:hAnsi="宋体" w:eastAsia="宋体" w:cs="宋体"/>
                <w:color w:val="auto"/>
                <w:sz w:val="22"/>
                <w:szCs w:val="22"/>
              </w:rPr>
              <w:t>方案</w:t>
            </w:r>
            <w:r>
              <w:rPr>
                <w:rFonts w:hint="eastAsia" w:ascii="宋体" w:hAnsi="宋体" w:eastAsia="宋体" w:cs="宋体"/>
                <w:color w:val="auto"/>
                <w:sz w:val="22"/>
                <w:szCs w:val="22"/>
                <w:lang w:eastAsia="zh-CN"/>
              </w:rPr>
              <w:t>，对其考虑的全面性、可行性进行打分。</w:t>
            </w:r>
          </w:p>
        </w:tc>
        <w:tc>
          <w:tcPr>
            <w:tcW w:w="663" w:type="dxa"/>
            <w:vAlign w:val="center"/>
          </w:tcPr>
          <w:p>
            <w:pPr>
              <w:pStyle w:val="19"/>
              <w:keepNext w:val="0"/>
              <w:keepLines w:val="0"/>
              <w:pageBreakBefore w:val="0"/>
              <w:widowControl w:val="0"/>
              <w:kinsoku/>
              <w:overflowPunct/>
              <w:topLinePunct w:val="0"/>
              <w:bidi w:val="0"/>
              <w:adjustRightIn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5</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12</w:t>
            </w:r>
          </w:p>
        </w:tc>
        <w:tc>
          <w:tcPr>
            <w:tcW w:w="952" w:type="dxa"/>
            <w:vAlign w:val="center"/>
          </w:tcPr>
          <w:p>
            <w:pPr>
              <w:keepNext w:val="0"/>
              <w:keepLines w:val="0"/>
              <w:pageBreakBefore w:val="0"/>
              <w:widowControl w:val="0"/>
              <w:kinsoku/>
              <w:wordWrap/>
              <w:overflowPunct/>
              <w:topLinePunct w:val="0"/>
              <w:autoSpaceDE/>
              <w:autoSpaceDN/>
              <w:bidi w:val="0"/>
              <w:adjustRightInd w:val="0"/>
              <w:snapToGrid/>
              <w:ind w:left="-105" w:leftChars="-50" w:right="-105" w:rightChars="-50"/>
              <w:jc w:val="center"/>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检测信息共享情况</w:t>
            </w:r>
          </w:p>
        </w:tc>
        <w:tc>
          <w:tcPr>
            <w:tcW w:w="6995" w:type="dxa"/>
            <w:vAlign w:val="center"/>
          </w:tcPr>
          <w:p>
            <w:pPr>
              <w:keepNext w:val="0"/>
              <w:keepLines w:val="0"/>
              <w:pageBreakBefore w:val="0"/>
              <w:widowControl w:val="0"/>
              <w:kinsoku/>
              <w:overflowPunct/>
              <w:topLinePunct w:val="0"/>
              <w:bidi w:val="0"/>
              <w:adjustRightInd w:val="0"/>
              <w:snapToGrid w:val="0"/>
              <w:spacing w:line="360" w:lineRule="exact"/>
              <w:ind w:left="0" w:left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lang w:val="zh-CN"/>
              </w:rPr>
              <w:t>供应商承诺对接“国家食品安全抽检检测信息系统”，通过国抽系统进行抽样、录入、出具报告、数据汇总等工作，并将检测信息在丽水食品安全检测资源整合共享及预警平台上进行对接和共享的得</w:t>
            </w: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lang w:val="zh-CN"/>
              </w:rPr>
              <w:t>分，不承诺的不得分。</w:t>
            </w:r>
          </w:p>
        </w:tc>
        <w:tc>
          <w:tcPr>
            <w:tcW w:w="663" w:type="dxa"/>
            <w:vAlign w:val="center"/>
          </w:tcPr>
          <w:p>
            <w:pPr>
              <w:pStyle w:val="19"/>
              <w:keepNext w:val="0"/>
              <w:keepLines w:val="0"/>
              <w:pageBreakBefore w:val="0"/>
              <w:widowControl w:val="0"/>
              <w:kinsoku/>
              <w:overflowPunct/>
              <w:topLinePunct w:val="0"/>
              <w:bidi w:val="0"/>
              <w:adjustRightIn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9" w:type="dxa"/>
            <w:vAlign w:val="center"/>
          </w:tcPr>
          <w:p>
            <w:pPr>
              <w:pStyle w:val="19"/>
              <w:keepNext w:val="0"/>
              <w:keepLines w:val="0"/>
              <w:pageBreakBefore w:val="0"/>
              <w:widowControl w:val="0"/>
              <w:kinsoku/>
              <w:overflowPunct/>
              <w:topLinePunct w:val="0"/>
              <w:bidi w:val="0"/>
              <w:adjustRightInd w:val="0"/>
              <w:snapToGrid w:val="0"/>
              <w:ind w:left="0" w:leftChars="0" w:firstLine="0" w:firstLineChars="0"/>
              <w:jc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13</w:t>
            </w:r>
          </w:p>
        </w:tc>
        <w:tc>
          <w:tcPr>
            <w:tcW w:w="952" w:type="dxa"/>
            <w:vAlign w:val="center"/>
          </w:tcPr>
          <w:p>
            <w:pPr>
              <w:keepNext w:val="0"/>
              <w:keepLines w:val="0"/>
              <w:pageBreakBefore w:val="0"/>
              <w:widowControl w:val="0"/>
              <w:kinsoku/>
              <w:overflowPunct/>
              <w:topLinePunct w:val="0"/>
              <w:bidi w:val="0"/>
              <w:adjustRightInd w:val="0"/>
              <w:jc w:val="center"/>
              <w:rPr>
                <w:rFonts w:hint="eastAsia" w:ascii="宋体" w:hAnsi="宋体" w:eastAsia="宋体" w:cs="宋体"/>
                <w:color w:val="auto"/>
                <w:sz w:val="22"/>
                <w:szCs w:val="22"/>
              </w:rPr>
            </w:pPr>
            <w:r>
              <w:rPr>
                <w:rFonts w:hint="eastAsia" w:ascii="宋体" w:hAnsi="宋体" w:eastAsia="宋体" w:cs="宋体"/>
                <w:color w:val="auto"/>
                <w:sz w:val="22"/>
                <w:szCs w:val="22"/>
              </w:rPr>
              <w:t>质量保证措施</w:t>
            </w:r>
          </w:p>
        </w:tc>
        <w:tc>
          <w:tcPr>
            <w:tcW w:w="6995" w:type="dxa"/>
            <w:vAlign w:val="center"/>
          </w:tcPr>
          <w:p>
            <w:pPr>
              <w:keepNext w:val="0"/>
              <w:keepLines w:val="0"/>
              <w:pageBreakBefore w:val="0"/>
              <w:widowControl w:val="0"/>
              <w:kinsoku/>
              <w:overflowPunct/>
              <w:topLinePunct w:val="0"/>
              <w:bidi w:val="0"/>
              <w:adjustRightInd w:val="0"/>
              <w:snapToGrid w:val="0"/>
              <w:spacing w:line="360" w:lineRule="exact"/>
              <w:ind w:left="0" w:leftChars="0"/>
              <w:textAlignment w:val="auto"/>
              <w:rPr>
                <w:rFonts w:hint="eastAsia" w:ascii="宋体" w:hAnsi="宋体" w:eastAsia="宋体" w:cs="宋体"/>
                <w:color w:val="auto"/>
                <w:sz w:val="22"/>
                <w:szCs w:val="22"/>
              </w:rPr>
            </w:pPr>
            <w:r>
              <w:rPr>
                <w:rFonts w:hint="eastAsia" w:ascii="宋体" w:hAnsi="宋体" w:eastAsia="宋体" w:cs="宋体"/>
                <w:color w:val="auto"/>
                <w:sz w:val="22"/>
                <w:szCs w:val="22"/>
              </w:rPr>
              <w:t>质量保证措施的完整性及可行性，从投标文件响应情况进行评审，酌情给分。</w:t>
            </w:r>
          </w:p>
        </w:tc>
        <w:tc>
          <w:tcPr>
            <w:tcW w:w="663" w:type="dxa"/>
            <w:vAlign w:val="center"/>
          </w:tcPr>
          <w:p>
            <w:pPr>
              <w:pStyle w:val="19"/>
              <w:keepNext w:val="0"/>
              <w:keepLines w:val="0"/>
              <w:pageBreakBefore w:val="0"/>
              <w:widowControl w:val="0"/>
              <w:kinsoku/>
              <w:overflowPunct/>
              <w:topLinePunct w:val="0"/>
              <w:bidi w:val="0"/>
              <w:adjustRightInd w:val="0"/>
              <w:ind w:left="0" w:leftChars="0" w:firstLine="0" w:firstLineChars="0"/>
              <w:jc w:val="center"/>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分</w:t>
            </w:r>
          </w:p>
        </w:tc>
      </w:tr>
    </w:tbl>
    <w:p>
      <w:pPr>
        <w:keepNext w:val="0"/>
        <w:keepLines w:val="0"/>
        <w:pageBreakBefore w:val="0"/>
        <w:widowControl w:val="0"/>
        <w:kinsoku/>
        <w:overflowPunct/>
        <w:topLinePunct w:val="0"/>
        <w:bidi w:val="0"/>
        <w:spacing w:before="156" w:beforeLines="50" w:line="560" w:lineRule="exact"/>
        <w:ind w:firstLine="482" w:firstLineChars="200"/>
        <w:jc w:val="left"/>
        <w:rPr>
          <w:rFonts w:hint="eastAsia" w:ascii="宋体" w:hAnsi="宋体" w:eastAsia="宋体" w:cs="宋体"/>
          <w:b/>
          <w:color w:val="auto"/>
          <w:sz w:val="24"/>
          <w:szCs w:val="24"/>
        </w:rPr>
      </w:pPr>
      <w:r>
        <w:rPr>
          <w:rFonts w:hint="eastAsia" w:ascii="宋体" w:hAnsi="宋体" w:eastAsia="宋体" w:cs="宋体"/>
          <w:b/>
          <w:color w:val="auto"/>
          <w:sz w:val="24"/>
          <w:szCs w:val="24"/>
        </w:rPr>
        <w:t>5.3.报价分值为</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分，报价权重为</w:t>
      </w:r>
      <w:r>
        <w:rPr>
          <w:rFonts w:hint="eastAsia" w:ascii="宋体" w:hAnsi="宋体" w:eastAsia="宋体" w:cs="宋体"/>
          <w:b/>
          <w:color w:val="auto"/>
          <w:sz w:val="24"/>
          <w:szCs w:val="24"/>
          <w:lang w:val="en-US" w:eastAsia="zh-CN"/>
        </w:rPr>
        <w:t>10</w:t>
      </w:r>
      <w:r>
        <w:rPr>
          <w:rFonts w:hint="eastAsia" w:ascii="宋体" w:hAnsi="宋体" w:eastAsia="宋体" w:cs="宋体"/>
          <w:b/>
          <w:color w:val="auto"/>
          <w:sz w:val="24"/>
          <w:szCs w:val="24"/>
        </w:rPr>
        <w:t>%，由评审委员会根据以下内容统一打分：</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5.3.1报价评分应在报价范围口径一致的评审价基础上进行。属磋商文件不清楚引起的报价内容和口径不一致的，则按有关规定统一调整报价内容和口径，计算出供应商的最终报价。属供应商失误造成的报价差错和遗漏，不得调整。</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sz w:val="24"/>
          <w:szCs w:val="24"/>
        </w:rPr>
      </w:pPr>
      <w:bookmarkStart w:id="463" w:name="_Toc22029"/>
      <w:r>
        <w:rPr>
          <w:rFonts w:hint="eastAsia" w:ascii="宋体" w:hAnsi="宋体" w:eastAsia="宋体" w:cs="宋体"/>
          <w:color w:val="auto"/>
          <w:sz w:val="24"/>
          <w:szCs w:val="24"/>
        </w:rPr>
        <w:t>5.3.2最终报价超过预算金额的作无效标处理。</w:t>
      </w:r>
      <w:bookmarkEnd w:id="463"/>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5.3.3最终报价有漏项的或报价数量少于磋商文件要求数量的作无效标处理。</w:t>
      </w:r>
    </w:p>
    <w:p>
      <w:pPr>
        <w:keepNext w:val="0"/>
        <w:keepLines w:val="0"/>
        <w:pageBreakBefore w:val="0"/>
        <w:widowControl w:val="0"/>
        <w:kinsoku/>
        <w:overflowPunct/>
        <w:topLinePunct w:val="0"/>
        <w:bidi w:val="0"/>
        <w:spacing w:line="480" w:lineRule="exact"/>
        <w:ind w:firstLine="482" w:firstLineChars="200"/>
        <w:outlineLvl w:val="2"/>
        <w:rPr>
          <w:rFonts w:hint="eastAsia" w:ascii="宋体" w:hAnsi="宋体" w:eastAsia="宋体" w:cs="宋体"/>
          <w:b/>
          <w:color w:val="auto"/>
          <w:sz w:val="24"/>
          <w:szCs w:val="24"/>
        </w:rPr>
      </w:pPr>
      <w:bookmarkStart w:id="464" w:name="_Toc2391"/>
      <w:r>
        <w:rPr>
          <w:rFonts w:hint="eastAsia" w:ascii="宋体" w:hAnsi="宋体" w:eastAsia="宋体" w:cs="宋体"/>
          <w:b/>
          <w:color w:val="auto"/>
          <w:sz w:val="24"/>
          <w:szCs w:val="24"/>
        </w:rPr>
        <w:t>5.3.4 报价得分按以下方式计算：</w:t>
      </w:r>
      <w:bookmarkEnd w:id="464"/>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（1）确定评审价：供应商的评审价=各供应商最终有效报价</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（2）磋商基准价=各有效供应商中的最低的参与评审价格；</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（3）评审价等于磋商基准价的得10分，其他供应商的报价得分按下列公式计算：</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报价得分=（磋商基准价/各供应商最终评审价）×报价权重×100。</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（4）落实政府采购扶持政策说明：本项目面向中小企业采购，不进行价格扣除或价格分加分。</w:t>
      </w:r>
    </w:p>
    <w:p>
      <w:pPr>
        <w:keepNext w:val="0"/>
        <w:keepLines w:val="0"/>
        <w:pageBreakBefore w:val="0"/>
        <w:widowControl w:val="0"/>
        <w:kinsoku/>
        <w:overflowPunct/>
        <w:topLinePunct w:val="0"/>
        <w:bidi w:val="0"/>
        <w:spacing w:line="480" w:lineRule="exact"/>
        <w:ind w:firstLine="482" w:firstLineChars="200"/>
        <w:outlineLvl w:val="1"/>
        <w:rPr>
          <w:rFonts w:hint="eastAsia" w:ascii="宋体" w:hAnsi="宋体" w:eastAsia="宋体" w:cs="宋体"/>
          <w:b/>
          <w:color w:val="auto"/>
          <w:sz w:val="24"/>
          <w:szCs w:val="24"/>
        </w:rPr>
      </w:pPr>
      <w:bookmarkStart w:id="465" w:name="_Toc138"/>
      <w:bookmarkStart w:id="466" w:name="_Toc3820"/>
      <w:r>
        <w:rPr>
          <w:rFonts w:hint="eastAsia" w:ascii="宋体" w:hAnsi="宋体" w:eastAsia="宋体" w:cs="宋体"/>
          <w:b/>
          <w:color w:val="auto"/>
          <w:sz w:val="24"/>
          <w:szCs w:val="24"/>
        </w:rPr>
        <w:t>5.4 本项目最终得分=资信商务及技术得分＋报价得分；</w:t>
      </w:r>
      <w:bookmarkEnd w:id="465"/>
      <w:bookmarkEnd w:id="466"/>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5.5 评分时保留小数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位，计算评分值时保留小数2位，小数点采用四舍五入方法。</w:t>
      </w:r>
    </w:p>
    <w:p>
      <w:pPr>
        <w:pStyle w:val="6"/>
        <w:keepNext w:val="0"/>
        <w:keepLines w:val="0"/>
        <w:pageBreakBefore w:val="0"/>
        <w:widowControl w:val="0"/>
        <w:kinsoku/>
        <w:overflowPunct/>
        <w:topLinePunct w:val="0"/>
        <w:bidi w:val="0"/>
        <w:spacing w:before="240" w:after="240" w:line="480" w:lineRule="exact"/>
        <w:ind w:left="0" w:firstLine="0"/>
        <w:rPr>
          <w:rFonts w:hint="eastAsia" w:ascii="宋体" w:hAnsi="宋体" w:eastAsia="宋体" w:cs="宋体"/>
          <w:b/>
          <w:bCs/>
          <w:color w:val="auto"/>
          <w:sz w:val="28"/>
          <w:szCs w:val="28"/>
        </w:rPr>
      </w:pPr>
      <w:bookmarkStart w:id="467" w:name="_Toc7763"/>
      <w:bookmarkStart w:id="468" w:name="_Toc8839"/>
      <w:bookmarkStart w:id="469" w:name="_Toc20609"/>
      <w:r>
        <w:rPr>
          <w:rFonts w:hint="eastAsia" w:ascii="宋体" w:hAnsi="宋体" w:eastAsia="宋体" w:cs="宋体"/>
          <w:b/>
          <w:bCs/>
          <w:color w:val="auto"/>
          <w:sz w:val="28"/>
          <w:szCs w:val="28"/>
        </w:rPr>
        <w:t>六   磋商纪律和要求</w:t>
      </w:r>
      <w:bookmarkEnd w:id="459"/>
      <w:bookmarkEnd w:id="460"/>
      <w:bookmarkEnd w:id="467"/>
      <w:bookmarkEnd w:id="468"/>
      <w:bookmarkEnd w:id="469"/>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6.1磋商小组成员必须公平、公正评审，遵纪守法，客观、廉洁地履行职责。</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6.2磋商小组成员在评审开始前，应关闭并上交随身携带的各种通信工具。</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6.3磋商小组成员在评审过程中，未经许可不得中途离开评审现场，不得迟到早退。</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6.4磋商小组成员和工作人员不得透露评审过程中的讨论情况和评审结果。</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6.5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6.6采购人、采购代理机构不得向磋商小组的磋商小组成员作倾向性、误导性的解释或者说明。</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6.7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6.8磋商小组成员在评审过程中不得将自己的观点强加给其他磋商小组成员，磋商小组成员应自主发表见解，对评审意见承担个人责任。</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6.9评审结束后，磋商小组应向采购代理机构提交项目评审报告。评审报告是采购人确定成交人的合法依据，磋商小组应当如实、客观地反映评审情况，按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6.10磋商小组成员应当独立、客观、公正地提出评审意见，不得带有倾向性，不得影响其他磋商小组成员评审，并在评审报告上签字；如对评审报告有异议的，可在报告上签署不同意见，并说明理由，否则将视为同意。</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6.11磋商小组成员应当遵守评审工作纪律，不得泄露评审文件、评审情况和评审中获悉的商业秘密。</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磋商小组在评审过程中发现供应商有行贿、提供虚假材料或者串通等违法行为的，应当及时向财政部门报告。</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6.12磋商文件内容违反国家有关强制性规定的，磋商小组应当停止评审并向采购代理机构说明情况。</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6.13磋商小组成员应当配合采购代理机构答复供应商提出的质疑。</w:t>
      </w:r>
    </w:p>
    <w:p>
      <w:pPr>
        <w:keepNext w:val="0"/>
        <w:keepLines w:val="0"/>
        <w:pageBreakBefore w:val="0"/>
        <w:widowControl w:val="0"/>
        <w:kinsoku/>
        <w:overflowPunct/>
        <w:topLinePunct w:val="0"/>
        <w:bidi w:val="0"/>
        <w:spacing w:line="480" w:lineRule="exact"/>
        <w:ind w:firstLine="480" w:firstLineChars="200"/>
        <w:outlineLvl w:val="1"/>
        <w:rPr>
          <w:rFonts w:hint="eastAsia" w:ascii="宋体" w:hAnsi="宋体" w:eastAsia="宋体" w:cs="宋体"/>
          <w:color w:val="auto"/>
          <w:sz w:val="24"/>
          <w:szCs w:val="24"/>
        </w:rPr>
      </w:pPr>
      <w:bookmarkStart w:id="470" w:name="_Toc16887"/>
      <w:bookmarkStart w:id="471" w:name="_Toc17082"/>
      <w:r>
        <w:rPr>
          <w:rFonts w:hint="eastAsia" w:ascii="宋体" w:hAnsi="宋体" w:eastAsia="宋体" w:cs="宋体"/>
          <w:color w:val="auto"/>
          <w:sz w:val="24"/>
          <w:szCs w:val="24"/>
        </w:rPr>
        <w:t>6.14磋商小组成员应当配合财政部门的投诉处理工作。</w:t>
      </w:r>
      <w:bookmarkEnd w:id="470"/>
      <w:bookmarkEnd w:id="471"/>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6.15磋商小组成员有如下行为之一的，责令改正，给予警告，可以并处一千元以下的罚款：</w:t>
      </w:r>
    </w:p>
    <w:p>
      <w:pPr>
        <w:keepNext w:val="0"/>
        <w:keepLines w:val="0"/>
        <w:pageBreakBefore w:val="0"/>
        <w:widowControl w:val="0"/>
        <w:kinsoku/>
        <w:overflowPunct/>
        <w:topLinePunct w:val="0"/>
        <w:bidi w:val="0"/>
        <w:spacing w:line="480" w:lineRule="exact"/>
        <w:ind w:firstLine="480" w:firstLineChars="200"/>
        <w:outlineLvl w:val="2"/>
        <w:rPr>
          <w:rFonts w:hint="eastAsia" w:ascii="宋体" w:hAnsi="宋体" w:eastAsia="宋体" w:cs="宋体"/>
          <w:color w:val="auto"/>
          <w:sz w:val="24"/>
          <w:szCs w:val="24"/>
        </w:rPr>
      </w:pPr>
      <w:bookmarkStart w:id="472" w:name="_Toc32087"/>
      <w:r>
        <w:rPr>
          <w:rFonts w:hint="eastAsia" w:ascii="宋体" w:hAnsi="宋体" w:eastAsia="宋体" w:cs="宋体"/>
          <w:color w:val="auto"/>
          <w:sz w:val="24"/>
          <w:szCs w:val="24"/>
        </w:rPr>
        <w:t>6.15.1明知应当回避而未主动回避的；</w:t>
      </w:r>
      <w:bookmarkEnd w:id="472"/>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6.15.2在知道自己为磋商小组成员身份后至评审结束前的时段内私下接触供应商的；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6.15.3在评审过程中擅离职守，影响评审程序正常进行的；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6.15.4在评审过程有明显不合理或者不正当倾向性的；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6.15.5未按磋商文件规定的评审方法和标准进行评审的。</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6.15.6上述6.15.1至6.15.5行为影响成交结果的，成交结果无效。</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6.16采购代理机构可对各磋商小组成员的专业技术水平和职业道德素质等情况进行评价，并可将评价意见在评审结束后2个工作日内反馈给财政部门，财政部门以此作为对磋商小组成员的考核管理依据。</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6.17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政府采购磋商小组成员与供应商存在利害关系未回避的，处2万元以上5万元以下的罚款，禁止其参加政府采购评审活动。</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政府采购磋商小组成员收受采购人、采购代理机构、供应商贿赂或者获取其他不正当利益，构成犯罪的，依法追究刑事责任；尚不构成犯罪的，处2万元以上5万元以下的罚款，禁止其参加政府采购评审活动。</w:t>
      </w:r>
    </w:p>
    <w:p>
      <w:pPr>
        <w:keepNext w:val="0"/>
        <w:keepLines w:val="0"/>
        <w:pageBreakBefore w:val="0"/>
        <w:widowControl w:val="0"/>
        <w:kinsoku/>
        <w:overflowPunct/>
        <w:topLinePunct w:val="0"/>
        <w:bidi w:val="0"/>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政府采购磋商小组成员有上述违法行为的，其评审意见无效，不得获取评审费；有违法所得的，没收违法所得；给他人造成损失的，依法承担民事责任。</w:t>
      </w:r>
    </w:p>
    <w:sectPr>
      <w:footerReference r:id="rId6" w:type="default"/>
      <w:pgSz w:w="11906" w:h="16838"/>
      <w:pgMar w:top="1417" w:right="1417" w:bottom="1417" w:left="1417" w:header="851" w:footer="964"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idowControl/>
      <w:pBdr>
        <w:top w:val="double" w:color="auto" w:sz="4" w:space="1"/>
        <w:left w:val="none" w:color="auto" w:sz="0" w:space="4"/>
        <w:bottom w:val="none" w:color="auto" w:sz="0" w:space="1"/>
        <w:right w:val="none" w:color="auto" w:sz="0" w:space="4"/>
        <w:between w:val="none" w:color="auto" w:sz="0" w:space="0"/>
      </w:pBdr>
      <w:snapToGrid w:val="0"/>
      <w:jc w:val="left"/>
      <w:textAlignment w:val="baseline"/>
      <w:rPr>
        <w:rStyle w:val="108"/>
        <w:rFonts w:hint="eastAsia" w:ascii="宋体" w:hAnsi="宋体" w:eastAsia="宋体" w:cs="宋体"/>
        <w:sz w:val="21"/>
        <w:szCs w:val="32"/>
        <w:lang w:val="en-US"/>
      </w:rPr>
    </w:pPr>
    <w:r>
      <w:rPr>
        <w:rStyle w:val="108"/>
        <w:rFonts w:hint="eastAsia" w:ascii="宋体" w:hAnsi="宋体" w:eastAsia="宋体" w:cs="宋体"/>
        <w:sz w:val="21"/>
        <w:szCs w:val="32"/>
      </w:rPr>
      <w:t>代理机构：浙江诚远工程咨询有限公司</w:t>
    </w:r>
    <w:r>
      <w:rPr>
        <w:rStyle w:val="108"/>
        <w:rFonts w:hint="eastAsia" w:ascii="宋体" w:hAnsi="宋体" w:eastAsia="宋体" w:cs="宋体"/>
        <w:sz w:val="21"/>
        <w:szCs w:val="32"/>
        <w:lang w:val="en-US"/>
      </w:rPr>
      <w:t xml:space="preserve">                             联系电话：0578-6163619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widowControl/>
      <w:pBdr>
        <w:top w:val="double" w:color="auto" w:sz="4" w:space="1"/>
        <w:left w:val="none" w:color="auto" w:sz="0" w:space="4"/>
        <w:bottom w:val="none" w:color="auto" w:sz="0" w:space="1"/>
        <w:right w:val="none" w:color="auto" w:sz="0" w:space="4"/>
        <w:between w:val="none" w:color="auto" w:sz="0" w:space="0"/>
      </w:pBdr>
      <w:snapToGrid w:val="0"/>
      <w:jc w:val="left"/>
      <w:textAlignment w:val="baseline"/>
      <w:rPr>
        <w:rStyle w:val="108"/>
        <w:rFonts w:hint="eastAsia" w:ascii="宋体" w:hAnsi="宋体" w:eastAsia="宋体" w:cs="宋体"/>
        <w:sz w:val="21"/>
        <w:szCs w:val="32"/>
        <w:lang w:val="en-US"/>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5"/>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p>
                </w:txbxContent>
              </v:textbox>
            </v:shape>
          </w:pict>
        </mc:Fallback>
      </mc:AlternateContent>
    </w:r>
    <w:r>
      <w:rPr>
        <w:rStyle w:val="108"/>
        <w:rFonts w:hint="eastAsia" w:ascii="宋体" w:hAnsi="宋体" w:eastAsia="宋体" w:cs="宋体"/>
        <w:sz w:val="21"/>
        <w:szCs w:val="32"/>
      </w:rPr>
      <w:t>代理机构：浙江诚远工程咨询有限公司</w:t>
    </w:r>
    <w:r>
      <w:rPr>
        <w:rStyle w:val="108"/>
        <w:rFonts w:hint="eastAsia" w:ascii="宋体" w:hAnsi="宋体" w:eastAsia="宋体" w:cs="宋体"/>
        <w:sz w:val="21"/>
        <w:szCs w:val="32"/>
        <w:lang w:val="en-US"/>
      </w:rPr>
      <w:t xml:space="preserve">                             联系电话：0578-6163619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thickThinSmallGap" w:color="auto" w:sz="12" w:space="1"/>
      </w:pBdr>
      <w:rPr>
        <w:rFonts w:ascii="楷体" w:hAnsi="楷体" w:eastAsia="楷体" w:cs="楷体"/>
        <w:sz w:val="21"/>
        <w:szCs w:val="21"/>
      </w:rPr>
    </w:pPr>
    <w:r>
      <w:rPr>
        <w:rFonts w:hint="eastAsia" w:ascii="楷体" w:hAnsi="楷体" w:eastAsia="楷体" w:cs="楷体"/>
        <w:sz w:val="21"/>
        <w:szCs w:val="21"/>
        <w:lang w:eastAsia="zh-CN"/>
      </w:rPr>
      <w:t>2022年庆元县食品安全检验检测服务采购项目</w:t>
    </w:r>
    <w:r>
      <w:rPr>
        <w:rFonts w:hint="eastAsia" w:ascii="楷体" w:hAnsi="楷体" w:eastAsia="楷体" w:cs="楷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thickThinSmallGap" w:color="auto" w:sz="12" w:space="0"/>
      </w:pBdr>
    </w:pPr>
    <w:r>
      <w:rPr>
        <w:rFonts w:hint="eastAsia" w:ascii="楷体" w:hAnsi="楷体" w:eastAsia="楷体" w:cs="楷体"/>
        <w:sz w:val="21"/>
        <w:szCs w:val="21"/>
        <w:lang w:eastAsia="zh-CN"/>
      </w:rPr>
      <w:t>2022年庆元县食品安全检验检测服务采购项目</w:t>
    </w:r>
    <w:r>
      <w:rPr>
        <w:rFonts w:hint="eastAsia" w:ascii="楷体" w:hAnsi="楷体" w:eastAsia="楷体" w:cs="楷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07DD79"/>
    <w:multiLevelType w:val="singleLevel"/>
    <w:tmpl w:val="C107DD79"/>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DY5ZmRlNDQ4YTM4ZWY4ZTg1ZWYwMzdmNzFkYzcifQ=="/>
  </w:docVars>
  <w:rsids>
    <w:rsidRoot w:val="001765BB"/>
    <w:rsid w:val="0002534F"/>
    <w:rsid w:val="000B6D67"/>
    <w:rsid w:val="001765BB"/>
    <w:rsid w:val="001E5E24"/>
    <w:rsid w:val="00306D09"/>
    <w:rsid w:val="003406BF"/>
    <w:rsid w:val="00570EAE"/>
    <w:rsid w:val="00630FCA"/>
    <w:rsid w:val="0068424A"/>
    <w:rsid w:val="00754492"/>
    <w:rsid w:val="0089552F"/>
    <w:rsid w:val="008E2542"/>
    <w:rsid w:val="009751A4"/>
    <w:rsid w:val="00B7577D"/>
    <w:rsid w:val="00C6667B"/>
    <w:rsid w:val="00D822B6"/>
    <w:rsid w:val="00D969E5"/>
    <w:rsid w:val="00EA23D3"/>
    <w:rsid w:val="00F41A4F"/>
    <w:rsid w:val="025D45D9"/>
    <w:rsid w:val="026C1B4D"/>
    <w:rsid w:val="03CB7D99"/>
    <w:rsid w:val="05351F51"/>
    <w:rsid w:val="064D09AD"/>
    <w:rsid w:val="06F903CB"/>
    <w:rsid w:val="07AA2551"/>
    <w:rsid w:val="085C52FB"/>
    <w:rsid w:val="08E17D03"/>
    <w:rsid w:val="09350523"/>
    <w:rsid w:val="0A624B0D"/>
    <w:rsid w:val="0ABA707D"/>
    <w:rsid w:val="0B25039F"/>
    <w:rsid w:val="0B74624C"/>
    <w:rsid w:val="0C780A6C"/>
    <w:rsid w:val="0CCE3F49"/>
    <w:rsid w:val="0DFF75A9"/>
    <w:rsid w:val="0E621CD1"/>
    <w:rsid w:val="10464AD2"/>
    <w:rsid w:val="125F0939"/>
    <w:rsid w:val="137B4442"/>
    <w:rsid w:val="13C66AB3"/>
    <w:rsid w:val="13E53E69"/>
    <w:rsid w:val="14305B02"/>
    <w:rsid w:val="14CE2940"/>
    <w:rsid w:val="15481B1A"/>
    <w:rsid w:val="158D530B"/>
    <w:rsid w:val="15CD5DD5"/>
    <w:rsid w:val="162F4422"/>
    <w:rsid w:val="16406571"/>
    <w:rsid w:val="17C31D96"/>
    <w:rsid w:val="17DB6FBA"/>
    <w:rsid w:val="18477C1A"/>
    <w:rsid w:val="18A715DC"/>
    <w:rsid w:val="193515C8"/>
    <w:rsid w:val="1A2D490E"/>
    <w:rsid w:val="1B0A0632"/>
    <w:rsid w:val="1B383AD4"/>
    <w:rsid w:val="1B684441"/>
    <w:rsid w:val="1BC14E5F"/>
    <w:rsid w:val="1C360B5C"/>
    <w:rsid w:val="1C77394F"/>
    <w:rsid w:val="1CE75528"/>
    <w:rsid w:val="1D1A7FC9"/>
    <w:rsid w:val="1D5315F4"/>
    <w:rsid w:val="21C23F64"/>
    <w:rsid w:val="23015B32"/>
    <w:rsid w:val="23EB3B2A"/>
    <w:rsid w:val="26BC4754"/>
    <w:rsid w:val="26FE6031"/>
    <w:rsid w:val="27B76F70"/>
    <w:rsid w:val="281331DB"/>
    <w:rsid w:val="291A7AE5"/>
    <w:rsid w:val="2983667C"/>
    <w:rsid w:val="2B523478"/>
    <w:rsid w:val="2B8E1C47"/>
    <w:rsid w:val="2BF014C7"/>
    <w:rsid w:val="2C5C699D"/>
    <w:rsid w:val="2D1A4678"/>
    <w:rsid w:val="2D300512"/>
    <w:rsid w:val="30863013"/>
    <w:rsid w:val="318D1BF5"/>
    <w:rsid w:val="31EC607B"/>
    <w:rsid w:val="331369C6"/>
    <w:rsid w:val="336632F9"/>
    <w:rsid w:val="3468137A"/>
    <w:rsid w:val="36846BD9"/>
    <w:rsid w:val="36914101"/>
    <w:rsid w:val="372E5D8E"/>
    <w:rsid w:val="37A82288"/>
    <w:rsid w:val="380B1D59"/>
    <w:rsid w:val="38A04AB1"/>
    <w:rsid w:val="38BB1EFF"/>
    <w:rsid w:val="3A59566D"/>
    <w:rsid w:val="3AB32640"/>
    <w:rsid w:val="3C6C5566"/>
    <w:rsid w:val="3DB23467"/>
    <w:rsid w:val="3DDC7293"/>
    <w:rsid w:val="3E0F3D55"/>
    <w:rsid w:val="3EC51526"/>
    <w:rsid w:val="40D515E5"/>
    <w:rsid w:val="414F6298"/>
    <w:rsid w:val="43055F36"/>
    <w:rsid w:val="43EF6207"/>
    <w:rsid w:val="45782CBD"/>
    <w:rsid w:val="459B27F5"/>
    <w:rsid w:val="46812A36"/>
    <w:rsid w:val="475E0523"/>
    <w:rsid w:val="47D848F3"/>
    <w:rsid w:val="492669D1"/>
    <w:rsid w:val="4A804456"/>
    <w:rsid w:val="4AB13630"/>
    <w:rsid w:val="4B162653"/>
    <w:rsid w:val="4C2D4D08"/>
    <w:rsid w:val="4C7F7A44"/>
    <w:rsid w:val="4C834AD9"/>
    <w:rsid w:val="4C887A03"/>
    <w:rsid w:val="4C8D1D9F"/>
    <w:rsid w:val="4CDE02B6"/>
    <w:rsid w:val="4E8B3151"/>
    <w:rsid w:val="4EB8479B"/>
    <w:rsid w:val="4F952A3E"/>
    <w:rsid w:val="4FE34394"/>
    <w:rsid w:val="51171E94"/>
    <w:rsid w:val="51ED7922"/>
    <w:rsid w:val="523E2578"/>
    <w:rsid w:val="53914DFB"/>
    <w:rsid w:val="53FD73AB"/>
    <w:rsid w:val="54CD2C7A"/>
    <w:rsid w:val="54DE797F"/>
    <w:rsid w:val="554B4D04"/>
    <w:rsid w:val="55583F15"/>
    <w:rsid w:val="556E0C8F"/>
    <w:rsid w:val="55CC4CE0"/>
    <w:rsid w:val="56363BF3"/>
    <w:rsid w:val="567A311B"/>
    <w:rsid w:val="56ED315F"/>
    <w:rsid w:val="571E55EE"/>
    <w:rsid w:val="58582ACD"/>
    <w:rsid w:val="58893E7A"/>
    <w:rsid w:val="595102A8"/>
    <w:rsid w:val="5954428A"/>
    <w:rsid w:val="59C457E9"/>
    <w:rsid w:val="5A160930"/>
    <w:rsid w:val="5A5F4AFC"/>
    <w:rsid w:val="5A9102A6"/>
    <w:rsid w:val="5AEB4F2C"/>
    <w:rsid w:val="5CE4571F"/>
    <w:rsid w:val="5E357F05"/>
    <w:rsid w:val="5F5B02B5"/>
    <w:rsid w:val="5F693700"/>
    <w:rsid w:val="5FB10487"/>
    <w:rsid w:val="5FBE6FD9"/>
    <w:rsid w:val="60697740"/>
    <w:rsid w:val="61231614"/>
    <w:rsid w:val="645A4282"/>
    <w:rsid w:val="650D3744"/>
    <w:rsid w:val="658F76B7"/>
    <w:rsid w:val="666158E9"/>
    <w:rsid w:val="678A61CB"/>
    <w:rsid w:val="67A55390"/>
    <w:rsid w:val="68072EB4"/>
    <w:rsid w:val="681C63E5"/>
    <w:rsid w:val="69050A54"/>
    <w:rsid w:val="69F66DCA"/>
    <w:rsid w:val="6A18228A"/>
    <w:rsid w:val="6A651713"/>
    <w:rsid w:val="6A744FF3"/>
    <w:rsid w:val="6BDA3F0C"/>
    <w:rsid w:val="6D5405BE"/>
    <w:rsid w:val="6D6728F5"/>
    <w:rsid w:val="6DE31A1D"/>
    <w:rsid w:val="6F873675"/>
    <w:rsid w:val="704D3137"/>
    <w:rsid w:val="73FA5677"/>
    <w:rsid w:val="749A6048"/>
    <w:rsid w:val="76A40BE3"/>
    <w:rsid w:val="76C9762C"/>
    <w:rsid w:val="776D1539"/>
    <w:rsid w:val="777A2396"/>
    <w:rsid w:val="78EC1071"/>
    <w:rsid w:val="79E12CE4"/>
    <w:rsid w:val="79FE5157"/>
    <w:rsid w:val="7A224DE6"/>
    <w:rsid w:val="7A9F41B4"/>
    <w:rsid w:val="7D821FA4"/>
    <w:rsid w:val="7D8B2F4F"/>
    <w:rsid w:val="7F843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0"/>
    <w:qFormat/>
    <w:uiPriority w:val="0"/>
    <w:pPr>
      <w:widowControl/>
      <w:wordWrap w:val="0"/>
      <w:spacing w:after="160"/>
      <w:ind w:left="1024"/>
      <w:outlineLvl w:val="0"/>
    </w:pPr>
    <w:rPr>
      <w:rFonts w:ascii="Times New Roman" w:hAnsi="Times New Roman" w:eastAsia="宋体" w:cs="Times New Roman"/>
      <w:kern w:val="0"/>
      <w:sz w:val="20"/>
      <w:szCs w:val="20"/>
    </w:rPr>
  </w:style>
  <w:style w:type="paragraph" w:styleId="5">
    <w:name w:val="heading 2"/>
    <w:basedOn w:val="1"/>
    <w:next w:val="1"/>
    <w:link w:val="51"/>
    <w:qFormat/>
    <w:uiPriority w:val="0"/>
    <w:pPr>
      <w:widowControl/>
      <w:wordWrap w:val="0"/>
      <w:spacing w:after="160"/>
      <w:ind w:left="1024"/>
      <w:outlineLvl w:val="1"/>
    </w:pPr>
    <w:rPr>
      <w:rFonts w:ascii="Times New Roman" w:hAnsi="Times New Roman" w:eastAsia="宋体" w:cs="Times New Roman"/>
      <w:kern w:val="0"/>
      <w:sz w:val="20"/>
      <w:szCs w:val="20"/>
    </w:rPr>
  </w:style>
  <w:style w:type="paragraph" w:styleId="6">
    <w:name w:val="heading 3"/>
    <w:basedOn w:val="1"/>
    <w:next w:val="7"/>
    <w:link w:val="52"/>
    <w:qFormat/>
    <w:uiPriority w:val="0"/>
    <w:pPr>
      <w:widowControl/>
      <w:wordWrap w:val="0"/>
      <w:spacing w:after="160"/>
      <w:ind w:left="1400" w:firstLine="1136"/>
      <w:outlineLvl w:val="2"/>
    </w:pPr>
    <w:rPr>
      <w:rFonts w:ascii="Times New Roman" w:hAnsi="Times New Roman" w:eastAsia="宋体" w:cs="Times New Roman"/>
      <w:kern w:val="0"/>
      <w:sz w:val="20"/>
      <w:szCs w:val="20"/>
    </w:rPr>
  </w:style>
  <w:style w:type="paragraph" w:styleId="9">
    <w:name w:val="heading 4"/>
    <w:next w:val="1"/>
    <w:link w:val="53"/>
    <w:qFormat/>
    <w:uiPriority w:val="0"/>
    <w:pPr>
      <w:wordWrap w:val="0"/>
      <w:spacing w:after="160"/>
      <w:ind w:left="1600" w:firstLine="2160"/>
      <w:jc w:val="both"/>
      <w:outlineLvl w:val="3"/>
    </w:pPr>
    <w:rPr>
      <w:rFonts w:ascii="Times New Roman" w:hAnsi="Times New Roman" w:eastAsia="宋体" w:cs="Times New Roman"/>
      <w:lang w:val="en-US" w:eastAsia="zh-CN" w:bidi="ar-SA"/>
    </w:rPr>
  </w:style>
  <w:style w:type="paragraph" w:styleId="10">
    <w:name w:val="heading 5"/>
    <w:next w:val="1"/>
    <w:link w:val="54"/>
    <w:qFormat/>
    <w:uiPriority w:val="0"/>
    <w:pPr>
      <w:wordWrap w:val="0"/>
      <w:spacing w:after="160"/>
      <w:ind w:left="1800" w:firstLine="1136"/>
      <w:jc w:val="both"/>
      <w:outlineLvl w:val="4"/>
    </w:pPr>
    <w:rPr>
      <w:rFonts w:ascii="Times New Roman" w:hAnsi="Times New Roman" w:eastAsia="宋体" w:cs="Times New Roman"/>
      <w:lang w:val="en-US" w:eastAsia="zh-CN" w:bidi="ar-SA"/>
    </w:rPr>
  </w:style>
  <w:style w:type="paragraph" w:styleId="11">
    <w:name w:val="heading 6"/>
    <w:next w:val="1"/>
    <w:link w:val="55"/>
    <w:qFormat/>
    <w:uiPriority w:val="0"/>
    <w:pPr>
      <w:wordWrap w:val="0"/>
      <w:spacing w:after="160"/>
      <w:ind w:left="2000" w:firstLine="2160"/>
      <w:jc w:val="both"/>
      <w:outlineLvl w:val="5"/>
    </w:pPr>
    <w:rPr>
      <w:rFonts w:ascii="Times New Roman" w:hAnsi="Times New Roman" w:eastAsia="宋体" w:cs="Times New Roman"/>
      <w:lang w:val="en-US" w:eastAsia="zh-CN" w:bidi="ar-SA"/>
    </w:rPr>
  </w:style>
  <w:style w:type="paragraph" w:styleId="12">
    <w:name w:val="heading 7"/>
    <w:next w:val="1"/>
    <w:link w:val="56"/>
    <w:qFormat/>
    <w:uiPriority w:val="0"/>
    <w:pPr>
      <w:wordWrap w:val="0"/>
      <w:spacing w:after="160"/>
      <w:ind w:left="2200" w:firstLine="1136"/>
      <w:jc w:val="both"/>
      <w:outlineLvl w:val="6"/>
    </w:pPr>
    <w:rPr>
      <w:rFonts w:ascii="Times New Roman" w:hAnsi="Times New Roman" w:eastAsia="宋体" w:cs="Times New Roman"/>
      <w:lang w:val="en-US" w:eastAsia="zh-CN" w:bidi="ar-SA"/>
    </w:rPr>
  </w:style>
  <w:style w:type="paragraph" w:styleId="13">
    <w:name w:val="heading 8"/>
    <w:next w:val="1"/>
    <w:link w:val="57"/>
    <w:qFormat/>
    <w:uiPriority w:val="0"/>
    <w:pPr>
      <w:wordWrap w:val="0"/>
      <w:spacing w:after="160"/>
      <w:ind w:left="2400" w:firstLine="1136"/>
      <w:jc w:val="both"/>
      <w:outlineLvl w:val="7"/>
    </w:pPr>
    <w:rPr>
      <w:rFonts w:ascii="Times New Roman" w:hAnsi="Times New Roman" w:eastAsia="宋体" w:cs="Times New Roman"/>
      <w:lang w:val="en-US" w:eastAsia="zh-CN" w:bidi="ar-SA"/>
    </w:rPr>
  </w:style>
  <w:style w:type="paragraph" w:styleId="14">
    <w:name w:val="heading 9"/>
    <w:next w:val="1"/>
    <w:link w:val="58"/>
    <w:qFormat/>
    <w:uiPriority w:val="0"/>
    <w:pPr>
      <w:wordWrap w:val="0"/>
      <w:spacing w:after="160"/>
      <w:ind w:left="2600" w:firstLine="1136"/>
      <w:jc w:val="both"/>
      <w:outlineLvl w:val="8"/>
    </w:pPr>
    <w:rPr>
      <w:rFonts w:ascii="Times New Roman" w:hAnsi="Times New Roman" w:eastAsia="宋体" w:cs="Times New Roman"/>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spacing w:after="120" w:line="240" w:lineRule="auto"/>
      <w:ind w:firstLine="420" w:firstLineChars="100"/>
    </w:pPr>
    <w:rPr>
      <w:rFonts w:ascii="Times New Roman"/>
      <w:sz w:val="21"/>
    </w:rPr>
  </w:style>
  <w:style w:type="paragraph" w:styleId="3">
    <w:name w:val="Body Text"/>
    <w:basedOn w:val="1"/>
    <w:next w:val="2"/>
    <w:link w:val="66"/>
    <w:qFormat/>
    <w:uiPriority w:val="99"/>
    <w:pPr>
      <w:widowControl/>
      <w:wordWrap w:val="0"/>
      <w:autoSpaceDE w:val="0"/>
      <w:autoSpaceDN w:val="0"/>
      <w:adjustRightInd w:val="0"/>
      <w:spacing w:line="300" w:lineRule="auto"/>
      <w:ind w:left="1024" w:firstLine="422" w:firstLineChars="200"/>
    </w:pPr>
    <w:rPr>
      <w:rFonts w:ascii="宋体" w:hAnsi="宋体" w:eastAsia="宋体" w:cs="Times New Roman"/>
      <w:kern w:val="0"/>
      <w:sz w:val="20"/>
      <w:szCs w:val="21"/>
      <w:lang w:val="zh-CN"/>
    </w:rPr>
  </w:style>
  <w:style w:type="paragraph" w:styleId="7">
    <w:name w:val="Normal Indent"/>
    <w:basedOn w:val="1"/>
    <w:next w:val="8"/>
    <w:qFormat/>
    <w:uiPriority w:val="0"/>
    <w:pPr>
      <w:widowControl/>
      <w:wordWrap w:val="0"/>
      <w:ind w:left="1096"/>
    </w:pPr>
    <w:rPr>
      <w:rFonts w:ascii="Times New Roman" w:hAnsi="Times New Roman" w:eastAsia="宋体" w:cs="Times New Roman"/>
      <w:kern w:val="0"/>
      <w:sz w:val="20"/>
      <w:szCs w:val="20"/>
    </w:rPr>
  </w:style>
  <w:style w:type="paragraph" w:styleId="8">
    <w:name w:val="Body Text Indent"/>
    <w:basedOn w:val="1"/>
    <w:next w:val="7"/>
    <w:link w:val="67"/>
    <w:qFormat/>
    <w:uiPriority w:val="0"/>
    <w:pPr>
      <w:widowControl/>
      <w:wordWrap w:val="0"/>
      <w:spacing w:after="120"/>
      <w:ind w:left="420" w:leftChars="200"/>
    </w:pPr>
    <w:rPr>
      <w:rFonts w:ascii="Times New Roman" w:hAnsi="Times New Roman" w:eastAsia="宋体" w:cs="Times New Roman"/>
      <w:kern w:val="0"/>
      <w:sz w:val="20"/>
      <w:szCs w:val="20"/>
    </w:rPr>
  </w:style>
  <w:style w:type="paragraph" w:styleId="15">
    <w:name w:val="toc 7"/>
    <w:next w:val="1"/>
    <w:qFormat/>
    <w:uiPriority w:val="0"/>
    <w:pPr>
      <w:wordWrap w:val="0"/>
      <w:ind w:left="1101"/>
      <w:jc w:val="both"/>
    </w:pPr>
    <w:rPr>
      <w:rFonts w:ascii="Times New Roman" w:hAnsi="Times New Roman" w:eastAsia="宋体" w:cs="Times New Roman"/>
      <w:lang w:val="en-US" w:eastAsia="zh-CN" w:bidi="ar-SA"/>
    </w:rPr>
  </w:style>
  <w:style w:type="paragraph" w:styleId="16">
    <w:name w:val="Block Text"/>
    <w:basedOn w:val="1"/>
    <w:qFormat/>
    <w:uiPriority w:val="0"/>
    <w:pPr>
      <w:spacing w:after="120"/>
      <w:ind w:left="1440" w:leftChars="700" w:right="1440" w:rightChars="700"/>
    </w:pPr>
    <w:rPr>
      <w:rFonts w:ascii="Calibri" w:hAnsi="Calibri"/>
      <w:szCs w:val="24"/>
    </w:rPr>
  </w:style>
  <w:style w:type="paragraph" w:styleId="17">
    <w:name w:val="toc 5"/>
    <w:next w:val="1"/>
    <w:qFormat/>
    <w:uiPriority w:val="0"/>
    <w:pPr>
      <w:wordWrap w:val="0"/>
      <w:ind w:left="1275"/>
      <w:jc w:val="both"/>
    </w:pPr>
    <w:rPr>
      <w:rFonts w:ascii="Times New Roman" w:hAnsi="Times New Roman" w:eastAsia="宋体" w:cs="Times New Roman"/>
      <w:lang w:val="en-US" w:eastAsia="zh-CN" w:bidi="ar-SA"/>
    </w:rPr>
  </w:style>
  <w:style w:type="paragraph" w:styleId="18">
    <w:name w:val="toc 3"/>
    <w:basedOn w:val="1"/>
    <w:next w:val="1"/>
    <w:qFormat/>
    <w:uiPriority w:val="0"/>
    <w:pPr>
      <w:wordWrap w:val="0"/>
      <w:ind w:left="1193"/>
    </w:pPr>
    <w:rPr>
      <w:rFonts w:ascii="Times New Roman" w:hAnsi="Times New Roman" w:eastAsia="宋体" w:cs="Times New Roman"/>
      <w:kern w:val="0"/>
      <w:sz w:val="20"/>
      <w:szCs w:val="20"/>
    </w:rPr>
  </w:style>
  <w:style w:type="paragraph" w:styleId="19">
    <w:name w:val="Plain Text"/>
    <w:basedOn w:val="1"/>
    <w:next w:val="20"/>
    <w:link w:val="65"/>
    <w:qFormat/>
    <w:uiPriority w:val="0"/>
    <w:pPr>
      <w:widowControl/>
      <w:wordWrap w:val="0"/>
      <w:ind w:left="1024"/>
    </w:pPr>
    <w:rPr>
      <w:rFonts w:ascii="宋体" w:hAnsi="Courier New" w:eastAsia="宋体" w:cs="Times New Roman"/>
      <w:kern w:val="0"/>
      <w:sz w:val="20"/>
      <w:szCs w:val="20"/>
    </w:rPr>
  </w:style>
  <w:style w:type="paragraph" w:styleId="20">
    <w:name w:val="toc 2"/>
    <w:basedOn w:val="1"/>
    <w:next w:val="1"/>
    <w:qFormat/>
    <w:uiPriority w:val="0"/>
    <w:pPr>
      <w:wordWrap w:val="0"/>
      <w:ind w:left="1024"/>
    </w:pPr>
    <w:rPr>
      <w:rFonts w:ascii="Times New Roman" w:hAnsi="Times New Roman" w:eastAsia="宋体" w:cs="Times New Roman"/>
      <w:kern w:val="0"/>
      <w:sz w:val="20"/>
      <w:szCs w:val="20"/>
    </w:rPr>
  </w:style>
  <w:style w:type="paragraph" w:styleId="21">
    <w:name w:val="toc 8"/>
    <w:next w:val="1"/>
    <w:qFormat/>
    <w:uiPriority w:val="0"/>
    <w:pPr>
      <w:wordWrap w:val="0"/>
      <w:ind w:left="1270"/>
      <w:jc w:val="both"/>
    </w:pPr>
    <w:rPr>
      <w:rFonts w:ascii="Times New Roman" w:hAnsi="Times New Roman" w:eastAsia="宋体" w:cs="Times New Roman"/>
      <w:lang w:val="en-US" w:eastAsia="zh-CN" w:bidi="ar-SA"/>
    </w:rPr>
  </w:style>
  <w:style w:type="paragraph" w:styleId="22">
    <w:name w:val="Date"/>
    <w:basedOn w:val="1"/>
    <w:next w:val="1"/>
    <w:qFormat/>
    <w:uiPriority w:val="0"/>
    <w:pPr>
      <w:adjustRightInd w:val="0"/>
      <w:spacing w:line="312" w:lineRule="atLeast"/>
    </w:pPr>
    <w:rPr>
      <w:rFonts w:ascii="仿宋_GB2312" w:eastAsia="仿宋_GB2312"/>
      <w:kern w:val="0"/>
      <w:sz w:val="28"/>
      <w:szCs w:val="20"/>
    </w:rPr>
  </w:style>
  <w:style w:type="paragraph" w:styleId="23">
    <w:name w:val="Body Text Indent 2"/>
    <w:basedOn w:val="1"/>
    <w:link w:val="68"/>
    <w:qFormat/>
    <w:uiPriority w:val="0"/>
    <w:pPr>
      <w:widowControl/>
      <w:wordWrap w:val="0"/>
      <w:snapToGrid w:val="0"/>
      <w:spacing w:line="400" w:lineRule="exact"/>
      <w:ind w:left="1024" w:firstLine="480"/>
    </w:pPr>
    <w:rPr>
      <w:rFonts w:ascii="Times New Roman" w:hAnsi="Times New Roman" w:eastAsia="仿宋_GB2312" w:cs="Times New Roman"/>
      <w:kern w:val="0"/>
      <w:sz w:val="24"/>
      <w:szCs w:val="20"/>
    </w:rPr>
  </w:style>
  <w:style w:type="paragraph" w:styleId="24">
    <w:name w:val="Balloon Text"/>
    <w:basedOn w:val="1"/>
    <w:link w:val="118"/>
    <w:semiHidden/>
    <w:unhideWhenUsed/>
    <w:qFormat/>
    <w:uiPriority w:val="99"/>
    <w:rPr>
      <w:sz w:val="18"/>
      <w:szCs w:val="18"/>
    </w:rPr>
  </w:style>
  <w:style w:type="paragraph" w:styleId="25">
    <w:name w:val="footer"/>
    <w:basedOn w:val="1"/>
    <w:link w:val="45"/>
    <w:unhideWhenUsed/>
    <w:qFormat/>
    <w:uiPriority w:val="99"/>
    <w:pPr>
      <w:tabs>
        <w:tab w:val="center" w:pos="4153"/>
        <w:tab w:val="right" w:pos="8306"/>
      </w:tabs>
      <w:snapToGrid w:val="0"/>
      <w:jc w:val="left"/>
    </w:pPr>
    <w:rPr>
      <w:sz w:val="18"/>
      <w:szCs w:val="18"/>
    </w:rPr>
  </w:style>
  <w:style w:type="paragraph" w:styleId="26">
    <w:name w:val="header"/>
    <w:basedOn w:val="1"/>
    <w:next w:val="1"/>
    <w:link w:val="44"/>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pPr>
      <w:widowControl/>
      <w:wordWrap w:val="0"/>
      <w:ind w:left="1024"/>
    </w:pPr>
    <w:rPr>
      <w:rFonts w:ascii="Times New Roman" w:hAnsi="Times New Roman" w:eastAsia="宋体" w:cs="Times New Roman"/>
      <w:kern w:val="0"/>
      <w:sz w:val="20"/>
      <w:szCs w:val="20"/>
    </w:rPr>
  </w:style>
  <w:style w:type="paragraph" w:styleId="28">
    <w:name w:val="toc 4"/>
    <w:next w:val="1"/>
    <w:qFormat/>
    <w:uiPriority w:val="0"/>
    <w:pPr>
      <w:wordWrap w:val="0"/>
      <w:ind w:left="1106"/>
      <w:jc w:val="both"/>
    </w:pPr>
    <w:rPr>
      <w:rFonts w:ascii="Times New Roman" w:hAnsi="Times New Roman" w:eastAsia="宋体" w:cs="Times New Roman"/>
      <w:lang w:val="en-US" w:eastAsia="zh-CN" w:bidi="ar-SA"/>
    </w:rPr>
  </w:style>
  <w:style w:type="paragraph" w:styleId="29">
    <w:name w:val="Subtitle"/>
    <w:next w:val="1"/>
    <w:link w:val="69"/>
    <w:qFormat/>
    <w:uiPriority w:val="0"/>
    <w:pPr>
      <w:wordWrap w:val="0"/>
      <w:spacing w:after="60"/>
      <w:ind w:left="1024"/>
      <w:jc w:val="center"/>
    </w:pPr>
    <w:rPr>
      <w:rFonts w:ascii="Times New Roman" w:hAnsi="Times New Roman" w:eastAsia="宋体" w:cs="Times New Roman"/>
      <w:lang w:val="en-US" w:eastAsia="zh-CN" w:bidi="ar-SA"/>
    </w:rPr>
  </w:style>
  <w:style w:type="paragraph" w:styleId="30">
    <w:name w:val="toc 6"/>
    <w:basedOn w:val="1"/>
    <w:next w:val="1"/>
    <w:qFormat/>
    <w:uiPriority w:val="0"/>
    <w:pPr>
      <w:wordWrap w:val="0"/>
      <w:ind w:left="1188"/>
    </w:pPr>
    <w:rPr>
      <w:rFonts w:ascii="Times New Roman" w:hAnsi="Times New Roman" w:eastAsia="宋体" w:cs="Times New Roman"/>
    </w:rPr>
  </w:style>
  <w:style w:type="paragraph" w:styleId="31">
    <w:name w:val="toc 9"/>
    <w:next w:val="1"/>
    <w:qFormat/>
    <w:uiPriority w:val="0"/>
    <w:pPr>
      <w:wordWrap w:val="0"/>
      <w:ind w:left="1183"/>
      <w:jc w:val="both"/>
    </w:pPr>
    <w:rPr>
      <w:rFonts w:ascii="Times New Roman" w:hAnsi="Times New Roman" w:eastAsia="宋体" w:cs="Times New Roman"/>
      <w:lang w:val="en-US" w:eastAsia="zh-CN" w:bidi="ar-SA"/>
    </w:rPr>
  </w:style>
  <w:style w:type="paragraph" w:styleId="32">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33">
    <w:name w:val="Title"/>
    <w:basedOn w:val="1"/>
    <w:next w:val="1"/>
    <w:link w:val="71"/>
    <w:qFormat/>
    <w:uiPriority w:val="0"/>
    <w:pPr>
      <w:widowControl/>
      <w:wordWrap w:val="0"/>
      <w:overflowPunct w:val="0"/>
      <w:autoSpaceDE w:val="0"/>
      <w:autoSpaceDN w:val="0"/>
      <w:adjustRightInd w:val="0"/>
      <w:spacing w:line="420" w:lineRule="exact"/>
      <w:ind w:left="1024"/>
      <w:jc w:val="center"/>
      <w:textAlignment w:val="baseline"/>
    </w:pPr>
    <w:rPr>
      <w:rFonts w:ascii="Times New Roman" w:hAnsi="Times New Roman" w:eastAsia="黑体" w:cs="Times New Roman"/>
      <w:b/>
      <w:kern w:val="0"/>
      <w:sz w:val="28"/>
      <w:szCs w:val="20"/>
      <w:lang w:val="en-GB"/>
    </w:rPr>
  </w:style>
  <w:style w:type="paragraph" w:styleId="34">
    <w:name w:val="Body Text First Indent 2"/>
    <w:basedOn w:val="8"/>
    <w:link w:val="70"/>
    <w:qFormat/>
    <w:uiPriority w:val="0"/>
    <w:pPr>
      <w:ind w:firstLine="420" w:firstLineChars="200"/>
    </w:pPr>
  </w:style>
  <w:style w:type="table" w:styleId="36">
    <w:name w:val="Table Grid"/>
    <w:basedOn w:val="3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basedOn w:val="37"/>
    <w:qFormat/>
    <w:uiPriority w:val="0"/>
    <w:rPr>
      <w:b/>
      <w:bCs/>
    </w:rPr>
  </w:style>
  <w:style w:type="character" w:styleId="39">
    <w:name w:val="Emphasis"/>
    <w:qFormat/>
    <w:uiPriority w:val="0"/>
    <w:rPr>
      <w:i/>
      <w:sz w:val="21"/>
    </w:rPr>
  </w:style>
  <w:style w:type="character" w:styleId="40">
    <w:name w:val="Hyperlink"/>
    <w:basedOn w:val="37"/>
    <w:unhideWhenUsed/>
    <w:qFormat/>
    <w:uiPriority w:val="99"/>
    <w:rPr>
      <w:color w:val="0000FF"/>
      <w:u w:val="single"/>
    </w:rPr>
  </w:style>
  <w:style w:type="paragraph" w:customStyle="1" w:styleId="41">
    <w:name w:val="BodyText"/>
    <w:basedOn w:val="1"/>
    <w:qFormat/>
    <w:uiPriority w:val="0"/>
    <w:pPr>
      <w:jc w:val="center"/>
      <w:textAlignment w:val="baseline"/>
    </w:pPr>
    <w:rPr>
      <w:rFonts w:ascii="Calibri" w:hAnsi="Calibri" w:eastAsia="宋体"/>
      <w:sz w:val="44"/>
      <w:szCs w:val="20"/>
    </w:rPr>
  </w:style>
  <w:style w:type="paragraph" w:customStyle="1" w:styleId="42">
    <w:name w:val="首行缩进"/>
    <w:basedOn w:val="1"/>
    <w:qFormat/>
    <w:uiPriority w:val="0"/>
    <w:pPr>
      <w:spacing w:line="360" w:lineRule="auto"/>
      <w:ind w:firstLine="480" w:firstLineChars="200"/>
      <w:jc w:val="left"/>
    </w:pPr>
    <w:rPr>
      <w:rFonts w:ascii="宋体" w:hAnsi="宋体"/>
      <w:sz w:val="24"/>
    </w:rPr>
  </w:style>
  <w:style w:type="paragraph" w:customStyle="1" w:styleId="43">
    <w:name w:val="一级标题"/>
    <w:basedOn w:val="1"/>
    <w:next w:val="3"/>
    <w:qFormat/>
    <w:uiPriority w:val="0"/>
    <w:pPr>
      <w:outlineLvl w:val="0"/>
    </w:pPr>
    <w:rPr>
      <w:b/>
      <w:bCs/>
      <w:sz w:val="32"/>
    </w:rPr>
  </w:style>
  <w:style w:type="character" w:customStyle="1" w:styleId="44">
    <w:name w:val="页眉 Char"/>
    <w:basedOn w:val="37"/>
    <w:link w:val="26"/>
    <w:semiHidden/>
    <w:qFormat/>
    <w:uiPriority w:val="99"/>
    <w:rPr>
      <w:sz w:val="18"/>
      <w:szCs w:val="18"/>
    </w:rPr>
  </w:style>
  <w:style w:type="character" w:customStyle="1" w:styleId="45">
    <w:name w:val="页脚 Char"/>
    <w:basedOn w:val="37"/>
    <w:link w:val="25"/>
    <w:qFormat/>
    <w:uiPriority w:val="99"/>
    <w:rPr>
      <w:sz w:val="18"/>
      <w:szCs w:val="18"/>
    </w:rPr>
  </w:style>
  <w:style w:type="paragraph" w:customStyle="1" w:styleId="46">
    <w:name w:val="s-mid-content-dat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apple-converted-space"/>
    <w:basedOn w:val="37"/>
    <w:qFormat/>
    <w:uiPriority w:val="0"/>
  </w:style>
  <w:style w:type="character" w:customStyle="1" w:styleId="48">
    <w:name w:val="bookmark-item"/>
    <w:basedOn w:val="37"/>
    <w:qFormat/>
    <w:uiPriority w:val="0"/>
  </w:style>
  <w:style w:type="paragraph" w:customStyle="1" w:styleId="49">
    <w:name w:val="fjxx"/>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50">
    <w:name w:val="标题 1 Char"/>
    <w:basedOn w:val="37"/>
    <w:link w:val="4"/>
    <w:qFormat/>
    <w:uiPriority w:val="0"/>
    <w:rPr>
      <w:rFonts w:ascii="Times New Roman" w:hAnsi="Times New Roman" w:eastAsia="宋体" w:cs="Times New Roman"/>
      <w:kern w:val="0"/>
      <w:sz w:val="20"/>
      <w:szCs w:val="20"/>
    </w:rPr>
  </w:style>
  <w:style w:type="character" w:customStyle="1" w:styleId="51">
    <w:name w:val="标题 2 Char"/>
    <w:basedOn w:val="37"/>
    <w:link w:val="5"/>
    <w:qFormat/>
    <w:uiPriority w:val="0"/>
    <w:rPr>
      <w:rFonts w:ascii="Times New Roman" w:hAnsi="Times New Roman" w:eastAsia="宋体" w:cs="Times New Roman"/>
      <w:kern w:val="0"/>
      <w:sz w:val="20"/>
      <w:szCs w:val="20"/>
    </w:rPr>
  </w:style>
  <w:style w:type="character" w:customStyle="1" w:styleId="52">
    <w:name w:val="标题 3 Char"/>
    <w:basedOn w:val="37"/>
    <w:link w:val="6"/>
    <w:qFormat/>
    <w:uiPriority w:val="0"/>
    <w:rPr>
      <w:rFonts w:ascii="Times New Roman" w:hAnsi="Times New Roman" w:eastAsia="宋体" w:cs="Times New Roman"/>
      <w:kern w:val="0"/>
      <w:sz w:val="20"/>
      <w:szCs w:val="20"/>
    </w:rPr>
  </w:style>
  <w:style w:type="character" w:customStyle="1" w:styleId="53">
    <w:name w:val="标题 4 Char"/>
    <w:basedOn w:val="37"/>
    <w:link w:val="9"/>
    <w:qFormat/>
    <w:uiPriority w:val="0"/>
    <w:rPr>
      <w:rFonts w:ascii="Times New Roman" w:hAnsi="Times New Roman" w:eastAsia="宋体" w:cs="Times New Roman"/>
      <w:kern w:val="0"/>
      <w:sz w:val="20"/>
      <w:szCs w:val="20"/>
    </w:rPr>
  </w:style>
  <w:style w:type="character" w:customStyle="1" w:styleId="54">
    <w:name w:val="标题 5 Char"/>
    <w:basedOn w:val="37"/>
    <w:link w:val="10"/>
    <w:qFormat/>
    <w:uiPriority w:val="0"/>
    <w:rPr>
      <w:rFonts w:ascii="Times New Roman" w:hAnsi="Times New Roman" w:eastAsia="宋体" w:cs="Times New Roman"/>
      <w:kern w:val="0"/>
      <w:sz w:val="20"/>
      <w:szCs w:val="20"/>
    </w:rPr>
  </w:style>
  <w:style w:type="character" w:customStyle="1" w:styleId="55">
    <w:name w:val="标题 6 Char"/>
    <w:basedOn w:val="37"/>
    <w:link w:val="11"/>
    <w:qFormat/>
    <w:uiPriority w:val="0"/>
    <w:rPr>
      <w:rFonts w:ascii="Times New Roman" w:hAnsi="Times New Roman" w:eastAsia="宋体" w:cs="Times New Roman"/>
      <w:kern w:val="0"/>
      <w:sz w:val="20"/>
      <w:szCs w:val="20"/>
    </w:rPr>
  </w:style>
  <w:style w:type="character" w:customStyle="1" w:styleId="56">
    <w:name w:val="标题 7 Char"/>
    <w:basedOn w:val="37"/>
    <w:link w:val="12"/>
    <w:qFormat/>
    <w:uiPriority w:val="0"/>
    <w:rPr>
      <w:rFonts w:ascii="Times New Roman" w:hAnsi="Times New Roman" w:eastAsia="宋体" w:cs="Times New Roman"/>
      <w:kern w:val="0"/>
      <w:sz w:val="20"/>
      <w:szCs w:val="20"/>
    </w:rPr>
  </w:style>
  <w:style w:type="character" w:customStyle="1" w:styleId="57">
    <w:name w:val="标题 8 Char"/>
    <w:basedOn w:val="37"/>
    <w:link w:val="13"/>
    <w:qFormat/>
    <w:uiPriority w:val="0"/>
    <w:rPr>
      <w:rFonts w:ascii="Times New Roman" w:hAnsi="Times New Roman" w:eastAsia="宋体" w:cs="Times New Roman"/>
      <w:kern w:val="0"/>
      <w:sz w:val="20"/>
      <w:szCs w:val="20"/>
    </w:rPr>
  </w:style>
  <w:style w:type="character" w:customStyle="1" w:styleId="58">
    <w:name w:val="标题 9 Char"/>
    <w:basedOn w:val="37"/>
    <w:link w:val="14"/>
    <w:qFormat/>
    <w:uiPriority w:val="0"/>
    <w:rPr>
      <w:rFonts w:ascii="Times New Roman" w:hAnsi="Times New Roman" w:eastAsia="宋体" w:cs="Times New Roman"/>
      <w:kern w:val="0"/>
      <w:sz w:val="20"/>
      <w:szCs w:val="20"/>
    </w:rPr>
  </w:style>
  <w:style w:type="character" w:customStyle="1" w:styleId="59">
    <w:name w:val="不明显参考1"/>
    <w:qFormat/>
    <w:uiPriority w:val="0"/>
    <w:rPr>
      <w:color w:val="auto"/>
      <w:sz w:val="21"/>
    </w:rPr>
  </w:style>
  <w:style w:type="character" w:customStyle="1" w:styleId="60">
    <w:name w:val="不明显强调1"/>
    <w:qFormat/>
    <w:uiPriority w:val="0"/>
    <w:rPr>
      <w:i/>
      <w:color w:val="auto"/>
      <w:sz w:val="21"/>
    </w:rPr>
  </w:style>
  <w:style w:type="character" w:customStyle="1" w:styleId="61">
    <w:name w:val="font21"/>
    <w:basedOn w:val="37"/>
    <w:qFormat/>
    <w:uiPriority w:val="0"/>
    <w:rPr>
      <w:rFonts w:hint="eastAsia" w:ascii="宋体" w:hAnsi="宋体" w:eastAsia="宋体" w:cs="宋体"/>
      <w:color w:val="000000"/>
      <w:sz w:val="16"/>
      <w:szCs w:val="16"/>
      <w:u w:val="none"/>
    </w:rPr>
  </w:style>
  <w:style w:type="character" w:customStyle="1" w:styleId="62">
    <w:name w:val="明显参考1"/>
    <w:qFormat/>
    <w:uiPriority w:val="0"/>
    <w:rPr>
      <w:b/>
      <w:color w:val="auto"/>
      <w:sz w:val="21"/>
    </w:rPr>
  </w:style>
  <w:style w:type="character" w:customStyle="1" w:styleId="63">
    <w:name w:val="明显强调1"/>
    <w:qFormat/>
    <w:uiPriority w:val="0"/>
    <w:rPr>
      <w:i/>
      <w:color w:val="auto"/>
      <w:sz w:val="21"/>
    </w:rPr>
  </w:style>
  <w:style w:type="character" w:customStyle="1" w:styleId="64">
    <w:name w:val="书籍标题1"/>
    <w:qFormat/>
    <w:uiPriority w:val="0"/>
    <w:rPr>
      <w:b/>
      <w:i/>
      <w:sz w:val="21"/>
    </w:rPr>
  </w:style>
  <w:style w:type="character" w:customStyle="1" w:styleId="65">
    <w:name w:val="纯文本 Char"/>
    <w:basedOn w:val="37"/>
    <w:link w:val="19"/>
    <w:qFormat/>
    <w:uiPriority w:val="0"/>
    <w:rPr>
      <w:rFonts w:ascii="宋体" w:hAnsi="Courier New" w:eastAsia="宋体" w:cs="Times New Roman"/>
      <w:kern w:val="0"/>
      <w:sz w:val="20"/>
      <w:szCs w:val="20"/>
    </w:rPr>
  </w:style>
  <w:style w:type="character" w:customStyle="1" w:styleId="66">
    <w:name w:val="正文文本 Char"/>
    <w:basedOn w:val="37"/>
    <w:link w:val="3"/>
    <w:qFormat/>
    <w:uiPriority w:val="99"/>
    <w:rPr>
      <w:rFonts w:ascii="宋体" w:hAnsi="宋体" w:eastAsia="宋体" w:cs="Times New Roman"/>
      <w:kern w:val="0"/>
      <w:sz w:val="20"/>
      <w:szCs w:val="21"/>
      <w:lang w:val="zh-CN"/>
    </w:rPr>
  </w:style>
  <w:style w:type="character" w:customStyle="1" w:styleId="67">
    <w:name w:val="正文文本缩进 Char"/>
    <w:basedOn w:val="37"/>
    <w:link w:val="8"/>
    <w:qFormat/>
    <w:uiPriority w:val="0"/>
    <w:rPr>
      <w:rFonts w:ascii="Times New Roman" w:hAnsi="Times New Roman" w:eastAsia="宋体" w:cs="Times New Roman"/>
      <w:kern w:val="0"/>
      <w:sz w:val="20"/>
      <w:szCs w:val="20"/>
    </w:rPr>
  </w:style>
  <w:style w:type="character" w:customStyle="1" w:styleId="68">
    <w:name w:val="正文文本缩进 2 Char"/>
    <w:basedOn w:val="37"/>
    <w:link w:val="23"/>
    <w:qFormat/>
    <w:uiPriority w:val="0"/>
    <w:rPr>
      <w:rFonts w:ascii="Times New Roman" w:hAnsi="Times New Roman" w:eastAsia="仿宋_GB2312" w:cs="Times New Roman"/>
      <w:kern w:val="0"/>
      <w:sz w:val="24"/>
      <w:szCs w:val="20"/>
    </w:rPr>
  </w:style>
  <w:style w:type="character" w:customStyle="1" w:styleId="69">
    <w:name w:val="副标题 Char"/>
    <w:basedOn w:val="37"/>
    <w:link w:val="29"/>
    <w:qFormat/>
    <w:uiPriority w:val="0"/>
    <w:rPr>
      <w:rFonts w:ascii="Times New Roman" w:hAnsi="Times New Roman" w:eastAsia="宋体" w:cs="Times New Roman"/>
      <w:kern w:val="0"/>
      <w:sz w:val="20"/>
      <w:szCs w:val="20"/>
    </w:rPr>
  </w:style>
  <w:style w:type="character" w:customStyle="1" w:styleId="70">
    <w:name w:val="正文首行缩进 2 Char"/>
    <w:basedOn w:val="67"/>
    <w:link w:val="34"/>
    <w:qFormat/>
    <w:uiPriority w:val="0"/>
    <w:rPr>
      <w:rFonts w:ascii="Times New Roman" w:hAnsi="Times New Roman" w:eastAsia="宋体" w:cs="Times New Roman"/>
      <w:kern w:val="0"/>
      <w:sz w:val="20"/>
      <w:szCs w:val="20"/>
    </w:rPr>
  </w:style>
  <w:style w:type="character" w:customStyle="1" w:styleId="71">
    <w:name w:val="标题 Char"/>
    <w:basedOn w:val="37"/>
    <w:link w:val="33"/>
    <w:qFormat/>
    <w:uiPriority w:val="0"/>
    <w:rPr>
      <w:rFonts w:ascii="Times New Roman" w:hAnsi="Times New Roman" w:eastAsia="黑体" w:cs="Times New Roman"/>
      <w:b/>
      <w:kern w:val="0"/>
      <w:sz w:val="28"/>
      <w:szCs w:val="20"/>
      <w:lang w:val="en-GB"/>
    </w:rPr>
  </w:style>
  <w:style w:type="paragraph" w:customStyle="1" w:styleId="72">
    <w:name w:val="TOC 标题1"/>
    <w:next w:val="1"/>
    <w:qFormat/>
    <w:uiPriority w:val="0"/>
    <w:pPr>
      <w:wordWrap w:val="0"/>
      <w:ind w:left="2560"/>
    </w:pPr>
    <w:rPr>
      <w:rFonts w:ascii="Times New Roman" w:hAnsi="Times New Roman" w:eastAsia="宋体" w:cs="Times New Roman"/>
      <w:lang w:val="en-US" w:eastAsia="zh-CN" w:bidi="ar-SA"/>
    </w:rPr>
  </w:style>
  <w:style w:type="paragraph" w:customStyle="1" w:styleId="73">
    <w:name w:val="正文_8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7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Char"/>
    <w:basedOn w:val="1"/>
    <w:qFormat/>
    <w:uiPriority w:val="0"/>
    <w:pPr>
      <w:widowControl/>
      <w:wordWrap w:val="0"/>
      <w:ind w:left="1024"/>
    </w:pPr>
    <w:rPr>
      <w:rFonts w:ascii="Tahoma" w:hAnsi="Tahoma" w:eastAsia="宋体" w:cs="Times New Roman"/>
      <w:kern w:val="0"/>
      <w:sz w:val="24"/>
      <w:szCs w:val="20"/>
    </w:rPr>
  </w:style>
  <w:style w:type="paragraph" w:customStyle="1" w:styleId="76">
    <w:name w:val="Char_0"/>
    <w:basedOn w:val="77"/>
    <w:qFormat/>
    <w:uiPriority w:val="0"/>
    <w:rPr>
      <w:rFonts w:ascii="Tahoma" w:hAnsi="Tahoma"/>
      <w:sz w:val="24"/>
      <w:szCs w:val="20"/>
    </w:rPr>
  </w:style>
  <w:style w:type="paragraph" w:customStyle="1" w:styleId="77">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纯文本_0"/>
    <w:basedOn w:val="81"/>
    <w:unhideWhenUsed/>
    <w:qFormat/>
    <w:uiPriority w:val="0"/>
    <w:pPr>
      <w:widowControl/>
      <w:wordWrap w:val="0"/>
      <w:ind w:left="1024"/>
    </w:pPr>
    <w:rPr>
      <w:rFonts w:ascii="宋体" w:hAnsi="Courier New"/>
      <w:kern w:val="0"/>
      <w:sz w:val="20"/>
      <w:szCs w:val="20"/>
    </w:rPr>
  </w:style>
  <w:style w:type="paragraph" w:customStyle="1" w:styleId="8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82">
    <w:name w:val="列出段落1"/>
    <w:basedOn w:val="1"/>
    <w:next w:val="1"/>
    <w:qFormat/>
    <w:uiPriority w:val="0"/>
    <w:pPr>
      <w:wordWrap w:val="0"/>
      <w:ind w:left="1106"/>
    </w:pPr>
    <w:rPr>
      <w:rFonts w:ascii="Times New Roman" w:hAnsi="Times New Roman" w:eastAsia="宋体" w:cs="Times New Roman"/>
      <w:kern w:val="0"/>
      <w:sz w:val="20"/>
      <w:szCs w:val="20"/>
    </w:rPr>
  </w:style>
  <w:style w:type="paragraph" w:customStyle="1" w:styleId="83">
    <w:name w:val="普通(网站)_0"/>
    <w:basedOn w:val="77"/>
    <w:unhideWhenUsed/>
    <w:qFormat/>
    <w:uiPriority w:val="0"/>
    <w:pPr>
      <w:widowControl/>
      <w:wordWrap w:val="0"/>
      <w:spacing w:before="100" w:beforeAutospacing="1" w:after="100" w:afterAutospacing="1"/>
      <w:ind w:left="1024"/>
      <w:jc w:val="left"/>
    </w:pPr>
    <w:rPr>
      <w:rFonts w:ascii="宋体" w:hAnsi="宋体"/>
      <w:kern w:val="0"/>
      <w:sz w:val="24"/>
    </w:rPr>
  </w:style>
  <w:style w:type="paragraph" w:customStyle="1" w:styleId="84">
    <w:name w:val="引用1"/>
    <w:next w:val="1"/>
    <w:link w:val="85"/>
    <w:qFormat/>
    <w:uiPriority w:val="0"/>
    <w:pPr>
      <w:wordWrap w:val="0"/>
      <w:spacing w:before="200" w:after="160"/>
      <w:ind w:left="3680" w:right="864"/>
      <w:jc w:val="center"/>
    </w:pPr>
    <w:rPr>
      <w:rFonts w:ascii="Times New Roman" w:hAnsi="Times New Roman" w:eastAsia="宋体" w:cs="Times New Roman"/>
      <w:i/>
      <w:lang w:val="en-US" w:eastAsia="zh-CN" w:bidi="ar-SA"/>
    </w:rPr>
  </w:style>
  <w:style w:type="character" w:customStyle="1" w:styleId="85">
    <w:name w:val="引用 字符"/>
    <w:basedOn w:val="37"/>
    <w:link w:val="84"/>
    <w:qFormat/>
    <w:uiPriority w:val="0"/>
    <w:rPr>
      <w:rFonts w:ascii="Times New Roman" w:hAnsi="Times New Roman" w:eastAsia="宋体" w:cs="Times New Roman"/>
      <w:i/>
      <w:kern w:val="0"/>
      <w:sz w:val="20"/>
      <w:szCs w:val="20"/>
    </w:rPr>
  </w:style>
  <w:style w:type="paragraph" w:customStyle="1" w:styleId="86">
    <w:name w:val="*正文"/>
    <w:basedOn w:val="1"/>
    <w:qFormat/>
    <w:uiPriority w:val="0"/>
    <w:pPr>
      <w:widowControl/>
      <w:wordWrap w:val="0"/>
      <w:ind w:left="1024" w:firstLine="200" w:firstLineChars="200"/>
      <w:contextualSpacing/>
    </w:pPr>
    <w:rPr>
      <w:rFonts w:ascii="宋体" w:hAnsi="Times New Roman" w:eastAsia="宋体" w:cs="Times New Roman"/>
      <w:kern w:val="0"/>
      <w:sz w:val="20"/>
      <w:szCs w:val="24"/>
      <w:lang w:bidi="en-US"/>
    </w:rPr>
  </w:style>
  <w:style w:type="paragraph" w:customStyle="1" w:styleId="87">
    <w:name w:val="明显引用1"/>
    <w:next w:val="1"/>
    <w:link w:val="88"/>
    <w:qFormat/>
    <w:uiPriority w:val="0"/>
    <w:pPr>
      <w:wordWrap w:val="0"/>
      <w:spacing w:before="360" w:after="360"/>
      <w:ind w:left="3766" w:right="950"/>
      <w:jc w:val="center"/>
    </w:pPr>
    <w:rPr>
      <w:rFonts w:ascii="Times New Roman" w:hAnsi="Times New Roman" w:eastAsia="宋体" w:cs="Times New Roman"/>
      <w:i/>
      <w:lang w:val="en-US" w:eastAsia="zh-CN" w:bidi="ar-SA"/>
    </w:rPr>
  </w:style>
  <w:style w:type="character" w:customStyle="1" w:styleId="88">
    <w:name w:val="明显引用 字符"/>
    <w:basedOn w:val="37"/>
    <w:link w:val="87"/>
    <w:qFormat/>
    <w:uiPriority w:val="0"/>
    <w:rPr>
      <w:rFonts w:ascii="Times New Roman" w:hAnsi="Times New Roman" w:eastAsia="宋体" w:cs="Times New Roman"/>
      <w:i/>
      <w:kern w:val="0"/>
      <w:sz w:val="20"/>
      <w:szCs w:val="20"/>
    </w:rPr>
  </w:style>
  <w:style w:type="paragraph" w:customStyle="1" w:styleId="89">
    <w:name w:val="Other|1"/>
    <w:basedOn w:val="1"/>
    <w:qFormat/>
    <w:uiPriority w:val="0"/>
    <w:pPr>
      <w:widowControl/>
      <w:wordWrap w:val="0"/>
      <w:ind w:left="1024"/>
    </w:pPr>
    <w:rPr>
      <w:rFonts w:ascii="宋体" w:hAnsi="宋体" w:eastAsia="宋体" w:cs="宋体"/>
      <w:kern w:val="0"/>
      <w:sz w:val="19"/>
      <w:szCs w:val="19"/>
      <w:lang w:val="zh-CN" w:bidi="zh-CN"/>
    </w:rPr>
  </w:style>
  <w:style w:type="paragraph" w:customStyle="1" w:styleId="9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1">
    <w:name w:val="纯文本_3"/>
    <w:basedOn w:val="92"/>
    <w:qFormat/>
    <w:uiPriority w:val="0"/>
    <w:rPr>
      <w:rFonts w:ascii="宋体" w:hAnsi="Courier New"/>
      <w:szCs w:val="20"/>
    </w:rPr>
  </w:style>
  <w:style w:type="paragraph" w:customStyle="1" w:styleId="9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Table Paragraph"/>
    <w:basedOn w:val="1"/>
    <w:qFormat/>
    <w:uiPriority w:val="1"/>
    <w:rPr>
      <w:rFonts w:ascii="仿宋" w:hAnsi="仿宋" w:eastAsia="仿宋" w:cs="仿宋"/>
      <w:lang w:val="zh-CN" w:bidi="zh-CN"/>
    </w:rPr>
  </w:style>
  <w:style w:type="paragraph" w:customStyle="1" w:styleId="94">
    <w:name w:val="纯文本_0_0"/>
    <w:basedOn w:val="74"/>
    <w:qFormat/>
    <w:uiPriority w:val="0"/>
    <w:rPr>
      <w:rFonts w:ascii="宋体" w:hAnsi="Courier New"/>
      <w:szCs w:val="21"/>
    </w:rPr>
  </w:style>
  <w:style w:type="paragraph" w:customStyle="1" w:styleId="95">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6">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7">
    <w:name w:val="纯文本_1"/>
    <w:basedOn w:val="1"/>
    <w:qFormat/>
    <w:uiPriority w:val="0"/>
    <w:rPr>
      <w:rFonts w:ascii="宋体" w:hAnsi="Courier New"/>
      <w:szCs w:val="20"/>
    </w:rPr>
  </w:style>
  <w:style w:type="paragraph" w:customStyle="1" w:styleId="98">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纯文本1"/>
    <w:basedOn w:val="1"/>
    <w:qFormat/>
    <w:uiPriority w:val="0"/>
    <w:pPr>
      <w:adjustRightInd w:val="0"/>
      <w:jc w:val="left"/>
    </w:pPr>
    <w:rPr>
      <w:rFonts w:ascii="宋体" w:hAnsi="Courier New"/>
      <w:sz w:val="24"/>
      <w:szCs w:val="20"/>
    </w:rPr>
  </w:style>
  <w:style w:type="character" w:customStyle="1" w:styleId="104">
    <w:name w:val="font91"/>
    <w:basedOn w:val="37"/>
    <w:qFormat/>
    <w:uiPriority w:val="0"/>
    <w:rPr>
      <w:rFonts w:hint="eastAsia" w:ascii="宋体" w:hAnsi="宋体" w:eastAsia="宋体" w:cs="宋体"/>
      <w:color w:val="000000"/>
      <w:sz w:val="24"/>
      <w:szCs w:val="24"/>
      <w:u w:val="none"/>
    </w:rPr>
  </w:style>
  <w:style w:type="paragraph" w:customStyle="1" w:styleId="105">
    <w:name w:val="WPSOffice手动目录 1"/>
    <w:qFormat/>
    <w:uiPriority w:val="0"/>
    <w:rPr>
      <w:rFonts w:ascii="Calibri" w:hAnsi="Calibri" w:eastAsia="宋体" w:cs="Times New Roman"/>
      <w:lang w:val="en-US" w:eastAsia="zh-CN" w:bidi="ar-SA"/>
    </w:rPr>
  </w:style>
  <w:style w:type="paragraph" w:customStyle="1" w:styleId="106">
    <w:name w:val="WPSOffice手动目录 2"/>
    <w:qFormat/>
    <w:uiPriority w:val="0"/>
    <w:pPr>
      <w:ind w:left="200" w:leftChars="200"/>
    </w:pPr>
    <w:rPr>
      <w:rFonts w:ascii="Calibri" w:hAnsi="Calibri" w:eastAsia="宋体" w:cs="Times New Roman"/>
      <w:lang w:val="en-US" w:eastAsia="zh-CN" w:bidi="ar-SA"/>
    </w:rPr>
  </w:style>
  <w:style w:type="paragraph" w:customStyle="1" w:styleId="107">
    <w:name w:val="UserStyle_0"/>
    <w:basedOn w:val="1"/>
    <w:next w:val="41"/>
    <w:qFormat/>
    <w:uiPriority w:val="0"/>
    <w:pPr>
      <w:textAlignment w:val="baseline"/>
    </w:pPr>
    <w:rPr>
      <w:rFonts w:ascii="Calibri" w:hAnsi="Calibri" w:eastAsia="宋体" w:cs="Times New Roman"/>
      <w:b/>
      <w:bCs/>
      <w:sz w:val="32"/>
      <w:szCs w:val="24"/>
    </w:rPr>
  </w:style>
  <w:style w:type="character" w:customStyle="1" w:styleId="108">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109">
    <w:name w:val="Heading1"/>
    <w:basedOn w:val="1"/>
    <w:next w:val="1"/>
    <w:qFormat/>
    <w:uiPriority w:val="0"/>
    <w:pPr>
      <w:spacing w:beforeAutospacing="1" w:afterAutospacing="1"/>
      <w:jc w:val="left"/>
      <w:textAlignment w:val="baseline"/>
    </w:pPr>
    <w:rPr>
      <w:rFonts w:ascii="宋体" w:hAnsi="宋体" w:eastAsia="宋体"/>
      <w:b/>
      <w:kern w:val="44"/>
      <w:sz w:val="48"/>
      <w:szCs w:val="48"/>
    </w:rPr>
  </w:style>
  <w:style w:type="paragraph" w:customStyle="1" w:styleId="110">
    <w:name w:val="Heading2"/>
    <w:basedOn w:val="1"/>
    <w:next w:val="1"/>
    <w:qFormat/>
    <w:uiPriority w:val="0"/>
    <w:pPr>
      <w:keepNext/>
      <w:keepLines/>
      <w:spacing w:line="360" w:lineRule="auto"/>
      <w:textAlignment w:val="baseline"/>
    </w:pPr>
    <w:rPr>
      <w:rFonts w:ascii="Cambria" w:hAnsi="Cambria" w:eastAsia="宋体" w:cs="Times New Roman"/>
      <w:b/>
      <w:bCs/>
      <w:sz w:val="28"/>
      <w:szCs w:val="32"/>
    </w:rPr>
  </w:style>
  <w:style w:type="paragraph" w:customStyle="1" w:styleId="111">
    <w:name w:val="正文ok"/>
    <w:qFormat/>
    <w:uiPriority w:val="0"/>
    <w:pPr>
      <w:spacing w:line="360" w:lineRule="auto"/>
      <w:ind w:firstLine="200" w:firstLineChars="200"/>
    </w:pPr>
    <w:rPr>
      <w:rFonts w:ascii="宋体" w:hAnsi="Times New Roman" w:eastAsia="宋体" w:cs="宋体"/>
      <w:sz w:val="24"/>
      <w:lang w:val="en-US" w:eastAsia="zh-CN" w:bidi="ar-SA"/>
    </w:rPr>
  </w:style>
  <w:style w:type="paragraph" w:customStyle="1" w:styleId="112">
    <w:name w:val="xl35"/>
    <w:basedOn w:val="1"/>
    <w:qFormat/>
    <w:uiPriority w:val="0"/>
    <w:pPr>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sz w:val="24"/>
      <w:szCs w:val="24"/>
    </w:rPr>
  </w:style>
  <w:style w:type="character" w:customStyle="1" w:styleId="113">
    <w:name w:val="Char Char1"/>
    <w:qFormat/>
    <w:uiPriority w:val="0"/>
    <w:rPr>
      <w:rFonts w:ascii="Times New Roman" w:hAnsi="Times New Roman" w:eastAsia="宋体"/>
      <w:color w:val="auto"/>
      <w:kern w:val="2"/>
      <w:sz w:val="18"/>
      <w:szCs w:val="24"/>
      <w:lang w:val="en-US" w:eastAsia="zh-CN"/>
    </w:rPr>
  </w:style>
  <w:style w:type="paragraph" w:customStyle="1" w:styleId="114">
    <w:name w:val="_Style 14"/>
    <w:basedOn w:val="1"/>
    <w:next w:val="82"/>
    <w:qFormat/>
    <w:uiPriority w:val="99"/>
    <w:pPr>
      <w:spacing w:line="360" w:lineRule="auto"/>
      <w:ind w:firstLine="420" w:firstLineChars="200"/>
    </w:pPr>
    <w:rPr>
      <w:rFonts w:ascii="等线" w:hAnsi="等线" w:eastAsia="等线"/>
      <w:sz w:val="24"/>
    </w:rPr>
  </w:style>
  <w:style w:type="character" w:customStyle="1" w:styleId="115">
    <w:name w:val="Char Char5"/>
    <w:qFormat/>
    <w:uiPriority w:val="0"/>
    <w:rPr>
      <w:rFonts w:ascii="Times New Roman" w:hAnsi="Times New Roman" w:eastAsia="宋体"/>
      <w:color w:val="auto"/>
      <w:kern w:val="2"/>
      <w:sz w:val="21"/>
      <w:szCs w:val="24"/>
      <w:lang w:val="en-US" w:eastAsia="zh-CN"/>
    </w:rPr>
  </w:style>
  <w:style w:type="paragraph" w:customStyle="1" w:styleId="116">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117">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8">
    <w:name w:val="批注框文本 Char"/>
    <w:basedOn w:val="37"/>
    <w:link w:val="24"/>
    <w:semiHidden/>
    <w:qFormat/>
    <w:uiPriority w:val="99"/>
    <w:rPr>
      <w:rFonts w:asciiTheme="minorHAnsi" w:hAnsiTheme="minorHAnsi" w:eastAsiaTheme="minorEastAsia" w:cstheme="minorBidi"/>
      <w:kern w:val="2"/>
      <w:sz w:val="18"/>
      <w:szCs w:val="18"/>
    </w:rPr>
  </w:style>
  <w:style w:type="paragraph" w:customStyle="1" w:styleId="119">
    <w:name w:val="正文缩进1"/>
    <w:basedOn w:val="1"/>
    <w:qFormat/>
    <w:uiPriority w:val="0"/>
    <w:pPr>
      <w:autoSpaceDE w:val="0"/>
      <w:autoSpaceDN w:val="0"/>
      <w:adjustRightInd w:val="0"/>
      <w:ind w:firstLine="420"/>
      <w:jc w:val="left"/>
    </w:pPr>
    <w:rPr>
      <w:rFonts w:ascii="宋体" w:hAnsi="Times New Roman"/>
      <w:kern w:val="0"/>
      <w:sz w:val="24"/>
      <w:szCs w:val="20"/>
    </w:rPr>
  </w:style>
  <w:style w:type="paragraph" w:customStyle="1" w:styleId="120">
    <w:name w:val="索引 11"/>
    <w:basedOn w:val="1"/>
    <w:next w:val="1"/>
    <w:qFormat/>
    <w:uiPriority w:val="0"/>
    <w:pPr>
      <w:spacing w:line="360" w:lineRule="auto"/>
    </w:pPr>
    <w:rPr>
      <w:rFonts w:ascii="仿宋_GB2312" w:hAnsi="Times New Roman" w:eastAsia="仿宋_GB2312"/>
      <w:sz w:val="24"/>
      <w:szCs w:val="20"/>
    </w:rPr>
  </w:style>
  <w:style w:type="paragraph" w:customStyle="1" w:styleId="121">
    <w:name w:val="正文文字缩进"/>
    <w:basedOn w:val="1"/>
    <w:next w:val="1"/>
    <w:qFormat/>
    <w:uiPriority w:val="0"/>
    <w:pPr>
      <w:widowControl/>
      <w:spacing w:line="400" w:lineRule="atLeast"/>
      <w:ind w:left="210" w:firstLine="210"/>
    </w:pPr>
    <w:rPr>
      <w:rFonts w:ascii="宋体"/>
      <w:color w:val="000000"/>
      <w:szCs w:val="20"/>
    </w:rPr>
  </w:style>
  <w:style w:type="paragraph" w:customStyle="1" w:styleId="12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82</Pages>
  <Words>36926</Words>
  <Characters>48337</Characters>
  <Lines>257</Lines>
  <Paragraphs>72</Paragraphs>
  <TotalTime>0</TotalTime>
  <ScaleCrop>false</ScaleCrop>
  <LinksUpToDate>false</LinksUpToDate>
  <CharactersWithSpaces>50758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2020-12-14T16:02:00Z</dcterms:created>
  <dc:creator>deeplm</dc:creator>
  <cp:lastModifiedBy>滚滚圆</cp:lastModifiedBy>
  <cp:lastPrinted>2021-07-22T03:56:00Z</cp:lastPrinted>
  <dcterms:modified xsi:type="dcterms:W3CDTF">2022-09-28T09:15:48Z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6315022D59A0405DB7F5774026E0BF34</vt:lpwstr>
  </property>
</Properties>
</file>