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宋体"/>
          <w:sz w:val="32"/>
          <w:szCs w:val="32"/>
        </w:rPr>
      </w:pPr>
      <w:bookmarkStart w:id="0" w:name="_Toc20384570"/>
      <w:r>
        <w:rPr>
          <w:rFonts w:hint="eastAsia" w:ascii="黑体" w:hAnsi="黑体" w:eastAsia="黑体" w:cs="宋体"/>
          <w:sz w:val="32"/>
          <w:szCs w:val="32"/>
        </w:rPr>
        <w:t>附件1</w:t>
      </w:r>
    </w:p>
    <w:p>
      <w:pPr>
        <w:jc w:val="center"/>
        <w:rPr>
          <w:rFonts w:ascii="方正小标宋简体" w:hAnsi="方正小标宋简体" w:eastAsia="方正小标宋简体" w:cs="宋体"/>
          <w:sz w:val="44"/>
          <w:szCs w:val="44"/>
          <w:u w:val="single"/>
        </w:rPr>
      </w:pP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jc w:val="center"/>
        <w:rPr>
          <w:rFonts w:ascii="方正小标宋简体" w:hAnsi="方正小标宋简体" w:eastAsia="方正小标宋简体"/>
          <w:sz w:val="44"/>
          <w:szCs w:val="44"/>
        </w:rPr>
      </w:pPr>
    </w:p>
    <w:p>
      <w:pPr>
        <w:ind w:firstLine="1440" w:firstLineChars="450"/>
        <w:rPr>
          <w:rFonts w:ascii="宋体" w:hAnsi="宋体" w:cs="宋体"/>
          <w:b/>
          <w:bCs/>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u w:val="single"/>
        </w:rPr>
        <w:t>超高效液相色谱-串联质谱系统</w:t>
      </w:r>
    </w:p>
    <w:p>
      <w:pPr>
        <w:ind w:firstLine="1440" w:firstLineChars="450"/>
        <w:rPr>
          <w:rFonts w:hint="eastAsia" w:ascii="方正小标宋简体" w:hAnsi="方正小标宋简体" w:eastAsia="方正小标宋简体"/>
          <w:sz w:val="32"/>
          <w:szCs w:val="32"/>
          <w:u w:val="single"/>
          <w:lang w:eastAsia="zh-CN"/>
        </w:rPr>
      </w:pPr>
      <w:r>
        <w:rPr>
          <w:rFonts w:hint="eastAsia" w:ascii="方正小标宋简体" w:hAnsi="方正小标宋简体" w:eastAsia="方正小标宋简体"/>
          <w:sz w:val="32"/>
          <w:szCs w:val="32"/>
        </w:rPr>
        <w:t>采购单位：</w:t>
      </w:r>
      <w:r>
        <w:rPr>
          <w:rFonts w:hint="eastAsia" w:ascii="方正小标宋简体" w:hAnsi="方正小标宋简体" w:eastAsia="方正小标宋简体"/>
          <w:sz w:val="32"/>
          <w:szCs w:val="32"/>
          <w:u w:val="single"/>
          <w:lang w:eastAsia="zh-CN"/>
        </w:rPr>
        <w:t>浙江大学医学院附属第四医院</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方正小标宋简体" w:hAnsi="方正小标宋简体" w:eastAsia="方正小标宋简体"/>
          <w:sz w:val="32"/>
          <w:szCs w:val="32"/>
          <w:u w:val="single"/>
        </w:rPr>
        <w:t xml:space="preserve">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6"/>
        <w:ind w:firstLine="0" w:firstLineChars="0"/>
        <w:jc w:val="left"/>
      </w:pPr>
      <w:r>
        <w:rPr>
          <w:rFonts w:hint="eastAsia"/>
        </w:rPr>
        <w:t>一、需求调查情况</w:t>
      </w:r>
    </w:p>
    <w:p>
      <w:pPr>
        <w:pStyle w:val="3"/>
        <w:jc w:val="left"/>
      </w:pPr>
      <w:r>
        <w:rPr>
          <w:rFonts w:hint="eastAsia"/>
        </w:rPr>
        <w:t>（一）</w:t>
      </w:r>
      <w:r>
        <w:rPr>
          <w:rFonts w:hint="eastAsia" w:ascii="楷体" w:hAnsi="楷体" w:eastAsia="楷体"/>
          <w:szCs w:val="32"/>
        </w:rPr>
        <w:t>是否开展需求调查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是。</w:t>
      </w:r>
    </w:p>
    <w:p>
      <w:pPr>
        <w:pStyle w:val="3"/>
        <w:jc w:val="left"/>
        <w:rPr>
          <w:rFonts w:ascii="楷体" w:hAnsi="楷体" w:eastAsia="楷体"/>
          <w:szCs w:val="32"/>
        </w:rPr>
      </w:pPr>
      <w:r>
        <w:rPr>
          <w:rFonts w:hint="eastAsia" w:ascii="楷体" w:hAnsi="楷体" w:eastAsia="楷体"/>
          <w:szCs w:val="32"/>
        </w:rPr>
        <w:t>（二）需求调查方式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采用咨询、论证等方式。</w:t>
      </w:r>
    </w:p>
    <w:p>
      <w:pPr>
        <w:pStyle w:val="3"/>
        <w:jc w:val="left"/>
        <w:rPr>
          <w:rFonts w:ascii="楷体" w:hAnsi="楷体" w:eastAsia="楷体"/>
          <w:szCs w:val="32"/>
        </w:rPr>
      </w:pPr>
      <w:r>
        <w:rPr>
          <w:rFonts w:hint="eastAsia" w:ascii="楷体" w:hAnsi="楷体" w:eastAsia="楷体"/>
          <w:szCs w:val="32"/>
        </w:rPr>
        <w:t>（三）需求调查对象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医疗设备生产厂家及代理公司。</w:t>
      </w:r>
    </w:p>
    <w:p>
      <w:pPr>
        <w:pStyle w:val="3"/>
        <w:jc w:val="left"/>
        <w:rPr>
          <w:rFonts w:ascii="楷体" w:hAnsi="楷体" w:eastAsia="楷体"/>
          <w:szCs w:val="32"/>
        </w:rPr>
      </w:pPr>
      <w:r>
        <w:rPr>
          <w:rFonts w:hint="eastAsia" w:ascii="楷体" w:hAnsi="楷体" w:eastAsia="楷体"/>
          <w:szCs w:val="32"/>
        </w:rPr>
        <w:t>（四）需求调查结果</w:t>
      </w:r>
    </w:p>
    <w:p>
      <w:pPr>
        <w:pStyle w:val="14"/>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1.相关产业发展情况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谱仪是一种实验分析仪器，实验分析仪器是仪器仪表的重要细分领域之一。实验分析仪器属于典型的高附加值、技术密集型产业。我国在“十二五”、“十三五”期间，连续设立了“国家重大科学仪器设备开发专项”，高端分析仪器产业成为我国重点布局的战略产业之一。</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谱仪是实验分析仪器领域“皇冠明珠”，应用范围广质谱仪又称质谱计，是一种通过测量带电粒子的质量进而对物质进行定性和定量分析的分析仪器，通俗来讲质谱仪属于一种“灵敏度极高的天平”，可以直接称量物质的原子量、分子量，具有高灵敏度、高分辨率、分析速度快等优势。质谱仪广泛应用于医疗健康、食品安全、环境监测、工业分析、国家安全等多个细分领域，具有通用性，在实验分析领域较其他仪器有更明显的优势，属于更高端的实验分析仪器有机质谱仪工作原理是以电子轰击或其他的方式使被测物质离子化，形成各种质荷比（m/e）的离子，然后利用电磁学原理使离子按不同的质荷比分离并测量各种离子的强度，从而确定被测物质的分子量和结构。有机质谱仪主要用于有机化合物的结构鉴定，能提供化合物的分子量、元素组成以及官能团等结构信息。分为四极杆质谱仪、离子阱质谱仪、飞行时间质谱仪和磁质谱仪等。有机质谱仪的趋势是与各种联用仪（气相色谱、液相色谱、热分析等）的使用。工作原理是利用一种具有分离技术的仪器，作为质谱仪的“进样器”，将有机混合物分离成纯组分进入质谱仪，充分发挥质谱仪的分析特长，为每个组分提供分子量和分子结构信息。有机质谱仪广泛用于有机化学、生物学、地球化学、核工业、材料科学、环境科学、医学卫生、食品化学、石油化工等领域以及空间技术和公安工作等特种分析方面。全球质谱仪行业规模增速明显高于实验分析仪器平均增速，主要是受益于产业升级和部分领域检测要求不断趋严，质谱仪作为高端实验分析仪器，渗透率持续提升。TransparencyMarket Research 预计全球质谱市场2018-2026 年行业平均增速约7.6%，超过全球实验分析仪器4%的行业平均增速。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我国质谱仪行业规模约为全球的1/3，增速远超全球平均水平。2020 年国内质谱仪行业总需求规模约142 亿元，约占全球总规模的1/3，近年来质谱仪需求增速较快，显著高于全球平均水平，2014-2020 年我国质谱仪总需求规模CAGR 达到20.2%，远高于全球7%的平均水平。随着我国经济的不断发展，环境污染、食品安全、医疗健康等问题日益突出，对发展高端科学仪器提出了迫切需求。质谱仪作为高端科研仪器在各个领域的使用越来越广泛，我国市场对质谱仪器的需求有望保持较高增速。</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全球质谱仪渗透率有望持续提升，驱动质谱仪需求保持较高增速。以医疗领域为例，美国质谱临床检测市场规模90 亿美元/年，占总医学检测市场的15%左右，仍保持较快增长，应用从药代动力学到代谢组学、蛋白组学等，渗透率还有提升空间。我国临床质谱检测仅占医学检测市场的0.5%左右（总检测收入约6000 亿元/年），对标美国15%渗透率，国内临床质谱检测渗透率提升空间较大。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质谱仪技术壁垒较高，国际市场受海外巨头垄断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球质谱仪市场主要被国际行业巨头占据，全球质谱仪市场的主要参与者为沃特世、丹纳赫、布鲁克、安捷伦、赛默飞、生物梅里埃、岛津等公司，大约占据全球了90%的市场份额。从全球市场来看，目前质谱仪的销售主要集中于欧美地区，其中北美地区占据了全球质谱仪市场的主导地位，美国是全球最大的质谱仪销售市场，英国、法国、德国占据了欧洲地区质谱仪市场的主要份额。未来随着中国、印度等亚洲国家经济的不断发展，亚洲各国对高端质谱仪的需求也会不断提高，亚洲是全球质谱仪市场中增速最快的地区，而中国是亚洲的主要增长点。2020 年全球质谱仪竞争格局来看，WATERS， SCIEX， 安捷伦，赛默飞，布鲁克，前五大品牌合计占到全球份额的88%。</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国在质谱仪领域的研发、产业化及应用技术水平均落后于西方发达国家，国内高端质谱仪市场长期被国际行业巨头垄断。国内掌握质谱仪所涉及的原理、模拟、计算、设计、工程化、工艺化、生产、应用开发及维护等各环节专业技术的专业类公司较少。近年来我国每年进口质谱仪（包括质谱联用仪和其他质谱仪）总金额已经超过10 亿美元。2020 年我国进口质谱仪总金额为15.25 亿美元，2021 年前11 月质谱仪进口额达到14.3 亿美元，且从近年来的质谱仪进口额变化来看，略有波动，没有出现明显的下降趋势，当前我国质谱仪进口额约占国内质谱仪行业规模的90%。</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目前我国国内的产品在这一点上离开国际标准还有一定的发展空间，所以在当下的技术条件下，进口的仪器更符合医院临床发展诉求。</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2.市场供给情况</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临床质谱市场规模将快速增长。中国临床质谱行业处于发展早期，随着临床质谱常规应用渗透率提高，以及内分泌激素、儿茶酚胺、儿童用药、微量元素、药物基因组、毒物分析等更多新兴项目、技术平台投入临床，中国临床质谱市场将快速增长。特别是阿尔茨海默症、心血管病和肿瘤的检测将成为未来重要的临床质谱增量市场，中国阿尔茨海默症患者约1000万，心血管患者人数达到3.3亿人，庞大的临床检测潜在群体为行业构筑了市场蓝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我国质谱仪器依赖进口：</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1）2020 年全球质谱仪竞争格局来看，WATERS， SCIEX， 安捷伦，赛默飞，布鲁克，前五大品牌合计占到全球份额的88%。</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2）国产主要品牌国内主要质谱仪厂商包括禾信仪器、天瑞仪器、聚光科技、钢研纳克、莱伯泰科、上海舜宇恒平科学仪器有限公司、北京东西分析仪器有限公司、北京普析通用仪器有限责任公司等。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8"/>
          <w:sz w:val="24"/>
          <w:szCs w:val="24"/>
        </w:rPr>
      </w:pPr>
      <w:r>
        <w:rPr>
          <w:rFonts w:hint="eastAsia" w:ascii="宋体" w:hAnsi="宋体" w:eastAsia="宋体" w:cs="宋体"/>
          <w:bCs/>
          <w:color w:val="auto"/>
          <w:kern w:val="28"/>
          <w:sz w:val="24"/>
          <w:szCs w:val="24"/>
        </w:rPr>
        <w:t>主要进口仪器介绍：</w:t>
      </w:r>
    </w:p>
    <w:tbl>
      <w:tblPr>
        <w:tblStyle w:val="20"/>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918"/>
        <w:gridCol w:w="35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品牌</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国别</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沃特世（Waters Corporation）</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成立于1958 年，全球分析仪器头部企业，产品主要包括仪器设备、耗材和试剂。其高效液相色谱仪和质谱仪等产品和服务广泛应用于全球的实验室，在食品安全分析仪器方面占有重要地位。沃特世在35 个国家和地区运营，下设14 个生产基地，拥有超过7400 名员工，旗下产品销往100 多个国家和地区。沃特世多年来业绩保持稳健增长。2020 年沃特世总营收23.65 亿美元。拥有国内最全的IVD报证仪器。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岛津（Shimadzu Corporation）</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日本</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成立于1875 年，以光技术、X 射线技术、图像处理技术这三大核心为基础持续拓展业务布局。医疗设备部门的主要产品包括诊断X 射线设备，诊断核医学设备，光学脑功能成像设备等。岛津中国成立于1999 年，目前在国内有13 个分公司，7 个分析中心，60 多个技术维修点，主营高科技分析和测试仪器、医疗器械及工业设备等产品。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安捷伦</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1999 年从惠普独立出来，主要聚焦食品、环境、药物、诊断以及能源化工等领域，分析仪器产品主要涉及色谱仪、质谱仪、光谱仪、样品前处理仪器及化学标志品等。安捷伦的化学分析测试业务主要提供气相色谱，气相色谱-单四级杆质谱、串联四级杆质谱、四级杆飞行时间质谱等高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赛默飞</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成立于1956 年的热电公司(Thermo Electron Corporation)，总部位于美国马萨诸塞州，如今为赛默飞世尔科技公司(Thermo Fisher Scientific)，长期以来一直在实</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验分析仪器行业处于全球领先地位，下游客户主要包括医药和生物公司，医院和临床诊断实验室，大学、科研院所和政府机构，以及环境与工业过程控制装备制造商等。赛默飞进入中国超过 35 年，在中国的总部设于上海，并在北京、广州、香港、成都、沈阳、西安、南京、武汉、昆明等地设立了分公司，其产品主要包括分析仪器、实验室设备、试剂、耗材和软件等。截止到2020 年底赛默飞全球员工总数已达8 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SCIEX</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w:t>
            </w:r>
          </w:p>
        </w:tc>
        <w:tc>
          <w:tcPr>
            <w:tcW w:w="0" w:type="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在质谱领域拥有几十年的经验。从1981 年成功推出第一台商业</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化三重四极质谱系统开始，一直致力于开发突破性的技术和解决方案。SCIEX 拥有质谱系统前端要求的各类液相系统；同时还有品种齐备的三重四极杆质谱系统、三重四极杆线性离子阱复合型质谱系统、高分辨质谱系统等质谱产品。SCIEX 客户应用领域广泛，包括临床诊断和临床研究、食品和饮料安全检测、环境安全检测、法医毒物检测、生命科学研究、药物与生物技术药物等领域。</w:t>
            </w:r>
          </w:p>
        </w:tc>
      </w:tr>
    </w:tbl>
    <w:p>
      <w:pPr>
        <w:rPr>
          <w:rFonts w:hint="eastAsia"/>
        </w:rPr>
      </w:pPr>
    </w:p>
    <w:p>
      <w:pPr>
        <w:pStyle w:val="14"/>
        <w:ind w:firstLine="640"/>
        <w:jc w:val="both"/>
        <w:outlineLvl w:val="2"/>
        <w:rPr>
          <w:rFonts w:ascii="仿宋" w:hAnsi="仿宋"/>
          <w:bCs w:val="0"/>
          <w:kern w:val="2"/>
        </w:rPr>
      </w:pPr>
      <w:r>
        <w:rPr>
          <w:rFonts w:hint="eastAsia" w:ascii="仿宋" w:hAnsi="仿宋"/>
          <w:bCs w:val="0"/>
          <w:kern w:val="2"/>
        </w:rPr>
        <w:t>3.同类采购项目历史成交信息</w:t>
      </w:r>
    </w:p>
    <w:p>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采购人名称：金华市中医医院，项目名称：金华市中医医院口腔CBCT项目，招标编号：JHCG2020G-010</w:t>
      </w:r>
    </w:p>
    <w:p>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采购人名称：庆元县人民医院，项目名称：庆元县人民医院口腔CBCT采购项目,招标编号：ZJWS2022-QYRMYY02</w:t>
      </w:r>
    </w:p>
    <w:p>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采购人名称：浙江省人民医院，项目名称：浙江省人民医院牙科综合治疗椅和口腔CBCT，招标编号：ZJ-903472-55 </w:t>
      </w:r>
    </w:p>
    <w:p>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采购人名称：浙江大学医学院附属邵逸夫医院，项目名称：浙江大学医学院附属邵逸夫医院牙科综合治疗椅，招标编号：ZJ-803221-02 </w:t>
      </w:r>
    </w:p>
    <w:p>
      <w:pPr>
        <w:pStyle w:val="14"/>
        <w:ind w:firstLine="640"/>
        <w:jc w:val="both"/>
        <w:outlineLvl w:val="2"/>
        <w:rPr>
          <w:rFonts w:hint="eastAsia"/>
          <w:color w:val="auto"/>
        </w:rPr>
      </w:pPr>
      <w:r>
        <w:rPr>
          <w:rFonts w:hint="eastAsia"/>
          <w:color w:val="auto"/>
        </w:rPr>
        <w:t>4.涉及的运行维护、升级更新、备品备件、耗材等后续采购情况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1）运行维护：超高效液相色谱三重四级杆质谱联用仪器为精密仪器 仪器运行要求空气环境清洁，相对湿度低于80%，无冷凝，仪器正常运行的环境温度范围为15至28 °C。最佳温度范围为19至22 °C。短期(1.5小时)波动不得大于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°C。不可阳光直射。设备相关维护保养原厂维护，依据设备使用情况维护保养。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2）系统更新：系统新版本更新一般为2-3年一次，无更新情况下设备依然可以正常运行。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3）备品备件：厂家完善售后服务团队，原厂配件，本地备件库。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8EB4E3" w:themeColor="text2" w:themeTint="66"/>
          <w:sz w:val="32"/>
          <w:szCs w:val="32"/>
          <w14:textFill>
            <w14:solidFill>
              <w14:schemeClr w14:val="tx2">
                <w14:lumMod w14:val="40000"/>
                <w14:lumOff w14:val="60000"/>
              </w14:schemeClr>
            </w14:solidFill>
          </w14:textFill>
        </w:rPr>
      </w:pPr>
      <w:r>
        <w:rPr>
          <w:rFonts w:hint="eastAsia" w:ascii="宋体" w:hAnsi="宋体" w:eastAsia="宋体" w:cs="宋体"/>
          <w:color w:val="auto"/>
          <w:sz w:val="24"/>
          <w:szCs w:val="24"/>
        </w:rPr>
        <w:t>4）耗材：运行中使用色谱柱 依据开展项目不同使用不同色谱柱，原厂色谱柱应用支持使用。</w:t>
      </w:r>
      <w:r>
        <w:rPr>
          <w:rFonts w:ascii="仿宋" w:hAnsi="仿宋" w:eastAsia="仿宋"/>
          <w:color w:val="8EB4E3" w:themeColor="text2" w:themeTint="66"/>
          <w:sz w:val="32"/>
          <w:szCs w:val="32"/>
          <w14:textFill>
            <w14:solidFill>
              <w14:schemeClr w14:val="tx2">
                <w14:lumMod w14:val="40000"/>
                <w14:lumOff w14:val="60000"/>
              </w14:schemeClr>
            </w14:solidFill>
          </w14:textFill>
        </w:rPr>
        <w:t xml:space="preserve"> </w:t>
      </w:r>
    </w:p>
    <w:p>
      <w:pPr>
        <w:pStyle w:val="16"/>
        <w:ind w:firstLine="0" w:firstLineChars="0"/>
        <w:jc w:val="left"/>
      </w:pPr>
      <w:r>
        <w:t>二</w:t>
      </w:r>
      <w:r>
        <w:rPr>
          <w:rFonts w:hint="eastAsia"/>
        </w:rPr>
        <w:t>、需求清单</w:t>
      </w:r>
    </w:p>
    <w:p>
      <w:pPr>
        <w:pStyle w:val="3"/>
        <w:jc w:val="left"/>
        <w:rPr>
          <w:rFonts w:ascii="楷体" w:hAnsi="楷体" w:eastAsia="楷体"/>
          <w:szCs w:val="32"/>
        </w:rPr>
      </w:pPr>
      <w:r>
        <w:rPr>
          <w:rFonts w:hint="eastAsia" w:ascii="楷体" w:hAnsi="楷体" w:eastAsia="楷体"/>
          <w:szCs w:val="32"/>
        </w:rPr>
        <w:t>（一）项目概况</w:t>
      </w:r>
    </w:p>
    <w:p>
      <w:pPr>
        <w:pStyle w:val="19"/>
        <w:ind w:firstLine="0" w:firstLineChars="0"/>
        <w:rPr>
          <w:rFonts w:ascii="仿宋" w:hAnsi="仿宋" w:eastAsia="仿宋"/>
          <w:sz w:val="32"/>
          <w:szCs w:val="32"/>
        </w:rPr>
      </w:pPr>
    </w:p>
    <w:p>
      <w:pPr>
        <w:pStyle w:val="3"/>
        <w:jc w:val="left"/>
        <w:rPr>
          <w:rFonts w:ascii="楷体" w:hAnsi="楷体" w:eastAsia="楷体"/>
          <w:szCs w:val="32"/>
        </w:rPr>
      </w:pPr>
      <w:r>
        <w:rPr>
          <w:rFonts w:hint="eastAsia" w:ascii="楷体" w:hAnsi="楷体" w:eastAsia="楷体"/>
          <w:szCs w:val="32"/>
        </w:rPr>
        <w:t>（二）采购项目预（概）算</w:t>
      </w:r>
    </w:p>
    <w:p>
      <w:pPr>
        <w:spacing w:line="560" w:lineRule="exact"/>
        <w:ind w:firstLine="640" w:firstLineChars="200"/>
        <w:jc w:val="left"/>
        <w:rPr>
          <w:rFonts w:ascii="楷体" w:hAnsi="楷体" w:eastAsia="楷体"/>
          <w:sz w:val="32"/>
          <w:szCs w:val="32"/>
          <w:u w:val="single"/>
        </w:rPr>
      </w:pPr>
      <w:r>
        <w:rPr>
          <w:rFonts w:ascii="楷体" w:hAnsi="楷体" w:eastAsia="楷体"/>
          <w:sz w:val="32"/>
          <w:szCs w:val="32"/>
        </w:rPr>
        <w:t>总</w:t>
      </w:r>
      <w:r>
        <w:rPr>
          <w:rFonts w:hint="eastAsia" w:ascii="楷体" w:hAnsi="楷体" w:eastAsia="楷体"/>
          <w:sz w:val="32"/>
          <w:szCs w:val="32"/>
        </w:rPr>
        <w:t xml:space="preserve"> </w:t>
      </w:r>
      <w:r>
        <w:rPr>
          <w:rFonts w:ascii="楷体" w:hAnsi="楷体" w:eastAsia="楷体"/>
          <w:sz w:val="32"/>
          <w:szCs w:val="32"/>
        </w:rPr>
        <w:t>预</w:t>
      </w:r>
      <w:r>
        <w:rPr>
          <w:rFonts w:hint="eastAsia" w:ascii="楷体" w:hAnsi="楷体" w:eastAsia="楷体"/>
          <w:sz w:val="32"/>
          <w:szCs w:val="32"/>
        </w:rPr>
        <w:t xml:space="preserve"> </w:t>
      </w:r>
      <w:r>
        <w:rPr>
          <w:rFonts w:ascii="楷体" w:hAnsi="楷体" w:eastAsia="楷体"/>
          <w:sz w:val="32"/>
          <w:szCs w:val="32"/>
        </w:rPr>
        <w:t>算</w:t>
      </w:r>
      <w:r>
        <w:rPr>
          <w:rFonts w:hint="eastAsia" w:ascii="楷体" w:hAnsi="楷体" w:eastAsia="楷体"/>
          <w:sz w:val="32"/>
          <w:szCs w:val="32"/>
          <w:u w:val="single"/>
        </w:rPr>
        <w:t>：</w:t>
      </w:r>
      <w:r>
        <w:rPr>
          <w:rFonts w:hint="eastAsia" w:ascii="楷体" w:hAnsi="楷体" w:eastAsia="楷体"/>
          <w:sz w:val="32"/>
          <w:szCs w:val="32"/>
          <w:u w:val="single"/>
          <w:lang w:val="en-US" w:eastAsia="zh-CN"/>
        </w:rPr>
        <w:t>315</w:t>
      </w:r>
      <w:r>
        <w:rPr>
          <w:rFonts w:hint="eastAsia" w:ascii="楷体" w:hAnsi="楷体" w:eastAsia="楷体"/>
          <w:sz w:val="32"/>
          <w:szCs w:val="32"/>
          <w:u w:val="single"/>
        </w:rPr>
        <w:t>万元</w:t>
      </w:r>
    </w:p>
    <w:p>
      <w:pPr>
        <w:spacing w:line="560" w:lineRule="exact"/>
        <w:ind w:firstLine="640" w:firstLineChars="200"/>
        <w:jc w:val="left"/>
        <w:rPr>
          <w:rFonts w:ascii="楷体" w:hAnsi="楷体" w:eastAsia="楷体"/>
          <w:sz w:val="32"/>
          <w:szCs w:val="32"/>
        </w:rPr>
      </w:pPr>
      <w:bookmarkStart w:id="1" w:name="_GoBack"/>
      <w:bookmarkEnd w:id="1"/>
    </w:p>
    <w:p>
      <w:pPr>
        <w:pStyle w:val="3"/>
        <w:jc w:val="left"/>
        <w:rPr>
          <w:rFonts w:ascii="楷体" w:hAnsi="楷体" w:eastAsia="楷体"/>
          <w:szCs w:val="32"/>
          <w:highlight w:val="yellow"/>
        </w:rPr>
      </w:pPr>
      <w:r>
        <w:rPr>
          <w:rFonts w:hint="eastAsia" w:ascii="楷体" w:hAnsi="楷体" w:eastAsia="楷体"/>
          <w:szCs w:val="32"/>
          <w:highlight w:val="yellow"/>
        </w:rPr>
        <w:t>（三）采购标的汇总表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636"/>
        <w:gridCol w:w="93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jc w:val="center"/>
              <w:rPr>
                <w:rFonts w:hint="default" w:ascii="Times New Roman" w:hAnsi="Times New Roman" w:eastAsia="宋体" w:cs="Times New Roman"/>
                <w:b/>
                <w:bCs/>
                <w:sz w:val="24"/>
                <w:szCs w:val="24"/>
                <w:highlight w:val="yellow"/>
              </w:rPr>
            </w:pPr>
            <w:r>
              <w:rPr>
                <w:rFonts w:hint="eastAsia" w:ascii="Times New Roman" w:hAnsi="Times New Roman" w:eastAsia="宋体" w:cs="Times New Roman"/>
                <w:b/>
                <w:bCs/>
                <w:sz w:val="24"/>
                <w:szCs w:val="24"/>
                <w:highlight w:val="yellow"/>
                <w:lang w:eastAsia="zh-CN"/>
              </w:rPr>
              <w:t>标段</w:t>
            </w:r>
          </w:p>
        </w:tc>
        <w:tc>
          <w:tcPr>
            <w:tcW w:w="3636" w:type="dxa"/>
            <w:noWrap w:val="0"/>
            <w:vAlign w:val="center"/>
          </w:tcPr>
          <w:p>
            <w:pPr>
              <w:jc w:val="center"/>
              <w:rPr>
                <w:rFonts w:hint="default" w:ascii="Times New Roman" w:hAnsi="Times New Roman" w:eastAsia="宋体" w:cs="Times New Roman"/>
                <w:b/>
                <w:bCs/>
                <w:sz w:val="24"/>
                <w:szCs w:val="24"/>
                <w:highlight w:val="yellow"/>
              </w:rPr>
            </w:pPr>
            <w:r>
              <w:rPr>
                <w:rFonts w:hint="default" w:ascii="Times New Roman" w:hAnsi="Times New Roman" w:eastAsia="宋体" w:cs="Times New Roman"/>
                <w:b/>
                <w:bCs/>
                <w:sz w:val="24"/>
                <w:szCs w:val="24"/>
                <w:highlight w:val="yellow"/>
              </w:rPr>
              <w:t>名称</w:t>
            </w:r>
          </w:p>
        </w:tc>
        <w:tc>
          <w:tcPr>
            <w:tcW w:w="930" w:type="dxa"/>
            <w:noWrap w:val="0"/>
            <w:vAlign w:val="center"/>
          </w:tcPr>
          <w:p>
            <w:pPr>
              <w:jc w:val="center"/>
              <w:rPr>
                <w:rFonts w:hint="default" w:ascii="Times New Roman" w:hAnsi="Times New Roman" w:eastAsia="宋体" w:cs="Times New Roman"/>
                <w:b/>
                <w:bCs/>
                <w:sz w:val="24"/>
                <w:szCs w:val="24"/>
                <w:highlight w:val="yellow"/>
              </w:rPr>
            </w:pPr>
            <w:r>
              <w:rPr>
                <w:rFonts w:hint="default" w:ascii="Times New Roman" w:hAnsi="Times New Roman" w:eastAsia="宋体" w:cs="Times New Roman"/>
                <w:b/>
                <w:bCs/>
                <w:sz w:val="24"/>
                <w:szCs w:val="24"/>
                <w:highlight w:val="yellow"/>
              </w:rPr>
              <w:t>数量</w:t>
            </w:r>
          </w:p>
        </w:tc>
        <w:tc>
          <w:tcPr>
            <w:tcW w:w="1626" w:type="dxa"/>
            <w:noWrap w:val="0"/>
            <w:vAlign w:val="center"/>
          </w:tcPr>
          <w:p>
            <w:pPr>
              <w:jc w:val="center"/>
              <w:rPr>
                <w:rFonts w:hint="eastAsia" w:ascii="Times New Roman" w:hAnsi="Times New Roman" w:eastAsia="宋体" w:cs="Times New Roman"/>
                <w:b/>
                <w:bCs/>
                <w:sz w:val="24"/>
                <w:szCs w:val="24"/>
                <w:highlight w:val="yellow"/>
                <w:lang w:eastAsia="zh-CN"/>
              </w:rPr>
            </w:pPr>
            <w:r>
              <w:rPr>
                <w:rFonts w:hint="eastAsia" w:ascii="Times New Roman" w:hAnsi="Times New Roman" w:eastAsia="宋体" w:cs="Times New Roman"/>
                <w:b/>
                <w:bCs/>
                <w:sz w:val="24"/>
                <w:szCs w:val="24"/>
                <w:highlight w:val="yellow"/>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noWrap w:val="0"/>
            <w:vAlign w:val="center"/>
          </w:tcPr>
          <w:p>
            <w:pPr>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1</w:t>
            </w:r>
          </w:p>
        </w:tc>
        <w:tc>
          <w:tcPr>
            <w:tcW w:w="3636" w:type="dxa"/>
            <w:noWrap w:val="0"/>
            <w:vAlign w:val="center"/>
          </w:tcPr>
          <w:p>
            <w:pPr>
              <w:jc w:val="center"/>
              <w:rPr>
                <w:rFonts w:hint="eastAsia" w:ascii="Times New Roman" w:hAnsi="Times New Roman" w:eastAsia="宋体" w:cs="Times New Roman"/>
                <w:sz w:val="24"/>
                <w:szCs w:val="24"/>
                <w:highlight w:val="yellow"/>
                <w:lang w:eastAsia="zh-CN"/>
              </w:rPr>
            </w:pPr>
            <w:r>
              <w:rPr>
                <w:rFonts w:hint="eastAsia"/>
                <w:sz w:val="24"/>
                <w:highlight w:val="yellow"/>
                <w:lang w:eastAsia="zh-CN"/>
              </w:rPr>
              <w:t>超高效液相色谱-串联质谱系统</w:t>
            </w:r>
          </w:p>
        </w:tc>
        <w:tc>
          <w:tcPr>
            <w:tcW w:w="930" w:type="dxa"/>
            <w:noWrap w:val="0"/>
            <w:vAlign w:val="center"/>
          </w:tcPr>
          <w:p>
            <w:pPr>
              <w:jc w:val="center"/>
              <w:rPr>
                <w:rFonts w:hint="eastAsia" w:ascii="Times New Roman" w:hAnsi="Times New Roman" w:eastAsia="宋体" w:cs="Times New Roman"/>
                <w:sz w:val="24"/>
                <w:szCs w:val="24"/>
                <w:highlight w:val="yellow"/>
                <w:lang w:eastAsia="zh-CN"/>
              </w:rPr>
            </w:pPr>
            <w:r>
              <w:rPr>
                <w:rFonts w:hint="eastAsia" w:ascii="Times New Roman" w:hAnsi="Times New Roman" w:eastAsia="宋体" w:cs="Times New Roman"/>
                <w:sz w:val="24"/>
                <w:szCs w:val="24"/>
                <w:highlight w:val="yellow"/>
                <w:lang w:val="en-US" w:eastAsia="zh-CN"/>
              </w:rPr>
              <w:t>1批</w:t>
            </w:r>
          </w:p>
        </w:tc>
        <w:tc>
          <w:tcPr>
            <w:tcW w:w="1626" w:type="dxa"/>
            <w:noWrap w:val="0"/>
            <w:vAlign w:val="center"/>
          </w:tcPr>
          <w:p>
            <w:pPr>
              <w:jc w:val="center"/>
              <w:rPr>
                <w:rFonts w:hint="default" w:ascii="Times New Roman" w:hAnsi="Times New Roman" w:eastAsia="宋体" w:cs="Times New Roman"/>
                <w:sz w:val="24"/>
                <w:szCs w:val="24"/>
                <w:highlight w:val="yellow"/>
              </w:rPr>
            </w:pPr>
          </w:p>
        </w:tc>
      </w:tr>
    </w:tbl>
    <w:p>
      <w:pPr>
        <w:spacing w:line="360" w:lineRule="auto"/>
        <w:ind w:firstLine="482" w:firstLineChars="200"/>
        <w:rPr>
          <w:b/>
          <w:sz w:val="24"/>
          <w:highlight w:val="yellow"/>
        </w:rPr>
      </w:pPr>
      <w:r>
        <w:rPr>
          <w:b/>
          <w:sz w:val="24"/>
          <w:highlight w:val="yellow"/>
        </w:rPr>
        <w:t>注：</w:t>
      </w:r>
    </w:p>
    <w:p>
      <w:pPr>
        <w:pStyle w:val="39"/>
        <w:spacing w:line="360" w:lineRule="auto"/>
        <w:ind w:firstLine="480" w:firstLineChars="200"/>
        <w:rPr>
          <w:rFonts w:ascii="Times New Roman" w:hAnsi="Times New Roman" w:eastAsia="宋体"/>
          <w:bCs/>
          <w:sz w:val="24"/>
          <w:highlight w:val="yellow"/>
        </w:rPr>
      </w:pPr>
      <w:r>
        <w:rPr>
          <w:rFonts w:ascii="Times New Roman" w:hAnsi="Times New Roman" w:eastAsia="宋体"/>
          <w:bCs/>
          <w:sz w:val="24"/>
          <w:highlight w:val="yellow"/>
        </w:rPr>
        <w:t>投标方须在投标文件中提供主要参投设备的原厂商宣传彩页，包含产品配置、图片等说明。</w:t>
      </w:r>
    </w:p>
    <w:p>
      <w:pPr>
        <w:spacing w:line="560" w:lineRule="exact"/>
        <w:ind w:firstLine="480" w:firstLineChars="200"/>
        <w:jc w:val="left"/>
        <w:rPr>
          <w:rFonts w:ascii="仿宋_GB2312" w:hAnsi="黑体" w:eastAsia="仿宋_GB2312"/>
          <w:i/>
          <w:sz w:val="32"/>
          <w:szCs w:val="32"/>
          <w:highlight w:val="yellow"/>
          <w:u w:val="single"/>
        </w:rPr>
      </w:pPr>
      <w:r>
        <w:rPr>
          <w:rFonts w:hint="eastAsia" w:ascii="Times New Roman" w:hAnsi="Times New Roman" w:eastAsia="宋体"/>
          <w:bCs/>
          <w:sz w:val="24"/>
          <w:highlight w:val="yellow"/>
        </w:rPr>
        <w:t>★本项目需填报</w:t>
      </w:r>
      <w:r>
        <w:rPr>
          <w:rFonts w:hint="eastAsia" w:ascii="Times New Roman" w:hAnsi="Times New Roman" w:eastAsia="宋体"/>
          <w:bCs/>
          <w:sz w:val="24"/>
          <w:highlight w:val="yellow"/>
          <w:lang w:eastAsia="zh-CN"/>
        </w:rPr>
        <w:t>试剂</w:t>
      </w:r>
      <w:r>
        <w:rPr>
          <w:rFonts w:hint="eastAsia" w:ascii="Times New Roman" w:hAnsi="Times New Roman" w:eastAsia="宋体"/>
          <w:bCs/>
          <w:sz w:val="24"/>
          <w:highlight w:val="yellow"/>
        </w:rPr>
        <w:t>耗材结算率，</w:t>
      </w:r>
      <w:r>
        <w:rPr>
          <w:rFonts w:hint="eastAsia" w:ascii="Times New Roman" w:hAnsi="Times New Roman" w:eastAsia="宋体"/>
          <w:bCs/>
          <w:sz w:val="24"/>
          <w:highlight w:val="yellow"/>
          <w:lang w:eastAsia="zh-CN"/>
        </w:rPr>
        <w:t>试剂</w:t>
      </w:r>
      <w:r>
        <w:rPr>
          <w:rFonts w:hint="eastAsia" w:ascii="Times New Roman" w:hAnsi="Times New Roman" w:eastAsia="宋体"/>
          <w:bCs/>
          <w:sz w:val="24"/>
          <w:highlight w:val="yellow"/>
        </w:rPr>
        <w:t>耗材按采购人要求供货并根据《</w:t>
      </w:r>
      <w:r>
        <w:rPr>
          <w:rFonts w:hint="eastAsia" w:ascii="Times New Roman" w:hAnsi="Times New Roman" w:eastAsia="宋体"/>
          <w:bCs/>
          <w:sz w:val="24"/>
          <w:highlight w:val="yellow"/>
          <w:lang w:eastAsia="zh-CN"/>
        </w:rPr>
        <w:t>义乌市</w:t>
      </w:r>
      <w:r>
        <w:rPr>
          <w:rFonts w:hint="eastAsia" w:ascii="Times New Roman" w:hAnsi="Times New Roman" w:eastAsia="宋体"/>
          <w:bCs/>
          <w:sz w:val="24"/>
          <w:highlight w:val="yellow"/>
        </w:rPr>
        <w:t>公立医院医疗服务价格手册》收费标准*结算率结算。</w:t>
      </w:r>
    </w:p>
    <w:p>
      <w:pPr>
        <w:pStyle w:val="3"/>
        <w:jc w:val="left"/>
        <w:rPr>
          <w:rFonts w:ascii="楷体" w:hAnsi="楷体" w:eastAsia="楷体"/>
          <w:szCs w:val="32"/>
          <w:highlight w:val="yellow"/>
        </w:rPr>
      </w:pPr>
      <w:r>
        <w:rPr>
          <w:rFonts w:hint="eastAsia" w:ascii="楷体" w:hAnsi="楷体" w:eastAsia="楷体"/>
          <w:szCs w:val="32"/>
          <w:highlight w:val="yellow"/>
        </w:rPr>
        <w:t>（四）技术商务要求</w:t>
      </w:r>
    </w:p>
    <w:bookmarkEnd w:id="0"/>
    <w:tbl>
      <w:tblPr>
        <w:tblStyle w:val="21"/>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b/>
                <w:snapToGrid w:val="0"/>
                <w:color w:val="auto"/>
                <w:sz w:val="24"/>
                <w:szCs w:val="24"/>
                <w:highlight w:val="yellow"/>
              </w:rPr>
            </w:pPr>
            <w:r>
              <w:rPr>
                <w:rFonts w:hint="eastAsia" w:ascii="宋体" w:hAnsi="宋体" w:eastAsia="宋体" w:cs="宋体"/>
                <w:b/>
                <w:bCs/>
                <w:color w:val="auto"/>
                <w:sz w:val="24"/>
                <w:szCs w:val="24"/>
                <w:highlight w:val="yellow"/>
              </w:rPr>
              <w:t>序号</w:t>
            </w:r>
          </w:p>
        </w:tc>
        <w:tc>
          <w:tcPr>
            <w:tcW w:w="8466" w:type="dxa"/>
            <w:noWrap w:val="0"/>
            <w:vAlign w:val="center"/>
          </w:tcPr>
          <w:p>
            <w:pPr>
              <w:jc w:val="center"/>
              <w:rPr>
                <w:rFonts w:hint="eastAsia" w:ascii="宋体" w:hAnsi="宋体" w:eastAsia="宋体" w:cs="宋体"/>
                <w:b/>
                <w:snapToGrid w:val="0"/>
                <w:color w:val="auto"/>
                <w:sz w:val="24"/>
                <w:szCs w:val="24"/>
                <w:highlight w:val="yellow"/>
              </w:rPr>
            </w:pPr>
            <w:r>
              <w:rPr>
                <w:rFonts w:hint="eastAsia" w:ascii="宋体" w:hAnsi="宋体" w:eastAsia="宋体" w:cs="宋体"/>
                <w:b/>
                <w:bCs/>
                <w:color w:val="auto"/>
                <w:sz w:val="24"/>
                <w:szCs w:val="24"/>
                <w:highlight w:val="yellow"/>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1" w:type="dxa"/>
            <w:gridSpan w:val="2"/>
            <w:noWrap w:val="0"/>
            <w:vAlign w:val="center"/>
          </w:tcPr>
          <w:p>
            <w:pPr>
              <w:pStyle w:val="39"/>
              <w:numPr>
                <w:ilvl w:val="0"/>
                <w:numId w:val="0"/>
              </w:numPr>
              <w:spacing w:line="360" w:lineRule="auto"/>
              <w:rPr>
                <w:rFonts w:hint="eastAsia" w:ascii="宋体" w:hAnsi="宋体" w:eastAsia="宋体" w:cs="宋体"/>
                <w:b/>
                <w:bCs/>
                <w:color w:val="auto"/>
                <w:sz w:val="24"/>
                <w:szCs w:val="24"/>
                <w:highlight w:val="yellow"/>
              </w:rPr>
            </w:pPr>
            <w:r>
              <w:rPr>
                <w:rFonts w:hint="eastAsia" w:ascii="宋体" w:hAnsi="宋体" w:eastAsia="宋体" w:cs="宋体"/>
                <w:b/>
                <w:sz w:val="24"/>
                <w:highlight w:val="yellow"/>
              </w:rPr>
              <w:t>超高效液相色谱-串联质谱系统</w:t>
            </w:r>
            <w:r>
              <w:rPr>
                <w:rFonts w:hint="eastAsia" w:ascii="宋体" w:hAnsi="宋体" w:eastAsia="宋体" w:cs="宋体"/>
                <w:b/>
                <w:sz w:val="24"/>
                <w:highlight w:val="yellow"/>
                <w:lang w:eastAsia="zh-CN"/>
              </w:rPr>
              <w:t>（</w:t>
            </w:r>
            <w:r>
              <w:rPr>
                <w:rFonts w:hint="eastAsia" w:ascii="宋体" w:hAnsi="宋体" w:eastAsia="宋体" w:cs="宋体"/>
                <w:b/>
                <w:i/>
                <w:iCs/>
                <w:sz w:val="24"/>
                <w:highlight w:val="yellow"/>
                <w:lang w:eastAsia="zh-CN"/>
              </w:rPr>
              <w:t>本设备接受进口产品参与投标</w:t>
            </w:r>
            <w:r>
              <w:rPr>
                <w:rFonts w:hint="eastAsia" w:ascii="宋体" w:hAnsi="宋体" w:eastAsia="宋体" w:cs="宋体"/>
                <w:b/>
                <w:sz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一</w:t>
            </w:r>
          </w:p>
        </w:tc>
        <w:tc>
          <w:tcPr>
            <w:tcW w:w="8466" w:type="dxa"/>
            <w:noWrap w:val="0"/>
            <w:vAlign w:val="center"/>
          </w:tcPr>
          <w:p>
            <w:pPr>
              <w:ind w:right="200"/>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snapToGrid w:val="0"/>
                <w:color w:val="auto"/>
                <w:sz w:val="24"/>
                <w:szCs w:val="24"/>
                <w:highlight w:val="yellow"/>
              </w:rPr>
            </w:pPr>
            <w:r>
              <w:rPr>
                <w:rFonts w:hint="eastAsia" w:ascii="宋体" w:hAnsi="宋体" w:eastAsia="宋体" w:cs="宋体"/>
                <w:snapToGrid w:val="0"/>
                <w:color w:val="auto"/>
                <w:sz w:val="24"/>
                <w:szCs w:val="24"/>
                <w:highlight w:val="yellow"/>
              </w:rPr>
              <w:t>1.1</w:t>
            </w:r>
          </w:p>
        </w:tc>
        <w:tc>
          <w:tcPr>
            <w:tcW w:w="8466" w:type="dxa"/>
            <w:noWrap w:val="0"/>
            <w:vAlign w:val="center"/>
          </w:tcPr>
          <w:p>
            <w:pPr>
              <w:ind w:right="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用于临床治疗药物监测、维生素、激素、氨基酸等检测。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二</w:t>
            </w:r>
          </w:p>
        </w:tc>
        <w:tc>
          <w:tcPr>
            <w:tcW w:w="8466" w:type="dxa"/>
            <w:noWrap w:val="0"/>
            <w:vAlign w:val="center"/>
          </w:tcPr>
          <w:p>
            <w:pPr>
              <w:ind w:right="200"/>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一般规格和要求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snapToGrid w:val="0"/>
                <w:color w:val="auto"/>
                <w:sz w:val="24"/>
                <w:szCs w:val="24"/>
                <w:highlight w:val="yellow"/>
              </w:rPr>
              <w:t>2.1</w:t>
            </w:r>
          </w:p>
        </w:tc>
        <w:tc>
          <w:tcPr>
            <w:tcW w:w="8466" w:type="dxa"/>
            <w:noWrap w:val="0"/>
            <w:vAlign w:val="center"/>
          </w:tcPr>
          <w:p>
            <w:pPr>
              <w:rPr>
                <w:rFonts w:hint="eastAsia" w:ascii="宋体" w:hAnsi="宋体" w:eastAsia="宋体" w:cs="宋体"/>
                <w:snapToGrid w:val="0"/>
                <w:color w:val="auto"/>
                <w:sz w:val="24"/>
                <w:szCs w:val="24"/>
                <w:highlight w:val="yellow"/>
              </w:rPr>
            </w:pPr>
            <w:r>
              <w:rPr>
                <w:rFonts w:hint="eastAsia" w:ascii="宋体" w:hAnsi="宋体" w:eastAsia="宋体" w:cs="宋体"/>
                <w:snapToGrid w:val="0"/>
                <w:color w:val="auto"/>
                <w:sz w:val="24"/>
                <w:szCs w:val="24"/>
                <w:highlight w:val="yellow"/>
              </w:rPr>
              <w:t>超高效液相色谱与串联四极杆质谱仪均为同一厂家生产，保证联机技术的稳定性。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三</w:t>
            </w:r>
          </w:p>
        </w:tc>
        <w:tc>
          <w:tcPr>
            <w:tcW w:w="8466" w:type="dxa"/>
            <w:noWrap w:val="0"/>
            <w:vAlign w:val="center"/>
          </w:tcPr>
          <w:p>
            <w:pPr>
              <w:ind w:right="200"/>
              <w:rPr>
                <w:rFonts w:hint="eastAsia" w:ascii="宋体" w:hAnsi="宋体" w:eastAsia="宋体" w:cs="宋体"/>
                <w:b/>
                <w:snapToGrid w:val="0"/>
                <w:color w:val="auto"/>
                <w:sz w:val="24"/>
                <w:szCs w:val="24"/>
                <w:highlight w:val="yellow"/>
              </w:rPr>
            </w:pPr>
            <w:r>
              <w:rPr>
                <w:rFonts w:hint="eastAsia" w:ascii="宋体" w:hAnsi="宋体" w:eastAsia="宋体" w:cs="宋体"/>
                <w:b/>
                <w:snapToGrid w:val="0"/>
                <w:color w:val="auto"/>
                <w:sz w:val="24"/>
                <w:szCs w:val="24"/>
                <w:highlight w:val="yellow"/>
              </w:rPr>
              <w:t>主要技术和性能规格要求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
                <w:bCs/>
                <w:color w:val="auto"/>
                <w:spacing w:val="-8"/>
                <w:kern w:val="0"/>
                <w:sz w:val="24"/>
                <w:szCs w:val="24"/>
                <w:highlight w:val="yellow"/>
              </w:rPr>
              <w:t>1</w:t>
            </w:r>
          </w:p>
        </w:tc>
        <w:tc>
          <w:tcPr>
            <w:tcW w:w="8466" w:type="dxa"/>
            <w:noWrap w:val="0"/>
            <w:vAlign w:val="center"/>
          </w:tcPr>
          <w:p>
            <w:pPr>
              <w:rPr>
                <w:rFonts w:hint="eastAsia" w:ascii="宋体" w:hAnsi="宋体" w:eastAsia="宋体" w:cs="宋体"/>
                <w:b/>
                <w:bCs/>
                <w:color w:val="auto"/>
                <w:spacing w:val="-8"/>
                <w:kern w:val="0"/>
                <w:sz w:val="24"/>
                <w:szCs w:val="24"/>
                <w:highlight w:val="yellow"/>
              </w:rPr>
            </w:pPr>
            <w:r>
              <w:rPr>
                <w:rFonts w:hint="eastAsia" w:ascii="宋体" w:hAnsi="宋体" w:eastAsia="宋体" w:cs="宋体"/>
                <w:b/>
                <w:bCs/>
                <w:color w:val="auto"/>
                <w:spacing w:val="-8"/>
                <w:kern w:val="0"/>
                <w:sz w:val="24"/>
                <w:szCs w:val="24"/>
                <w:highlight w:val="yellow"/>
              </w:rPr>
              <w:t>超高效液相色谱部分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二元高压梯度泵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相互独立电子控制的双柱塞驱动装置，双压力传感器反馈回路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流量范围：0.01ml/min-2.000ml/min，递增率0.001ml/min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流量精度：≤0.075%RSD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流速准确度：±1.0%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★1.1.5</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操作压力范围：≥12000psi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1.1.6</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可压缩性补偿：自动连续调节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1.1.7</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梯度洗脱：0-100%，最小递增率为0.1%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1.1.8</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混合精度：&lt;0.2%，不随反压变化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▲1.1.9</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梯度模式：预编可选≥11条梯度曲线，包括线性、凹线（4）、凸线（4）和步进（2）梯度变化，无需模拟即可实现（投标文件中需提供详细中英文原版说明书作为</w:t>
            </w:r>
            <w:r>
              <w:rPr>
                <w:rFonts w:hint="eastAsia" w:ascii="宋体" w:hAnsi="宋体" w:eastAsia="宋体" w:cs="宋体"/>
                <w:bCs/>
                <w:color w:val="auto"/>
                <w:spacing w:val="-8"/>
                <w:kern w:val="0"/>
                <w:sz w:val="24"/>
                <w:szCs w:val="24"/>
                <w:highlight w:val="yellow"/>
                <w:lang w:eastAsia="zh-CN"/>
              </w:rPr>
              <w:t>佐证</w:t>
            </w:r>
            <w:r>
              <w:rPr>
                <w:rFonts w:hint="eastAsia" w:ascii="宋体" w:hAnsi="宋体" w:eastAsia="宋体" w:cs="宋体"/>
                <w:bCs/>
                <w:color w:val="auto"/>
                <w:spacing w:val="-8"/>
                <w:kern w:val="0"/>
                <w:sz w:val="24"/>
                <w:szCs w:val="24"/>
                <w:highlight w:val="yellow"/>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★1.1.10</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内置在线脱气装置通道≥2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1.1.11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带柱塞杆自动清洗装置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自动进样器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样品盘：≥96位2ml样品瓶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进样量：0.1-100ul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样品污染度：≤0.001%或0.002%（可调）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带样品冷却控温：4℃-40℃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1.2.5</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color w:val="auto"/>
                <w:sz w:val="24"/>
                <w:szCs w:val="24"/>
                <w:highlight w:val="yellow"/>
              </w:rPr>
              <w:t>样品管理器采用流通针式设计，针内壁的分析过程中不断被流动相清洗，同时配备专门的进样针外壁清洗流路，最大程度的抑制交叉污染的产生。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柱温箱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1.3.1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柱温箱温度范围：室温 10-90˚C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1.3.2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温度稳定性：≤±0.3˚C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1.3.3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温度准确度：±0.5˚C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▲1.3.4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色谱柱信息跟踪记录：配有智能芯片信息技术，在线记录色谱柱使用信息（液相主机可读取每根色谱柱最近50次历史使用记录）。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
                <w:bCs/>
                <w:color w:val="auto"/>
                <w:spacing w:val="-8"/>
                <w:kern w:val="0"/>
                <w:sz w:val="24"/>
                <w:szCs w:val="24"/>
                <w:highlight w:val="yellow"/>
              </w:rPr>
              <w:t>2</w:t>
            </w:r>
          </w:p>
        </w:tc>
        <w:tc>
          <w:tcPr>
            <w:tcW w:w="8466" w:type="dxa"/>
            <w:noWrap w:val="0"/>
            <w:vAlign w:val="center"/>
          </w:tcPr>
          <w:p>
            <w:pPr>
              <w:rPr>
                <w:rFonts w:hint="eastAsia" w:ascii="宋体" w:hAnsi="宋体" w:eastAsia="宋体" w:cs="宋体"/>
                <w:b/>
                <w:bCs/>
                <w:color w:val="auto"/>
                <w:spacing w:val="-8"/>
                <w:kern w:val="0"/>
                <w:sz w:val="24"/>
                <w:szCs w:val="24"/>
                <w:highlight w:val="yellow"/>
              </w:rPr>
            </w:pPr>
            <w:r>
              <w:rPr>
                <w:rFonts w:hint="eastAsia" w:ascii="宋体" w:hAnsi="宋体" w:eastAsia="宋体" w:cs="宋体"/>
                <w:b/>
                <w:bCs/>
                <w:color w:val="auto"/>
                <w:spacing w:val="-8"/>
                <w:kern w:val="0"/>
                <w:sz w:val="24"/>
                <w:szCs w:val="24"/>
                <w:highlight w:val="yellow"/>
              </w:rPr>
              <w:t>质谱仪部分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原理：液相色谱－三重四极杆串联质谱联用仪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复合离子源（ESI/APCI复合离子源）</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一次进样可以在ESI+，ESI-，APCI+，APCI-四种电离方式之间快速切换</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并可同时得到每一种电离方式的谱图(四个通道)数据。ESI和APCI采集切换速率≤20ms。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▲2.2.1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离子源具有双控温区域：脱溶剂气温度可以在30秒内升温至650℃或以上（投标文件中需提供温度设置</w:t>
            </w:r>
            <w:r>
              <w:rPr>
                <w:rFonts w:hint="eastAsia" w:ascii="宋体" w:hAnsi="宋体" w:eastAsia="宋体" w:cs="宋体"/>
                <w:bCs/>
                <w:color w:val="auto"/>
                <w:spacing w:val="-8"/>
                <w:kern w:val="0"/>
                <w:sz w:val="24"/>
                <w:szCs w:val="24"/>
                <w:highlight w:val="yellow"/>
                <w:lang w:eastAsia="zh-CN"/>
              </w:rPr>
              <w:t>佐证</w:t>
            </w:r>
            <w:r>
              <w:rPr>
                <w:rFonts w:hint="eastAsia" w:ascii="宋体" w:hAnsi="宋体" w:eastAsia="宋体" w:cs="宋体"/>
                <w:bCs/>
                <w:color w:val="auto"/>
                <w:spacing w:val="-8"/>
                <w:kern w:val="0"/>
                <w:sz w:val="24"/>
                <w:szCs w:val="24"/>
                <w:highlight w:val="yellow"/>
              </w:rPr>
              <w:t>文件），且需满足离子源接口作为另一控温区域，温度设置≥120度，提高脱溶剂化效果</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请提供软件温度设置截图。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▲2.2.2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采用非毛细管离子导入技术防止样品热降解后堵塞，以提高抗污染能力（投标文件中需提供</w:t>
            </w:r>
            <w:r>
              <w:rPr>
                <w:rFonts w:hint="eastAsia" w:ascii="宋体" w:hAnsi="宋体" w:eastAsia="宋体" w:cs="宋体"/>
                <w:bCs/>
                <w:color w:val="auto"/>
                <w:spacing w:val="-8"/>
                <w:kern w:val="0"/>
                <w:sz w:val="24"/>
                <w:szCs w:val="24"/>
                <w:highlight w:val="yellow"/>
                <w:lang w:eastAsia="zh-CN"/>
              </w:rPr>
              <w:t>佐证材料</w:t>
            </w:r>
            <w:r>
              <w:rPr>
                <w:rFonts w:hint="eastAsia" w:ascii="宋体" w:hAnsi="宋体" w:eastAsia="宋体" w:cs="宋体"/>
                <w:bCs/>
                <w:color w:val="auto"/>
                <w:spacing w:val="-8"/>
                <w:kern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2.2.3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离子源具有真空隔离阀，无需卸真空，即可拆洗离子源锥孔，常规维护免工具。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2.2.4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内置全自动注射泵和直接进样瓶3个，可通过软件自动切换，实现质谱直接进样自动调谐和校准，以及化合物质谱条件开发，每次可同时优化多个化合物，开发好的质谱条件可以自动保存为方法文件，直接用于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碰撞池：直线型碰撞池，降低碰撞池清洗频次，具有加速离子传输和离子富集功能。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检测器系统：偏轴设计的光电倍增管，密封在真空玻璃管中，寿命10年保证</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能够满足长期大量脏样品定量分析的数据可靠性和重复性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2.5</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真空系统</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特殊设计的抽溶剂大抽速机械泵和长寿命涡轮分子泵组合差分抽气高真空系统</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无需额外水冷却系统。自动断电保护功能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2.6</w:t>
            </w:r>
          </w:p>
        </w:tc>
        <w:tc>
          <w:tcPr>
            <w:tcW w:w="8466" w:type="dxa"/>
            <w:noWrap w:val="0"/>
            <w:vAlign w:val="center"/>
          </w:tcPr>
          <w:p>
            <w:pPr>
              <w:rPr>
                <w:rFonts w:hint="eastAsia" w:ascii="宋体" w:hAnsi="宋体" w:eastAsia="宋体" w:cs="宋体"/>
                <w:bCs/>
                <w:color w:val="auto"/>
                <w:spacing w:val="-8"/>
                <w:kern w:val="0"/>
                <w:sz w:val="24"/>
                <w:szCs w:val="24"/>
                <w:highlight w:val="yellow"/>
                <w:lang w:eastAsia="zh-CN"/>
              </w:rPr>
            </w:pPr>
            <w:r>
              <w:rPr>
                <w:rFonts w:hint="eastAsia" w:ascii="宋体" w:hAnsi="宋体" w:eastAsia="宋体" w:cs="宋体"/>
                <w:bCs/>
                <w:color w:val="auto"/>
                <w:spacing w:val="-8"/>
                <w:kern w:val="0"/>
                <w:sz w:val="24"/>
                <w:szCs w:val="24"/>
                <w:highlight w:val="yellow"/>
              </w:rPr>
              <w:t>扫描方式</w:t>
            </w:r>
            <w:r>
              <w:rPr>
                <w:rFonts w:hint="eastAsia" w:ascii="宋体" w:hAnsi="宋体" w:eastAsia="宋体" w:cs="宋体"/>
                <w:bCs/>
                <w:color w:val="auto"/>
                <w:spacing w:val="-8"/>
                <w:kern w:val="0"/>
                <w:sz w:val="24"/>
                <w:szCs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2.6.1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具有全扫描(Full Scan)、选择离子扫描(SIM)、子离子扫描（Product Ion Scan）、母离子扫描（Precursor Ion Scan）、中性丢失扫描（Neutral Loss Scan）、多反应监测扫描（MRM）。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w:t>
            </w:r>
            <w:r>
              <w:rPr>
                <w:rFonts w:hint="eastAsia" w:ascii="宋体" w:hAnsi="宋体" w:eastAsia="宋体" w:cs="宋体"/>
                <w:bCs/>
                <w:color w:val="auto"/>
                <w:spacing w:val="-8"/>
                <w:kern w:val="0"/>
                <w:sz w:val="24"/>
                <w:szCs w:val="24"/>
                <w:highlight w:val="yellow"/>
                <w:lang w:val="en-GB"/>
              </w:rPr>
              <w:t>2.6.2</w:t>
            </w:r>
          </w:p>
        </w:tc>
        <w:tc>
          <w:tcPr>
            <w:tcW w:w="8466" w:type="dxa"/>
            <w:noWrap w:val="0"/>
            <w:vAlign w:val="center"/>
          </w:tcPr>
          <w:p>
            <w:pPr>
              <w:rPr>
                <w:rFonts w:hint="eastAsia" w:ascii="宋体" w:hAnsi="宋体" w:eastAsia="宋体" w:cs="宋体"/>
                <w:bCs/>
                <w:color w:val="auto"/>
                <w:spacing w:val="-8"/>
                <w:kern w:val="0"/>
                <w:sz w:val="24"/>
                <w:szCs w:val="24"/>
                <w:highlight w:val="yellow"/>
                <w:lang w:val="en-GB"/>
              </w:rPr>
            </w:pPr>
            <w:r>
              <w:rPr>
                <w:rFonts w:hint="eastAsia" w:ascii="宋体" w:hAnsi="宋体" w:eastAsia="宋体" w:cs="宋体"/>
                <w:bCs/>
                <w:color w:val="auto"/>
                <w:spacing w:val="-8"/>
                <w:kern w:val="0"/>
                <w:sz w:val="24"/>
                <w:szCs w:val="24"/>
                <w:highlight w:val="yellow"/>
                <w:lang w:val="en-GB"/>
              </w:rPr>
              <w:t>双重扫描MRM模式：在一针进样同时得到MRM和Full Scan数据，用于评估检测过程中的样品背景基质情况，避免假阴性的产生一种富含信息的扫描模式，可以在高选择性准确定量目标倾倒物的同时提供样品背景监控信息，且为液相方法开发及前处理方法开发提供依据，大大提高复杂样品定量准确性。MRM和Full Sacn切换时间≤3ms。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lang w:val="en-GB"/>
              </w:rPr>
              <w:t>2.6.3</w:t>
            </w:r>
          </w:p>
        </w:tc>
        <w:tc>
          <w:tcPr>
            <w:tcW w:w="8466" w:type="dxa"/>
            <w:noWrap w:val="0"/>
            <w:vAlign w:val="center"/>
          </w:tcPr>
          <w:p>
            <w:pPr>
              <w:ind w:right="200"/>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lang w:val="en-GB"/>
              </w:rPr>
              <w:t>动态阈值二级全扫描子离子确认功能：在检测MRM通道的同时采集目标化合物的完整子离子全扫描信号，并自动同标准品二级全扫描谱图实现比对、确证，在定量分析的同时实现定性功能，大大降低复杂痕量样品的假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检测性能：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质量范围：m/z2-2048amu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扫描速率：</w:t>
            </w:r>
            <w:r>
              <w:rPr>
                <w:rFonts w:hint="eastAsia" w:ascii="宋体" w:hAnsi="宋体" w:eastAsia="宋体" w:cs="宋体"/>
                <w:bCs/>
                <w:snapToGrid w:val="0"/>
                <w:color w:val="auto"/>
                <w:sz w:val="24"/>
                <w:szCs w:val="24"/>
                <w:highlight w:val="yellow"/>
              </w:rPr>
              <w:t>≥</w:t>
            </w:r>
            <w:r>
              <w:rPr>
                <w:rFonts w:hint="eastAsia" w:ascii="宋体" w:hAnsi="宋体" w:eastAsia="宋体" w:cs="宋体"/>
                <w:bCs/>
                <w:color w:val="auto"/>
                <w:spacing w:val="-8"/>
                <w:kern w:val="0"/>
                <w:sz w:val="24"/>
                <w:szCs w:val="24"/>
                <w:highlight w:val="yellow"/>
              </w:rPr>
              <w:t>20000amu/s（0.1amu步进）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线性范围：定量超过六个数量级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分辨率：半峰宽≤0.5Da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2.7.5</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质量数稳定性：平均标准偏差≤0.1Da/24Hr，全质量范围偏差≤0.01%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★2.7.6</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灵敏度：</w:t>
            </w:r>
          </w:p>
          <w:p>
            <w:pPr>
              <w:rPr>
                <w:rFonts w:hint="eastAsia" w:ascii="宋体" w:hAnsi="宋体" w:eastAsia="宋体" w:cs="宋体"/>
                <w:bCs/>
                <w:color w:val="auto"/>
                <w:spacing w:val="-8"/>
                <w:kern w:val="0"/>
                <w:sz w:val="24"/>
                <w:szCs w:val="24"/>
                <w:highlight w:val="yellow"/>
                <w:lang w:eastAsia="zh-CN"/>
              </w:rPr>
            </w:pPr>
            <w:r>
              <w:rPr>
                <w:rFonts w:hint="eastAsia" w:ascii="宋体" w:hAnsi="宋体" w:eastAsia="宋体" w:cs="宋体"/>
                <w:bCs/>
                <w:color w:val="auto"/>
                <w:spacing w:val="-8"/>
                <w:kern w:val="0"/>
                <w:sz w:val="24"/>
                <w:szCs w:val="24"/>
                <w:highlight w:val="yellow"/>
              </w:rPr>
              <w:t>ESI正离子灵敏度：1pg利血平，原始数据或无平滑数据m/z 609＞195，S/N＞250,000:1</w:t>
            </w:r>
            <w:r>
              <w:rPr>
                <w:rFonts w:hint="eastAsia" w:ascii="宋体" w:hAnsi="宋体" w:eastAsia="宋体" w:cs="宋体"/>
                <w:bCs/>
                <w:color w:val="auto"/>
                <w:spacing w:val="-8"/>
                <w:kern w:val="0"/>
                <w:sz w:val="24"/>
                <w:szCs w:val="24"/>
                <w:highlight w:val="yellow"/>
                <w:lang w:eastAsia="zh-CN"/>
              </w:rPr>
              <w:t>；</w:t>
            </w:r>
          </w:p>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ESI负离子灵敏度：1pg 氯霉素，原始数据或无平滑数据m/z 321＞152， S/N＞250,000:1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2.7.7</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一次进样可完成＞32000组MRM的同时分析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2.7.8</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最小驻留时间≤1ms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▲2.7.9</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正负离子采集切换速率≤15ms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工作站软件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2.8.1</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自动实现仪器的功能配置、条件优化、数据采集、数据处理、快速定量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▲2.8.2</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软件同时控制液相、质谱。液相色谱、质谱仪及相应的工作软件必须为同一厂家生产，以保证提供服务的一致性。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具备智能系统，能自动地：确保</w:t>
            </w:r>
            <w:r>
              <w:rPr>
                <w:rFonts w:hint="eastAsia" w:ascii="宋体" w:hAnsi="宋体" w:eastAsia="宋体" w:cs="宋体"/>
                <w:bCs/>
                <w:color w:val="auto"/>
                <w:spacing w:val="-8"/>
                <w:kern w:val="0"/>
                <w:sz w:val="24"/>
                <w:szCs w:val="24"/>
                <w:highlight w:val="yellow"/>
                <w:lang w:eastAsia="zh-CN"/>
              </w:rPr>
              <w:t>采购人的</w:t>
            </w:r>
            <w:r>
              <w:rPr>
                <w:rFonts w:hint="eastAsia" w:ascii="宋体" w:hAnsi="宋体" w:eastAsia="宋体" w:cs="宋体"/>
                <w:bCs/>
                <w:color w:val="auto"/>
                <w:spacing w:val="-8"/>
                <w:kern w:val="0"/>
                <w:sz w:val="24"/>
                <w:szCs w:val="24"/>
                <w:highlight w:val="yellow"/>
              </w:rPr>
              <w:t>系统待用</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进行质量校正和设置质谱分辨率</w:t>
            </w:r>
            <w:r>
              <w:rPr>
                <w:rFonts w:hint="eastAsia" w:ascii="宋体" w:hAnsi="宋体" w:eastAsia="宋体" w:cs="宋体"/>
                <w:bCs/>
                <w:color w:val="auto"/>
                <w:spacing w:val="-8"/>
                <w:kern w:val="0"/>
                <w:sz w:val="24"/>
                <w:szCs w:val="24"/>
                <w:highlight w:val="yellow"/>
                <w:lang w:eastAsia="zh-CN"/>
              </w:rPr>
              <w:t>，</w:t>
            </w:r>
            <w:r>
              <w:rPr>
                <w:rFonts w:hint="eastAsia" w:ascii="宋体" w:hAnsi="宋体" w:eastAsia="宋体" w:cs="宋体"/>
                <w:bCs/>
                <w:color w:val="auto"/>
                <w:spacing w:val="-8"/>
                <w:kern w:val="0"/>
                <w:sz w:val="24"/>
                <w:szCs w:val="24"/>
                <w:highlight w:val="yellow"/>
              </w:rPr>
              <w:t>通过生成化合物明确的质谱方法（SIR或MRM）和优化针对特定分析环境的API源条件达到最佳检测限,检查液相色谱/质谱系统性能，确保分析结果准确,通过监测系统参数和解析系统报警使系统的运行时间最大化。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2.8.4</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质控自动化工具，能提供“及时”定量数据质量监测，以确定QC或空白样品是否落在用户指定的误差范围内。能决定或许样品是否被注入或是需要进行更详细的检查，确保实验室的资源得到最充分利用。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Cs/>
                <w:color w:val="auto"/>
                <w:spacing w:val="-8"/>
                <w:kern w:val="0"/>
                <w:sz w:val="24"/>
                <w:szCs w:val="24"/>
                <w:highlight w:val="yellow"/>
              </w:rPr>
              <w:t>2.8.5</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有系统检测软件按照分析操作的情况绘制短期，中期和长期的批间趋势图，长期监测系统健康。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snapToGrid w:val="0"/>
                <w:color w:val="auto"/>
                <w:sz w:val="24"/>
                <w:szCs w:val="24"/>
                <w:highlight w:val="yellow"/>
              </w:rPr>
            </w:pPr>
            <w:r>
              <w:rPr>
                <w:rFonts w:hint="eastAsia" w:ascii="宋体" w:hAnsi="宋体" w:eastAsia="宋体" w:cs="宋体"/>
                <w:b/>
                <w:bCs/>
                <w:color w:val="auto"/>
                <w:spacing w:val="-8"/>
                <w:kern w:val="0"/>
                <w:sz w:val="24"/>
                <w:szCs w:val="24"/>
                <w:highlight w:val="yellow"/>
              </w:rPr>
              <w:t>▲3</w:t>
            </w:r>
          </w:p>
        </w:tc>
        <w:tc>
          <w:tcPr>
            <w:tcW w:w="8466" w:type="dxa"/>
            <w:noWrap w:val="0"/>
            <w:vAlign w:val="center"/>
          </w:tcPr>
          <w:p>
            <w:pPr>
              <w:rPr>
                <w:rFonts w:hint="eastAsia" w:ascii="宋体" w:hAnsi="宋体" w:eastAsia="宋体" w:cs="宋体"/>
                <w:bCs/>
                <w:color w:val="auto"/>
                <w:spacing w:val="-8"/>
                <w:kern w:val="0"/>
                <w:sz w:val="24"/>
                <w:szCs w:val="24"/>
                <w:highlight w:val="yellow"/>
              </w:rPr>
            </w:pPr>
            <w:r>
              <w:rPr>
                <w:rFonts w:hint="eastAsia" w:ascii="宋体" w:hAnsi="宋体" w:eastAsia="宋体" w:cs="宋体"/>
                <w:bCs/>
                <w:color w:val="auto"/>
                <w:spacing w:val="-8"/>
                <w:kern w:val="0"/>
                <w:sz w:val="24"/>
                <w:szCs w:val="24"/>
                <w:highlight w:val="yellow"/>
              </w:rPr>
              <w:t>全系统具有医疗器械注册证，包括但不限于超高效液相色谱仪、三重四级杆质谱检测器、软件。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bCs/>
                <w:color w:val="auto"/>
                <w:spacing w:val="-8"/>
                <w:kern w:val="0"/>
                <w:sz w:val="24"/>
                <w:szCs w:val="24"/>
                <w:highlight w:val="yellow"/>
                <w:lang w:val="en-US" w:eastAsia="zh-CN"/>
              </w:rPr>
            </w:pPr>
            <w:r>
              <w:rPr>
                <w:rFonts w:hint="eastAsia" w:ascii="宋体" w:hAnsi="宋体" w:eastAsia="宋体" w:cs="宋体"/>
                <w:b/>
                <w:bCs/>
                <w:color w:val="auto"/>
                <w:spacing w:val="-8"/>
                <w:kern w:val="0"/>
                <w:sz w:val="24"/>
                <w:szCs w:val="24"/>
                <w:highlight w:val="yellow"/>
                <w:lang w:val="en-US" w:eastAsia="zh-CN"/>
              </w:rPr>
              <w:t>4</w:t>
            </w:r>
          </w:p>
        </w:tc>
        <w:tc>
          <w:tcPr>
            <w:tcW w:w="8466" w:type="dxa"/>
            <w:noWrap w:val="0"/>
            <w:vAlign w:val="center"/>
          </w:tcPr>
          <w:p>
            <w:pPr>
              <w:rPr>
                <w:rFonts w:hint="eastAsia" w:ascii="宋体" w:hAnsi="宋体" w:eastAsia="宋体" w:cs="宋体"/>
                <w:bCs/>
                <w:color w:val="auto"/>
                <w:spacing w:val="-8"/>
                <w:kern w:val="0"/>
                <w:sz w:val="24"/>
                <w:szCs w:val="24"/>
                <w:highlight w:val="yellow"/>
                <w:lang w:eastAsia="zh-CN"/>
              </w:rPr>
            </w:pPr>
            <w:r>
              <w:rPr>
                <w:rFonts w:hint="eastAsia" w:ascii="宋体" w:hAnsi="宋体" w:eastAsia="宋体" w:cs="宋体"/>
                <w:bCs/>
                <w:color w:val="auto"/>
                <w:spacing w:val="-8"/>
                <w:kern w:val="0"/>
                <w:sz w:val="24"/>
                <w:szCs w:val="24"/>
                <w:highlight w:val="yellow"/>
                <w:lang w:eastAsia="zh-CN"/>
              </w:rPr>
              <w:t>质量管理系统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val="0"/>
                <w:bCs w:val="0"/>
                <w:color w:val="auto"/>
                <w:spacing w:val="-8"/>
                <w:kern w:val="0"/>
                <w:sz w:val="24"/>
                <w:szCs w:val="24"/>
                <w:highlight w:val="yellow"/>
                <w:lang w:val="en-US" w:eastAsia="zh-CN"/>
              </w:rPr>
            </w:pPr>
            <w:r>
              <w:rPr>
                <w:rFonts w:hint="eastAsia" w:ascii="宋体" w:hAnsi="宋体" w:eastAsia="宋体" w:cs="宋体"/>
                <w:b w:val="0"/>
                <w:bCs w:val="0"/>
                <w:color w:val="auto"/>
                <w:spacing w:val="-8"/>
                <w:kern w:val="0"/>
                <w:sz w:val="24"/>
                <w:szCs w:val="24"/>
                <w:highlight w:val="yellow"/>
                <w:lang w:val="en-US" w:eastAsia="zh-CN"/>
              </w:rPr>
              <w:t>4.1</w:t>
            </w:r>
          </w:p>
        </w:tc>
        <w:tc>
          <w:tcPr>
            <w:tcW w:w="8466" w:type="dxa"/>
            <w:noWrap w:val="0"/>
            <w:vAlign w:val="top"/>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noWrap w:val="0"/>
            <w:vAlign w:val="center"/>
          </w:tcPr>
          <w:p>
            <w:pPr>
              <w:ind w:right="200"/>
              <w:jc w:val="center"/>
              <w:rPr>
                <w:rFonts w:hint="eastAsia" w:ascii="宋体" w:hAnsi="宋体" w:eastAsia="宋体" w:cs="宋体"/>
                <w:b w:val="0"/>
                <w:bCs w:val="0"/>
                <w:color w:val="auto"/>
                <w:spacing w:val="-8"/>
                <w:kern w:val="0"/>
                <w:sz w:val="24"/>
                <w:szCs w:val="24"/>
                <w:highlight w:val="yellow"/>
                <w:lang w:val="en-US" w:eastAsia="zh-CN"/>
              </w:rPr>
            </w:pPr>
            <w:r>
              <w:rPr>
                <w:rFonts w:hint="eastAsia" w:ascii="宋体" w:hAnsi="宋体" w:eastAsia="宋体" w:cs="宋体"/>
                <w:b w:val="0"/>
                <w:bCs w:val="0"/>
                <w:color w:val="auto"/>
                <w:spacing w:val="-8"/>
                <w:kern w:val="0"/>
                <w:sz w:val="24"/>
                <w:szCs w:val="24"/>
                <w:highlight w:val="yellow"/>
                <w:lang w:val="en-US" w:eastAsia="zh-CN"/>
              </w:rPr>
              <w:t>4.1.1</w:t>
            </w:r>
          </w:p>
        </w:tc>
        <w:tc>
          <w:tcPr>
            <w:tcW w:w="8466" w:type="dxa"/>
            <w:noWrap w:val="0"/>
            <w:vAlign w:val="top"/>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可以维护人员基本信息，可以批量导入人员的信息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val="0"/>
                <w:bCs w:val="0"/>
                <w:color w:val="auto"/>
                <w:spacing w:val="-8"/>
                <w:kern w:val="0"/>
                <w:sz w:val="24"/>
                <w:szCs w:val="24"/>
                <w:highlight w:val="yellow"/>
                <w:lang w:val="en-US" w:eastAsia="zh-CN"/>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b w:val="0"/>
                <w:bCs w:val="0"/>
                <w:color w:val="auto"/>
                <w:spacing w:val="-8"/>
                <w:kern w:val="0"/>
                <w:sz w:val="24"/>
                <w:szCs w:val="24"/>
                <w:highlight w:val="yellow"/>
                <w:lang w:val="en-US" w:eastAsia="zh-CN"/>
              </w:rPr>
              <w:t>4.1.2</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可以维护履历信息，履历信息包括合同履历，工作经历，执业资格，奖罚信息、科研课题、继续教育、教学情况、论文发表、健康状况、培训证书、学术会议。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1.3</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可以根据不同岗位的人员进行精准授权。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1.4</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可以发布线上的培训、考核信息并实时生成记录。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1.5</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多类型的考试试题包括试题的难易程度，试题的分类，试题的题型，添加图片题、带视频题等。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1.6</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可以多种方式生成试卷：直接选择试题方式、随机抽取试题方式。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1.7</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可以自定义制定培训考核计划。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1.8</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培训和表单关联，可以单独填写、共同填写。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ind w:right="200"/>
              <w:jc w:val="center"/>
              <w:rPr>
                <w:rFonts w:hint="eastAsia" w:ascii="宋体" w:hAnsi="宋体" w:eastAsia="宋体" w:cs="宋体"/>
                <w:b/>
                <w:bCs/>
                <w:color w:val="auto"/>
                <w:spacing w:val="-8"/>
                <w:kern w:val="0"/>
                <w:sz w:val="24"/>
                <w:szCs w:val="24"/>
                <w:highlight w:val="yellow"/>
                <w:lang w:val="en-US" w:eastAsia="zh-CN"/>
              </w:rPr>
            </w:pPr>
            <w:r>
              <w:rPr>
                <w:rFonts w:hint="eastAsia" w:ascii="宋体" w:hAnsi="宋体" w:eastAsia="宋体" w:cs="宋体"/>
                <w:b/>
                <w:bCs/>
                <w:color w:val="auto"/>
                <w:spacing w:val="-8"/>
                <w:kern w:val="0"/>
                <w:sz w:val="24"/>
                <w:szCs w:val="24"/>
                <w:highlight w:val="yellow"/>
                <w:lang w:val="en-US" w:eastAsia="zh-CN"/>
              </w:rPr>
              <w:t>4.2</w:t>
            </w:r>
          </w:p>
        </w:tc>
        <w:tc>
          <w:tcPr>
            <w:tcW w:w="8466" w:type="dxa"/>
            <w:noWrap w:val="0"/>
            <w:vAlign w:val="top"/>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2.1</w:t>
            </w:r>
          </w:p>
        </w:tc>
        <w:tc>
          <w:tcPr>
            <w:tcW w:w="8466" w:type="dxa"/>
            <w:noWrap w:val="0"/>
            <w:vAlign w:val="top"/>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文档的录入结构可以根据各科室要求自定义配置流程节点。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2.2</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可以批量导入文档并自定义文档名称的导入格式。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2.3</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文档的目录可以根据科室需求定制化。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2.4</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科室可以根据需要对文档进行添加、修改、废除、评审的操作并实时产生记录，记录可以实时进行导出汇总。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2.5</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文档可以传阅科室内人员并实时产生记录，分享给院内人员。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2.6</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文档可以根据权限分配只可以预览，维护，下载等。可以对文档的打印、下载、维护等功能进行权限的控制。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2.7</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流程中的文档可以退回、转发、传阅。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2.8</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可以对文件进行设置周期提醒，批量评审文件。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b/>
                <w:bCs/>
                <w:color w:val="auto"/>
                <w:spacing w:val="-8"/>
                <w:kern w:val="0"/>
                <w:sz w:val="24"/>
                <w:szCs w:val="24"/>
                <w:highlight w:val="yellow"/>
              </w:rPr>
              <w:t>▲</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2.9</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可以自定义制作表单格式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2.10</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可以按照岗位填写表单，修改表单。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2.11</w:t>
            </w:r>
          </w:p>
        </w:tc>
        <w:tc>
          <w:tcPr>
            <w:tcW w:w="8466" w:type="dxa"/>
            <w:noWrap w:val="0"/>
            <w:vAlign w:val="top"/>
          </w:tcPr>
          <w:p>
            <w:pPr>
              <w:pStyle w:val="40"/>
              <w:ind w:firstLine="0" w:firstLineChars="0"/>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可以对表单进行收藏、标签定义、打印。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1" w:type="dxa"/>
            <w:gridSpan w:val="2"/>
            <w:noWrap w:val="0"/>
            <w:vAlign w:val="center"/>
          </w:tcPr>
          <w:p>
            <w:pPr>
              <w:pStyle w:val="7"/>
              <w:rPr>
                <w:rFonts w:hint="eastAsia" w:ascii="宋体" w:hAnsi="宋体" w:eastAsia="宋体" w:cs="宋体"/>
                <w:bCs/>
                <w:color w:val="auto"/>
                <w:spacing w:val="-8"/>
                <w:kern w:val="0"/>
                <w:sz w:val="24"/>
                <w:szCs w:val="24"/>
                <w:highlight w:val="yellow"/>
              </w:rPr>
            </w:pPr>
            <w:r>
              <w:rPr>
                <w:rFonts w:hint="eastAsia" w:ascii="宋体" w:hAnsi="宋体" w:eastAsia="宋体" w:cs="宋体"/>
                <w:b/>
                <w:bCs/>
                <w:highlight w:val="yellow"/>
              </w:rPr>
              <w:t>分拣系统</w:t>
            </w:r>
            <w:r>
              <w:rPr>
                <w:rFonts w:hint="eastAsia" w:ascii="宋体" w:hAnsi="宋体" w:eastAsia="宋体" w:cs="宋体"/>
                <w:b/>
                <w:bCs/>
                <w:highlight w:val="yellow"/>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w:t>
            </w:r>
          </w:p>
        </w:tc>
        <w:tc>
          <w:tcPr>
            <w:tcW w:w="8466" w:type="dxa"/>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根据预设的标本分拣规则，精确识别采血管条形码，同时复核采血管颜色，实现全自动分拣；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2</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分拣样本清单统计：分拣完成后，系统可自动生成分拣数据统计图表；可提供分拣处的样本清单，包含患者姓名、年龄、性别、条形码号、患者类别、检验项目等信息。（提供分拣数据分析图表）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3</w:t>
            </w:r>
          </w:p>
        </w:tc>
        <w:tc>
          <w:tcPr>
            <w:tcW w:w="0" w:type="auto"/>
            <w:noWrap w:val="0"/>
            <w:vAlign w:val="center"/>
          </w:tcPr>
          <w:p>
            <w:pPr>
              <w:rPr>
                <w:rFonts w:hint="eastAsia" w:ascii="宋体" w:hAnsi="宋体" w:eastAsia="宋体" w:cs="宋体"/>
                <w:sz w:val="24"/>
                <w:szCs w:val="24"/>
                <w:highlight w:val="yellow"/>
              </w:rPr>
            </w:pPr>
            <w:r>
              <w:rPr>
                <w:rFonts w:hint="eastAsia" w:ascii="宋体" w:hAnsi="宋体" w:eastAsia="宋体" w:cs="宋体"/>
                <w:sz w:val="24"/>
                <w:szCs w:val="24"/>
                <w:highlight w:val="yellow"/>
              </w:rPr>
              <w:t>进管方式：（1）集中倒入试管输入区，载入方便</w:t>
            </w:r>
          </w:p>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（2）可以和贴标系统无缝对接，标本采集后通过传输轨道直接进入分拣机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4</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出管方式：自动分拣，根据分拣规则，自动导入至相对应的提篮仓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5</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样品试管核收：标本接收确认，接收时间，标本统计分析；可以连接LIS、HIS系统，双向交互，实现标本核收环节实时跟踪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6</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处理能力：采血管处理速度≥2400支/小时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7</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主机分拣输出通道：≥8个+1个特殊仓，提篮仓可装载量≥300支采血管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8</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提篮仓：采用人体工学设计，同一面分两排提篮仓，拿取把手与提篮一体化设计；所有提篮把手位置距地面高度≥0.5米（提供实际测量照片）。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000000"/>
                <w:sz w:val="24"/>
                <w:szCs w:val="24"/>
                <w:highlight w:val="yellow"/>
              </w:rPr>
              <w:t>▲</w:t>
            </w:r>
            <w:r>
              <w:rPr>
                <w:rFonts w:hint="eastAsia" w:ascii="宋体" w:hAnsi="宋体" w:eastAsia="宋体" w:cs="宋体"/>
                <w:sz w:val="24"/>
                <w:szCs w:val="24"/>
                <w:highlight w:val="yellow"/>
              </w:rPr>
              <w:t>9</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分拣机内传输带单向传输，完成分拣，降低传输故障。（提供仪器传输带的整机实物内部结构实物图）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000000"/>
                <w:sz w:val="24"/>
                <w:szCs w:val="24"/>
                <w:highlight w:val="yellow"/>
              </w:rPr>
              <w:t>▲</w:t>
            </w:r>
            <w:r>
              <w:rPr>
                <w:rFonts w:hint="eastAsia" w:ascii="宋体" w:hAnsi="宋体" w:eastAsia="宋体" w:cs="宋体"/>
                <w:sz w:val="24"/>
                <w:szCs w:val="24"/>
                <w:highlight w:val="yellow"/>
              </w:rPr>
              <w:t>10</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采血管扫描方式：上升推板过程中滚动扫描，扫描器在推送板上方，垂直扫描，杜绝卡管问题，提高效率。(提供料仓结构实物图并标注正上方扫描器所在位置)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000000"/>
                <w:sz w:val="24"/>
                <w:szCs w:val="24"/>
                <w:highlight w:val="yellow"/>
              </w:rPr>
              <w:t>▲</w:t>
            </w:r>
            <w:r>
              <w:rPr>
                <w:rFonts w:hint="eastAsia" w:ascii="宋体" w:hAnsi="宋体" w:eastAsia="宋体" w:cs="宋体"/>
                <w:sz w:val="24"/>
                <w:szCs w:val="24"/>
                <w:highlight w:val="yellow"/>
              </w:rPr>
              <w:t>11</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摄像头拍照记录复核管帽颜色：扫描条形码分类的同时拍照记录，同时复核采血管管帽颜色；杜绝标本分错问题，同时记录照片。（提供摄像头实物图及拍照照片）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12</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控制模块参数：内置15寸全彩触摸显示屏；使用时可上下调整观察角度，待机时可隐藏与分拣系统一体化；分辨率1024X768DPI，Windows操作系统，支持软件升级，内置数据库，无需外接主机。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13</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特殊仓：自动输入无法识别标本及未指定仓位标本；特殊仓外挂，可拆卸。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14</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应急接收功能：分拣仪器故障时，可通过控制电脑的扫描设备进行人工扫描核收。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15</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超时送检样本拒收功能：若样本采集时间与接收时间差超出指标允许范围，系统可自动拒收样本，将样本单独分拣并提示。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16</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支持条码类型：code128、code39、JAN、2of5、NW-7；支持文字类型：中文、英文、数字、标点符号等。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17</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支持采血管规格：直径：13mm，长度：75～100mm。各品牌真空采血管均可兼容。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000000"/>
                <w:sz w:val="24"/>
                <w:szCs w:val="24"/>
                <w:highlight w:val="yellow"/>
              </w:rPr>
              <w:t>▲</w:t>
            </w:r>
            <w:r>
              <w:rPr>
                <w:rFonts w:hint="eastAsia" w:ascii="宋体" w:hAnsi="宋体" w:eastAsia="宋体" w:cs="宋体"/>
                <w:sz w:val="24"/>
                <w:szCs w:val="24"/>
                <w:highlight w:val="yellow"/>
              </w:rPr>
              <w:t>18</w:t>
            </w:r>
          </w:p>
        </w:tc>
        <w:tc>
          <w:tcPr>
            <w:tcW w:w="0" w:type="auto"/>
            <w:noWrap w:val="0"/>
            <w:vAlign w:val="center"/>
          </w:tcPr>
          <w:p>
            <w:pP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yellow"/>
              </w:rPr>
              <w:t>实验室场地空间有限，占地要求：分拣机仪器长度≤1980mm；宽度≤600mm 高度≤1150mm并提供计量设备检测公司检测报告。</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kern w:val="0"/>
          <w:sz w:val="24"/>
          <w:szCs w:val="24"/>
          <w:highlight w:val="yellow"/>
          <w:u w:val="none"/>
          <w:lang w:val="en-US" w:eastAsia="zh-CN" w:bidi="ar"/>
        </w:rPr>
      </w:pPr>
      <w:r>
        <w:rPr>
          <w:rFonts w:hint="eastAsia" w:ascii="宋体" w:hAnsi="宋体" w:eastAsia="宋体" w:cs="宋体"/>
          <w:b/>
          <w:bCs/>
          <w:i w:val="0"/>
          <w:iCs w:val="0"/>
          <w:color w:val="000000"/>
          <w:kern w:val="0"/>
          <w:sz w:val="24"/>
          <w:szCs w:val="24"/>
          <w:highlight w:val="yellow"/>
          <w:u w:val="none"/>
          <w:lang w:val="en-US" w:eastAsia="zh-CN" w:bidi="ar"/>
        </w:rPr>
        <w:t>试剂耗材清单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000000"/>
          <w:kern w:val="0"/>
          <w:sz w:val="24"/>
          <w:szCs w:val="24"/>
          <w:highlight w:val="yellow"/>
          <w:u w:val="none"/>
          <w:lang w:val="en-US" w:eastAsia="zh-CN" w:bidi="ar"/>
        </w:rPr>
      </w:pPr>
      <w:r>
        <w:rPr>
          <w:rFonts w:hint="eastAsia" w:ascii="宋体" w:hAnsi="宋体" w:eastAsia="宋体" w:cs="宋体"/>
          <w:b/>
          <w:bCs/>
          <w:i w:val="0"/>
          <w:iCs w:val="0"/>
          <w:color w:val="000000"/>
          <w:kern w:val="0"/>
          <w:sz w:val="24"/>
          <w:szCs w:val="24"/>
          <w:highlight w:val="yellow"/>
          <w:u w:val="none"/>
          <w:lang w:val="en-US" w:eastAsia="zh-CN" w:bidi="ar"/>
        </w:rPr>
        <w:t>1、质谱试剂清单</w:t>
      </w:r>
    </w:p>
    <w:tbl>
      <w:tblPr>
        <w:tblStyle w:val="20"/>
        <w:tblW w:w="48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2598"/>
        <w:gridCol w:w="4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i w:val="0"/>
                <w:iCs w:val="0"/>
                <w:color w:val="000000"/>
                <w:kern w:val="0"/>
                <w:sz w:val="24"/>
                <w:szCs w:val="24"/>
                <w:highlight w:val="yellow"/>
                <w:u w:val="none"/>
                <w:lang w:val="en-US" w:eastAsia="zh-CN" w:bidi="ar"/>
              </w:rPr>
              <w:t>序号</w:t>
            </w:r>
          </w:p>
        </w:tc>
        <w:tc>
          <w:tcPr>
            <w:tcW w:w="1587"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i w:val="0"/>
                <w:iCs w:val="0"/>
                <w:color w:val="000000"/>
                <w:kern w:val="0"/>
                <w:sz w:val="24"/>
                <w:szCs w:val="24"/>
                <w:highlight w:val="yellow"/>
                <w:u w:val="none"/>
                <w:lang w:val="en-US" w:eastAsia="zh-CN" w:bidi="ar"/>
              </w:rPr>
              <w:t>项目</w:t>
            </w:r>
          </w:p>
        </w:tc>
        <w:tc>
          <w:tcPr>
            <w:tcW w:w="3011"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i w:val="0"/>
                <w:iCs w:val="0"/>
                <w:color w:val="000000"/>
                <w:kern w:val="0"/>
                <w:sz w:val="24"/>
                <w:szCs w:val="24"/>
                <w:highlight w:val="yellow"/>
                <w:u w:val="none"/>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01</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脂溶性维生素3项测定</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维生素D、D2、D3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02</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脂溶性维生素6项测定</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维生素D、D2、D3、A、E、K1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03</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水溶性维生素检测（8项）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维生素B1、维生素B2、维生素B3 （烟酸）、维生素B3（烟酰胺）、维生素B5、维生素B6、维生素B7、维生素B9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04</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维生素谱9项测定</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维生素D、D2、D3、A、E、K1、B1、B2、B5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05</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全谱维生素检测（14 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维生素A、D、D2、D3、E、K1、B1、B2、B3、B5、B6、B9、B12、5-甲基四氢叶酸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06</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血清全谱15项维生素检测</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维生素A、D、D2、D3、E、K1、K2、B1、B2、B3、B5、B6、B9、B12、5-甲基四氢叶酸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07</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胆汁酸谱20项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鹅脱氧胆酸、甘氨鹅脱氧胆酸、牛磺鹅脱氧胆酸、胆酸、甘氨胆酸、牛磺胆酸、石胆酸、甘氨石胆酸、牛磺石胆酸、脱氧胆酸、牛磺脱氧胆酸、甘氨脱氧胆酸、熊脱氧胆酸、甘氨熊脱氧胆酸、牛磺熊脱氧胆酸、总胆汁酸、总甘氨结合型胆汁酸、总牛磺结合型胆汁酸、胆酸/鹅脱氧胆酸、总熊脱氧胆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08</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激素检测（17项）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醛固酮、雄烯二酮、雄酮、皮质酮、皮质醇、可的松、11-脱氧皮质酮、11-脱氧皮质醇、脱氢表雄酮、硫酸脱氢表雄酮、二氢睾酮、雌二醇、雌酮、表雄酮、17-α-羟孕酮、孕酮、睾酮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09</w:t>
            </w:r>
          </w:p>
        </w:tc>
        <w:tc>
          <w:tcPr>
            <w:tcW w:w="15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血药浓度测定</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i w:val="0"/>
                <w:iCs w:val="0"/>
                <w:color w:val="000000"/>
                <w:kern w:val="0"/>
                <w:sz w:val="24"/>
                <w:szCs w:val="24"/>
                <w:highlight w:val="yellow"/>
                <w:u w:val="none"/>
                <w:lang w:val="en-US" w:eastAsia="zh-CN" w:bidi="ar"/>
              </w:rPr>
              <w:t>免疫抑制剂：</w:t>
            </w:r>
            <w:r>
              <w:rPr>
                <w:rFonts w:hint="eastAsia" w:ascii="宋体" w:hAnsi="宋体" w:eastAsia="宋体" w:cs="宋体"/>
                <w:i w:val="0"/>
                <w:iCs w:val="0"/>
                <w:color w:val="000000"/>
                <w:kern w:val="0"/>
                <w:sz w:val="24"/>
                <w:szCs w:val="24"/>
                <w:highlight w:val="yellow"/>
                <w:u w:val="none"/>
                <w:lang w:val="en-US" w:eastAsia="zh-CN" w:bidi="ar"/>
              </w:rPr>
              <w:t>环孢霉素A、他克莫司、西罗莫司、霉酚酸、依维莫司、咪唑立宾等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yellow"/>
                <w:u w:val="none"/>
              </w:rPr>
            </w:pPr>
          </w:p>
        </w:tc>
        <w:tc>
          <w:tcPr>
            <w:tcW w:w="15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highlight w:val="yellow"/>
                <w:u w:val="none"/>
              </w:rPr>
            </w:pP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精神类药物、抗肿瘤药物、强心苷类等200多种药物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10</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儿茶酚胺检测 （3项）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肾上腺素、去甲肾上腺素、多巴胺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000000"/>
                <w:kern w:val="0"/>
                <w:sz w:val="24"/>
                <w:szCs w:val="24"/>
                <w:highlight w:val="yellow"/>
                <w:u w:val="none"/>
                <w:lang w:val="en-US" w:eastAsia="zh-CN" w:bidi="ar"/>
              </w:rPr>
              <w:t>11</w:t>
            </w:r>
          </w:p>
        </w:tc>
        <w:tc>
          <w:tcPr>
            <w:tcW w:w="1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氨基酸谱检测 （26 项）</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苯丙氨酸、酪氨酸、亮氨酸、織氨酸、异亮氨酸、甘氨酸、肌氨酸、丙氨酸、γ-氨基丁酸、丝氨酸、组氨酸、脯氨酸、苏氨酸、胱氨酸、天冬氨酸、谷氨酰胺、蛋氨酸、组胺、精氨酸、瓜氨酸、色氨酸、鸟氨酸、赖氨酸、牛磺酸、犬尿氨酸、谷氨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kern w:val="0"/>
          <w:sz w:val="21"/>
          <w:szCs w:val="21"/>
          <w:highlight w:val="yellow"/>
          <w:u w:val="none"/>
          <w:lang w:val="en-US" w:eastAsia="zh-CN" w:bidi="ar"/>
        </w:rPr>
      </w:pPr>
    </w:p>
    <w:p>
      <w:pPr>
        <w:pStyle w:val="39"/>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b/>
          <w:sz w:val="24"/>
          <w:highlight w:val="yellow"/>
        </w:rPr>
      </w:pPr>
    </w:p>
    <w:p>
      <w:pPr>
        <w:pStyle w:val="39"/>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sz w:val="24"/>
          <w:highlight w:val="yellow"/>
          <w:lang w:val="zh-CN"/>
        </w:rPr>
      </w:pPr>
      <w:r>
        <w:rPr>
          <w:rFonts w:hint="eastAsia" w:ascii="宋体" w:hAnsi="宋体" w:eastAsia="宋体" w:cs="宋体"/>
          <w:b/>
          <w:sz w:val="24"/>
          <w:highlight w:val="yellow"/>
        </w:rPr>
        <w:t>四、商务要求</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yellow"/>
        </w:rPr>
        <w:t>1、工期：按采购人要求完成并验收合格。</w:t>
      </w:r>
    </w:p>
    <w:p>
      <w:pPr>
        <w:keepNext w:val="0"/>
        <w:keepLines w:val="0"/>
        <w:pageBreakBefore w:val="0"/>
        <w:widowControl w:val="0"/>
        <w:kinsoku/>
        <w:wordWrap/>
        <w:overflowPunct/>
        <w:topLinePunct w:val="0"/>
        <w:autoSpaceDE/>
        <w:autoSpaceDN/>
        <w:bidi w:val="0"/>
        <w:snapToGrid/>
        <w:spacing w:line="360" w:lineRule="auto"/>
        <w:ind w:firstLine="482" w:firstLineChars="200"/>
        <w:outlineLvl w:val="2"/>
        <w:rPr>
          <w:rFonts w:hint="eastAsia" w:ascii="宋体" w:hAnsi="宋体" w:eastAsia="宋体" w:cs="宋体"/>
          <w:b/>
          <w:bCs/>
          <w:sz w:val="24"/>
          <w:highlight w:val="yellow"/>
        </w:rPr>
      </w:pPr>
      <w:r>
        <w:rPr>
          <w:rFonts w:hint="eastAsia" w:ascii="宋体" w:hAnsi="宋体" w:eastAsia="宋体" w:cs="宋体"/>
          <w:b/>
          <w:bCs/>
          <w:sz w:val="24"/>
          <w:highlight w:val="yellow"/>
        </w:rPr>
        <w:t>2、质保期</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yellow"/>
        </w:rPr>
        <w:t>设备验收合格后免费保修≥</w:t>
      </w:r>
      <w:r>
        <w:rPr>
          <w:rFonts w:hint="eastAsia" w:ascii="宋体" w:hAnsi="宋体" w:eastAsia="宋体" w:cs="宋体"/>
          <w:sz w:val="24"/>
          <w:highlight w:val="yellow"/>
          <w:lang w:val="en-US" w:eastAsia="zh-CN"/>
        </w:rPr>
        <w:t>1</w:t>
      </w:r>
      <w:r>
        <w:rPr>
          <w:rFonts w:hint="eastAsia" w:ascii="宋体" w:hAnsi="宋体" w:eastAsia="宋体" w:cs="宋体"/>
          <w:sz w:val="24"/>
          <w:highlight w:val="yellow"/>
        </w:rPr>
        <w:t>年（生产厂家对设备另有超过相应年限保修规定的，按原规定执行），保证开机率大于95%（365天计）。维修响应时间＜4小时，工程师24-48小时内到位并排除故障。保修后免费维修，只收零配件成本费，保证零配件供应8年。质保期外的服务，不得收取任何上门费。</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outlineLvl w:val="2"/>
        <w:rPr>
          <w:rFonts w:hint="eastAsia" w:ascii="宋体" w:hAnsi="宋体" w:eastAsia="宋体" w:cs="宋体"/>
          <w:sz w:val="24"/>
          <w:highlight w:val="yellow"/>
        </w:rPr>
      </w:pPr>
      <w:r>
        <w:rPr>
          <w:rFonts w:hint="eastAsia" w:ascii="宋体" w:hAnsi="宋体" w:eastAsia="宋体" w:cs="宋体"/>
          <w:sz w:val="24"/>
          <w:highlight w:val="yellow"/>
        </w:rPr>
        <w:t>3、设备培训</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yellow"/>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yellow"/>
        </w:rPr>
        <w:t>在设备使用后，供方根据用户的要求，派专家对用户的使用人员进行应用水平的培训。</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yellow"/>
        </w:rPr>
        <w:t>4、提供操作手册、维修手册（包括详细的维修技术资料、维修线路图、软件等）中、英文说明书。</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outlineLvl w:val="2"/>
        <w:rPr>
          <w:rFonts w:hint="eastAsia" w:ascii="宋体" w:hAnsi="宋体" w:eastAsia="宋体" w:cs="宋体"/>
          <w:sz w:val="24"/>
          <w:szCs w:val="24"/>
          <w:highlight w:val="yellow"/>
        </w:rPr>
      </w:pPr>
      <w:r>
        <w:rPr>
          <w:rFonts w:hint="eastAsia" w:ascii="宋体" w:hAnsi="宋体" w:eastAsia="宋体" w:cs="宋体"/>
          <w:sz w:val="24"/>
          <w:szCs w:val="24"/>
          <w:highlight w:val="yellow"/>
        </w:rPr>
        <w:t>5、验收标准</w:t>
      </w:r>
    </w:p>
    <w:p>
      <w:pPr>
        <w:pStyle w:val="9"/>
        <w:keepNext w:val="0"/>
        <w:keepLines w:val="0"/>
        <w:pageBreakBefore w:val="0"/>
        <w:widowControl w:val="0"/>
        <w:kinsoku/>
        <w:wordWrap/>
        <w:overflowPunct/>
        <w:topLinePunct w:val="0"/>
        <w:autoSpaceDE/>
        <w:autoSpaceDN/>
        <w:bidi w:val="0"/>
        <w:snapToGrid/>
        <w:spacing w:line="360" w:lineRule="auto"/>
        <w:ind w:firstLine="484" w:firstLineChars="201"/>
        <w:rPr>
          <w:rFonts w:hint="eastAsia" w:ascii="宋体" w:hAnsi="宋体" w:eastAsia="宋体" w:cs="宋体"/>
          <w:b/>
          <w:sz w:val="24"/>
          <w:highlight w:val="yellow"/>
        </w:rPr>
      </w:pPr>
      <w:r>
        <w:rPr>
          <w:rFonts w:hint="eastAsia" w:ascii="宋体" w:hAnsi="宋体" w:eastAsia="宋体" w:cs="宋体"/>
          <w:b/>
          <w:sz w:val="24"/>
          <w:highlight w:val="yellow"/>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rPr>
        <w:t>★投标人须承诺中标后签订合同前提供验收负责人的法定代表人授权书。</w:t>
      </w:r>
    </w:p>
    <w:p>
      <w:pPr>
        <w:pStyle w:val="7"/>
        <w:keepNext w:val="0"/>
        <w:keepLines w:val="0"/>
        <w:pageBreakBefore w:val="0"/>
        <w:widowControl w:val="0"/>
        <w:kinsoku/>
        <w:wordWrap/>
        <w:overflowPunct/>
        <w:topLinePunct w:val="0"/>
        <w:autoSpaceDE/>
        <w:autoSpaceDN/>
        <w:bidi w:val="0"/>
        <w:snapToGrid/>
        <w:spacing w:line="360" w:lineRule="auto"/>
        <w:ind w:firstLine="422" w:firstLineChars="200"/>
        <w:outlineLvl w:val="2"/>
        <w:rPr>
          <w:rFonts w:hint="eastAsia" w:ascii="宋体" w:hAnsi="宋体" w:eastAsia="宋体" w:cs="宋体"/>
          <w:b/>
          <w:highlight w:val="yellow"/>
        </w:rPr>
      </w:pPr>
      <w:r>
        <w:rPr>
          <w:rFonts w:hint="eastAsia" w:ascii="宋体" w:hAnsi="宋体" w:eastAsia="宋体" w:cs="宋体"/>
          <w:b/>
          <w:highlight w:val="yellow"/>
          <w:lang w:val="en-US" w:eastAsia="zh-CN"/>
        </w:rPr>
        <w:t>6</w:t>
      </w:r>
      <w:r>
        <w:rPr>
          <w:rFonts w:hint="eastAsia" w:ascii="宋体" w:hAnsi="宋体" w:eastAsia="宋体" w:cs="宋体"/>
          <w:b/>
          <w:highlight w:val="yellow"/>
        </w:rPr>
        <w:t>、付款方法：</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在合同生效以及具备实施条件后7个工作日内，采购人向中标人支付合同总价的40%作为预付款，项目整体验收合格并收到</w:t>
      </w:r>
      <w:r>
        <w:rPr>
          <w:rFonts w:hint="eastAsia" w:ascii="宋体" w:hAnsi="宋体" w:eastAsia="宋体" w:cs="宋体"/>
          <w:sz w:val="24"/>
          <w:szCs w:val="24"/>
          <w:highlight w:val="yellow"/>
          <w:lang w:eastAsia="zh-CN"/>
        </w:rPr>
        <w:t>中标人</w:t>
      </w:r>
      <w:r>
        <w:rPr>
          <w:rFonts w:hint="eastAsia" w:ascii="宋体" w:hAnsi="宋体" w:eastAsia="宋体" w:cs="宋体"/>
          <w:sz w:val="24"/>
          <w:szCs w:val="24"/>
          <w:highlight w:val="yellow"/>
        </w:rPr>
        <w:t>正规发票后7个工作日内付至总价的90%，余款在整体验收合格并正常运行满一年无质量问题并收到</w:t>
      </w:r>
      <w:r>
        <w:rPr>
          <w:rFonts w:hint="eastAsia" w:ascii="宋体" w:hAnsi="宋体" w:eastAsia="宋体" w:cs="宋体"/>
          <w:sz w:val="24"/>
          <w:szCs w:val="24"/>
          <w:highlight w:val="yellow"/>
          <w:lang w:eastAsia="zh-CN"/>
        </w:rPr>
        <w:t>中标人</w:t>
      </w:r>
      <w:r>
        <w:rPr>
          <w:rFonts w:hint="eastAsia" w:ascii="宋体" w:hAnsi="宋体" w:eastAsia="宋体" w:cs="宋体"/>
          <w:sz w:val="24"/>
          <w:szCs w:val="24"/>
          <w:highlight w:val="yellow"/>
        </w:rPr>
        <w:t>正规发票后7个工作日内付清（如</w:t>
      </w:r>
      <w:r>
        <w:rPr>
          <w:rFonts w:hint="eastAsia" w:ascii="宋体" w:hAnsi="宋体" w:eastAsia="宋体" w:cs="宋体"/>
          <w:sz w:val="24"/>
          <w:szCs w:val="24"/>
          <w:highlight w:val="yellow"/>
          <w:lang w:eastAsia="zh-CN"/>
        </w:rPr>
        <w:t>中标人</w:t>
      </w:r>
      <w:r>
        <w:rPr>
          <w:rFonts w:hint="eastAsia" w:ascii="宋体" w:hAnsi="宋体" w:eastAsia="宋体" w:cs="宋体"/>
          <w:sz w:val="24"/>
          <w:szCs w:val="24"/>
          <w:highlight w:val="yellow"/>
        </w:rPr>
        <w:t>是中小微企业，尾款在验收合格后60日内支付），货款凭发票，合同、采购验收单由采购人支付。</w:t>
      </w:r>
    </w:p>
    <w:p>
      <w:pPr>
        <w:pStyle w:val="9"/>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在签订合同时，</w:t>
      </w:r>
      <w:r>
        <w:rPr>
          <w:rFonts w:hint="eastAsia" w:ascii="宋体" w:hAnsi="宋体" w:eastAsia="宋体" w:cs="宋体"/>
          <w:sz w:val="24"/>
          <w:szCs w:val="24"/>
          <w:highlight w:val="yellow"/>
          <w:lang w:eastAsia="zh-CN"/>
        </w:rPr>
        <w:t>中标人</w:t>
      </w:r>
      <w:r>
        <w:rPr>
          <w:rFonts w:hint="eastAsia" w:ascii="宋体" w:hAnsi="宋体" w:eastAsia="宋体" w:cs="宋体"/>
          <w:sz w:val="24"/>
          <w:szCs w:val="24"/>
          <w:highlight w:val="yellow"/>
        </w:rPr>
        <w:t>明确表示无需预付款或者主动要求降低预付款比例的，采购单位可不支付或减少预付款支付比例。</w:t>
      </w:r>
    </w:p>
    <w:p>
      <w:pPr>
        <w:pStyle w:val="7"/>
      </w:pPr>
    </w:p>
    <w:p/>
    <w:p/>
    <w:p>
      <w:pPr>
        <w:pStyle w:val="38"/>
        <w:spacing w:line="360" w:lineRule="auto"/>
        <w:ind w:firstLine="482" w:firstLineChars="200"/>
        <w:rPr>
          <w:rFonts w:ascii="Times New Roman" w:hAnsi="Times New Roman" w:eastAsia="宋体"/>
          <w:b/>
          <w:sz w:val="24"/>
        </w:rPr>
      </w:pPr>
    </w:p>
    <w:p>
      <w:pPr>
        <w:spacing w:line="560" w:lineRule="exact"/>
        <w:jc w:val="left"/>
        <w:rPr>
          <w:rFonts w:ascii="仿宋" w:hAnsi="仿宋" w:eastAsia="仿宋"/>
          <w:sz w:val="32"/>
          <w:szCs w:val="32"/>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B286AA-EF15-4CAD-A85E-B3DFEA9536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4613942-BCB5-4EB1-A66D-C5677FF7AD6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9054D3CC-44AB-47EE-941B-AD07786EA9DE}"/>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4" w:fontKey="{427F9B45-7A4F-477D-B750-EC7EB75B136C}"/>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5" w:fontKey="{85C9DDC4-4234-4D2D-8B04-53872BB01C96}"/>
  </w:font>
  <w:font w:name="楷体">
    <w:panose1 w:val="02010609060101010101"/>
    <w:charset w:val="86"/>
    <w:family w:val="modern"/>
    <w:pitch w:val="default"/>
    <w:sig w:usb0="800002BF" w:usb1="38CF7CFA" w:usb2="00000016" w:usb3="00000000" w:csb0="00040001" w:csb1="00000000"/>
    <w:embedRegular r:id="rId6" w:fontKey="{94FEB8F6-1FB1-4CB1-A2E1-432626123684}"/>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5</w:t>
    </w:r>
    <w:r>
      <w:rPr>
        <w:rStyle w:val="23"/>
        <w:rFonts w:ascii="宋体" w:hAnsi="宋体"/>
        <w:sz w:val="28"/>
        <w:szCs w:val="28"/>
      </w:rPr>
      <w:fldChar w:fldCharType="end"/>
    </w:r>
    <w:r>
      <w:rPr>
        <w:rStyle w:val="23"/>
        <w:rFonts w:hint="eastAsia" w:ascii="宋体" w:hAnsi="宋体"/>
        <w:sz w:val="28"/>
        <w:szCs w:val="28"/>
      </w:rPr>
      <w:t xml:space="preserve"> — </w:t>
    </w:r>
  </w:p>
  <w:p>
    <w:pPr>
      <w:pStyle w:val="12"/>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3ZGUwZmYzM2VkYjFmYzhlODU0YmM5MWNjMmNlMmUifQ=="/>
  </w:docVars>
  <w:rsids>
    <w:rsidRoot w:val="006F0877"/>
    <w:rsid w:val="00001381"/>
    <w:rsid w:val="00002F4D"/>
    <w:rsid w:val="00012087"/>
    <w:rsid w:val="0001423A"/>
    <w:rsid w:val="00014399"/>
    <w:rsid w:val="00021224"/>
    <w:rsid w:val="000269B8"/>
    <w:rsid w:val="000277A6"/>
    <w:rsid w:val="000311FD"/>
    <w:rsid w:val="00033E60"/>
    <w:rsid w:val="00040B97"/>
    <w:rsid w:val="00041CD7"/>
    <w:rsid w:val="00042D32"/>
    <w:rsid w:val="0004387E"/>
    <w:rsid w:val="00044F92"/>
    <w:rsid w:val="00047993"/>
    <w:rsid w:val="00060AAF"/>
    <w:rsid w:val="00066696"/>
    <w:rsid w:val="00067BF1"/>
    <w:rsid w:val="0008487E"/>
    <w:rsid w:val="00091063"/>
    <w:rsid w:val="00095E72"/>
    <w:rsid w:val="000B08C9"/>
    <w:rsid w:val="000C15F6"/>
    <w:rsid w:val="000D5BBF"/>
    <w:rsid w:val="000E196E"/>
    <w:rsid w:val="000E7B01"/>
    <w:rsid w:val="000F1820"/>
    <w:rsid w:val="00100E8E"/>
    <w:rsid w:val="00121F45"/>
    <w:rsid w:val="00132EB7"/>
    <w:rsid w:val="00135953"/>
    <w:rsid w:val="0015083D"/>
    <w:rsid w:val="00154DF5"/>
    <w:rsid w:val="00154E07"/>
    <w:rsid w:val="00164392"/>
    <w:rsid w:val="00167AAD"/>
    <w:rsid w:val="001740BE"/>
    <w:rsid w:val="00175816"/>
    <w:rsid w:val="00175BC4"/>
    <w:rsid w:val="0017709A"/>
    <w:rsid w:val="001831DC"/>
    <w:rsid w:val="001846E0"/>
    <w:rsid w:val="001919D4"/>
    <w:rsid w:val="0019508B"/>
    <w:rsid w:val="001A1ADB"/>
    <w:rsid w:val="001A6F93"/>
    <w:rsid w:val="001B55FD"/>
    <w:rsid w:val="001C1FBD"/>
    <w:rsid w:val="001C3C47"/>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14B3F"/>
    <w:rsid w:val="00321278"/>
    <w:rsid w:val="00321C26"/>
    <w:rsid w:val="003339D4"/>
    <w:rsid w:val="00336132"/>
    <w:rsid w:val="00347036"/>
    <w:rsid w:val="003529C9"/>
    <w:rsid w:val="003622D6"/>
    <w:rsid w:val="003753A3"/>
    <w:rsid w:val="00376145"/>
    <w:rsid w:val="0038534B"/>
    <w:rsid w:val="003971EA"/>
    <w:rsid w:val="003A0F38"/>
    <w:rsid w:val="003A51F1"/>
    <w:rsid w:val="003A703B"/>
    <w:rsid w:val="003B5FD3"/>
    <w:rsid w:val="003B78B8"/>
    <w:rsid w:val="003D0DE0"/>
    <w:rsid w:val="003D34D6"/>
    <w:rsid w:val="003E4B4B"/>
    <w:rsid w:val="003E7BCA"/>
    <w:rsid w:val="00404683"/>
    <w:rsid w:val="00405603"/>
    <w:rsid w:val="00406357"/>
    <w:rsid w:val="00427428"/>
    <w:rsid w:val="00431621"/>
    <w:rsid w:val="00442308"/>
    <w:rsid w:val="004426C2"/>
    <w:rsid w:val="00443A9A"/>
    <w:rsid w:val="00453E6E"/>
    <w:rsid w:val="00473A37"/>
    <w:rsid w:val="00476307"/>
    <w:rsid w:val="004778C8"/>
    <w:rsid w:val="00485C58"/>
    <w:rsid w:val="00487A0C"/>
    <w:rsid w:val="004978DB"/>
    <w:rsid w:val="004A0291"/>
    <w:rsid w:val="004A595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36E4C"/>
    <w:rsid w:val="005442B5"/>
    <w:rsid w:val="00547D4F"/>
    <w:rsid w:val="00550F15"/>
    <w:rsid w:val="00550FA3"/>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0C96"/>
    <w:rsid w:val="00672958"/>
    <w:rsid w:val="00675944"/>
    <w:rsid w:val="0067724A"/>
    <w:rsid w:val="00681887"/>
    <w:rsid w:val="00687353"/>
    <w:rsid w:val="00692442"/>
    <w:rsid w:val="006B718D"/>
    <w:rsid w:val="006D55D0"/>
    <w:rsid w:val="006E3FA1"/>
    <w:rsid w:val="006F0877"/>
    <w:rsid w:val="006F0B04"/>
    <w:rsid w:val="006F26DD"/>
    <w:rsid w:val="00714872"/>
    <w:rsid w:val="00721F76"/>
    <w:rsid w:val="0072749B"/>
    <w:rsid w:val="0073398A"/>
    <w:rsid w:val="00740CA9"/>
    <w:rsid w:val="0074488C"/>
    <w:rsid w:val="0075216A"/>
    <w:rsid w:val="00771E12"/>
    <w:rsid w:val="007728B5"/>
    <w:rsid w:val="00780658"/>
    <w:rsid w:val="00780E37"/>
    <w:rsid w:val="00795429"/>
    <w:rsid w:val="00795FC0"/>
    <w:rsid w:val="007D0364"/>
    <w:rsid w:val="007D278B"/>
    <w:rsid w:val="007D7B7C"/>
    <w:rsid w:val="007E3097"/>
    <w:rsid w:val="007E6DE0"/>
    <w:rsid w:val="0080466B"/>
    <w:rsid w:val="00814F5F"/>
    <w:rsid w:val="00823618"/>
    <w:rsid w:val="008264EC"/>
    <w:rsid w:val="00840D73"/>
    <w:rsid w:val="00841D74"/>
    <w:rsid w:val="00847C09"/>
    <w:rsid w:val="00850896"/>
    <w:rsid w:val="0086167D"/>
    <w:rsid w:val="0087065E"/>
    <w:rsid w:val="00873787"/>
    <w:rsid w:val="008741C7"/>
    <w:rsid w:val="008911E4"/>
    <w:rsid w:val="008942D7"/>
    <w:rsid w:val="0089598D"/>
    <w:rsid w:val="008A192D"/>
    <w:rsid w:val="008A4815"/>
    <w:rsid w:val="008A68AD"/>
    <w:rsid w:val="008B3D6F"/>
    <w:rsid w:val="008C063A"/>
    <w:rsid w:val="008C7E2E"/>
    <w:rsid w:val="008E3165"/>
    <w:rsid w:val="008E3D37"/>
    <w:rsid w:val="008E5CC1"/>
    <w:rsid w:val="00904F6E"/>
    <w:rsid w:val="00907483"/>
    <w:rsid w:val="00916B0B"/>
    <w:rsid w:val="00927C1E"/>
    <w:rsid w:val="00932FB6"/>
    <w:rsid w:val="009335B0"/>
    <w:rsid w:val="00942EEB"/>
    <w:rsid w:val="00943520"/>
    <w:rsid w:val="00944C91"/>
    <w:rsid w:val="00961128"/>
    <w:rsid w:val="00962B39"/>
    <w:rsid w:val="009645CB"/>
    <w:rsid w:val="00970B41"/>
    <w:rsid w:val="00980A9C"/>
    <w:rsid w:val="009814E0"/>
    <w:rsid w:val="00981D89"/>
    <w:rsid w:val="0098602C"/>
    <w:rsid w:val="00986DA0"/>
    <w:rsid w:val="00990824"/>
    <w:rsid w:val="00993A19"/>
    <w:rsid w:val="00995799"/>
    <w:rsid w:val="009A66E1"/>
    <w:rsid w:val="009B1AFA"/>
    <w:rsid w:val="009B53A8"/>
    <w:rsid w:val="009E1551"/>
    <w:rsid w:val="009E28A2"/>
    <w:rsid w:val="009E6422"/>
    <w:rsid w:val="009F1E3D"/>
    <w:rsid w:val="00A03885"/>
    <w:rsid w:val="00A14AF7"/>
    <w:rsid w:val="00A17C15"/>
    <w:rsid w:val="00A21282"/>
    <w:rsid w:val="00A41368"/>
    <w:rsid w:val="00A45B48"/>
    <w:rsid w:val="00A465A9"/>
    <w:rsid w:val="00A47CA0"/>
    <w:rsid w:val="00A51569"/>
    <w:rsid w:val="00A5427E"/>
    <w:rsid w:val="00A63E98"/>
    <w:rsid w:val="00A70D3E"/>
    <w:rsid w:val="00A722E7"/>
    <w:rsid w:val="00A75F37"/>
    <w:rsid w:val="00A77C6F"/>
    <w:rsid w:val="00A830AB"/>
    <w:rsid w:val="00A91DF0"/>
    <w:rsid w:val="00AA32BD"/>
    <w:rsid w:val="00AA5357"/>
    <w:rsid w:val="00AA67F1"/>
    <w:rsid w:val="00AA7AD5"/>
    <w:rsid w:val="00AB0B02"/>
    <w:rsid w:val="00AB2C9E"/>
    <w:rsid w:val="00AB35E4"/>
    <w:rsid w:val="00AB78B0"/>
    <w:rsid w:val="00AC454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D5B3D"/>
    <w:rsid w:val="00BE0823"/>
    <w:rsid w:val="00BE0C7B"/>
    <w:rsid w:val="00BE191A"/>
    <w:rsid w:val="00BE24F0"/>
    <w:rsid w:val="00BF1A7F"/>
    <w:rsid w:val="00C10326"/>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3740"/>
    <w:rsid w:val="00CC559F"/>
    <w:rsid w:val="00CE0EE2"/>
    <w:rsid w:val="00CE275D"/>
    <w:rsid w:val="00CE4622"/>
    <w:rsid w:val="00CF0208"/>
    <w:rsid w:val="00CF0BA9"/>
    <w:rsid w:val="00CF3446"/>
    <w:rsid w:val="00D13D1C"/>
    <w:rsid w:val="00D16659"/>
    <w:rsid w:val="00D24872"/>
    <w:rsid w:val="00D26608"/>
    <w:rsid w:val="00D3294B"/>
    <w:rsid w:val="00D42979"/>
    <w:rsid w:val="00D56169"/>
    <w:rsid w:val="00D71FAD"/>
    <w:rsid w:val="00D725C7"/>
    <w:rsid w:val="00D7549E"/>
    <w:rsid w:val="00D760BC"/>
    <w:rsid w:val="00D85E26"/>
    <w:rsid w:val="00D92547"/>
    <w:rsid w:val="00D94063"/>
    <w:rsid w:val="00D97F92"/>
    <w:rsid w:val="00DA1767"/>
    <w:rsid w:val="00DA1E7C"/>
    <w:rsid w:val="00DB0D3F"/>
    <w:rsid w:val="00DB35C1"/>
    <w:rsid w:val="00DB45D2"/>
    <w:rsid w:val="00DC56C3"/>
    <w:rsid w:val="00DD5337"/>
    <w:rsid w:val="00DD646F"/>
    <w:rsid w:val="00DE777F"/>
    <w:rsid w:val="00DF5E01"/>
    <w:rsid w:val="00DF5EB7"/>
    <w:rsid w:val="00E00398"/>
    <w:rsid w:val="00E421E7"/>
    <w:rsid w:val="00E47AB9"/>
    <w:rsid w:val="00E6080C"/>
    <w:rsid w:val="00E624B2"/>
    <w:rsid w:val="00E62D3E"/>
    <w:rsid w:val="00E74ED9"/>
    <w:rsid w:val="00E77F32"/>
    <w:rsid w:val="00E870D7"/>
    <w:rsid w:val="00E87D91"/>
    <w:rsid w:val="00E96BA2"/>
    <w:rsid w:val="00EB34AE"/>
    <w:rsid w:val="00EF08A9"/>
    <w:rsid w:val="00F115D2"/>
    <w:rsid w:val="00F41C7E"/>
    <w:rsid w:val="00F431B7"/>
    <w:rsid w:val="00F50D38"/>
    <w:rsid w:val="00F561F7"/>
    <w:rsid w:val="00F63DF3"/>
    <w:rsid w:val="00F65A24"/>
    <w:rsid w:val="00F7500F"/>
    <w:rsid w:val="00F818CA"/>
    <w:rsid w:val="00F91DEC"/>
    <w:rsid w:val="00FA0BA9"/>
    <w:rsid w:val="00FA1665"/>
    <w:rsid w:val="00FA1F7F"/>
    <w:rsid w:val="00FA5095"/>
    <w:rsid w:val="00FA6262"/>
    <w:rsid w:val="00FB65ED"/>
    <w:rsid w:val="00FC3796"/>
    <w:rsid w:val="00FD5DFA"/>
    <w:rsid w:val="00FE4E01"/>
    <w:rsid w:val="00FF252A"/>
    <w:rsid w:val="00FF2C2F"/>
    <w:rsid w:val="00FF4138"/>
    <w:rsid w:val="00FF6ABF"/>
    <w:rsid w:val="015D0D5E"/>
    <w:rsid w:val="01A93B49"/>
    <w:rsid w:val="03B359DB"/>
    <w:rsid w:val="04127F92"/>
    <w:rsid w:val="05E02329"/>
    <w:rsid w:val="05E13802"/>
    <w:rsid w:val="0DB763A5"/>
    <w:rsid w:val="0E5A47CE"/>
    <w:rsid w:val="11442301"/>
    <w:rsid w:val="12BB2F1D"/>
    <w:rsid w:val="136C4E31"/>
    <w:rsid w:val="142F44DC"/>
    <w:rsid w:val="1884289C"/>
    <w:rsid w:val="204D1B46"/>
    <w:rsid w:val="214D7258"/>
    <w:rsid w:val="2AC6698A"/>
    <w:rsid w:val="2ED04019"/>
    <w:rsid w:val="301902BB"/>
    <w:rsid w:val="3645378F"/>
    <w:rsid w:val="3BD57411"/>
    <w:rsid w:val="3C68653C"/>
    <w:rsid w:val="3D606F05"/>
    <w:rsid w:val="3E321FA0"/>
    <w:rsid w:val="3EB241DA"/>
    <w:rsid w:val="3F932B54"/>
    <w:rsid w:val="400675C3"/>
    <w:rsid w:val="40E75DA2"/>
    <w:rsid w:val="416E4A03"/>
    <w:rsid w:val="46C5493C"/>
    <w:rsid w:val="4CAE634F"/>
    <w:rsid w:val="4D2E1918"/>
    <w:rsid w:val="4E21448E"/>
    <w:rsid w:val="4F7A3A39"/>
    <w:rsid w:val="4FEF7E41"/>
    <w:rsid w:val="54181E64"/>
    <w:rsid w:val="54B81F28"/>
    <w:rsid w:val="56D8563D"/>
    <w:rsid w:val="57B343A9"/>
    <w:rsid w:val="58564828"/>
    <w:rsid w:val="58613A3F"/>
    <w:rsid w:val="596D4A2C"/>
    <w:rsid w:val="5CC76201"/>
    <w:rsid w:val="5DAB2368"/>
    <w:rsid w:val="61917A49"/>
    <w:rsid w:val="667F60F5"/>
    <w:rsid w:val="73843B37"/>
    <w:rsid w:val="74472103"/>
    <w:rsid w:val="74B11819"/>
    <w:rsid w:val="75AD1FE0"/>
    <w:rsid w:val="77276C99"/>
    <w:rsid w:val="777C3400"/>
    <w:rsid w:val="79CE0777"/>
    <w:rsid w:val="7D597C6D"/>
    <w:rsid w:val="7D6F5E59"/>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paragraph" w:styleId="6">
    <w:name w:val="annotation text"/>
    <w:basedOn w:val="1"/>
    <w:link w:val="27"/>
    <w:qFormat/>
    <w:uiPriority w:val="0"/>
    <w:pPr>
      <w:jc w:val="left"/>
    </w:pPr>
  </w:style>
  <w:style w:type="paragraph" w:styleId="7">
    <w:name w:val="Body Text"/>
    <w:basedOn w:val="1"/>
    <w:next w:val="1"/>
    <w:link w:val="32"/>
    <w:unhideWhenUsed/>
    <w:qFormat/>
    <w:uiPriority w:val="0"/>
    <w:pPr>
      <w:spacing w:after="120"/>
    </w:pPr>
  </w:style>
  <w:style w:type="paragraph" w:styleId="8">
    <w:name w:val="Body Text Indent"/>
    <w:basedOn w:val="1"/>
    <w:unhideWhenUsed/>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7">
    <w:name w:val="annotation subject"/>
    <w:basedOn w:val="6"/>
    <w:next w:val="6"/>
    <w:link w:val="31"/>
    <w:qFormat/>
    <w:uiPriority w:val="0"/>
    <w:rPr>
      <w:b/>
      <w:bCs/>
    </w:rPr>
  </w:style>
  <w:style w:type="paragraph" w:styleId="18">
    <w:name w:val="Body Text First Indent"/>
    <w:basedOn w:val="7"/>
    <w:qFormat/>
    <w:uiPriority w:val="0"/>
    <w:pPr>
      <w:ind w:firstLine="420" w:firstLineChars="100"/>
    </w:pPr>
  </w:style>
  <w:style w:type="paragraph" w:styleId="19">
    <w:name w:val="Body Text First Indent 2"/>
    <w:basedOn w:val="8"/>
    <w:qFormat/>
    <w:uiPriority w:val="0"/>
    <w:pPr>
      <w:snapToGrid w:val="0"/>
      <w:spacing w:line="360" w:lineRule="auto"/>
      <w:ind w:left="0" w:leftChars="0" w:firstLine="420" w:firstLineChars="200"/>
    </w:pPr>
    <w:rPr>
      <w:rFonts w:ascii="Tahoma" w:hAnsi="Tahoma"/>
      <w:kern w:val="0"/>
      <w:sz w:val="28"/>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字符"/>
    <w:link w:val="3"/>
    <w:qFormat/>
    <w:uiPriority w:val="0"/>
    <w:rPr>
      <w:b/>
      <w:bCs/>
      <w:kern w:val="44"/>
      <w:sz w:val="32"/>
      <w:szCs w:val="44"/>
    </w:rPr>
  </w:style>
  <w:style w:type="character" w:customStyle="1" w:styleId="26">
    <w:name w:val="标题 3 字符"/>
    <w:link w:val="5"/>
    <w:semiHidden/>
    <w:qFormat/>
    <w:uiPriority w:val="0"/>
    <w:rPr>
      <w:b/>
      <w:bCs/>
      <w:kern w:val="2"/>
      <w:sz w:val="32"/>
      <w:szCs w:val="32"/>
    </w:rPr>
  </w:style>
  <w:style w:type="character" w:customStyle="1" w:styleId="27">
    <w:name w:val="批注文字 字符"/>
    <w:link w:val="6"/>
    <w:qFormat/>
    <w:uiPriority w:val="0"/>
    <w:rPr>
      <w:kern w:val="2"/>
      <w:sz w:val="21"/>
      <w:szCs w:val="24"/>
    </w:rPr>
  </w:style>
  <w:style w:type="character" w:customStyle="1" w:styleId="28">
    <w:name w:val="页脚 字符"/>
    <w:link w:val="12"/>
    <w:qFormat/>
    <w:uiPriority w:val="99"/>
    <w:rPr>
      <w:kern w:val="2"/>
      <w:sz w:val="18"/>
      <w:szCs w:val="18"/>
    </w:rPr>
  </w:style>
  <w:style w:type="character" w:customStyle="1" w:styleId="29">
    <w:name w:val="副标题 字符"/>
    <w:link w:val="14"/>
    <w:qFormat/>
    <w:uiPriority w:val="0"/>
    <w:rPr>
      <w:rFonts w:ascii="等线 Light" w:hAnsi="等线 Light" w:eastAsia="仿宋" w:cs="Times New Roman"/>
      <w:bCs/>
      <w:kern w:val="28"/>
      <w:sz w:val="32"/>
      <w:szCs w:val="32"/>
    </w:rPr>
  </w:style>
  <w:style w:type="character" w:customStyle="1" w:styleId="30">
    <w:name w:val="标题 字符"/>
    <w:link w:val="16"/>
    <w:qFormat/>
    <w:uiPriority w:val="0"/>
    <w:rPr>
      <w:rFonts w:ascii="等线 Light" w:hAnsi="等线 Light" w:eastAsia="黑体" w:cs="Times New Roman"/>
      <w:b/>
      <w:bCs/>
      <w:kern w:val="2"/>
      <w:sz w:val="32"/>
      <w:szCs w:val="32"/>
    </w:rPr>
  </w:style>
  <w:style w:type="character" w:customStyle="1" w:styleId="31">
    <w:name w:val="批注主题 字符"/>
    <w:link w:val="17"/>
    <w:qFormat/>
    <w:uiPriority w:val="0"/>
    <w:rPr>
      <w:b/>
      <w:bCs/>
      <w:kern w:val="2"/>
      <w:sz w:val="21"/>
      <w:szCs w:val="24"/>
    </w:rPr>
  </w:style>
  <w:style w:type="character" w:customStyle="1" w:styleId="32">
    <w:name w:val="正文文本 字符"/>
    <w:basedOn w:val="22"/>
    <w:link w:val="7"/>
    <w:qFormat/>
    <w:uiPriority w:val="0"/>
    <w:rPr>
      <w:kern w:val="2"/>
      <w:sz w:val="21"/>
      <w:szCs w:val="24"/>
    </w:rPr>
  </w:style>
  <w:style w:type="character" w:customStyle="1" w:styleId="33">
    <w:name w:val="标题 2 字符"/>
    <w:link w:val="4"/>
    <w:qFormat/>
    <w:uiPriority w:val="0"/>
    <w:rPr>
      <w:rFonts w:ascii="Arial" w:hAnsi="Arial" w:eastAsia="黑体"/>
      <w:b/>
      <w:bCs/>
      <w:kern w:val="2"/>
      <w:sz w:val="32"/>
      <w:szCs w:val="32"/>
    </w:rPr>
  </w:style>
  <w:style w:type="paragraph" w:customStyle="1" w:styleId="34">
    <w:name w:val="．正文"/>
    <w:basedOn w:val="1"/>
    <w:qFormat/>
    <w:uiPriority w:val="0"/>
    <w:pPr>
      <w:ind w:firstLine="485" w:firstLineChars="202"/>
    </w:pPr>
    <w:rPr>
      <w:rFonts w:ascii="仿宋_GB2312" w:hAnsi="Calibri" w:eastAsia="仿宋_GB2312"/>
    </w:rPr>
  </w:style>
  <w:style w:type="paragraph" w:customStyle="1" w:styleId="35">
    <w:name w:val="Table Paragraph"/>
    <w:basedOn w:val="1"/>
    <w:qFormat/>
    <w:uiPriority w:val="1"/>
    <w:rPr>
      <w:rFonts w:ascii="宋体" w:hAnsi="宋体"/>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纯文本1"/>
    <w:basedOn w:val="1"/>
    <w:qFormat/>
    <w:uiPriority w:val="0"/>
    <w:pPr>
      <w:adjustRightInd w:val="0"/>
      <w:textAlignment w:val="baseline"/>
    </w:pPr>
    <w:rPr>
      <w:rFonts w:ascii="宋体" w:hAnsi="Courier New" w:eastAsia="楷体_GB2312"/>
      <w:sz w:val="26"/>
    </w:rPr>
  </w:style>
  <w:style w:type="paragraph" w:customStyle="1" w:styleId="39">
    <w:name w:val="Plain Text"/>
    <w:basedOn w:val="1"/>
    <w:qFormat/>
    <w:uiPriority w:val="0"/>
    <w:pPr>
      <w:adjustRightInd w:val="0"/>
      <w:textAlignment w:val="baseline"/>
    </w:pPr>
    <w:rPr>
      <w:rFonts w:ascii="宋体" w:hAnsi="Courier New" w:eastAsia="楷体_GB2312"/>
      <w:sz w:val="26"/>
    </w:rPr>
  </w:style>
  <w:style w:type="paragraph" w:customStyle="1" w:styleId="4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14</Pages>
  <Words>8867</Words>
  <Characters>9949</Characters>
  <Lines>18</Lines>
  <Paragraphs>28</Paragraphs>
  <TotalTime>2</TotalTime>
  <ScaleCrop>false</ScaleCrop>
  <LinksUpToDate>false</LinksUpToDate>
  <CharactersWithSpaces>10105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花冢</cp:lastModifiedBy>
  <cp:lastPrinted>2021-07-23T01:17:00Z</cp:lastPrinted>
  <dcterms:modified xsi:type="dcterms:W3CDTF">2023-04-24T03:27:25Z</dcterms:modified>
  <dc:title>厦财采〔2021〕9号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061D9AA39F6F4BA28C5DE74B8A946BC9</vt:lpwstr>
  </property>
</Properties>
</file>