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shd w:val="clear" w:color="auto" w:fill="auto"/>
        <w:adjustRightInd w:val="0"/>
        <w:snapToGrid w:val="0"/>
        <w:spacing w:line="400" w:lineRule="exact"/>
        <w:ind w:leftChars="1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采购需求</w:t>
      </w:r>
    </w:p>
    <w:p>
      <w:pPr>
        <w:pStyle w:val="4"/>
        <w:numPr>
          <w:ilvl w:val="0"/>
          <w:numId w:val="0"/>
        </w:numPr>
        <w:shd w:val="clear" w:color="auto" w:fill="auto"/>
        <w:adjustRightInd w:val="0"/>
        <w:snapToGrid w:val="0"/>
        <w:spacing w:line="400" w:lineRule="exact"/>
        <w:ind w:leftChars="100"/>
        <w:jc w:val="both"/>
        <w:rPr>
          <w:rFonts w:hint="eastAsia" w:ascii="宋体" w:hAnsi="宋体" w:eastAsia="宋体" w:cs="宋体"/>
          <w:b/>
          <w:color w:val="auto"/>
          <w:sz w:val="32"/>
          <w:szCs w:val="32"/>
          <w:highlight w:val="none"/>
        </w:rPr>
      </w:pPr>
    </w:p>
    <w:p>
      <w:pPr>
        <w:pStyle w:val="4"/>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val="en-US" w:eastAsia="zh-CN"/>
        </w:rPr>
        <w:t>采购人名称：兰溪市定点摊位物业管理服务有限公司</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eastAsia="宋体" w:cs="宋体"/>
          <w:color w:val="auto"/>
          <w:sz w:val="21"/>
          <w:szCs w:val="21"/>
          <w:highlight w:val="none"/>
        </w:rPr>
      </w:pPr>
      <w:r>
        <w:rPr>
          <w:rFonts w:hint="eastAsia"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采购内容：</w:t>
      </w:r>
    </w:p>
    <w:p>
      <w:pPr>
        <w:pStyle w:val="5"/>
        <w:keepNext w:val="0"/>
        <w:keepLines w:val="0"/>
        <w:pageBreakBefore w:val="0"/>
        <w:widowControl w:val="0"/>
        <w:kinsoku/>
        <w:wordWrap/>
        <w:overflowPunct/>
        <w:topLinePunct w:val="0"/>
        <w:autoSpaceDE/>
        <w:autoSpaceDN/>
        <w:bidi w:val="0"/>
        <w:adjustRightInd/>
        <w:snapToGrid/>
        <w:spacing w:beforeLines="0" w:afterLines="0" w:line="440" w:lineRule="exact"/>
        <w:ind w:firstLine="420" w:firstLineChars="200"/>
        <w:textAlignment w:val="auto"/>
        <w:rPr>
          <w:rFonts w:hint="eastAsia" w:hAnsi="宋体"/>
          <w:b w:val="0"/>
          <w:bCs w:val="0"/>
          <w:color w:val="auto"/>
          <w:sz w:val="21"/>
          <w:szCs w:val="21"/>
          <w:highlight w:val="none"/>
        </w:rPr>
      </w:pPr>
      <w:r>
        <w:rPr>
          <w:rFonts w:hint="eastAsia" w:hAnsi="宋体"/>
          <w:b w:val="0"/>
          <w:bCs w:val="0"/>
          <w:color w:val="auto"/>
          <w:sz w:val="21"/>
          <w:szCs w:val="21"/>
          <w:highlight w:val="none"/>
          <w:lang w:val="en-US" w:eastAsia="zh-CN"/>
        </w:rPr>
        <w:t>1、兰溪市市区内违停车辆拖移服务项目，包括兰溪市市区内</w:t>
      </w:r>
      <w:r>
        <w:rPr>
          <w:rFonts w:hint="eastAsia" w:hAnsi="宋体"/>
          <w:b w:val="0"/>
          <w:bCs w:val="0"/>
          <w:color w:val="auto"/>
          <w:sz w:val="21"/>
          <w:szCs w:val="21"/>
          <w:highlight w:val="none"/>
        </w:rPr>
        <w:t>交通</w:t>
      </w:r>
      <w:r>
        <w:rPr>
          <w:rFonts w:hint="eastAsia" w:hAnsi="宋体"/>
          <w:b w:val="0"/>
          <w:bCs w:val="0"/>
          <w:color w:val="auto"/>
          <w:sz w:val="21"/>
          <w:szCs w:val="21"/>
          <w:highlight w:val="none"/>
          <w:lang w:eastAsia="zh-CN"/>
        </w:rPr>
        <w:t>违停</w:t>
      </w:r>
      <w:r>
        <w:rPr>
          <w:rFonts w:hint="eastAsia" w:hAnsi="宋体"/>
          <w:b w:val="0"/>
          <w:bCs w:val="0"/>
          <w:color w:val="auto"/>
          <w:sz w:val="21"/>
          <w:szCs w:val="21"/>
          <w:highlight w:val="none"/>
        </w:rPr>
        <w:t>车辆拖吊、道路交通管理相关车辆</w:t>
      </w:r>
      <w:r>
        <w:rPr>
          <w:rFonts w:hint="eastAsia" w:hAnsi="宋体" w:eastAsia="宋体"/>
          <w:b w:val="0"/>
          <w:bCs w:val="0"/>
          <w:color w:val="auto"/>
          <w:sz w:val="21"/>
          <w:szCs w:val="21"/>
          <w:highlight w:val="none"/>
          <w:lang w:eastAsia="zh-CN"/>
        </w:rPr>
        <w:t>拖移</w:t>
      </w:r>
      <w:r>
        <w:rPr>
          <w:rFonts w:hint="eastAsia" w:hAnsi="宋体"/>
          <w:b w:val="0"/>
          <w:bCs w:val="0"/>
          <w:color w:val="auto"/>
          <w:sz w:val="21"/>
          <w:szCs w:val="21"/>
          <w:highlight w:val="none"/>
        </w:rPr>
        <w:t>服务，各类非法占道物品的清运及其他</w:t>
      </w:r>
      <w:r>
        <w:rPr>
          <w:rFonts w:hint="eastAsia" w:hAnsi="宋体" w:eastAsia="宋体"/>
          <w:b w:val="0"/>
          <w:bCs w:val="0"/>
          <w:color w:val="auto"/>
          <w:sz w:val="21"/>
          <w:szCs w:val="21"/>
          <w:highlight w:val="none"/>
          <w:lang w:eastAsia="zh-CN"/>
        </w:rPr>
        <w:t>拖移服务</w:t>
      </w:r>
      <w:r>
        <w:rPr>
          <w:rFonts w:hint="eastAsia" w:hAnsi="宋体"/>
          <w:b w:val="0"/>
          <w:bCs w:val="0"/>
          <w:color w:val="auto"/>
          <w:sz w:val="21"/>
          <w:szCs w:val="21"/>
          <w:highlight w:val="none"/>
          <w:lang w:eastAsia="zh-CN"/>
        </w:rPr>
        <w:t>（</w:t>
      </w:r>
      <w:r>
        <w:rPr>
          <w:rFonts w:hint="eastAsia" w:hAnsi="宋体"/>
          <w:b w:val="0"/>
          <w:bCs w:val="0"/>
          <w:color w:val="auto"/>
          <w:sz w:val="21"/>
          <w:szCs w:val="21"/>
          <w:highlight w:val="none"/>
        </w:rPr>
        <w:t>以下简称</w:t>
      </w:r>
      <w:r>
        <w:rPr>
          <w:rFonts w:hint="eastAsia" w:hAnsi="宋体" w:eastAsia="宋体"/>
          <w:b w:val="0"/>
          <w:bCs w:val="0"/>
          <w:color w:val="auto"/>
          <w:sz w:val="21"/>
          <w:szCs w:val="21"/>
          <w:highlight w:val="none"/>
          <w:lang w:eastAsia="zh-CN"/>
        </w:rPr>
        <w:t>“拖移服务”</w:t>
      </w:r>
      <w:r>
        <w:rPr>
          <w:rFonts w:hint="eastAsia" w:hAnsi="宋体"/>
          <w:b w:val="0"/>
          <w:bCs w:val="0"/>
          <w:color w:val="auto"/>
          <w:sz w:val="21"/>
          <w:szCs w:val="21"/>
          <w:highlight w:val="none"/>
          <w:lang w:eastAsia="zh-CN"/>
        </w:rPr>
        <w:t>）</w:t>
      </w:r>
      <w:r>
        <w:rPr>
          <w:rFonts w:hint="eastAsia" w:hAnsi="宋体"/>
          <w:b w:val="0"/>
          <w:bCs w:val="0"/>
          <w:color w:val="auto"/>
          <w:sz w:val="21"/>
          <w:szCs w:val="21"/>
          <w:highlight w:val="none"/>
        </w:rPr>
        <w:t>。</w:t>
      </w:r>
    </w:p>
    <w:p>
      <w:pPr>
        <w:pStyle w:val="5"/>
        <w:keepNext w:val="0"/>
        <w:keepLines w:val="0"/>
        <w:pageBreakBefore w:val="0"/>
        <w:widowControl w:val="0"/>
        <w:kinsoku/>
        <w:wordWrap/>
        <w:overflowPunct/>
        <w:topLinePunct w:val="0"/>
        <w:autoSpaceDE/>
        <w:autoSpaceDN/>
        <w:bidi w:val="0"/>
        <w:adjustRightInd/>
        <w:snapToGrid/>
        <w:spacing w:beforeLines="0" w:afterLines="0" w:line="440" w:lineRule="exact"/>
        <w:ind w:firstLine="420" w:firstLineChars="200"/>
        <w:textAlignment w:val="auto"/>
        <w:rPr>
          <w:rFonts w:hint="eastAsia" w:ascii="宋体" w:hAnsi="宋体" w:eastAsia="宋体" w:cs="宋体"/>
          <w:color w:val="auto"/>
          <w:sz w:val="21"/>
          <w:szCs w:val="21"/>
          <w:highlight w:val="none"/>
        </w:rPr>
      </w:pPr>
      <w:r>
        <w:rPr>
          <w:rFonts w:hint="eastAsia" w:hAnsi="宋体" w:eastAsia="宋体"/>
          <w:b w:val="0"/>
          <w:bCs w:val="0"/>
          <w:color w:val="auto"/>
          <w:sz w:val="21"/>
          <w:szCs w:val="21"/>
          <w:highlight w:val="none"/>
          <w:lang w:val="en-US" w:eastAsia="zh-CN"/>
        </w:rPr>
        <w:t>2、</w:t>
      </w:r>
      <w:r>
        <w:rPr>
          <w:rFonts w:hint="eastAsia" w:ascii="宋体" w:hAnsi="宋体" w:eastAsia="宋体" w:cs="宋体"/>
          <w:color w:val="auto"/>
          <w:sz w:val="21"/>
          <w:szCs w:val="21"/>
          <w:highlight w:val="none"/>
        </w:rPr>
        <w:t>服务期限：合同签订之日起至2023年12月31日止。</w:t>
      </w:r>
    </w:p>
    <w:p>
      <w:pPr>
        <w:pStyle w:val="5"/>
        <w:keepNext w:val="0"/>
        <w:keepLines w:val="0"/>
        <w:pageBreakBefore w:val="0"/>
        <w:widowControl w:val="0"/>
        <w:kinsoku/>
        <w:wordWrap/>
        <w:overflowPunct/>
        <w:topLinePunct w:val="0"/>
        <w:autoSpaceDE/>
        <w:autoSpaceDN/>
        <w:bidi w:val="0"/>
        <w:adjustRightInd/>
        <w:snapToGrid/>
        <w:spacing w:beforeLines="0" w:after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经采购人综合考核，考核</w:t>
      </w:r>
      <w:r>
        <w:rPr>
          <w:rFonts w:hint="eastAsia" w:hAnsi="宋体" w:eastAsia="宋体" w:cs="宋体"/>
          <w:color w:val="auto"/>
          <w:sz w:val="21"/>
          <w:szCs w:val="21"/>
          <w:highlight w:val="none"/>
          <w:lang w:eastAsia="zh-CN"/>
        </w:rPr>
        <w:t>合格</w:t>
      </w:r>
      <w:r>
        <w:rPr>
          <w:rFonts w:hint="eastAsia" w:ascii="宋体" w:hAnsi="宋体" w:eastAsia="宋体" w:cs="宋体"/>
          <w:color w:val="auto"/>
          <w:sz w:val="21"/>
          <w:szCs w:val="21"/>
          <w:highlight w:val="none"/>
        </w:rPr>
        <w:t>的，</w:t>
      </w:r>
      <w:r>
        <w:rPr>
          <w:color w:val="auto"/>
          <w:sz w:val="21"/>
          <w:szCs w:val="22"/>
          <w:highlight w:val="none"/>
        </w:rPr>
        <w:t>可续签服务合同一年</w:t>
      </w:r>
      <w:r>
        <w:rPr>
          <w:rFonts w:hint="eastAsia"/>
          <w:color w:val="auto"/>
          <w:sz w:val="21"/>
          <w:szCs w:val="22"/>
          <w:highlight w:val="none"/>
          <w:lang w:eastAsia="zh-CN"/>
        </w:rPr>
        <w:t>，</w:t>
      </w:r>
      <w:r>
        <w:rPr>
          <w:color w:val="auto"/>
          <w:sz w:val="21"/>
          <w:szCs w:val="22"/>
          <w:highlight w:val="none"/>
        </w:rPr>
        <w:t>续签期间服务费的计付方式不</w:t>
      </w:r>
      <w:r>
        <w:rPr>
          <w:color w:val="auto"/>
          <w:sz w:val="21"/>
          <w:highlight w:val="none"/>
        </w:rPr>
        <w:t>变。</w:t>
      </w:r>
      <w:r>
        <w:rPr>
          <w:color w:val="auto"/>
          <w:sz w:val="21"/>
          <w:szCs w:val="22"/>
          <w:highlight w:val="none"/>
        </w:rPr>
        <w:t>（采购人也有权重新组织采购）</w:t>
      </w:r>
      <w:r>
        <w:rPr>
          <w:rFonts w:hint="eastAsia"/>
          <w:color w:val="auto"/>
          <w:sz w:val="21"/>
          <w:szCs w:val="22"/>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beforeLines="0" w:afterLines="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采购内容一览表：</w:t>
      </w:r>
    </w:p>
    <w:tbl>
      <w:tblPr>
        <w:tblStyle w:val="8"/>
        <w:tblW w:w="9135"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2183"/>
        <w:gridCol w:w="1770"/>
        <w:gridCol w:w="44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4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159" w:right="152"/>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183"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361" w:right="349"/>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拖移车辆类别</w:t>
            </w:r>
          </w:p>
        </w:tc>
        <w:tc>
          <w:tcPr>
            <w:tcW w:w="177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159" w:right="152"/>
              <w:jc w:val="center"/>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最高单价限价</w:t>
            </w:r>
            <w:r>
              <w:rPr>
                <w:rFonts w:hint="eastAsia" w:cs="宋体"/>
                <w:b/>
                <w:color w:val="auto"/>
                <w:sz w:val="21"/>
                <w:szCs w:val="21"/>
                <w:highlight w:val="none"/>
                <w:lang w:val="en-US" w:eastAsia="zh-CN"/>
              </w:rPr>
              <w:t>（含税6%）</w:t>
            </w:r>
          </w:p>
        </w:tc>
        <w:tc>
          <w:tcPr>
            <w:tcW w:w="4438"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159" w:right="152"/>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4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7"/>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83"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361" w:right="354"/>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小型汽车</w:t>
            </w:r>
          </w:p>
        </w:tc>
        <w:tc>
          <w:tcPr>
            <w:tcW w:w="177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361" w:leftChars="0" w:right="354" w:rightChars="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114</w:t>
            </w:r>
            <w:r>
              <w:rPr>
                <w:rFonts w:hint="eastAsia" w:ascii="宋体" w:hAnsi="宋体" w:eastAsia="宋体" w:cs="宋体"/>
                <w:color w:val="auto"/>
                <w:sz w:val="21"/>
                <w:szCs w:val="21"/>
                <w:highlight w:val="none"/>
                <w:lang w:val="en-US" w:eastAsia="zh-CN"/>
              </w:rPr>
              <w:t>元/辆</w:t>
            </w:r>
          </w:p>
        </w:tc>
        <w:tc>
          <w:tcPr>
            <w:tcW w:w="4438" w:type="dxa"/>
            <w:vMerge w:val="restart"/>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right="96" w:right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本项目的预算金额</w:t>
            </w:r>
            <w:r>
              <w:rPr>
                <w:rFonts w:hint="eastAsia" w:cs="宋体"/>
                <w:color w:val="auto"/>
                <w:sz w:val="21"/>
                <w:szCs w:val="21"/>
                <w:highlight w:val="none"/>
                <w:lang w:eastAsia="zh-CN"/>
              </w:rPr>
              <w:t>约</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none"/>
              </w:rPr>
              <w:t>人民币</w:t>
            </w:r>
            <w:r>
              <w:rPr>
                <w:rFonts w:hint="eastAsia" w:cs="宋体"/>
                <w:color w:val="auto"/>
                <w:sz w:val="21"/>
                <w:szCs w:val="21"/>
                <w:highlight w:val="none"/>
                <w:u w:val="none"/>
                <w:lang w:val="en-US" w:eastAsia="zh-CN"/>
              </w:rPr>
              <w:t>300</w:t>
            </w:r>
            <w:r>
              <w:rPr>
                <w:rFonts w:hint="eastAsia" w:ascii="宋体" w:hAnsi="宋体" w:eastAsia="宋体" w:cs="宋体"/>
                <w:color w:val="auto"/>
                <w:sz w:val="21"/>
                <w:szCs w:val="21"/>
                <w:highlight w:val="none"/>
                <w:u w:val="none"/>
              </w:rPr>
              <w:t>万元</w:t>
            </w:r>
            <w:r>
              <w:rPr>
                <w:rFonts w:hint="eastAsia" w:ascii="宋体" w:hAnsi="宋体" w:eastAsia="宋体" w:cs="宋体"/>
                <w:color w:val="auto"/>
                <w:sz w:val="21"/>
                <w:szCs w:val="21"/>
                <w:highlight w:val="none"/>
              </w:rPr>
              <w:t>，但服务期内的实际拖车作业数量具有不确定性和不可预测性，投标人</w:t>
            </w:r>
            <w:r>
              <w:rPr>
                <w:rFonts w:hint="eastAsia" w:ascii="宋体" w:hAnsi="宋体" w:eastAsia="宋体" w:cs="宋体"/>
                <w:color w:val="auto"/>
                <w:spacing w:val="-9"/>
                <w:sz w:val="21"/>
                <w:szCs w:val="21"/>
                <w:highlight w:val="none"/>
              </w:rPr>
              <w:t>应自行考虑相关投标风险。采购人不保</w:t>
            </w:r>
            <w:r>
              <w:rPr>
                <w:rFonts w:hint="eastAsia" w:ascii="宋体" w:hAnsi="宋体" w:eastAsia="宋体" w:cs="宋体"/>
                <w:color w:val="auto"/>
                <w:sz w:val="21"/>
                <w:szCs w:val="21"/>
                <w:highlight w:val="none"/>
              </w:rPr>
              <w:t>证投标人中标后的实际拖车作业量。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74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7" w:leftChars="0"/>
              <w:jc w:val="center"/>
              <w:textAlignment w:val="auto"/>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rPr>
              <w:t>2</w:t>
            </w:r>
          </w:p>
        </w:tc>
        <w:tc>
          <w:tcPr>
            <w:tcW w:w="2183"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361" w:leftChars="0" w:right="354" w:rightChars="0"/>
              <w:jc w:val="center"/>
              <w:textAlignment w:val="auto"/>
              <w:rPr>
                <w:rFonts w:hint="eastAsia" w:ascii="宋体" w:hAnsi="宋体" w:eastAsia="宋体" w:cs="宋体"/>
                <w:color w:val="auto"/>
                <w:kern w:val="2"/>
                <w:sz w:val="21"/>
                <w:szCs w:val="21"/>
                <w:highlight w:val="none"/>
                <w:lang w:val="zh-CN" w:eastAsia="zh-CN" w:bidi="zh-CN"/>
              </w:rPr>
            </w:pPr>
            <w:r>
              <w:rPr>
                <w:rFonts w:hint="eastAsia" w:cs="宋体"/>
                <w:color w:val="auto"/>
                <w:sz w:val="21"/>
                <w:szCs w:val="21"/>
                <w:highlight w:val="none"/>
                <w:lang w:eastAsia="zh-CN"/>
              </w:rPr>
              <w:t>僵尸”车辆拖移</w:t>
            </w:r>
          </w:p>
        </w:tc>
        <w:tc>
          <w:tcPr>
            <w:tcW w:w="177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361" w:leftChars="0" w:right="354" w:rightChars="0"/>
              <w:jc w:val="center"/>
              <w:textAlignment w:val="auto"/>
              <w:rPr>
                <w:rFonts w:hint="eastAsia" w:cs="宋体"/>
                <w:color w:val="auto"/>
                <w:sz w:val="21"/>
                <w:szCs w:val="21"/>
                <w:highlight w:val="none"/>
                <w:lang w:eastAsia="zh-CN"/>
              </w:rPr>
            </w:pPr>
            <w:r>
              <w:rPr>
                <w:rFonts w:hint="eastAsia" w:cs="宋体"/>
                <w:color w:val="auto"/>
                <w:sz w:val="21"/>
                <w:szCs w:val="21"/>
                <w:highlight w:val="none"/>
                <w:lang w:val="en-US" w:eastAsia="zh-CN"/>
              </w:rPr>
              <w:t>180</w:t>
            </w:r>
            <w:r>
              <w:rPr>
                <w:rFonts w:hint="eastAsia" w:ascii="宋体" w:hAnsi="宋体" w:eastAsia="宋体" w:cs="宋体"/>
                <w:color w:val="auto"/>
                <w:sz w:val="21"/>
                <w:szCs w:val="21"/>
                <w:highlight w:val="none"/>
                <w:lang w:val="en-US" w:eastAsia="zh-CN"/>
              </w:rPr>
              <w:t>元/辆</w:t>
            </w:r>
          </w:p>
        </w:tc>
        <w:tc>
          <w:tcPr>
            <w:tcW w:w="4438"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74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7"/>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183"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361" w:right="354"/>
              <w:jc w:val="center"/>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三轮车</w:t>
            </w:r>
          </w:p>
        </w:tc>
        <w:tc>
          <w:tcPr>
            <w:tcW w:w="177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361" w:leftChars="0" w:right="354" w:rightChars="0"/>
              <w:jc w:val="center"/>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95元/辆</w:t>
            </w:r>
          </w:p>
        </w:tc>
        <w:tc>
          <w:tcPr>
            <w:tcW w:w="4438"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4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7"/>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183"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361" w:right="354"/>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二轮车</w:t>
            </w:r>
          </w:p>
        </w:tc>
        <w:tc>
          <w:tcPr>
            <w:tcW w:w="177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361" w:leftChars="0" w:right="354" w:rightChars="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67</w:t>
            </w:r>
            <w:r>
              <w:rPr>
                <w:rFonts w:hint="eastAsia" w:ascii="宋体" w:hAnsi="宋体" w:eastAsia="宋体" w:cs="宋体"/>
                <w:color w:val="auto"/>
                <w:sz w:val="21"/>
                <w:szCs w:val="21"/>
                <w:highlight w:val="none"/>
                <w:lang w:val="en-US" w:eastAsia="zh-CN"/>
              </w:rPr>
              <w:t>元</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辆</w:t>
            </w:r>
          </w:p>
        </w:tc>
        <w:tc>
          <w:tcPr>
            <w:tcW w:w="4438" w:type="dxa"/>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9135" w:type="dxa"/>
            <w:gridSpan w:val="4"/>
            <w:noWrap w:val="0"/>
            <w:vAlign w:val="center"/>
          </w:tcPr>
          <w:p>
            <w:pPr>
              <w:pStyle w:val="5"/>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注：1、本项目为单价招标，实际结算价=中标单价*实际工作量</w:t>
            </w:r>
          </w:p>
          <w:p>
            <w:pPr>
              <w:pStyle w:val="5"/>
              <w:keepNext w:val="0"/>
              <w:keepLines w:val="0"/>
              <w:pageBreakBefore w:val="0"/>
              <w:widowControl w:val="0"/>
              <w:kinsoku/>
              <w:wordWrap/>
              <w:overflowPunct/>
              <w:topLinePunct w:val="0"/>
              <w:autoSpaceDE/>
              <w:autoSpaceDN/>
              <w:bidi w:val="0"/>
              <w:adjustRightInd/>
              <w:snapToGrid/>
              <w:spacing w:beforeLines="0" w:afterLines="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2、如中标单位不能提供6%的增值税发票的，招标人需扣除税率差，例如：结算时投标人提供的是3%的增值税发票，中标结算价=中标单价*</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1-6%</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*（1＋3%）。</w:t>
            </w:r>
          </w:p>
          <w:p>
            <w:pPr>
              <w:pStyle w:val="5"/>
              <w:keepNext w:val="0"/>
              <w:keepLines w:val="0"/>
              <w:pageBreakBefore w:val="0"/>
              <w:widowControl w:val="0"/>
              <w:kinsoku/>
              <w:wordWrap/>
              <w:overflowPunct/>
              <w:topLinePunct w:val="0"/>
              <w:autoSpaceDE/>
              <w:autoSpaceDN/>
              <w:bidi w:val="0"/>
              <w:adjustRightInd/>
              <w:snapToGrid/>
              <w:spacing w:beforeLines="0" w:afterLines="0" w:line="440" w:lineRule="exact"/>
              <w:ind w:firstLine="420" w:firstLineChars="200"/>
              <w:textAlignment w:val="auto"/>
              <w:rPr>
                <w:rFonts w:hint="default"/>
                <w:color w:val="auto"/>
                <w:highlight w:val="none"/>
                <w:lang w:val="en-US"/>
              </w:rPr>
            </w:pPr>
            <w:r>
              <w:rPr>
                <w:rFonts w:hint="eastAsia" w:ascii="宋体" w:hAnsi="宋体" w:eastAsia="宋体" w:cs="宋体"/>
                <w:color w:val="auto"/>
                <w:sz w:val="21"/>
                <w:szCs w:val="21"/>
                <w:highlight w:val="none"/>
                <w:lang w:val="en-US" w:eastAsia="zh-CN"/>
              </w:rPr>
              <w:t>3、报价包含原停车场车辆的搬迁费用。</w:t>
            </w:r>
          </w:p>
        </w:tc>
      </w:tr>
    </w:tbl>
    <w:p>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22"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三</w:t>
      </w:r>
      <w:r>
        <w:rPr>
          <w:rFonts w:hint="eastAsia" w:ascii="宋体" w:hAnsi="宋体" w:eastAsia="宋体" w:cs="宋体"/>
          <w:color w:val="auto"/>
          <w:sz w:val="21"/>
          <w:szCs w:val="21"/>
          <w:highlight w:val="none"/>
        </w:rPr>
        <w:t>、服务要求：</w:t>
      </w:r>
    </w:p>
    <w:p>
      <w:pPr>
        <w:keepNext w:val="0"/>
        <w:keepLines w:val="0"/>
        <w:pageBreakBefore w:val="0"/>
        <w:widowControl w:val="0"/>
        <w:kinsoku/>
        <w:wordWrap/>
        <w:overflowPunct/>
        <w:topLinePunct w:val="0"/>
        <w:autoSpaceDE/>
        <w:autoSpaceDN/>
        <w:bidi w:val="0"/>
        <w:adjustRightInd w:val="0"/>
        <w:snapToGrid w:val="0"/>
        <w:spacing w:line="400" w:lineRule="exact"/>
        <w:ind w:right="0" w:firstLine="422" w:firstLineChars="200"/>
        <w:jc w:val="left"/>
        <w:textAlignment w:val="auto"/>
        <w:rPr>
          <w:rFonts w:hint="eastAsia" w:ascii="宋体" w:hAnsi="宋体" w:eastAsia="宋体" w:cs="宋体"/>
          <w:b/>
          <w:bCs/>
          <w:color w:val="auto"/>
          <w:kern w:val="2"/>
          <w:sz w:val="21"/>
          <w:szCs w:val="21"/>
          <w:highlight w:val="none"/>
          <w:lang w:val="zh-CN" w:eastAsia="zh-CN" w:bidi="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zh-CN" w:eastAsia="zh-CN" w:bidi="zh-CN"/>
        </w:rPr>
        <w:t>(一)车辆数量及车辆状况、作业人员要求：</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eastAsia" w:hAnsi="宋体"/>
          <w:b w:val="0"/>
          <w:bCs w:val="0"/>
          <w:color w:val="auto"/>
          <w:sz w:val="21"/>
          <w:szCs w:val="21"/>
          <w:highlight w:val="none"/>
        </w:rPr>
      </w:pPr>
      <w:r>
        <w:rPr>
          <w:rFonts w:hint="eastAsia" w:hAnsi="宋体"/>
          <w:b w:val="0"/>
          <w:bCs w:val="0"/>
          <w:color w:val="auto"/>
          <w:sz w:val="21"/>
          <w:szCs w:val="21"/>
          <w:highlight w:val="none"/>
        </w:rPr>
        <w:t>1</w:t>
      </w:r>
      <w:r>
        <w:rPr>
          <w:rFonts w:hint="eastAsia" w:hAnsi="宋体"/>
          <w:b w:val="0"/>
          <w:bCs w:val="0"/>
          <w:color w:val="auto"/>
          <w:sz w:val="21"/>
          <w:szCs w:val="21"/>
          <w:highlight w:val="none"/>
          <w:lang w:eastAsia="zh-CN"/>
        </w:rPr>
        <w:t>、</w:t>
      </w:r>
      <w:r>
        <w:rPr>
          <w:rFonts w:hint="eastAsia" w:hAnsi="宋体"/>
          <w:b w:val="0"/>
          <w:bCs w:val="0"/>
          <w:color w:val="auto"/>
          <w:sz w:val="21"/>
          <w:szCs w:val="21"/>
          <w:highlight w:val="none"/>
        </w:rPr>
        <w:t>车辆数量要求：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eastAsia="宋体" w:cs="宋体"/>
          <w:b/>
          <w:bCs/>
          <w:color w:val="auto"/>
          <w:sz w:val="21"/>
          <w:szCs w:val="21"/>
          <w:highlight w:val="none"/>
          <w:lang w:val="en-US" w:eastAsia="zh-CN"/>
        </w:rPr>
      </w:pPr>
      <w:r>
        <w:rPr>
          <w:rFonts w:hint="eastAsia" w:hAnsi="宋体" w:eastAsia="宋体" w:cs="宋体"/>
          <w:color w:val="auto"/>
          <w:sz w:val="21"/>
          <w:szCs w:val="21"/>
          <w:highlight w:val="none"/>
          <w:lang w:val="en-US" w:eastAsia="zh-CN"/>
        </w:rPr>
        <w:t>（1）本项目清障车辆为10辆及以上，其中</w:t>
      </w:r>
      <w:r>
        <w:rPr>
          <w:rFonts w:hint="eastAsia" w:ascii="宋体" w:hAnsi="宋体" w:eastAsia="宋体" w:cs="宋体"/>
          <w:color w:val="auto"/>
          <w:sz w:val="21"/>
          <w:szCs w:val="21"/>
          <w:highlight w:val="none"/>
          <w:lang w:val="en-US" w:eastAsia="zh-CN"/>
        </w:rPr>
        <w:t>自有的拖车车辆（汽车）必须不少于5辆（分别适用于大型车辆、小型车辆、摩托车等车辆的施救服务各不少于1辆），其余车辆允许中标人租赁。拖车必须法律手续齐备、车况良好、外观整洁，不得私自安装警灯、警报器。要配备足够完成采购人要求的涉案车辆拖车服务的拖车等各类车辆。中标后所有的车辆须提前向采购人备案，如有变动的，须在征得采购人同意后配备相同功能的备用车辆替代。</w:t>
      </w:r>
      <w:r>
        <w:rPr>
          <w:rFonts w:hint="eastAsia" w:hAnsi="宋体" w:eastAsia="宋体" w:cs="宋体"/>
          <w:b/>
          <w:bCs/>
          <w:color w:val="auto"/>
          <w:sz w:val="21"/>
          <w:szCs w:val="21"/>
          <w:highlight w:val="none"/>
          <w:lang w:val="en-US" w:eastAsia="zh-CN"/>
        </w:rPr>
        <w:t>投标时须提供有效行驶证的复印件并加盖公章。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租赁清障车辆需在中标通知书发出至签订合同前按采购文件要求提供，中标通知书发出满一个月，中标人仍无法提供符合采购文件要求的车辆保管场地，则采购结果作废，该中标人将不得再参与本项目的投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trike/>
          <w:dstrike w:val="0"/>
          <w:color w:val="auto"/>
          <w:sz w:val="21"/>
          <w:szCs w:val="21"/>
          <w:highlight w:val="none"/>
        </w:rPr>
      </w:pPr>
      <w:r>
        <w:rPr>
          <w:rFonts w:hint="eastAsia" w:ascii="宋体" w:hAnsi="宋体" w:eastAsia="宋体" w:cs="宋体"/>
          <w:color w:val="auto"/>
          <w:sz w:val="21"/>
          <w:szCs w:val="21"/>
          <w:highlight w:val="none"/>
        </w:rPr>
        <w:t>以上车辆数量要求仅为中标人提供的最低要求，在实际工作中如</w:t>
      </w:r>
      <w:r>
        <w:rPr>
          <w:rFonts w:hint="eastAsia" w:hAnsi="宋体" w:eastAsia="宋体" w:cs="宋体"/>
          <w:color w:val="auto"/>
          <w:sz w:val="21"/>
          <w:szCs w:val="21"/>
          <w:highlight w:val="none"/>
          <w:lang w:eastAsia="zh-CN"/>
        </w:rPr>
        <w:t>拖移服务</w:t>
      </w:r>
      <w:r>
        <w:rPr>
          <w:rFonts w:hint="eastAsia" w:ascii="宋体" w:hAnsi="宋体" w:eastAsia="宋体" w:cs="宋体"/>
          <w:color w:val="auto"/>
          <w:sz w:val="21"/>
          <w:szCs w:val="21"/>
          <w:highlight w:val="none"/>
        </w:rPr>
        <w:t>需要车辆超出上述要求，中标人应当满足。</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2" w:firstLineChars="200"/>
        <w:textAlignment w:val="auto"/>
        <w:rPr>
          <w:rFonts w:hint="eastAsia" w:hAnsi="宋体" w:eastAsia="宋体"/>
          <w:b/>
          <w:bCs/>
          <w:color w:val="auto"/>
          <w:sz w:val="21"/>
          <w:szCs w:val="21"/>
          <w:highlight w:val="none"/>
          <w:lang w:eastAsia="zh-CN"/>
        </w:rPr>
      </w:pPr>
      <w:r>
        <w:rPr>
          <w:rFonts w:hint="eastAsia" w:hAnsi="宋体" w:eastAsia="宋体" w:cs="宋体"/>
          <w:b/>
          <w:bCs/>
          <w:strike w:val="0"/>
          <w:dstrike w:val="0"/>
          <w:color w:val="auto"/>
          <w:sz w:val="21"/>
          <w:szCs w:val="21"/>
          <w:highlight w:val="none"/>
          <w:lang w:val="en-US" w:eastAsia="zh-CN"/>
        </w:rPr>
        <w:t>（3）</w:t>
      </w:r>
      <w:r>
        <w:rPr>
          <w:rFonts w:hint="eastAsia" w:hAnsi="宋体"/>
          <w:b/>
          <w:bCs/>
          <w:color w:val="auto"/>
          <w:sz w:val="21"/>
          <w:szCs w:val="21"/>
          <w:highlight w:val="none"/>
          <w:lang w:eastAsia="zh-CN"/>
        </w:rPr>
        <w:t>特殊情况下，需临时增加的</w:t>
      </w:r>
      <w:r>
        <w:rPr>
          <w:rFonts w:hint="eastAsia" w:ascii="宋体" w:hAnsi="宋体" w:eastAsia="宋体" w:cs="宋体"/>
          <w:b/>
          <w:bCs/>
          <w:color w:val="auto"/>
          <w:sz w:val="21"/>
          <w:szCs w:val="21"/>
          <w:highlight w:val="none"/>
        </w:rPr>
        <w:t>清障</w:t>
      </w:r>
      <w:r>
        <w:rPr>
          <w:rFonts w:hint="eastAsia" w:hAnsi="宋体"/>
          <w:b/>
          <w:bCs/>
          <w:color w:val="auto"/>
          <w:sz w:val="21"/>
          <w:szCs w:val="21"/>
          <w:highlight w:val="none"/>
          <w:lang w:eastAsia="zh-CN"/>
        </w:rPr>
        <w:t>车辆的，</w:t>
      </w:r>
      <w:r>
        <w:rPr>
          <w:rFonts w:hint="eastAsia" w:ascii="宋体" w:hAnsi="宋体" w:eastAsia="宋体" w:cs="宋体"/>
          <w:b/>
          <w:bCs/>
          <w:color w:val="auto"/>
          <w:sz w:val="21"/>
          <w:szCs w:val="21"/>
          <w:highlight w:val="none"/>
        </w:rPr>
        <w:t>清障</w:t>
      </w:r>
      <w:r>
        <w:rPr>
          <w:rFonts w:hint="eastAsia" w:hAnsi="宋体"/>
          <w:b/>
          <w:bCs/>
          <w:color w:val="auto"/>
          <w:sz w:val="21"/>
          <w:szCs w:val="21"/>
          <w:highlight w:val="none"/>
          <w:lang w:eastAsia="zh-CN"/>
        </w:rPr>
        <w:t>车辆租赁费用由中标人负责。</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eastAsia" w:hAnsi="宋体"/>
          <w:b w:val="0"/>
          <w:bCs w:val="0"/>
          <w:color w:val="auto"/>
          <w:sz w:val="21"/>
          <w:szCs w:val="21"/>
          <w:highlight w:val="none"/>
        </w:rPr>
      </w:pPr>
      <w:r>
        <w:rPr>
          <w:rFonts w:hint="eastAsia" w:hAnsi="宋体"/>
          <w:b w:val="0"/>
          <w:bCs w:val="0"/>
          <w:color w:val="auto"/>
          <w:sz w:val="21"/>
          <w:szCs w:val="21"/>
          <w:highlight w:val="none"/>
        </w:rPr>
        <w:t>2</w:t>
      </w:r>
      <w:r>
        <w:rPr>
          <w:rFonts w:hint="eastAsia" w:hAnsi="宋体"/>
          <w:b w:val="0"/>
          <w:bCs w:val="0"/>
          <w:color w:val="auto"/>
          <w:sz w:val="21"/>
          <w:szCs w:val="21"/>
          <w:highlight w:val="none"/>
          <w:lang w:eastAsia="zh-CN"/>
        </w:rPr>
        <w:t>、</w:t>
      </w:r>
      <w:r>
        <w:rPr>
          <w:rFonts w:hint="eastAsia" w:hAnsi="宋体"/>
          <w:b w:val="0"/>
          <w:bCs w:val="0"/>
          <w:color w:val="auto"/>
          <w:sz w:val="21"/>
          <w:szCs w:val="21"/>
          <w:highlight w:val="none"/>
        </w:rPr>
        <w:t>车辆状况要求：</w:t>
      </w:r>
    </w:p>
    <w:p>
      <w:pPr>
        <w:pStyle w:val="5"/>
        <w:keepNext w:val="0"/>
        <w:keepLines w:val="0"/>
        <w:pageBreakBefore w:val="0"/>
        <w:widowControl w:val="0"/>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中标人提供的车辆必须具有合法、完备的证照，不得提供报废、非法车辆参与</w:t>
      </w:r>
      <w:r>
        <w:rPr>
          <w:rFonts w:hint="eastAsia" w:hAnsi="宋体" w:eastAsia="宋体" w:cs="宋体"/>
          <w:color w:val="auto"/>
          <w:sz w:val="21"/>
          <w:szCs w:val="21"/>
          <w:highlight w:val="none"/>
          <w:lang w:eastAsia="zh-CN"/>
        </w:rPr>
        <w:t>拖移服务</w:t>
      </w:r>
      <w:r>
        <w:rPr>
          <w:rFonts w:hint="eastAsia" w:ascii="宋体" w:hAnsi="宋体" w:eastAsia="宋体" w:cs="宋体"/>
          <w:color w:val="auto"/>
          <w:sz w:val="21"/>
          <w:szCs w:val="21"/>
          <w:highlight w:val="none"/>
        </w:rPr>
        <w:t>；保证车况良好并配备足够、完好的交通清障辅助设备(包括枕木、警示筒、警示带等反光标志、拖车辅助轮、磅秤、千斤顶、具有夜间拍摄和录像功能的相机等)及通讯工具。中型专项作业车(含)以上车型还需增配消防器材、破拆工具等设备，以确保清障能力与通信畅通。</w:t>
      </w:r>
    </w:p>
    <w:p>
      <w:pPr>
        <w:pStyle w:val="5"/>
        <w:keepNext w:val="0"/>
        <w:keepLines w:val="0"/>
        <w:pageBreakBefore w:val="0"/>
        <w:widowControl w:val="0"/>
        <w:kinsoku/>
        <w:wordWrap/>
        <w:overflowPunct/>
        <w:topLinePunct w:val="0"/>
        <w:autoSpaceDE/>
        <w:autoSpaceDN/>
        <w:bidi w:val="0"/>
        <w:adjustRightInd/>
        <w:snapToGrid/>
        <w:spacing w:beforeLines="0" w:afterLines="0"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(2)中标人提供的所有车辆必须配备GPS及行车记录仪。</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中标人提供的车辆必须购买相应的保险，除交强险外，还应购买第三者责任险，且保险理赔时限在本项目服务期限内持续有效。</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(4)中标人须配合采购人涉案财物管理要求，并按采购人规定管理。</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(5)中标人提供的车辆 (包括租赁车辆) 必须统一喷涂中标人单位名称及投诉电话。</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(6)服务期内，中标人投入的车辆必须在有效期内，并对提供服务的车辆进行维修保养、年检等。在原服务车辆不能按时到场服务的情况下，中标人须提供同车型、同吨位的备用车辆 (具有合格、完备证照) 替代服务。</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(7)到达现场拖移服务的车辆必须能够承担并完成采购人的拖移任务。</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eastAsia" w:hAnsi="宋体"/>
          <w:b w:val="0"/>
          <w:bCs w:val="0"/>
          <w:color w:val="auto"/>
          <w:sz w:val="21"/>
          <w:szCs w:val="21"/>
          <w:highlight w:val="none"/>
        </w:rPr>
      </w:pPr>
      <w:r>
        <w:rPr>
          <w:rFonts w:hint="eastAsia" w:hAnsi="宋体"/>
          <w:b w:val="0"/>
          <w:bCs w:val="0"/>
          <w:color w:val="auto"/>
          <w:sz w:val="21"/>
          <w:szCs w:val="21"/>
          <w:highlight w:val="none"/>
        </w:rPr>
        <w:t>(8)中标人配备的车辆须在明显位置公开投诉监督电话。</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eastAsia" w:hAnsi="宋体"/>
          <w:b w:val="0"/>
          <w:bCs w:val="0"/>
          <w:color w:val="auto"/>
          <w:sz w:val="21"/>
          <w:szCs w:val="21"/>
          <w:highlight w:val="none"/>
          <w:lang w:val="en-US" w:eastAsia="zh-CN"/>
        </w:rPr>
      </w:pPr>
      <w:r>
        <w:rPr>
          <w:rFonts w:hint="eastAsia" w:hAnsi="宋体"/>
          <w:b w:val="0"/>
          <w:bCs w:val="0"/>
          <w:color w:val="auto"/>
          <w:sz w:val="21"/>
          <w:szCs w:val="21"/>
          <w:highlight w:val="none"/>
        </w:rPr>
        <w:t>3</w:t>
      </w:r>
      <w:r>
        <w:rPr>
          <w:rFonts w:hint="eastAsia" w:hAnsi="宋体"/>
          <w:b w:val="0"/>
          <w:bCs w:val="0"/>
          <w:color w:val="auto"/>
          <w:sz w:val="21"/>
          <w:szCs w:val="21"/>
          <w:highlight w:val="none"/>
          <w:lang w:eastAsia="zh-CN"/>
        </w:rPr>
        <w:t>、</w:t>
      </w:r>
      <w:r>
        <w:rPr>
          <w:rFonts w:hint="eastAsia" w:hAnsi="宋体"/>
          <w:b w:val="0"/>
          <w:bCs w:val="0"/>
          <w:color w:val="auto"/>
          <w:sz w:val="21"/>
          <w:szCs w:val="21"/>
          <w:highlight w:val="none"/>
          <w:lang w:val="en-US" w:eastAsia="zh-CN"/>
        </w:rPr>
        <w:t>人员要求：</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(1)中标人应加强作业人员拖车作业操作技能的培训。</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(2)实施拖移服务的每辆车，除合格驾驶员外，应配备至少一名熟悉业务的作业人员 (如采购人要求每台作业车辆均配备2名或以上熟悉业务作业人员的，中标人应予以满足)，保证交通清障顺利完成。</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(3)每个停车场24小时场地管理人员不得少于1人，场地管理人员要有基本的计算机操作、录入登记能力。</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(4)拖移服务人员必须统一着装，按规范流程操作，同时必须听从综合行政执法局或交警部门人员的指挥。清障车辆驾驶人、工作人员业务熟练，清障期间按规范着反光背心。</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(5)工作人员须与中标人签订劳动合同，且购买相关意外伤害保险。</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(6)拖移服务人员应报采购人备案。</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2" w:firstLineChars="200"/>
        <w:textAlignment w:val="auto"/>
        <w:rPr>
          <w:rFonts w:hint="eastAsia" w:ascii="宋体" w:hAnsi="宋体" w:eastAsia="宋体" w:cs="宋体"/>
          <w:b/>
          <w:bCs/>
          <w:color w:val="auto"/>
          <w:kern w:val="2"/>
          <w:sz w:val="21"/>
          <w:szCs w:val="21"/>
          <w:highlight w:val="none"/>
          <w:lang w:val="en-US" w:eastAsia="zh-CN" w:bidi="zh-CN"/>
        </w:rPr>
      </w:pPr>
      <w:r>
        <w:rPr>
          <w:rFonts w:hint="eastAsia" w:hAnsi="宋体" w:eastAsia="宋体" w:cs="宋体"/>
          <w:b/>
          <w:bCs/>
          <w:color w:val="auto"/>
          <w:kern w:val="2"/>
          <w:sz w:val="21"/>
          <w:szCs w:val="21"/>
          <w:highlight w:val="none"/>
          <w:lang w:val="en-US" w:eastAsia="zh-CN" w:bidi="zh-CN"/>
        </w:rPr>
        <w:t>（</w:t>
      </w:r>
      <w:r>
        <w:rPr>
          <w:rFonts w:hint="eastAsia" w:ascii="宋体" w:hAnsi="宋体" w:eastAsia="宋体" w:cs="宋体"/>
          <w:b/>
          <w:bCs/>
          <w:color w:val="auto"/>
          <w:kern w:val="2"/>
          <w:sz w:val="21"/>
          <w:szCs w:val="21"/>
          <w:highlight w:val="none"/>
          <w:lang w:val="en-US" w:eastAsia="zh-CN" w:bidi="zh-CN"/>
        </w:rPr>
        <w:t>二)作业服务要求：</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eastAsia" w:hAnsi="宋体"/>
          <w:b w:val="0"/>
          <w:bCs w:val="0"/>
          <w:color w:val="auto"/>
          <w:sz w:val="21"/>
          <w:szCs w:val="21"/>
          <w:highlight w:val="none"/>
          <w:lang w:val="en-US" w:eastAsia="zh-CN"/>
        </w:rPr>
      </w:pPr>
      <w:r>
        <w:rPr>
          <w:rFonts w:hint="eastAsia" w:hAnsi="宋体"/>
          <w:b w:val="0"/>
          <w:bCs w:val="0"/>
          <w:color w:val="auto"/>
          <w:sz w:val="21"/>
          <w:szCs w:val="21"/>
          <w:highlight w:val="none"/>
          <w:lang w:val="en-US" w:eastAsia="zh-CN"/>
        </w:rPr>
        <w:t>1、服务时间：要求中标人提供全天24小时的各类拖移服务。中标人接到采购人发出的清障指令起计，在20分钟内到达现场提供服务。</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eastAsia" w:hAnsi="宋体"/>
          <w:b w:val="0"/>
          <w:bCs w:val="0"/>
          <w:color w:val="auto"/>
          <w:sz w:val="21"/>
          <w:szCs w:val="21"/>
          <w:highlight w:val="none"/>
          <w:lang w:val="en-US" w:eastAsia="zh-CN"/>
        </w:rPr>
      </w:pPr>
      <w:r>
        <w:rPr>
          <w:rFonts w:hint="eastAsia" w:hAnsi="宋体"/>
          <w:b w:val="0"/>
          <w:bCs w:val="0"/>
          <w:color w:val="auto"/>
          <w:sz w:val="21"/>
          <w:szCs w:val="21"/>
          <w:highlight w:val="none"/>
          <w:lang w:val="en-US" w:eastAsia="zh-CN"/>
        </w:rPr>
        <w:t>2、现场作业要求</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(1)中标人应按照采购人制订的拖吊车作业规范实施作业，包括：对被拖吊车辆的检查和清点，按要求填写拖移作业单，以及按规范流程进行作业等。</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中标人应将拖移全过程进行录像并拍摄不少于3张的拖移照片，照片应当反映被拖移车辆的车号、拖车车号、现场的贴单、车辆在保管场地的位置以及拖移日期，地点特征等信息。照片由拖移单位负责保存，并定期传送给综合行政执法局或交警部门（以贴单单位为准）。作为费用结算时核对的资料，核对时发现无对应拖移照片的，采购人可拒绝支付拖车费，并对中标人进行处罚。</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(3)拖车作业人员应服从现场综合行政执法局或交警部门人员的指挥。</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(4)中标人实施拖车，必须遵守综合行政执法局或交警部门指挥室指令或现场综合行政执法局或交警部门人员的现场指令要求。</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(5)中标人作业时必须严格遵守道路交通管理规定，不得因作业而影响交通、造成交通堵塞或损坏市政设施(如因作业需要违反交通管理规定的，应经现场综合行政执法局或交警部门人员同意）。</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eastAsia" w:hAnsi="宋体"/>
          <w:b w:val="0"/>
          <w:bCs w:val="0"/>
          <w:color w:val="auto"/>
          <w:sz w:val="21"/>
          <w:szCs w:val="21"/>
          <w:highlight w:val="none"/>
          <w:lang w:val="en-US" w:eastAsia="zh-CN"/>
        </w:rPr>
      </w:pPr>
      <w:r>
        <w:rPr>
          <w:rFonts w:hint="eastAsia" w:hAnsi="宋体"/>
          <w:b w:val="0"/>
          <w:bCs w:val="0"/>
          <w:color w:val="auto"/>
          <w:sz w:val="21"/>
          <w:szCs w:val="21"/>
          <w:highlight w:val="none"/>
          <w:lang w:val="en-US" w:eastAsia="zh-CN"/>
        </w:rPr>
        <w:t>3、被清拖车辆物品处理要求：中标人应按照采购人规定的程序及规范处置被拖吊车辆的随车物品，未经采购人或当事人同意中标人不得进入被拖吊车辆的车辆内部。</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eastAsia" w:hAnsi="宋体"/>
          <w:b w:val="0"/>
          <w:bCs w:val="0"/>
          <w:color w:val="auto"/>
          <w:sz w:val="21"/>
          <w:szCs w:val="21"/>
          <w:highlight w:val="none"/>
          <w:lang w:val="en-US" w:eastAsia="zh-CN"/>
        </w:rPr>
      </w:pPr>
      <w:r>
        <w:rPr>
          <w:rFonts w:hint="eastAsia" w:hAnsi="宋体"/>
          <w:b w:val="0"/>
          <w:bCs w:val="0"/>
          <w:color w:val="auto"/>
          <w:sz w:val="21"/>
          <w:szCs w:val="21"/>
          <w:highlight w:val="none"/>
          <w:lang w:val="en-US" w:eastAsia="zh-CN"/>
        </w:rPr>
        <w:t>4、因中标人违反拖吊车作业规范和被清障车辆、物品处理、保管要求的，导致车辆（含随车物品) 损坏或遗失的，其法律、经济责任由中标人承担。</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eastAsia" w:hAnsi="宋体"/>
          <w:b w:val="0"/>
          <w:bCs w:val="0"/>
          <w:color w:val="auto"/>
          <w:sz w:val="21"/>
          <w:szCs w:val="21"/>
          <w:highlight w:val="none"/>
          <w:lang w:val="en-US" w:eastAsia="zh-CN"/>
        </w:rPr>
      </w:pPr>
      <w:r>
        <w:rPr>
          <w:rFonts w:hint="eastAsia" w:hAnsi="宋体"/>
          <w:b w:val="0"/>
          <w:bCs w:val="0"/>
          <w:color w:val="auto"/>
          <w:sz w:val="21"/>
          <w:szCs w:val="21"/>
          <w:highlight w:val="none"/>
          <w:lang w:val="en-US" w:eastAsia="zh-CN"/>
        </w:rPr>
        <w:t>5、如现场民警要求将涉案货车拖移至称重点或治超点进行称重的，中标人应予以满足，并在完成称重后，再将车辆拖移至指定的停车场。</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default" w:hAnsi="宋体"/>
          <w:b w:val="0"/>
          <w:bCs w:val="0"/>
          <w:color w:val="auto"/>
          <w:sz w:val="21"/>
          <w:szCs w:val="21"/>
          <w:highlight w:val="none"/>
          <w:lang w:val="en-US" w:eastAsia="zh-CN"/>
        </w:rPr>
      </w:pPr>
      <w:r>
        <w:rPr>
          <w:rFonts w:hint="eastAsia" w:hAnsi="宋体"/>
          <w:b w:val="0"/>
          <w:bCs w:val="0"/>
          <w:color w:val="auto"/>
          <w:sz w:val="21"/>
          <w:szCs w:val="21"/>
          <w:highlight w:val="none"/>
          <w:lang w:val="en-US" w:eastAsia="zh-CN"/>
        </w:rPr>
        <w:t>6、中标人提供涉案车辆保管时间为进入保管场地开始起至依法离开保管场地期间的全过程保管服务。停车场内有24小时能出勤的清障车辆，以交警和行政执法局贴单、发通知起，20分钟内开展清障工作。</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default" w:hAnsi="宋体"/>
          <w:b w:val="0"/>
          <w:bCs w:val="0"/>
          <w:color w:val="auto"/>
          <w:sz w:val="21"/>
          <w:szCs w:val="21"/>
          <w:highlight w:val="none"/>
          <w:lang w:val="en-US" w:eastAsia="zh-CN"/>
        </w:rPr>
      </w:pPr>
      <w:r>
        <w:rPr>
          <w:rFonts w:hint="eastAsia" w:hAnsi="宋体"/>
          <w:b w:val="0"/>
          <w:bCs w:val="0"/>
          <w:color w:val="auto"/>
          <w:sz w:val="21"/>
          <w:szCs w:val="21"/>
          <w:highlight w:val="none"/>
          <w:lang w:val="en-US" w:eastAsia="zh-CN"/>
        </w:rPr>
        <w:t>7、清障车辆配备全程录像设备，发生车辆拖移损坏的，由清障公司照价赔偿。</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8</w:t>
      </w:r>
      <w:r>
        <w:rPr>
          <w:rFonts w:hint="eastAsia" w:hAnsi="宋体" w:eastAsia="宋体" w:cs="Times New Roman"/>
          <w:b w:val="0"/>
          <w:bCs w:val="0"/>
          <w:color w:val="auto"/>
          <w:sz w:val="21"/>
          <w:szCs w:val="21"/>
          <w:highlight w:val="none"/>
          <w:lang w:val="en-US" w:eastAsia="zh-CN"/>
        </w:rPr>
        <w:t>、</w:t>
      </w:r>
      <w:r>
        <w:rPr>
          <w:rFonts w:hint="eastAsia" w:ascii="宋体" w:hAnsi="宋体" w:eastAsia="宋体" w:cs="Times New Roman"/>
          <w:b w:val="0"/>
          <w:bCs w:val="0"/>
          <w:color w:val="auto"/>
          <w:sz w:val="21"/>
          <w:szCs w:val="21"/>
          <w:highlight w:val="none"/>
          <w:lang w:val="en-US" w:eastAsia="zh-CN"/>
        </w:rPr>
        <w:t>中标人应对“拖移服务”所拖吊车辆、物品进行分类登记并定期向采购人报备。</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default"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9</w:t>
      </w:r>
      <w:r>
        <w:rPr>
          <w:rFonts w:hint="eastAsia" w:hAnsi="宋体" w:eastAsia="宋体" w:cs="Times New Roman"/>
          <w:b w:val="0"/>
          <w:bCs w:val="0"/>
          <w:color w:val="auto"/>
          <w:sz w:val="21"/>
          <w:szCs w:val="21"/>
          <w:highlight w:val="none"/>
          <w:lang w:val="en-US" w:eastAsia="zh-CN"/>
        </w:rPr>
        <w:t>、必须无条件服从</w:t>
      </w:r>
      <w:r>
        <w:rPr>
          <w:rFonts w:hint="eastAsia" w:ascii="宋体" w:hAnsi="宋体" w:eastAsia="宋体" w:cs="Times New Roman"/>
          <w:b w:val="0"/>
          <w:bCs w:val="0"/>
          <w:color w:val="auto"/>
          <w:sz w:val="21"/>
          <w:szCs w:val="21"/>
          <w:highlight w:val="none"/>
          <w:lang w:val="en-US" w:eastAsia="zh-CN"/>
        </w:rPr>
        <w:t>交警和行政执法局发出的拖车指令。</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2" w:firstLineChars="200"/>
        <w:textAlignment w:val="auto"/>
        <w:rPr>
          <w:rFonts w:hint="default" w:ascii="宋体" w:hAnsi="宋体" w:eastAsia="宋体" w:cs="宋体"/>
          <w:b/>
          <w:bCs/>
          <w:color w:val="auto"/>
          <w:kern w:val="2"/>
          <w:sz w:val="21"/>
          <w:szCs w:val="21"/>
          <w:highlight w:val="none"/>
          <w:lang w:val="en-US" w:eastAsia="zh-CN" w:bidi="zh-CN"/>
        </w:rPr>
      </w:pPr>
      <w:r>
        <w:rPr>
          <w:rFonts w:hint="eastAsia" w:ascii="宋体" w:hAnsi="宋体" w:eastAsia="宋体" w:cs="宋体"/>
          <w:b/>
          <w:bCs/>
          <w:color w:val="auto"/>
          <w:kern w:val="2"/>
          <w:sz w:val="21"/>
          <w:szCs w:val="21"/>
          <w:highlight w:val="none"/>
          <w:lang w:val="en-US" w:eastAsia="zh-CN" w:bidi="zh-CN"/>
        </w:rPr>
        <w:t>10、在承包期限内，中标人所有人员及车辆的安全事故、由于中标人原因导致第三方的事故或财产损失均由中标人自行负责，采购人不承担任何责任。</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、停车场参照《兰溪交警大队涉案车辆管理及处置规范实施细则》执行，应当建立车辆停放台账，设立车辆保管档案。</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2" w:firstLineChars="200"/>
        <w:textAlignment w:val="auto"/>
        <w:rPr>
          <w:rFonts w:hint="eastAsia" w:ascii="宋体" w:hAnsi="宋体" w:eastAsia="宋体" w:cs="宋体"/>
          <w:b/>
          <w:bCs/>
          <w:color w:val="auto"/>
          <w:kern w:val="2"/>
          <w:sz w:val="21"/>
          <w:szCs w:val="21"/>
          <w:highlight w:val="none"/>
          <w:lang w:val="en-US" w:eastAsia="zh-CN" w:bidi="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bidi="zh-CN"/>
        </w:rPr>
        <w:t>(</w:t>
      </w:r>
      <w:r>
        <w:rPr>
          <w:rFonts w:hint="eastAsia" w:hAnsi="宋体" w:eastAsia="宋体" w:cs="宋体"/>
          <w:b/>
          <w:bCs/>
          <w:color w:val="auto"/>
          <w:kern w:val="2"/>
          <w:sz w:val="21"/>
          <w:szCs w:val="21"/>
          <w:highlight w:val="none"/>
          <w:lang w:val="en-US" w:eastAsia="zh-CN" w:bidi="zh-CN"/>
        </w:rPr>
        <w:t>三</w:t>
      </w:r>
      <w:r>
        <w:rPr>
          <w:rFonts w:hint="eastAsia" w:ascii="宋体" w:hAnsi="宋体" w:eastAsia="宋体" w:cs="宋体"/>
          <w:b/>
          <w:bCs/>
          <w:color w:val="auto"/>
          <w:kern w:val="2"/>
          <w:sz w:val="21"/>
          <w:szCs w:val="21"/>
          <w:highlight w:val="none"/>
          <w:lang w:val="en-US" w:eastAsia="zh-CN" w:bidi="zh-CN"/>
        </w:rPr>
        <w:t>) 场地要求：</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eastAsia" w:hAnsi="宋体"/>
          <w:b w:val="0"/>
          <w:bCs w:val="0"/>
          <w:color w:val="auto"/>
          <w:sz w:val="21"/>
          <w:szCs w:val="21"/>
          <w:highlight w:val="none"/>
          <w:lang w:val="en-US" w:eastAsia="zh-CN"/>
        </w:rPr>
      </w:pPr>
      <w:r>
        <w:rPr>
          <w:rFonts w:hint="eastAsia" w:hAnsi="宋体"/>
          <w:b w:val="0"/>
          <w:bCs w:val="0"/>
          <w:color w:val="auto"/>
          <w:sz w:val="21"/>
          <w:szCs w:val="21"/>
          <w:highlight w:val="none"/>
          <w:lang w:val="en-US" w:eastAsia="zh-CN"/>
        </w:rPr>
        <w:t>1、中标人要提供足够完成采购人及下属单位要求的涉案车辆保管服务的保管场地，充分考虑便捷因素，场地位置应征得采购人同意。需自有停车场或者有固定租用的停车场（租赁时间不得少于服务期限，面积不得少于15亩，需在以市政府为中心3公里以外8公里以内范围），提供场地管理及拖车服务。停车场地需在中标通知书发出至签订合同前按采购文件要求提供，车辆保管场地须提前向采购人备案，采购人现场审核通过后方可签订合同。</w:t>
      </w:r>
      <w:r>
        <w:rPr>
          <w:rFonts w:hint="eastAsia" w:ascii="宋体" w:hAnsi="宋体" w:eastAsia="宋体" w:cs="Times New Roman"/>
          <w:b w:val="0"/>
          <w:bCs w:val="0"/>
          <w:color w:val="auto"/>
          <w:sz w:val="21"/>
          <w:szCs w:val="21"/>
          <w:highlight w:val="none"/>
          <w:lang w:val="en-US" w:eastAsia="zh-CN"/>
        </w:rPr>
        <w:t>中标通知书发出满一个月，中标人仍无法提供符合</w:t>
      </w:r>
      <w:r>
        <w:rPr>
          <w:rFonts w:hint="eastAsia" w:hAnsi="宋体" w:eastAsia="宋体" w:cs="Times New Roman"/>
          <w:b w:val="0"/>
          <w:bCs w:val="0"/>
          <w:color w:val="auto"/>
          <w:sz w:val="21"/>
          <w:szCs w:val="21"/>
          <w:highlight w:val="none"/>
          <w:lang w:val="en-US" w:eastAsia="zh-CN"/>
        </w:rPr>
        <w:t>采购文件</w:t>
      </w:r>
      <w:r>
        <w:rPr>
          <w:rFonts w:hint="eastAsia" w:ascii="宋体" w:hAnsi="宋体" w:eastAsia="宋体" w:cs="Times New Roman"/>
          <w:b w:val="0"/>
          <w:bCs w:val="0"/>
          <w:color w:val="auto"/>
          <w:sz w:val="21"/>
          <w:szCs w:val="21"/>
          <w:highlight w:val="none"/>
          <w:lang w:val="en-US" w:eastAsia="zh-CN"/>
        </w:rPr>
        <w:t>要求的车辆保管场地，则采购结果作废，该中标人将不得再参与本项目的投标。</w:t>
      </w:r>
      <w:r>
        <w:rPr>
          <w:rFonts w:hint="eastAsia" w:hAnsi="宋体"/>
          <w:b w:val="0"/>
          <w:bCs w:val="0"/>
          <w:color w:val="auto"/>
          <w:sz w:val="21"/>
          <w:szCs w:val="21"/>
          <w:highlight w:val="none"/>
          <w:lang w:val="en-US" w:eastAsia="zh-CN"/>
        </w:rPr>
        <w:t>如车辆保管场地有变动的，须在征得采购人同意后落实同一区域且不少于原有保管场地面积的备用保管场替代。</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eastAsia" w:hAnsi="宋体"/>
          <w:b w:val="0"/>
          <w:bCs w:val="0"/>
          <w:color w:val="auto"/>
          <w:sz w:val="21"/>
          <w:szCs w:val="21"/>
          <w:highlight w:val="none"/>
          <w:lang w:val="en-US" w:eastAsia="zh-CN"/>
        </w:rPr>
      </w:pPr>
      <w:r>
        <w:rPr>
          <w:rFonts w:hint="eastAsia" w:hAnsi="宋体"/>
          <w:b w:val="0"/>
          <w:bCs w:val="0"/>
          <w:color w:val="auto"/>
          <w:sz w:val="21"/>
          <w:szCs w:val="21"/>
          <w:highlight w:val="none"/>
          <w:lang w:val="en-US" w:eastAsia="zh-CN"/>
        </w:rPr>
        <w:t>2、中标人提供的保管场地须有合法、完备的手续，保证保管场地适合车辆停放，并设有汽车停放区、非汽车停放区，做到妥善保管。</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eastAsia" w:ascii="宋体" w:hAnsi="宋体" w:eastAsia="宋体" w:cs="Times New Roman"/>
          <w:b w:val="0"/>
          <w:bCs w:val="0"/>
          <w:color w:val="auto"/>
          <w:sz w:val="21"/>
          <w:szCs w:val="21"/>
          <w:highlight w:val="none"/>
          <w:lang w:val="en-US" w:eastAsia="zh-CN"/>
        </w:rPr>
      </w:pPr>
      <w:r>
        <w:rPr>
          <w:rFonts w:hint="eastAsia" w:hAnsi="宋体"/>
          <w:b w:val="0"/>
          <w:bCs w:val="0"/>
          <w:color w:val="auto"/>
          <w:sz w:val="21"/>
          <w:szCs w:val="21"/>
          <w:highlight w:val="none"/>
          <w:lang w:val="en-US" w:eastAsia="zh-CN"/>
        </w:rPr>
        <w:t>3、中标人提供的保管场地须严格落实治安消防安全管理制度， 配备封闭式围墙、防盗监控系统、消防灭火设备、防火隔离通道、数码相机、电脑等设施，</w:t>
      </w:r>
      <w:r>
        <w:rPr>
          <w:rFonts w:hint="eastAsia" w:ascii="宋体" w:hAnsi="宋体" w:eastAsia="宋体" w:cs="Times New Roman"/>
          <w:b w:val="0"/>
          <w:bCs w:val="0"/>
          <w:color w:val="auto"/>
          <w:sz w:val="21"/>
          <w:szCs w:val="21"/>
          <w:highlight w:val="none"/>
          <w:lang w:val="en-US" w:eastAsia="zh-CN"/>
        </w:rPr>
        <w:t>每处保管场地有效意外损失保险在500万(含) 以上。</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default"/>
          <w:color w:val="auto"/>
          <w:highlight w:val="none"/>
          <w:lang w:val="en-US" w:eastAsia="zh-CN"/>
        </w:rPr>
      </w:pPr>
      <w:r>
        <w:rPr>
          <w:rFonts w:hint="eastAsia" w:hAnsi="宋体"/>
          <w:b w:val="0"/>
          <w:bCs w:val="0"/>
          <w:color w:val="auto"/>
          <w:sz w:val="21"/>
          <w:szCs w:val="21"/>
          <w:highlight w:val="none"/>
          <w:lang w:val="en-US" w:eastAsia="zh-CN"/>
        </w:rPr>
        <w:t>4、中标人提供的停车场监控全覆盖，保管场地的车辆出入口及车辆停放位置须安装视频监控系统，系统可实现对整个保管场地进行监控，且监控记录可保存3个月以上，并能正常回放。</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default" w:hAnsi="宋体"/>
          <w:b w:val="0"/>
          <w:bCs w:val="0"/>
          <w:color w:val="auto"/>
          <w:sz w:val="21"/>
          <w:szCs w:val="21"/>
          <w:highlight w:val="none"/>
          <w:lang w:val="en-US" w:eastAsia="zh-CN"/>
        </w:rPr>
      </w:pPr>
      <w:r>
        <w:rPr>
          <w:rFonts w:hint="eastAsia" w:hAnsi="宋体"/>
          <w:b w:val="0"/>
          <w:bCs w:val="0"/>
          <w:color w:val="auto"/>
          <w:sz w:val="21"/>
          <w:szCs w:val="21"/>
          <w:highlight w:val="none"/>
          <w:lang w:val="en-US" w:eastAsia="zh-CN"/>
        </w:rPr>
        <w:t>5、需做到停车场车辆管理规定上墙，对于“拖移服务”的车辆中标人不得向车主违规收取保管费。</w:t>
      </w:r>
    </w:p>
    <w:p>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22" w:firstLineChars="200"/>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6、停车场需有能遮风挡雨的设施。</w:t>
      </w:r>
    </w:p>
    <w:p>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22" w:firstLineChars="200"/>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7、停车场内区域应合理划分，本项目的车辆不得与其他车辆混合保管。</w:t>
      </w:r>
    </w:p>
    <w:p>
      <w:pPr>
        <w:pStyle w:val="3"/>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right="0" w:firstLine="422" w:firstLineChars="200"/>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其他要求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中标人作业管理期间，必须确保工作人员安全，并办理意外保险，在开展涉案车辆拖车服务过程中发生交通事故、作业事故或其他意外，造成中标人的车辆损坏、工作人员伤害的，由中标人自行负责；造成涉案车辆损坏、其他人员伤害、物品损坏、车内物品及油料失少等其他损失的，均由中标人负责赔偿。如发生一切安全事故，采购人一概不负责，均由中标人承担一切责任和损失，投标人在投标文件中必须予以明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（2）拖车过程中有交通安全违法行为，造成拖车或被拖车辆被记录的，由中标人承担责任。</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right="0" w:rightChars="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四</w:t>
      </w:r>
      <w:r>
        <w:rPr>
          <w:rFonts w:hint="eastAsia" w:ascii="宋体" w:hAnsi="宋体" w:eastAsia="宋体" w:cs="宋体"/>
          <w:color w:val="auto"/>
          <w:sz w:val="21"/>
          <w:szCs w:val="21"/>
          <w:highlight w:val="none"/>
        </w:rPr>
        <w:t>、 项目管理及考评处罚办法</w:t>
      </w:r>
    </w:p>
    <w:p>
      <w:pPr>
        <w:keepNext w:val="0"/>
        <w:keepLines w:val="0"/>
        <w:pageBreakBefore w:val="0"/>
        <w:widowControl w:val="0"/>
        <w:kinsoku/>
        <w:wordWrap/>
        <w:overflowPunct/>
        <w:topLinePunct w:val="0"/>
        <w:autoSpaceDE/>
        <w:autoSpaceDN/>
        <w:bidi w:val="0"/>
        <w:adjustRightInd w:val="0"/>
        <w:snapToGrid w:val="0"/>
        <w:spacing w:line="400" w:lineRule="exact"/>
        <w:ind w:right="0" w:firstLine="422" w:firstLineChars="200"/>
        <w:jc w:val="left"/>
        <w:textAlignment w:val="auto"/>
        <w:rPr>
          <w:rFonts w:hint="eastAsia" w:ascii="宋体" w:hAnsi="宋体" w:eastAsia="宋体" w:cs="宋体"/>
          <w:b/>
          <w:bCs/>
          <w:color w:val="auto"/>
          <w:kern w:val="2"/>
          <w:sz w:val="21"/>
          <w:szCs w:val="21"/>
          <w:highlight w:val="none"/>
          <w:lang w:val="en-US" w:eastAsia="zh-CN" w:bidi="zh-CN"/>
        </w:rPr>
      </w:pPr>
      <w:r>
        <w:rPr>
          <w:rFonts w:hint="eastAsia" w:ascii="宋体" w:hAnsi="宋体" w:eastAsia="宋体" w:cs="宋体"/>
          <w:b/>
          <w:bCs/>
          <w:color w:val="auto"/>
          <w:kern w:val="2"/>
          <w:sz w:val="21"/>
          <w:szCs w:val="21"/>
          <w:highlight w:val="none"/>
          <w:lang w:val="en-US" w:eastAsia="zh-CN" w:bidi="zh-CN"/>
        </w:rPr>
        <w:t>(一)项目管理要求：</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eastAsia" w:hAnsi="宋体"/>
          <w:b w:val="0"/>
          <w:bCs w:val="0"/>
          <w:color w:val="auto"/>
          <w:sz w:val="21"/>
          <w:szCs w:val="21"/>
          <w:highlight w:val="none"/>
          <w:lang w:val="en-US" w:eastAsia="zh-CN"/>
        </w:rPr>
      </w:pPr>
      <w:r>
        <w:rPr>
          <w:rFonts w:hint="eastAsia" w:hAnsi="宋体"/>
          <w:b w:val="0"/>
          <w:bCs w:val="0"/>
          <w:color w:val="auto"/>
          <w:sz w:val="21"/>
          <w:szCs w:val="21"/>
          <w:highlight w:val="none"/>
          <w:lang w:val="en-US" w:eastAsia="zh-CN"/>
        </w:rPr>
        <w:t>1、中标人应以综合行政执法局或交警大队为单位设立拖移车辆台账(并建立电子台账传送至采购人指定部门以便核对)，把拖移车辆的车号、车型、拖移日期、违停地点等信息登记完整，并由综合行政执法局或交警部门审核后作为费用结算的依据。</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eastAsia" w:hAnsi="宋体"/>
          <w:b w:val="0"/>
          <w:bCs w:val="0"/>
          <w:color w:val="auto"/>
          <w:sz w:val="21"/>
          <w:szCs w:val="21"/>
          <w:highlight w:val="none"/>
          <w:lang w:val="en-US" w:eastAsia="zh-CN"/>
        </w:rPr>
      </w:pPr>
      <w:r>
        <w:rPr>
          <w:rFonts w:hint="eastAsia" w:hAnsi="宋体"/>
          <w:b w:val="0"/>
          <w:bCs w:val="0"/>
          <w:color w:val="auto"/>
          <w:sz w:val="21"/>
          <w:szCs w:val="21"/>
          <w:highlight w:val="none"/>
          <w:lang w:val="en-US" w:eastAsia="zh-CN"/>
        </w:rPr>
        <w:t>2、采购人将不定期对中标人的作业情况及台账登记情况进行检查。</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eastAsia" w:hAnsi="宋体"/>
          <w:b w:val="0"/>
          <w:bCs w:val="0"/>
          <w:color w:val="auto"/>
          <w:sz w:val="21"/>
          <w:szCs w:val="21"/>
          <w:highlight w:val="none"/>
          <w:lang w:val="en-US" w:eastAsia="zh-CN"/>
        </w:rPr>
      </w:pPr>
      <w:r>
        <w:rPr>
          <w:rFonts w:hint="eastAsia" w:hAnsi="宋体"/>
          <w:b w:val="0"/>
          <w:bCs w:val="0"/>
          <w:color w:val="auto"/>
          <w:sz w:val="21"/>
          <w:szCs w:val="21"/>
          <w:highlight w:val="none"/>
          <w:lang w:val="en-US" w:eastAsia="zh-CN"/>
        </w:rPr>
        <w:t>3、中标人每季度的服务费与当季度的考核总评挂钩。采购人（以</w:t>
      </w:r>
      <w:r>
        <w:rPr>
          <w:rFonts w:hint="eastAsia" w:hAnsi="宋体" w:eastAsia="宋体" w:cs="Times New Roman"/>
          <w:b w:val="0"/>
          <w:bCs w:val="0"/>
          <w:color w:val="auto"/>
          <w:sz w:val="21"/>
          <w:szCs w:val="21"/>
          <w:highlight w:val="none"/>
          <w:lang w:val="en-US" w:eastAsia="zh-CN"/>
        </w:rPr>
        <w:t>综合行政执法局或交警部门考核为准，结算时需提供考核评价表）</w:t>
      </w:r>
      <w:r>
        <w:rPr>
          <w:rFonts w:hint="eastAsia" w:hAnsi="宋体"/>
          <w:b w:val="0"/>
          <w:bCs w:val="0"/>
          <w:color w:val="auto"/>
          <w:sz w:val="21"/>
          <w:szCs w:val="21"/>
          <w:highlight w:val="none"/>
          <w:lang w:val="en-US" w:eastAsia="zh-CN"/>
        </w:rPr>
        <w:t>将对中标人拖移任务完成的质量情况进行检查、考评</w:t>
      </w:r>
      <w:r>
        <w:rPr>
          <w:rFonts w:hint="eastAsia" w:hAnsi="宋体" w:eastAsia="宋体" w:cs="Times New Roman"/>
          <w:b w:val="0"/>
          <w:bCs w:val="0"/>
          <w:color w:val="auto"/>
          <w:sz w:val="21"/>
          <w:szCs w:val="21"/>
          <w:highlight w:val="none"/>
          <w:lang w:val="en-US" w:eastAsia="zh-CN"/>
        </w:rPr>
        <w:t>，</w:t>
      </w:r>
      <w:r>
        <w:rPr>
          <w:rFonts w:hint="eastAsia" w:hAnsi="宋体"/>
          <w:b w:val="0"/>
          <w:bCs w:val="0"/>
          <w:color w:val="auto"/>
          <w:sz w:val="21"/>
          <w:szCs w:val="21"/>
          <w:highlight w:val="none"/>
          <w:lang w:val="en-US" w:eastAsia="zh-CN"/>
        </w:rPr>
        <w:t>并按照季度考核结果计算考核扣罚款和当季度实际应付的服务费用。</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eastAsia" w:hAnsi="宋体"/>
          <w:b w:val="0"/>
          <w:bCs w:val="0"/>
          <w:color w:val="auto"/>
          <w:sz w:val="21"/>
          <w:szCs w:val="21"/>
          <w:highlight w:val="none"/>
          <w:lang w:val="en-US" w:eastAsia="zh-CN"/>
        </w:rPr>
      </w:pPr>
      <w:r>
        <w:rPr>
          <w:rFonts w:hint="eastAsia" w:hAnsi="宋体"/>
          <w:b w:val="0"/>
          <w:bCs w:val="0"/>
          <w:color w:val="auto"/>
          <w:sz w:val="21"/>
          <w:szCs w:val="21"/>
          <w:highlight w:val="none"/>
          <w:lang w:val="en-US" w:eastAsia="zh-CN"/>
        </w:rPr>
        <w:t>4、采购人根据检查发现并核实的问题向中标人发出整改通知书，要求限期整改，中标人应在规定期限内实施整改，并将整改结果书面报告采购人；如中标人不按要求实施整改的， 采购人有权扣减相应的服务费用乃至中止(或终止)合同。</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default" w:hAnsi="宋体"/>
          <w:b w:val="0"/>
          <w:bCs w:val="0"/>
          <w:color w:val="auto"/>
          <w:sz w:val="21"/>
          <w:szCs w:val="21"/>
          <w:highlight w:val="none"/>
          <w:lang w:val="en-US" w:eastAsia="zh-CN"/>
        </w:rPr>
      </w:pPr>
      <w:r>
        <w:rPr>
          <w:rFonts w:hint="eastAsia" w:hAnsi="宋体"/>
          <w:b w:val="0"/>
          <w:bCs w:val="0"/>
          <w:strike w:val="0"/>
          <w:dstrike w:val="0"/>
          <w:color w:val="auto"/>
          <w:sz w:val="21"/>
          <w:szCs w:val="21"/>
          <w:highlight w:val="none"/>
          <w:lang w:val="en-US" w:eastAsia="zh-CN"/>
        </w:rPr>
        <w:t>5、</w:t>
      </w:r>
      <w:r>
        <w:rPr>
          <w:rFonts w:hint="eastAsia" w:hAnsi="宋体"/>
          <w:b w:val="0"/>
          <w:bCs w:val="0"/>
          <w:color w:val="auto"/>
          <w:sz w:val="21"/>
          <w:szCs w:val="21"/>
          <w:highlight w:val="none"/>
          <w:lang w:val="en-US" w:eastAsia="zh-CN"/>
        </w:rPr>
        <w:t>中标人出现30次及以上“对综合行政执法局或交警部门工作指令，存在推诿现象的”或“根据综合行政执法局或交警部门要求，不在规定时间内到达现场的”，采购人有权直接与中标人中止（或终止）合同。</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eastAsia" w:hAnsi="宋体"/>
          <w:b w:val="0"/>
          <w:bCs w:val="0"/>
          <w:color w:val="auto"/>
          <w:sz w:val="21"/>
          <w:szCs w:val="21"/>
          <w:highlight w:val="none"/>
          <w:lang w:val="en-US" w:eastAsia="zh-CN"/>
        </w:rPr>
      </w:pPr>
      <w:r>
        <w:rPr>
          <w:rFonts w:hint="eastAsia" w:hAnsi="宋体"/>
          <w:b w:val="0"/>
          <w:bCs w:val="0"/>
          <w:color w:val="auto"/>
          <w:sz w:val="21"/>
          <w:szCs w:val="21"/>
          <w:highlight w:val="none"/>
          <w:lang w:val="en-US" w:eastAsia="zh-CN"/>
        </w:rPr>
        <w:t>6、综合行政执法局或交警大队每月制作月度考评表，作为结算依据之一。</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00" w:lineRule="exact"/>
        <w:ind w:right="0" w:firstLine="420" w:firstLineChars="200"/>
        <w:textAlignment w:val="auto"/>
        <w:rPr>
          <w:rFonts w:hint="eastAsia" w:hAnsi="宋体"/>
          <w:b w:val="0"/>
          <w:bCs w:val="0"/>
          <w:color w:val="auto"/>
          <w:sz w:val="21"/>
          <w:szCs w:val="21"/>
          <w:highlight w:val="none"/>
          <w:lang w:val="en-US" w:eastAsia="zh-CN"/>
        </w:rPr>
      </w:pPr>
      <w:r>
        <w:rPr>
          <w:rFonts w:hint="eastAsia" w:hAnsi="宋体"/>
          <w:b w:val="0"/>
          <w:bCs w:val="0"/>
          <w:color w:val="auto"/>
          <w:sz w:val="21"/>
          <w:szCs w:val="21"/>
          <w:highlight w:val="none"/>
          <w:lang w:val="en-US" w:eastAsia="zh-CN"/>
        </w:rPr>
        <w:t>7、中标人如出现重大违规事件或因违规事件并被当事人投诉（以综合执法局及交警部门认定结果为准）、上级点名批评、媒体曝光至相关部门的，采购人有权中止 (或终止) 合同，且由此造成的损失由中标人负责。</w:t>
      </w:r>
    </w:p>
    <w:p>
      <w:pPr>
        <w:keepNext w:val="0"/>
        <w:keepLines w:val="0"/>
        <w:pageBreakBefore w:val="0"/>
        <w:widowControl w:val="0"/>
        <w:kinsoku/>
        <w:wordWrap/>
        <w:overflowPunct/>
        <w:topLinePunct w:val="0"/>
        <w:autoSpaceDE/>
        <w:autoSpaceDN/>
        <w:bidi w:val="0"/>
        <w:adjustRightInd w:val="0"/>
        <w:snapToGrid w:val="0"/>
        <w:spacing w:line="420" w:lineRule="exact"/>
        <w:ind w:right="0" w:firstLine="422" w:firstLineChars="200"/>
        <w:jc w:val="left"/>
        <w:textAlignment w:val="auto"/>
        <w:rPr>
          <w:rFonts w:hint="default" w:ascii="宋体" w:hAnsi="宋体" w:eastAsia="宋体" w:cs="宋体"/>
          <w:b/>
          <w:bCs/>
          <w:color w:val="auto"/>
          <w:kern w:val="2"/>
          <w:sz w:val="21"/>
          <w:szCs w:val="21"/>
          <w:highlight w:val="none"/>
          <w:lang w:val="en-US" w:eastAsia="zh-CN" w:bidi="zh-CN"/>
        </w:rPr>
      </w:pPr>
      <w:r>
        <w:rPr>
          <w:rFonts w:hint="eastAsia" w:ascii="宋体" w:hAnsi="宋体" w:eastAsia="宋体" w:cs="宋体"/>
          <w:b/>
          <w:bCs/>
          <w:color w:val="auto"/>
          <w:kern w:val="2"/>
          <w:sz w:val="21"/>
          <w:szCs w:val="21"/>
          <w:highlight w:val="none"/>
          <w:lang w:val="en-US" w:eastAsia="zh-CN" w:bidi="zh-CN"/>
        </w:rPr>
        <w:t>(二)考评条款（发生以下情形按500元/次扣除服务费）</w:t>
      </w:r>
    </w:p>
    <w:tbl>
      <w:tblPr>
        <w:tblStyle w:val="8"/>
        <w:tblW w:w="9219"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1"/>
        <w:gridCol w:w="6563"/>
        <w:gridCol w:w="960"/>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751" w:type="dxa"/>
            <w:noWrap w:val="0"/>
            <w:vAlign w:val="top"/>
          </w:tcPr>
          <w:p>
            <w:pPr>
              <w:pStyle w:val="10"/>
              <w:keepNext w:val="0"/>
              <w:keepLines w:val="0"/>
              <w:pageBreakBefore w:val="0"/>
              <w:widowControl w:val="0"/>
              <w:kinsoku/>
              <w:wordWrap/>
              <w:overflowPunct/>
              <w:topLinePunct w:val="0"/>
              <w:autoSpaceDE/>
              <w:autoSpaceDN/>
              <w:bidi w:val="0"/>
              <w:adjustRightInd/>
              <w:snapToGrid/>
              <w:spacing w:before="129" w:line="360" w:lineRule="auto"/>
              <w:ind w:left="114" w:right="107"/>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563" w:type="dxa"/>
            <w:noWrap w:val="0"/>
            <w:vAlign w:val="top"/>
          </w:tcPr>
          <w:p>
            <w:pPr>
              <w:pStyle w:val="10"/>
              <w:keepNext w:val="0"/>
              <w:keepLines w:val="0"/>
              <w:pageBreakBefore w:val="0"/>
              <w:widowControl w:val="0"/>
              <w:kinsoku/>
              <w:wordWrap/>
              <w:overflowPunct/>
              <w:topLinePunct w:val="0"/>
              <w:autoSpaceDE/>
              <w:autoSpaceDN/>
              <w:bidi w:val="0"/>
              <w:adjustRightInd/>
              <w:snapToGrid/>
              <w:spacing w:before="129" w:line="360" w:lineRule="auto"/>
              <w:ind w:left="114" w:right="107"/>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考</w:t>
            </w:r>
            <w:r>
              <w:rPr>
                <w:rFonts w:hint="eastAsia" w:ascii="宋体" w:hAnsi="宋体" w:eastAsia="宋体" w:cs="宋体"/>
                <w:b/>
                <w:bCs/>
                <w:color w:val="auto"/>
                <w:sz w:val="21"/>
                <w:szCs w:val="21"/>
                <w:highlight w:val="none"/>
              </w:rPr>
              <w:t>评内容</w:t>
            </w:r>
          </w:p>
        </w:tc>
        <w:tc>
          <w:tcPr>
            <w:tcW w:w="960" w:type="dxa"/>
            <w:noWrap w:val="0"/>
            <w:vAlign w:val="top"/>
          </w:tcPr>
          <w:p>
            <w:pPr>
              <w:pStyle w:val="10"/>
              <w:keepNext w:val="0"/>
              <w:keepLines w:val="0"/>
              <w:pageBreakBefore w:val="0"/>
              <w:widowControl w:val="0"/>
              <w:kinsoku/>
              <w:wordWrap/>
              <w:overflowPunct/>
              <w:topLinePunct w:val="0"/>
              <w:autoSpaceDE/>
              <w:autoSpaceDN/>
              <w:bidi w:val="0"/>
              <w:adjustRightInd/>
              <w:snapToGrid/>
              <w:spacing w:before="129" w:line="360" w:lineRule="auto"/>
              <w:ind w:left="114" w:right="107"/>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有/无</w:t>
            </w:r>
          </w:p>
        </w:tc>
        <w:tc>
          <w:tcPr>
            <w:tcW w:w="945" w:type="dxa"/>
            <w:noWrap w:val="0"/>
            <w:vAlign w:val="top"/>
          </w:tcPr>
          <w:p>
            <w:pPr>
              <w:pStyle w:val="10"/>
              <w:keepNext w:val="0"/>
              <w:keepLines w:val="0"/>
              <w:pageBreakBefore w:val="0"/>
              <w:widowControl w:val="0"/>
              <w:kinsoku/>
              <w:wordWrap/>
              <w:overflowPunct/>
              <w:topLinePunct w:val="0"/>
              <w:autoSpaceDE/>
              <w:autoSpaceDN/>
              <w:bidi w:val="0"/>
              <w:adjustRightInd/>
              <w:snapToGrid/>
              <w:spacing w:before="129" w:line="360" w:lineRule="auto"/>
              <w:ind w:left="114" w:right="107"/>
              <w:jc w:val="center"/>
              <w:textAlignment w:val="auto"/>
              <w:rPr>
                <w:rFonts w:hint="default"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751" w:type="dxa"/>
            <w:noWrap w:val="0"/>
            <w:vAlign w:val="top"/>
          </w:tcPr>
          <w:p>
            <w:pPr>
              <w:pStyle w:val="10"/>
              <w:keepNext w:val="0"/>
              <w:keepLines w:val="0"/>
              <w:pageBreakBefore w:val="0"/>
              <w:widowControl w:val="0"/>
              <w:kinsoku/>
              <w:wordWrap/>
              <w:overflowPunct/>
              <w:topLinePunct w:val="0"/>
              <w:autoSpaceDE/>
              <w:autoSpaceDN/>
              <w:bidi w:val="0"/>
              <w:adjustRightInd/>
              <w:snapToGrid/>
              <w:spacing w:before="129" w:line="360" w:lineRule="auto"/>
              <w:ind w:left="7"/>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563" w:type="dxa"/>
            <w:noWrap w:val="0"/>
            <w:vAlign w:val="top"/>
          </w:tcPr>
          <w:p>
            <w:pPr>
              <w:pStyle w:val="10"/>
              <w:keepNext w:val="0"/>
              <w:keepLines w:val="0"/>
              <w:pageBreakBefore w:val="0"/>
              <w:widowControl w:val="0"/>
              <w:kinsoku/>
              <w:wordWrap/>
              <w:overflowPunct/>
              <w:topLinePunct w:val="0"/>
              <w:autoSpaceDE/>
              <w:autoSpaceDN/>
              <w:bidi w:val="0"/>
              <w:adjustRightInd/>
              <w:snapToGrid/>
              <w:spacing w:before="129" w:line="360" w:lineRule="auto"/>
              <w:ind w:left="108"/>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根据综合行政执法</w:t>
            </w:r>
            <w:r>
              <w:rPr>
                <w:rFonts w:hint="eastAsia" w:cs="宋体"/>
                <w:color w:val="auto"/>
                <w:sz w:val="21"/>
                <w:szCs w:val="21"/>
                <w:highlight w:val="none"/>
                <w:lang w:val="en-US" w:eastAsia="zh-CN"/>
              </w:rPr>
              <w:t>局</w:t>
            </w:r>
            <w:r>
              <w:rPr>
                <w:rFonts w:hint="eastAsia" w:ascii="宋体" w:hAnsi="宋体" w:eastAsia="宋体" w:cs="宋体"/>
                <w:color w:val="auto"/>
                <w:sz w:val="21"/>
                <w:szCs w:val="21"/>
                <w:highlight w:val="none"/>
              </w:rPr>
              <w:t>或交警部门要求，</w:t>
            </w:r>
            <w:r>
              <w:rPr>
                <w:rFonts w:hint="eastAsia" w:cs="宋体"/>
                <w:color w:val="auto"/>
                <w:sz w:val="21"/>
                <w:szCs w:val="21"/>
                <w:highlight w:val="none"/>
                <w:lang w:val="en-US" w:eastAsia="zh-CN"/>
              </w:rPr>
              <w:t>不</w:t>
            </w:r>
            <w:r>
              <w:rPr>
                <w:rFonts w:hint="eastAsia" w:ascii="宋体" w:hAnsi="宋体" w:eastAsia="宋体" w:cs="宋体"/>
                <w:color w:val="auto"/>
                <w:sz w:val="21"/>
                <w:szCs w:val="21"/>
                <w:highlight w:val="none"/>
              </w:rPr>
              <w:t>在规定时间内到达现场</w:t>
            </w:r>
            <w:r>
              <w:rPr>
                <w:rFonts w:hint="eastAsia" w:cs="宋体"/>
                <w:color w:val="auto"/>
                <w:sz w:val="21"/>
                <w:szCs w:val="21"/>
                <w:highlight w:val="none"/>
                <w:lang w:val="en-US" w:eastAsia="zh-CN"/>
              </w:rPr>
              <w:t>。</w:t>
            </w:r>
          </w:p>
        </w:tc>
        <w:tc>
          <w:tcPr>
            <w:tcW w:w="960" w:type="dxa"/>
            <w:noWrap w:val="0"/>
            <w:vAlign w:val="top"/>
          </w:tcPr>
          <w:p>
            <w:pPr>
              <w:pStyle w:val="10"/>
              <w:keepNext w:val="0"/>
              <w:keepLines w:val="0"/>
              <w:pageBreakBefore w:val="0"/>
              <w:widowControl w:val="0"/>
              <w:kinsoku/>
              <w:wordWrap/>
              <w:overflowPunct/>
              <w:topLinePunct w:val="0"/>
              <w:autoSpaceDE/>
              <w:autoSpaceDN/>
              <w:bidi w:val="0"/>
              <w:adjustRightInd/>
              <w:snapToGrid/>
              <w:spacing w:before="129" w:line="360" w:lineRule="auto"/>
              <w:ind w:left="108"/>
              <w:textAlignment w:val="auto"/>
              <w:rPr>
                <w:rFonts w:hint="eastAsia" w:ascii="宋体" w:hAnsi="宋体" w:eastAsia="宋体" w:cs="宋体"/>
                <w:color w:val="auto"/>
                <w:sz w:val="21"/>
                <w:szCs w:val="21"/>
                <w:highlight w:val="none"/>
              </w:rPr>
            </w:pPr>
          </w:p>
        </w:tc>
        <w:tc>
          <w:tcPr>
            <w:tcW w:w="945" w:type="dxa"/>
            <w:noWrap w:val="0"/>
            <w:vAlign w:val="top"/>
          </w:tcPr>
          <w:p>
            <w:pPr>
              <w:pStyle w:val="10"/>
              <w:keepNext w:val="0"/>
              <w:keepLines w:val="0"/>
              <w:pageBreakBefore w:val="0"/>
              <w:widowControl w:val="0"/>
              <w:kinsoku/>
              <w:wordWrap/>
              <w:overflowPunct/>
              <w:topLinePunct w:val="0"/>
              <w:autoSpaceDE/>
              <w:autoSpaceDN/>
              <w:bidi w:val="0"/>
              <w:adjustRightInd/>
              <w:snapToGrid/>
              <w:spacing w:before="129" w:line="360" w:lineRule="auto"/>
              <w:ind w:left="108"/>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751" w:type="dxa"/>
            <w:noWrap w:val="0"/>
            <w:vAlign w:val="top"/>
          </w:tcPr>
          <w:p>
            <w:pPr>
              <w:pStyle w:val="10"/>
              <w:keepNext w:val="0"/>
              <w:keepLines w:val="0"/>
              <w:pageBreakBefore w:val="0"/>
              <w:widowControl w:val="0"/>
              <w:kinsoku/>
              <w:wordWrap/>
              <w:overflowPunct/>
              <w:topLinePunct w:val="0"/>
              <w:autoSpaceDE/>
              <w:autoSpaceDN/>
              <w:bidi w:val="0"/>
              <w:adjustRightInd/>
              <w:snapToGrid/>
              <w:spacing w:before="129" w:line="360" w:lineRule="auto"/>
              <w:ind w:left="7"/>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563" w:type="dxa"/>
            <w:noWrap w:val="0"/>
            <w:vAlign w:val="top"/>
          </w:tcPr>
          <w:p>
            <w:pPr>
              <w:pStyle w:val="10"/>
              <w:keepNext w:val="0"/>
              <w:keepLines w:val="0"/>
              <w:pageBreakBefore w:val="0"/>
              <w:widowControl w:val="0"/>
              <w:kinsoku/>
              <w:wordWrap/>
              <w:overflowPunct/>
              <w:topLinePunct w:val="0"/>
              <w:autoSpaceDE/>
              <w:autoSpaceDN/>
              <w:bidi w:val="0"/>
              <w:adjustRightInd/>
              <w:snapToGrid/>
              <w:spacing w:before="129" w:line="360" w:lineRule="auto"/>
              <w:ind w:left="108"/>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对综合行政执法</w:t>
            </w:r>
            <w:r>
              <w:rPr>
                <w:rFonts w:hint="eastAsia" w:cs="宋体"/>
                <w:color w:val="auto"/>
                <w:sz w:val="21"/>
                <w:szCs w:val="21"/>
                <w:highlight w:val="none"/>
                <w:lang w:val="en-US" w:eastAsia="zh-CN"/>
              </w:rPr>
              <w:t>局</w:t>
            </w:r>
            <w:r>
              <w:rPr>
                <w:rFonts w:hint="eastAsia" w:ascii="宋体" w:hAnsi="宋体" w:eastAsia="宋体" w:cs="宋体"/>
                <w:color w:val="auto"/>
                <w:sz w:val="21"/>
                <w:szCs w:val="21"/>
                <w:highlight w:val="none"/>
              </w:rPr>
              <w:t>或交警部门工作指令，存在推诿现象</w:t>
            </w:r>
            <w:r>
              <w:rPr>
                <w:rFonts w:hint="eastAsia" w:ascii="宋体" w:hAnsi="宋体" w:eastAsia="宋体" w:cs="宋体"/>
                <w:color w:val="auto"/>
                <w:sz w:val="21"/>
                <w:szCs w:val="21"/>
                <w:highlight w:val="none"/>
                <w:lang w:val="en-US" w:eastAsia="zh-CN"/>
              </w:rPr>
              <w:t>。</w:t>
            </w:r>
          </w:p>
        </w:tc>
        <w:tc>
          <w:tcPr>
            <w:tcW w:w="960" w:type="dxa"/>
            <w:noWrap w:val="0"/>
            <w:vAlign w:val="top"/>
          </w:tcPr>
          <w:p>
            <w:pPr>
              <w:pStyle w:val="10"/>
              <w:keepNext w:val="0"/>
              <w:keepLines w:val="0"/>
              <w:pageBreakBefore w:val="0"/>
              <w:widowControl w:val="0"/>
              <w:kinsoku/>
              <w:wordWrap/>
              <w:overflowPunct/>
              <w:topLinePunct w:val="0"/>
              <w:autoSpaceDE/>
              <w:autoSpaceDN/>
              <w:bidi w:val="0"/>
              <w:adjustRightInd/>
              <w:snapToGrid/>
              <w:spacing w:before="129" w:line="360" w:lineRule="auto"/>
              <w:ind w:left="108"/>
              <w:textAlignment w:val="auto"/>
              <w:rPr>
                <w:rFonts w:hint="eastAsia" w:ascii="宋体" w:hAnsi="宋体" w:eastAsia="宋体" w:cs="宋体"/>
                <w:color w:val="auto"/>
                <w:sz w:val="21"/>
                <w:szCs w:val="21"/>
                <w:highlight w:val="none"/>
              </w:rPr>
            </w:pPr>
          </w:p>
        </w:tc>
        <w:tc>
          <w:tcPr>
            <w:tcW w:w="945" w:type="dxa"/>
            <w:noWrap w:val="0"/>
            <w:vAlign w:val="top"/>
          </w:tcPr>
          <w:p>
            <w:pPr>
              <w:pStyle w:val="10"/>
              <w:keepNext w:val="0"/>
              <w:keepLines w:val="0"/>
              <w:pageBreakBefore w:val="0"/>
              <w:widowControl w:val="0"/>
              <w:kinsoku/>
              <w:wordWrap/>
              <w:overflowPunct/>
              <w:topLinePunct w:val="0"/>
              <w:autoSpaceDE/>
              <w:autoSpaceDN/>
              <w:bidi w:val="0"/>
              <w:adjustRightInd/>
              <w:snapToGrid/>
              <w:spacing w:before="129" w:line="360" w:lineRule="auto"/>
              <w:ind w:left="108"/>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51" w:type="dxa"/>
            <w:noWrap w:val="0"/>
            <w:vAlign w:val="top"/>
          </w:tcPr>
          <w:p>
            <w:pPr>
              <w:pStyle w:val="10"/>
              <w:keepNext w:val="0"/>
              <w:keepLines w:val="0"/>
              <w:pageBreakBefore w:val="0"/>
              <w:widowControl w:val="0"/>
              <w:kinsoku/>
              <w:wordWrap/>
              <w:overflowPunct/>
              <w:topLinePunct w:val="0"/>
              <w:autoSpaceDE/>
              <w:autoSpaceDN/>
              <w:bidi w:val="0"/>
              <w:adjustRightInd/>
              <w:snapToGrid/>
              <w:spacing w:before="130" w:line="360" w:lineRule="auto"/>
              <w:ind w:left="7"/>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563" w:type="dxa"/>
            <w:noWrap w:val="0"/>
            <w:vAlign w:val="top"/>
          </w:tcPr>
          <w:p>
            <w:pPr>
              <w:pStyle w:val="10"/>
              <w:keepNext w:val="0"/>
              <w:keepLines w:val="0"/>
              <w:pageBreakBefore w:val="0"/>
              <w:widowControl w:val="0"/>
              <w:kinsoku/>
              <w:wordWrap/>
              <w:overflowPunct/>
              <w:topLinePunct w:val="0"/>
              <w:autoSpaceDE/>
              <w:autoSpaceDN/>
              <w:bidi w:val="0"/>
              <w:adjustRightInd/>
              <w:snapToGrid/>
              <w:spacing w:before="130" w:line="360" w:lineRule="auto"/>
              <w:ind w:left="108"/>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出动拖车不按规定配带有关设备的</w:t>
            </w:r>
            <w:r>
              <w:rPr>
                <w:rFonts w:hint="eastAsia" w:cs="宋体"/>
                <w:color w:val="auto"/>
                <w:sz w:val="21"/>
                <w:szCs w:val="21"/>
                <w:highlight w:val="none"/>
                <w:lang w:eastAsia="zh-CN"/>
              </w:rPr>
              <w:t>。</w:t>
            </w:r>
          </w:p>
        </w:tc>
        <w:tc>
          <w:tcPr>
            <w:tcW w:w="960" w:type="dxa"/>
            <w:noWrap w:val="0"/>
            <w:vAlign w:val="top"/>
          </w:tcPr>
          <w:p>
            <w:pPr>
              <w:pStyle w:val="10"/>
              <w:keepNext w:val="0"/>
              <w:keepLines w:val="0"/>
              <w:pageBreakBefore w:val="0"/>
              <w:widowControl w:val="0"/>
              <w:kinsoku/>
              <w:wordWrap/>
              <w:overflowPunct/>
              <w:topLinePunct w:val="0"/>
              <w:autoSpaceDE/>
              <w:autoSpaceDN/>
              <w:bidi w:val="0"/>
              <w:adjustRightInd/>
              <w:snapToGrid/>
              <w:spacing w:before="130" w:line="360" w:lineRule="auto"/>
              <w:ind w:left="108"/>
              <w:textAlignment w:val="auto"/>
              <w:rPr>
                <w:rFonts w:hint="eastAsia" w:ascii="宋体" w:hAnsi="宋体" w:eastAsia="宋体" w:cs="宋体"/>
                <w:color w:val="auto"/>
                <w:sz w:val="21"/>
                <w:szCs w:val="21"/>
                <w:highlight w:val="none"/>
              </w:rPr>
            </w:pPr>
          </w:p>
        </w:tc>
        <w:tc>
          <w:tcPr>
            <w:tcW w:w="945" w:type="dxa"/>
            <w:noWrap w:val="0"/>
            <w:vAlign w:val="top"/>
          </w:tcPr>
          <w:p>
            <w:pPr>
              <w:pStyle w:val="10"/>
              <w:keepNext w:val="0"/>
              <w:keepLines w:val="0"/>
              <w:pageBreakBefore w:val="0"/>
              <w:widowControl w:val="0"/>
              <w:kinsoku/>
              <w:wordWrap/>
              <w:overflowPunct/>
              <w:topLinePunct w:val="0"/>
              <w:autoSpaceDE/>
              <w:autoSpaceDN/>
              <w:bidi w:val="0"/>
              <w:adjustRightInd/>
              <w:snapToGrid/>
              <w:spacing w:before="130" w:line="360" w:lineRule="auto"/>
              <w:ind w:left="108"/>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751" w:type="dxa"/>
            <w:noWrap w:val="0"/>
            <w:vAlign w:val="top"/>
          </w:tcPr>
          <w:p>
            <w:pPr>
              <w:pStyle w:val="10"/>
              <w:keepNext w:val="0"/>
              <w:keepLines w:val="0"/>
              <w:pageBreakBefore w:val="0"/>
              <w:widowControl w:val="0"/>
              <w:kinsoku/>
              <w:wordWrap/>
              <w:overflowPunct/>
              <w:topLinePunct w:val="0"/>
              <w:autoSpaceDE/>
              <w:autoSpaceDN/>
              <w:bidi w:val="0"/>
              <w:adjustRightInd/>
              <w:snapToGrid/>
              <w:spacing w:before="128" w:line="360" w:lineRule="auto"/>
              <w:ind w:left="7" w:leftChars="0"/>
              <w:jc w:val="center"/>
              <w:textAlignment w:val="auto"/>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rPr>
              <w:t>4</w:t>
            </w:r>
          </w:p>
        </w:tc>
        <w:tc>
          <w:tcPr>
            <w:tcW w:w="6563" w:type="dxa"/>
            <w:noWrap w:val="0"/>
            <w:vAlign w:val="top"/>
          </w:tcPr>
          <w:p>
            <w:pPr>
              <w:pStyle w:val="10"/>
              <w:keepNext w:val="0"/>
              <w:keepLines w:val="0"/>
              <w:pageBreakBefore w:val="0"/>
              <w:widowControl w:val="0"/>
              <w:kinsoku/>
              <w:wordWrap/>
              <w:overflowPunct/>
              <w:topLinePunct w:val="0"/>
              <w:autoSpaceDE/>
              <w:autoSpaceDN/>
              <w:bidi w:val="0"/>
              <w:adjustRightInd/>
              <w:snapToGrid/>
              <w:spacing w:before="13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未按采</w:t>
            </w:r>
            <w:bookmarkStart w:id="0" w:name="_GoBack"/>
            <w:bookmarkEnd w:id="0"/>
            <w:r>
              <w:rPr>
                <w:rFonts w:hint="eastAsia" w:ascii="宋体" w:hAnsi="宋体" w:eastAsia="宋体" w:cs="宋体"/>
                <w:color w:val="auto"/>
                <w:sz w:val="21"/>
                <w:szCs w:val="21"/>
                <w:highlight w:val="none"/>
              </w:rPr>
              <w:t>购人要求备勤的（包括未按规定时间、地点、车型、人员配备备勤或自行收勤）的</w:t>
            </w:r>
            <w:r>
              <w:rPr>
                <w:rFonts w:hint="eastAsia" w:ascii="宋体" w:hAnsi="宋体" w:eastAsia="宋体" w:cs="宋体"/>
                <w:color w:val="auto"/>
                <w:sz w:val="21"/>
                <w:szCs w:val="21"/>
                <w:highlight w:val="none"/>
                <w:lang w:val="en-US" w:eastAsia="zh-CN"/>
              </w:rPr>
              <w:t>。</w:t>
            </w:r>
          </w:p>
        </w:tc>
        <w:tc>
          <w:tcPr>
            <w:tcW w:w="960" w:type="dxa"/>
            <w:noWrap w:val="0"/>
            <w:vAlign w:val="top"/>
          </w:tcPr>
          <w:p>
            <w:pPr>
              <w:pStyle w:val="10"/>
              <w:keepNext w:val="0"/>
              <w:keepLines w:val="0"/>
              <w:pageBreakBefore w:val="0"/>
              <w:widowControl w:val="0"/>
              <w:kinsoku/>
              <w:wordWrap/>
              <w:overflowPunct/>
              <w:topLinePunct w:val="0"/>
              <w:autoSpaceDE/>
              <w:autoSpaceDN/>
              <w:bidi w:val="0"/>
              <w:adjustRightInd/>
              <w:snapToGrid/>
              <w:spacing w:before="130" w:line="360" w:lineRule="auto"/>
              <w:textAlignment w:val="auto"/>
              <w:rPr>
                <w:rFonts w:hint="eastAsia" w:ascii="宋体" w:hAnsi="宋体" w:eastAsia="宋体" w:cs="宋体"/>
                <w:color w:val="auto"/>
                <w:sz w:val="21"/>
                <w:szCs w:val="21"/>
                <w:highlight w:val="none"/>
              </w:rPr>
            </w:pPr>
          </w:p>
        </w:tc>
        <w:tc>
          <w:tcPr>
            <w:tcW w:w="945" w:type="dxa"/>
            <w:noWrap w:val="0"/>
            <w:vAlign w:val="top"/>
          </w:tcPr>
          <w:p>
            <w:pPr>
              <w:pStyle w:val="10"/>
              <w:keepNext w:val="0"/>
              <w:keepLines w:val="0"/>
              <w:pageBreakBefore w:val="0"/>
              <w:widowControl w:val="0"/>
              <w:kinsoku/>
              <w:wordWrap/>
              <w:overflowPunct/>
              <w:topLinePunct w:val="0"/>
              <w:autoSpaceDE/>
              <w:autoSpaceDN/>
              <w:bidi w:val="0"/>
              <w:adjustRightInd/>
              <w:snapToGrid/>
              <w:spacing w:before="130" w:line="360" w:lineRule="auto"/>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51"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128" w:line="360" w:lineRule="auto"/>
              <w:jc w:val="center"/>
              <w:textAlignment w:val="auto"/>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rPr>
              <w:t>5</w:t>
            </w:r>
          </w:p>
        </w:tc>
        <w:tc>
          <w:tcPr>
            <w:tcW w:w="6563" w:type="dxa"/>
            <w:noWrap w:val="0"/>
            <w:vAlign w:val="top"/>
          </w:tcPr>
          <w:p>
            <w:pPr>
              <w:pStyle w:val="10"/>
              <w:keepNext w:val="0"/>
              <w:keepLines w:val="0"/>
              <w:pageBreakBefore w:val="0"/>
              <w:widowControl w:val="0"/>
              <w:kinsoku/>
              <w:wordWrap/>
              <w:overflowPunct/>
              <w:topLinePunct w:val="0"/>
              <w:autoSpaceDE/>
              <w:autoSpaceDN/>
              <w:bidi w:val="0"/>
              <w:adjustRightInd/>
              <w:snapToGrid/>
              <w:spacing w:before="128"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违规收取当事人有关费用的</w:t>
            </w:r>
            <w:r>
              <w:rPr>
                <w:rFonts w:hint="eastAsia" w:cs="宋体"/>
                <w:color w:val="auto"/>
                <w:sz w:val="21"/>
                <w:szCs w:val="21"/>
                <w:highlight w:val="none"/>
                <w:lang w:val="en-US" w:eastAsia="zh-CN"/>
              </w:rPr>
              <w:t>。</w:t>
            </w:r>
          </w:p>
        </w:tc>
        <w:tc>
          <w:tcPr>
            <w:tcW w:w="960" w:type="dxa"/>
            <w:noWrap w:val="0"/>
            <w:vAlign w:val="top"/>
          </w:tcPr>
          <w:p>
            <w:pPr>
              <w:pStyle w:val="10"/>
              <w:keepNext w:val="0"/>
              <w:keepLines w:val="0"/>
              <w:pageBreakBefore w:val="0"/>
              <w:widowControl w:val="0"/>
              <w:kinsoku/>
              <w:wordWrap/>
              <w:overflowPunct/>
              <w:topLinePunct w:val="0"/>
              <w:autoSpaceDE/>
              <w:autoSpaceDN/>
              <w:bidi w:val="0"/>
              <w:adjustRightInd/>
              <w:snapToGrid/>
              <w:spacing w:before="128" w:line="360" w:lineRule="auto"/>
              <w:ind w:left="108"/>
              <w:textAlignment w:val="auto"/>
              <w:rPr>
                <w:rFonts w:hint="eastAsia" w:ascii="宋体" w:hAnsi="宋体" w:eastAsia="宋体" w:cs="宋体"/>
                <w:color w:val="auto"/>
                <w:sz w:val="21"/>
                <w:szCs w:val="21"/>
                <w:highlight w:val="none"/>
              </w:rPr>
            </w:pPr>
          </w:p>
        </w:tc>
        <w:tc>
          <w:tcPr>
            <w:tcW w:w="945" w:type="dxa"/>
            <w:noWrap w:val="0"/>
            <w:vAlign w:val="top"/>
          </w:tcPr>
          <w:p>
            <w:pPr>
              <w:pStyle w:val="10"/>
              <w:keepNext w:val="0"/>
              <w:keepLines w:val="0"/>
              <w:pageBreakBefore w:val="0"/>
              <w:widowControl w:val="0"/>
              <w:kinsoku/>
              <w:wordWrap/>
              <w:overflowPunct/>
              <w:topLinePunct w:val="0"/>
              <w:autoSpaceDE/>
              <w:autoSpaceDN/>
              <w:bidi w:val="0"/>
              <w:adjustRightInd/>
              <w:snapToGrid/>
              <w:spacing w:before="128" w:line="360" w:lineRule="auto"/>
              <w:ind w:left="108"/>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51" w:type="dxa"/>
            <w:noWrap w:val="0"/>
            <w:vAlign w:val="top"/>
          </w:tcPr>
          <w:p>
            <w:pPr>
              <w:pStyle w:val="10"/>
              <w:keepNext w:val="0"/>
              <w:keepLines w:val="0"/>
              <w:pageBreakBefore w:val="0"/>
              <w:widowControl w:val="0"/>
              <w:kinsoku/>
              <w:wordWrap/>
              <w:overflowPunct/>
              <w:topLinePunct w:val="0"/>
              <w:autoSpaceDE/>
              <w:autoSpaceDN/>
              <w:bidi w:val="0"/>
              <w:adjustRightInd/>
              <w:snapToGrid/>
              <w:spacing w:before="129" w:line="360" w:lineRule="auto"/>
              <w:ind w:left="7" w:leftChars="0"/>
              <w:jc w:val="center"/>
              <w:textAlignment w:val="auto"/>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rPr>
              <w:t>6</w:t>
            </w:r>
          </w:p>
        </w:tc>
        <w:tc>
          <w:tcPr>
            <w:tcW w:w="6563"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128" w:line="360" w:lineRule="auto"/>
              <w:ind w:left="108"/>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服务问题造成当事人投诉，造成不良影响，倒查属实的</w:t>
            </w:r>
            <w:r>
              <w:rPr>
                <w:rFonts w:hint="eastAsia" w:cs="宋体"/>
                <w:color w:val="auto"/>
                <w:sz w:val="21"/>
                <w:szCs w:val="21"/>
                <w:highlight w:val="none"/>
                <w:lang w:eastAsia="zh-CN"/>
              </w:rPr>
              <w:t>。</w:t>
            </w:r>
          </w:p>
        </w:tc>
        <w:tc>
          <w:tcPr>
            <w:tcW w:w="960"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128" w:line="360" w:lineRule="auto"/>
              <w:ind w:left="108"/>
              <w:jc w:val="left"/>
              <w:textAlignment w:val="auto"/>
              <w:rPr>
                <w:rFonts w:hint="eastAsia" w:ascii="宋体" w:hAnsi="宋体" w:eastAsia="宋体" w:cs="宋体"/>
                <w:color w:val="auto"/>
                <w:sz w:val="21"/>
                <w:szCs w:val="21"/>
                <w:highlight w:val="none"/>
              </w:rPr>
            </w:pPr>
          </w:p>
        </w:tc>
        <w:tc>
          <w:tcPr>
            <w:tcW w:w="945"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128" w:line="360" w:lineRule="auto"/>
              <w:ind w:left="108"/>
              <w:jc w:val="left"/>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751"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129" w:line="360" w:lineRule="auto"/>
              <w:ind w:left="7"/>
              <w:jc w:val="center"/>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7</w:t>
            </w:r>
          </w:p>
        </w:tc>
        <w:tc>
          <w:tcPr>
            <w:tcW w:w="6563" w:type="dxa"/>
            <w:noWrap w:val="0"/>
            <w:vAlign w:val="top"/>
          </w:tcPr>
          <w:p>
            <w:pPr>
              <w:pStyle w:val="10"/>
              <w:keepNext w:val="0"/>
              <w:keepLines w:val="0"/>
              <w:pageBreakBefore w:val="0"/>
              <w:widowControl w:val="0"/>
              <w:kinsoku/>
              <w:wordWrap/>
              <w:overflowPunct/>
              <w:topLinePunct w:val="0"/>
              <w:autoSpaceDE/>
              <w:autoSpaceDN/>
              <w:bidi w:val="0"/>
              <w:adjustRightInd/>
              <w:snapToGrid/>
              <w:spacing w:before="129"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w:t>
            </w:r>
            <w:r>
              <w:rPr>
                <w:rFonts w:hint="eastAsia" w:cs="宋体"/>
                <w:color w:val="auto"/>
                <w:sz w:val="21"/>
                <w:szCs w:val="21"/>
                <w:highlight w:val="none"/>
                <w:lang w:eastAsia="zh-CN"/>
              </w:rPr>
              <w:t>中标人</w:t>
            </w:r>
            <w:r>
              <w:rPr>
                <w:rFonts w:hint="eastAsia" w:ascii="宋体" w:hAnsi="宋体" w:eastAsia="宋体" w:cs="宋体"/>
                <w:color w:val="auto"/>
                <w:sz w:val="21"/>
                <w:szCs w:val="21"/>
                <w:highlight w:val="none"/>
              </w:rPr>
              <w:t>原因造成被拖吊车辆遗失或严重损坏（无法修复）的，</w:t>
            </w:r>
            <w:r>
              <w:rPr>
                <w:rFonts w:hint="eastAsia" w:cs="宋体"/>
                <w:color w:val="auto"/>
                <w:sz w:val="21"/>
                <w:szCs w:val="21"/>
                <w:highlight w:val="none"/>
                <w:lang w:eastAsia="zh-CN"/>
              </w:rPr>
              <w:t>中标人</w:t>
            </w:r>
            <w:r>
              <w:rPr>
                <w:rFonts w:hint="eastAsia" w:ascii="宋体" w:hAnsi="宋体" w:eastAsia="宋体" w:cs="宋体"/>
                <w:color w:val="auto"/>
                <w:sz w:val="21"/>
                <w:szCs w:val="21"/>
                <w:highlight w:val="none"/>
              </w:rPr>
              <w:t>负责对车主给予损失赔偿。</w:t>
            </w:r>
          </w:p>
        </w:tc>
        <w:tc>
          <w:tcPr>
            <w:tcW w:w="960" w:type="dxa"/>
            <w:noWrap w:val="0"/>
            <w:vAlign w:val="top"/>
          </w:tcPr>
          <w:p>
            <w:pPr>
              <w:pStyle w:val="10"/>
              <w:keepNext w:val="0"/>
              <w:keepLines w:val="0"/>
              <w:pageBreakBefore w:val="0"/>
              <w:widowControl w:val="0"/>
              <w:kinsoku/>
              <w:wordWrap/>
              <w:overflowPunct/>
              <w:topLinePunct w:val="0"/>
              <w:autoSpaceDE/>
              <w:autoSpaceDN/>
              <w:bidi w:val="0"/>
              <w:adjustRightInd/>
              <w:snapToGrid/>
              <w:spacing w:before="129" w:line="360" w:lineRule="auto"/>
              <w:ind w:left="108"/>
              <w:textAlignment w:val="auto"/>
              <w:rPr>
                <w:rFonts w:hint="eastAsia" w:ascii="宋体" w:hAnsi="宋体" w:eastAsia="宋体" w:cs="宋体"/>
                <w:color w:val="auto"/>
                <w:sz w:val="21"/>
                <w:szCs w:val="21"/>
                <w:highlight w:val="none"/>
              </w:rPr>
            </w:pPr>
          </w:p>
        </w:tc>
        <w:tc>
          <w:tcPr>
            <w:tcW w:w="945" w:type="dxa"/>
            <w:noWrap w:val="0"/>
            <w:vAlign w:val="top"/>
          </w:tcPr>
          <w:p>
            <w:pPr>
              <w:pStyle w:val="10"/>
              <w:keepNext w:val="0"/>
              <w:keepLines w:val="0"/>
              <w:pageBreakBefore w:val="0"/>
              <w:widowControl w:val="0"/>
              <w:kinsoku/>
              <w:wordWrap/>
              <w:overflowPunct/>
              <w:topLinePunct w:val="0"/>
              <w:autoSpaceDE/>
              <w:autoSpaceDN/>
              <w:bidi w:val="0"/>
              <w:adjustRightInd/>
              <w:snapToGrid/>
              <w:spacing w:before="129" w:line="360" w:lineRule="auto"/>
              <w:ind w:left="108"/>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51"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129" w:line="360" w:lineRule="auto"/>
              <w:ind w:left="7"/>
              <w:jc w:val="center"/>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8</w:t>
            </w:r>
          </w:p>
        </w:tc>
        <w:tc>
          <w:tcPr>
            <w:tcW w:w="6563" w:type="dxa"/>
            <w:noWrap w:val="0"/>
            <w:vAlign w:val="top"/>
          </w:tcPr>
          <w:p>
            <w:pPr>
              <w:pStyle w:val="10"/>
              <w:keepNext w:val="0"/>
              <w:keepLines w:val="0"/>
              <w:pageBreakBefore w:val="0"/>
              <w:widowControl w:val="0"/>
              <w:kinsoku/>
              <w:wordWrap/>
              <w:overflowPunct/>
              <w:topLinePunct w:val="0"/>
              <w:autoSpaceDE/>
              <w:autoSpaceDN/>
              <w:bidi w:val="0"/>
              <w:adjustRightInd/>
              <w:snapToGrid/>
              <w:spacing w:before="129" w:line="36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其它不当情形的</w:t>
            </w:r>
            <w:r>
              <w:rPr>
                <w:rFonts w:hint="eastAsia" w:ascii="宋体" w:hAnsi="宋体" w:eastAsia="宋体" w:cs="宋体"/>
                <w:color w:val="auto"/>
                <w:sz w:val="21"/>
                <w:szCs w:val="21"/>
                <w:highlight w:val="none"/>
                <w:lang w:val="en-US" w:eastAsia="zh-CN"/>
              </w:rPr>
              <w:t>。</w:t>
            </w:r>
          </w:p>
        </w:tc>
        <w:tc>
          <w:tcPr>
            <w:tcW w:w="960" w:type="dxa"/>
            <w:noWrap w:val="0"/>
            <w:vAlign w:val="top"/>
          </w:tcPr>
          <w:p>
            <w:pPr>
              <w:pStyle w:val="10"/>
              <w:keepNext w:val="0"/>
              <w:keepLines w:val="0"/>
              <w:pageBreakBefore w:val="0"/>
              <w:widowControl w:val="0"/>
              <w:kinsoku/>
              <w:wordWrap/>
              <w:overflowPunct/>
              <w:topLinePunct w:val="0"/>
              <w:autoSpaceDE/>
              <w:autoSpaceDN/>
              <w:bidi w:val="0"/>
              <w:adjustRightInd/>
              <w:snapToGrid/>
              <w:spacing w:before="129" w:line="360" w:lineRule="auto"/>
              <w:ind w:left="108"/>
              <w:textAlignment w:val="auto"/>
              <w:rPr>
                <w:rFonts w:hint="eastAsia" w:ascii="宋体" w:hAnsi="宋体" w:eastAsia="宋体" w:cs="宋体"/>
                <w:color w:val="auto"/>
                <w:sz w:val="21"/>
                <w:szCs w:val="21"/>
                <w:highlight w:val="none"/>
              </w:rPr>
            </w:pPr>
          </w:p>
        </w:tc>
        <w:tc>
          <w:tcPr>
            <w:tcW w:w="945" w:type="dxa"/>
            <w:noWrap w:val="0"/>
            <w:vAlign w:val="top"/>
          </w:tcPr>
          <w:p>
            <w:pPr>
              <w:pStyle w:val="10"/>
              <w:keepNext w:val="0"/>
              <w:keepLines w:val="0"/>
              <w:pageBreakBefore w:val="0"/>
              <w:widowControl w:val="0"/>
              <w:kinsoku/>
              <w:wordWrap/>
              <w:overflowPunct/>
              <w:topLinePunct w:val="0"/>
              <w:autoSpaceDE/>
              <w:autoSpaceDN/>
              <w:bidi w:val="0"/>
              <w:adjustRightInd/>
              <w:snapToGrid/>
              <w:spacing w:before="129" w:line="360" w:lineRule="auto"/>
              <w:ind w:left="108"/>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7314" w:type="dxa"/>
            <w:gridSpan w:val="2"/>
            <w:noWrap w:val="0"/>
            <w:vAlign w:val="top"/>
          </w:tcPr>
          <w:p>
            <w:pPr>
              <w:pStyle w:val="10"/>
              <w:keepNext w:val="0"/>
              <w:keepLines w:val="0"/>
              <w:pageBreakBefore w:val="0"/>
              <w:widowControl w:val="0"/>
              <w:kinsoku/>
              <w:wordWrap/>
              <w:overflowPunct/>
              <w:topLinePunct w:val="0"/>
              <w:autoSpaceDE/>
              <w:autoSpaceDN/>
              <w:bidi w:val="0"/>
              <w:adjustRightInd/>
              <w:snapToGrid/>
              <w:spacing w:line="520" w:lineRule="exact"/>
              <w:ind w:lef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综合行政执法</w:t>
            </w:r>
            <w:r>
              <w:rPr>
                <w:rFonts w:hint="eastAsia" w:cs="宋体"/>
                <w:b/>
                <w:bCs/>
                <w:color w:val="auto"/>
                <w:sz w:val="21"/>
                <w:szCs w:val="21"/>
                <w:highlight w:val="none"/>
                <w:lang w:val="en-US" w:eastAsia="zh-CN"/>
              </w:rPr>
              <w:t>局</w:t>
            </w:r>
            <w:r>
              <w:rPr>
                <w:rFonts w:hint="eastAsia" w:ascii="宋体" w:hAnsi="宋体" w:eastAsia="宋体" w:cs="宋体"/>
                <w:b/>
                <w:bCs/>
                <w:color w:val="auto"/>
                <w:sz w:val="21"/>
                <w:szCs w:val="21"/>
                <w:highlight w:val="none"/>
              </w:rPr>
              <w:t>或交警部门</w:t>
            </w:r>
            <w:r>
              <w:rPr>
                <w:rFonts w:hint="eastAsia" w:cs="宋体"/>
                <w:b/>
                <w:bCs/>
                <w:color w:val="auto"/>
                <w:sz w:val="21"/>
                <w:szCs w:val="21"/>
                <w:highlight w:val="none"/>
                <w:lang w:val="en-US" w:eastAsia="zh-CN"/>
              </w:rPr>
              <w:t>负责人</w:t>
            </w:r>
            <w:r>
              <w:rPr>
                <w:rFonts w:hint="eastAsia" w:cs="宋体"/>
                <w:b/>
                <w:bCs/>
                <w:color w:val="auto"/>
                <w:sz w:val="21"/>
                <w:szCs w:val="21"/>
                <w:highlight w:val="none"/>
                <w:lang w:eastAsia="zh-CN"/>
              </w:rPr>
              <w:t>（</w:t>
            </w:r>
            <w:r>
              <w:rPr>
                <w:rFonts w:hint="eastAsia" w:cs="宋体"/>
                <w:b/>
                <w:bCs/>
                <w:color w:val="auto"/>
                <w:sz w:val="21"/>
                <w:szCs w:val="21"/>
                <w:highlight w:val="none"/>
                <w:lang w:val="en-US" w:eastAsia="zh-CN"/>
              </w:rPr>
              <w:t>签字）</w:t>
            </w:r>
          </w:p>
        </w:tc>
        <w:tc>
          <w:tcPr>
            <w:tcW w:w="1905" w:type="dxa"/>
            <w:gridSpan w:val="2"/>
            <w:noWrap w:val="0"/>
            <w:vAlign w:val="top"/>
          </w:tcPr>
          <w:p>
            <w:pPr>
              <w:pStyle w:val="10"/>
              <w:keepNext w:val="0"/>
              <w:keepLines w:val="0"/>
              <w:pageBreakBefore w:val="0"/>
              <w:widowControl w:val="0"/>
              <w:kinsoku/>
              <w:wordWrap/>
              <w:overflowPunct/>
              <w:topLinePunct w:val="0"/>
              <w:autoSpaceDE/>
              <w:autoSpaceDN/>
              <w:bidi w:val="0"/>
              <w:adjustRightInd/>
              <w:snapToGrid/>
              <w:spacing w:before="129" w:line="360" w:lineRule="auto"/>
              <w:ind w:left="108"/>
              <w:textAlignment w:val="auto"/>
              <w:rPr>
                <w:rFonts w:hint="eastAsia" w:ascii="宋体" w:hAnsi="宋体" w:eastAsia="宋体" w:cs="宋体"/>
                <w:color w:val="auto"/>
                <w:sz w:val="21"/>
                <w:szCs w:val="21"/>
                <w:highlight w:val="none"/>
              </w:rPr>
            </w:pPr>
          </w:p>
        </w:tc>
      </w:tr>
    </w:tbl>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firstLine="422"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四</w:t>
      </w:r>
      <w:r>
        <w:rPr>
          <w:rFonts w:hint="eastAsia" w:ascii="宋体" w:hAnsi="宋体" w:eastAsia="宋体" w:cs="宋体"/>
          <w:color w:val="auto"/>
          <w:sz w:val="21"/>
          <w:szCs w:val="21"/>
          <w:highlight w:val="none"/>
        </w:rPr>
        <w:t>、付款方式</w:t>
      </w:r>
    </w:p>
    <w:p>
      <w:pPr>
        <w:keepNext w:val="0"/>
        <w:keepLines w:val="0"/>
        <w:pageBreakBefore w:val="0"/>
        <w:widowControl w:val="0"/>
        <w:kinsoku/>
        <w:wordWrap/>
        <w:overflowPunct/>
        <w:topLinePunct w:val="0"/>
        <w:autoSpaceDE/>
        <w:autoSpaceDN/>
        <w:bidi w:val="0"/>
        <w:adjustRightInd/>
        <w:snapToGrid/>
        <w:spacing w:line="400" w:lineRule="exact"/>
        <w:ind w:right="0" w:firstLine="422" w:firstLineChars="200"/>
        <w:jc w:val="left"/>
        <w:textAlignment w:val="auto"/>
        <w:rPr>
          <w:rFonts w:hint="eastAsia" w:ascii="宋体" w:hAnsi="宋体" w:eastAsia="宋体" w:cs="宋体"/>
          <w:b/>
          <w:bCs/>
          <w:color w:val="auto"/>
          <w:kern w:val="2"/>
          <w:sz w:val="21"/>
          <w:szCs w:val="21"/>
          <w:highlight w:val="none"/>
          <w:lang w:val="en-US" w:eastAsia="zh-CN" w:bidi="zh-CN"/>
        </w:rPr>
      </w:pPr>
      <w:r>
        <w:rPr>
          <w:rFonts w:hint="eastAsia" w:ascii="宋体" w:hAnsi="宋体" w:eastAsia="宋体" w:cs="宋体"/>
          <w:b/>
          <w:bCs/>
          <w:color w:val="auto"/>
          <w:kern w:val="2"/>
          <w:sz w:val="21"/>
          <w:szCs w:val="21"/>
          <w:highlight w:val="none"/>
          <w:lang w:val="en-US" w:eastAsia="zh-CN" w:bidi="zh-CN"/>
        </w:rPr>
        <w:t>(一)拖移服务计费</w:t>
      </w:r>
    </w:p>
    <w:p>
      <w:pPr>
        <w:pStyle w:val="5"/>
        <w:keepNext w:val="0"/>
        <w:keepLines w:val="0"/>
        <w:pageBreakBefore w:val="0"/>
        <w:widowControl w:val="0"/>
        <w:kinsoku/>
        <w:wordWrap/>
        <w:overflowPunct/>
        <w:topLinePunct w:val="0"/>
        <w:autoSpaceDE/>
        <w:autoSpaceDN/>
        <w:bidi w:val="0"/>
        <w:adjustRightInd/>
        <w:snapToGrid/>
        <w:spacing w:beforeLines="0" w:afterLines="0" w:line="400" w:lineRule="exact"/>
        <w:ind w:right="0" w:firstLine="420" w:firstLineChars="200"/>
        <w:textAlignment w:val="auto"/>
        <w:rPr>
          <w:rFonts w:hint="eastAsia" w:hAnsi="宋体"/>
          <w:b w:val="0"/>
          <w:bCs w:val="0"/>
          <w:color w:val="auto"/>
          <w:sz w:val="21"/>
          <w:szCs w:val="21"/>
          <w:highlight w:val="none"/>
          <w:lang w:val="en-US" w:eastAsia="zh-CN"/>
        </w:rPr>
      </w:pPr>
      <w:r>
        <w:rPr>
          <w:rFonts w:hint="eastAsia" w:hAnsi="宋体"/>
          <w:b w:val="0"/>
          <w:bCs w:val="0"/>
          <w:color w:val="auto"/>
          <w:sz w:val="21"/>
          <w:szCs w:val="21"/>
          <w:highlight w:val="none"/>
          <w:lang w:val="en-US" w:eastAsia="zh-CN"/>
        </w:rPr>
        <w:t>拖吊的交通违法违停车辆费用，由采购人按实际拖移数量与拖移单价进行结算并支付，其他车辆、物品的扣押清运费用包含在内，不再另行结算。</w:t>
      </w:r>
    </w:p>
    <w:p>
      <w:pPr>
        <w:keepNext w:val="0"/>
        <w:keepLines w:val="0"/>
        <w:pageBreakBefore w:val="0"/>
        <w:widowControl w:val="0"/>
        <w:kinsoku/>
        <w:wordWrap/>
        <w:overflowPunct/>
        <w:topLinePunct w:val="0"/>
        <w:autoSpaceDE/>
        <w:autoSpaceDN/>
        <w:bidi w:val="0"/>
        <w:adjustRightInd/>
        <w:snapToGrid/>
        <w:spacing w:line="400" w:lineRule="exact"/>
        <w:ind w:right="0" w:firstLine="422" w:firstLineChars="200"/>
        <w:jc w:val="left"/>
        <w:textAlignment w:val="auto"/>
        <w:rPr>
          <w:rFonts w:hint="eastAsia" w:ascii="宋体" w:hAnsi="宋体" w:eastAsia="宋体" w:cs="宋体"/>
          <w:b/>
          <w:bCs/>
          <w:color w:val="auto"/>
          <w:kern w:val="2"/>
          <w:sz w:val="21"/>
          <w:szCs w:val="21"/>
          <w:highlight w:val="none"/>
          <w:lang w:val="en-US" w:eastAsia="zh-CN" w:bidi="zh-CN"/>
        </w:rPr>
      </w:pPr>
      <w:r>
        <w:rPr>
          <w:rFonts w:hint="eastAsia" w:ascii="宋体" w:hAnsi="宋体" w:eastAsia="宋体" w:cs="宋体"/>
          <w:b/>
          <w:bCs/>
          <w:color w:val="auto"/>
          <w:kern w:val="2"/>
          <w:sz w:val="21"/>
          <w:szCs w:val="21"/>
          <w:highlight w:val="none"/>
          <w:lang w:val="en-US" w:eastAsia="zh-CN" w:bidi="zh-CN"/>
        </w:rPr>
        <w:t>(二)支付程序</w:t>
      </w:r>
    </w:p>
    <w:p>
      <w:pPr>
        <w:pStyle w:val="5"/>
        <w:keepNext w:val="0"/>
        <w:keepLines w:val="0"/>
        <w:pageBreakBefore w:val="0"/>
        <w:widowControl w:val="0"/>
        <w:kinsoku/>
        <w:wordWrap/>
        <w:overflowPunct/>
        <w:topLinePunct w:val="0"/>
        <w:autoSpaceDE/>
        <w:autoSpaceDN/>
        <w:bidi w:val="0"/>
        <w:adjustRightInd/>
        <w:snapToGrid/>
        <w:spacing w:beforeLines="0" w:afterLines="0" w:line="400" w:lineRule="exact"/>
        <w:ind w:firstLine="420" w:firstLineChars="200"/>
        <w:textAlignment w:val="auto"/>
        <w:rPr>
          <w:rFonts w:hint="eastAsia" w:hAnsi="宋体"/>
          <w:b w:val="0"/>
          <w:bCs w:val="0"/>
          <w:color w:val="auto"/>
          <w:sz w:val="21"/>
          <w:szCs w:val="21"/>
          <w:highlight w:val="none"/>
          <w:lang w:val="en-US" w:eastAsia="zh-CN"/>
        </w:rPr>
      </w:pPr>
      <w:r>
        <w:rPr>
          <w:rFonts w:hint="eastAsia" w:hAnsi="宋体"/>
          <w:b w:val="0"/>
          <w:bCs w:val="0"/>
          <w:color w:val="auto"/>
          <w:sz w:val="21"/>
          <w:szCs w:val="21"/>
          <w:highlight w:val="none"/>
          <w:lang w:val="en-US" w:eastAsia="zh-CN"/>
        </w:rPr>
        <w:t>1、服务费用按季度结算及支付，中标人应以综合行政执法局和交警部门的拖移车辆数及其他服务情况为统计单位于次月10日前提交上月度报账表及相关资料给所服务的综合行政执法局和交警部门进行审计，所服务的综合行政执法局和交警部门于次月20日要完成审核，以便采购人及相关部门办理支付手续。</w:t>
      </w:r>
    </w:p>
    <w:p>
      <w:pPr>
        <w:pStyle w:val="5"/>
        <w:keepNext w:val="0"/>
        <w:keepLines w:val="0"/>
        <w:pageBreakBefore w:val="0"/>
        <w:widowControl w:val="0"/>
        <w:kinsoku/>
        <w:wordWrap/>
        <w:overflowPunct/>
        <w:topLinePunct w:val="0"/>
        <w:autoSpaceDE/>
        <w:autoSpaceDN/>
        <w:bidi w:val="0"/>
        <w:adjustRightInd/>
        <w:snapToGrid/>
        <w:spacing w:beforeLines="0" w:afterLines="0" w:line="400" w:lineRule="exact"/>
        <w:ind w:firstLine="420" w:firstLineChars="200"/>
        <w:textAlignment w:val="auto"/>
        <w:rPr>
          <w:rFonts w:hint="default" w:hAnsi="宋体"/>
          <w:b w:val="0"/>
          <w:bCs w:val="0"/>
          <w:strike/>
          <w:dstrike w:val="0"/>
          <w:color w:val="auto"/>
          <w:sz w:val="21"/>
          <w:szCs w:val="21"/>
          <w:highlight w:val="none"/>
          <w:lang w:val="en-US" w:eastAsia="zh-CN"/>
        </w:rPr>
      </w:pPr>
      <w:r>
        <w:rPr>
          <w:rFonts w:hint="eastAsia" w:hAnsi="宋体"/>
          <w:b w:val="0"/>
          <w:bCs w:val="0"/>
          <w:color w:val="auto"/>
          <w:sz w:val="21"/>
          <w:szCs w:val="21"/>
          <w:highlight w:val="none"/>
          <w:lang w:val="en-US" w:eastAsia="zh-CN"/>
        </w:rPr>
        <w:t>2、全部付款审核程序履行完毕后向中标人支付季度金额100%的费用。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lang w:val="en-US" w:eastAsia="zh-CN"/>
        </w:rPr>
      </w:pPr>
      <w:r>
        <w:rPr>
          <w:rFonts w:hint="eastAsia" w:hAnsi="宋体"/>
          <w:b w:val="0"/>
          <w:bCs w:val="0"/>
          <w:color w:val="auto"/>
          <w:sz w:val="21"/>
          <w:szCs w:val="21"/>
          <w:highlight w:val="none"/>
          <w:lang w:val="en-US" w:eastAsia="zh-CN"/>
        </w:rPr>
        <w:t xml:space="preserve">    3、中标人在结算合同价款时须提供正式发票（专票），报价时自行考虑。</w:t>
      </w:r>
    </w:p>
    <w:p>
      <w:pPr>
        <w:rPr>
          <w:color w:val="auto"/>
          <w:highlight w:val="none"/>
        </w:rPr>
      </w:pPr>
    </w:p>
    <w:sectPr>
      <w:footerReference r:id="rId3" w:type="default"/>
      <w:pgSz w:w="11906" w:h="16838"/>
      <w:pgMar w:top="1383" w:right="1349" w:bottom="1383"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71156F"/>
    <w:multiLevelType w:val="singleLevel"/>
    <w:tmpl w:val="C271156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ZTlkNjY0ZTM1OGQ2NGZhOGE3NmEzZjAwYjY2OTgifQ=="/>
  </w:docVars>
  <w:rsids>
    <w:rsidRoot w:val="36660AC6"/>
    <w:rsid w:val="36660AC6"/>
    <w:rsid w:val="7DDE49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8"/>
    <w:basedOn w:val="1"/>
    <w:next w:val="1"/>
    <w:qFormat/>
    <w:uiPriority w:val="1"/>
    <w:pPr>
      <w:ind w:left="596"/>
      <w:outlineLvl w:val="7"/>
    </w:pPr>
    <w:rPr>
      <w:rFonts w:ascii="宋体" w:hAnsi="宋体" w:eastAsia="宋体" w:cs="宋体"/>
      <w:b/>
      <w:bCs/>
      <w:sz w:val="24"/>
      <w:szCs w:val="24"/>
      <w:lang w:val="zh-CN" w:eastAsia="zh-CN" w:bidi="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after="120"/>
    </w:pPr>
  </w:style>
  <w:style w:type="paragraph" w:styleId="4">
    <w:name w:val="List 2"/>
    <w:basedOn w:val="1"/>
    <w:uiPriority w:val="0"/>
    <w:pPr>
      <w:ind w:leftChars="200" w:hanging="200" w:hangingChars="200"/>
    </w:pPr>
  </w:style>
  <w:style w:type="paragraph" w:styleId="5">
    <w:name w:val="Plain Text"/>
    <w:basedOn w:val="1"/>
    <w:next w:val="1"/>
    <w:qFormat/>
    <w:uiPriority w:val="0"/>
    <w:pPr>
      <w:spacing w:beforeLines="50" w:afterLines="50" w:line="400" w:lineRule="atLeast"/>
    </w:pPr>
    <w:rPr>
      <w:rFonts w:ascii="宋体" w:hAnsi="Courier New"/>
      <w:sz w:val="24"/>
    </w:rPr>
  </w:style>
  <w:style w:type="paragraph" w:styleId="6">
    <w:name w:val="footer"/>
    <w:basedOn w:val="1"/>
    <w:uiPriority w:val="99"/>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4653</Words>
  <Characters>4734</Characters>
  <Lines>0</Lines>
  <Paragraphs>0</Paragraphs>
  <TotalTime>4</TotalTime>
  <ScaleCrop>false</ScaleCrop>
  <LinksUpToDate>false</LinksUpToDate>
  <CharactersWithSpaces>4751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2022-09-09T08:36:00Z</dcterms:created>
  <dc:creator>Sara</dc:creator>
  <cp:lastModifiedBy>Sara</cp:lastModifiedBy>
  <dcterms:modified xsi:type="dcterms:W3CDTF">2022-09-09T09:54:34Z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C658B605BD75482F935ED1DA77727BBE</vt:lpwstr>
  </property>
</Properties>
</file>