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b/>
          <w:bCs/>
          <w:sz w:val="48"/>
          <w:szCs w:val="48"/>
        </w:rPr>
      </w:pPr>
    </w:p>
    <w:p>
      <w:pPr>
        <w:jc w:val="center"/>
        <w:rPr>
          <w:rFonts w:hint="eastAsia" w:ascii="宋体" w:eastAsia="宋体"/>
          <w:b/>
          <w:bCs/>
          <w:sz w:val="32"/>
          <w:szCs w:val="32"/>
          <w:lang w:eastAsia="zh-CN"/>
        </w:rPr>
      </w:pPr>
      <w:r>
        <w:rPr>
          <w:rFonts w:hint="eastAsia" w:ascii="宋体"/>
          <w:b/>
          <w:bCs/>
          <w:sz w:val="48"/>
          <w:szCs w:val="48"/>
          <w:lang w:eastAsia="zh-CN"/>
        </w:rPr>
        <w:t>兰溪市人民医院临床辅助诊断系统项目</w:t>
      </w:r>
    </w:p>
    <w:p>
      <w:pPr>
        <w:rPr>
          <w:rFonts w:hint="eastAsia" w:ascii="宋体"/>
          <w:b/>
          <w:bCs/>
          <w:sz w:val="32"/>
          <w:szCs w:val="32"/>
        </w:rPr>
      </w:pPr>
      <w:r>
        <w:rPr>
          <w:rFonts w:hint="eastAsia" w:ascii="宋体"/>
          <w:b/>
          <w:bCs/>
          <w:sz w:val="32"/>
          <w:szCs w:val="32"/>
        </w:rPr>
        <w:t xml:space="preserve"> </w:t>
      </w:r>
    </w:p>
    <w:p>
      <w:pPr>
        <w:rPr>
          <w:rFonts w:hint="eastAsia" w:ascii="宋体"/>
          <w:b/>
          <w:bCs/>
          <w:sz w:val="32"/>
          <w:szCs w:val="32"/>
        </w:rPr>
      </w:pPr>
      <w:r>
        <w:rPr>
          <w:rFonts w:hint="eastAsia" w:ascii="宋体"/>
          <w:b/>
          <w:bCs/>
          <w:sz w:val="32"/>
          <w:szCs w:val="32"/>
        </w:rPr>
        <w:t xml:space="preserve"> </w:t>
      </w:r>
    </w:p>
    <w:p>
      <w:pPr>
        <w:rPr>
          <w:rFonts w:hint="eastAsia" w:ascii="宋体"/>
          <w:b/>
          <w:bCs/>
          <w:sz w:val="32"/>
          <w:szCs w:val="32"/>
        </w:rPr>
      </w:pPr>
    </w:p>
    <w:p>
      <w:pPr>
        <w:jc w:val="center"/>
        <w:rPr>
          <w:rFonts w:hint="eastAsia" w:ascii="宋体"/>
          <w:b/>
          <w:bCs/>
          <w:sz w:val="90"/>
          <w:szCs w:val="90"/>
        </w:rPr>
      </w:pPr>
      <w:r>
        <w:rPr>
          <w:rFonts w:hint="eastAsia" w:ascii="宋体"/>
          <w:b/>
          <w:bCs/>
          <w:sz w:val="90"/>
          <w:szCs w:val="90"/>
        </w:rPr>
        <w:t>招</w:t>
      </w:r>
    </w:p>
    <w:p>
      <w:pPr>
        <w:jc w:val="center"/>
        <w:rPr>
          <w:rFonts w:hint="eastAsia" w:ascii="隶书" w:eastAsia="隶书"/>
          <w:b/>
          <w:bCs/>
          <w:sz w:val="90"/>
          <w:szCs w:val="90"/>
        </w:rPr>
      </w:pPr>
      <w:r>
        <w:rPr>
          <w:rFonts w:hint="eastAsia" w:ascii="宋体"/>
          <w:b/>
          <w:bCs/>
          <w:sz w:val="90"/>
          <w:szCs w:val="90"/>
        </w:rPr>
        <w:t>标</w:t>
      </w:r>
    </w:p>
    <w:p>
      <w:pPr>
        <w:jc w:val="center"/>
        <w:rPr>
          <w:rFonts w:hint="eastAsia"/>
          <w:b/>
          <w:bCs/>
          <w:sz w:val="90"/>
          <w:szCs w:val="90"/>
        </w:rPr>
      </w:pPr>
      <w:r>
        <w:rPr>
          <w:rFonts w:hint="eastAsia" w:ascii="宋体"/>
          <w:b/>
          <w:bCs/>
          <w:sz w:val="90"/>
          <w:szCs w:val="90"/>
        </w:rPr>
        <w:t>需</w:t>
      </w:r>
    </w:p>
    <w:p>
      <w:pPr>
        <w:jc w:val="center"/>
        <w:rPr>
          <w:rFonts w:hint="eastAsia"/>
          <w:b/>
          <w:bCs/>
          <w:sz w:val="90"/>
          <w:szCs w:val="90"/>
        </w:rPr>
      </w:pPr>
      <w:r>
        <w:rPr>
          <w:rFonts w:hint="eastAsia" w:ascii="宋体"/>
          <w:b/>
          <w:bCs/>
          <w:sz w:val="90"/>
          <w:szCs w:val="90"/>
        </w:rPr>
        <w:t>求</w:t>
      </w:r>
    </w:p>
    <w:p>
      <w:pPr>
        <w:jc w:val="center"/>
        <w:rPr>
          <w:rFonts w:hint="eastAsia"/>
          <w:b/>
          <w:bCs/>
          <w:sz w:val="32"/>
          <w:szCs w:val="32"/>
        </w:rPr>
      </w:pPr>
      <w:r>
        <w:rPr>
          <w:rFonts w:hint="eastAsia" w:ascii="宋体"/>
          <w:b/>
          <w:bCs/>
          <w:sz w:val="32"/>
          <w:szCs w:val="32"/>
        </w:rPr>
        <w:t xml:space="preserve"> </w:t>
      </w:r>
    </w:p>
    <w:p>
      <w:pPr>
        <w:jc w:val="center"/>
        <w:rPr>
          <w:rFonts w:hint="eastAsia" w:ascii="宋体"/>
          <w:b/>
          <w:bCs/>
          <w:sz w:val="32"/>
          <w:szCs w:val="32"/>
        </w:rPr>
      </w:pPr>
      <w:r>
        <w:rPr>
          <w:rFonts w:hint="eastAsia" w:ascii="宋体"/>
          <w:b/>
          <w:bCs/>
          <w:sz w:val="32"/>
          <w:szCs w:val="32"/>
        </w:rPr>
        <w:t xml:space="preserve"> </w:t>
      </w:r>
    </w:p>
    <w:p>
      <w:pPr>
        <w:rPr>
          <w:rFonts w:hint="eastAsia" w:ascii="宋体"/>
          <w:b/>
          <w:bCs/>
          <w:sz w:val="32"/>
          <w:szCs w:val="32"/>
        </w:rPr>
      </w:pPr>
      <w:r>
        <w:rPr>
          <w:rFonts w:hint="eastAsia" w:ascii="宋体"/>
          <w:b/>
          <w:bCs/>
          <w:sz w:val="32"/>
          <w:szCs w:val="32"/>
        </w:rPr>
        <w:t xml:space="preserve"> </w:t>
      </w:r>
    </w:p>
    <w:p>
      <w:pPr>
        <w:rPr>
          <w:rFonts w:hint="eastAsia" w:ascii="宋体"/>
          <w:b/>
          <w:bCs/>
          <w:sz w:val="32"/>
          <w:szCs w:val="32"/>
        </w:rPr>
      </w:pPr>
      <w:r>
        <w:rPr>
          <w:rFonts w:hint="eastAsia" w:ascii="宋体"/>
          <w:b/>
          <w:bCs/>
          <w:sz w:val="32"/>
          <w:szCs w:val="32"/>
        </w:rPr>
        <w:t xml:space="preserve"> </w:t>
      </w:r>
    </w:p>
    <w:p>
      <w:pPr>
        <w:rPr>
          <w:rFonts w:hint="eastAsia" w:ascii="宋体"/>
          <w:b/>
          <w:bCs/>
          <w:sz w:val="32"/>
          <w:szCs w:val="32"/>
        </w:rPr>
      </w:pPr>
      <w:r>
        <w:rPr>
          <w:rFonts w:hint="eastAsia" w:ascii="宋体"/>
          <w:b/>
          <w:bCs/>
          <w:sz w:val="32"/>
          <w:szCs w:val="32"/>
        </w:rPr>
        <w:t xml:space="preserve"> </w:t>
      </w:r>
    </w:p>
    <w:p>
      <w:pPr>
        <w:jc w:val="center"/>
        <w:rPr>
          <w:rFonts w:hint="eastAsia" w:ascii="宋体"/>
          <w:sz w:val="32"/>
          <w:szCs w:val="32"/>
        </w:rPr>
      </w:pPr>
      <w:r>
        <w:rPr>
          <w:rFonts w:hint="eastAsia" w:ascii="宋体"/>
          <w:sz w:val="32"/>
          <w:szCs w:val="32"/>
        </w:rPr>
        <w:t>兰溪市人民医院</w:t>
      </w:r>
    </w:p>
    <w:p>
      <w:pPr>
        <w:jc w:val="center"/>
        <w:rPr>
          <w:rFonts w:hint="eastAsia" w:ascii="宋体"/>
          <w:b/>
          <w:bCs/>
          <w:sz w:val="24"/>
          <w:szCs w:val="24"/>
        </w:rPr>
      </w:pPr>
      <w:r>
        <w:rPr>
          <w:rFonts w:hint="eastAsia" w:ascii="宋体"/>
          <w:sz w:val="32"/>
          <w:szCs w:val="32"/>
        </w:rPr>
        <w:t>二〇一八年九月</w:t>
      </w:r>
    </w:p>
    <w:p>
      <w:pPr>
        <w:snapToGrid w:val="0"/>
        <w:spacing w:line="300" w:lineRule="exact"/>
        <w:ind w:left="238"/>
        <w:jc w:val="center"/>
        <w:rPr>
          <w:rFonts w:hint="eastAsia" w:ascii="宋体" w:hAnsi="宋体"/>
          <w:b/>
          <w:bCs/>
          <w:sz w:val="32"/>
          <w:szCs w:val="32"/>
        </w:rPr>
      </w:pPr>
    </w:p>
    <w:p>
      <w:pPr>
        <w:snapToGrid w:val="0"/>
        <w:spacing w:line="300" w:lineRule="exact"/>
        <w:ind w:left="238"/>
        <w:jc w:val="center"/>
        <w:rPr>
          <w:rFonts w:hint="eastAsia" w:ascii="宋体" w:hAnsi="宋体"/>
          <w:b/>
          <w:bCs/>
          <w:sz w:val="32"/>
          <w:szCs w:val="32"/>
        </w:rPr>
      </w:pPr>
    </w:p>
    <w:p>
      <w:pPr>
        <w:snapToGrid w:val="0"/>
        <w:spacing w:line="300" w:lineRule="exact"/>
        <w:ind w:left="238"/>
        <w:jc w:val="center"/>
        <w:rPr>
          <w:rFonts w:hint="eastAsia" w:ascii="宋体" w:hAnsi="宋体"/>
          <w:b/>
          <w:bCs/>
          <w:sz w:val="32"/>
          <w:szCs w:val="32"/>
        </w:rPr>
      </w:pPr>
    </w:p>
    <w:p>
      <w:pPr>
        <w:snapToGrid w:val="0"/>
        <w:spacing w:line="3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rFonts w:hint="eastAsia" w:ascii="宋体" w:hAnsi="宋体"/>
          <w:b/>
          <w:bCs/>
          <w:sz w:val="32"/>
          <w:szCs w:val="32"/>
        </w:rPr>
      </w:pPr>
    </w:p>
    <w:p>
      <w:pPr>
        <w:snapToGrid w:val="0"/>
        <w:spacing w:line="400" w:lineRule="exact"/>
        <w:ind w:left="238"/>
        <w:jc w:val="center"/>
        <w:rPr>
          <w:b/>
          <w:bCs/>
          <w:sz w:val="32"/>
          <w:szCs w:val="32"/>
        </w:rPr>
      </w:pPr>
      <w:r>
        <w:rPr>
          <w:rFonts w:hint="eastAsia" w:ascii="宋体" w:hAnsi="宋体"/>
          <w:b/>
          <w:bCs/>
          <w:sz w:val="32"/>
          <w:szCs w:val="32"/>
        </w:rPr>
        <w:t>采购</w:t>
      </w:r>
      <w:r>
        <w:rPr>
          <w:rFonts w:ascii="宋体" w:hAnsi="宋体"/>
          <w:b/>
          <w:bCs/>
          <w:sz w:val="32"/>
          <w:szCs w:val="32"/>
        </w:rPr>
        <w:t>需求</w:t>
      </w:r>
    </w:p>
    <w:p>
      <w:pPr>
        <w:pStyle w:val="2"/>
        <w:numPr>
          <w:ilvl w:val="0"/>
          <w:numId w:val="1"/>
        </w:numPr>
        <w:autoSpaceDE w:val="0"/>
        <w:snapToGrid w:val="0"/>
        <w:spacing w:before="156" w:after="156" w:line="320" w:lineRule="exact"/>
        <w:outlineLvl w:val="1"/>
        <w:rPr>
          <w:rFonts w:ascii="Times New Roman" w:hAnsi="Times New Roman" w:cs="Times New Roman"/>
          <w:b/>
          <w:bCs/>
          <w:sz w:val="21"/>
          <w:szCs w:val="21"/>
        </w:rPr>
      </w:pPr>
      <w:r>
        <w:rPr>
          <w:rFonts w:hAnsi="宋体" w:cs="Times New Roman"/>
          <w:b/>
          <w:bCs/>
          <w:sz w:val="21"/>
          <w:szCs w:val="21"/>
        </w:rPr>
        <w:t>采购单位名称：</w:t>
      </w:r>
      <w:r>
        <w:rPr>
          <w:rFonts w:hint="eastAsia" w:hAnsi="宋体"/>
          <w:sz w:val="21"/>
          <w:szCs w:val="21"/>
        </w:rPr>
        <w:t>兰溪市人民医院</w:t>
      </w:r>
    </w:p>
    <w:p>
      <w:pPr>
        <w:pStyle w:val="2"/>
        <w:autoSpaceDE w:val="0"/>
        <w:snapToGrid w:val="0"/>
        <w:spacing w:before="156" w:after="156" w:line="320" w:lineRule="exact"/>
        <w:outlineLvl w:val="1"/>
        <w:rPr>
          <w:rFonts w:hint="eastAsia" w:ascii="Times New Roman" w:hAnsi="Times New Roman" w:eastAsia="宋体" w:cs="Times New Roman"/>
          <w:b/>
          <w:bCs/>
          <w:sz w:val="21"/>
          <w:szCs w:val="21"/>
          <w:lang w:eastAsia="zh-CN"/>
        </w:rPr>
      </w:pPr>
      <w:r>
        <w:rPr>
          <w:rFonts w:hAnsi="宋体" w:cs="Times New Roman"/>
          <w:b/>
          <w:bCs/>
          <w:sz w:val="21"/>
          <w:szCs w:val="21"/>
        </w:rPr>
        <w:t>二、项目名称：</w:t>
      </w:r>
      <w:r>
        <w:rPr>
          <w:rFonts w:hint="eastAsia" w:hAnsi="宋体"/>
          <w:sz w:val="21"/>
          <w:szCs w:val="21"/>
          <w:lang w:eastAsia="zh-CN"/>
        </w:rPr>
        <w:t>兰溪市人民医院临床辅助诊断系统项目</w:t>
      </w:r>
    </w:p>
    <w:p>
      <w:pPr>
        <w:numPr>
          <w:ilvl w:val="0"/>
          <w:numId w:val="2"/>
        </w:numPr>
        <w:autoSpaceDE w:val="0"/>
        <w:spacing w:line="320" w:lineRule="exact"/>
        <w:rPr>
          <w:rFonts w:ascii="Times New Roman" w:hAnsi="Times New Roman"/>
          <w:b/>
          <w:bCs/>
          <w:sz w:val="21"/>
          <w:szCs w:val="21"/>
        </w:rPr>
      </w:pPr>
      <w:r>
        <w:rPr>
          <w:rFonts w:hint="eastAsia" w:ascii="宋体" w:hAnsi="宋体"/>
          <w:b/>
          <w:bCs/>
          <w:sz w:val="21"/>
          <w:szCs w:val="21"/>
        </w:rPr>
        <w:t>技术要求：</w:t>
      </w:r>
    </w:p>
    <w:p>
      <w:pPr>
        <w:numPr>
          <w:ilvl w:val="0"/>
          <w:numId w:val="3"/>
        </w:numPr>
        <w:autoSpaceDE w:val="0"/>
        <w:spacing w:line="380" w:lineRule="exact"/>
        <w:rPr>
          <w:rFonts w:hint="eastAsia" w:ascii="宋体" w:hAnsi="宋体"/>
          <w:sz w:val="21"/>
          <w:szCs w:val="21"/>
        </w:rPr>
      </w:pPr>
      <w:r>
        <w:rPr>
          <w:rFonts w:hint="eastAsia" w:ascii="宋体" w:hAnsi="宋体"/>
          <w:sz w:val="21"/>
          <w:szCs w:val="21"/>
        </w:rPr>
        <w:t>系统技术规格及要求</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1、安全要求：系统服务器必须在医院内网安装</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2、接口要求</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2.1符合卫计委颁布的《医院信息系统功能基本规范》</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2.2符合卫计委颁布的《电子病历系统功能规范（试行）》</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2.3符合卫计委颁发的《电子病历系统功能应用水平分级评价方法及标准（试行）》</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2.4能够与医院住院电子病历对接，获取电子病历中的数据内容，包括但不限于主诉、现病史、既往史等信息。可以将辅助诊疗的信息，写回到电子病历，包括但不限于鉴别诊断信息、检查项目、用药和手术方案信息、评估表等。</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2.5能够与医院集成平台对接，获取集成平台中的数据内容，包括但不限于患者检验结果、检查报告、医嘱内容等</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2.6能够与</w:t>
      </w:r>
      <w:r>
        <w:rPr>
          <w:rFonts w:hint="eastAsia"/>
          <w:sz w:val="21"/>
          <w:szCs w:val="21"/>
        </w:rPr>
        <w:t xml:space="preserve">HIS </w:t>
      </w:r>
      <w:r>
        <w:rPr>
          <w:rFonts w:hint="eastAsia" w:ascii="宋体" w:hAnsi="宋体"/>
          <w:sz w:val="21"/>
          <w:szCs w:val="21"/>
        </w:rPr>
        <w:t>对接，获取</w:t>
      </w:r>
      <w:r>
        <w:rPr>
          <w:rFonts w:hint="eastAsia"/>
          <w:sz w:val="21"/>
          <w:szCs w:val="21"/>
        </w:rPr>
        <w:t xml:space="preserve">HIS </w:t>
      </w:r>
      <w:r>
        <w:rPr>
          <w:rFonts w:hint="eastAsia" w:ascii="宋体" w:hAnsi="宋体"/>
          <w:sz w:val="21"/>
          <w:szCs w:val="21"/>
        </w:rPr>
        <w:t>中的医嘱内容</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 xml:space="preserve">3、性能要求：提供不同级别，不同故障情况下的应用系统的应急预案（指技术实现方案）。避免因计算机故障导致的医疗工作的延迟和医疗差错。                    </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 xml:space="preserve">4、数据格式化要求：不需要电子病历实现结构化录入，可以从非结构化电子病历内容中，通过机器学习，自动抽取结构化信息。                                      </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5、终端用户操作性能指标：软件系统要体现易于理解掌握、操作简单、提示清晰、逻辑性强，直观简洁、帮助信息丰富等特点，并针对医院输入项目的特点对输入顺序专门定制，保证操作人员以最快速度和最少的击键次数完成工作。</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 xml:space="preserve">6、符合卫计委颁发的《电子病历系统功能应用水平分级评价方法及标准（试行）》 </w:t>
      </w:r>
      <w:r>
        <w:rPr>
          <w:rFonts w:hint="eastAsia"/>
          <w:sz w:val="21"/>
          <w:szCs w:val="21"/>
        </w:rPr>
        <w:t>5</w:t>
      </w:r>
      <w:r>
        <w:rPr>
          <w:rFonts w:hint="eastAsia" w:ascii="宋体" w:hAnsi="宋体"/>
          <w:sz w:val="21"/>
          <w:szCs w:val="21"/>
        </w:rPr>
        <w:t>级对临床决策支持和知识库的要求</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7、符合国际</w:t>
      </w:r>
      <w:r>
        <w:rPr>
          <w:rFonts w:hint="eastAsia"/>
          <w:sz w:val="21"/>
          <w:szCs w:val="21"/>
        </w:rPr>
        <w:t>HIMSS analytics EMRAM 7</w:t>
      </w:r>
      <w:r>
        <w:rPr>
          <w:rFonts w:hint="eastAsia" w:ascii="宋体" w:hAnsi="宋体"/>
          <w:sz w:val="21"/>
          <w:szCs w:val="21"/>
        </w:rPr>
        <w:t>级标准对临床决策支持和知识库的要求</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8、引入的医学知识库必须具有世界一流水平，并在国外一流医院有应用的实际案例，并能提供相关的材料或者授权书作为证明</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 xml:space="preserve">9、引入的医学知识库必须具有中英文双语版本，并能提供相关的材料证明。                                                     </w:t>
      </w:r>
    </w:p>
    <w:p>
      <w:pPr>
        <w:autoSpaceDE w:val="0"/>
        <w:spacing w:line="380" w:lineRule="exact"/>
        <w:rPr>
          <w:rFonts w:hint="eastAsia" w:ascii="宋体" w:hAnsi="宋体"/>
          <w:sz w:val="21"/>
          <w:szCs w:val="21"/>
        </w:rPr>
      </w:pPr>
      <w:r>
        <w:rPr>
          <w:rFonts w:hint="eastAsia" w:ascii="宋体" w:hAnsi="宋体"/>
          <w:sz w:val="21"/>
          <w:szCs w:val="21"/>
        </w:rPr>
        <w:t>（二）软件基本功能</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本次招标是“临床决策支持系统”所需应用软件开发、实施与维护服务招标，是医院所有涉及到的相关临床决策支持系统。包括：具有合法知识产权商品化“临床决策支持系统”应用软件以及为满足采购人实际应用需求所必须的应用软件客户化工作，对相关硬件及应用软件功能扩充、维护、基础数据准备、人员培训、售后服务、技术支持等建设内容。</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投标人提供的“临床决策支持系统”软件必须包含采购文件中所要求功能，在此功能上允许增添功能模块，增添的功能模块将作为重要考虑因素，但因此因素造成系统总价增加招标人不予考虑。功能模块如下：</w:t>
      </w:r>
    </w:p>
    <w:tbl>
      <w:tblPr>
        <w:tblStyle w:val="4"/>
        <w:tblW w:w="9729" w:type="dxa"/>
        <w:jc w:val="center"/>
        <w:tblInd w:w="0" w:type="dxa"/>
        <w:tblLayout w:type="fixed"/>
        <w:tblCellMar>
          <w:top w:w="0" w:type="dxa"/>
          <w:left w:w="108" w:type="dxa"/>
          <w:bottom w:w="0" w:type="dxa"/>
          <w:right w:w="108" w:type="dxa"/>
        </w:tblCellMar>
      </w:tblPr>
      <w:tblGrid>
        <w:gridCol w:w="1325"/>
        <w:gridCol w:w="1950"/>
        <w:gridCol w:w="6454"/>
      </w:tblGrid>
      <w:tr>
        <w:tblPrEx>
          <w:tblLayout w:type="fixed"/>
          <w:tblCellMar>
            <w:top w:w="0" w:type="dxa"/>
            <w:left w:w="108" w:type="dxa"/>
            <w:bottom w:w="0" w:type="dxa"/>
            <w:right w:w="108" w:type="dxa"/>
          </w:tblCellMar>
        </w:tblPrEx>
        <w:trPr>
          <w:trHeight w:val="639"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分系统名称</w:t>
            </w: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系统功能</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功能描述及要求</w:t>
            </w:r>
          </w:p>
        </w:tc>
      </w:tr>
      <w:tr>
        <w:tblPrEx>
          <w:tblLayout w:type="fixed"/>
          <w:tblCellMar>
            <w:top w:w="0" w:type="dxa"/>
            <w:left w:w="108" w:type="dxa"/>
            <w:bottom w:w="0" w:type="dxa"/>
            <w:right w:w="108" w:type="dxa"/>
          </w:tblCellMar>
        </w:tblPrEx>
        <w:trPr>
          <w:trHeight w:val="720" w:hRule="atLeast"/>
          <w:jc w:val="center"/>
        </w:trPr>
        <w:tc>
          <w:tcPr>
            <w:tcW w:w="1325" w:type="dxa"/>
            <w:vMerge w:val="restart"/>
            <w:tcBorders>
              <w:top w:val="nil"/>
              <w:left w:val="single" w:color="auto" w:sz="4" w:space="0"/>
              <w:bottom w:val="single" w:color="000000" w:sz="4" w:space="0"/>
              <w:right w:val="single" w:color="auto" w:sz="4" w:space="0"/>
            </w:tcBorders>
            <w:vAlign w:val="center"/>
          </w:tcPr>
          <w:p>
            <w:pPr>
              <w:widowControl/>
              <w:autoSpaceDE w:val="0"/>
              <w:spacing w:line="380" w:lineRule="exact"/>
              <w:jc w:val="center"/>
              <w:rPr>
                <w:rFonts w:ascii="宋体" w:hAnsi="宋体"/>
                <w:sz w:val="21"/>
                <w:szCs w:val="21"/>
              </w:rPr>
            </w:pPr>
            <w:bookmarkStart w:id="0" w:name="_GoBack"/>
            <w:bookmarkEnd w:id="0"/>
            <w:r>
              <w:rPr>
                <w:rFonts w:hint="eastAsia" w:ascii="宋体" w:hAnsi="宋体"/>
                <w:sz w:val="21"/>
                <w:szCs w:val="21"/>
              </w:rPr>
              <w:t>疾病知识库</w:t>
            </w: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知识库详情</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提供两千余种疾病的详细知识库内容，包括疾病详情、相关诊断、处置建议、用药建议、检查建议、患者指导等知识库。</w:t>
            </w:r>
          </w:p>
        </w:tc>
      </w:tr>
      <w:tr>
        <w:tblPrEx>
          <w:tblLayout w:type="fixed"/>
          <w:tblCellMar>
            <w:top w:w="0" w:type="dxa"/>
            <w:left w:w="108" w:type="dxa"/>
            <w:bottom w:w="0" w:type="dxa"/>
            <w:right w:w="108" w:type="dxa"/>
          </w:tblCellMar>
        </w:tblPrEx>
        <w:trPr>
          <w:trHeight w:val="710"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文献荟萃</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★汇集各个疾病、专科的最新指南和文献，覆盖中英文权威期刊发表内容。</w:t>
            </w:r>
          </w:p>
        </w:tc>
      </w:tr>
      <w:tr>
        <w:tblPrEx>
          <w:tblLayout w:type="fixed"/>
          <w:tblCellMar>
            <w:top w:w="0" w:type="dxa"/>
            <w:left w:w="108" w:type="dxa"/>
            <w:bottom w:w="0" w:type="dxa"/>
            <w:right w:w="108" w:type="dxa"/>
          </w:tblCellMar>
        </w:tblPrEx>
        <w:trPr>
          <w:trHeight w:val="519"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药品说明书</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提供</w:t>
            </w:r>
            <w:r>
              <w:rPr>
                <w:rFonts w:hint="eastAsia"/>
                <w:sz w:val="21"/>
                <w:szCs w:val="21"/>
              </w:rPr>
              <w:t>8000</w:t>
            </w:r>
            <w:r>
              <w:rPr>
                <w:rFonts w:hint="eastAsia" w:ascii="宋体" w:hAnsi="宋体"/>
                <w:sz w:val="21"/>
                <w:szCs w:val="21"/>
              </w:rPr>
              <w:t>余篇药品说明书的在线查看。</w:t>
            </w:r>
          </w:p>
        </w:tc>
      </w:tr>
      <w:tr>
        <w:tblPrEx>
          <w:tblLayout w:type="fixed"/>
          <w:tblCellMar>
            <w:top w:w="0" w:type="dxa"/>
            <w:left w:w="108" w:type="dxa"/>
            <w:bottom w:w="0" w:type="dxa"/>
            <w:right w:w="108" w:type="dxa"/>
          </w:tblCellMar>
        </w:tblPrEx>
        <w:trPr>
          <w:trHeight w:val="558"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在线阅读</w:t>
            </w:r>
            <w:r>
              <w:rPr>
                <w:rFonts w:hint="eastAsia"/>
                <w:sz w:val="21"/>
                <w:szCs w:val="21"/>
              </w:rPr>
              <w:t>/</w:t>
            </w:r>
            <w:r>
              <w:rPr>
                <w:rFonts w:hint="eastAsia" w:ascii="宋体" w:hAnsi="宋体"/>
                <w:sz w:val="21"/>
                <w:szCs w:val="21"/>
              </w:rPr>
              <w:t>下载</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支持医生在医院内网环境下在线阅读和下载。</w:t>
            </w:r>
          </w:p>
        </w:tc>
      </w:tr>
      <w:tr>
        <w:tblPrEx>
          <w:tblLayout w:type="fixed"/>
          <w:tblCellMar>
            <w:top w:w="0" w:type="dxa"/>
            <w:left w:w="108" w:type="dxa"/>
            <w:bottom w:w="0" w:type="dxa"/>
            <w:right w:w="108" w:type="dxa"/>
          </w:tblCellMar>
        </w:tblPrEx>
        <w:trPr>
          <w:trHeight w:val="540"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病历融合</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知识库内容（临床路径、指南等）有关内容自动融合到病历中。</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知识库搜索</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支持知识库搜索功能，医生可以根据需要实时查询需要的知识库内容。</w:t>
            </w:r>
          </w:p>
        </w:tc>
      </w:tr>
      <w:tr>
        <w:tblPrEx>
          <w:tblLayout w:type="fixed"/>
          <w:tblCellMar>
            <w:top w:w="0" w:type="dxa"/>
            <w:left w:w="108" w:type="dxa"/>
            <w:bottom w:w="0" w:type="dxa"/>
            <w:right w:w="108" w:type="dxa"/>
          </w:tblCellMar>
        </w:tblPrEx>
        <w:trPr>
          <w:trHeight w:val="555"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知识库互通</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支持医院各部门共享知识库内容。</w:t>
            </w:r>
          </w:p>
        </w:tc>
      </w:tr>
      <w:tr>
        <w:tblPrEx>
          <w:tblLayout w:type="fixed"/>
          <w:tblCellMar>
            <w:top w:w="0" w:type="dxa"/>
            <w:left w:w="108" w:type="dxa"/>
            <w:bottom w:w="0" w:type="dxa"/>
            <w:right w:w="108" w:type="dxa"/>
          </w:tblCellMar>
        </w:tblPrEx>
        <w:trPr>
          <w:trHeight w:val="600"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及时更新</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与权威期刊保持内容的实时更新，支持医院内网云端更新。</w:t>
            </w:r>
          </w:p>
        </w:tc>
      </w:tr>
      <w:tr>
        <w:tblPrEx>
          <w:tblLayout w:type="fixed"/>
          <w:tblCellMar>
            <w:top w:w="0" w:type="dxa"/>
            <w:left w:w="108" w:type="dxa"/>
            <w:bottom w:w="0" w:type="dxa"/>
            <w:right w:w="108" w:type="dxa"/>
          </w:tblCellMar>
        </w:tblPrEx>
        <w:trPr>
          <w:trHeight w:val="690" w:hRule="atLeast"/>
          <w:jc w:val="center"/>
        </w:trPr>
        <w:tc>
          <w:tcPr>
            <w:tcW w:w="13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及时响应需求</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支持医生提交文献需求，及时补充文献数据库，满足医生个性化需求。</w:t>
            </w:r>
          </w:p>
        </w:tc>
      </w:tr>
      <w:tr>
        <w:tblPrEx>
          <w:tblLayout w:type="fixed"/>
          <w:tblCellMar>
            <w:top w:w="0" w:type="dxa"/>
            <w:left w:w="108" w:type="dxa"/>
            <w:bottom w:w="0" w:type="dxa"/>
            <w:right w:w="108" w:type="dxa"/>
          </w:tblCellMar>
        </w:tblPrEx>
        <w:trPr>
          <w:trHeight w:val="830" w:hRule="atLeast"/>
          <w:jc w:val="center"/>
        </w:trPr>
        <w:tc>
          <w:tcPr>
            <w:tcW w:w="1325" w:type="dxa"/>
            <w:vMerge w:val="restart"/>
            <w:tcBorders>
              <w:top w:val="nil"/>
              <w:left w:val="single" w:color="auto" w:sz="4" w:space="0"/>
              <w:bottom w:val="nil"/>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病房医生辅助系统</w:t>
            </w: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临床诊疗质量控制</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★实时发现临床医生在诊疗过程中的缺陷及不规范治疗行为，并给予医生提醒。帮助医生提高诊疗规范性</w:t>
            </w:r>
          </w:p>
        </w:tc>
      </w:tr>
      <w:tr>
        <w:tblPrEx>
          <w:tblLayout w:type="fixed"/>
          <w:tblCellMar>
            <w:top w:w="0" w:type="dxa"/>
            <w:left w:w="108" w:type="dxa"/>
            <w:bottom w:w="0" w:type="dxa"/>
            <w:right w:w="108" w:type="dxa"/>
          </w:tblCellMar>
        </w:tblPrEx>
        <w:trPr>
          <w:trHeight w:val="1035"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给科室管理团队统计分析报表，可以从患者或者医生等不同维度分析患者在住院过程中得到的治疗措施是否存在缺陷和不规范性，并通过具体的数值客观反映规范程度。帮助科室主任更好的提高科室的临床质量。</w:t>
            </w:r>
          </w:p>
        </w:tc>
      </w:tr>
      <w:tr>
        <w:tblPrEx>
          <w:tblLayout w:type="fixed"/>
          <w:tblCellMar>
            <w:top w:w="0" w:type="dxa"/>
            <w:left w:w="108" w:type="dxa"/>
            <w:bottom w:w="0" w:type="dxa"/>
            <w:right w:w="108" w:type="dxa"/>
          </w:tblCellMar>
        </w:tblPrEx>
        <w:trPr>
          <w:trHeight w:val="9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智能鉴别诊断</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★针对患者的临床表现（主诉、现病史等病历信息以及检验值信息），进行可能性标识，智能判断患者疑似疾病，实时引导医生全面考虑患者病情，避免漏诊、误诊。</w:t>
            </w:r>
          </w:p>
        </w:tc>
      </w:tr>
      <w:tr>
        <w:tblPrEx>
          <w:tblLayout w:type="fixed"/>
          <w:tblCellMar>
            <w:top w:w="0" w:type="dxa"/>
            <w:left w:w="108" w:type="dxa"/>
            <w:bottom w:w="0" w:type="dxa"/>
            <w:right w:w="108" w:type="dxa"/>
          </w:tblCellMar>
        </w:tblPrEx>
        <w:trPr>
          <w:trHeight w:val="69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★根据患者的主诉，与其他疾病鉴别，并排除其他疾病的可能性，列出相关的诊断。</w:t>
            </w:r>
          </w:p>
        </w:tc>
      </w:tr>
      <w:tr>
        <w:tblPrEx>
          <w:tblLayout w:type="fixed"/>
          <w:tblCellMar>
            <w:top w:w="0" w:type="dxa"/>
            <w:left w:w="108" w:type="dxa"/>
            <w:bottom w:w="0" w:type="dxa"/>
            <w:right w:w="108" w:type="dxa"/>
          </w:tblCellMar>
        </w:tblPrEx>
        <w:trPr>
          <w:trHeight w:val="64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根据患者的影像学检查结果，自动进行检查结果解读。</w:t>
            </w:r>
          </w:p>
        </w:tc>
      </w:tr>
      <w:tr>
        <w:tblPrEx>
          <w:tblLayout w:type="fixed"/>
          <w:tblCellMar>
            <w:top w:w="0" w:type="dxa"/>
            <w:left w:w="108" w:type="dxa"/>
            <w:bottom w:w="0" w:type="dxa"/>
            <w:right w:w="108" w:type="dxa"/>
          </w:tblCellMar>
        </w:tblPrEx>
        <w:trPr>
          <w:trHeight w:val="965"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结合患者当次诊断、主诉、病史、其他检验检查结果等病情情况，判断检查结果支持的诊断建议、排除的诊断、以及更详细的诊断分型，严重程度分级</w:t>
            </w:r>
          </w:p>
        </w:tc>
      </w:tr>
      <w:tr>
        <w:tblPrEx>
          <w:tblLayout w:type="fixed"/>
          <w:tblCellMar>
            <w:top w:w="0" w:type="dxa"/>
            <w:left w:w="108" w:type="dxa"/>
            <w:bottom w:w="0" w:type="dxa"/>
            <w:right w:w="108" w:type="dxa"/>
          </w:tblCellMar>
        </w:tblPrEx>
        <w:trPr>
          <w:trHeight w:val="429"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提示检查结果解读时，提示结果原因，帮助医生快速判断校验</w:t>
            </w:r>
          </w:p>
        </w:tc>
      </w:tr>
      <w:tr>
        <w:tblPrEx>
          <w:tblLayout w:type="fixed"/>
          <w:tblCellMar>
            <w:top w:w="0" w:type="dxa"/>
            <w:left w:w="108" w:type="dxa"/>
            <w:bottom w:w="0" w:type="dxa"/>
            <w:right w:w="108" w:type="dxa"/>
          </w:tblCellMar>
        </w:tblPrEx>
        <w:trPr>
          <w:trHeight w:val="4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检验分析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根据患者的检验结果，自动进行检验结果解读。</w:t>
            </w:r>
          </w:p>
        </w:tc>
      </w:tr>
      <w:tr>
        <w:tblPrEx>
          <w:tblLayout w:type="fixed"/>
          <w:tblCellMar>
            <w:top w:w="0" w:type="dxa"/>
            <w:left w:w="108" w:type="dxa"/>
            <w:bottom w:w="0" w:type="dxa"/>
            <w:right w:w="108" w:type="dxa"/>
          </w:tblCellMar>
        </w:tblPrEx>
        <w:trPr>
          <w:trHeight w:val="61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结合患者当次诊断、主诉、病史、其他检验检查结果等病情情况，判断检验结果支持的诊断建议及排除的诊断。</w:t>
            </w:r>
          </w:p>
        </w:tc>
      </w:tr>
      <w:tr>
        <w:tblPrEx>
          <w:tblLayout w:type="fixed"/>
          <w:tblCellMar>
            <w:top w:w="0" w:type="dxa"/>
            <w:left w:w="108" w:type="dxa"/>
            <w:bottom w:w="0" w:type="dxa"/>
            <w:right w:w="108" w:type="dxa"/>
          </w:tblCellMar>
        </w:tblPrEx>
        <w:trPr>
          <w:trHeight w:val="43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提示检验结果解读时，提示结果原因，帮助医生快速判断校验</w:t>
            </w:r>
          </w:p>
        </w:tc>
      </w:tr>
      <w:tr>
        <w:tblPrEx>
          <w:tblLayout w:type="fixed"/>
          <w:tblCellMar>
            <w:top w:w="0" w:type="dxa"/>
            <w:left w:w="108" w:type="dxa"/>
            <w:bottom w:w="0" w:type="dxa"/>
            <w:right w:w="108" w:type="dxa"/>
          </w:tblCellMar>
        </w:tblPrEx>
        <w:trPr>
          <w:trHeight w:val="445"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评估表工具</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根据患者的情况，推荐适合的评估表，帮助医生分析病情。</w:t>
            </w:r>
          </w:p>
        </w:tc>
      </w:tr>
      <w:tr>
        <w:tblPrEx>
          <w:tblLayout w:type="fixed"/>
          <w:tblCellMar>
            <w:top w:w="0" w:type="dxa"/>
            <w:left w:w="108" w:type="dxa"/>
            <w:bottom w:w="0" w:type="dxa"/>
            <w:right w:w="108" w:type="dxa"/>
          </w:tblCellMar>
        </w:tblPrEx>
        <w:trPr>
          <w:trHeight w:val="605"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根据患者评分情况进行程度分析，自动计算分值，并评估患者当前情况。</w:t>
            </w:r>
          </w:p>
        </w:tc>
      </w:tr>
      <w:tr>
        <w:tblPrEx>
          <w:tblLayout w:type="fixed"/>
          <w:tblCellMar>
            <w:top w:w="0" w:type="dxa"/>
            <w:left w:w="108" w:type="dxa"/>
            <w:bottom w:w="0" w:type="dxa"/>
            <w:right w:w="108" w:type="dxa"/>
          </w:tblCellMar>
        </w:tblPrEx>
        <w:trPr>
          <w:trHeight w:val="41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完成评估，可将评分结果及分析自动写回患者电子病历中。</w:t>
            </w:r>
          </w:p>
        </w:tc>
      </w:tr>
      <w:tr>
        <w:tblPrEx>
          <w:tblLayout w:type="fixed"/>
          <w:tblCellMar>
            <w:top w:w="0" w:type="dxa"/>
            <w:left w:w="108" w:type="dxa"/>
            <w:bottom w:w="0" w:type="dxa"/>
            <w:right w:w="108" w:type="dxa"/>
          </w:tblCellMar>
        </w:tblPrEx>
        <w:trPr>
          <w:trHeight w:val="6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支持搜索相应评估表，并在完成评估时将评估结果写回电子病历中。</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智能方案推荐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★推荐治疗方案，根据患者当次诊断，结合现病史、既往史、用药史等情况，为医生智能推荐符合临床路径要求的治疗方案。</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★检查项推荐，根据最新指南推荐，帮助医生推荐适宜的多套检查方案，供医生选择</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★检查项写回，医生根据需要实际情况选择合适的检查项，智能写回到患者电子病历中</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★用药方案推荐，根据最新指南推荐，帮助医生推荐适合的多套治疗方案及具体用药方案。</w:t>
            </w:r>
          </w:p>
        </w:tc>
      </w:tr>
      <w:tr>
        <w:tblPrEx>
          <w:tblLayout w:type="fixed"/>
          <w:tblCellMar>
            <w:top w:w="0" w:type="dxa"/>
            <w:left w:w="108" w:type="dxa"/>
            <w:bottom w:w="0" w:type="dxa"/>
            <w:right w:w="108" w:type="dxa"/>
          </w:tblCellMar>
        </w:tblPrEx>
        <w:trPr>
          <w:trHeight w:val="9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w:t>
            </w:r>
            <w:r>
              <w:rPr>
                <w:rFonts w:hint="eastAsia"/>
                <w:sz w:val="21"/>
                <w:szCs w:val="21"/>
              </w:rPr>
              <w:t>/</w:t>
            </w:r>
            <w:r>
              <w:rPr>
                <w:rFonts w:hint="eastAsia" w:ascii="宋体" w:hAnsi="宋体"/>
                <w:sz w:val="21"/>
                <w:szCs w:val="21"/>
              </w:rPr>
              <w:t>检验合理性</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根据患者的症状、临床表现、诊断、检查检查结果等情况，在医生开具检验</w:t>
            </w:r>
            <w:r>
              <w:rPr>
                <w:rFonts w:hint="eastAsia"/>
                <w:sz w:val="21"/>
                <w:szCs w:val="21"/>
              </w:rPr>
              <w:t>/</w:t>
            </w:r>
            <w:r>
              <w:rPr>
                <w:rFonts w:hint="eastAsia" w:ascii="宋体" w:hAnsi="宋体"/>
                <w:sz w:val="21"/>
                <w:szCs w:val="21"/>
              </w:rPr>
              <w:t>检查医嘱时，自动审核合理性，对禁忌和相对禁忌的项目主动进行提示</w:t>
            </w:r>
          </w:p>
        </w:tc>
      </w:tr>
      <w:tr>
        <w:tblPrEx>
          <w:tblLayout w:type="fixed"/>
          <w:tblCellMar>
            <w:top w:w="0" w:type="dxa"/>
            <w:left w:w="108" w:type="dxa"/>
            <w:bottom w:w="0" w:type="dxa"/>
            <w:right w:w="108" w:type="dxa"/>
          </w:tblCellMar>
        </w:tblPrEx>
        <w:trPr>
          <w:trHeight w:val="1035"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手术</w:t>
            </w:r>
            <w:r>
              <w:rPr>
                <w:rFonts w:hint="eastAsia"/>
                <w:sz w:val="21"/>
                <w:szCs w:val="21"/>
              </w:rPr>
              <w:t>/</w:t>
            </w:r>
            <w:r>
              <w:rPr>
                <w:rFonts w:hint="eastAsia" w:ascii="宋体" w:hAnsi="宋体"/>
                <w:sz w:val="21"/>
                <w:szCs w:val="21"/>
              </w:rPr>
              <w:t>操作合理性</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★根据患者的症状、临床表现、诊断、检查检查结果等情况，在医生开具手术医嘱</w:t>
            </w:r>
            <w:r>
              <w:rPr>
                <w:rFonts w:hint="eastAsia"/>
                <w:sz w:val="21"/>
                <w:szCs w:val="21"/>
              </w:rPr>
              <w:t>/</w:t>
            </w:r>
            <w:r>
              <w:rPr>
                <w:rFonts w:hint="eastAsia" w:ascii="宋体" w:hAnsi="宋体"/>
                <w:sz w:val="21"/>
                <w:szCs w:val="21"/>
              </w:rPr>
              <w:t>手术申请单时，自动审核合理性，对禁忌和相对禁忌的项目主动进行提示</w:t>
            </w:r>
          </w:p>
        </w:tc>
      </w:tr>
      <w:tr>
        <w:tblPrEx>
          <w:tblLayout w:type="fixed"/>
          <w:tblCellMar>
            <w:top w:w="0" w:type="dxa"/>
            <w:left w:w="108" w:type="dxa"/>
            <w:bottom w:w="0" w:type="dxa"/>
            <w:right w:w="108" w:type="dxa"/>
          </w:tblCellMar>
        </w:tblPrEx>
        <w:trPr>
          <w:trHeight w:val="690" w:hRule="atLeast"/>
          <w:jc w:val="center"/>
        </w:trPr>
        <w:tc>
          <w:tcPr>
            <w:tcW w:w="1325" w:type="dxa"/>
            <w:vMerge w:val="continue"/>
            <w:tcBorders>
              <w:top w:val="nil"/>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手术并发症</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★结合患者手术类型、手术时间及术后患者的临床表现，检验检查结果，对有可能是术后并发症引起的内容，进行提示，避免医生遗漏</w:t>
            </w:r>
          </w:p>
        </w:tc>
      </w:tr>
      <w:tr>
        <w:tblPrEx>
          <w:tblLayout w:type="fixed"/>
          <w:tblCellMar>
            <w:top w:w="0" w:type="dxa"/>
            <w:left w:w="108" w:type="dxa"/>
            <w:bottom w:w="0" w:type="dxa"/>
            <w:right w:w="108" w:type="dxa"/>
          </w:tblCellMar>
        </w:tblPrEx>
        <w:trPr>
          <w:trHeight w:val="495" w:hRule="atLeast"/>
          <w:jc w:val="center"/>
        </w:trPr>
        <w:tc>
          <w:tcPr>
            <w:tcW w:w="1325" w:type="dxa"/>
            <w:vMerge w:val="restart"/>
            <w:tcBorders>
              <w:top w:val="single" w:color="auto" w:sz="4" w:space="0"/>
              <w:left w:val="single" w:color="auto" w:sz="4" w:space="0"/>
              <w:bottom w:val="nil"/>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病房护士辅助系统</w:t>
            </w: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护理方案</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根据患者的体温</w:t>
            </w:r>
            <w:r>
              <w:rPr>
                <w:rFonts w:hint="eastAsia"/>
                <w:sz w:val="21"/>
                <w:szCs w:val="21"/>
              </w:rPr>
              <w:t>/</w:t>
            </w:r>
            <w:r>
              <w:rPr>
                <w:rFonts w:hint="eastAsia" w:ascii="宋体" w:hAnsi="宋体"/>
                <w:sz w:val="21"/>
                <w:szCs w:val="21"/>
              </w:rPr>
              <w:t>心率等查体情况，给出具体的护理方案建议</w:t>
            </w:r>
          </w:p>
        </w:tc>
      </w:tr>
      <w:tr>
        <w:tblPrEx>
          <w:tblLayout w:type="fixed"/>
          <w:tblCellMar>
            <w:top w:w="0" w:type="dxa"/>
            <w:left w:w="108" w:type="dxa"/>
            <w:bottom w:w="0" w:type="dxa"/>
            <w:right w:w="108" w:type="dxa"/>
          </w:tblCellMar>
        </w:tblPrEx>
        <w:trPr>
          <w:trHeight w:val="465" w:hRule="atLeast"/>
          <w:jc w:val="center"/>
        </w:trPr>
        <w:tc>
          <w:tcPr>
            <w:tcW w:w="13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护理评估</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根据患者年龄、症状、诊断等情况，提示护理中需要的评估内容</w:t>
            </w:r>
          </w:p>
        </w:tc>
      </w:tr>
      <w:tr>
        <w:tblPrEx>
          <w:tblLayout w:type="fixed"/>
          <w:tblCellMar>
            <w:top w:w="0" w:type="dxa"/>
            <w:left w:w="108" w:type="dxa"/>
            <w:bottom w:w="0" w:type="dxa"/>
            <w:right w:w="108" w:type="dxa"/>
          </w:tblCellMar>
        </w:tblPrEx>
        <w:trPr>
          <w:trHeight w:val="495" w:hRule="atLeast"/>
          <w:jc w:val="center"/>
        </w:trPr>
        <w:tc>
          <w:tcPr>
            <w:tcW w:w="13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sz w:val="21"/>
                <w:szCs w:val="21"/>
              </w:rPr>
            </w:pPr>
          </w:p>
        </w:tc>
        <w:tc>
          <w:tcPr>
            <w:tcW w:w="1950" w:type="dxa"/>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智能写回</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选择的护理方案和评估表的评估结论，可以回写至护理文书中</w:t>
            </w:r>
          </w:p>
        </w:tc>
      </w:tr>
      <w:tr>
        <w:tblPrEx>
          <w:tblLayout w:type="fixed"/>
          <w:tblCellMar>
            <w:top w:w="0" w:type="dxa"/>
            <w:left w:w="108" w:type="dxa"/>
            <w:bottom w:w="0" w:type="dxa"/>
            <w:right w:w="108" w:type="dxa"/>
          </w:tblCellMar>
        </w:tblPrEx>
        <w:trPr>
          <w:trHeight w:val="1035" w:hRule="atLeast"/>
          <w:jc w:val="center"/>
        </w:trPr>
        <w:tc>
          <w:tcPr>
            <w:tcW w:w="1325" w:type="dxa"/>
            <w:vMerge w:val="restart"/>
            <w:tcBorders>
              <w:top w:val="nil"/>
              <w:left w:val="single" w:color="auto" w:sz="4" w:space="0"/>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门诊医生辅助系统</w:t>
            </w: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智能鉴别诊断</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★针对患者的临床表现（主诉、现病史等病历信息以及检验值信息），进行可能性标识，智能判断患者疑似疾病，实时引导医生全面考虑患者病情，避免漏诊、误诊。</w:t>
            </w:r>
          </w:p>
        </w:tc>
      </w:tr>
      <w:tr>
        <w:tblPrEx>
          <w:tblLayout w:type="fixed"/>
          <w:tblCellMar>
            <w:top w:w="0" w:type="dxa"/>
            <w:left w:w="108" w:type="dxa"/>
            <w:bottom w:w="0" w:type="dxa"/>
            <w:right w:w="108" w:type="dxa"/>
          </w:tblCellMar>
        </w:tblPrEx>
        <w:trPr>
          <w:trHeight w:val="69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★根据患者的主诉，与其他疾病鉴别，并排除其他疾病的可能性，列出相关的诊断。</w:t>
            </w:r>
          </w:p>
        </w:tc>
      </w:tr>
      <w:tr>
        <w:tblPrEx>
          <w:tblLayout w:type="fixed"/>
          <w:tblCellMar>
            <w:top w:w="0" w:type="dxa"/>
            <w:left w:w="108" w:type="dxa"/>
            <w:bottom w:w="0" w:type="dxa"/>
            <w:right w:w="108" w:type="dxa"/>
          </w:tblCellMar>
        </w:tblPrEx>
        <w:trPr>
          <w:trHeight w:val="57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根据患者的影像学检查结果，自动进行检查结果解读。</w:t>
            </w:r>
          </w:p>
        </w:tc>
      </w:tr>
      <w:tr>
        <w:tblPrEx>
          <w:tblLayout w:type="fixed"/>
          <w:tblCellMar>
            <w:top w:w="0" w:type="dxa"/>
            <w:left w:w="108" w:type="dxa"/>
            <w:bottom w:w="0" w:type="dxa"/>
            <w:right w:w="108" w:type="dxa"/>
          </w:tblCellMar>
        </w:tblPrEx>
        <w:trPr>
          <w:trHeight w:val="90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结合患者当次诊断、主诉、病史、其他检验检查结果等病情情况，判断检查结果支持的诊断建议、排除的诊断、以及更详细的诊断分型，严重程度分级</w:t>
            </w:r>
          </w:p>
        </w:tc>
      </w:tr>
      <w:tr>
        <w:tblPrEx>
          <w:tblLayout w:type="fixed"/>
          <w:tblCellMar>
            <w:top w:w="0" w:type="dxa"/>
            <w:left w:w="108" w:type="dxa"/>
            <w:bottom w:w="0" w:type="dxa"/>
            <w:right w:w="108" w:type="dxa"/>
          </w:tblCellMar>
        </w:tblPrEx>
        <w:trPr>
          <w:trHeight w:val="494"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提示检查结果解读时，提示结果原因，帮助医生快速判断校验</w:t>
            </w:r>
          </w:p>
        </w:tc>
      </w:tr>
      <w:tr>
        <w:tblPrEx>
          <w:tblLayout w:type="fixed"/>
          <w:tblCellMar>
            <w:top w:w="0" w:type="dxa"/>
            <w:left w:w="108" w:type="dxa"/>
            <w:bottom w:w="0" w:type="dxa"/>
            <w:right w:w="108" w:type="dxa"/>
          </w:tblCellMar>
        </w:tblPrEx>
        <w:trPr>
          <w:trHeight w:val="44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检验分析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根据患者的检验结果，自动进行检验结果解读。</w:t>
            </w:r>
          </w:p>
        </w:tc>
      </w:tr>
      <w:tr>
        <w:tblPrEx>
          <w:tblLayout w:type="fixed"/>
          <w:tblCellMar>
            <w:top w:w="0" w:type="dxa"/>
            <w:left w:w="108" w:type="dxa"/>
            <w:bottom w:w="0" w:type="dxa"/>
            <w:right w:w="108" w:type="dxa"/>
          </w:tblCellMar>
        </w:tblPrEx>
        <w:trPr>
          <w:trHeight w:val="66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结合患者当次诊断、主诉、病史、其他检验检查结果等病情情况，判断检验结果支持的诊断建议及排除的诊断。</w:t>
            </w:r>
          </w:p>
        </w:tc>
      </w:tr>
      <w:tr>
        <w:tblPrEx>
          <w:tblLayout w:type="fixed"/>
          <w:tblCellMar>
            <w:top w:w="0" w:type="dxa"/>
            <w:left w:w="108" w:type="dxa"/>
            <w:bottom w:w="0" w:type="dxa"/>
            <w:right w:w="108" w:type="dxa"/>
          </w:tblCellMar>
        </w:tblPrEx>
        <w:trPr>
          <w:trHeight w:val="5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提示检验结果解读时，提示结果原因，帮助医生快速判断校验</w:t>
            </w:r>
          </w:p>
        </w:tc>
      </w:tr>
      <w:tr>
        <w:tblPrEx>
          <w:tblLayout w:type="fixed"/>
          <w:tblCellMar>
            <w:top w:w="0" w:type="dxa"/>
            <w:left w:w="108" w:type="dxa"/>
            <w:bottom w:w="0" w:type="dxa"/>
            <w:right w:w="108" w:type="dxa"/>
          </w:tblCellMar>
        </w:tblPrEx>
        <w:trPr>
          <w:trHeight w:val="53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评估表工具</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根据患者的情况，推荐适合的评估表，帮助医生分析病情。</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根据患者评分情况进行程度分析，自动计算分值，并评估患者当前情况。</w:t>
            </w:r>
          </w:p>
        </w:tc>
      </w:tr>
      <w:tr>
        <w:tblPrEx>
          <w:tblLayout w:type="fixed"/>
          <w:tblCellMar>
            <w:top w:w="0" w:type="dxa"/>
            <w:left w:w="108" w:type="dxa"/>
            <w:bottom w:w="0" w:type="dxa"/>
            <w:right w:w="108" w:type="dxa"/>
          </w:tblCellMar>
        </w:tblPrEx>
        <w:trPr>
          <w:trHeight w:val="50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完成评估，可将评分结果及分析自动写回患者电子病历中。</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支持搜索相应评估表，并在完成评估时将评估结果写回电子病历中。</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nil"/>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智能方案推荐</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★推荐治疗方案，根据患者当次诊断，结合现病史、既往史、用药史等情况，为医生智能推荐符合临床路径要求的治疗方案。</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nil"/>
              <w:right w:val="single" w:color="auto" w:sz="4" w:space="0"/>
            </w:tcBorders>
            <w:vAlign w:val="center"/>
          </w:tcPr>
          <w:p>
            <w:pPr>
              <w:widowControl/>
              <w:jc w:val="left"/>
              <w:rPr>
                <w:rFonts w:ascii="宋体" w:hAnsi="宋体"/>
                <w:sz w:val="21"/>
                <w:szCs w:val="21"/>
              </w:rPr>
            </w:pP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★检查项推荐，根据指南推荐，帮助医生推荐适宜的多套门诊检查方案，供医生选择</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nil"/>
              <w:right w:val="single" w:color="auto" w:sz="4" w:space="0"/>
            </w:tcBorders>
            <w:vAlign w:val="center"/>
          </w:tcPr>
          <w:p>
            <w:pPr>
              <w:widowControl/>
              <w:jc w:val="left"/>
              <w:rPr>
                <w:rFonts w:ascii="宋体" w:hAnsi="宋体"/>
                <w:sz w:val="21"/>
                <w:szCs w:val="21"/>
              </w:rPr>
            </w:pP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★检查项写回，医生根据需要实际情况选择合适的检查项，智能写回到患者电子病历中</w:t>
            </w:r>
          </w:p>
        </w:tc>
      </w:tr>
      <w:tr>
        <w:tblPrEx>
          <w:tblLayout w:type="fixed"/>
          <w:tblCellMar>
            <w:top w:w="0" w:type="dxa"/>
            <w:left w:w="108" w:type="dxa"/>
            <w:bottom w:w="0" w:type="dxa"/>
            <w:right w:w="108" w:type="dxa"/>
          </w:tblCellMar>
        </w:tblPrEx>
        <w:trPr>
          <w:trHeight w:val="58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nil"/>
              <w:right w:val="single" w:color="auto" w:sz="4" w:space="0"/>
            </w:tcBorders>
            <w:vAlign w:val="center"/>
          </w:tcPr>
          <w:p>
            <w:pPr>
              <w:widowControl/>
              <w:jc w:val="left"/>
              <w:rPr>
                <w:rFonts w:ascii="宋体" w:hAnsi="宋体"/>
                <w:sz w:val="21"/>
                <w:szCs w:val="21"/>
              </w:rPr>
            </w:pP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★用药方案推荐，系统根据指南推荐，帮助医生推荐适合的多套门诊治疗方案及具体用药方案。</w:t>
            </w:r>
          </w:p>
        </w:tc>
      </w:tr>
      <w:tr>
        <w:tblPrEx>
          <w:tblLayout w:type="fixed"/>
          <w:tblCellMar>
            <w:top w:w="0" w:type="dxa"/>
            <w:left w:w="108" w:type="dxa"/>
            <w:bottom w:w="0" w:type="dxa"/>
            <w:right w:w="108" w:type="dxa"/>
          </w:tblCellMar>
        </w:tblPrEx>
        <w:trPr>
          <w:trHeight w:val="93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w:t>
            </w:r>
            <w:r>
              <w:rPr>
                <w:rFonts w:hint="eastAsia"/>
                <w:sz w:val="21"/>
                <w:szCs w:val="21"/>
              </w:rPr>
              <w:t>/</w:t>
            </w:r>
            <w:r>
              <w:rPr>
                <w:rFonts w:hint="eastAsia" w:ascii="宋体" w:hAnsi="宋体"/>
                <w:sz w:val="21"/>
                <w:szCs w:val="21"/>
              </w:rPr>
              <w:t>检验合理性</w:t>
            </w:r>
          </w:p>
        </w:tc>
        <w:tc>
          <w:tcPr>
            <w:tcW w:w="6454" w:type="dxa"/>
            <w:tcBorders>
              <w:top w:val="nil"/>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根据患者的症状、临床表现、诊断、检查检查结果等情况，在医生开具检验</w:t>
            </w:r>
            <w:r>
              <w:rPr>
                <w:rFonts w:hint="eastAsia"/>
                <w:sz w:val="21"/>
                <w:szCs w:val="21"/>
              </w:rPr>
              <w:t>/</w:t>
            </w:r>
            <w:r>
              <w:rPr>
                <w:rFonts w:hint="eastAsia" w:ascii="宋体" w:hAnsi="宋体"/>
                <w:sz w:val="21"/>
                <w:szCs w:val="21"/>
              </w:rPr>
              <w:t>检查医嘱时，自动审核合理性，对禁忌和相对禁忌的项目主动进行提示</w:t>
            </w:r>
          </w:p>
        </w:tc>
      </w:tr>
      <w:tr>
        <w:tblPrEx>
          <w:tblLayout w:type="fixed"/>
          <w:tblCellMar>
            <w:top w:w="0" w:type="dxa"/>
            <w:left w:w="108" w:type="dxa"/>
            <w:bottom w:w="0" w:type="dxa"/>
            <w:right w:w="108" w:type="dxa"/>
          </w:tblCellMar>
        </w:tblPrEx>
        <w:trPr>
          <w:trHeight w:val="345" w:hRule="atLeast"/>
          <w:jc w:val="center"/>
        </w:trPr>
        <w:tc>
          <w:tcPr>
            <w:tcW w:w="1325" w:type="dxa"/>
            <w:vMerge w:val="restart"/>
            <w:tcBorders>
              <w:top w:val="nil"/>
              <w:left w:val="single" w:color="auto" w:sz="4" w:space="0"/>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w:t>
            </w:r>
            <w:r>
              <w:rPr>
                <w:rFonts w:hint="eastAsia"/>
                <w:sz w:val="21"/>
                <w:szCs w:val="21"/>
              </w:rPr>
              <w:t>/</w:t>
            </w:r>
            <w:r>
              <w:rPr>
                <w:rFonts w:hint="eastAsia" w:ascii="宋体" w:hAnsi="宋体"/>
                <w:sz w:val="21"/>
                <w:szCs w:val="21"/>
              </w:rPr>
              <w:t>检验科室支持系统</w:t>
            </w: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检验分析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根据患者的检验结果，自动进行检验结果解读。</w:t>
            </w:r>
          </w:p>
        </w:tc>
      </w:tr>
      <w:tr>
        <w:tblPrEx>
          <w:tblLayout w:type="fixed"/>
          <w:tblCellMar>
            <w:top w:w="0" w:type="dxa"/>
            <w:left w:w="108" w:type="dxa"/>
            <w:bottom w:w="0" w:type="dxa"/>
            <w:right w:w="108" w:type="dxa"/>
          </w:tblCellMar>
        </w:tblPrEx>
        <w:trPr>
          <w:trHeight w:val="72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结合患者当次诊断、主诉、病史、其他检验检查结果等病情情况，判断检验结果支持的诊断建议及排除的诊断。</w:t>
            </w:r>
          </w:p>
        </w:tc>
      </w:tr>
      <w:tr>
        <w:tblPrEx>
          <w:tblLayout w:type="fixed"/>
          <w:tblCellMar>
            <w:top w:w="0" w:type="dxa"/>
            <w:left w:w="108" w:type="dxa"/>
            <w:bottom w:w="0" w:type="dxa"/>
            <w:right w:w="108" w:type="dxa"/>
          </w:tblCellMar>
        </w:tblPrEx>
        <w:trPr>
          <w:trHeight w:val="47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提示检验结果解读时，提示结果原因，帮助医生快速判断校验</w:t>
            </w:r>
          </w:p>
        </w:tc>
      </w:tr>
      <w:tr>
        <w:tblPrEx>
          <w:tblLayout w:type="fixed"/>
          <w:tblCellMar>
            <w:top w:w="0" w:type="dxa"/>
            <w:left w:w="108" w:type="dxa"/>
            <w:bottom w:w="0" w:type="dxa"/>
            <w:right w:w="108" w:type="dxa"/>
          </w:tblCellMar>
        </w:tblPrEx>
        <w:trPr>
          <w:trHeight w:val="44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restart"/>
            <w:tcBorders>
              <w:top w:val="nil"/>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检查分析</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根据患者的影像学检查结果，自动进行检查结果解读。</w:t>
            </w:r>
          </w:p>
        </w:tc>
      </w:tr>
      <w:tr>
        <w:tblPrEx>
          <w:tblLayout w:type="fixed"/>
          <w:tblCellMar>
            <w:top w:w="0" w:type="dxa"/>
            <w:left w:w="108" w:type="dxa"/>
            <w:bottom w:w="0" w:type="dxa"/>
            <w:right w:w="108" w:type="dxa"/>
          </w:tblCellMar>
        </w:tblPrEx>
        <w:trPr>
          <w:trHeight w:val="89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结合患者当次诊断、主诉、病史、其他检验检查结果等病情情况，判断检查结果支持的诊断建议、排除的诊断、以及更详细的诊断分型，严重程度分级</w:t>
            </w:r>
          </w:p>
        </w:tc>
      </w:tr>
      <w:tr>
        <w:tblPrEx>
          <w:tblLayout w:type="fixed"/>
          <w:tblCellMar>
            <w:top w:w="0" w:type="dxa"/>
            <w:left w:w="108" w:type="dxa"/>
            <w:bottom w:w="0" w:type="dxa"/>
            <w:right w:w="108" w:type="dxa"/>
          </w:tblCellMar>
        </w:tblPrEx>
        <w:trPr>
          <w:trHeight w:val="48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vMerge w:val="continue"/>
            <w:tcBorders>
              <w:top w:val="nil"/>
              <w:left w:val="nil"/>
              <w:bottom w:val="single" w:color="auto" w:sz="4" w:space="0"/>
              <w:right w:val="single" w:color="auto" w:sz="4" w:space="0"/>
            </w:tcBorders>
            <w:vAlign w:val="center"/>
          </w:tcPr>
          <w:p>
            <w:pPr>
              <w:widowControl/>
              <w:jc w:val="left"/>
              <w:rPr>
                <w:rFonts w:ascii="宋体" w:hAnsi="宋体"/>
                <w:sz w:val="21"/>
                <w:szCs w:val="21"/>
              </w:rPr>
            </w:pP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提示检查结果解读时，提示结果原因，帮助医生快速判断校验</w:t>
            </w:r>
          </w:p>
        </w:tc>
      </w:tr>
      <w:tr>
        <w:tblPrEx>
          <w:tblLayout w:type="fixed"/>
          <w:tblCellMar>
            <w:top w:w="0" w:type="dxa"/>
            <w:left w:w="108" w:type="dxa"/>
            <w:bottom w:w="0" w:type="dxa"/>
            <w:right w:w="108" w:type="dxa"/>
          </w:tblCellMar>
        </w:tblPrEx>
        <w:trPr>
          <w:trHeight w:val="645" w:hRule="atLeast"/>
          <w:jc w:val="center"/>
        </w:trPr>
        <w:tc>
          <w:tcPr>
            <w:tcW w:w="1325" w:type="dxa"/>
            <w:vMerge w:val="restart"/>
            <w:tcBorders>
              <w:top w:val="nil"/>
              <w:left w:val="single" w:color="auto" w:sz="4" w:space="0"/>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梅奥</w:t>
            </w:r>
            <w:r>
              <w:rPr>
                <w:rFonts w:hint="eastAsia"/>
                <w:sz w:val="21"/>
                <w:szCs w:val="21"/>
              </w:rPr>
              <w:t>AME</w:t>
            </w:r>
          </w:p>
          <w:p>
            <w:pPr>
              <w:widowControl/>
              <w:autoSpaceDE w:val="0"/>
              <w:spacing w:line="380" w:lineRule="exact"/>
              <w:jc w:val="left"/>
              <w:rPr>
                <w:rFonts w:ascii="宋体" w:hAnsi="宋体"/>
                <w:sz w:val="21"/>
                <w:szCs w:val="21"/>
              </w:rPr>
            </w:pPr>
            <w:r>
              <w:rPr>
                <w:rFonts w:hint="eastAsia" w:ascii="宋体" w:hAnsi="宋体"/>
                <w:sz w:val="21"/>
                <w:szCs w:val="21"/>
              </w:rPr>
              <w:t xml:space="preserve">临床路径 </w:t>
            </w: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流程图</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提供梅奥原版疾病的治疗路径（包含中英文），医生可以通过搜索疾病名称查询疾病临床路径。</w:t>
            </w:r>
          </w:p>
        </w:tc>
      </w:tr>
      <w:tr>
        <w:tblPrEx>
          <w:tblLayout w:type="fixed"/>
          <w:tblCellMar>
            <w:top w:w="0" w:type="dxa"/>
            <w:left w:w="108" w:type="dxa"/>
            <w:bottom w:w="0" w:type="dxa"/>
            <w:right w:w="108" w:type="dxa"/>
          </w:tblCellMar>
        </w:tblPrEx>
        <w:trPr>
          <w:trHeight w:val="515"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相关文献</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梅奥治疗路径来源参考文献阅读</w:t>
            </w:r>
          </w:p>
        </w:tc>
      </w:tr>
      <w:tr>
        <w:tblPrEx>
          <w:tblLayout w:type="fixed"/>
          <w:tblCellMar>
            <w:top w:w="0" w:type="dxa"/>
            <w:left w:w="108" w:type="dxa"/>
            <w:bottom w:w="0" w:type="dxa"/>
            <w:right w:w="108" w:type="dxa"/>
          </w:tblCellMar>
        </w:tblPrEx>
        <w:trPr>
          <w:trHeight w:val="560" w:hRule="atLeast"/>
          <w:jc w:val="center"/>
        </w:trPr>
        <w:tc>
          <w:tcPr>
            <w:tcW w:w="13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950" w:type="dxa"/>
            <w:tcBorders>
              <w:top w:val="single" w:color="auto" w:sz="4" w:space="0"/>
              <w:left w:val="nil"/>
              <w:bottom w:val="single" w:color="auto" w:sz="4" w:space="0"/>
              <w:right w:val="single" w:color="auto" w:sz="4" w:space="0"/>
            </w:tcBorders>
            <w:vAlign w:val="center"/>
          </w:tcPr>
          <w:p>
            <w:pPr>
              <w:widowControl/>
              <w:autoSpaceDE w:val="0"/>
              <w:spacing w:line="380" w:lineRule="exact"/>
              <w:jc w:val="center"/>
              <w:rPr>
                <w:rFonts w:ascii="宋体" w:hAnsi="宋体"/>
                <w:sz w:val="21"/>
                <w:szCs w:val="21"/>
              </w:rPr>
            </w:pPr>
            <w:r>
              <w:rPr>
                <w:rFonts w:hint="eastAsia" w:ascii="宋体" w:hAnsi="宋体"/>
                <w:sz w:val="21"/>
                <w:szCs w:val="21"/>
              </w:rPr>
              <w:t>患者教育</w:t>
            </w:r>
          </w:p>
        </w:tc>
        <w:tc>
          <w:tcPr>
            <w:tcW w:w="6454" w:type="dxa"/>
            <w:tcBorders>
              <w:top w:val="single" w:color="auto" w:sz="4" w:space="0"/>
              <w:left w:val="nil"/>
              <w:bottom w:val="single" w:color="auto" w:sz="4" w:space="0"/>
              <w:right w:val="single" w:color="auto" w:sz="4" w:space="0"/>
            </w:tcBorders>
            <w:vAlign w:val="center"/>
          </w:tcPr>
          <w:p>
            <w:pPr>
              <w:widowControl/>
              <w:autoSpaceDE w:val="0"/>
              <w:spacing w:line="380" w:lineRule="exact"/>
              <w:jc w:val="left"/>
              <w:rPr>
                <w:rFonts w:ascii="宋体" w:hAnsi="宋体"/>
                <w:sz w:val="21"/>
                <w:szCs w:val="21"/>
              </w:rPr>
            </w:pPr>
            <w:r>
              <w:rPr>
                <w:rFonts w:hint="eastAsia" w:ascii="宋体" w:hAnsi="宋体"/>
                <w:sz w:val="21"/>
                <w:szCs w:val="21"/>
              </w:rPr>
              <w:t>相关疾病的患者教育材料</w:t>
            </w:r>
          </w:p>
        </w:tc>
      </w:tr>
    </w:tbl>
    <w:p>
      <w:pPr>
        <w:autoSpaceDE w:val="0"/>
        <w:spacing w:line="380" w:lineRule="exact"/>
        <w:ind w:firstLine="210" w:firstLineChars="100"/>
        <w:rPr>
          <w:rFonts w:hint="eastAsia" w:ascii="宋体" w:hAnsi="宋体"/>
          <w:sz w:val="21"/>
          <w:szCs w:val="21"/>
        </w:rPr>
      </w:pPr>
      <w:r>
        <w:rPr>
          <w:rFonts w:hint="eastAsia" w:ascii="宋体" w:hAnsi="宋体"/>
          <w:sz w:val="21"/>
          <w:szCs w:val="21"/>
        </w:rPr>
        <w:t xml:space="preserve"> </w:t>
      </w:r>
    </w:p>
    <w:p>
      <w:pPr>
        <w:autoSpaceDE w:val="0"/>
        <w:spacing w:line="380" w:lineRule="exact"/>
        <w:ind w:firstLine="210" w:firstLineChars="100"/>
        <w:rPr>
          <w:rFonts w:hint="eastAsia" w:ascii="宋体" w:hAnsi="宋体"/>
          <w:sz w:val="21"/>
          <w:szCs w:val="21"/>
        </w:rPr>
      </w:pPr>
      <w:r>
        <w:rPr>
          <w:rFonts w:hint="eastAsia" w:ascii="宋体" w:hAnsi="宋体"/>
          <w:sz w:val="21"/>
          <w:szCs w:val="21"/>
        </w:rPr>
        <w:t>（三）实施要求及其他</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1、总体要求</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1.1系统提供商应本着认真负责态度，组织技术队伍，认真做好项目的实施工作。在签订合同前，提出具体实施、服务、维护以及今后技术支持的措施计划和承诺。</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1.2系统提供商必须提供项目实施计划，经用户方同意后，严格执行。如果遇到问题，由项目组提出项目变更说明，经医院和系统提供商确定后，修改计划。</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1.3系统提供商应负责在项目验收时将系统的全部有关技术文件、资料、及安装、测试、验收报告等文档汇集成册交付用户方。</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1.4结合招标人实际情况，拟定详细的系统实施计划，包括同招标人现有信息系统的对接、个性化化定制、测试、试运行、培训及上线计划。承诺保证在合同规定时间内上线及上线后系统平稳运行。</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2、人员培训：投标人应负责使用人员的培训及考核。</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2.1在项目实施后继续按照医院要求继续定期培训和考核。</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2.2培训对象包括信息科系统管理员、日常维护人员、技术层面人员（包括系统开发、程序版本控制、数据库维护）；非信息科的管理人员、操作员。</w:t>
      </w:r>
    </w:p>
    <w:p>
      <w:pPr>
        <w:autoSpaceDE w:val="0"/>
        <w:spacing w:line="380" w:lineRule="exact"/>
        <w:ind w:firstLine="420" w:firstLineChars="200"/>
        <w:rPr>
          <w:rFonts w:hint="eastAsia" w:ascii="宋体" w:hAnsi="宋体"/>
          <w:sz w:val="21"/>
          <w:szCs w:val="21"/>
        </w:rPr>
      </w:pPr>
      <w:r>
        <w:rPr>
          <w:rFonts w:hint="eastAsia" w:ascii="宋体" w:hAnsi="宋体"/>
          <w:sz w:val="21"/>
          <w:szCs w:val="21"/>
        </w:rPr>
        <w:t>2.3系统管理人员培训内容为系统中涉及的相关技术内容；管理人员培训内容为系统流程和相关管理思想；操作员为系统的操作培训，投标方应提供完整的培训方案，其中招标人信息科将派技术人员参与开发，投标人需提供数据库应用培训名额两名，内容由招标人指定，所有的培训费用包含在投标总价内。</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3、对实施人员的要求</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 xml:space="preserve">3.1系统在通过验收前必须现场留驻足够的实施人员。        </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3.2招标人有权根据实施情况要求更换项目经理和实施人员。</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3.3对投标人项目经理等级基本要求：要求投标人针对本项目成立项目小组，在投标书中提供书面名单，人员一旦得到医院确认，无特殊理由不得随意变动，其中项目经理必须具有相当资质并有同类产品三级甲等综合性医院实施经验，且项目经理未得到医院同意的情况下不得随意更换。</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3.4项目经理至少具有5年以上相关项目实施经验，现场项目驻场成员不少于5人，并具有类似工程的项目经历。重要技术人员至少具有3年以上相关工作经验，核心人员要求全职参与该项目。</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4、技术文档</w:t>
      </w:r>
    </w:p>
    <w:p>
      <w:pPr>
        <w:autoSpaceDE w:val="0"/>
        <w:spacing w:line="380" w:lineRule="exact"/>
        <w:ind w:firstLine="525" w:firstLineChars="250"/>
        <w:rPr>
          <w:rFonts w:hint="eastAsia" w:ascii="宋体" w:hAnsi="宋体"/>
          <w:sz w:val="21"/>
          <w:szCs w:val="21"/>
        </w:rPr>
      </w:pPr>
      <w:r>
        <w:rPr>
          <w:rFonts w:hint="eastAsia" w:ascii="宋体" w:hAnsi="宋体"/>
          <w:sz w:val="21"/>
          <w:szCs w:val="21"/>
        </w:rPr>
        <w:t>4.1系统验收后投标方须提供详细的软件相关技术文档使用说明书、维护手册等文档资料。提供系统应急方案，提供维护及技术支持工具。</w:t>
      </w:r>
    </w:p>
    <w:p>
      <w:pPr>
        <w:autoSpaceDE w:val="0"/>
        <w:spacing w:line="380" w:lineRule="exact"/>
        <w:ind w:firstLine="630" w:firstLineChars="300"/>
        <w:rPr>
          <w:rFonts w:hint="eastAsia" w:ascii="宋体" w:hAnsi="宋体"/>
          <w:sz w:val="21"/>
          <w:szCs w:val="21"/>
        </w:rPr>
      </w:pPr>
      <w:r>
        <w:rPr>
          <w:rFonts w:hint="eastAsia" w:ascii="宋体" w:hAnsi="宋体"/>
          <w:sz w:val="21"/>
          <w:szCs w:val="21"/>
        </w:rPr>
        <w:t>4.2文档包括但不限于以下内容：</w:t>
      </w:r>
    </w:p>
    <w:p>
      <w:pPr>
        <w:autoSpaceDE w:val="0"/>
        <w:spacing w:line="380" w:lineRule="exact"/>
        <w:ind w:firstLine="735" w:firstLineChars="350"/>
        <w:rPr>
          <w:rFonts w:hint="eastAsia" w:ascii="宋体" w:hAnsi="宋体"/>
          <w:sz w:val="21"/>
          <w:szCs w:val="21"/>
        </w:rPr>
      </w:pPr>
      <w:r>
        <w:rPr>
          <w:rFonts w:hint="eastAsia" w:ascii="宋体" w:hAnsi="宋体"/>
          <w:sz w:val="21"/>
          <w:szCs w:val="21"/>
        </w:rPr>
        <w:t>4.2.1项目计划书、用户需求分析报告、数据库字典</w:t>
      </w:r>
    </w:p>
    <w:p>
      <w:pPr>
        <w:autoSpaceDE w:val="0"/>
        <w:spacing w:line="380" w:lineRule="exact"/>
        <w:ind w:firstLine="735" w:firstLineChars="350"/>
        <w:rPr>
          <w:rFonts w:hint="eastAsia" w:ascii="宋体" w:hAnsi="宋体"/>
          <w:sz w:val="21"/>
          <w:szCs w:val="21"/>
        </w:rPr>
      </w:pPr>
      <w:r>
        <w:rPr>
          <w:rFonts w:hint="eastAsia" w:ascii="宋体" w:hAnsi="宋体"/>
          <w:sz w:val="21"/>
          <w:szCs w:val="21"/>
        </w:rPr>
        <w:t>4.2.2安装、测试报告：包括《安装报告》、《测试用例》等。</w:t>
      </w:r>
    </w:p>
    <w:p>
      <w:pPr>
        <w:autoSpaceDE w:val="0"/>
        <w:spacing w:line="380" w:lineRule="exact"/>
        <w:ind w:firstLine="735" w:firstLineChars="350"/>
        <w:rPr>
          <w:rFonts w:hint="eastAsia" w:ascii="宋体" w:hAnsi="宋体"/>
          <w:sz w:val="21"/>
          <w:szCs w:val="21"/>
        </w:rPr>
      </w:pPr>
      <w:r>
        <w:rPr>
          <w:rFonts w:hint="eastAsia" w:ascii="宋体" w:hAnsi="宋体"/>
          <w:sz w:val="21"/>
          <w:szCs w:val="21"/>
        </w:rPr>
        <w:t>4.2.3使用手册：包括《用户手册》、《培训手册》等</w:t>
      </w:r>
    </w:p>
    <w:p>
      <w:pPr>
        <w:autoSpaceDE w:val="0"/>
        <w:spacing w:line="380" w:lineRule="exact"/>
        <w:ind w:firstLine="735" w:firstLineChars="350"/>
        <w:rPr>
          <w:rFonts w:hint="eastAsia" w:ascii="宋体" w:hAnsi="宋体"/>
          <w:sz w:val="21"/>
          <w:szCs w:val="21"/>
        </w:rPr>
      </w:pPr>
      <w:r>
        <w:rPr>
          <w:rFonts w:hint="eastAsia" w:ascii="宋体" w:hAnsi="宋体"/>
          <w:sz w:val="21"/>
          <w:szCs w:val="21"/>
        </w:rPr>
        <w:t>4.2.4系统维护手册：《页面维护文档》、《非页面维护文档》、《数据库维护文档》等。</w:t>
      </w:r>
    </w:p>
    <w:p>
      <w:pPr>
        <w:autoSpaceDE w:val="0"/>
        <w:spacing w:line="380" w:lineRule="exact"/>
        <w:ind w:firstLine="735" w:firstLineChars="350"/>
        <w:rPr>
          <w:rFonts w:hint="eastAsia" w:ascii="宋体" w:hAnsi="宋体"/>
          <w:sz w:val="21"/>
          <w:szCs w:val="21"/>
        </w:rPr>
      </w:pPr>
      <w:r>
        <w:rPr>
          <w:rFonts w:hint="eastAsia" w:ascii="宋体" w:hAnsi="宋体"/>
          <w:sz w:val="21"/>
          <w:szCs w:val="21"/>
        </w:rPr>
        <w:t>4.2.5验收报告等。</w:t>
      </w:r>
    </w:p>
    <w:p>
      <w:pPr>
        <w:pStyle w:val="2"/>
        <w:spacing w:before="156" w:after="156" w:line="340" w:lineRule="exact"/>
        <w:ind w:firstLine="241" w:firstLineChars="100"/>
        <w:outlineLvl w:val="1"/>
        <w:rPr>
          <w:rFonts w:hint="eastAsia" w:hAnsi="宋体"/>
          <w:b/>
          <w:bCs/>
        </w:rPr>
      </w:pPr>
      <w:r>
        <w:rPr>
          <w:rFonts w:hint="eastAsia" w:hAnsi="宋体"/>
          <w:b/>
          <w:bCs/>
        </w:rPr>
        <w:t>【</w:t>
      </w:r>
      <w:r>
        <w:rPr>
          <w:rFonts w:hint="eastAsia" w:hAnsi="宋体"/>
          <w:kern w:val="0"/>
          <w:u w:color="FFFFFF"/>
        </w:rPr>
        <w:t>★</w:t>
      </w:r>
      <w:r>
        <w:rPr>
          <w:rFonts w:hint="eastAsia" w:hAnsi="宋体"/>
          <w:b/>
          <w:bCs/>
        </w:rPr>
        <w:t>】四．商务条款</w:t>
      </w:r>
    </w:p>
    <w:tbl>
      <w:tblPr>
        <w:tblStyle w:val="4"/>
        <w:tblW w:w="95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4"/>
        <w:gridCol w:w="8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7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ascii="宋体" w:hAnsi="宋体"/>
                <w:sz w:val="21"/>
                <w:szCs w:val="21"/>
              </w:rPr>
            </w:pPr>
            <w:r>
              <w:rPr>
                <w:rFonts w:hint="eastAsia" w:ascii="宋体" w:hAnsi="宋体"/>
                <w:sz w:val="21"/>
                <w:szCs w:val="21"/>
              </w:rPr>
              <w:t>项目投标</w:t>
            </w:r>
          </w:p>
          <w:p>
            <w:pPr>
              <w:snapToGrid w:val="0"/>
              <w:spacing w:line="360" w:lineRule="auto"/>
              <w:ind w:firstLine="210" w:firstLineChars="100"/>
              <w:rPr>
                <w:sz w:val="21"/>
                <w:szCs w:val="21"/>
              </w:rPr>
            </w:pPr>
            <w:r>
              <w:rPr>
                <w:rFonts w:hint="eastAsia" w:ascii="宋体" w:hAnsi="宋体"/>
                <w:sz w:val="21"/>
                <w:szCs w:val="21"/>
              </w:rPr>
              <w:t>报价要求</w:t>
            </w:r>
          </w:p>
        </w:tc>
        <w:tc>
          <w:tcPr>
            <w:tcW w:w="8143" w:type="dxa"/>
            <w:tcBorders>
              <w:top w:val="single" w:color="auto" w:sz="4" w:space="0"/>
              <w:left w:val="nil"/>
              <w:bottom w:val="single" w:color="auto" w:sz="4" w:space="0"/>
              <w:right w:val="single" w:color="auto" w:sz="4" w:space="0"/>
            </w:tcBorders>
            <w:vAlign w:val="center"/>
          </w:tcPr>
          <w:p>
            <w:pPr>
              <w:adjustRightInd w:val="0"/>
              <w:spacing w:line="420" w:lineRule="exact"/>
              <w:ind w:firstLine="420" w:firstLineChars="200"/>
              <w:rPr>
                <w:rFonts w:ascii="宋体" w:hAnsi="宋体"/>
                <w:sz w:val="21"/>
                <w:szCs w:val="21"/>
              </w:rPr>
            </w:pPr>
            <w:r>
              <w:rPr>
                <w:rFonts w:hint="eastAsia" w:ascii="宋体" w:hAnsi="宋体"/>
                <w:sz w:val="21"/>
                <w:szCs w:val="21"/>
              </w:rPr>
              <w:t>1.投标报价包括软件及为满足系统运行的配件、附件，安装调试费，验收，维护费，招标代理费，技术支持和税费等一切费用等，维护费包括日常巡检、日常维护等内容，维护中保证对现有设备的完好与正常运行，如需更换部件等，均由服务商免费提供。投标人所投报的投标报价为投标人所能承受的整个项目的一次性最终最低报价(为本采购项目总价)，如有漏项，视同已包含在其它项目中，合同总价和单价不做调整。</w:t>
            </w:r>
          </w:p>
          <w:p>
            <w:pPr>
              <w:adjustRightInd w:val="0"/>
              <w:spacing w:line="360" w:lineRule="auto"/>
              <w:ind w:firstLine="315" w:firstLineChars="150"/>
              <w:rPr>
                <w:rFonts w:ascii="宋体" w:hAnsi="宋体"/>
                <w:sz w:val="21"/>
                <w:szCs w:val="21"/>
              </w:rPr>
            </w:pPr>
            <w:r>
              <w:rPr>
                <w:rFonts w:hint="eastAsia" w:ascii="宋体" w:hAnsi="宋体"/>
                <w:sz w:val="21"/>
                <w:szCs w:val="21"/>
              </w:rPr>
              <w:t>2.按国家规定由中标人缴纳的各种税收已包含在投标总价内，由中标人向税务机关缴纳。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4"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1"/>
                <w:szCs w:val="21"/>
              </w:rPr>
            </w:pPr>
            <w:r>
              <w:rPr>
                <w:rFonts w:hint="eastAsia" w:ascii="宋体" w:hAnsi="宋体"/>
                <w:sz w:val="21"/>
                <w:szCs w:val="21"/>
              </w:rPr>
              <w:t>质保期及</w:t>
            </w:r>
          </w:p>
          <w:p>
            <w:pPr>
              <w:snapToGrid w:val="0"/>
              <w:spacing w:line="360" w:lineRule="auto"/>
              <w:jc w:val="center"/>
              <w:rPr>
                <w:rFonts w:ascii="宋体" w:hAnsi="宋体"/>
                <w:sz w:val="21"/>
                <w:szCs w:val="21"/>
              </w:rPr>
            </w:pPr>
            <w:r>
              <w:rPr>
                <w:rFonts w:hint="eastAsia" w:ascii="宋体" w:hAnsi="宋体"/>
                <w:sz w:val="21"/>
                <w:szCs w:val="21"/>
              </w:rPr>
              <w:t>售后服务</w:t>
            </w:r>
          </w:p>
        </w:tc>
        <w:tc>
          <w:tcPr>
            <w:tcW w:w="8143" w:type="dxa"/>
            <w:tcBorders>
              <w:top w:val="single" w:color="auto" w:sz="4" w:space="0"/>
              <w:left w:val="nil"/>
              <w:bottom w:val="single" w:color="auto" w:sz="4" w:space="0"/>
              <w:right w:val="single" w:color="auto" w:sz="4" w:space="0"/>
            </w:tcBorders>
            <w:vAlign w:val="center"/>
          </w:tcPr>
          <w:p>
            <w:pPr>
              <w:snapToGrid w:val="0"/>
              <w:spacing w:line="360" w:lineRule="exact"/>
              <w:jc w:val="left"/>
              <w:rPr>
                <w:rFonts w:ascii="宋体" w:hAnsi="宋体" w:cs="仿宋_GB2312"/>
                <w:sz w:val="21"/>
                <w:szCs w:val="21"/>
              </w:rPr>
            </w:pPr>
            <w:r>
              <w:rPr>
                <w:rFonts w:hint="eastAsia" w:ascii="宋体" w:hAnsi="宋体"/>
                <w:sz w:val="21"/>
                <w:szCs w:val="21"/>
              </w:rPr>
              <w:t>本项目系统在验收合格后，投标人必须提供≥1年的免费功能纠错性维护及免费技术维护服务，其中包括系统维护、跟踪检测,保证投标人所投软件的正常运行。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1"/>
                <w:szCs w:val="21"/>
              </w:rPr>
            </w:pPr>
            <w:r>
              <w:rPr>
                <w:rFonts w:hint="eastAsia" w:ascii="宋体" w:hAnsi="宋体"/>
                <w:sz w:val="21"/>
                <w:szCs w:val="21"/>
              </w:rPr>
              <w:t>项目建设周期</w:t>
            </w:r>
          </w:p>
        </w:tc>
        <w:tc>
          <w:tcPr>
            <w:tcW w:w="8143"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sz w:val="21"/>
                <w:szCs w:val="21"/>
              </w:rPr>
            </w:pPr>
            <w:r>
              <w:rPr>
                <w:rFonts w:hint="eastAsia" w:ascii="宋体" w:hAnsi="宋体"/>
                <w:sz w:val="21"/>
                <w:szCs w:val="21"/>
              </w:rPr>
              <w:t>合同签订后40天内完成系统的开发部署和上线。正式上线60天后，完成相关测评工作。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210" w:firstLineChars="100"/>
              <w:rPr>
                <w:rFonts w:ascii="宋体" w:hAnsi="宋体" w:eastAsia="仿宋_GB2312"/>
                <w:sz w:val="21"/>
                <w:szCs w:val="21"/>
              </w:rPr>
            </w:pPr>
            <w:r>
              <w:rPr>
                <w:rFonts w:hint="eastAsia" w:ascii="宋体" w:hAnsi="宋体"/>
                <w:sz w:val="21"/>
                <w:szCs w:val="21"/>
              </w:rPr>
              <w:t>服务地点</w:t>
            </w:r>
          </w:p>
        </w:tc>
        <w:tc>
          <w:tcPr>
            <w:tcW w:w="8143"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eastAsia="仿宋_GB2312"/>
                <w:sz w:val="21"/>
                <w:szCs w:val="21"/>
              </w:rPr>
            </w:pPr>
            <w:r>
              <w:rPr>
                <w:rFonts w:hint="eastAsia" w:ascii="宋体" w:hAnsi="宋体"/>
                <w:sz w:val="21"/>
                <w:szCs w:val="21"/>
              </w:rPr>
              <w:t xml:space="preserve">地点：兰溪市人民医院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25"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jc w:val="center"/>
              <w:rPr>
                <w:rFonts w:hAnsi="宋体"/>
                <w:sz w:val="21"/>
                <w:szCs w:val="21"/>
              </w:rPr>
            </w:pPr>
            <w:r>
              <w:rPr>
                <w:rFonts w:hint="eastAsia" w:ascii="宋体" w:hAnsi="宋体"/>
                <w:sz w:val="21"/>
                <w:szCs w:val="21"/>
              </w:rPr>
              <w:t>验收标准及要求</w:t>
            </w:r>
          </w:p>
        </w:tc>
        <w:tc>
          <w:tcPr>
            <w:tcW w:w="8143" w:type="dxa"/>
            <w:tcBorders>
              <w:top w:val="single" w:color="auto" w:sz="4" w:space="0"/>
              <w:left w:val="nil"/>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1"/>
                <w:szCs w:val="21"/>
              </w:rPr>
              <w:t>所有子系统正式投入运行后进行软件系统验收。招标人将邀请相关行业专家与医院一起验收，同时就系统的安全性、完整性、易用性、适用性等请第三方专业评测机构进行评测。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9" w:hRule="atLeast"/>
          <w:jc w:val="center"/>
        </w:trPr>
        <w:tc>
          <w:tcPr>
            <w:tcW w:w="14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10" w:firstLineChars="100"/>
              <w:rPr>
                <w:rFonts w:ascii="宋体" w:hAnsi="宋体"/>
                <w:sz w:val="21"/>
                <w:szCs w:val="21"/>
              </w:rPr>
            </w:pPr>
            <w:r>
              <w:rPr>
                <w:rFonts w:hint="eastAsia" w:ascii="宋体" w:hAnsi="宋体"/>
                <w:sz w:val="21"/>
                <w:szCs w:val="21"/>
              </w:rPr>
              <w:t>付款条件</w:t>
            </w:r>
          </w:p>
        </w:tc>
        <w:tc>
          <w:tcPr>
            <w:tcW w:w="8143" w:type="dxa"/>
            <w:tcBorders>
              <w:top w:val="single" w:color="auto" w:sz="4" w:space="0"/>
              <w:left w:val="nil"/>
              <w:bottom w:val="single" w:color="auto" w:sz="4" w:space="0"/>
              <w:right w:val="single" w:color="auto" w:sz="4" w:space="0"/>
            </w:tcBorders>
            <w:vAlign w:val="center"/>
          </w:tcPr>
          <w:p>
            <w:pPr>
              <w:spacing w:line="440" w:lineRule="exact"/>
              <w:jc w:val="left"/>
              <w:outlineLvl w:val="1"/>
              <w:rPr>
                <w:rFonts w:ascii="宋体" w:hAnsi="宋体"/>
                <w:sz w:val="21"/>
                <w:szCs w:val="21"/>
              </w:rPr>
            </w:pPr>
            <w:r>
              <w:rPr>
                <w:rFonts w:hint="eastAsia" w:ascii="宋体" w:hAnsi="宋体"/>
                <w:b/>
                <w:bCs/>
                <w:sz w:val="21"/>
                <w:szCs w:val="21"/>
              </w:rPr>
              <w:t>付款方式：</w:t>
            </w:r>
            <w:r>
              <w:rPr>
                <w:rFonts w:hint="eastAsia" w:ascii="宋体" w:hAnsi="宋体"/>
                <w:sz w:val="21"/>
                <w:szCs w:val="21"/>
              </w:rPr>
              <w:t>合同</w:t>
            </w:r>
            <w:r>
              <w:rPr>
                <w:rFonts w:hint="eastAsia" w:ascii="宋体" w:hAnsi="宋体" w:cs="仿宋"/>
                <w:spacing w:val="5"/>
                <w:sz w:val="21"/>
                <w:szCs w:val="21"/>
              </w:rPr>
              <w:t>签订后7个工作日内支付合同总价的50%，</w:t>
            </w:r>
            <w:r>
              <w:rPr>
                <w:rFonts w:hint="eastAsia" w:ascii="宋体" w:hAnsi="宋体"/>
                <w:sz w:val="21"/>
                <w:szCs w:val="21"/>
              </w:rPr>
              <w:t>服务期满一年后</w:t>
            </w:r>
            <w:r>
              <w:rPr>
                <w:rFonts w:hint="eastAsia" w:ascii="宋体" w:hAnsi="宋体" w:cs="仿宋"/>
                <w:spacing w:val="5"/>
                <w:sz w:val="21"/>
                <w:szCs w:val="21"/>
              </w:rPr>
              <w:t>7个工作日内</w:t>
            </w:r>
            <w:r>
              <w:rPr>
                <w:rFonts w:hint="eastAsia" w:ascii="宋体" w:hAnsi="宋体"/>
                <w:sz w:val="21"/>
                <w:szCs w:val="21"/>
              </w:rPr>
              <w:t>支付合同总</w:t>
            </w:r>
            <w:r>
              <w:rPr>
                <w:rFonts w:hint="eastAsia" w:ascii="宋体" w:hAnsi="宋体"/>
                <w:sz w:val="21"/>
                <w:szCs w:val="21"/>
                <w:lang w:eastAsia="zh-CN"/>
              </w:rPr>
              <w:t>价</w:t>
            </w:r>
            <w:r>
              <w:rPr>
                <w:rFonts w:hint="eastAsia" w:ascii="宋体" w:hAnsi="宋体"/>
                <w:sz w:val="21"/>
                <w:szCs w:val="21"/>
              </w:rPr>
              <w:t>的50%。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939"/>
    <w:multiLevelType w:val="multilevel"/>
    <w:tmpl w:val="34513939"/>
    <w:lvl w:ilvl="0" w:tentative="0">
      <w:start w:val="3"/>
      <w:numFmt w:val="japaneseCounting"/>
      <w:lvlText w:val="%1、"/>
      <w:lvlJc w:val="left"/>
      <w:pPr>
        <w:ind w:left="450" w:hanging="45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5916598E"/>
    <w:multiLevelType w:val="multilevel"/>
    <w:tmpl w:val="5916598E"/>
    <w:lvl w:ilvl="0" w:tentative="0">
      <w:start w:val="1"/>
      <w:numFmt w:val="japaneseCounting"/>
      <w:lvlText w:val="%1、"/>
      <w:lvlJc w:val="left"/>
      <w:pPr>
        <w:ind w:left="450" w:hanging="45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65012819"/>
    <w:multiLevelType w:val="multilevel"/>
    <w:tmpl w:val="65012819"/>
    <w:lvl w:ilvl="0" w:tentative="0">
      <w:start w:val="1"/>
      <w:numFmt w:val="japaneseCounting"/>
      <w:lvlText w:val="（%1）"/>
      <w:lvlJc w:val="left"/>
      <w:pPr>
        <w:ind w:left="1080" w:hanging="720"/>
      </w:pPr>
      <w:rPr>
        <w:rFonts w:hint="eastAsia" w:ascii="宋体" w:hAnsi="宋体" w:eastAsia="宋体"/>
        <w:b w:val="0"/>
        <w:bCs w:val="0"/>
        <w:sz w:val="24"/>
        <w:szCs w:val="24"/>
      </w:rPr>
    </w:lvl>
    <w:lvl w:ilvl="1" w:tentative="0">
      <w:start w:val="1"/>
      <w:numFmt w:val="lowerLetter"/>
      <w:lvlText w:val="%2)"/>
      <w:lvlJc w:val="left"/>
      <w:pPr>
        <w:ind w:left="1200" w:hanging="420"/>
      </w:pPr>
      <w:rPr>
        <w:rFonts w:hint="default" w:ascii="Times New Roman" w:hAnsi="Times New Roman" w:cs="Times New Roman"/>
      </w:rPr>
    </w:lvl>
    <w:lvl w:ilvl="2" w:tentative="0">
      <w:start w:val="1"/>
      <w:numFmt w:val="lowerRoman"/>
      <w:lvlText w:val="%3."/>
      <w:lvlJc w:val="right"/>
      <w:pPr>
        <w:ind w:left="1620" w:hanging="420"/>
      </w:pPr>
      <w:rPr>
        <w:rFonts w:hint="default" w:ascii="Times New Roman" w:hAnsi="Times New Roman" w:cs="Times New Roman"/>
      </w:rPr>
    </w:lvl>
    <w:lvl w:ilvl="3" w:tentative="0">
      <w:start w:val="1"/>
      <w:numFmt w:val="decimal"/>
      <w:lvlText w:val="%4."/>
      <w:lvlJc w:val="left"/>
      <w:pPr>
        <w:ind w:left="2040" w:hanging="420"/>
      </w:pPr>
      <w:rPr>
        <w:rFonts w:hint="default" w:ascii="Times New Roman" w:hAnsi="Times New Roman" w:cs="Times New Roman"/>
      </w:rPr>
    </w:lvl>
    <w:lvl w:ilvl="4" w:tentative="0">
      <w:start w:val="1"/>
      <w:numFmt w:val="lowerLetter"/>
      <w:lvlText w:val="%5)"/>
      <w:lvlJc w:val="left"/>
      <w:pPr>
        <w:ind w:left="2460" w:hanging="420"/>
      </w:pPr>
      <w:rPr>
        <w:rFonts w:hint="default" w:ascii="Times New Roman" w:hAnsi="Times New Roman" w:cs="Times New Roman"/>
      </w:rPr>
    </w:lvl>
    <w:lvl w:ilvl="5" w:tentative="0">
      <w:start w:val="1"/>
      <w:numFmt w:val="lowerRoman"/>
      <w:lvlText w:val="%6."/>
      <w:lvlJc w:val="right"/>
      <w:pPr>
        <w:ind w:left="2880" w:hanging="420"/>
      </w:pPr>
      <w:rPr>
        <w:rFonts w:hint="default" w:ascii="Times New Roman" w:hAnsi="Times New Roman" w:cs="Times New Roman"/>
      </w:rPr>
    </w:lvl>
    <w:lvl w:ilvl="6" w:tentative="0">
      <w:start w:val="1"/>
      <w:numFmt w:val="decimal"/>
      <w:lvlText w:val="%7."/>
      <w:lvlJc w:val="left"/>
      <w:pPr>
        <w:ind w:left="3300" w:hanging="420"/>
      </w:pPr>
      <w:rPr>
        <w:rFonts w:hint="default" w:ascii="Times New Roman" w:hAnsi="Times New Roman" w:cs="Times New Roman"/>
      </w:rPr>
    </w:lvl>
    <w:lvl w:ilvl="7" w:tentative="0">
      <w:start w:val="1"/>
      <w:numFmt w:val="lowerLetter"/>
      <w:lvlText w:val="%8)"/>
      <w:lvlJc w:val="left"/>
      <w:pPr>
        <w:ind w:left="3720" w:hanging="420"/>
      </w:pPr>
      <w:rPr>
        <w:rFonts w:hint="default" w:ascii="Times New Roman" w:hAnsi="Times New Roman" w:cs="Times New Roman"/>
      </w:rPr>
    </w:lvl>
    <w:lvl w:ilvl="8" w:tentative="0">
      <w:start w:val="1"/>
      <w:numFmt w:val="lowerRoman"/>
      <w:lvlText w:val="%9."/>
      <w:lvlJc w:val="right"/>
      <w:pPr>
        <w:ind w:left="414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B93"/>
    <w:rsid w:val="00951B93"/>
    <w:rsid w:val="00FA0F2F"/>
    <w:rsid w:val="28AF0AEB"/>
    <w:rsid w:val="363C2198"/>
    <w:rsid w:val="4BFF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5"/>
    <w:unhideWhenUsed/>
    <w:qFormat/>
    <w:uiPriority w:val="99"/>
    <w:pPr>
      <w:spacing w:beforeLines="50" w:afterLines="50" w:line="400" w:lineRule="atLeast"/>
    </w:pPr>
    <w:rPr>
      <w:rFonts w:ascii="宋体" w:hAnsi="Courier New" w:cs="宋体"/>
      <w:sz w:val="24"/>
      <w:szCs w:val="24"/>
    </w:rPr>
  </w:style>
  <w:style w:type="character" w:customStyle="1" w:styleId="5">
    <w:name w:val="纯文本 Char"/>
    <w:basedOn w:val="3"/>
    <w:link w:val="2"/>
    <w:qFormat/>
    <w:uiPriority w:val="99"/>
    <w:rPr>
      <w:rFonts w:ascii="宋体" w:hAnsi="Courier New"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829</Words>
  <Characters>4731</Characters>
  <Lines>39</Lines>
  <Paragraphs>11</Paragraphs>
  <TotalTime>24</TotalTime>
  <ScaleCrop>false</ScaleCrop>
  <LinksUpToDate>false</LinksUpToDate>
  <CharactersWithSpaces>5549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2018-09-11T06:07:00Z</dcterms:created>
  <dc:creator>兰溪正大开泰工程咨询有限公司</dc:creator>
  <cp:lastModifiedBy>Administrator</cp:lastModifiedBy>
  <cp:lastPrinted>2018-09-12T01:06:00Z</cp:lastPrinted>
  <dcterms:modified xsi:type="dcterms:W3CDTF">2018-09-12T03:00:42Z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