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17" w:rsidRPr="009C740E" w:rsidRDefault="00867917" w:rsidP="00867917">
      <w:pPr>
        <w:snapToGrid w:val="0"/>
        <w:spacing w:line="360" w:lineRule="exact"/>
        <w:outlineLvl w:val="0"/>
        <w:rPr>
          <w:rFonts w:ascii="宋体" w:hAnsi="宋体"/>
          <w:b/>
          <w:bCs/>
          <w:sz w:val="32"/>
          <w:szCs w:val="32"/>
        </w:rPr>
      </w:pPr>
    </w:p>
    <w:p w:rsidR="00867917" w:rsidRPr="009C740E" w:rsidRDefault="00867917" w:rsidP="00867917">
      <w:pPr>
        <w:snapToGrid w:val="0"/>
        <w:spacing w:line="360" w:lineRule="exact"/>
        <w:ind w:left="238"/>
        <w:jc w:val="center"/>
        <w:outlineLvl w:val="0"/>
        <w:rPr>
          <w:rFonts w:ascii="宋体" w:hAnsi="宋体"/>
          <w:b/>
          <w:sz w:val="32"/>
          <w:szCs w:val="32"/>
        </w:rPr>
      </w:pPr>
      <w:r w:rsidRPr="009C740E">
        <w:rPr>
          <w:rFonts w:ascii="宋体" w:hAnsi="宋体"/>
          <w:b/>
          <w:bCs/>
          <w:sz w:val="32"/>
          <w:szCs w:val="32"/>
        </w:rPr>
        <w:t>第三章  采购</w:t>
      </w:r>
      <w:r w:rsidRPr="009C740E">
        <w:rPr>
          <w:rFonts w:ascii="宋体" w:hAnsi="宋体"/>
          <w:b/>
          <w:sz w:val="32"/>
          <w:szCs w:val="32"/>
        </w:rPr>
        <w:t>需求</w:t>
      </w:r>
    </w:p>
    <w:p w:rsidR="00867917" w:rsidRPr="009C740E" w:rsidRDefault="00867917" w:rsidP="00867917">
      <w:pPr>
        <w:pStyle w:val="a5"/>
        <w:snapToGrid w:val="0"/>
        <w:spacing w:beforeLines="0" w:afterLines="0" w:line="360" w:lineRule="exact"/>
        <w:ind w:firstLineChars="100" w:firstLine="211"/>
        <w:outlineLvl w:val="1"/>
        <w:rPr>
          <w:rFonts w:hAnsi="宋体"/>
          <w:b/>
          <w:sz w:val="21"/>
          <w:szCs w:val="21"/>
        </w:rPr>
      </w:pPr>
    </w:p>
    <w:p w:rsidR="00867917" w:rsidRPr="009C740E" w:rsidRDefault="00867917" w:rsidP="00867917">
      <w:pPr>
        <w:spacing w:line="440" w:lineRule="exact"/>
        <w:ind w:firstLineChars="100" w:firstLine="211"/>
        <w:rPr>
          <w:rFonts w:ascii="宋体" w:hAnsi="宋体"/>
          <w:sz w:val="21"/>
          <w:szCs w:val="21"/>
        </w:rPr>
      </w:pPr>
      <w:r w:rsidRPr="009C740E">
        <w:rPr>
          <w:rFonts w:ascii="宋体" w:hAnsi="宋体"/>
          <w:b/>
          <w:sz w:val="21"/>
          <w:szCs w:val="21"/>
        </w:rPr>
        <w:t>一、项目编号：</w:t>
      </w:r>
      <w:r w:rsidRPr="009C740E">
        <w:rPr>
          <w:rFonts w:ascii="宋体" w:hAnsi="宋体" w:hint="eastAsia"/>
          <w:sz w:val="21"/>
          <w:szCs w:val="21"/>
        </w:rPr>
        <w:t>ZJZT-2020-FW029</w:t>
      </w:r>
    </w:p>
    <w:p w:rsidR="00867917" w:rsidRPr="009C740E" w:rsidRDefault="00867917" w:rsidP="00867917">
      <w:pPr>
        <w:pStyle w:val="a5"/>
        <w:snapToGrid w:val="0"/>
        <w:spacing w:beforeLines="0" w:afterLines="0" w:line="500" w:lineRule="exact"/>
        <w:ind w:firstLineChars="100" w:firstLine="211"/>
        <w:outlineLvl w:val="1"/>
        <w:rPr>
          <w:rFonts w:hAnsi="宋体"/>
          <w:sz w:val="21"/>
          <w:szCs w:val="21"/>
        </w:rPr>
      </w:pPr>
      <w:r w:rsidRPr="009C740E">
        <w:rPr>
          <w:rFonts w:hAnsi="宋体"/>
          <w:b/>
          <w:bCs/>
          <w:sz w:val="21"/>
          <w:szCs w:val="21"/>
        </w:rPr>
        <w:t>二、采购单位名称：</w:t>
      </w:r>
      <w:r w:rsidRPr="009C740E">
        <w:rPr>
          <w:rFonts w:hAnsi="宋体" w:hint="eastAsia"/>
          <w:sz w:val="21"/>
          <w:szCs w:val="21"/>
        </w:rPr>
        <w:t>兰溪市交通建设服务公司（国防交通兰溪服务公司）</w:t>
      </w:r>
      <w:r w:rsidRPr="009C740E">
        <w:rPr>
          <w:rFonts w:hAnsi="宋体"/>
          <w:sz w:val="21"/>
          <w:szCs w:val="21"/>
        </w:rPr>
        <w:t xml:space="preserve"> </w:t>
      </w:r>
      <w:r w:rsidRPr="009C740E">
        <w:rPr>
          <w:rFonts w:hAnsi="宋体" w:hint="eastAsia"/>
          <w:sz w:val="21"/>
          <w:szCs w:val="21"/>
        </w:rPr>
        <w:t xml:space="preserve"> </w:t>
      </w:r>
    </w:p>
    <w:p w:rsidR="00867917" w:rsidRPr="009C740E" w:rsidRDefault="00867917" w:rsidP="00867917">
      <w:pPr>
        <w:spacing w:line="500" w:lineRule="exact"/>
        <w:ind w:firstLineChars="98" w:firstLine="207"/>
        <w:rPr>
          <w:rFonts w:ascii="宋体" w:hAnsi="宋体"/>
          <w:sz w:val="21"/>
          <w:szCs w:val="21"/>
        </w:rPr>
      </w:pPr>
      <w:r w:rsidRPr="009C740E">
        <w:rPr>
          <w:rFonts w:ascii="宋体" w:hAnsi="宋体"/>
          <w:b/>
          <w:bCs/>
          <w:sz w:val="21"/>
          <w:szCs w:val="21"/>
        </w:rPr>
        <w:t>三、项目名称：</w:t>
      </w:r>
      <w:r w:rsidRPr="009C740E">
        <w:rPr>
          <w:rFonts w:ascii="宋体" w:hAnsi="宋体" w:hint="eastAsia"/>
          <w:sz w:val="21"/>
          <w:szCs w:val="21"/>
        </w:rPr>
        <w:t>兰溪351国道兰溪横溪至马涧段改建工程隧道监控量测与高边坡稳定性监测</w:t>
      </w:r>
    </w:p>
    <w:p w:rsidR="00867917" w:rsidRPr="009C740E" w:rsidRDefault="00867917" w:rsidP="00867917">
      <w:pPr>
        <w:spacing w:line="500" w:lineRule="exact"/>
        <w:ind w:firstLineChars="98" w:firstLine="207"/>
        <w:rPr>
          <w:rFonts w:ascii="宋体" w:hAnsi="宋体"/>
          <w:sz w:val="21"/>
          <w:szCs w:val="21"/>
        </w:rPr>
      </w:pPr>
      <w:r w:rsidRPr="009C740E">
        <w:rPr>
          <w:rFonts w:ascii="宋体" w:hAnsi="宋体" w:hint="eastAsia"/>
          <w:b/>
          <w:bCs/>
          <w:sz w:val="21"/>
          <w:szCs w:val="21"/>
        </w:rPr>
        <w:t>四、服务期：</w:t>
      </w:r>
      <w:r w:rsidRPr="009C740E">
        <w:rPr>
          <w:rFonts w:ascii="宋体" w:hAnsi="宋体" w:hint="eastAsia"/>
          <w:sz w:val="21"/>
          <w:szCs w:val="21"/>
        </w:rPr>
        <w:t>合同签订至所有现场专项检测服务工作全部完成，并通过竣工备案止。</w:t>
      </w:r>
    </w:p>
    <w:p w:rsidR="00867917" w:rsidRPr="009C740E" w:rsidRDefault="00867917" w:rsidP="00867917">
      <w:pPr>
        <w:spacing w:line="500" w:lineRule="exact"/>
        <w:ind w:firstLineChars="98" w:firstLine="207"/>
        <w:rPr>
          <w:rFonts w:ascii="宋体" w:hAnsi="宋体"/>
          <w:b/>
          <w:bCs/>
          <w:sz w:val="21"/>
          <w:szCs w:val="21"/>
        </w:rPr>
      </w:pPr>
      <w:r w:rsidRPr="009C740E">
        <w:rPr>
          <w:rFonts w:ascii="宋体" w:hAnsi="宋体" w:hint="eastAsia"/>
          <w:b/>
          <w:bCs/>
          <w:sz w:val="21"/>
          <w:szCs w:val="21"/>
        </w:rPr>
        <w:t>五、工程概况：</w:t>
      </w:r>
    </w:p>
    <w:p w:rsidR="00867917" w:rsidRPr="009C740E" w:rsidRDefault="00867917" w:rsidP="00867917">
      <w:pPr>
        <w:pStyle w:val="a5"/>
        <w:snapToGrid w:val="0"/>
        <w:spacing w:beforeLines="0" w:afterLines="0" w:line="500" w:lineRule="exact"/>
        <w:ind w:firstLineChars="300" w:firstLine="630"/>
        <w:outlineLvl w:val="1"/>
        <w:rPr>
          <w:rFonts w:hAnsi="宋体"/>
          <w:bCs/>
          <w:sz w:val="21"/>
          <w:szCs w:val="21"/>
        </w:rPr>
      </w:pPr>
      <w:r w:rsidRPr="009C740E">
        <w:rPr>
          <w:rFonts w:hAnsi="宋体" w:hint="eastAsia"/>
          <w:bCs/>
          <w:sz w:val="21"/>
          <w:szCs w:val="21"/>
        </w:rPr>
        <w:t>隧道：主要构造物</w:t>
      </w:r>
      <w:proofErr w:type="gramStart"/>
      <w:r w:rsidRPr="009C740E">
        <w:rPr>
          <w:rFonts w:hAnsi="宋体" w:hint="eastAsia"/>
          <w:bCs/>
          <w:sz w:val="21"/>
          <w:szCs w:val="21"/>
        </w:rPr>
        <w:t>包括浦兰隧道</w:t>
      </w:r>
      <w:proofErr w:type="gramEnd"/>
      <w:r w:rsidRPr="009C740E">
        <w:rPr>
          <w:rFonts w:hAnsi="宋体" w:hint="eastAsia"/>
          <w:bCs/>
          <w:sz w:val="21"/>
          <w:szCs w:val="21"/>
        </w:rPr>
        <w:t>0.5座，属于分离式隧道，纵坡1.3%。左幅820m（全长2988 m），Ⅴ级围岩95m，Ⅳ级围岩290m，Ⅲ级围岩435m；右幅805m（全长2995 m），Ⅴ级围岩80m，Ⅳ级围岩195m，Ⅲ级围岩530m，隧道开挖土石方26.7万m³。</w:t>
      </w:r>
    </w:p>
    <w:p w:rsidR="00867917" w:rsidRPr="009C740E" w:rsidRDefault="00867917" w:rsidP="00867917">
      <w:pPr>
        <w:pStyle w:val="a5"/>
        <w:snapToGrid w:val="0"/>
        <w:spacing w:beforeLines="0" w:afterLines="0" w:line="500" w:lineRule="exact"/>
        <w:ind w:firstLineChars="300" w:firstLine="630"/>
        <w:outlineLvl w:val="1"/>
        <w:rPr>
          <w:rFonts w:hAnsi="宋体"/>
          <w:bCs/>
          <w:sz w:val="21"/>
          <w:szCs w:val="21"/>
        </w:rPr>
      </w:pPr>
      <w:r w:rsidRPr="009C740E">
        <w:rPr>
          <w:rFonts w:hAnsi="宋体" w:hint="eastAsia"/>
          <w:bCs/>
          <w:sz w:val="21"/>
          <w:szCs w:val="21"/>
        </w:rPr>
        <w:t>高边坡：本项目为改扩建工程设计高边坡（土质挖方边坡高度≥20m，石质路堑挖方边坡高度≥30m）施工为7处，</w:t>
      </w:r>
      <w:proofErr w:type="gramStart"/>
      <w:r w:rsidRPr="009C740E">
        <w:rPr>
          <w:rFonts w:hAnsi="宋体" w:hint="eastAsia"/>
          <w:bCs/>
          <w:sz w:val="21"/>
          <w:szCs w:val="21"/>
        </w:rPr>
        <w:t>其中涉路施工</w:t>
      </w:r>
      <w:proofErr w:type="gramEnd"/>
      <w:r w:rsidRPr="009C740E">
        <w:rPr>
          <w:rFonts w:hAnsi="宋体" w:hint="eastAsia"/>
          <w:bCs/>
          <w:sz w:val="21"/>
          <w:szCs w:val="21"/>
        </w:rPr>
        <w:t>6处，最大边坡高度为54m，根据地质勘探报告7处路段均为岩质高边坡，上层主要为强</w:t>
      </w:r>
      <w:proofErr w:type="gramStart"/>
      <w:r w:rsidRPr="009C740E">
        <w:rPr>
          <w:rFonts w:hAnsi="宋体" w:hint="eastAsia"/>
          <w:bCs/>
          <w:sz w:val="21"/>
          <w:szCs w:val="21"/>
        </w:rPr>
        <w:t>分化凝质粉砂岩</w:t>
      </w:r>
      <w:proofErr w:type="gramEnd"/>
      <w:r w:rsidRPr="009C740E">
        <w:rPr>
          <w:rFonts w:hAnsi="宋体" w:hint="eastAsia"/>
          <w:bCs/>
          <w:sz w:val="21"/>
          <w:szCs w:val="21"/>
        </w:rPr>
        <w:t>，岩石分化强烈，节理裂隙极发育，岩体极破碎，下层主要为中分化凝灰质粉砂岩，节理裂隙较发育，岩质较硬，施工期间边坡开挖后应及时进行防护，防止掉块发生，防护主要采取C20上挡墙、锚杆框格、系统锚杆、厚层基材、柔性防护网等形式。</w:t>
      </w:r>
    </w:p>
    <w:p w:rsidR="00867917" w:rsidRPr="009C740E" w:rsidRDefault="00867917" w:rsidP="00867917">
      <w:pPr>
        <w:pStyle w:val="1"/>
        <w:ind w:left="0" w:firstLine="0"/>
        <w:rPr>
          <w:rFonts w:hAnsi="宋体"/>
          <w:b/>
          <w:bCs/>
          <w:szCs w:val="21"/>
        </w:rPr>
      </w:pPr>
    </w:p>
    <w:p w:rsidR="00867917" w:rsidRPr="009C740E" w:rsidRDefault="00867917" w:rsidP="00867917">
      <w:pPr>
        <w:pStyle w:val="3"/>
        <w:rPr>
          <w:rFonts w:ascii="宋体" w:eastAsia="宋体" w:hAnsi="宋体"/>
          <w:sz w:val="21"/>
          <w:szCs w:val="21"/>
        </w:rPr>
      </w:pPr>
      <w:r w:rsidRPr="009C740E">
        <w:rPr>
          <w:rFonts w:ascii="宋体" w:eastAsia="宋体" w:hAnsi="宋体" w:hint="eastAsia"/>
          <w:sz w:val="21"/>
          <w:szCs w:val="21"/>
        </w:rPr>
        <w:t>六、资格审查条件（主要人员最低要求）</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74"/>
        <w:gridCol w:w="796"/>
        <w:gridCol w:w="6008"/>
        <w:gridCol w:w="1078"/>
      </w:tblGrid>
      <w:tr w:rsidR="00867917" w:rsidRPr="009C740E" w:rsidTr="00A74A93">
        <w:trPr>
          <w:trHeight w:val="586"/>
        </w:trPr>
        <w:tc>
          <w:tcPr>
            <w:tcW w:w="1474" w:type="dxa"/>
            <w:vAlign w:val="center"/>
          </w:tcPr>
          <w:p w:rsidR="00867917" w:rsidRPr="009C740E" w:rsidRDefault="00867917" w:rsidP="00A74A93">
            <w:pPr>
              <w:spacing w:line="600" w:lineRule="exact"/>
              <w:jc w:val="center"/>
              <w:rPr>
                <w:rFonts w:ascii="宋体" w:hAnsi="宋体"/>
                <w:sz w:val="21"/>
                <w:szCs w:val="21"/>
              </w:rPr>
            </w:pPr>
            <w:r w:rsidRPr="009C740E">
              <w:rPr>
                <w:rFonts w:ascii="宋体" w:hAnsi="宋体" w:hint="eastAsia"/>
                <w:sz w:val="21"/>
                <w:szCs w:val="21"/>
              </w:rPr>
              <w:t>人员</w:t>
            </w:r>
          </w:p>
        </w:tc>
        <w:tc>
          <w:tcPr>
            <w:tcW w:w="796" w:type="dxa"/>
            <w:vAlign w:val="center"/>
          </w:tcPr>
          <w:p w:rsidR="00867917" w:rsidRPr="009C740E" w:rsidRDefault="00867917" w:rsidP="00A74A93">
            <w:pPr>
              <w:spacing w:line="600" w:lineRule="exact"/>
              <w:jc w:val="center"/>
              <w:rPr>
                <w:rFonts w:ascii="宋体" w:hAnsi="宋体"/>
                <w:sz w:val="21"/>
                <w:szCs w:val="21"/>
              </w:rPr>
            </w:pPr>
            <w:r w:rsidRPr="009C740E">
              <w:rPr>
                <w:rFonts w:ascii="宋体" w:hAnsi="宋体" w:hint="eastAsia"/>
                <w:sz w:val="21"/>
                <w:szCs w:val="21"/>
              </w:rPr>
              <w:t>数量</w:t>
            </w:r>
          </w:p>
        </w:tc>
        <w:tc>
          <w:tcPr>
            <w:tcW w:w="6008" w:type="dxa"/>
            <w:tcBorders>
              <w:right w:val="single" w:sz="4" w:space="0" w:color="auto"/>
            </w:tcBorders>
            <w:vAlign w:val="center"/>
          </w:tcPr>
          <w:p w:rsidR="00867917" w:rsidRPr="009C740E" w:rsidRDefault="00867917" w:rsidP="00A74A93">
            <w:pPr>
              <w:spacing w:line="600" w:lineRule="exact"/>
              <w:jc w:val="center"/>
              <w:rPr>
                <w:rFonts w:ascii="宋体" w:hAnsi="宋体"/>
                <w:sz w:val="21"/>
                <w:szCs w:val="21"/>
              </w:rPr>
            </w:pPr>
            <w:r w:rsidRPr="009C740E">
              <w:rPr>
                <w:rFonts w:ascii="宋体" w:hAnsi="宋体" w:hint="eastAsia"/>
                <w:sz w:val="21"/>
                <w:szCs w:val="21"/>
              </w:rPr>
              <w:t>资格要求</w:t>
            </w:r>
          </w:p>
        </w:tc>
        <w:tc>
          <w:tcPr>
            <w:tcW w:w="1078" w:type="dxa"/>
            <w:tcBorders>
              <w:left w:val="single" w:sz="4" w:space="0" w:color="auto"/>
            </w:tcBorders>
          </w:tcPr>
          <w:p w:rsidR="00867917" w:rsidRPr="009C740E" w:rsidRDefault="00867917" w:rsidP="00A74A93">
            <w:pPr>
              <w:spacing w:line="600" w:lineRule="exact"/>
              <w:jc w:val="center"/>
              <w:rPr>
                <w:rFonts w:ascii="宋体" w:hAnsi="宋体"/>
                <w:sz w:val="22"/>
                <w:szCs w:val="22"/>
              </w:rPr>
            </w:pPr>
            <w:r w:rsidRPr="009C740E">
              <w:rPr>
                <w:rFonts w:ascii="宋体" w:hAnsi="宋体" w:hint="eastAsia"/>
                <w:sz w:val="22"/>
                <w:szCs w:val="22"/>
              </w:rPr>
              <w:t>备注</w:t>
            </w:r>
          </w:p>
        </w:tc>
      </w:tr>
      <w:tr w:rsidR="00867917" w:rsidRPr="009C740E" w:rsidTr="00A74A93">
        <w:trPr>
          <w:trHeight w:val="1621"/>
        </w:trPr>
        <w:tc>
          <w:tcPr>
            <w:tcW w:w="1474"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项目负责人</w:t>
            </w:r>
          </w:p>
        </w:tc>
        <w:tc>
          <w:tcPr>
            <w:tcW w:w="796"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1</w:t>
            </w:r>
          </w:p>
        </w:tc>
        <w:tc>
          <w:tcPr>
            <w:tcW w:w="6008" w:type="dxa"/>
            <w:tcBorders>
              <w:right w:val="single" w:sz="4" w:space="0" w:color="auto"/>
            </w:tcBorders>
            <w:vAlign w:val="center"/>
          </w:tcPr>
          <w:p w:rsidR="00867917" w:rsidRPr="009C740E" w:rsidRDefault="00867917" w:rsidP="00867917">
            <w:pPr>
              <w:numPr>
                <w:ilvl w:val="0"/>
                <w:numId w:val="1"/>
              </w:numPr>
              <w:jc w:val="left"/>
              <w:rPr>
                <w:rFonts w:ascii="宋体" w:hAnsi="宋体" w:cs="宋体"/>
                <w:sz w:val="21"/>
                <w:szCs w:val="21"/>
              </w:rPr>
            </w:pPr>
            <w:r w:rsidRPr="009C740E">
              <w:rPr>
                <w:rFonts w:ascii="宋体" w:hAnsi="宋体" w:hint="eastAsia"/>
                <w:sz w:val="21"/>
                <w:szCs w:val="21"/>
              </w:rPr>
              <w:t>中级及以上技术职称</w:t>
            </w:r>
            <w:r w:rsidRPr="009C740E">
              <w:rPr>
                <w:rFonts w:ascii="宋体" w:hAnsi="宋体"/>
                <w:sz w:val="21"/>
                <w:szCs w:val="21"/>
              </w:rPr>
              <w:t>，担任过</w:t>
            </w:r>
            <w:r w:rsidRPr="009C740E">
              <w:rPr>
                <w:rFonts w:ascii="宋体" w:hAnsi="宋体" w:hint="eastAsia"/>
                <w:sz w:val="21"/>
                <w:szCs w:val="21"/>
              </w:rPr>
              <w:t>1个</w:t>
            </w:r>
            <w:r w:rsidRPr="009C740E">
              <w:rPr>
                <w:rFonts w:ascii="宋体" w:hAnsi="宋体" w:cs="宋体" w:hint="eastAsia"/>
                <w:sz w:val="21"/>
                <w:szCs w:val="21"/>
              </w:rPr>
              <w:t>新（或改）建公路高边坡稳定性监测或隧道施工监控量测</w:t>
            </w:r>
            <w:r w:rsidRPr="009C740E">
              <w:rPr>
                <w:rFonts w:ascii="宋体" w:hAnsi="宋体" w:hint="eastAsia"/>
                <w:sz w:val="21"/>
                <w:szCs w:val="21"/>
              </w:rPr>
              <w:t>的项目负责人或技术负责人，持有交通运输部门核发的公路工程试验检测工程师证书（隧道专业）且有效，年龄在60周岁以下且为本单位在职人员，须提供项目负责人在本单位的社保缴纳证明材料。</w:t>
            </w:r>
          </w:p>
          <w:p w:rsidR="00867917" w:rsidRPr="009C740E" w:rsidRDefault="00867917" w:rsidP="00A74A93">
            <w:pPr>
              <w:jc w:val="left"/>
              <w:rPr>
                <w:rFonts w:ascii="宋体" w:hAnsi="宋体" w:cs="宋体"/>
                <w:sz w:val="21"/>
                <w:szCs w:val="21"/>
              </w:rPr>
            </w:pPr>
            <w:r w:rsidRPr="009C740E">
              <w:rPr>
                <w:rFonts w:ascii="宋体" w:hAnsi="宋体" w:cs="宋体"/>
                <w:sz w:val="21"/>
                <w:szCs w:val="21"/>
              </w:rPr>
              <w:t>2、201</w:t>
            </w:r>
            <w:r w:rsidRPr="009C740E">
              <w:rPr>
                <w:rFonts w:ascii="宋体" w:hAnsi="宋体" w:cs="宋体" w:hint="eastAsia"/>
                <w:sz w:val="21"/>
                <w:szCs w:val="21"/>
              </w:rPr>
              <w:t>6</w:t>
            </w:r>
            <w:r w:rsidRPr="009C740E">
              <w:rPr>
                <w:rFonts w:ascii="宋体" w:hAnsi="宋体" w:cs="宋体"/>
                <w:sz w:val="21"/>
                <w:szCs w:val="21"/>
              </w:rPr>
              <w:t xml:space="preserve"> 年</w:t>
            </w:r>
            <w:r w:rsidRPr="009C740E">
              <w:rPr>
                <w:rFonts w:ascii="宋体" w:hAnsi="宋体" w:cs="宋体" w:hint="eastAsia"/>
                <w:sz w:val="21"/>
                <w:szCs w:val="21"/>
              </w:rPr>
              <w:t>1</w:t>
            </w:r>
            <w:r w:rsidRPr="009C740E">
              <w:rPr>
                <w:rFonts w:ascii="宋体" w:hAnsi="宋体" w:cs="宋体"/>
                <w:sz w:val="21"/>
                <w:szCs w:val="21"/>
              </w:rPr>
              <w:t>月1日以来，拟委任检测项目负责人无行贿犯罪行为。</w:t>
            </w:r>
          </w:p>
        </w:tc>
        <w:tc>
          <w:tcPr>
            <w:tcW w:w="1078" w:type="dxa"/>
            <w:tcBorders>
              <w:left w:val="single" w:sz="4" w:space="0" w:color="auto"/>
            </w:tcBorders>
          </w:tcPr>
          <w:p w:rsidR="00867917" w:rsidRPr="009C740E" w:rsidRDefault="00867917" w:rsidP="00A74A93">
            <w:pPr>
              <w:jc w:val="center"/>
              <w:rPr>
                <w:rFonts w:ascii="宋体" w:hAnsi="宋体"/>
                <w:sz w:val="22"/>
                <w:szCs w:val="22"/>
              </w:rPr>
            </w:pPr>
          </w:p>
        </w:tc>
      </w:tr>
      <w:tr w:rsidR="00867917" w:rsidRPr="009C740E" w:rsidTr="00A74A93">
        <w:trPr>
          <w:trHeight w:val="1316"/>
        </w:trPr>
        <w:tc>
          <w:tcPr>
            <w:tcW w:w="1474"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技术负责人</w:t>
            </w:r>
          </w:p>
        </w:tc>
        <w:tc>
          <w:tcPr>
            <w:tcW w:w="796"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1</w:t>
            </w:r>
          </w:p>
        </w:tc>
        <w:tc>
          <w:tcPr>
            <w:tcW w:w="6008" w:type="dxa"/>
            <w:tcBorders>
              <w:right w:val="single" w:sz="4" w:space="0" w:color="auto"/>
            </w:tcBorders>
            <w:vAlign w:val="center"/>
          </w:tcPr>
          <w:p w:rsidR="00867917" w:rsidRPr="009C740E" w:rsidRDefault="00867917" w:rsidP="00A74A93">
            <w:pPr>
              <w:jc w:val="left"/>
              <w:rPr>
                <w:rFonts w:ascii="宋体" w:hAnsi="宋体"/>
                <w:sz w:val="21"/>
                <w:szCs w:val="21"/>
              </w:rPr>
            </w:pPr>
            <w:r w:rsidRPr="009C740E">
              <w:rPr>
                <w:rFonts w:ascii="宋体" w:hAnsi="宋体" w:cs="宋体"/>
                <w:sz w:val="21"/>
                <w:szCs w:val="21"/>
              </w:rPr>
              <w:t>高级及以上技术职称，持有交通运输部门核发的公路工程试验检测工程师证书且有效，年龄在 60 周岁以下</w:t>
            </w:r>
            <w:r w:rsidRPr="009C740E">
              <w:rPr>
                <w:rFonts w:ascii="宋体" w:hAnsi="宋体" w:hint="eastAsia"/>
                <w:sz w:val="21"/>
                <w:szCs w:val="21"/>
              </w:rPr>
              <w:t>且为本单位在职人员，须提供技术负责人在本单位的社保缴纳证明材料</w:t>
            </w:r>
          </w:p>
        </w:tc>
        <w:tc>
          <w:tcPr>
            <w:tcW w:w="1078" w:type="dxa"/>
            <w:tcBorders>
              <w:left w:val="single" w:sz="4" w:space="0" w:color="auto"/>
            </w:tcBorders>
          </w:tcPr>
          <w:p w:rsidR="00867917" w:rsidRPr="009C740E" w:rsidRDefault="00867917" w:rsidP="00A74A93">
            <w:pPr>
              <w:jc w:val="center"/>
              <w:rPr>
                <w:rFonts w:ascii="宋体" w:hAnsi="宋体"/>
                <w:sz w:val="22"/>
                <w:szCs w:val="22"/>
              </w:rPr>
            </w:pPr>
          </w:p>
        </w:tc>
      </w:tr>
      <w:tr w:rsidR="00867917" w:rsidRPr="009C740E" w:rsidTr="00A74A93">
        <w:trPr>
          <w:trHeight w:val="1316"/>
        </w:trPr>
        <w:tc>
          <w:tcPr>
            <w:tcW w:w="1474"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lastRenderedPageBreak/>
              <w:t>隧道监控分项负责人</w:t>
            </w:r>
          </w:p>
        </w:tc>
        <w:tc>
          <w:tcPr>
            <w:tcW w:w="796"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1</w:t>
            </w:r>
          </w:p>
        </w:tc>
        <w:tc>
          <w:tcPr>
            <w:tcW w:w="6008" w:type="dxa"/>
            <w:tcBorders>
              <w:right w:val="single" w:sz="4" w:space="0" w:color="auto"/>
            </w:tcBorders>
            <w:vAlign w:val="center"/>
          </w:tcPr>
          <w:p w:rsidR="00867917" w:rsidRPr="009C740E" w:rsidRDefault="00867917" w:rsidP="00A74A93">
            <w:pPr>
              <w:rPr>
                <w:rFonts w:ascii="宋体" w:hAnsi="宋体" w:cs="宋体"/>
                <w:sz w:val="21"/>
                <w:szCs w:val="21"/>
              </w:rPr>
            </w:pPr>
            <w:r w:rsidRPr="009C740E">
              <w:rPr>
                <w:rFonts w:ascii="宋体" w:hAnsi="宋体" w:cs="宋体" w:hint="eastAsia"/>
                <w:sz w:val="21"/>
                <w:szCs w:val="21"/>
              </w:rPr>
              <w:t>1、 中级及以上技术职称，持有交通运输部门核发的公路工程试验检测工程师证书且有效，年龄在 60 周岁以下</w:t>
            </w:r>
            <w:r w:rsidRPr="009C740E">
              <w:rPr>
                <w:rFonts w:ascii="宋体" w:hAnsi="宋体" w:hint="eastAsia"/>
                <w:sz w:val="21"/>
                <w:szCs w:val="21"/>
              </w:rPr>
              <w:t>且为本单位在职人员，须提供隧道监控分项负责人在本单位的社保缴纳证明材料</w:t>
            </w:r>
          </w:p>
        </w:tc>
        <w:tc>
          <w:tcPr>
            <w:tcW w:w="1078" w:type="dxa"/>
            <w:tcBorders>
              <w:left w:val="single" w:sz="4" w:space="0" w:color="auto"/>
            </w:tcBorders>
          </w:tcPr>
          <w:p w:rsidR="00867917" w:rsidRPr="009C740E" w:rsidRDefault="00867917" w:rsidP="00A74A93">
            <w:pPr>
              <w:jc w:val="center"/>
              <w:rPr>
                <w:rFonts w:ascii="宋体" w:hAnsi="宋体"/>
                <w:sz w:val="22"/>
                <w:szCs w:val="22"/>
              </w:rPr>
            </w:pPr>
          </w:p>
        </w:tc>
      </w:tr>
      <w:tr w:rsidR="00867917" w:rsidRPr="009C740E" w:rsidTr="00A74A93">
        <w:trPr>
          <w:trHeight w:val="1316"/>
        </w:trPr>
        <w:tc>
          <w:tcPr>
            <w:tcW w:w="1474"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高边坡监测分项负责人</w:t>
            </w:r>
          </w:p>
        </w:tc>
        <w:tc>
          <w:tcPr>
            <w:tcW w:w="796"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1</w:t>
            </w:r>
          </w:p>
        </w:tc>
        <w:tc>
          <w:tcPr>
            <w:tcW w:w="6008" w:type="dxa"/>
            <w:tcBorders>
              <w:right w:val="single" w:sz="4" w:space="0" w:color="auto"/>
            </w:tcBorders>
            <w:vAlign w:val="center"/>
          </w:tcPr>
          <w:p w:rsidR="00867917" w:rsidRPr="009C740E" w:rsidRDefault="00867917" w:rsidP="00A74A93">
            <w:pPr>
              <w:rPr>
                <w:rFonts w:ascii="宋体" w:hAnsi="宋体" w:cs="宋体"/>
                <w:sz w:val="21"/>
                <w:szCs w:val="21"/>
              </w:rPr>
            </w:pPr>
            <w:r w:rsidRPr="009C740E">
              <w:rPr>
                <w:rFonts w:ascii="宋体" w:hAnsi="宋体" w:cs="宋体" w:hint="eastAsia"/>
                <w:sz w:val="21"/>
                <w:szCs w:val="21"/>
              </w:rPr>
              <w:t>1、 中级及以上技术职称，持有交通运输部门核发的公路工程试验检测工程师证书且有效，年龄在 60 周岁</w:t>
            </w:r>
            <w:r w:rsidRPr="009C740E">
              <w:rPr>
                <w:rFonts w:ascii="宋体" w:hAnsi="宋体" w:hint="eastAsia"/>
                <w:sz w:val="21"/>
                <w:szCs w:val="21"/>
              </w:rPr>
              <w:t>且为本单位在职人员，须提供高边坡监测分项负责人在本单位的社保缴纳证明材料</w:t>
            </w:r>
          </w:p>
        </w:tc>
        <w:tc>
          <w:tcPr>
            <w:tcW w:w="1078" w:type="dxa"/>
            <w:tcBorders>
              <w:left w:val="single" w:sz="4" w:space="0" w:color="auto"/>
            </w:tcBorders>
          </w:tcPr>
          <w:p w:rsidR="00867917" w:rsidRPr="009C740E" w:rsidRDefault="00867917" w:rsidP="00A74A93">
            <w:pPr>
              <w:jc w:val="center"/>
              <w:rPr>
                <w:rFonts w:ascii="宋体" w:hAnsi="宋体"/>
                <w:sz w:val="22"/>
                <w:szCs w:val="22"/>
              </w:rPr>
            </w:pPr>
          </w:p>
        </w:tc>
      </w:tr>
      <w:tr w:rsidR="00867917" w:rsidRPr="009C740E" w:rsidTr="00A74A93">
        <w:trPr>
          <w:trHeight w:val="1316"/>
        </w:trPr>
        <w:tc>
          <w:tcPr>
            <w:tcW w:w="1474"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现场检测人员</w:t>
            </w:r>
          </w:p>
        </w:tc>
        <w:tc>
          <w:tcPr>
            <w:tcW w:w="796" w:type="dxa"/>
            <w:vAlign w:val="center"/>
          </w:tcPr>
          <w:p w:rsidR="00867917" w:rsidRPr="009C740E" w:rsidRDefault="00867917" w:rsidP="00A74A93">
            <w:pPr>
              <w:jc w:val="center"/>
              <w:rPr>
                <w:rFonts w:ascii="宋体" w:hAnsi="宋体"/>
                <w:sz w:val="21"/>
                <w:szCs w:val="21"/>
              </w:rPr>
            </w:pPr>
            <w:r w:rsidRPr="009C740E">
              <w:rPr>
                <w:rFonts w:ascii="宋体" w:hAnsi="宋体" w:hint="eastAsia"/>
                <w:sz w:val="21"/>
                <w:szCs w:val="21"/>
              </w:rPr>
              <w:t>不少于2人</w:t>
            </w:r>
          </w:p>
        </w:tc>
        <w:tc>
          <w:tcPr>
            <w:tcW w:w="6008" w:type="dxa"/>
            <w:tcBorders>
              <w:right w:val="single" w:sz="4" w:space="0" w:color="auto"/>
            </w:tcBorders>
            <w:vAlign w:val="center"/>
          </w:tcPr>
          <w:p w:rsidR="00867917" w:rsidRPr="009C740E" w:rsidRDefault="00867917" w:rsidP="00867917">
            <w:pPr>
              <w:numPr>
                <w:ilvl w:val="0"/>
                <w:numId w:val="2"/>
              </w:numPr>
              <w:jc w:val="left"/>
              <w:rPr>
                <w:rFonts w:ascii="宋体" w:hAnsi="宋体" w:cs="宋体"/>
                <w:sz w:val="21"/>
                <w:szCs w:val="21"/>
              </w:rPr>
            </w:pPr>
            <w:r w:rsidRPr="009C740E">
              <w:rPr>
                <w:rFonts w:ascii="宋体" w:hAnsi="宋体" w:cs="宋体"/>
                <w:sz w:val="21"/>
                <w:szCs w:val="21"/>
              </w:rPr>
              <w:t>具有初级及以上技术职称，持有交通运输部门核发的助理检测师（或试验检测工程师）证书且证书在有效期内。同时提供</w:t>
            </w:r>
            <w:r w:rsidRPr="009C740E">
              <w:rPr>
                <w:rFonts w:ascii="宋体" w:hAnsi="宋体" w:hint="eastAsia"/>
                <w:sz w:val="21"/>
                <w:szCs w:val="21"/>
              </w:rPr>
              <w:t>现场检测人员在本单位的社保缴纳证明材料。</w:t>
            </w:r>
          </w:p>
          <w:p w:rsidR="00867917" w:rsidRPr="009C740E" w:rsidRDefault="00867917" w:rsidP="00A74A93">
            <w:pPr>
              <w:jc w:val="left"/>
              <w:rPr>
                <w:rFonts w:ascii="宋体" w:hAnsi="宋体"/>
                <w:sz w:val="21"/>
                <w:szCs w:val="21"/>
              </w:rPr>
            </w:pPr>
            <w:r w:rsidRPr="009C740E">
              <w:rPr>
                <w:rFonts w:ascii="宋体" w:hAnsi="宋体" w:cs="宋体"/>
                <w:sz w:val="21"/>
                <w:szCs w:val="21"/>
              </w:rPr>
              <w:t>2、 根据交通运输部门最新的公布的试验检测信用评 价结果，检测工程师个人扣分在 40 分以下。</w:t>
            </w:r>
          </w:p>
        </w:tc>
        <w:tc>
          <w:tcPr>
            <w:tcW w:w="1078" w:type="dxa"/>
            <w:tcBorders>
              <w:left w:val="single" w:sz="4" w:space="0" w:color="auto"/>
            </w:tcBorders>
          </w:tcPr>
          <w:p w:rsidR="00867917" w:rsidRPr="009C740E" w:rsidRDefault="00867917" w:rsidP="00A74A93">
            <w:pPr>
              <w:jc w:val="center"/>
              <w:rPr>
                <w:rFonts w:ascii="宋体" w:hAnsi="宋体"/>
                <w:sz w:val="22"/>
                <w:szCs w:val="22"/>
              </w:rPr>
            </w:pPr>
          </w:p>
        </w:tc>
      </w:tr>
    </w:tbl>
    <w:p w:rsidR="00867917" w:rsidRPr="009C740E" w:rsidRDefault="00867917" w:rsidP="00867917">
      <w:pPr>
        <w:spacing w:line="360" w:lineRule="exact"/>
        <w:jc w:val="left"/>
        <w:rPr>
          <w:rFonts w:ascii="宋体" w:hAnsi="宋体" w:cs="宋体"/>
          <w:sz w:val="22"/>
          <w:szCs w:val="22"/>
        </w:rPr>
      </w:pPr>
      <w:r w:rsidRPr="009C740E">
        <w:rPr>
          <w:rFonts w:ascii="宋体" w:hAnsi="宋体" w:cs="宋体"/>
          <w:sz w:val="22"/>
          <w:szCs w:val="22"/>
        </w:rPr>
        <w:t>注：</w:t>
      </w:r>
    </w:p>
    <w:p w:rsidR="00867917" w:rsidRPr="009C740E" w:rsidRDefault="00867917" w:rsidP="00867917">
      <w:pPr>
        <w:spacing w:line="360" w:lineRule="exact"/>
        <w:ind w:firstLineChars="100" w:firstLine="220"/>
        <w:jc w:val="left"/>
        <w:rPr>
          <w:rFonts w:ascii="宋体" w:hAnsi="宋体" w:cs="宋体"/>
          <w:sz w:val="22"/>
          <w:szCs w:val="22"/>
        </w:rPr>
      </w:pPr>
      <w:r w:rsidRPr="009C740E">
        <w:rPr>
          <w:rFonts w:ascii="宋体" w:hAnsi="宋体" w:cs="宋体" w:hint="eastAsia"/>
          <w:sz w:val="22"/>
          <w:szCs w:val="22"/>
        </w:rPr>
        <w:t>1.</w:t>
      </w:r>
      <w:r w:rsidRPr="009C740E">
        <w:rPr>
          <w:rFonts w:ascii="宋体" w:hAnsi="宋体" w:cs="宋体"/>
          <w:sz w:val="22"/>
          <w:szCs w:val="22"/>
        </w:rPr>
        <w:t xml:space="preserve">拟 委 任 的项目 负 责 人 有 行 贿 犯 罪 行 为 的 认 定 ： 以 通 过 中 国 裁 判 文 书 网 （http://wenshu.court.gov.cn/）进行查询，查询结果以网站页面显示内容为准。 </w:t>
      </w:r>
    </w:p>
    <w:p w:rsidR="00867917" w:rsidRPr="009C740E" w:rsidRDefault="00867917" w:rsidP="00867917">
      <w:pPr>
        <w:spacing w:line="360" w:lineRule="exact"/>
        <w:ind w:firstLineChars="100" w:firstLine="220"/>
        <w:jc w:val="left"/>
        <w:rPr>
          <w:rFonts w:ascii="宋体" w:hAnsi="宋体" w:cs="宋体"/>
          <w:sz w:val="22"/>
          <w:szCs w:val="22"/>
        </w:rPr>
      </w:pPr>
      <w:r w:rsidRPr="009C740E">
        <w:rPr>
          <w:rFonts w:ascii="宋体" w:hAnsi="宋体" w:cs="宋体"/>
          <w:sz w:val="22"/>
          <w:szCs w:val="22"/>
        </w:rPr>
        <w:t>2.持有试验检测证书的人员，其必须在本单位注册且与交通运输部公路水运工程试验检测</w:t>
      </w:r>
      <w:proofErr w:type="gramStart"/>
      <w:r w:rsidRPr="009C740E">
        <w:rPr>
          <w:rFonts w:ascii="宋体" w:hAnsi="宋体" w:cs="宋体"/>
          <w:sz w:val="22"/>
          <w:szCs w:val="22"/>
        </w:rPr>
        <w:t>管理信 息系统</w:t>
      </w:r>
      <w:proofErr w:type="gramEnd"/>
      <w:r w:rsidRPr="009C740E">
        <w:rPr>
          <w:rFonts w:ascii="宋体" w:hAnsi="宋体" w:cs="宋体"/>
          <w:sz w:val="22"/>
          <w:szCs w:val="22"/>
        </w:rPr>
        <w:t>查询结果一致。</w:t>
      </w:r>
      <w:bookmarkStart w:id="0" w:name="_GoBack"/>
      <w:bookmarkEnd w:id="0"/>
      <w:r w:rsidRPr="009C740E">
        <w:rPr>
          <w:rFonts w:ascii="宋体" w:hAnsi="宋体" w:cs="宋体"/>
          <w:sz w:val="22"/>
          <w:szCs w:val="22"/>
        </w:rPr>
        <w:t xml:space="preserve"> </w:t>
      </w:r>
    </w:p>
    <w:p w:rsidR="00867917" w:rsidRPr="009C740E" w:rsidRDefault="00867917" w:rsidP="00867917">
      <w:pPr>
        <w:spacing w:line="360" w:lineRule="exact"/>
        <w:ind w:firstLineChars="100" w:firstLine="220"/>
        <w:jc w:val="left"/>
        <w:rPr>
          <w:rFonts w:ascii="宋体" w:hAnsi="宋体" w:cs="宋体"/>
          <w:sz w:val="22"/>
          <w:szCs w:val="22"/>
        </w:rPr>
      </w:pPr>
      <w:r w:rsidRPr="009C740E">
        <w:rPr>
          <w:rFonts w:ascii="宋体" w:hAnsi="宋体" w:cs="宋体"/>
          <w:sz w:val="22"/>
          <w:szCs w:val="22"/>
        </w:rPr>
        <w:t xml:space="preserve">3.主要人员的技术职称、检测资格、执业资格证书等，以投标人在投标文件中提供的身份证、职 称证书、试验检测工程师（员）资格证书的彩色打印件或清晰可辨的复印件为准。 </w:t>
      </w:r>
    </w:p>
    <w:p w:rsidR="00867917" w:rsidRPr="009C740E" w:rsidRDefault="00867917" w:rsidP="00867917">
      <w:pPr>
        <w:spacing w:line="360" w:lineRule="exact"/>
        <w:ind w:firstLineChars="100" w:firstLine="220"/>
        <w:jc w:val="left"/>
        <w:rPr>
          <w:rFonts w:ascii="宋体" w:hAnsi="宋体" w:cs="宋体"/>
          <w:sz w:val="22"/>
          <w:szCs w:val="22"/>
        </w:rPr>
      </w:pPr>
      <w:r w:rsidRPr="009C740E">
        <w:rPr>
          <w:rFonts w:ascii="宋体" w:hAnsi="宋体" w:cs="宋体"/>
          <w:sz w:val="22"/>
          <w:szCs w:val="22"/>
        </w:rPr>
        <w:t xml:space="preserve">4.类似业绩证明材料：须附已完工程合同协议书或委托书或中标通知书。如上述材料均未体现姓 名、任职的，投标人还应提供经发包人或行业主管部门出具的证明材料，否则业绩不予认可。 </w:t>
      </w:r>
    </w:p>
    <w:p w:rsidR="00867917" w:rsidRPr="009C740E" w:rsidRDefault="00867917" w:rsidP="00867917">
      <w:pPr>
        <w:spacing w:line="360" w:lineRule="exact"/>
        <w:ind w:firstLineChars="200" w:firstLine="422"/>
        <w:jc w:val="center"/>
        <w:rPr>
          <w:rFonts w:ascii="宋体" w:hAnsi="宋体"/>
          <w:b/>
          <w:bCs/>
          <w:sz w:val="21"/>
          <w:szCs w:val="21"/>
        </w:rPr>
      </w:pPr>
      <w:r w:rsidRPr="009C740E">
        <w:rPr>
          <w:rFonts w:ascii="宋体" w:hAnsi="宋体" w:hint="eastAsia"/>
          <w:b/>
          <w:bCs/>
          <w:sz w:val="21"/>
          <w:szCs w:val="21"/>
        </w:rPr>
        <w:t>资格审查条件（主要试验检测仪器设备最低要求）</w:t>
      </w:r>
    </w:p>
    <w:p w:rsidR="00867917" w:rsidRPr="009C740E" w:rsidRDefault="00867917" w:rsidP="00867917">
      <w:pPr>
        <w:ind w:firstLineChars="200" w:firstLine="260"/>
        <w:jc w:val="center"/>
        <w:rPr>
          <w:sz w:val="13"/>
          <w:szCs w:val="13"/>
        </w:rPr>
      </w:pPr>
    </w:p>
    <w:tbl>
      <w:tblPr>
        <w:tblStyle w:val="a7"/>
        <w:tblW w:w="0" w:type="auto"/>
        <w:tblLayout w:type="fixed"/>
        <w:tblLook w:val="04A0"/>
      </w:tblPr>
      <w:tblGrid>
        <w:gridCol w:w="1876"/>
        <w:gridCol w:w="3750"/>
        <w:gridCol w:w="780"/>
        <w:gridCol w:w="1095"/>
        <w:gridCol w:w="1695"/>
      </w:tblGrid>
      <w:tr w:rsidR="00867917" w:rsidRPr="009C740E" w:rsidTr="00A74A93">
        <w:tc>
          <w:tcPr>
            <w:tcW w:w="1876" w:type="dxa"/>
          </w:tcPr>
          <w:p w:rsidR="00867917" w:rsidRPr="009C740E" w:rsidRDefault="00867917" w:rsidP="00A74A93">
            <w:pPr>
              <w:spacing w:line="600" w:lineRule="exact"/>
              <w:jc w:val="center"/>
              <w:rPr>
                <w:rFonts w:ascii="宋体" w:hAnsi="宋体"/>
                <w:bCs/>
                <w:sz w:val="22"/>
                <w:szCs w:val="22"/>
              </w:rPr>
            </w:pPr>
            <w:r w:rsidRPr="009C740E">
              <w:rPr>
                <w:rFonts w:ascii="宋体" w:hAnsi="宋体"/>
                <w:bCs/>
                <w:sz w:val="22"/>
                <w:szCs w:val="22"/>
              </w:rPr>
              <w:t>设备名称</w:t>
            </w:r>
          </w:p>
        </w:tc>
        <w:tc>
          <w:tcPr>
            <w:tcW w:w="3750" w:type="dxa"/>
          </w:tcPr>
          <w:p w:rsidR="00867917" w:rsidRPr="009C740E" w:rsidRDefault="00867917" w:rsidP="00A74A93">
            <w:pPr>
              <w:spacing w:line="600" w:lineRule="exact"/>
              <w:jc w:val="center"/>
              <w:rPr>
                <w:rFonts w:ascii="宋体" w:hAnsi="宋体"/>
                <w:bCs/>
                <w:sz w:val="22"/>
                <w:szCs w:val="22"/>
              </w:rPr>
            </w:pPr>
            <w:r w:rsidRPr="009C740E">
              <w:rPr>
                <w:rFonts w:ascii="宋体" w:hAnsi="宋体"/>
                <w:bCs/>
                <w:sz w:val="22"/>
                <w:szCs w:val="22"/>
              </w:rPr>
              <w:t>规格、功能及容量</w:t>
            </w:r>
          </w:p>
        </w:tc>
        <w:tc>
          <w:tcPr>
            <w:tcW w:w="780" w:type="dxa"/>
          </w:tcPr>
          <w:p w:rsidR="00867917" w:rsidRPr="009C740E" w:rsidRDefault="00867917" w:rsidP="00A74A93">
            <w:pPr>
              <w:spacing w:line="600" w:lineRule="exact"/>
              <w:jc w:val="center"/>
              <w:rPr>
                <w:rFonts w:ascii="宋体" w:hAnsi="宋体"/>
                <w:bCs/>
                <w:sz w:val="22"/>
                <w:szCs w:val="22"/>
              </w:rPr>
            </w:pPr>
            <w:r w:rsidRPr="009C740E">
              <w:rPr>
                <w:rFonts w:ascii="宋体" w:hAnsi="宋体"/>
                <w:bCs/>
                <w:sz w:val="22"/>
                <w:szCs w:val="22"/>
              </w:rPr>
              <w:t>单位</w:t>
            </w:r>
          </w:p>
        </w:tc>
        <w:tc>
          <w:tcPr>
            <w:tcW w:w="1095" w:type="dxa"/>
          </w:tcPr>
          <w:p w:rsidR="00867917" w:rsidRPr="009C740E" w:rsidRDefault="00867917" w:rsidP="00A74A93">
            <w:pPr>
              <w:spacing w:line="380" w:lineRule="exact"/>
              <w:jc w:val="center"/>
              <w:rPr>
                <w:rFonts w:ascii="宋体" w:hAnsi="宋体"/>
                <w:bCs/>
                <w:sz w:val="22"/>
                <w:szCs w:val="22"/>
              </w:rPr>
            </w:pPr>
            <w:r w:rsidRPr="009C740E">
              <w:rPr>
                <w:rFonts w:ascii="宋体" w:hAnsi="宋体"/>
                <w:bCs/>
                <w:sz w:val="22"/>
                <w:szCs w:val="22"/>
              </w:rPr>
              <w:t>最低数 量要求</w:t>
            </w:r>
          </w:p>
        </w:tc>
        <w:tc>
          <w:tcPr>
            <w:tcW w:w="1695" w:type="dxa"/>
          </w:tcPr>
          <w:p w:rsidR="00867917" w:rsidRPr="009C740E" w:rsidRDefault="00867917" w:rsidP="00A74A93">
            <w:pPr>
              <w:spacing w:line="600" w:lineRule="exact"/>
              <w:jc w:val="center"/>
              <w:rPr>
                <w:rFonts w:ascii="宋体" w:hAnsi="宋体"/>
                <w:bCs/>
                <w:sz w:val="22"/>
                <w:szCs w:val="22"/>
              </w:rPr>
            </w:pPr>
            <w:r w:rsidRPr="009C740E">
              <w:rPr>
                <w:rFonts w:ascii="宋体" w:hAnsi="宋体"/>
                <w:bCs/>
                <w:sz w:val="22"/>
                <w:szCs w:val="22"/>
              </w:rPr>
              <w:t>备注</w:t>
            </w:r>
          </w:p>
        </w:tc>
      </w:tr>
      <w:tr w:rsidR="00867917" w:rsidRPr="009C740E" w:rsidTr="00A74A93">
        <w:trPr>
          <w:trHeight w:val="590"/>
        </w:trPr>
        <w:tc>
          <w:tcPr>
            <w:tcW w:w="1876"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精密水准仪</w:t>
            </w:r>
          </w:p>
        </w:tc>
        <w:tc>
          <w:tcPr>
            <w:tcW w:w="375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满足工程及规范要求</w:t>
            </w:r>
          </w:p>
        </w:tc>
        <w:tc>
          <w:tcPr>
            <w:tcW w:w="78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台</w:t>
            </w:r>
          </w:p>
        </w:tc>
        <w:tc>
          <w:tcPr>
            <w:tcW w:w="1095"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1</w:t>
            </w:r>
          </w:p>
        </w:tc>
        <w:tc>
          <w:tcPr>
            <w:tcW w:w="1695" w:type="dxa"/>
          </w:tcPr>
          <w:p w:rsidR="00867917" w:rsidRPr="009C740E" w:rsidRDefault="00867917" w:rsidP="00A74A93">
            <w:pPr>
              <w:spacing w:line="480" w:lineRule="exact"/>
              <w:jc w:val="center"/>
              <w:rPr>
                <w:rFonts w:ascii="宋体" w:hAnsi="宋体"/>
                <w:bCs/>
                <w:sz w:val="22"/>
                <w:szCs w:val="22"/>
              </w:rPr>
            </w:pPr>
          </w:p>
        </w:tc>
      </w:tr>
      <w:tr w:rsidR="00867917" w:rsidRPr="009C740E" w:rsidTr="00A74A93">
        <w:trPr>
          <w:trHeight w:val="545"/>
        </w:trPr>
        <w:tc>
          <w:tcPr>
            <w:tcW w:w="1876"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全站仪</w:t>
            </w:r>
          </w:p>
        </w:tc>
        <w:tc>
          <w:tcPr>
            <w:tcW w:w="375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满足工程及规范要求</w:t>
            </w:r>
          </w:p>
        </w:tc>
        <w:tc>
          <w:tcPr>
            <w:tcW w:w="78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台</w:t>
            </w:r>
          </w:p>
        </w:tc>
        <w:tc>
          <w:tcPr>
            <w:tcW w:w="1095"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1</w:t>
            </w:r>
          </w:p>
        </w:tc>
        <w:tc>
          <w:tcPr>
            <w:tcW w:w="1695" w:type="dxa"/>
          </w:tcPr>
          <w:p w:rsidR="00867917" w:rsidRPr="009C740E" w:rsidRDefault="00867917" w:rsidP="00A74A93">
            <w:pPr>
              <w:spacing w:line="480" w:lineRule="exact"/>
              <w:jc w:val="center"/>
              <w:rPr>
                <w:rFonts w:ascii="宋体" w:hAnsi="宋体"/>
                <w:bCs/>
                <w:sz w:val="22"/>
                <w:szCs w:val="22"/>
              </w:rPr>
            </w:pPr>
          </w:p>
        </w:tc>
      </w:tr>
      <w:tr w:rsidR="00867917" w:rsidRPr="009C740E" w:rsidTr="00A74A93">
        <w:trPr>
          <w:trHeight w:val="515"/>
        </w:trPr>
        <w:tc>
          <w:tcPr>
            <w:tcW w:w="1876"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数显收敛计</w:t>
            </w:r>
          </w:p>
        </w:tc>
        <w:tc>
          <w:tcPr>
            <w:tcW w:w="375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满足工程及规范要求</w:t>
            </w:r>
          </w:p>
        </w:tc>
        <w:tc>
          <w:tcPr>
            <w:tcW w:w="78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台</w:t>
            </w:r>
          </w:p>
        </w:tc>
        <w:tc>
          <w:tcPr>
            <w:tcW w:w="1095"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1</w:t>
            </w:r>
          </w:p>
        </w:tc>
        <w:tc>
          <w:tcPr>
            <w:tcW w:w="1695" w:type="dxa"/>
          </w:tcPr>
          <w:p w:rsidR="00867917" w:rsidRPr="009C740E" w:rsidRDefault="00867917" w:rsidP="00A74A93">
            <w:pPr>
              <w:spacing w:line="480" w:lineRule="exact"/>
              <w:jc w:val="center"/>
              <w:rPr>
                <w:rFonts w:ascii="宋体" w:hAnsi="宋体"/>
                <w:bCs/>
                <w:sz w:val="22"/>
                <w:szCs w:val="22"/>
              </w:rPr>
            </w:pPr>
          </w:p>
        </w:tc>
      </w:tr>
      <w:tr w:rsidR="00867917" w:rsidRPr="009C740E" w:rsidTr="00A74A93">
        <w:trPr>
          <w:trHeight w:val="592"/>
        </w:trPr>
        <w:tc>
          <w:tcPr>
            <w:tcW w:w="1876"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隧道断面仪</w:t>
            </w:r>
          </w:p>
        </w:tc>
        <w:tc>
          <w:tcPr>
            <w:tcW w:w="375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满足工程及规范要求</w:t>
            </w:r>
          </w:p>
        </w:tc>
        <w:tc>
          <w:tcPr>
            <w:tcW w:w="78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台</w:t>
            </w:r>
          </w:p>
        </w:tc>
        <w:tc>
          <w:tcPr>
            <w:tcW w:w="1095"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1</w:t>
            </w:r>
          </w:p>
        </w:tc>
        <w:tc>
          <w:tcPr>
            <w:tcW w:w="1695" w:type="dxa"/>
          </w:tcPr>
          <w:p w:rsidR="00867917" w:rsidRPr="009C740E" w:rsidRDefault="00867917" w:rsidP="00A74A93">
            <w:pPr>
              <w:spacing w:line="480" w:lineRule="exact"/>
              <w:jc w:val="center"/>
              <w:rPr>
                <w:rFonts w:ascii="宋体" w:hAnsi="宋体"/>
                <w:bCs/>
                <w:sz w:val="22"/>
                <w:szCs w:val="22"/>
              </w:rPr>
            </w:pPr>
          </w:p>
        </w:tc>
      </w:tr>
      <w:tr w:rsidR="00867917" w:rsidRPr="009C740E" w:rsidTr="00A74A93">
        <w:trPr>
          <w:trHeight w:val="532"/>
        </w:trPr>
        <w:tc>
          <w:tcPr>
            <w:tcW w:w="1876"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综合测试仪</w:t>
            </w:r>
          </w:p>
        </w:tc>
        <w:tc>
          <w:tcPr>
            <w:tcW w:w="375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满足工程及规范要求</w:t>
            </w:r>
          </w:p>
        </w:tc>
        <w:tc>
          <w:tcPr>
            <w:tcW w:w="78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台</w:t>
            </w:r>
          </w:p>
        </w:tc>
        <w:tc>
          <w:tcPr>
            <w:tcW w:w="1095"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1</w:t>
            </w:r>
          </w:p>
        </w:tc>
        <w:tc>
          <w:tcPr>
            <w:tcW w:w="1695" w:type="dxa"/>
          </w:tcPr>
          <w:p w:rsidR="00867917" w:rsidRPr="009C740E" w:rsidRDefault="00867917" w:rsidP="00A74A93">
            <w:pPr>
              <w:spacing w:line="480" w:lineRule="exact"/>
              <w:jc w:val="center"/>
              <w:rPr>
                <w:rFonts w:ascii="宋体" w:hAnsi="宋体"/>
                <w:bCs/>
                <w:sz w:val="22"/>
                <w:szCs w:val="22"/>
              </w:rPr>
            </w:pPr>
          </w:p>
        </w:tc>
      </w:tr>
      <w:tr w:rsidR="00867917" w:rsidRPr="009C740E" w:rsidTr="00A74A93">
        <w:trPr>
          <w:trHeight w:val="572"/>
        </w:trPr>
        <w:tc>
          <w:tcPr>
            <w:tcW w:w="1876"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钢筋应力计</w:t>
            </w:r>
          </w:p>
        </w:tc>
        <w:tc>
          <w:tcPr>
            <w:tcW w:w="375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满足工程及规范要求</w:t>
            </w:r>
          </w:p>
        </w:tc>
        <w:tc>
          <w:tcPr>
            <w:tcW w:w="78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套</w:t>
            </w:r>
          </w:p>
        </w:tc>
        <w:tc>
          <w:tcPr>
            <w:tcW w:w="1095"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1</w:t>
            </w:r>
          </w:p>
        </w:tc>
        <w:tc>
          <w:tcPr>
            <w:tcW w:w="1695" w:type="dxa"/>
          </w:tcPr>
          <w:p w:rsidR="00867917" w:rsidRPr="009C740E" w:rsidRDefault="00867917" w:rsidP="00A74A93">
            <w:pPr>
              <w:spacing w:line="480" w:lineRule="exact"/>
              <w:jc w:val="center"/>
              <w:rPr>
                <w:rFonts w:ascii="宋体" w:hAnsi="宋体"/>
                <w:bCs/>
                <w:sz w:val="22"/>
                <w:szCs w:val="22"/>
              </w:rPr>
            </w:pPr>
          </w:p>
        </w:tc>
      </w:tr>
      <w:tr w:rsidR="00867917" w:rsidRPr="009C740E" w:rsidTr="00A74A93">
        <w:trPr>
          <w:trHeight w:val="542"/>
        </w:trPr>
        <w:tc>
          <w:tcPr>
            <w:tcW w:w="1876"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地质透视仪</w:t>
            </w:r>
          </w:p>
        </w:tc>
        <w:tc>
          <w:tcPr>
            <w:tcW w:w="375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满足工程及规范要求</w:t>
            </w:r>
          </w:p>
        </w:tc>
        <w:tc>
          <w:tcPr>
            <w:tcW w:w="78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台</w:t>
            </w:r>
          </w:p>
        </w:tc>
        <w:tc>
          <w:tcPr>
            <w:tcW w:w="1095"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1</w:t>
            </w:r>
          </w:p>
        </w:tc>
        <w:tc>
          <w:tcPr>
            <w:tcW w:w="1695" w:type="dxa"/>
          </w:tcPr>
          <w:p w:rsidR="00867917" w:rsidRPr="009C740E" w:rsidRDefault="00867917" w:rsidP="00A74A93">
            <w:pPr>
              <w:spacing w:line="480" w:lineRule="exact"/>
              <w:jc w:val="center"/>
              <w:rPr>
                <w:rFonts w:ascii="宋体" w:hAnsi="宋体"/>
                <w:bCs/>
                <w:sz w:val="22"/>
                <w:szCs w:val="22"/>
              </w:rPr>
            </w:pPr>
          </w:p>
        </w:tc>
      </w:tr>
      <w:tr w:rsidR="00867917" w:rsidRPr="009C740E" w:rsidTr="00A74A93">
        <w:trPr>
          <w:trHeight w:val="627"/>
        </w:trPr>
        <w:tc>
          <w:tcPr>
            <w:tcW w:w="1876"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测斜仪</w:t>
            </w:r>
          </w:p>
        </w:tc>
        <w:tc>
          <w:tcPr>
            <w:tcW w:w="375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满足工程及规范要求</w:t>
            </w:r>
          </w:p>
        </w:tc>
        <w:tc>
          <w:tcPr>
            <w:tcW w:w="780"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台</w:t>
            </w:r>
          </w:p>
        </w:tc>
        <w:tc>
          <w:tcPr>
            <w:tcW w:w="1095" w:type="dxa"/>
          </w:tcPr>
          <w:p w:rsidR="00867917" w:rsidRPr="009C740E" w:rsidRDefault="00867917" w:rsidP="00A74A93">
            <w:pPr>
              <w:spacing w:line="480" w:lineRule="exact"/>
              <w:jc w:val="center"/>
              <w:rPr>
                <w:rFonts w:ascii="宋体" w:hAnsi="宋体"/>
                <w:bCs/>
                <w:sz w:val="22"/>
                <w:szCs w:val="22"/>
              </w:rPr>
            </w:pPr>
            <w:r w:rsidRPr="009C740E">
              <w:rPr>
                <w:rFonts w:ascii="宋体" w:hAnsi="宋体"/>
                <w:bCs/>
                <w:sz w:val="22"/>
                <w:szCs w:val="22"/>
              </w:rPr>
              <w:t>1</w:t>
            </w:r>
          </w:p>
        </w:tc>
        <w:tc>
          <w:tcPr>
            <w:tcW w:w="1695" w:type="dxa"/>
          </w:tcPr>
          <w:p w:rsidR="00867917" w:rsidRPr="009C740E" w:rsidRDefault="00867917" w:rsidP="00A74A93">
            <w:pPr>
              <w:spacing w:line="480" w:lineRule="exact"/>
              <w:jc w:val="center"/>
              <w:rPr>
                <w:rFonts w:ascii="宋体" w:hAnsi="宋体"/>
                <w:bCs/>
                <w:sz w:val="22"/>
                <w:szCs w:val="22"/>
              </w:rPr>
            </w:pPr>
          </w:p>
        </w:tc>
      </w:tr>
    </w:tbl>
    <w:p w:rsidR="00867917" w:rsidRPr="009C740E" w:rsidRDefault="00867917" w:rsidP="00867917">
      <w:pPr>
        <w:spacing w:line="440" w:lineRule="exact"/>
        <w:rPr>
          <w:rFonts w:ascii="宋体" w:hAnsi="宋体"/>
          <w:bCs/>
          <w:sz w:val="22"/>
          <w:szCs w:val="22"/>
        </w:rPr>
      </w:pPr>
      <w:r w:rsidRPr="009C740E">
        <w:rPr>
          <w:rFonts w:ascii="宋体" w:hAnsi="宋体"/>
          <w:bCs/>
          <w:sz w:val="22"/>
          <w:szCs w:val="22"/>
        </w:rPr>
        <w:lastRenderedPageBreak/>
        <w:t>注： 1.自有及新购试验检测仪器设备的应附投标人购买时的发票或设备有效计量检定证书的扫描件 或清晰复印件，租赁试验检测仪器设备的应</w:t>
      </w:r>
      <w:proofErr w:type="gramStart"/>
      <w:r w:rsidRPr="009C740E">
        <w:rPr>
          <w:rFonts w:ascii="宋体" w:hAnsi="宋体"/>
          <w:bCs/>
          <w:sz w:val="22"/>
          <w:szCs w:val="22"/>
        </w:rPr>
        <w:t>附有效</w:t>
      </w:r>
      <w:proofErr w:type="gramEnd"/>
      <w:r w:rsidRPr="009C740E">
        <w:rPr>
          <w:rFonts w:ascii="宋体" w:hAnsi="宋体"/>
          <w:bCs/>
          <w:sz w:val="22"/>
          <w:szCs w:val="22"/>
        </w:rPr>
        <w:t>租赁合同或清晰复印件，否则不予认可。</w:t>
      </w:r>
    </w:p>
    <w:p w:rsidR="00867917" w:rsidRPr="009C740E" w:rsidRDefault="00867917" w:rsidP="00867917">
      <w:pPr>
        <w:pStyle w:val="3"/>
        <w:spacing w:before="0" w:after="0"/>
        <w:rPr>
          <w:rFonts w:ascii="宋体" w:eastAsia="宋体" w:hAnsi="宋体"/>
          <w:sz w:val="22"/>
          <w:szCs w:val="22"/>
        </w:rPr>
      </w:pPr>
    </w:p>
    <w:p w:rsidR="00867917" w:rsidRPr="009C740E" w:rsidRDefault="00867917" w:rsidP="00867917">
      <w:pPr>
        <w:pStyle w:val="3"/>
        <w:spacing w:before="0" w:after="0"/>
        <w:rPr>
          <w:rFonts w:ascii="宋体" w:eastAsia="宋体" w:hAnsi="宋体"/>
          <w:sz w:val="22"/>
          <w:szCs w:val="22"/>
        </w:rPr>
      </w:pPr>
      <w:r w:rsidRPr="009C740E">
        <w:rPr>
          <w:rFonts w:ascii="宋体" w:eastAsia="宋体" w:hAnsi="宋体" w:hint="eastAsia"/>
          <w:sz w:val="22"/>
          <w:szCs w:val="22"/>
        </w:rPr>
        <w:t>七、</w:t>
      </w:r>
      <w:bookmarkStart w:id="1" w:name="_Toc484520353"/>
      <w:r w:rsidRPr="009C740E">
        <w:rPr>
          <w:rFonts w:ascii="宋体" w:eastAsia="宋体" w:hAnsi="宋体" w:hint="eastAsia"/>
          <w:sz w:val="22"/>
          <w:szCs w:val="22"/>
        </w:rPr>
        <w:t>试验检测技术规范和要求</w:t>
      </w:r>
      <w:bookmarkEnd w:id="1"/>
    </w:p>
    <w:p w:rsidR="00867917" w:rsidRPr="009C740E" w:rsidRDefault="00867917" w:rsidP="00867917">
      <w:pPr>
        <w:spacing w:line="360" w:lineRule="auto"/>
        <w:ind w:firstLineChars="200" w:firstLine="440"/>
        <w:rPr>
          <w:rFonts w:ascii="宋体" w:hAnsi="宋体"/>
          <w:sz w:val="22"/>
          <w:szCs w:val="22"/>
        </w:rPr>
      </w:pPr>
      <w:r w:rsidRPr="009C740E">
        <w:rPr>
          <w:rFonts w:ascii="宋体" w:hAnsi="宋体" w:hint="eastAsia"/>
          <w:sz w:val="22"/>
          <w:szCs w:val="22"/>
        </w:rPr>
        <w:t>本项目的试验检测工作符合国家有关法律、法规和工程建设标准强制性条文的规定。</w:t>
      </w:r>
    </w:p>
    <w:p w:rsidR="00867917" w:rsidRPr="009C740E" w:rsidRDefault="00867917" w:rsidP="00867917">
      <w:pPr>
        <w:spacing w:line="360" w:lineRule="auto"/>
        <w:ind w:firstLineChars="200" w:firstLine="440"/>
        <w:rPr>
          <w:rFonts w:ascii="宋体" w:hAnsi="宋体"/>
          <w:sz w:val="22"/>
          <w:szCs w:val="22"/>
        </w:rPr>
      </w:pPr>
      <w:r w:rsidRPr="009C740E">
        <w:rPr>
          <w:rFonts w:ascii="宋体" w:hAnsi="宋体" w:hint="eastAsia"/>
          <w:sz w:val="22"/>
          <w:szCs w:val="22"/>
        </w:rPr>
        <w:t>本项目的试验检测工作符合交通运输部及浙江省关于公路水运试验检测方面现行的标准、规范、规程、办法、规定。</w:t>
      </w:r>
    </w:p>
    <w:p w:rsidR="00867917" w:rsidRPr="009C740E" w:rsidRDefault="00867917" w:rsidP="00867917">
      <w:pPr>
        <w:spacing w:line="360" w:lineRule="auto"/>
        <w:ind w:firstLine="480"/>
        <w:rPr>
          <w:rFonts w:ascii="宋体" w:hAnsi="宋体"/>
          <w:sz w:val="22"/>
          <w:szCs w:val="22"/>
        </w:rPr>
      </w:pPr>
      <w:r w:rsidRPr="009C740E">
        <w:rPr>
          <w:rFonts w:ascii="宋体" w:hAnsi="宋体" w:hint="eastAsia"/>
          <w:sz w:val="22"/>
          <w:szCs w:val="22"/>
        </w:rPr>
        <w:t>检测人在试验检测工作中使用下列标准、规范以外，需参考其他的技术标准、规范时，应征得发包人或发包人指定代表人的书</w:t>
      </w:r>
      <w:r w:rsidRPr="009C740E">
        <w:rPr>
          <w:rFonts w:ascii="宋体" w:hAnsi="宋体"/>
          <w:sz w:val="22"/>
          <w:szCs w:val="22"/>
        </w:rPr>
        <w:t>面</w:t>
      </w:r>
      <w:r w:rsidRPr="009C740E">
        <w:rPr>
          <w:rFonts w:ascii="宋体" w:hAnsi="宋体" w:hint="eastAsia"/>
          <w:sz w:val="22"/>
          <w:szCs w:val="22"/>
        </w:rPr>
        <w:t>同意。</w:t>
      </w:r>
    </w:p>
    <w:p w:rsidR="00867917" w:rsidRPr="009C740E" w:rsidRDefault="00867917" w:rsidP="00867917">
      <w:pPr>
        <w:spacing w:line="360" w:lineRule="auto"/>
        <w:ind w:firstLine="480"/>
        <w:rPr>
          <w:rFonts w:ascii="宋体" w:hAnsi="宋体"/>
          <w:sz w:val="22"/>
          <w:szCs w:val="22"/>
        </w:rPr>
      </w:pPr>
      <w:r w:rsidRPr="009C740E">
        <w:rPr>
          <w:rFonts w:ascii="宋体" w:hAnsi="宋体" w:hint="eastAsia"/>
          <w:sz w:val="22"/>
          <w:szCs w:val="22"/>
        </w:rPr>
        <w:t>在试验检测过程中，如果国家或有关部门颁布实施了新的技术标准或规范，则检测人应采用新的标准或规范进行试验检测，如不能采用新的标准或规范，应征得发包人的书面同意。</w:t>
      </w:r>
    </w:p>
    <w:p w:rsidR="00867917" w:rsidRPr="009C740E" w:rsidRDefault="00867917" w:rsidP="00867917">
      <w:pPr>
        <w:spacing w:line="360" w:lineRule="auto"/>
        <w:ind w:firstLine="480"/>
        <w:rPr>
          <w:rFonts w:ascii="宋体" w:hAnsi="宋体"/>
          <w:sz w:val="22"/>
          <w:szCs w:val="22"/>
        </w:rPr>
      </w:pPr>
      <w:r w:rsidRPr="009C740E">
        <w:rPr>
          <w:rFonts w:ascii="宋体" w:hAnsi="宋体" w:hint="eastAsia"/>
          <w:sz w:val="22"/>
          <w:szCs w:val="22"/>
        </w:rPr>
        <w:t>优先采用本行业的标准，如无本行业的相关标准或规范，允许采用国标及其他标准，采用的顺序：国标</w:t>
      </w:r>
      <w:proofErr w:type="gramStart"/>
      <w:r w:rsidRPr="009C740E">
        <w:rPr>
          <w:rFonts w:ascii="宋体" w:hAnsi="宋体" w:hint="eastAsia"/>
          <w:sz w:val="22"/>
          <w:szCs w:val="22"/>
        </w:rPr>
        <w:t>—其他</w:t>
      </w:r>
      <w:proofErr w:type="gramEnd"/>
      <w:r w:rsidRPr="009C740E">
        <w:rPr>
          <w:rFonts w:ascii="宋体" w:hAnsi="宋体" w:hint="eastAsia"/>
          <w:sz w:val="22"/>
          <w:szCs w:val="22"/>
        </w:rPr>
        <w:t>标准。</w:t>
      </w:r>
    </w:p>
    <w:p w:rsidR="00867917" w:rsidRPr="009C740E" w:rsidRDefault="00867917" w:rsidP="00867917">
      <w:pPr>
        <w:spacing w:line="360" w:lineRule="auto"/>
        <w:ind w:firstLine="480"/>
        <w:rPr>
          <w:rFonts w:ascii="宋体" w:hAnsi="宋体"/>
          <w:sz w:val="22"/>
          <w:szCs w:val="22"/>
        </w:rPr>
      </w:pPr>
      <w:r w:rsidRPr="009C740E">
        <w:rPr>
          <w:rFonts w:ascii="宋体" w:hAnsi="宋体" w:hint="eastAsia"/>
          <w:sz w:val="22"/>
          <w:szCs w:val="22"/>
        </w:rPr>
        <w:t>检测人在试验检测工作中必须使用中华人民共和国《工程建设标准强制性条文》（公路工程、水运工程部分）和下述标准、规范（不限于）：</w:t>
      </w:r>
    </w:p>
    <w:p w:rsidR="00867917" w:rsidRPr="009C740E" w:rsidRDefault="00867917" w:rsidP="00867917">
      <w:pPr>
        <w:pStyle w:val="2TimesNewRoman5020"/>
        <w:spacing w:before="0" w:line="360" w:lineRule="auto"/>
        <w:rPr>
          <w:rFonts w:ascii="宋体" w:eastAsia="宋体" w:hAnsi="宋体" w:cs="黑体"/>
          <w:sz w:val="22"/>
          <w:szCs w:val="22"/>
        </w:rPr>
      </w:pPr>
      <w:bookmarkStart w:id="2" w:name="_Toc484520354"/>
      <w:bookmarkStart w:id="3" w:name="_Toc30851"/>
      <w:r w:rsidRPr="009C740E">
        <w:rPr>
          <w:rFonts w:ascii="宋体" w:eastAsia="宋体" w:hAnsi="宋体" w:cs="黑体" w:hint="eastAsia"/>
          <w:sz w:val="22"/>
          <w:szCs w:val="22"/>
        </w:rPr>
        <w:t>1.试验检测技术标准与规范</w:t>
      </w:r>
      <w:r w:rsidRPr="009C740E">
        <w:rPr>
          <w:rFonts w:ascii="宋体" w:eastAsia="宋体" w:hAnsi="宋体" w:cs="黑体" w:hint="eastAsia"/>
          <w:sz w:val="22"/>
          <w:szCs w:val="22"/>
          <w:vertAlign w:val="superscript"/>
        </w:rPr>
        <w:footnoteReference w:id="1"/>
      </w:r>
      <w:bookmarkEnd w:id="2"/>
      <w:bookmarkEnd w:id="3"/>
    </w:p>
    <w:p w:rsidR="00867917" w:rsidRPr="009C740E" w:rsidRDefault="00867917" w:rsidP="00867917">
      <w:pPr>
        <w:pStyle w:val="378020"/>
        <w:spacing w:line="360" w:lineRule="auto"/>
        <w:rPr>
          <w:rFonts w:ascii="宋体" w:eastAsia="宋体" w:hAnsi="宋体"/>
          <w:sz w:val="22"/>
          <w:szCs w:val="22"/>
        </w:rPr>
      </w:pPr>
      <w:bookmarkStart w:id="4" w:name="_Toc27300"/>
      <w:bookmarkStart w:id="5" w:name="_Toc484520355"/>
      <w:r w:rsidRPr="009C740E">
        <w:rPr>
          <w:rFonts w:ascii="宋体" w:eastAsia="宋体" w:hAnsi="宋体" w:hint="eastAsia"/>
          <w:sz w:val="22"/>
          <w:szCs w:val="22"/>
        </w:rPr>
        <w:t>1.1 通用部分</w:t>
      </w:r>
      <w:bookmarkEnd w:id="4"/>
      <w:bookmarkEnd w:id="5"/>
    </w:p>
    <w:tbl>
      <w:tblPr>
        <w:tblW w:w="0" w:type="auto"/>
        <w:tblInd w:w="15" w:type="dxa"/>
        <w:tblLayout w:type="fixed"/>
        <w:tblCellMar>
          <w:top w:w="15" w:type="dxa"/>
          <w:left w:w="15" w:type="dxa"/>
          <w:bottom w:w="15" w:type="dxa"/>
          <w:right w:w="15" w:type="dxa"/>
        </w:tblCellMar>
        <w:tblLook w:val="04A0"/>
      </w:tblPr>
      <w:tblGrid>
        <w:gridCol w:w="3420"/>
        <w:gridCol w:w="360"/>
        <w:gridCol w:w="5580"/>
      </w:tblGrid>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cs="宋体" w:hint="eastAsia"/>
                <w:kern w:val="0"/>
                <w:sz w:val="22"/>
                <w:szCs w:val="22"/>
              </w:rPr>
              <w:t>JGJ/T193</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《混凝土耐久性检验评定标准》</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GB50204</w:t>
            </w:r>
          </w:p>
        </w:tc>
        <w:tc>
          <w:tcPr>
            <w:tcW w:w="360" w:type="dxa"/>
            <w:vAlign w:val="center"/>
          </w:tcPr>
          <w:p w:rsidR="00867917" w:rsidRPr="009C740E" w:rsidRDefault="00867917" w:rsidP="00A74A93">
            <w:pPr>
              <w:widowControl/>
              <w:spacing w:line="360" w:lineRule="auto"/>
              <w:jc w:val="center"/>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《混凝土结构施工质量验收规范》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cs="宋体" w:hint="eastAsia"/>
                <w:kern w:val="0"/>
                <w:sz w:val="22"/>
                <w:szCs w:val="22"/>
              </w:rPr>
              <w:t>GB50205</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《钢结构工程施工质量验收规范》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GB50026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《工程测量规范》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JGJ 8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《建筑变形测量规程》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GB/T 12897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《国家一、二等水准测量规范》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GB/T 12898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《国家三、四等水准测量规范》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 w:val="left" w:pos="68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GB50497</w:t>
            </w:r>
          </w:p>
        </w:tc>
        <w:tc>
          <w:tcPr>
            <w:tcW w:w="360" w:type="dxa"/>
            <w:vAlign w:val="center"/>
          </w:tcPr>
          <w:p w:rsidR="00867917" w:rsidRPr="009C740E" w:rsidRDefault="00867917" w:rsidP="00A74A93">
            <w:pPr>
              <w:widowControl/>
              <w:spacing w:line="360" w:lineRule="auto"/>
              <w:jc w:val="center"/>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《建筑基坑工程监测技术规范》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 50202</w:t>
            </w:r>
          </w:p>
        </w:tc>
        <w:tc>
          <w:tcPr>
            <w:tcW w:w="360" w:type="dxa"/>
            <w:vAlign w:val="center"/>
          </w:tcPr>
          <w:p w:rsidR="00867917" w:rsidRPr="009C740E" w:rsidRDefault="00867917" w:rsidP="00A74A93">
            <w:pPr>
              <w:widowControl/>
              <w:spacing w:line="360" w:lineRule="auto"/>
              <w:jc w:val="center"/>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《建筑地基基础工程施工质量验收规范》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GB/T 50344</w:t>
            </w:r>
          </w:p>
        </w:tc>
        <w:tc>
          <w:tcPr>
            <w:tcW w:w="360" w:type="dxa"/>
            <w:vAlign w:val="center"/>
          </w:tcPr>
          <w:p w:rsidR="00867917" w:rsidRPr="009C740E" w:rsidRDefault="00867917" w:rsidP="00A74A93">
            <w:pPr>
              <w:widowControl/>
              <w:spacing w:line="360" w:lineRule="auto"/>
              <w:jc w:val="center"/>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《建筑结构检测技术标准》</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JGJ 106   </w:t>
            </w:r>
          </w:p>
        </w:tc>
        <w:tc>
          <w:tcPr>
            <w:tcW w:w="360" w:type="dxa"/>
            <w:vAlign w:val="center"/>
          </w:tcPr>
          <w:p w:rsidR="00867917" w:rsidRPr="009C740E" w:rsidRDefault="00867917" w:rsidP="00A74A93">
            <w:pPr>
              <w:widowControl/>
              <w:spacing w:line="360" w:lineRule="auto"/>
              <w:jc w:val="center"/>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《建筑基桩检测技术规范》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lastRenderedPageBreak/>
              <w:t xml:space="preserve">JGJ79             </w:t>
            </w:r>
          </w:p>
        </w:tc>
        <w:tc>
          <w:tcPr>
            <w:tcW w:w="360" w:type="dxa"/>
            <w:vAlign w:val="center"/>
          </w:tcPr>
          <w:p w:rsidR="00867917" w:rsidRPr="009C740E" w:rsidRDefault="00867917" w:rsidP="00A74A93">
            <w:pPr>
              <w:widowControl/>
              <w:spacing w:line="360" w:lineRule="auto"/>
              <w:jc w:val="center"/>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《建筑地基处理技术规范》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JGJ/T23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《回弹法检测混凝土抗压强度技术规程》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CECS 02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《超声回弹综合检测混凝土强度技术规程》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CECS 03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《钻芯法检测混凝土强度技术规程（附条文说明）》</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CECS 21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《超声法检测混凝土缺陷技术规程》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JT/T 694         </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《悬索桥主缆系统防腐涂装技术条件》</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JT/T 695       </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《混凝土桥梁结构表面涂层防腐技术条件》</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GB/T50152</w:t>
            </w:r>
          </w:p>
        </w:tc>
        <w:tc>
          <w:tcPr>
            <w:tcW w:w="360" w:type="dxa"/>
            <w:vAlign w:val="center"/>
          </w:tcPr>
          <w:p w:rsidR="00867917" w:rsidRPr="009C740E" w:rsidRDefault="00867917" w:rsidP="00A74A93">
            <w:pPr>
              <w:widowControl/>
              <w:spacing w:line="360" w:lineRule="auto"/>
              <w:jc w:val="center"/>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ind w:left="110" w:hangingChars="50" w:hanging="110"/>
              <w:jc w:val="left"/>
              <w:rPr>
                <w:rFonts w:ascii="宋体" w:hAnsi="宋体" w:cs="宋体"/>
                <w:kern w:val="0"/>
                <w:sz w:val="22"/>
                <w:szCs w:val="22"/>
              </w:rPr>
            </w:pPr>
            <w:r w:rsidRPr="009C740E">
              <w:rPr>
                <w:rFonts w:ascii="宋体" w:hAnsi="宋体" w:cs="宋体" w:hint="eastAsia"/>
                <w:kern w:val="0"/>
                <w:sz w:val="22"/>
                <w:szCs w:val="22"/>
              </w:rPr>
              <w:t>《结构试验方法标准-混凝土结构试验方法标准》</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hint="eastAsia"/>
                <w:kern w:val="0"/>
                <w:sz w:val="22"/>
                <w:szCs w:val="22"/>
              </w:rPr>
              <w:t>CECS22</w:t>
            </w:r>
          </w:p>
        </w:tc>
        <w:tc>
          <w:tcPr>
            <w:tcW w:w="360" w:type="dxa"/>
            <w:vAlign w:val="center"/>
          </w:tcPr>
          <w:p w:rsidR="00867917" w:rsidRPr="009C740E" w:rsidRDefault="00867917" w:rsidP="00A74A93">
            <w:pPr>
              <w:widowControl/>
              <w:spacing w:line="360" w:lineRule="auto"/>
              <w:jc w:val="center"/>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《岩土锚杆（索）技术规程》</w:t>
            </w:r>
          </w:p>
        </w:tc>
      </w:tr>
      <w:tr w:rsidR="00867917" w:rsidRPr="009C740E" w:rsidTr="00A74A93">
        <w:trPr>
          <w:trHeight w:val="285"/>
        </w:trPr>
        <w:tc>
          <w:tcPr>
            <w:tcW w:w="9360" w:type="dxa"/>
            <w:gridSpan w:val="3"/>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浙江省交通工程建设工程质量和安全生产管理办法（省政府令第300号）</w:t>
            </w:r>
          </w:p>
        </w:tc>
      </w:tr>
    </w:tbl>
    <w:p w:rsidR="00867917" w:rsidRPr="009C740E" w:rsidRDefault="00867917" w:rsidP="00867917">
      <w:pPr>
        <w:spacing w:line="360" w:lineRule="auto"/>
        <w:rPr>
          <w:rFonts w:ascii="宋体" w:hAnsi="宋体"/>
          <w:sz w:val="22"/>
          <w:szCs w:val="22"/>
        </w:rPr>
      </w:pPr>
      <w:r w:rsidRPr="009C740E">
        <w:rPr>
          <w:rFonts w:ascii="宋体" w:hAnsi="宋体" w:hint="eastAsia"/>
          <w:sz w:val="22"/>
          <w:szCs w:val="22"/>
        </w:rPr>
        <w:t xml:space="preserve"> </w:t>
      </w:r>
      <w:bookmarkStart w:id="6" w:name="_Toc484520356"/>
      <w:bookmarkStart w:id="7" w:name="_Toc21411"/>
      <w:r w:rsidRPr="009C740E">
        <w:rPr>
          <w:rFonts w:ascii="宋体" w:hAnsi="宋体" w:hint="eastAsia"/>
          <w:sz w:val="22"/>
          <w:szCs w:val="22"/>
        </w:rPr>
        <w:t>1.2 公路工程专用部分</w:t>
      </w:r>
      <w:bookmarkEnd w:id="6"/>
      <w:bookmarkEnd w:id="7"/>
    </w:p>
    <w:tbl>
      <w:tblPr>
        <w:tblW w:w="0" w:type="auto"/>
        <w:tblInd w:w="15" w:type="dxa"/>
        <w:tblLayout w:type="fixed"/>
        <w:tblCellMar>
          <w:top w:w="15" w:type="dxa"/>
          <w:left w:w="15" w:type="dxa"/>
          <w:bottom w:w="15" w:type="dxa"/>
          <w:right w:w="15" w:type="dxa"/>
        </w:tblCellMar>
        <w:tblLook w:val="04A0"/>
      </w:tblPr>
      <w:tblGrid>
        <w:gridCol w:w="3420"/>
        <w:gridCol w:w="360"/>
        <w:gridCol w:w="5580"/>
      </w:tblGrid>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JTG B01</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《公路工程技术标准》</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JTJ 002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《公路工程名词术语》</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F80/1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《公路工程质量检验评定标准第一册（土建工程）》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cs="宋体" w:hint="eastAsia"/>
                <w:kern w:val="0"/>
                <w:sz w:val="22"/>
                <w:szCs w:val="22"/>
              </w:rPr>
              <w:t>GB50300</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《建筑工程施工质量验收统一标准》</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cs="宋体" w:hint="eastAsia"/>
                <w:kern w:val="0"/>
                <w:sz w:val="22"/>
                <w:szCs w:val="22"/>
              </w:rPr>
              <w:t>GB50203</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《砌体结构工程施工质量验收规范》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D60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《公路桥涵设计通用规范》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JTG/T D65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《公路斜拉桥设计细则 》</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D61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《公路圬工桥涵设计规范》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D62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《公路钢筋混凝土及预应力混凝土桥涵设计规范》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D63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《公路桥涵地基与基础设计规范》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D70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《公路隧道设计规范》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JTG/T J21</w:t>
            </w:r>
            <w:r w:rsidRPr="009C740E">
              <w:rPr>
                <w:rFonts w:ascii="宋体" w:hAnsi="宋体" w:cs="宋体" w:hint="eastAsia"/>
                <w:kern w:val="0"/>
                <w:sz w:val="22"/>
                <w:szCs w:val="22"/>
              </w:rPr>
              <w:t xml:space="preserve"> </w:t>
            </w:r>
            <w:r w:rsidRPr="009C740E">
              <w:rPr>
                <w:rFonts w:ascii="宋体" w:hAnsi="宋体" w:cs="宋体"/>
                <w:kern w:val="0"/>
                <w:sz w:val="22"/>
                <w:szCs w:val="22"/>
              </w:rPr>
              <w:t xml:space="preserve">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《公路桥梁承载能力检测评定规程》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JTG/T H21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《公路桥梁技术状况评定标准》</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F10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《公路路基施工技术规范》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F40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《公路沥青路面施工技术规范》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F41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《公路沥青路面再生技术规范》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JTJ 034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《公路路面基层施工技术规范》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lastRenderedPageBreak/>
              <w:t xml:space="preserve">JTG F30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《公路水泥混凝土路面施工技术规范》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JTG/T F50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《公路桥涵施工技术规范》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F60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《公路隧道施工技术规范》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JTG/T F60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《公路隧道施工技术细则》</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JTG/T F72）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《公路隧道交通工程与附属设施施工技术规范》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F71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《公路交通安全设施施工技术规范》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E60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《公路路基路面现场测试规程》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 C10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《公路勘测规范》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jc w:val="left"/>
              <w:rPr>
                <w:rFonts w:ascii="宋体" w:hAnsi="宋体" w:cs="宋体"/>
                <w:kern w:val="0"/>
                <w:sz w:val="22"/>
                <w:szCs w:val="22"/>
              </w:rPr>
            </w:pPr>
            <w:r w:rsidRPr="009C740E">
              <w:rPr>
                <w:rFonts w:ascii="宋体" w:hAnsi="宋体" w:cs="宋体"/>
                <w:kern w:val="0"/>
                <w:sz w:val="22"/>
                <w:szCs w:val="22"/>
              </w:rPr>
              <w:t xml:space="preserve">JTG/T C22   </w:t>
            </w:r>
          </w:p>
        </w:tc>
        <w:tc>
          <w:tcPr>
            <w:tcW w:w="360" w:type="dxa"/>
            <w:vAlign w:val="center"/>
          </w:tcPr>
          <w:p w:rsidR="00867917" w:rsidRPr="009C740E" w:rsidRDefault="00867917" w:rsidP="00A74A93">
            <w:pPr>
              <w:widowControl/>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《公路工程物探规程》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JT/T 280          </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《路面标线涂料》</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JT/T 281         </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《公路波形梁钢护栏》</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JT/T 457          </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《公路三波形梁钢护栏》</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JT/T 374      </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《隔离栅技术条件》</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GB/T 24725       </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《突起路标》</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GB/T18833</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tcPr>
          <w:p w:rsidR="00867917" w:rsidRPr="009C740E" w:rsidRDefault="00867917" w:rsidP="00A74A93">
            <w:pPr>
              <w:spacing w:line="360" w:lineRule="auto"/>
              <w:rPr>
                <w:rFonts w:ascii="宋体" w:hAnsi="宋体"/>
                <w:sz w:val="22"/>
                <w:szCs w:val="22"/>
              </w:rPr>
            </w:pPr>
            <w:r w:rsidRPr="009C740E">
              <w:rPr>
                <w:rFonts w:ascii="宋体" w:hAnsi="宋体" w:cs="宋体" w:hint="eastAsia"/>
                <w:kern w:val="0"/>
                <w:sz w:val="22"/>
                <w:szCs w:val="22"/>
              </w:rPr>
              <w:t>《公路交通标志反光膜》</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GB/T16311</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tcPr>
          <w:p w:rsidR="00867917" w:rsidRPr="009C740E" w:rsidRDefault="00867917" w:rsidP="00A74A93">
            <w:pPr>
              <w:spacing w:line="360" w:lineRule="auto"/>
              <w:rPr>
                <w:rFonts w:ascii="宋体" w:hAnsi="宋体"/>
                <w:sz w:val="22"/>
                <w:szCs w:val="22"/>
              </w:rPr>
            </w:pPr>
            <w:r w:rsidRPr="009C740E">
              <w:rPr>
                <w:rFonts w:ascii="宋体" w:hAnsi="宋体" w:cs="宋体" w:hint="eastAsia"/>
                <w:kern w:val="0"/>
                <w:sz w:val="22"/>
                <w:szCs w:val="22"/>
              </w:rPr>
              <w:t>《道路交通标线质量要求和检测方法》</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GB/T23827</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tcPr>
          <w:p w:rsidR="00867917" w:rsidRPr="009C740E" w:rsidRDefault="00867917" w:rsidP="00A74A93">
            <w:pPr>
              <w:spacing w:line="360" w:lineRule="auto"/>
              <w:rPr>
                <w:rFonts w:ascii="宋体" w:hAnsi="宋体"/>
                <w:sz w:val="22"/>
                <w:szCs w:val="22"/>
              </w:rPr>
            </w:pPr>
            <w:r w:rsidRPr="009C740E">
              <w:rPr>
                <w:rFonts w:ascii="宋体" w:hAnsi="宋体" w:cs="宋体" w:hint="eastAsia"/>
                <w:kern w:val="0"/>
                <w:sz w:val="22"/>
                <w:szCs w:val="22"/>
              </w:rPr>
              <w:t>《道路交通标志板及支撑件》</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 xml:space="preserve">GB/T 24970       </w:t>
            </w:r>
          </w:p>
        </w:tc>
        <w:tc>
          <w:tcPr>
            <w:tcW w:w="360" w:type="dxa"/>
            <w:vAlign w:val="center"/>
          </w:tcPr>
          <w:p w:rsidR="00867917" w:rsidRPr="009C740E" w:rsidRDefault="00867917" w:rsidP="00A74A93">
            <w:pPr>
              <w:widowControl/>
              <w:tabs>
                <w:tab w:val="left" w:pos="525"/>
              </w:tabs>
              <w:spacing w:line="360" w:lineRule="auto"/>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rPr>
                <w:rFonts w:ascii="宋体" w:hAnsi="宋体" w:cs="宋体"/>
                <w:kern w:val="0"/>
                <w:sz w:val="22"/>
                <w:szCs w:val="22"/>
              </w:rPr>
            </w:pPr>
            <w:r w:rsidRPr="009C740E">
              <w:rPr>
                <w:rFonts w:ascii="宋体" w:hAnsi="宋体" w:cs="宋体" w:hint="eastAsia"/>
                <w:kern w:val="0"/>
                <w:sz w:val="22"/>
                <w:szCs w:val="22"/>
              </w:rPr>
              <w:t>《轮廓标》</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cs="宋体" w:hint="eastAsia"/>
                <w:kern w:val="0"/>
                <w:sz w:val="22"/>
                <w:szCs w:val="22"/>
              </w:rPr>
              <w:t>JTG/T F80-01</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《公路工程桩基动测技术规程》</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hint="eastAsia"/>
                <w:kern w:val="0"/>
                <w:sz w:val="22"/>
                <w:szCs w:val="22"/>
              </w:rPr>
              <w:t>GB50330-2013</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《建筑边坡工程技术规范》</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kern w:val="0"/>
                <w:sz w:val="22"/>
                <w:szCs w:val="22"/>
              </w:rPr>
              <w:t>JTGB01-2014</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《公路工程技术标准》</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kern w:val="0"/>
                <w:sz w:val="22"/>
                <w:szCs w:val="22"/>
              </w:rPr>
              <w:t>JTGF801-2012</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《公路工程质量检验评定标准》</w:t>
            </w:r>
          </w:p>
        </w:tc>
      </w:tr>
      <w:tr w:rsidR="00867917" w:rsidRPr="009C740E" w:rsidTr="00A74A93">
        <w:trPr>
          <w:trHeight w:val="285"/>
        </w:trPr>
        <w:tc>
          <w:tcPr>
            <w:tcW w:w="3420" w:type="dxa"/>
            <w:vAlign w:val="center"/>
          </w:tcPr>
          <w:p w:rsidR="00867917" w:rsidRPr="009C740E" w:rsidRDefault="00867917" w:rsidP="00867917">
            <w:pPr>
              <w:widowControl/>
              <w:numPr>
                <w:ilvl w:val="0"/>
                <w:numId w:val="3"/>
              </w:numPr>
              <w:tabs>
                <w:tab w:val="left" w:pos="525"/>
              </w:tabs>
              <w:spacing w:line="360" w:lineRule="auto"/>
              <w:ind w:left="0"/>
              <w:jc w:val="left"/>
              <w:rPr>
                <w:rFonts w:ascii="宋体" w:hAnsi="宋体" w:cs="宋体"/>
                <w:kern w:val="0"/>
                <w:sz w:val="22"/>
                <w:szCs w:val="22"/>
              </w:rPr>
            </w:pPr>
            <w:r w:rsidRPr="009C740E">
              <w:rPr>
                <w:rFonts w:ascii="宋体" w:hAnsi="宋体" w:cs="宋体"/>
                <w:kern w:val="0"/>
                <w:sz w:val="22"/>
                <w:szCs w:val="22"/>
              </w:rPr>
              <w:t>JTGTF50-2011</w:t>
            </w:r>
          </w:p>
        </w:tc>
        <w:tc>
          <w:tcPr>
            <w:tcW w:w="360" w:type="dxa"/>
            <w:vAlign w:val="center"/>
          </w:tcPr>
          <w:p w:rsidR="00867917" w:rsidRPr="009C740E" w:rsidRDefault="00867917" w:rsidP="00A74A93">
            <w:pPr>
              <w:widowControl/>
              <w:spacing w:line="360" w:lineRule="auto"/>
              <w:jc w:val="left"/>
              <w:rPr>
                <w:rFonts w:ascii="宋体" w:hAnsi="宋体" w:cs="宋体"/>
                <w:kern w:val="0"/>
                <w:sz w:val="22"/>
                <w:szCs w:val="22"/>
              </w:rPr>
            </w:pPr>
          </w:p>
        </w:tc>
        <w:tc>
          <w:tcPr>
            <w:tcW w:w="5580" w:type="dxa"/>
            <w:vAlign w:val="center"/>
          </w:tcPr>
          <w:p w:rsidR="00867917" w:rsidRPr="009C740E" w:rsidRDefault="00867917" w:rsidP="00A74A93">
            <w:pPr>
              <w:widowControl/>
              <w:spacing w:line="360" w:lineRule="auto"/>
              <w:jc w:val="left"/>
              <w:rPr>
                <w:rFonts w:ascii="宋体" w:hAnsi="宋体" w:cs="宋体"/>
                <w:kern w:val="0"/>
                <w:sz w:val="22"/>
                <w:szCs w:val="22"/>
              </w:rPr>
            </w:pPr>
            <w:r w:rsidRPr="009C740E">
              <w:rPr>
                <w:rFonts w:ascii="宋体" w:hAnsi="宋体" w:cs="宋体" w:hint="eastAsia"/>
                <w:kern w:val="0"/>
                <w:sz w:val="22"/>
                <w:szCs w:val="22"/>
              </w:rPr>
              <w:t>《公路桥涵施工技术规范》</w:t>
            </w:r>
          </w:p>
        </w:tc>
      </w:tr>
      <w:tr w:rsidR="00867917" w:rsidRPr="009C740E" w:rsidTr="00A74A93">
        <w:trPr>
          <w:trHeight w:val="285"/>
        </w:trPr>
        <w:tc>
          <w:tcPr>
            <w:tcW w:w="9360" w:type="dxa"/>
            <w:gridSpan w:val="3"/>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cs="宋体" w:hint="eastAsia"/>
                <w:kern w:val="0"/>
                <w:sz w:val="22"/>
                <w:szCs w:val="22"/>
              </w:rPr>
              <w:t>公路工程竣（交）工验收办法（交通部2004年第3号令）</w:t>
            </w:r>
          </w:p>
        </w:tc>
      </w:tr>
      <w:tr w:rsidR="00867917" w:rsidRPr="009C740E" w:rsidTr="00A74A93">
        <w:trPr>
          <w:trHeight w:val="285"/>
        </w:trPr>
        <w:tc>
          <w:tcPr>
            <w:tcW w:w="9360" w:type="dxa"/>
            <w:gridSpan w:val="3"/>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cs="宋体" w:hint="eastAsia"/>
                <w:kern w:val="0"/>
                <w:sz w:val="22"/>
                <w:szCs w:val="22"/>
              </w:rPr>
              <w:t>关于印发公路工程竣（交）工验收办法实施细则的通知（</w:t>
            </w:r>
            <w:proofErr w:type="gramStart"/>
            <w:r w:rsidRPr="009C740E">
              <w:rPr>
                <w:rFonts w:ascii="宋体" w:hAnsi="宋体" w:cs="宋体" w:hint="eastAsia"/>
                <w:kern w:val="0"/>
                <w:sz w:val="22"/>
                <w:szCs w:val="22"/>
              </w:rPr>
              <w:t>交公路发</w:t>
            </w:r>
            <w:proofErr w:type="gramEnd"/>
            <w:r w:rsidRPr="009C740E">
              <w:rPr>
                <w:rFonts w:ascii="宋体" w:hAnsi="宋体" w:cs="宋体" w:hint="eastAsia"/>
                <w:kern w:val="0"/>
                <w:sz w:val="22"/>
                <w:szCs w:val="22"/>
              </w:rPr>
              <w:t>[2010]65号）</w:t>
            </w:r>
          </w:p>
        </w:tc>
      </w:tr>
      <w:tr w:rsidR="00867917" w:rsidRPr="009C740E" w:rsidTr="00A74A93">
        <w:trPr>
          <w:trHeight w:val="285"/>
        </w:trPr>
        <w:tc>
          <w:tcPr>
            <w:tcW w:w="9360" w:type="dxa"/>
            <w:gridSpan w:val="3"/>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cs="宋体" w:hint="eastAsia"/>
                <w:kern w:val="0"/>
                <w:sz w:val="22"/>
                <w:szCs w:val="22"/>
              </w:rPr>
              <w:t>关于印发《浙江省公路工程竣（交）工验收实施细则（试行）》的通知（</w:t>
            </w:r>
            <w:proofErr w:type="gramStart"/>
            <w:r w:rsidRPr="009C740E">
              <w:rPr>
                <w:rFonts w:ascii="宋体" w:hAnsi="宋体" w:cs="宋体" w:hint="eastAsia"/>
                <w:kern w:val="0"/>
                <w:sz w:val="22"/>
                <w:szCs w:val="22"/>
              </w:rPr>
              <w:t>浙交</w:t>
            </w:r>
            <w:proofErr w:type="gramEnd"/>
            <w:r w:rsidRPr="009C740E">
              <w:rPr>
                <w:rFonts w:ascii="宋体" w:hAnsi="宋体" w:cs="宋体" w:hint="eastAsia"/>
                <w:kern w:val="0"/>
                <w:sz w:val="22"/>
                <w:szCs w:val="22"/>
              </w:rPr>
              <w:t>[2013]22号）</w:t>
            </w:r>
          </w:p>
        </w:tc>
      </w:tr>
      <w:tr w:rsidR="00867917" w:rsidRPr="009C740E" w:rsidTr="00A74A93">
        <w:trPr>
          <w:trHeight w:val="285"/>
        </w:trPr>
        <w:tc>
          <w:tcPr>
            <w:tcW w:w="9360" w:type="dxa"/>
            <w:gridSpan w:val="3"/>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sz w:val="22"/>
                <w:szCs w:val="22"/>
              </w:rPr>
              <w:t>《浙江省交通建设工程质量和安全生产管理办法》（浙江省人民政府令第300号）</w:t>
            </w:r>
          </w:p>
        </w:tc>
      </w:tr>
      <w:tr w:rsidR="00867917" w:rsidRPr="009C740E" w:rsidTr="00A74A93">
        <w:trPr>
          <w:trHeight w:val="285"/>
        </w:trPr>
        <w:tc>
          <w:tcPr>
            <w:tcW w:w="9360" w:type="dxa"/>
            <w:gridSpan w:val="3"/>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sz w:val="22"/>
                <w:szCs w:val="22"/>
              </w:rPr>
              <w:t>《关于进一步明确试验检测工作若干问题的意见》</w:t>
            </w:r>
            <w:proofErr w:type="gramStart"/>
            <w:r w:rsidRPr="009C740E">
              <w:rPr>
                <w:rFonts w:ascii="宋体" w:hAnsi="宋体"/>
                <w:sz w:val="22"/>
                <w:szCs w:val="22"/>
              </w:rPr>
              <w:t>浙交监</w:t>
            </w:r>
            <w:proofErr w:type="gramEnd"/>
            <w:r w:rsidRPr="009C740E">
              <w:rPr>
                <w:rFonts w:ascii="宋体" w:hAnsi="宋体"/>
                <w:sz w:val="22"/>
                <w:szCs w:val="22"/>
              </w:rPr>
              <w:t>〔2010〕47号</w:t>
            </w:r>
          </w:p>
        </w:tc>
      </w:tr>
      <w:tr w:rsidR="00867917" w:rsidRPr="009C740E" w:rsidTr="00A74A93">
        <w:trPr>
          <w:trHeight w:val="285"/>
        </w:trPr>
        <w:tc>
          <w:tcPr>
            <w:tcW w:w="9360" w:type="dxa"/>
            <w:gridSpan w:val="3"/>
            <w:vAlign w:val="center"/>
          </w:tcPr>
          <w:p w:rsidR="00867917" w:rsidRPr="009C740E" w:rsidRDefault="00867917" w:rsidP="00867917">
            <w:pPr>
              <w:widowControl/>
              <w:numPr>
                <w:ilvl w:val="0"/>
                <w:numId w:val="3"/>
              </w:numPr>
              <w:spacing w:line="360" w:lineRule="auto"/>
              <w:ind w:left="0"/>
              <w:rPr>
                <w:rFonts w:ascii="宋体" w:hAnsi="宋体" w:cs="宋体"/>
                <w:kern w:val="0"/>
                <w:sz w:val="22"/>
                <w:szCs w:val="22"/>
              </w:rPr>
            </w:pPr>
            <w:r w:rsidRPr="009C740E">
              <w:rPr>
                <w:rFonts w:ascii="宋体" w:hAnsi="宋体"/>
                <w:sz w:val="22"/>
                <w:szCs w:val="22"/>
              </w:rPr>
              <w:lastRenderedPageBreak/>
              <w:t>桥梁施工设计图、变更设计图、施工单位编制的施工组织设计资料以及其它有关技术文件</w:t>
            </w:r>
          </w:p>
        </w:tc>
      </w:tr>
    </w:tbl>
    <w:p w:rsidR="00867917" w:rsidRPr="009C740E" w:rsidRDefault="00867917" w:rsidP="00867917">
      <w:pPr>
        <w:spacing w:line="360" w:lineRule="auto"/>
        <w:rPr>
          <w:rFonts w:ascii="宋体" w:hAnsi="宋体" w:cs="黑体"/>
          <w:sz w:val="22"/>
          <w:szCs w:val="22"/>
        </w:rPr>
      </w:pPr>
      <w:r w:rsidRPr="009C740E">
        <w:rPr>
          <w:rFonts w:ascii="宋体" w:hAnsi="宋体" w:cs="黑体"/>
          <w:sz w:val="22"/>
          <w:szCs w:val="22"/>
        </w:rPr>
        <w:t>2</w:t>
      </w:r>
      <w:r w:rsidRPr="009C740E">
        <w:rPr>
          <w:rFonts w:ascii="宋体" w:hAnsi="宋体" w:cs="黑体" w:hint="eastAsia"/>
          <w:sz w:val="22"/>
          <w:szCs w:val="22"/>
        </w:rPr>
        <w:t>.高边坡自动化监测技术要求</w:t>
      </w:r>
    </w:p>
    <w:p w:rsidR="00867917" w:rsidRPr="009C740E" w:rsidRDefault="00867917" w:rsidP="00867917">
      <w:pPr>
        <w:spacing w:line="360" w:lineRule="auto"/>
        <w:rPr>
          <w:rFonts w:ascii="宋体" w:hAnsi="宋体" w:cs="黑体"/>
          <w:sz w:val="22"/>
          <w:szCs w:val="22"/>
        </w:rPr>
      </w:pPr>
      <w:r w:rsidRPr="009C740E">
        <w:rPr>
          <w:rFonts w:ascii="宋体" w:hAnsi="宋体" w:cs="黑体" w:hint="eastAsia"/>
          <w:sz w:val="22"/>
          <w:szCs w:val="22"/>
        </w:rPr>
        <w:t>2.2 高边坡自动监测</w:t>
      </w:r>
    </w:p>
    <w:p w:rsidR="00867917" w:rsidRPr="009C740E" w:rsidRDefault="00867917" w:rsidP="00867917">
      <w:pPr>
        <w:spacing w:line="360" w:lineRule="auto"/>
        <w:rPr>
          <w:rFonts w:ascii="宋体" w:hAnsi="宋体" w:cs="黑体"/>
          <w:sz w:val="22"/>
          <w:szCs w:val="22"/>
        </w:rPr>
      </w:pPr>
      <w:r w:rsidRPr="009C740E">
        <w:rPr>
          <w:rFonts w:ascii="宋体" w:hAnsi="宋体" w:cs="黑体" w:hint="eastAsia"/>
          <w:sz w:val="22"/>
          <w:szCs w:val="22"/>
        </w:rPr>
        <w:t>2.2.1监测工作范围</w:t>
      </w:r>
    </w:p>
    <w:p w:rsidR="00867917" w:rsidRPr="009C740E" w:rsidRDefault="00867917" w:rsidP="00867917">
      <w:pPr>
        <w:spacing w:line="360" w:lineRule="auto"/>
        <w:rPr>
          <w:rFonts w:ascii="宋体" w:hAnsi="宋体"/>
          <w:sz w:val="22"/>
          <w:szCs w:val="22"/>
        </w:rPr>
      </w:pPr>
      <w:r w:rsidRPr="009C740E">
        <w:rPr>
          <w:rFonts w:ascii="宋体" w:hAnsi="宋体" w:hint="eastAsia"/>
          <w:sz w:val="22"/>
          <w:szCs w:val="22"/>
        </w:rPr>
        <w:t>高边坡自动</w:t>
      </w:r>
      <w:proofErr w:type="gramStart"/>
      <w:r w:rsidRPr="009C740E">
        <w:rPr>
          <w:rFonts w:ascii="宋体" w:hAnsi="宋体" w:hint="eastAsia"/>
          <w:sz w:val="22"/>
          <w:szCs w:val="22"/>
        </w:rPr>
        <w:t>监测监测</w:t>
      </w:r>
      <w:proofErr w:type="gramEnd"/>
      <w:r w:rsidRPr="009C740E">
        <w:rPr>
          <w:rFonts w:ascii="宋体" w:hAnsi="宋体" w:hint="eastAsia"/>
          <w:sz w:val="22"/>
          <w:szCs w:val="22"/>
        </w:rPr>
        <w:t>工作范围见本文件第一章的要求</w:t>
      </w:r>
    </w:p>
    <w:p w:rsidR="00867917" w:rsidRPr="009C740E" w:rsidRDefault="00867917" w:rsidP="00867917">
      <w:pPr>
        <w:spacing w:line="360" w:lineRule="auto"/>
        <w:rPr>
          <w:rFonts w:ascii="宋体" w:hAnsi="宋体" w:cs="黑体"/>
          <w:sz w:val="22"/>
          <w:szCs w:val="22"/>
        </w:rPr>
      </w:pPr>
      <w:r w:rsidRPr="009C740E">
        <w:rPr>
          <w:rFonts w:ascii="宋体" w:hAnsi="宋体" w:cs="黑体" w:hint="eastAsia"/>
          <w:sz w:val="22"/>
          <w:szCs w:val="22"/>
        </w:rPr>
        <w:t>2.2.2</w:t>
      </w:r>
      <w:r w:rsidRPr="009C740E">
        <w:rPr>
          <w:rFonts w:ascii="宋体" w:hAnsi="宋体" w:cs="黑体"/>
          <w:sz w:val="22"/>
          <w:szCs w:val="22"/>
        </w:rPr>
        <w:t xml:space="preserve"> 监测项目及监测要求</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高边坡自动监测主要内容为边坡沉降监测及倾斜监测</w:t>
      </w:r>
      <w:r w:rsidRPr="009C740E">
        <w:rPr>
          <w:rFonts w:ascii="宋体" w:hAnsi="宋体" w:hint="eastAsia"/>
          <w:sz w:val="22"/>
          <w:szCs w:val="22"/>
        </w:rPr>
        <w:t>，</w:t>
      </w:r>
      <w:r w:rsidRPr="009C740E">
        <w:rPr>
          <w:rFonts w:ascii="宋体" w:hAnsi="宋体"/>
          <w:sz w:val="22"/>
          <w:szCs w:val="22"/>
        </w:rPr>
        <w:t>监测要求见下表</w:t>
      </w:r>
      <w:r w:rsidRPr="009C740E">
        <w:rPr>
          <w:rFonts w:ascii="宋体" w:hAnsi="宋体"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9"/>
        <w:gridCol w:w="2380"/>
        <w:gridCol w:w="2380"/>
        <w:gridCol w:w="2380"/>
      </w:tblGrid>
      <w:tr w:rsidR="00867917" w:rsidRPr="009C740E" w:rsidTr="00A74A93">
        <w:tc>
          <w:tcPr>
            <w:tcW w:w="2379" w:type="dxa"/>
          </w:tcPr>
          <w:p w:rsidR="00867917" w:rsidRPr="009C740E" w:rsidRDefault="00867917" w:rsidP="00A74A93">
            <w:pPr>
              <w:spacing w:line="360" w:lineRule="auto"/>
              <w:rPr>
                <w:rFonts w:ascii="宋体" w:hAnsi="宋体"/>
                <w:b/>
                <w:bCs/>
                <w:sz w:val="22"/>
                <w:szCs w:val="22"/>
              </w:rPr>
            </w:pPr>
            <w:r w:rsidRPr="009C740E">
              <w:rPr>
                <w:rFonts w:ascii="宋体" w:hAnsi="宋体" w:hint="eastAsia"/>
                <w:b/>
                <w:bCs/>
                <w:sz w:val="22"/>
                <w:szCs w:val="22"/>
              </w:rPr>
              <w:t>监测</w:t>
            </w:r>
            <w:r w:rsidRPr="009C740E">
              <w:rPr>
                <w:rFonts w:ascii="宋体" w:hAnsi="宋体"/>
                <w:b/>
                <w:bCs/>
                <w:sz w:val="22"/>
                <w:szCs w:val="22"/>
              </w:rPr>
              <w:t>内容</w:t>
            </w:r>
          </w:p>
        </w:tc>
        <w:tc>
          <w:tcPr>
            <w:tcW w:w="2380" w:type="dxa"/>
          </w:tcPr>
          <w:p w:rsidR="00867917" w:rsidRPr="009C740E" w:rsidRDefault="00867917" w:rsidP="00A74A93">
            <w:pPr>
              <w:spacing w:line="360" w:lineRule="auto"/>
              <w:rPr>
                <w:rFonts w:ascii="宋体" w:hAnsi="宋体"/>
                <w:b/>
                <w:bCs/>
                <w:sz w:val="22"/>
                <w:szCs w:val="22"/>
              </w:rPr>
            </w:pPr>
            <w:r w:rsidRPr="009C740E">
              <w:rPr>
                <w:rFonts w:ascii="宋体" w:hAnsi="宋体" w:hint="eastAsia"/>
                <w:b/>
                <w:bCs/>
                <w:sz w:val="22"/>
                <w:szCs w:val="22"/>
              </w:rPr>
              <w:t>监测精度</w:t>
            </w:r>
          </w:p>
        </w:tc>
        <w:tc>
          <w:tcPr>
            <w:tcW w:w="2380" w:type="dxa"/>
          </w:tcPr>
          <w:p w:rsidR="00867917" w:rsidRPr="009C740E" w:rsidRDefault="00867917" w:rsidP="00A74A93">
            <w:pPr>
              <w:spacing w:line="360" w:lineRule="auto"/>
              <w:rPr>
                <w:rFonts w:ascii="宋体" w:hAnsi="宋体"/>
                <w:b/>
                <w:bCs/>
                <w:sz w:val="22"/>
                <w:szCs w:val="22"/>
              </w:rPr>
            </w:pPr>
            <w:r w:rsidRPr="009C740E">
              <w:rPr>
                <w:rFonts w:ascii="宋体" w:hAnsi="宋体" w:hint="eastAsia"/>
                <w:b/>
                <w:bCs/>
                <w:sz w:val="22"/>
                <w:szCs w:val="22"/>
              </w:rPr>
              <w:t>监测</w:t>
            </w:r>
            <w:r w:rsidRPr="009C740E">
              <w:rPr>
                <w:rFonts w:ascii="宋体" w:hAnsi="宋体"/>
                <w:b/>
                <w:bCs/>
                <w:sz w:val="22"/>
                <w:szCs w:val="22"/>
              </w:rPr>
              <w:t>部位</w:t>
            </w:r>
          </w:p>
        </w:tc>
        <w:tc>
          <w:tcPr>
            <w:tcW w:w="2380" w:type="dxa"/>
          </w:tcPr>
          <w:p w:rsidR="00867917" w:rsidRPr="009C740E" w:rsidRDefault="00867917" w:rsidP="00A74A93">
            <w:pPr>
              <w:spacing w:line="360" w:lineRule="auto"/>
              <w:rPr>
                <w:rFonts w:ascii="宋体" w:hAnsi="宋体"/>
                <w:b/>
                <w:bCs/>
                <w:sz w:val="22"/>
                <w:szCs w:val="22"/>
              </w:rPr>
            </w:pPr>
            <w:r w:rsidRPr="009C740E">
              <w:rPr>
                <w:rFonts w:ascii="宋体" w:hAnsi="宋体" w:hint="eastAsia"/>
                <w:b/>
                <w:bCs/>
                <w:sz w:val="22"/>
                <w:szCs w:val="22"/>
              </w:rPr>
              <w:t>监测频率</w:t>
            </w:r>
          </w:p>
        </w:tc>
      </w:tr>
      <w:tr w:rsidR="00867917" w:rsidRPr="009C740E" w:rsidTr="00A74A93">
        <w:trPr>
          <w:trHeight w:val="454"/>
        </w:trPr>
        <w:tc>
          <w:tcPr>
            <w:tcW w:w="2379" w:type="dxa"/>
            <w:vAlign w:val="center"/>
          </w:tcPr>
          <w:p w:rsidR="00867917" w:rsidRPr="009C740E" w:rsidRDefault="00867917" w:rsidP="00A74A93">
            <w:pPr>
              <w:spacing w:line="360" w:lineRule="auto"/>
              <w:rPr>
                <w:rFonts w:ascii="宋体" w:hAnsi="宋体"/>
                <w:bCs/>
                <w:sz w:val="22"/>
                <w:szCs w:val="22"/>
              </w:rPr>
            </w:pPr>
            <w:r w:rsidRPr="009C740E">
              <w:rPr>
                <w:rFonts w:ascii="宋体" w:hAnsi="宋体" w:hint="eastAsia"/>
                <w:bCs/>
                <w:sz w:val="22"/>
                <w:szCs w:val="22"/>
              </w:rPr>
              <w:t>边坡</w:t>
            </w:r>
            <w:r w:rsidRPr="009C740E">
              <w:rPr>
                <w:rFonts w:ascii="宋体" w:hAnsi="宋体"/>
                <w:bCs/>
                <w:sz w:val="22"/>
                <w:szCs w:val="22"/>
              </w:rPr>
              <w:t>沉降监测</w:t>
            </w:r>
          </w:p>
        </w:tc>
        <w:tc>
          <w:tcPr>
            <w:tcW w:w="2380" w:type="dxa"/>
            <w:vAlign w:val="center"/>
          </w:tcPr>
          <w:p w:rsidR="00867917" w:rsidRPr="009C740E" w:rsidRDefault="00867917" w:rsidP="00A74A93">
            <w:pPr>
              <w:spacing w:line="360" w:lineRule="auto"/>
              <w:rPr>
                <w:rFonts w:ascii="宋体" w:hAnsi="宋体"/>
                <w:bCs/>
                <w:sz w:val="22"/>
                <w:szCs w:val="22"/>
              </w:rPr>
            </w:pPr>
            <w:r w:rsidRPr="009C740E">
              <w:rPr>
                <w:rFonts w:ascii="宋体" w:hAnsi="宋体" w:hint="eastAsia"/>
                <w:bCs/>
                <w:sz w:val="22"/>
                <w:szCs w:val="22"/>
              </w:rPr>
              <w:t>±1</w:t>
            </w:r>
            <w:r w:rsidRPr="009C740E">
              <w:rPr>
                <w:rFonts w:ascii="宋体" w:hAnsi="宋体"/>
                <w:bCs/>
                <w:sz w:val="22"/>
                <w:szCs w:val="22"/>
              </w:rPr>
              <w:t>mm</w:t>
            </w:r>
          </w:p>
        </w:tc>
        <w:tc>
          <w:tcPr>
            <w:tcW w:w="2380" w:type="dxa"/>
            <w:vAlign w:val="center"/>
          </w:tcPr>
          <w:p w:rsidR="00867917" w:rsidRPr="009C740E" w:rsidRDefault="00867917" w:rsidP="00A74A93">
            <w:pPr>
              <w:spacing w:line="360" w:lineRule="auto"/>
              <w:rPr>
                <w:rFonts w:ascii="宋体" w:hAnsi="宋体"/>
                <w:bCs/>
                <w:sz w:val="22"/>
                <w:szCs w:val="22"/>
              </w:rPr>
            </w:pPr>
            <w:r w:rsidRPr="009C740E">
              <w:rPr>
                <w:rFonts w:ascii="宋体" w:hAnsi="宋体" w:hint="eastAsia"/>
                <w:bCs/>
                <w:sz w:val="22"/>
                <w:szCs w:val="22"/>
              </w:rPr>
              <w:t>每级边坡浅</w:t>
            </w:r>
            <w:r w:rsidRPr="009C740E">
              <w:rPr>
                <w:rFonts w:ascii="宋体" w:hAnsi="宋体"/>
                <w:bCs/>
                <w:sz w:val="22"/>
                <w:szCs w:val="22"/>
              </w:rPr>
              <w:t>表面</w:t>
            </w:r>
          </w:p>
        </w:tc>
        <w:tc>
          <w:tcPr>
            <w:tcW w:w="2380" w:type="dxa"/>
          </w:tcPr>
          <w:p w:rsidR="00867917" w:rsidRPr="009C740E" w:rsidRDefault="00867917" w:rsidP="00A74A93">
            <w:pPr>
              <w:spacing w:line="360" w:lineRule="auto"/>
              <w:rPr>
                <w:rFonts w:ascii="宋体" w:hAnsi="宋体"/>
                <w:bCs/>
                <w:sz w:val="22"/>
                <w:szCs w:val="22"/>
              </w:rPr>
            </w:pPr>
            <w:r w:rsidRPr="009C740E">
              <w:rPr>
                <w:rFonts w:ascii="宋体" w:hAnsi="宋体" w:hint="eastAsia"/>
                <w:bCs/>
                <w:sz w:val="22"/>
                <w:szCs w:val="22"/>
              </w:rPr>
              <w:t>1小时/次</w:t>
            </w:r>
          </w:p>
        </w:tc>
      </w:tr>
      <w:tr w:rsidR="00867917" w:rsidRPr="009C740E" w:rsidTr="00A74A93">
        <w:trPr>
          <w:trHeight w:val="454"/>
        </w:trPr>
        <w:tc>
          <w:tcPr>
            <w:tcW w:w="2379" w:type="dxa"/>
            <w:vAlign w:val="center"/>
          </w:tcPr>
          <w:p w:rsidR="00867917" w:rsidRPr="009C740E" w:rsidRDefault="00867917" w:rsidP="00A74A93">
            <w:pPr>
              <w:spacing w:line="360" w:lineRule="auto"/>
              <w:rPr>
                <w:rFonts w:ascii="宋体" w:hAnsi="宋体"/>
                <w:bCs/>
                <w:sz w:val="22"/>
                <w:szCs w:val="22"/>
              </w:rPr>
            </w:pPr>
            <w:r w:rsidRPr="009C740E">
              <w:rPr>
                <w:rFonts w:ascii="宋体" w:hAnsi="宋体" w:hint="eastAsia"/>
                <w:bCs/>
                <w:sz w:val="22"/>
                <w:szCs w:val="22"/>
              </w:rPr>
              <w:t>边坡倾斜</w:t>
            </w:r>
            <w:r w:rsidRPr="009C740E">
              <w:rPr>
                <w:rFonts w:ascii="宋体" w:hAnsi="宋体"/>
                <w:bCs/>
                <w:sz w:val="22"/>
                <w:szCs w:val="22"/>
              </w:rPr>
              <w:t>监测</w:t>
            </w:r>
          </w:p>
        </w:tc>
        <w:tc>
          <w:tcPr>
            <w:tcW w:w="2380" w:type="dxa"/>
            <w:vAlign w:val="center"/>
          </w:tcPr>
          <w:p w:rsidR="00867917" w:rsidRPr="009C740E" w:rsidRDefault="00867917" w:rsidP="00A74A93">
            <w:pPr>
              <w:spacing w:line="360" w:lineRule="auto"/>
              <w:rPr>
                <w:rFonts w:ascii="宋体" w:hAnsi="宋体"/>
                <w:bCs/>
                <w:sz w:val="22"/>
                <w:szCs w:val="22"/>
              </w:rPr>
            </w:pPr>
            <w:r w:rsidRPr="009C740E">
              <w:rPr>
                <w:rFonts w:ascii="宋体" w:hAnsi="宋体" w:hint="eastAsia"/>
                <w:bCs/>
                <w:sz w:val="22"/>
                <w:szCs w:val="22"/>
              </w:rPr>
              <w:t xml:space="preserve">  ±0.</w:t>
            </w:r>
            <w:r w:rsidRPr="009C740E">
              <w:rPr>
                <w:rFonts w:ascii="宋体" w:hAnsi="宋体"/>
                <w:bCs/>
                <w:sz w:val="22"/>
                <w:szCs w:val="22"/>
              </w:rPr>
              <w:t>1</w:t>
            </w:r>
            <w:r w:rsidRPr="009C740E">
              <w:rPr>
                <w:rFonts w:ascii="宋体" w:hAnsi="宋体" w:hint="eastAsia"/>
                <w:bCs/>
                <w:sz w:val="22"/>
                <w:szCs w:val="22"/>
              </w:rPr>
              <w:t>1°</w:t>
            </w:r>
          </w:p>
        </w:tc>
        <w:tc>
          <w:tcPr>
            <w:tcW w:w="2380" w:type="dxa"/>
            <w:vAlign w:val="center"/>
          </w:tcPr>
          <w:p w:rsidR="00867917" w:rsidRPr="009C740E" w:rsidRDefault="00867917" w:rsidP="00A74A93">
            <w:pPr>
              <w:spacing w:line="360" w:lineRule="auto"/>
              <w:rPr>
                <w:rFonts w:ascii="宋体" w:hAnsi="宋体"/>
                <w:bCs/>
                <w:sz w:val="22"/>
                <w:szCs w:val="22"/>
              </w:rPr>
            </w:pPr>
            <w:r w:rsidRPr="009C740E">
              <w:rPr>
                <w:rFonts w:ascii="宋体" w:hAnsi="宋体" w:hint="eastAsia"/>
                <w:bCs/>
                <w:sz w:val="22"/>
                <w:szCs w:val="22"/>
              </w:rPr>
              <w:t>每级边坡浅</w:t>
            </w:r>
            <w:r w:rsidRPr="009C740E">
              <w:rPr>
                <w:rFonts w:ascii="宋体" w:hAnsi="宋体"/>
                <w:bCs/>
                <w:sz w:val="22"/>
                <w:szCs w:val="22"/>
              </w:rPr>
              <w:t>表面</w:t>
            </w:r>
          </w:p>
        </w:tc>
        <w:tc>
          <w:tcPr>
            <w:tcW w:w="2380" w:type="dxa"/>
          </w:tcPr>
          <w:p w:rsidR="00867917" w:rsidRPr="009C740E" w:rsidRDefault="00867917" w:rsidP="00A74A93">
            <w:pPr>
              <w:spacing w:line="360" w:lineRule="auto"/>
              <w:rPr>
                <w:rFonts w:ascii="宋体" w:hAnsi="宋体"/>
                <w:bCs/>
                <w:sz w:val="22"/>
                <w:szCs w:val="22"/>
              </w:rPr>
            </w:pPr>
            <w:r w:rsidRPr="009C740E">
              <w:rPr>
                <w:rFonts w:ascii="宋体" w:hAnsi="宋体" w:hint="eastAsia"/>
                <w:bCs/>
                <w:sz w:val="22"/>
                <w:szCs w:val="22"/>
              </w:rPr>
              <w:t>1小时/次</w:t>
            </w:r>
          </w:p>
        </w:tc>
      </w:tr>
    </w:tbl>
    <w:p w:rsidR="00867917" w:rsidRPr="009C740E" w:rsidRDefault="00867917" w:rsidP="00867917">
      <w:pPr>
        <w:spacing w:line="360" w:lineRule="auto"/>
        <w:rPr>
          <w:rFonts w:ascii="宋体" w:hAnsi="宋体" w:cs="黑体"/>
          <w:sz w:val="22"/>
          <w:szCs w:val="22"/>
        </w:rPr>
      </w:pPr>
      <w:r w:rsidRPr="009C740E">
        <w:rPr>
          <w:rFonts w:ascii="宋体" w:hAnsi="宋体" w:cs="黑体" w:hint="eastAsia"/>
          <w:sz w:val="22"/>
          <w:szCs w:val="22"/>
        </w:rPr>
        <w:t>2.2.</w:t>
      </w:r>
      <w:r w:rsidRPr="009C740E">
        <w:rPr>
          <w:rFonts w:ascii="宋体" w:hAnsi="宋体" w:cs="黑体"/>
          <w:sz w:val="22"/>
          <w:szCs w:val="22"/>
        </w:rPr>
        <w:t>3 监测</w:t>
      </w:r>
      <w:r w:rsidRPr="009C740E">
        <w:rPr>
          <w:rFonts w:ascii="宋体" w:hAnsi="宋体" w:cs="黑体" w:hint="eastAsia"/>
          <w:sz w:val="22"/>
          <w:szCs w:val="22"/>
        </w:rPr>
        <w:t>控制</w:t>
      </w:r>
      <w:r w:rsidRPr="009C740E">
        <w:rPr>
          <w:rFonts w:ascii="宋体" w:hAnsi="宋体" w:cs="黑体"/>
          <w:sz w:val="22"/>
          <w:szCs w:val="22"/>
        </w:rPr>
        <w:t>指标</w:t>
      </w:r>
      <w:r w:rsidRPr="009C740E">
        <w:rPr>
          <w:rFonts w:ascii="宋体" w:hAnsi="宋体" w:cs="黑体" w:hint="eastAsia"/>
          <w:sz w:val="22"/>
          <w:szCs w:val="22"/>
        </w:rPr>
        <w:t>、</w:t>
      </w:r>
      <w:r w:rsidRPr="009C740E">
        <w:rPr>
          <w:rFonts w:ascii="宋体" w:hAnsi="宋体" w:cs="黑体"/>
          <w:sz w:val="22"/>
          <w:szCs w:val="22"/>
        </w:rPr>
        <w:t>报警</w:t>
      </w:r>
    </w:p>
    <w:p w:rsidR="00867917" w:rsidRPr="009C740E" w:rsidRDefault="00867917" w:rsidP="00867917">
      <w:pPr>
        <w:spacing w:line="360" w:lineRule="auto"/>
        <w:rPr>
          <w:rFonts w:ascii="宋体" w:hAnsi="宋体"/>
          <w:sz w:val="22"/>
          <w:szCs w:val="22"/>
        </w:rPr>
      </w:pPr>
      <w:r w:rsidRPr="009C740E">
        <w:rPr>
          <w:rFonts w:ascii="宋体" w:hAnsi="宋体" w:hint="eastAsia"/>
          <w:sz w:val="22"/>
          <w:szCs w:val="22"/>
        </w:rPr>
        <w:t>高边坡自动监测</w:t>
      </w:r>
      <w:r w:rsidRPr="009C740E">
        <w:rPr>
          <w:rFonts w:ascii="宋体" w:hAnsi="宋体"/>
          <w:sz w:val="22"/>
          <w:szCs w:val="22"/>
        </w:rPr>
        <w:t>稳定性评价主要根据以下几点进行综合判断：</w:t>
      </w:r>
    </w:p>
    <w:p w:rsidR="00867917" w:rsidRPr="009C740E" w:rsidRDefault="00867917" w:rsidP="00867917">
      <w:pPr>
        <w:spacing w:line="360" w:lineRule="auto"/>
        <w:rPr>
          <w:rFonts w:ascii="宋体" w:hAnsi="宋体"/>
          <w:sz w:val="22"/>
          <w:szCs w:val="22"/>
        </w:rPr>
      </w:pPr>
      <w:r w:rsidRPr="009C740E">
        <w:rPr>
          <w:rFonts w:ascii="宋体" w:hAnsi="宋体" w:hint="eastAsia"/>
          <w:sz w:val="22"/>
          <w:szCs w:val="22"/>
        </w:rPr>
        <w:t xml:space="preserve">1. </w:t>
      </w:r>
      <w:r w:rsidRPr="009C740E">
        <w:rPr>
          <w:rFonts w:ascii="宋体" w:hAnsi="宋体"/>
          <w:sz w:val="22"/>
          <w:szCs w:val="22"/>
        </w:rPr>
        <w:t>累积沉降大于50mm</w:t>
      </w:r>
      <w:r w:rsidRPr="009C740E">
        <w:rPr>
          <w:rFonts w:ascii="宋体" w:hAnsi="宋体" w:hint="eastAsia"/>
          <w:sz w:val="22"/>
          <w:szCs w:val="22"/>
        </w:rPr>
        <w:t>（不包含）</w:t>
      </w:r>
      <w:r w:rsidRPr="009C740E">
        <w:rPr>
          <w:rFonts w:ascii="宋体" w:hAnsi="宋体"/>
          <w:sz w:val="22"/>
          <w:szCs w:val="22"/>
        </w:rPr>
        <w:t>，沉降速率</w:t>
      </w:r>
      <w:r w:rsidRPr="009C740E">
        <w:rPr>
          <w:rFonts w:ascii="宋体" w:hAnsi="宋体" w:hint="eastAsia"/>
          <w:sz w:val="22"/>
          <w:szCs w:val="22"/>
        </w:rPr>
        <w:t>大</w:t>
      </w:r>
      <w:r w:rsidRPr="009C740E">
        <w:rPr>
          <w:rFonts w:ascii="宋体" w:hAnsi="宋体"/>
          <w:sz w:val="22"/>
          <w:szCs w:val="22"/>
        </w:rPr>
        <w:t>于3mm/d</w:t>
      </w:r>
      <w:r w:rsidRPr="009C740E">
        <w:rPr>
          <w:rFonts w:ascii="宋体" w:hAnsi="宋体" w:hint="eastAsia"/>
          <w:sz w:val="22"/>
          <w:szCs w:val="22"/>
        </w:rPr>
        <w:t>（不包含）</w:t>
      </w:r>
      <w:r w:rsidRPr="009C740E">
        <w:rPr>
          <w:rFonts w:ascii="宋体" w:hAnsi="宋体"/>
          <w:sz w:val="22"/>
          <w:szCs w:val="22"/>
        </w:rPr>
        <w:t>；</w:t>
      </w:r>
    </w:p>
    <w:p w:rsidR="00867917" w:rsidRPr="009C740E" w:rsidRDefault="00867917" w:rsidP="00867917">
      <w:pPr>
        <w:spacing w:line="360" w:lineRule="auto"/>
        <w:rPr>
          <w:rFonts w:ascii="宋体" w:hAnsi="宋体"/>
          <w:sz w:val="22"/>
          <w:szCs w:val="22"/>
        </w:rPr>
      </w:pPr>
      <w:r w:rsidRPr="009C740E">
        <w:rPr>
          <w:rFonts w:ascii="宋体" w:hAnsi="宋体" w:hint="eastAsia"/>
          <w:sz w:val="22"/>
          <w:szCs w:val="22"/>
        </w:rPr>
        <w:t>2</w:t>
      </w:r>
      <w:r w:rsidRPr="009C740E">
        <w:rPr>
          <w:rFonts w:ascii="宋体" w:hAnsi="宋体"/>
          <w:sz w:val="22"/>
          <w:szCs w:val="22"/>
        </w:rPr>
        <w:t xml:space="preserve">. </w:t>
      </w:r>
      <w:r w:rsidRPr="009C740E">
        <w:rPr>
          <w:rFonts w:ascii="宋体" w:hAnsi="宋体" w:hint="eastAsia"/>
          <w:sz w:val="22"/>
          <w:szCs w:val="22"/>
        </w:rPr>
        <w:t>多测点</w:t>
      </w:r>
      <w:r w:rsidRPr="009C740E">
        <w:rPr>
          <w:rFonts w:ascii="宋体" w:hAnsi="宋体"/>
          <w:sz w:val="22"/>
          <w:szCs w:val="22"/>
        </w:rPr>
        <w:t>发生倾角异常变化</w:t>
      </w:r>
      <w:r w:rsidRPr="009C740E">
        <w:rPr>
          <w:rFonts w:ascii="宋体" w:hAnsi="宋体" w:hint="eastAsia"/>
          <w:sz w:val="22"/>
          <w:szCs w:val="22"/>
        </w:rPr>
        <w:t>；</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3</w:t>
      </w:r>
      <w:r w:rsidRPr="009C740E">
        <w:rPr>
          <w:rFonts w:ascii="宋体" w:hAnsi="宋体" w:hint="eastAsia"/>
          <w:sz w:val="22"/>
          <w:szCs w:val="22"/>
        </w:rPr>
        <w:t xml:space="preserve">. </w:t>
      </w:r>
      <w:r w:rsidRPr="009C740E">
        <w:rPr>
          <w:rFonts w:ascii="宋体" w:hAnsi="宋体"/>
          <w:sz w:val="22"/>
          <w:szCs w:val="22"/>
        </w:rPr>
        <w:t>边坡开挖停止后位移、沉降速率</w:t>
      </w:r>
      <w:r w:rsidRPr="009C740E">
        <w:rPr>
          <w:rFonts w:ascii="宋体" w:hAnsi="宋体" w:hint="eastAsia"/>
          <w:sz w:val="22"/>
          <w:szCs w:val="22"/>
        </w:rPr>
        <w:t>未</w:t>
      </w:r>
      <w:r w:rsidRPr="009C740E">
        <w:rPr>
          <w:rFonts w:ascii="宋体" w:hAnsi="宋体"/>
          <w:sz w:val="22"/>
          <w:szCs w:val="22"/>
        </w:rPr>
        <w:t>呈收敛趋势；</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4</w:t>
      </w:r>
      <w:r w:rsidRPr="009C740E">
        <w:rPr>
          <w:rFonts w:ascii="宋体" w:hAnsi="宋体" w:hint="eastAsia"/>
          <w:sz w:val="22"/>
          <w:szCs w:val="22"/>
        </w:rPr>
        <w:t xml:space="preserve">. </w:t>
      </w:r>
      <w:r w:rsidRPr="009C740E">
        <w:rPr>
          <w:rFonts w:ascii="宋体" w:hAnsi="宋体"/>
          <w:sz w:val="22"/>
          <w:szCs w:val="22"/>
        </w:rPr>
        <w:t>坡面、坡顶有无开裂，裂缝的变化趋势</w:t>
      </w:r>
      <w:r w:rsidRPr="009C740E">
        <w:rPr>
          <w:rFonts w:ascii="宋体" w:hAnsi="宋体" w:hint="eastAsia"/>
          <w:sz w:val="22"/>
          <w:szCs w:val="22"/>
        </w:rPr>
        <w:t>一直呈增大趋势</w:t>
      </w:r>
      <w:r w:rsidRPr="009C740E">
        <w:rPr>
          <w:rFonts w:ascii="宋体" w:hAnsi="宋体"/>
          <w:sz w:val="22"/>
          <w:szCs w:val="22"/>
        </w:rPr>
        <w:t>；</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监测过程中</w:t>
      </w:r>
      <w:r w:rsidRPr="009C740E">
        <w:rPr>
          <w:rFonts w:ascii="宋体" w:hAnsi="宋体" w:hint="eastAsia"/>
          <w:sz w:val="22"/>
          <w:szCs w:val="22"/>
        </w:rPr>
        <w:t>若</w:t>
      </w:r>
      <w:r w:rsidRPr="009C740E">
        <w:rPr>
          <w:rFonts w:ascii="宋体" w:hAnsi="宋体"/>
          <w:sz w:val="22"/>
          <w:szCs w:val="22"/>
        </w:rPr>
        <w:t>出现上述一点或几点现象时，</w:t>
      </w:r>
      <w:r w:rsidRPr="009C740E">
        <w:rPr>
          <w:rFonts w:ascii="宋体" w:hAnsi="宋体" w:hint="eastAsia"/>
          <w:sz w:val="22"/>
          <w:szCs w:val="22"/>
        </w:rPr>
        <w:t>均</w:t>
      </w:r>
      <w:r w:rsidRPr="009C740E">
        <w:rPr>
          <w:rFonts w:ascii="宋体" w:hAnsi="宋体"/>
          <w:sz w:val="22"/>
          <w:szCs w:val="22"/>
        </w:rPr>
        <w:t>应引起注意并</w:t>
      </w:r>
      <w:r w:rsidRPr="009C740E">
        <w:rPr>
          <w:rFonts w:ascii="宋体" w:hAnsi="宋体" w:hint="eastAsia"/>
          <w:sz w:val="22"/>
          <w:szCs w:val="22"/>
        </w:rPr>
        <w:t>与其他</w:t>
      </w:r>
      <w:r w:rsidRPr="009C740E">
        <w:rPr>
          <w:rFonts w:ascii="宋体" w:hAnsi="宋体"/>
          <w:sz w:val="22"/>
          <w:szCs w:val="22"/>
        </w:rPr>
        <w:t>监测资料相互进行对照、比较分析，以</w:t>
      </w:r>
      <w:r w:rsidRPr="009C740E">
        <w:rPr>
          <w:rFonts w:ascii="宋体" w:hAnsi="宋体" w:hint="eastAsia"/>
          <w:sz w:val="22"/>
          <w:szCs w:val="22"/>
        </w:rPr>
        <w:t>分析</w:t>
      </w:r>
      <w:r w:rsidRPr="009C740E">
        <w:rPr>
          <w:rFonts w:ascii="宋体" w:hAnsi="宋体"/>
          <w:sz w:val="22"/>
          <w:szCs w:val="22"/>
        </w:rPr>
        <w:t>讨论边坡的稳定性</w:t>
      </w:r>
      <w:r w:rsidRPr="009C740E">
        <w:rPr>
          <w:rFonts w:ascii="宋体" w:hAnsi="宋体" w:hint="eastAsia"/>
          <w:sz w:val="22"/>
          <w:szCs w:val="22"/>
        </w:rPr>
        <w:t>能</w:t>
      </w:r>
      <w:r w:rsidRPr="009C740E">
        <w:rPr>
          <w:rFonts w:ascii="宋体" w:hAnsi="宋体"/>
          <w:sz w:val="22"/>
          <w:szCs w:val="22"/>
        </w:rPr>
        <w:t>，以便及早发现安全隐患情况，采取相应的补救措施。</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为确保边坡的安全，建立监测工作预警措施，即当监测值达到</w:t>
      </w:r>
      <w:r w:rsidRPr="009C740E">
        <w:rPr>
          <w:rFonts w:ascii="宋体" w:hAnsi="宋体" w:hint="eastAsia"/>
          <w:sz w:val="22"/>
          <w:szCs w:val="22"/>
        </w:rPr>
        <w:t>预警值</w:t>
      </w:r>
      <w:r w:rsidRPr="009C740E">
        <w:rPr>
          <w:rFonts w:ascii="宋体" w:hAnsi="宋体"/>
          <w:sz w:val="22"/>
          <w:szCs w:val="22"/>
        </w:rPr>
        <w:t>时，</w:t>
      </w:r>
      <w:r w:rsidRPr="009C740E">
        <w:rPr>
          <w:rFonts w:ascii="宋体" w:hAnsi="宋体" w:hint="eastAsia"/>
          <w:sz w:val="22"/>
          <w:szCs w:val="22"/>
        </w:rPr>
        <w:t>应以实时</w:t>
      </w:r>
      <w:r w:rsidRPr="009C740E">
        <w:rPr>
          <w:rFonts w:ascii="宋体" w:hAnsi="宋体"/>
          <w:sz w:val="22"/>
          <w:szCs w:val="22"/>
        </w:rPr>
        <w:t>警报的形式报告业主、监理</w:t>
      </w:r>
      <w:r w:rsidRPr="009C740E">
        <w:rPr>
          <w:rFonts w:ascii="宋体" w:hAnsi="宋体" w:hint="eastAsia"/>
          <w:sz w:val="22"/>
          <w:szCs w:val="22"/>
        </w:rPr>
        <w:t>、</w:t>
      </w:r>
      <w:r w:rsidRPr="009C740E">
        <w:rPr>
          <w:rFonts w:ascii="宋体" w:hAnsi="宋体"/>
          <w:sz w:val="22"/>
          <w:szCs w:val="22"/>
        </w:rPr>
        <w:t>施工及有关单位。</w:t>
      </w:r>
    </w:p>
    <w:p w:rsidR="00867917" w:rsidRPr="009C740E" w:rsidRDefault="00867917" w:rsidP="00867917">
      <w:pPr>
        <w:spacing w:line="360" w:lineRule="auto"/>
        <w:rPr>
          <w:rFonts w:ascii="宋体" w:hAnsi="宋体" w:cs="黑体"/>
          <w:sz w:val="22"/>
          <w:szCs w:val="22"/>
        </w:rPr>
      </w:pPr>
      <w:r w:rsidRPr="009C740E">
        <w:rPr>
          <w:rFonts w:ascii="宋体" w:hAnsi="宋体" w:cs="黑体" w:hint="eastAsia"/>
          <w:sz w:val="22"/>
          <w:szCs w:val="22"/>
        </w:rPr>
        <w:t>2.2.</w:t>
      </w:r>
      <w:r w:rsidRPr="009C740E">
        <w:rPr>
          <w:rFonts w:ascii="宋体" w:hAnsi="宋体" w:cs="黑体"/>
          <w:sz w:val="22"/>
          <w:szCs w:val="22"/>
        </w:rPr>
        <w:t>4 监测</w:t>
      </w:r>
      <w:r w:rsidRPr="009C740E">
        <w:rPr>
          <w:rFonts w:ascii="宋体" w:hAnsi="宋体" w:cs="黑体" w:hint="eastAsia"/>
          <w:sz w:val="22"/>
          <w:szCs w:val="22"/>
        </w:rPr>
        <w:t>频率</w:t>
      </w:r>
    </w:p>
    <w:p w:rsidR="00867917" w:rsidRPr="009C740E" w:rsidRDefault="00867917" w:rsidP="00867917">
      <w:pPr>
        <w:spacing w:line="360" w:lineRule="auto"/>
        <w:rPr>
          <w:rFonts w:ascii="宋体" w:hAnsi="宋体"/>
          <w:sz w:val="22"/>
          <w:szCs w:val="22"/>
        </w:rPr>
      </w:pPr>
      <w:r w:rsidRPr="009C740E">
        <w:rPr>
          <w:rFonts w:ascii="宋体" w:hAnsi="宋体" w:hint="eastAsia"/>
          <w:sz w:val="22"/>
          <w:szCs w:val="22"/>
        </w:rPr>
        <w:t>默认监测频率为1小时/次，</w:t>
      </w:r>
      <w:r w:rsidRPr="009C740E">
        <w:rPr>
          <w:rFonts w:ascii="宋体" w:hAnsi="宋体"/>
          <w:sz w:val="22"/>
          <w:szCs w:val="22"/>
        </w:rPr>
        <w:t>正常情况下，按默认频率监测，当出现下列情况之一时，应提高监测频率至</w:t>
      </w:r>
      <w:r w:rsidRPr="009C740E">
        <w:rPr>
          <w:rFonts w:ascii="宋体" w:hAnsi="宋体" w:hint="eastAsia"/>
          <w:sz w:val="22"/>
          <w:szCs w:val="22"/>
        </w:rPr>
        <w:t>15分钟/次</w:t>
      </w:r>
      <w:r w:rsidRPr="009C740E">
        <w:rPr>
          <w:rFonts w:ascii="宋体" w:hAnsi="宋体"/>
          <w:sz w:val="22"/>
          <w:szCs w:val="22"/>
        </w:rPr>
        <w:t>：</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1.</w:t>
      </w:r>
      <w:r w:rsidRPr="009C740E">
        <w:rPr>
          <w:rFonts w:ascii="宋体" w:hAnsi="宋体" w:hint="eastAsia"/>
          <w:sz w:val="22"/>
          <w:szCs w:val="22"/>
        </w:rPr>
        <w:t xml:space="preserve"> </w:t>
      </w:r>
      <w:r w:rsidRPr="009C740E">
        <w:rPr>
          <w:rFonts w:ascii="宋体" w:hAnsi="宋体"/>
          <w:sz w:val="22"/>
          <w:szCs w:val="22"/>
        </w:rPr>
        <w:t>监测数据达到报警值；</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2.</w:t>
      </w:r>
      <w:r w:rsidRPr="009C740E">
        <w:rPr>
          <w:rFonts w:ascii="宋体" w:hAnsi="宋体" w:hint="eastAsia"/>
          <w:sz w:val="22"/>
          <w:szCs w:val="22"/>
        </w:rPr>
        <w:t xml:space="preserve"> </w:t>
      </w:r>
      <w:r w:rsidRPr="009C740E">
        <w:rPr>
          <w:rFonts w:ascii="宋体" w:hAnsi="宋体"/>
          <w:sz w:val="22"/>
          <w:szCs w:val="22"/>
        </w:rPr>
        <w:t>监测数据变化较大或者速率加快；</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3.</w:t>
      </w:r>
      <w:r w:rsidRPr="009C740E">
        <w:rPr>
          <w:rFonts w:ascii="宋体" w:hAnsi="宋体" w:hint="eastAsia"/>
          <w:sz w:val="22"/>
          <w:szCs w:val="22"/>
        </w:rPr>
        <w:t xml:space="preserve"> </w:t>
      </w:r>
      <w:r w:rsidRPr="009C740E">
        <w:rPr>
          <w:rFonts w:ascii="宋体" w:hAnsi="宋体"/>
          <w:sz w:val="22"/>
          <w:szCs w:val="22"/>
        </w:rPr>
        <w:t>存在勘察未发现的不良地质；</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4.</w:t>
      </w:r>
      <w:r w:rsidRPr="009C740E">
        <w:rPr>
          <w:rFonts w:ascii="宋体" w:hAnsi="宋体" w:hint="eastAsia"/>
          <w:sz w:val="22"/>
          <w:szCs w:val="22"/>
        </w:rPr>
        <w:t xml:space="preserve"> </w:t>
      </w:r>
      <w:r w:rsidRPr="009C740E">
        <w:rPr>
          <w:rFonts w:ascii="宋体" w:hAnsi="宋体"/>
          <w:sz w:val="22"/>
          <w:szCs w:val="22"/>
        </w:rPr>
        <w:t>超深、超长开挖等违反设计工况施工；</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5.</w:t>
      </w:r>
      <w:r w:rsidRPr="009C740E">
        <w:rPr>
          <w:rFonts w:ascii="宋体" w:hAnsi="宋体" w:hint="eastAsia"/>
          <w:sz w:val="22"/>
          <w:szCs w:val="22"/>
        </w:rPr>
        <w:t xml:space="preserve"> </w:t>
      </w:r>
      <w:r w:rsidRPr="009C740E">
        <w:rPr>
          <w:rFonts w:ascii="宋体" w:hAnsi="宋体"/>
          <w:sz w:val="22"/>
          <w:szCs w:val="22"/>
        </w:rPr>
        <w:t>周边地面突发较大沉降或出现严重开裂；</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6.</w:t>
      </w:r>
      <w:r w:rsidRPr="009C740E">
        <w:rPr>
          <w:rFonts w:ascii="宋体" w:hAnsi="宋体" w:hint="eastAsia"/>
          <w:sz w:val="22"/>
          <w:szCs w:val="22"/>
        </w:rPr>
        <w:t xml:space="preserve"> </w:t>
      </w:r>
      <w:r w:rsidRPr="009C740E">
        <w:rPr>
          <w:rFonts w:ascii="宋体" w:hAnsi="宋体"/>
          <w:sz w:val="22"/>
          <w:szCs w:val="22"/>
        </w:rPr>
        <w:t>邻近建筑突发较大沉降、不均匀沉降或出现严重开裂；</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7.</w:t>
      </w:r>
      <w:r w:rsidRPr="009C740E">
        <w:rPr>
          <w:rFonts w:ascii="宋体" w:hAnsi="宋体" w:hint="eastAsia"/>
          <w:sz w:val="22"/>
          <w:szCs w:val="22"/>
        </w:rPr>
        <w:t xml:space="preserve"> </w:t>
      </w:r>
      <w:r w:rsidRPr="009C740E">
        <w:rPr>
          <w:rFonts w:ascii="宋体" w:hAnsi="宋体"/>
          <w:sz w:val="22"/>
          <w:szCs w:val="22"/>
        </w:rPr>
        <w:t>支护工程发生事故后重新组织施工；</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lastRenderedPageBreak/>
        <w:t>8.</w:t>
      </w:r>
      <w:r w:rsidRPr="009C740E">
        <w:rPr>
          <w:rFonts w:ascii="宋体" w:hAnsi="宋体" w:hint="eastAsia"/>
          <w:sz w:val="22"/>
          <w:szCs w:val="22"/>
        </w:rPr>
        <w:t xml:space="preserve"> </w:t>
      </w:r>
      <w:r w:rsidRPr="009C740E">
        <w:rPr>
          <w:rFonts w:ascii="宋体" w:hAnsi="宋体"/>
          <w:sz w:val="22"/>
          <w:szCs w:val="22"/>
        </w:rPr>
        <w:t>出现其他影响支护边坡及周边环境安全的异常情况。</w:t>
      </w:r>
    </w:p>
    <w:p w:rsidR="00867917" w:rsidRPr="009C740E" w:rsidRDefault="00867917" w:rsidP="00867917">
      <w:pPr>
        <w:spacing w:line="360" w:lineRule="auto"/>
        <w:rPr>
          <w:rFonts w:ascii="宋体" w:hAnsi="宋体" w:cs="黑体"/>
          <w:sz w:val="22"/>
          <w:szCs w:val="22"/>
        </w:rPr>
      </w:pPr>
      <w:r w:rsidRPr="009C740E">
        <w:rPr>
          <w:rFonts w:ascii="宋体" w:hAnsi="宋体" w:cs="黑体" w:hint="eastAsia"/>
          <w:sz w:val="22"/>
          <w:szCs w:val="22"/>
        </w:rPr>
        <w:t>2.2.</w:t>
      </w:r>
      <w:r w:rsidRPr="009C740E">
        <w:rPr>
          <w:rFonts w:ascii="宋体" w:hAnsi="宋体" w:cs="黑体"/>
          <w:sz w:val="22"/>
          <w:szCs w:val="22"/>
        </w:rPr>
        <w:t>5 监测</w:t>
      </w:r>
      <w:r w:rsidRPr="009C740E">
        <w:rPr>
          <w:rFonts w:ascii="宋体" w:hAnsi="宋体" w:cs="黑体" w:hint="eastAsia"/>
          <w:sz w:val="22"/>
          <w:szCs w:val="22"/>
        </w:rPr>
        <w:t>资料报送</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1、监测数据实时采集</w:t>
      </w:r>
      <w:r w:rsidRPr="009C740E">
        <w:rPr>
          <w:rFonts w:ascii="宋体" w:hAnsi="宋体" w:hint="eastAsia"/>
          <w:sz w:val="22"/>
          <w:szCs w:val="22"/>
        </w:rPr>
        <w:t>，</w:t>
      </w:r>
      <w:r w:rsidRPr="009C740E">
        <w:rPr>
          <w:rFonts w:ascii="宋体" w:hAnsi="宋体"/>
          <w:sz w:val="22"/>
          <w:szCs w:val="22"/>
        </w:rPr>
        <w:t>数据处理完成后，形成</w:t>
      </w:r>
      <w:proofErr w:type="gramStart"/>
      <w:r w:rsidRPr="009C740E">
        <w:rPr>
          <w:rFonts w:ascii="宋体" w:hAnsi="宋体"/>
          <w:sz w:val="22"/>
          <w:szCs w:val="22"/>
        </w:rPr>
        <w:t>监测日</w:t>
      </w:r>
      <w:proofErr w:type="gramEnd"/>
      <w:r w:rsidRPr="009C740E">
        <w:rPr>
          <w:rFonts w:ascii="宋体" w:hAnsi="宋体"/>
          <w:sz w:val="22"/>
          <w:szCs w:val="22"/>
        </w:rPr>
        <w:t>报表；内容包括对应的施工工况、各监测点的日变形量、累计变形量、变形曲线图等基本要素。</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2、正常情况下当日报表一般在当日/第二天上午提交给委托单位。</w:t>
      </w:r>
      <w:r w:rsidRPr="009C740E">
        <w:rPr>
          <w:rFonts w:ascii="宋体" w:hAnsi="宋体" w:hint="eastAsia"/>
          <w:sz w:val="22"/>
          <w:szCs w:val="22"/>
        </w:rPr>
        <w:t>监测日报系统以电子版形式自动发送</w:t>
      </w:r>
      <w:proofErr w:type="gramStart"/>
      <w:r w:rsidRPr="009C740E">
        <w:rPr>
          <w:rFonts w:ascii="宋体" w:hAnsi="宋体" w:hint="eastAsia"/>
          <w:sz w:val="22"/>
          <w:szCs w:val="22"/>
        </w:rPr>
        <w:t>至委托</w:t>
      </w:r>
      <w:proofErr w:type="gramEnd"/>
      <w:r w:rsidRPr="009C740E">
        <w:rPr>
          <w:rFonts w:ascii="宋体" w:hAnsi="宋体" w:hint="eastAsia"/>
          <w:sz w:val="22"/>
          <w:szCs w:val="22"/>
        </w:rPr>
        <w:t>单位邮箱。</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3</w:t>
      </w:r>
      <w:r w:rsidRPr="009C740E">
        <w:rPr>
          <w:rFonts w:ascii="宋体" w:hAnsi="宋体" w:hint="eastAsia"/>
          <w:sz w:val="22"/>
          <w:szCs w:val="22"/>
        </w:rPr>
        <w:t>、</w:t>
      </w:r>
      <w:r w:rsidRPr="009C740E">
        <w:rPr>
          <w:rFonts w:ascii="宋体" w:hAnsi="宋体"/>
          <w:sz w:val="22"/>
          <w:szCs w:val="22"/>
        </w:rPr>
        <w:t>出现险情时，及时提供监测速报。</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4、监测阶段性报告根据进度以书面报告的形式每月提交一次。</w:t>
      </w:r>
    </w:p>
    <w:p w:rsidR="00867917" w:rsidRPr="009C740E" w:rsidRDefault="00867917" w:rsidP="00867917">
      <w:pPr>
        <w:spacing w:line="360" w:lineRule="auto"/>
        <w:rPr>
          <w:rFonts w:ascii="宋体" w:hAnsi="宋体"/>
          <w:sz w:val="22"/>
          <w:szCs w:val="22"/>
        </w:rPr>
      </w:pPr>
      <w:r w:rsidRPr="009C740E">
        <w:rPr>
          <w:rFonts w:ascii="宋体" w:hAnsi="宋体"/>
          <w:sz w:val="22"/>
          <w:szCs w:val="22"/>
        </w:rPr>
        <w:t>5、全部工程结束后，以书面形式提交监测总结报告。</w:t>
      </w:r>
    </w:p>
    <w:p w:rsidR="006D34CC" w:rsidRPr="00867917" w:rsidRDefault="006D34CC"/>
    <w:sectPr w:rsidR="006D34CC" w:rsidRPr="00867917" w:rsidSect="00867917">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FC3" w:rsidRDefault="00755FC3" w:rsidP="00867917">
      <w:r>
        <w:separator/>
      </w:r>
    </w:p>
  </w:endnote>
  <w:endnote w:type="continuationSeparator" w:id="0">
    <w:p w:rsidR="00755FC3" w:rsidRDefault="00755FC3" w:rsidP="00867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FC3" w:rsidRDefault="00755FC3" w:rsidP="00867917">
      <w:r>
        <w:separator/>
      </w:r>
    </w:p>
  </w:footnote>
  <w:footnote w:type="continuationSeparator" w:id="0">
    <w:p w:rsidR="00755FC3" w:rsidRDefault="00755FC3" w:rsidP="00867917">
      <w:r>
        <w:continuationSeparator/>
      </w:r>
    </w:p>
  </w:footnote>
  <w:footnote w:id="1">
    <w:p w:rsidR="00867917" w:rsidRPr="00940BDA" w:rsidRDefault="00867917" w:rsidP="00867917">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605CF"/>
    <w:multiLevelType w:val="singleLevel"/>
    <w:tmpl w:val="A2F605CF"/>
    <w:lvl w:ilvl="0">
      <w:start w:val="1"/>
      <w:numFmt w:val="decimal"/>
      <w:suff w:val="space"/>
      <w:lvlText w:val="%1、"/>
      <w:lvlJc w:val="left"/>
    </w:lvl>
  </w:abstractNum>
  <w:abstractNum w:abstractNumId="1">
    <w:nsid w:val="E4011FAF"/>
    <w:multiLevelType w:val="singleLevel"/>
    <w:tmpl w:val="E4011FAF"/>
    <w:lvl w:ilvl="0">
      <w:start w:val="1"/>
      <w:numFmt w:val="decimal"/>
      <w:suff w:val="nothing"/>
      <w:lvlText w:val="%1、"/>
      <w:lvlJc w:val="left"/>
    </w:lvl>
  </w:abstractNum>
  <w:abstractNum w:abstractNumId="2">
    <w:nsid w:val="4E705351"/>
    <w:multiLevelType w:val="multilevel"/>
    <w:tmpl w:val="4E705351"/>
    <w:lvl w:ilvl="0">
      <w:start w:val="1"/>
      <w:numFmt w:val="decimal"/>
      <w:lvlText w:val="%1."/>
      <w:lvlJc w:val="left"/>
      <w:pPr>
        <w:tabs>
          <w:tab w:val="left" w:pos="284"/>
        </w:tabs>
        <w:ind w:left="284" w:hanging="28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7917"/>
    <w:rsid w:val="006D34CC"/>
    <w:rsid w:val="00755FC3"/>
    <w:rsid w:val="00867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67917"/>
    <w:pPr>
      <w:widowControl w:val="0"/>
      <w:jc w:val="both"/>
    </w:pPr>
    <w:rPr>
      <w:rFonts w:ascii="Calibri" w:eastAsia="宋体" w:hAnsi="Calibri" w:cs="Times New Roman"/>
      <w:sz w:val="28"/>
      <w:szCs w:val="24"/>
    </w:rPr>
  </w:style>
  <w:style w:type="paragraph" w:styleId="2">
    <w:name w:val="heading 2"/>
    <w:basedOn w:val="a"/>
    <w:next w:val="a"/>
    <w:link w:val="2Char"/>
    <w:uiPriority w:val="9"/>
    <w:semiHidden/>
    <w:unhideWhenUsed/>
    <w:qFormat/>
    <w:rsid w:val="00867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867917"/>
    <w:pPr>
      <w:keepNext/>
      <w:keepLines/>
      <w:spacing w:before="260" w:after="260" w:line="416" w:lineRule="auto"/>
      <w:outlineLvl w:val="2"/>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7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7917"/>
    <w:rPr>
      <w:sz w:val="18"/>
      <w:szCs w:val="18"/>
    </w:rPr>
  </w:style>
  <w:style w:type="paragraph" w:styleId="a4">
    <w:name w:val="footer"/>
    <w:basedOn w:val="a"/>
    <w:link w:val="Char0"/>
    <w:uiPriority w:val="99"/>
    <w:semiHidden/>
    <w:unhideWhenUsed/>
    <w:rsid w:val="008679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7917"/>
    <w:rPr>
      <w:sz w:val="18"/>
      <w:szCs w:val="18"/>
    </w:rPr>
  </w:style>
  <w:style w:type="character" w:customStyle="1" w:styleId="3Char">
    <w:name w:val="标题 3 Char"/>
    <w:basedOn w:val="a0"/>
    <w:link w:val="3"/>
    <w:uiPriority w:val="9"/>
    <w:qFormat/>
    <w:rsid w:val="00867917"/>
    <w:rPr>
      <w:rFonts w:ascii="Calibri" w:eastAsia="黑体" w:hAnsi="Calibri" w:cs="Times New Roman"/>
      <w:b/>
      <w:bCs/>
      <w:sz w:val="32"/>
      <w:szCs w:val="32"/>
    </w:rPr>
  </w:style>
  <w:style w:type="paragraph" w:customStyle="1" w:styleId="1">
    <w:name w:val="正文1"/>
    <w:basedOn w:val="a"/>
    <w:qFormat/>
    <w:rsid w:val="00867917"/>
    <w:pPr>
      <w:adjustRightInd w:val="0"/>
      <w:spacing w:line="318" w:lineRule="atLeast"/>
      <w:ind w:left="369" w:firstLine="369"/>
      <w:textAlignment w:val="baseline"/>
    </w:pPr>
    <w:rPr>
      <w:rFonts w:ascii="宋体"/>
      <w:sz w:val="21"/>
      <w:szCs w:val="20"/>
    </w:rPr>
  </w:style>
  <w:style w:type="paragraph" w:styleId="a5">
    <w:name w:val="Plain Text"/>
    <w:basedOn w:val="a"/>
    <w:next w:val="a"/>
    <w:link w:val="Char1"/>
    <w:qFormat/>
    <w:rsid w:val="00867917"/>
    <w:pPr>
      <w:spacing w:beforeLines="50" w:afterLines="50" w:line="400" w:lineRule="atLeast"/>
    </w:pPr>
    <w:rPr>
      <w:rFonts w:ascii="宋体" w:hAnsi="Courier New"/>
      <w:sz w:val="24"/>
    </w:rPr>
  </w:style>
  <w:style w:type="character" w:customStyle="1" w:styleId="Char1">
    <w:name w:val="纯文本 Char"/>
    <w:basedOn w:val="a0"/>
    <w:link w:val="a5"/>
    <w:qFormat/>
    <w:rsid w:val="00867917"/>
    <w:rPr>
      <w:rFonts w:ascii="宋体" w:eastAsia="宋体" w:hAnsi="Courier New" w:cs="Times New Roman"/>
      <w:sz w:val="24"/>
      <w:szCs w:val="24"/>
    </w:rPr>
  </w:style>
  <w:style w:type="paragraph" w:styleId="a6">
    <w:name w:val="footnote text"/>
    <w:basedOn w:val="a"/>
    <w:link w:val="Char10"/>
    <w:rsid w:val="00867917"/>
    <w:pPr>
      <w:snapToGrid w:val="0"/>
      <w:jc w:val="left"/>
    </w:pPr>
    <w:rPr>
      <w:rFonts w:ascii="Times New Roman" w:hAnsi="Times New Roman"/>
      <w:sz w:val="18"/>
      <w:szCs w:val="18"/>
    </w:rPr>
  </w:style>
  <w:style w:type="character" w:customStyle="1" w:styleId="Char2">
    <w:name w:val="脚注文本 Char"/>
    <w:basedOn w:val="a0"/>
    <w:link w:val="a6"/>
    <w:uiPriority w:val="99"/>
    <w:semiHidden/>
    <w:rsid w:val="00867917"/>
    <w:rPr>
      <w:rFonts w:ascii="Calibri" w:eastAsia="宋体" w:hAnsi="Calibri" w:cs="Times New Roman"/>
      <w:sz w:val="18"/>
      <w:szCs w:val="18"/>
    </w:rPr>
  </w:style>
  <w:style w:type="table" w:styleId="a7">
    <w:name w:val="Table Grid"/>
    <w:basedOn w:val="a1"/>
    <w:qFormat/>
    <w:rsid w:val="0086791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脚注文本 Char1"/>
    <w:basedOn w:val="a0"/>
    <w:link w:val="a6"/>
    <w:rsid w:val="00867917"/>
    <w:rPr>
      <w:rFonts w:ascii="Times New Roman" w:eastAsia="宋体" w:hAnsi="Times New Roman" w:cs="Times New Roman"/>
      <w:sz w:val="18"/>
      <w:szCs w:val="18"/>
    </w:rPr>
  </w:style>
  <w:style w:type="paragraph" w:customStyle="1" w:styleId="378020">
    <w:name w:val="样式 标题 3 + (中文) 黑体 小四 非加粗 段前: 7.8 磅 段后: 0 磅 行距: 固定值 20 磅"/>
    <w:basedOn w:val="3"/>
    <w:rsid w:val="00867917"/>
    <w:pPr>
      <w:spacing w:before="0" w:after="0" w:line="400" w:lineRule="exact"/>
    </w:pPr>
    <w:rPr>
      <w:rFonts w:ascii="Times New Roman" w:hAnsi="Times New Roman" w:cs="宋体"/>
      <w:b w:val="0"/>
      <w:bCs w:val="0"/>
      <w:sz w:val="24"/>
      <w:szCs w:val="20"/>
    </w:rPr>
  </w:style>
  <w:style w:type="paragraph" w:customStyle="1" w:styleId="2TimesNewRoman5020">
    <w:name w:val="样式 标题 2 + Times New Roman 四号 非加粗 段前: 5 磅 段后: 0 磅 行距: 固定值 20..."/>
    <w:basedOn w:val="2"/>
    <w:rsid w:val="00867917"/>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86791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dc:creator>
  <cp:keywords/>
  <dc:description/>
  <cp:lastModifiedBy>lxy</cp:lastModifiedBy>
  <cp:revision>2</cp:revision>
  <dcterms:created xsi:type="dcterms:W3CDTF">2020-11-13T07:18:00Z</dcterms:created>
  <dcterms:modified xsi:type="dcterms:W3CDTF">2020-11-13T07:19:00Z</dcterms:modified>
</cp:coreProperties>
</file>