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仿宋" w:hAnsi="仿宋" w:eastAsia="仿宋" w:cs="仿宋"/>
          <w:b/>
          <w:color w:val="auto"/>
          <w:sz w:val="96"/>
          <w:szCs w:val="96"/>
          <w:lang w:eastAsia="zh-CN"/>
        </w:rPr>
      </w:pPr>
      <w:bookmarkStart w:id="28" w:name="_GoBack"/>
      <w:bookmarkEnd w:id="28"/>
      <w:r>
        <w:rPr>
          <w:rFonts w:hint="eastAsia" w:ascii="仿宋" w:hAnsi="仿宋" w:eastAsia="仿宋" w:cs="仿宋"/>
          <w:b/>
          <w:color w:val="auto"/>
          <w:sz w:val="56"/>
          <w:szCs w:val="56"/>
          <w:lang w:eastAsia="zh-CN"/>
        </w:rPr>
        <w:t>武义县公安局智慧交管项目</w:t>
      </w:r>
    </w:p>
    <w:p>
      <w:pPr>
        <w:autoSpaceDE/>
        <w:autoSpaceDN/>
        <w:spacing w:line="312" w:lineRule="auto"/>
        <w:rPr>
          <w:rFonts w:hint="eastAsia" w:ascii="仿宋" w:hAnsi="仿宋" w:eastAsia="仿宋" w:cs="仿宋"/>
          <w:b/>
          <w:bCs/>
          <w:color w:val="auto"/>
          <w:sz w:val="84"/>
          <w:szCs w:val="84"/>
        </w:rPr>
      </w:pPr>
    </w:p>
    <w:p>
      <w:pPr>
        <w:pStyle w:val="33"/>
        <w:rPr>
          <w:rFonts w:hint="eastAsia" w:ascii="仿宋" w:hAnsi="仿宋" w:eastAsia="仿宋" w:cs="仿宋"/>
        </w:rPr>
      </w:pPr>
    </w:p>
    <w:p>
      <w:pPr>
        <w:pStyle w:val="8"/>
        <w:rPr>
          <w:rFonts w:hint="eastAsia" w:ascii="仿宋" w:hAnsi="仿宋" w:eastAsia="仿宋" w:cs="仿宋"/>
        </w:rPr>
      </w:pPr>
    </w:p>
    <w:p>
      <w:pPr>
        <w:autoSpaceDE/>
        <w:autoSpaceDN/>
        <w:spacing w:line="312"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pPr>
        <w:rPr>
          <w:rFonts w:hint="eastAsia" w:eastAsia="宋体"/>
          <w:b/>
          <w:bCs/>
          <w:color w:val="0000FF"/>
          <w:sz w:val="24"/>
          <w:szCs w:val="24"/>
          <w:highlight w:val="yellow"/>
          <w:lang w:eastAsia="zh-CN"/>
        </w:rPr>
      </w:pPr>
    </w:p>
    <w:p>
      <w:pPr>
        <w:spacing w:line="600" w:lineRule="auto"/>
        <w:ind w:firstLine="1590" w:firstLineChars="495"/>
        <w:rPr>
          <w:rFonts w:hint="eastAsia" w:ascii="仿宋" w:hAnsi="仿宋" w:eastAsia="仿宋" w:cs="仿宋"/>
          <w:b/>
          <w:bCs/>
          <w:sz w:val="32"/>
          <w:szCs w:val="32"/>
        </w:rPr>
      </w:pPr>
    </w:p>
    <w:p>
      <w:pPr>
        <w:pStyle w:val="32"/>
        <w:ind w:firstLine="321"/>
        <w:rPr>
          <w:rFonts w:hint="eastAsia" w:ascii="仿宋" w:hAnsi="仿宋" w:eastAsia="仿宋" w:cs="仿宋"/>
          <w:b/>
          <w:bCs/>
          <w:sz w:val="32"/>
          <w:szCs w:val="32"/>
        </w:rPr>
      </w:pPr>
    </w:p>
    <w:p>
      <w:pPr>
        <w:pStyle w:val="25"/>
        <w:rPr>
          <w:rFonts w:hint="eastAsia" w:ascii="仿宋" w:hAnsi="仿宋" w:eastAsia="仿宋" w:cs="仿宋"/>
        </w:rPr>
      </w:pPr>
    </w:p>
    <w:p>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ascii="仿宋" w:hAnsi="仿宋" w:eastAsia="仿宋" w:cs="仿宋"/>
          <w:b/>
          <w:bCs/>
          <w:sz w:val="32"/>
          <w:szCs w:val="32"/>
          <w:lang w:eastAsia="zh-CN"/>
        </w:rPr>
        <w:t>ZJRS2022-CG160</w:t>
      </w:r>
    </w:p>
    <w:p>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ascii="仿宋" w:hAnsi="仿宋" w:eastAsia="仿宋" w:cs="仿宋"/>
          <w:b/>
          <w:bCs/>
          <w:sz w:val="32"/>
          <w:szCs w:val="32"/>
          <w:lang w:eastAsia="zh-CN"/>
        </w:rPr>
        <w:t>武义县公安局交通警察大队</w:t>
      </w:r>
      <w:r>
        <w:rPr>
          <w:rFonts w:hint="eastAsia" w:ascii="仿宋" w:hAnsi="仿宋" w:eastAsia="仿宋" w:cs="仿宋"/>
          <w:b/>
          <w:bCs/>
          <w:sz w:val="32"/>
          <w:szCs w:val="32"/>
        </w:rPr>
        <w:t>（盖章）</w:t>
      </w:r>
    </w:p>
    <w:p>
      <w:pPr>
        <w:pStyle w:val="18"/>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代理机构：浙江日晟信息咨询有限公司（盖章）</w:t>
      </w:r>
    </w:p>
    <w:p>
      <w:pPr>
        <w:pStyle w:val="18"/>
        <w:snapToGrid w:val="0"/>
        <w:spacing w:before="120" w:after="120" w:line="312" w:lineRule="auto"/>
        <w:rPr>
          <w:rFonts w:hint="eastAsia" w:ascii="仿宋" w:hAnsi="仿宋" w:eastAsia="仿宋" w:cs="仿宋"/>
          <w:b/>
          <w:bCs/>
          <w:color w:val="000000"/>
          <w:sz w:val="32"/>
          <w:szCs w:val="32"/>
        </w:rPr>
      </w:pPr>
    </w:p>
    <w:p>
      <w:pPr>
        <w:pStyle w:val="18"/>
        <w:snapToGrid w:val="0"/>
        <w:spacing w:before="120" w:after="120" w:line="312"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二〇二二年</w:t>
      </w: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月</w:t>
      </w:r>
    </w:p>
    <w:p>
      <w:pPr>
        <w:spacing w:line="312" w:lineRule="auto"/>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pPr>
        <w:spacing w:line="312" w:lineRule="auto"/>
        <w:jc w:val="center"/>
        <w:rPr>
          <w:rFonts w:hint="eastAsia" w:ascii="仿宋" w:hAnsi="仿宋" w:eastAsia="仿宋" w:cs="仿宋"/>
          <w:b/>
          <w:color w:val="auto"/>
          <w:sz w:val="44"/>
          <w:szCs w:val="44"/>
        </w:rPr>
      </w:pPr>
    </w:p>
    <w:p>
      <w:pPr>
        <w:spacing w:line="312" w:lineRule="auto"/>
        <w:jc w:val="center"/>
        <w:rPr>
          <w:rFonts w:hint="eastAsia" w:ascii="仿宋" w:hAnsi="仿宋" w:eastAsia="仿宋" w:cs="仿宋"/>
          <w:color w:val="auto"/>
        </w:rPr>
      </w:pP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第一章    招标公告</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第二章    投标须知</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第三章    招标需求</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第四章    评标办法及评分标准</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第五章    政府采购合同</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第六章    应提交的有关格式范例</w:t>
      </w:r>
    </w:p>
    <w:p>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pPr>
        <w:snapToGrid w:val="0"/>
        <w:spacing w:line="312" w:lineRule="auto"/>
        <w:ind w:firstLine="1807" w:firstLineChars="500"/>
        <w:jc w:val="left"/>
        <w:rPr>
          <w:rFonts w:hint="eastAsia" w:ascii="仿宋" w:hAnsi="仿宋" w:eastAsia="仿宋" w:cs="仿宋"/>
          <w:b/>
          <w:color w:val="auto"/>
          <w:sz w:val="36"/>
          <w:szCs w:val="36"/>
        </w:rPr>
      </w:pPr>
    </w:p>
    <w:p>
      <w:pPr>
        <w:spacing w:line="312" w:lineRule="auto"/>
        <w:rPr>
          <w:rStyle w:val="40"/>
          <w:rFonts w:hint="eastAsia" w:ascii="仿宋" w:hAnsi="仿宋" w:eastAsia="仿宋" w:cs="仿宋"/>
          <w:color w:val="auto"/>
          <w:sz w:val="30"/>
        </w:rPr>
      </w:pPr>
    </w:p>
    <w:p>
      <w:pPr>
        <w:spacing w:line="312" w:lineRule="auto"/>
        <w:rPr>
          <w:rStyle w:val="40"/>
          <w:rFonts w:hint="eastAsia" w:ascii="仿宋" w:hAnsi="仿宋" w:eastAsia="仿宋" w:cs="仿宋"/>
          <w:color w:val="auto"/>
          <w:sz w:val="30"/>
        </w:rPr>
      </w:pPr>
    </w:p>
    <w:p>
      <w:pPr>
        <w:spacing w:line="312" w:lineRule="auto"/>
        <w:rPr>
          <w:rStyle w:val="40"/>
          <w:rFonts w:hint="eastAsia" w:ascii="仿宋" w:hAnsi="仿宋" w:eastAsia="仿宋" w:cs="仿宋"/>
          <w:color w:val="auto"/>
          <w:sz w:val="30"/>
        </w:rPr>
      </w:pPr>
    </w:p>
    <w:p>
      <w:pPr>
        <w:spacing w:line="312" w:lineRule="auto"/>
        <w:rPr>
          <w:rStyle w:val="40"/>
          <w:rFonts w:hint="eastAsia" w:ascii="仿宋" w:hAnsi="仿宋" w:eastAsia="仿宋" w:cs="仿宋"/>
          <w:color w:val="auto"/>
          <w:sz w:val="30"/>
        </w:rPr>
      </w:pPr>
    </w:p>
    <w:p>
      <w:pPr>
        <w:pStyle w:val="33"/>
        <w:spacing w:line="312" w:lineRule="auto"/>
        <w:ind w:firstLine="480"/>
        <w:rPr>
          <w:rFonts w:hint="eastAsia" w:ascii="仿宋" w:hAnsi="仿宋" w:eastAsia="仿宋" w:cs="仿宋"/>
        </w:rPr>
      </w:pPr>
    </w:p>
    <w:p>
      <w:pPr>
        <w:spacing w:line="312" w:lineRule="auto"/>
        <w:rPr>
          <w:rStyle w:val="40"/>
          <w:rFonts w:hint="eastAsia" w:ascii="仿宋" w:hAnsi="仿宋" w:eastAsia="仿宋" w:cs="仿宋"/>
          <w:color w:val="auto"/>
          <w:sz w:val="30"/>
        </w:rPr>
      </w:pPr>
    </w:p>
    <w:p>
      <w:pPr>
        <w:pStyle w:val="33"/>
        <w:spacing w:line="312" w:lineRule="auto"/>
        <w:ind w:firstLine="480"/>
        <w:rPr>
          <w:rFonts w:hint="eastAsia" w:ascii="仿宋" w:hAnsi="仿宋" w:eastAsia="仿宋" w:cs="仿宋"/>
        </w:rPr>
      </w:pPr>
    </w:p>
    <w:p>
      <w:pPr>
        <w:rPr>
          <w:rFonts w:hint="eastAsia" w:ascii="仿宋" w:hAnsi="仿宋" w:eastAsia="仿宋" w:cs="仿宋"/>
          <w:color w:val="auto"/>
          <w:sz w:val="36"/>
          <w:szCs w:val="36"/>
        </w:rPr>
      </w:pPr>
      <w:bookmarkStart w:id="0" w:name="_Toc125344501"/>
    </w:p>
    <w:bookmarkEnd w:id="0"/>
    <w:p>
      <w:pPr>
        <w:jc w:val="center"/>
        <w:rPr>
          <w:rFonts w:hint="eastAsia" w:ascii="仿宋" w:hAnsi="仿宋" w:eastAsia="仿宋" w:cs="仿宋"/>
        </w:rPr>
      </w:pPr>
      <w:bookmarkStart w:id="1" w:name="_Toc125344502"/>
      <w:r>
        <w:rPr>
          <w:rFonts w:hint="eastAsia" w:ascii="仿宋" w:hAnsi="仿宋" w:eastAsia="仿宋" w:cs="仿宋"/>
          <w:b/>
          <w:color w:val="auto"/>
          <w:kern w:val="44"/>
          <w:sz w:val="36"/>
          <w:szCs w:val="36"/>
        </w:rPr>
        <w:br w:type="page"/>
      </w:r>
      <w:r>
        <w:rPr>
          <w:rFonts w:hint="eastAsia" w:ascii="仿宋" w:hAnsi="仿宋" w:eastAsia="仿宋" w:cs="仿宋"/>
          <w:b/>
          <w:color w:val="auto"/>
          <w:kern w:val="44"/>
          <w:sz w:val="36"/>
          <w:szCs w:val="36"/>
        </w:rPr>
        <w:t>第一章  招标公告</w:t>
      </w:r>
    </w:p>
    <w:tbl>
      <w:tblPr>
        <w:tblStyle w:val="34"/>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pPr>
              <w:pStyle w:val="31"/>
              <w:spacing w:before="0" w:beforeAutospacing="0" w:after="0" w:afterAutospacing="0" w:line="420" w:lineRule="exact"/>
              <w:rPr>
                <w:rFonts w:hint="eastAsia" w:ascii="仿宋" w:hAnsi="仿宋" w:eastAsia="仿宋" w:cs="仿宋"/>
              </w:rPr>
            </w:pPr>
            <w:r>
              <w:rPr>
                <w:rFonts w:hint="eastAsia" w:ascii="仿宋" w:hAnsi="仿宋" w:eastAsia="仿宋" w:cs="仿宋"/>
              </w:rPr>
              <w:t>项目概况：</w:t>
            </w:r>
          </w:p>
          <w:p>
            <w:pPr>
              <w:pStyle w:val="31"/>
              <w:spacing w:before="0" w:beforeAutospacing="0" w:after="0" w:afterAutospacing="0" w:line="420" w:lineRule="exact"/>
              <w:ind w:firstLine="480" w:firstLineChars="200"/>
              <w:jc w:val="both"/>
              <w:rPr>
                <w:rFonts w:hint="eastAsia" w:ascii="仿宋" w:hAnsi="仿宋" w:eastAsia="仿宋" w:cs="仿宋"/>
              </w:rPr>
            </w:pPr>
            <w:r>
              <w:rPr>
                <w:rFonts w:hint="eastAsia" w:ascii="仿宋" w:hAnsi="仿宋" w:eastAsia="仿宋" w:cs="仿宋"/>
                <w:u w:val="single"/>
                <w:lang w:eastAsia="zh-CN"/>
              </w:rPr>
              <w:t>武义县公安局智慧交管项目</w:t>
            </w:r>
            <w:r>
              <w:rPr>
                <w:rFonts w:hint="eastAsia" w:ascii="仿宋" w:hAnsi="仿宋" w:eastAsia="仿宋" w:cs="仿宋"/>
              </w:rPr>
              <w:t>的潜在供应商应在</w:t>
            </w:r>
            <w:r>
              <w:rPr>
                <w:rFonts w:hint="eastAsia" w:ascii="仿宋" w:hAnsi="仿宋" w:eastAsia="仿宋" w:cs="仿宋"/>
                <w:u w:val="single"/>
              </w:rPr>
              <w:t>浙江政府采购网www.zjzfcg.gov.cn/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eastAsia="仿宋" w:cs="仿宋"/>
                <w:color w:val="FF0000"/>
                <w:u w:val="single"/>
                <w:lang w:eastAsia="zh-CN"/>
              </w:rPr>
              <w:t>2022年9月2日09：00</w:t>
            </w:r>
            <w:r>
              <w:rPr>
                <w:rFonts w:hint="eastAsia" w:ascii="仿宋" w:hAnsi="仿宋" w:eastAsia="仿宋" w:cs="仿宋"/>
                <w:u w:val="single"/>
              </w:rPr>
              <w:t>时</w:t>
            </w:r>
            <w:r>
              <w:rPr>
                <w:rFonts w:hint="eastAsia" w:ascii="仿宋" w:hAnsi="仿宋" w:eastAsia="仿宋" w:cs="仿宋"/>
              </w:rPr>
              <w:t>（北京时间）前递交（上传）投标文件。</w:t>
            </w:r>
          </w:p>
        </w:tc>
      </w:tr>
    </w:tbl>
    <w:p>
      <w:pPr>
        <w:pStyle w:val="31"/>
        <w:pageBreakBefore w:val="0"/>
        <w:kinsoku/>
        <w:wordWrap/>
        <w:overflowPunct/>
        <w:topLinePunct w:val="0"/>
        <w:bidi w:val="0"/>
        <w:spacing w:before="0" w:beforeAutospacing="0" w:after="0" w:afterAutospacing="0" w:line="312" w:lineRule="auto"/>
        <w:jc w:val="both"/>
        <w:textAlignment w:val="auto"/>
        <w:rPr>
          <w:rFonts w:hint="eastAsia" w:ascii="仿宋" w:hAnsi="仿宋" w:eastAsia="仿宋" w:cs="仿宋"/>
        </w:rPr>
      </w:pPr>
      <w:r>
        <w:rPr>
          <w:rStyle w:val="37"/>
          <w:rFonts w:hint="eastAsia" w:ascii="仿宋" w:hAnsi="仿宋" w:eastAsia="仿宋" w:cs="仿宋"/>
        </w:rPr>
        <w:t>一、项目基本情况</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采购组织类型：分散采购-委托代理</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项目编号：</w:t>
      </w:r>
      <w:r>
        <w:rPr>
          <w:rFonts w:hint="eastAsia" w:ascii="仿宋" w:hAnsi="仿宋" w:eastAsia="仿宋" w:cs="仿宋"/>
          <w:lang w:eastAsia="zh-CN"/>
        </w:rPr>
        <w:t>ZJRS2022-CG160</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武义县公安局智慧交管项目</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lang w:eastAsia="zh-CN"/>
        </w:rPr>
      </w:pPr>
      <w:r>
        <w:rPr>
          <w:rFonts w:hint="eastAsia" w:ascii="仿宋" w:hAnsi="仿宋" w:eastAsia="仿宋" w:cs="仿宋"/>
        </w:rPr>
        <w:t>采购计划书</w:t>
      </w:r>
      <w:r>
        <w:rPr>
          <w:rFonts w:hint="eastAsia" w:ascii="仿宋" w:hAnsi="仿宋" w:eastAsia="仿宋" w:cs="仿宋"/>
          <w:highlight w:val="none"/>
        </w:rPr>
        <w:t>号：</w:t>
      </w:r>
      <w:r>
        <w:rPr>
          <w:rFonts w:hint="eastAsia" w:ascii="仿宋" w:hAnsi="仿宋" w:eastAsia="仿宋" w:cs="仿宋"/>
          <w:highlight w:val="none"/>
          <w:lang w:eastAsia="zh-CN"/>
        </w:rPr>
        <w:t>临</w:t>
      </w:r>
      <w:r>
        <w:rPr>
          <w:rFonts w:hint="eastAsia" w:ascii="仿宋" w:hAnsi="仿宋" w:eastAsia="仿宋" w:cs="仿宋"/>
          <w:highlight w:val="none"/>
          <w:lang w:val="en-US" w:eastAsia="zh-CN"/>
        </w:rPr>
        <w:t xml:space="preserve">[2022]884号 </w:t>
      </w:r>
    </w:p>
    <w:p>
      <w:pPr>
        <w:pStyle w:val="31"/>
        <w:spacing w:before="0" w:beforeAutospacing="0" w:after="0" w:afterAutospacing="0" w:line="360" w:lineRule="auto"/>
        <w:ind w:firstLine="480" w:firstLineChars="200"/>
        <w:rPr>
          <w:rFonts w:hint="default" w:ascii="仿宋" w:hAnsi="仿宋" w:eastAsia="仿宋" w:cs="仿宋"/>
          <w:lang w:val="en-US" w:eastAsia="zh-CN"/>
        </w:rPr>
      </w:pPr>
      <w:r>
        <w:rPr>
          <w:rFonts w:hint="eastAsia" w:ascii="仿宋" w:hAnsi="仿宋" w:eastAsia="仿宋" w:cs="仿宋"/>
        </w:rPr>
        <w:t>预算金额</w:t>
      </w:r>
      <w:r>
        <w:rPr>
          <w:rFonts w:hint="eastAsia" w:ascii="仿宋" w:hAnsi="仿宋" w:eastAsia="仿宋" w:cs="仿宋"/>
          <w:lang w:eastAsia="zh-CN"/>
        </w:rPr>
        <w:t>（</w:t>
      </w:r>
      <w:r>
        <w:rPr>
          <w:rFonts w:hint="eastAsia" w:ascii="仿宋" w:hAnsi="仿宋" w:eastAsia="仿宋" w:cs="仿宋"/>
          <w:lang w:val="en-US" w:eastAsia="zh-CN"/>
        </w:rPr>
        <w:t>元</w:t>
      </w:r>
      <w:r>
        <w:rPr>
          <w:rFonts w:hint="eastAsia" w:ascii="仿宋" w:hAnsi="仿宋" w:eastAsia="仿宋" w:cs="仿宋"/>
          <w:lang w:eastAsia="zh-CN"/>
        </w:rPr>
        <w:t>）</w:t>
      </w:r>
      <w:r>
        <w:rPr>
          <w:rFonts w:hint="eastAsia" w:ascii="仿宋" w:hAnsi="仿宋" w:eastAsia="仿宋" w:cs="仿宋"/>
        </w:rPr>
        <w:t>：</w:t>
      </w:r>
      <w:r>
        <w:rPr>
          <w:rFonts w:hint="eastAsia" w:ascii="仿宋" w:hAnsi="仿宋" w:eastAsia="仿宋" w:cs="仿宋"/>
          <w:lang w:val="en-US" w:eastAsia="zh-CN"/>
        </w:rPr>
        <w:t>12230715</w:t>
      </w:r>
    </w:p>
    <w:p>
      <w:pPr>
        <w:pStyle w:val="31"/>
        <w:spacing w:before="0" w:beforeAutospacing="0" w:after="0" w:afterAutospacing="0" w:line="360" w:lineRule="auto"/>
        <w:ind w:firstLine="480" w:firstLineChars="200"/>
        <w:rPr>
          <w:rFonts w:hint="default" w:ascii="仿宋" w:hAnsi="仿宋" w:eastAsia="仿宋" w:cs="仿宋"/>
          <w:b/>
          <w:bCs/>
          <w:highlight w:val="yellow"/>
          <w:lang w:val="en-US" w:eastAsia="zh-CN"/>
        </w:rPr>
      </w:pPr>
      <w:r>
        <w:rPr>
          <w:rFonts w:hint="eastAsia" w:ascii="仿宋" w:hAnsi="仿宋" w:eastAsia="仿宋" w:cs="仿宋"/>
          <w:highlight w:val="yellow"/>
        </w:rPr>
        <w:t>最高限价</w:t>
      </w:r>
      <w:r>
        <w:rPr>
          <w:rFonts w:hint="eastAsia" w:ascii="仿宋" w:hAnsi="仿宋" w:eastAsia="仿宋" w:cs="仿宋"/>
          <w:highlight w:val="yellow"/>
          <w:lang w:eastAsia="zh-CN"/>
        </w:rPr>
        <w:t>（</w:t>
      </w:r>
      <w:r>
        <w:rPr>
          <w:rFonts w:hint="eastAsia" w:ascii="仿宋" w:hAnsi="仿宋" w:eastAsia="仿宋" w:cs="仿宋"/>
          <w:highlight w:val="yellow"/>
          <w:lang w:val="en-US" w:eastAsia="zh-CN"/>
        </w:rPr>
        <w:t>元</w:t>
      </w:r>
      <w:r>
        <w:rPr>
          <w:rFonts w:hint="eastAsia" w:ascii="仿宋" w:hAnsi="仿宋" w:eastAsia="仿宋" w:cs="仿宋"/>
          <w:highlight w:val="yellow"/>
          <w:lang w:eastAsia="zh-CN"/>
        </w:rPr>
        <w:t>）</w:t>
      </w:r>
      <w:r>
        <w:rPr>
          <w:rFonts w:hint="eastAsia" w:ascii="仿宋" w:hAnsi="仿宋" w:eastAsia="仿宋" w:cs="仿宋"/>
          <w:highlight w:val="yellow"/>
        </w:rPr>
        <w:t>：</w:t>
      </w:r>
      <w:r>
        <w:rPr>
          <w:rFonts w:hint="eastAsia" w:ascii="仿宋" w:hAnsi="仿宋" w:eastAsia="仿宋" w:cs="仿宋"/>
          <w:highlight w:val="yellow"/>
          <w:lang w:val="en-US" w:eastAsia="zh-CN"/>
        </w:rPr>
        <w:t>9990715</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评标办法：综合评分法</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合同履行期限：详见招标文件 </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color w:val="0000FF"/>
        </w:rPr>
      </w:pPr>
      <w:r>
        <w:rPr>
          <w:rFonts w:hint="eastAsia" w:ascii="仿宋" w:hAnsi="仿宋" w:eastAsia="仿宋" w:cs="仿宋"/>
          <w:color w:val="0000FF"/>
        </w:rPr>
        <w:t>本项目接受联合体投标</w:t>
      </w:r>
    </w:p>
    <w:p>
      <w:pPr>
        <w:pStyle w:val="31"/>
        <w:pageBreakBefore w:val="0"/>
        <w:kinsoku/>
        <w:wordWrap/>
        <w:overflowPunct/>
        <w:topLinePunct w:val="0"/>
        <w:bidi w:val="0"/>
        <w:spacing w:before="0" w:beforeAutospacing="0" w:after="0" w:afterAutospacing="0" w:line="312" w:lineRule="auto"/>
        <w:jc w:val="both"/>
        <w:textAlignment w:val="auto"/>
        <w:rPr>
          <w:rStyle w:val="37"/>
          <w:rFonts w:hint="eastAsia" w:ascii="仿宋" w:hAnsi="仿宋" w:eastAsia="仿宋" w:cs="仿宋"/>
        </w:rPr>
      </w:pPr>
      <w:r>
        <w:rPr>
          <w:rStyle w:val="37"/>
          <w:rFonts w:hint="eastAsia" w:ascii="仿宋" w:hAnsi="仿宋" w:eastAsia="仿宋" w:cs="仿宋"/>
        </w:rPr>
        <w:t>二、申请人的资格要求：</w:t>
      </w:r>
    </w:p>
    <w:p>
      <w:pPr>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kern w:val="2"/>
          <w:sz w:val="24"/>
          <w:szCs w:val="24"/>
          <w:highlight w:val="yellow"/>
        </w:rPr>
      </w:pPr>
      <w:r>
        <w:rPr>
          <w:rFonts w:hint="eastAsia" w:ascii="仿宋" w:hAnsi="仿宋" w:eastAsia="仿宋" w:cs="仿宋"/>
          <w:color w:val="auto"/>
          <w:kern w:val="2"/>
          <w:sz w:val="24"/>
          <w:szCs w:val="24"/>
        </w:rPr>
        <w:t>1.符合《中华人民共和国政府采购法》第二十二条规定；</w:t>
      </w:r>
    </w:p>
    <w:p>
      <w:pPr>
        <w:pageBreakBefore w:val="0"/>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w:t>
      </w:r>
      <w:r>
        <w:rPr>
          <w:rFonts w:hint="eastAsia" w:ascii="仿宋" w:hAnsi="仿宋" w:eastAsia="仿宋" w:cs="仿宋"/>
          <w:kern w:val="2"/>
          <w:sz w:val="24"/>
          <w:szCs w:val="24"/>
        </w:rPr>
        <w:t>.cn）、中国政府采购网（www.ccgp.gov.cn）列入失信被执行人、重大税收违法案件当事人名单、政府采购严重违法失信行为记录名单；</w:t>
      </w:r>
    </w:p>
    <w:p>
      <w:pPr>
        <w:pStyle w:val="31"/>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kern w:val="2"/>
          <w:sz w:val="24"/>
          <w:szCs w:val="24"/>
          <w:lang w:eastAsia="zh-CN"/>
        </w:rPr>
      </w:pPr>
      <w:r>
        <w:rPr>
          <w:rFonts w:hint="eastAsia" w:ascii="仿宋" w:hAnsi="仿宋" w:eastAsia="仿宋" w:cs="仿宋"/>
          <w:kern w:val="2"/>
        </w:rPr>
        <w:t>3.落实政府采购政策需满足的资格要求：</w:t>
      </w:r>
      <w:r>
        <w:rPr>
          <w:rFonts w:hint="eastAsia" w:ascii="仿宋" w:hAnsi="仿宋" w:eastAsia="仿宋" w:cs="仿宋"/>
          <w:b/>
          <w:bCs/>
          <w:color w:val="auto"/>
          <w:sz w:val="24"/>
          <w:szCs w:val="24"/>
        </w:rPr>
        <w:t>本项目专门面向中小企业采购，</w:t>
      </w:r>
      <w:r>
        <w:rPr>
          <w:rFonts w:hint="eastAsia" w:ascii="仿宋" w:hAnsi="仿宋" w:eastAsia="仿宋" w:cs="仿宋"/>
          <w:color w:val="auto"/>
          <w:sz w:val="24"/>
          <w:szCs w:val="24"/>
        </w:rPr>
        <w:t>中小企业是指满足《政府采购促进中小企业发展管理办法》（财库〔2020〕46号）规定的企业;</w:t>
      </w:r>
      <w:r>
        <w:rPr>
          <w:rFonts w:hint="eastAsia" w:ascii="仿宋" w:hAnsi="仿宋" w:eastAsia="仿宋" w:cs="仿宋"/>
          <w:kern w:val="2"/>
          <w:sz w:val="24"/>
          <w:szCs w:val="24"/>
        </w:rPr>
        <w:t>即本项目供应商必须提供以下任意一种符合企业自身条件的声明函；</w:t>
      </w:r>
    </w:p>
    <w:p>
      <w:pPr>
        <w:pStyle w:val="31"/>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①中小企业声明函；</w:t>
      </w:r>
    </w:p>
    <w:p>
      <w:pPr>
        <w:pStyle w:val="31"/>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pPr>
        <w:pStyle w:val="31"/>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 xml:space="preserve">   ③监狱企业声明函。</w:t>
      </w:r>
    </w:p>
    <w:p>
      <w:pPr>
        <w:pStyle w:val="31"/>
        <w:pageBreakBefore w:val="0"/>
        <w:kinsoku/>
        <w:wordWrap/>
        <w:overflowPunct/>
        <w:topLinePunct w:val="0"/>
        <w:bidi w:val="0"/>
        <w:spacing w:before="0" w:beforeAutospacing="0" w:after="0" w:afterAutospacing="0" w:line="312" w:lineRule="auto"/>
        <w:ind w:firstLine="480" w:firstLineChars="200"/>
        <w:jc w:val="both"/>
        <w:textAlignment w:val="auto"/>
        <w:rPr>
          <w:rFonts w:hint="eastAsia" w:ascii="仿宋" w:hAnsi="仿宋" w:eastAsia="仿宋" w:cs="仿宋"/>
          <w:bCs/>
        </w:rPr>
      </w:pPr>
      <w:r>
        <w:rPr>
          <w:rFonts w:hint="eastAsia" w:ascii="仿宋" w:hAnsi="仿宋" w:eastAsia="仿宋" w:cs="仿宋"/>
          <w:color w:val="0000FF"/>
          <w:kern w:val="2"/>
          <w:lang w:val="en-US" w:eastAsia="zh-CN"/>
        </w:rPr>
        <w:t>4</w:t>
      </w:r>
      <w:r>
        <w:rPr>
          <w:rFonts w:hint="eastAsia" w:ascii="仿宋" w:hAnsi="仿宋" w:eastAsia="仿宋" w:cs="仿宋"/>
          <w:color w:val="0000FF"/>
          <w:kern w:val="2"/>
        </w:rPr>
        <w:t>.本项目接受联合体投标。</w:t>
      </w:r>
    </w:p>
    <w:p>
      <w:pPr>
        <w:pStyle w:val="31"/>
        <w:pageBreakBefore w:val="0"/>
        <w:kinsoku/>
        <w:wordWrap/>
        <w:overflowPunct/>
        <w:topLinePunct w:val="0"/>
        <w:bidi w:val="0"/>
        <w:spacing w:before="0" w:beforeAutospacing="0" w:after="0" w:afterAutospacing="0" w:line="312" w:lineRule="auto"/>
        <w:jc w:val="both"/>
        <w:textAlignment w:val="auto"/>
        <w:rPr>
          <w:rStyle w:val="37"/>
          <w:rFonts w:hint="eastAsia" w:ascii="仿宋" w:hAnsi="仿宋" w:eastAsia="仿宋" w:cs="仿宋"/>
        </w:rPr>
      </w:pPr>
      <w:r>
        <w:rPr>
          <w:rStyle w:val="37"/>
          <w:rFonts w:hint="eastAsia" w:ascii="仿宋" w:hAnsi="仿宋" w:eastAsia="仿宋" w:cs="仿宋"/>
        </w:rPr>
        <w:t>三、获取招标文件</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时间：公告发布之日起至投标截止时间。</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pPr>
        <w:pStyle w:val="31"/>
        <w:pageBreakBefore w:val="0"/>
        <w:kinsoku/>
        <w:wordWrap/>
        <w:overflowPunct/>
        <w:topLinePunct w:val="0"/>
        <w:bidi w:val="0"/>
        <w:spacing w:before="0" w:beforeAutospacing="0" w:after="0" w:afterAutospacing="0" w:line="312" w:lineRule="auto"/>
        <w:ind w:firstLine="480" w:firstLineChars="200"/>
        <w:textAlignment w:val="auto"/>
        <w:rPr>
          <w:rFonts w:hint="eastAsia" w:ascii="仿宋" w:hAnsi="仿宋" w:eastAsia="仿宋" w:cs="仿宋"/>
        </w:rPr>
      </w:pPr>
      <w:r>
        <w:rPr>
          <w:rFonts w:hint="eastAsia" w:ascii="仿宋" w:hAnsi="仿宋" w:eastAsia="仿宋" w:cs="仿宋"/>
        </w:rPr>
        <w:t>售价（元）：0 </w:t>
      </w:r>
    </w:p>
    <w:p>
      <w:pPr>
        <w:pStyle w:val="31"/>
        <w:pageBreakBefore w:val="0"/>
        <w:kinsoku/>
        <w:wordWrap/>
        <w:overflowPunct/>
        <w:topLinePunct w:val="0"/>
        <w:bidi w:val="0"/>
        <w:spacing w:before="0" w:beforeAutospacing="0" w:after="0" w:afterAutospacing="0" w:line="312" w:lineRule="auto"/>
        <w:jc w:val="both"/>
        <w:textAlignment w:val="auto"/>
        <w:rPr>
          <w:rStyle w:val="37"/>
          <w:rFonts w:hint="eastAsia" w:ascii="仿宋" w:hAnsi="仿宋" w:eastAsia="仿宋" w:cs="仿宋"/>
        </w:rPr>
      </w:pPr>
      <w:r>
        <w:rPr>
          <w:rStyle w:val="37"/>
          <w:rFonts w:hint="eastAsia" w:ascii="仿宋" w:hAnsi="仿宋" w:eastAsia="仿宋" w:cs="仿宋"/>
        </w:rPr>
        <w:t>四、提交投标文件截止时间、开标时间和地点</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提交投标文件截止时间：</w:t>
      </w:r>
      <w:r>
        <w:rPr>
          <w:rFonts w:hint="eastAsia" w:ascii="仿宋" w:hAnsi="仿宋" w:eastAsia="仿宋" w:cs="仿宋"/>
          <w:color w:val="FF0000"/>
          <w:u w:val="single"/>
          <w:lang w:eastAsia="zh-CN"/>
        </w:rPr>
        <w:t>2022年9月2日09：00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u w:val="single"/>
        </w:rPr>
      </w:pPr>
      <w:r>
        <w:rPr>
          <w:rFonts w:hint="eastAsia" w:ascii="仿宋" w:hAnsi="仿宋" w:eastAsia="仿宋" w:cs="仿宋"/>
        </w:rPr>
        <w:t>    投标地点（网址）：</w:t>
      </w:r>
      <w:r>
        <w:rPr>
          <w:rFonts w:hint="eastAsia" w:ascii="仿宋" w:hAnsi="仿宋" w:eastAsia="仿宋" w:cs="仿宋"/>
          <w:u w:val="single"/>
        </w:rPr>
        <w:t>投标人应于</w:t>
      </w:r>
      <w:r>
        <w:rPr>
          <w:rFonts w:hint="eastAsia" w:ascii="仿宋" w:hAnsi="仿宋" w:eastAsia="仿宋" w:cs="仿宋"/>
          <w:color w:val="FF0000"/>
          <w:u w:val="single"/>
          <w:lang w:eastAsia="zh-CN"/>
        </w:rPr>
        <w:t>2022年9月2日09：00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开标时间：</w:t>
      </w:r>
      <w:r>
        <w:rPr>
          <w:rFonts w:hint="eastAsia" w:ascii="仿宋" w:hAnsi="仿宋" w:eastAsia="仿宋" w:cs="仿宋"/>
          <w:color w:val="FF0000"/>
          <w:u w:val="single"/>
          <w:lang w:eastAsia="zh-CN"/>
        </w:rPr>
        <w:t>2022年9月2日09：00</w:t>
      </w:r>
      <w:r>
        <w:rPr>
          <w:rFonts w:hint="eastAsia" w:ascii="仿宋" w:hAnsi="仿宋" w:eastAsia="仿宋" w:cs="仿宋"/>
          <w:color w:val="FF0000"/>
          <w:u w:val="single"/>
        </w:rPr>
        <w:t>时</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u w:val="single"/>
          <w:lang w:val="en-US" w:eastAsia="zh-CN"/>
        </w:rPr>
      </w:pPr>
      <w:r>
        <w:rPr>
          <w:rFonts w:hint="eastAsia" w:ascii="仿宋" w:hAnsi="仿宋" w:eastAsia="仿宋" w:cs="仿宋"/>
        </w:rPr>
        <w:t>    开标地点：</w:t>
      </w:r>
      <w:r>
        <w:rPr>
          <w:rFonts w:hint="eastAsia" w:ascii="仿宋" w:hAnsi="仿宋" w:eastAsia="仿宋" w:cs="仿宋"/>
          <w:u w:val="single"/>
        </w:rPr>
        <w:t>武义县武阳中路2号建行大楼13楼评标室</w:t>
      </w:r>
      <w:r>
        <w:rPr>
          <w:rFonts w:hint="eastAsia" w:ascii="仿宋" w:hAnsi="仿宋" w:eastAsia="仿宋" w:cs="仿宋"/>
          <w:u w:val="single"/>
          <w:lang w:val="en-US" w:eastAsia="zh-CN"/>
        </w:rPr>
        <w:t>5</w:t>
      </w:r>
      <w:r>
        <w:rPr>
          <w:rFonts w:hint="eastAsia" w:ascii="仿宋" w:hAnsi="仿宋" w:eastAsia="仿宋" w:cs="仿宋"/>
          <w:u w:val="single"/>
        </w:rPr>
        <w:t>（进场须持有</w:t>
      </w:r>
      <w:r>
        <w:rPr>
          <w:rFonts w:hint="eastAsia" w:ascii="仿宋" w:hAnsi="仿宋" w:eastAsia="仿宋" w:cs="仿宋"/>
          <w:u w:val="single"/>
          <w:lang w:val="en-US" w:eastAsia="zh-CN"/>
        </w:rPr>
        <w:t>48</w:t>
      </w:r>
      <w:r>
        <w:rPr>
          <w:rFonts w:hint="eastAsia" w:ascii="仿宋" w:hAnsi="仿宋" w:eastAsia="仿宋" w:cs="仿宋"/>
          <w:u w:val="single"/>
        </w:rPr>
        <w:t>小时核酸检测阴性证明）</w:t>
      </w:r>
      <w:r>
        <w:rPr>
          <w:rFonts w:hint="eastAsia" w:ascii="仿宋" w:hAnsi="仿宋" w:eastAsia="仿宋" w:cs="仿宋"/>
          <w:u w:val="single"/>
          <w:lang w:eastAsia="zh-CN"/>
        </w:rPr>
        <w:t>。</w:t>
      </w:r>
    </w:p>
    <w:p>
      <w:pPr>
        <w:pStyle w:val="31"/>
        <w:pageBreakBefore w:val="0"/>
        <w:kinsoku/>
        <w:wordWrap/>
        <w:overflowPunct/>
        <w:topLinePunct w:val="0"/>
        <w:bidi w:val="0"/>
        <w:spacing w:before="0" w:beforeAutospacing="0" w:after="0" w:afterAutospacing="0" w:line="312" w:lineRule="auto"/>
        <w:jc w:val="both"/>
        <w:textAlignment w:val="auto"/>
        <w:rPr>
          <w:rStyle w:val="37"/>
          <w:rFonts w:hint="eastAsia" w:ascii="仿宋" w:hAnsi="仿宋" w:eastAsia="仿宋" w:cs="仿宋"/>
        </w:rPr>
      </w:pPr>
      <w:r>
        <w:rPr>
          <w:rStyle w:val="37"/>
          <w:rFonts w:hint="eastAsia" w:ascii="仿宋" w:hAnsi="仿宋" w:eastAsia="仿宋" w:cs="仿宋"/>
        </w:rPr>
        <w:t>五、其他补充事宜</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pPr>
        <w:pStyle w:val="31"/>
        <w:pageBreakBefore w:val="0"/>
        <w:kinsoku/>
        <w:wordWrap/>
        <w:overflowPunct/>
        <w:topLinePunct w:val="0"/>
        <w:bidi w:val="0"/>
        <w:spacing w:before="75" w:beforeAutospacing="0" w:after="75" w:afterAutospacing="0" w:line="312" w:lineRule="auto"/>
        <w:ind w:firstLine="373"/>
        <w:textAlignment w:val="auto"/>
        <w:rPr>
          <w:rFonts w:hint="eastAsia" w:ascii="仿宋" w:hAnsi="仿宋" w:eastAsia="仿宋" w:cs="仿宋"/>
        </w:rPr>
      </w:pPr>
      <w:r>
        <w:rPr>
          <w:rFonts w:hint="eastAsia" w:ascii="仿宋" w:hAnsi="仿宋" w:eastAsia="仿宋" w:cs="仿宋"/>
        </w:rPr>
        <w:t>2、其他事项：详见招标文件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Style w:val="37"/>
          <w:rFonts w:hint="eastAsia" w:ascii="仿宋" w:hAnsi="仿宋" w:eastAsia="仿宋" w:cs="仿宋"/>
        </w:rPr>
        <w:t>六、投标保证金：无</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b/>
          <w:bCs/>
        </w:rPr>
      </w:pPr>
      <w:r>
        <w:rPr>
          <w:rFonts w:hint="eastAsia" w:ascii="仿宋" w:hAnsi="仿宋" w:eastAsia="仿宋" w:cs="仿宋"/>
          <w:b/>
          <w:bCs/>
        </w:rPr>
        <w:t>七、其他注意事项：</w:t>
      </w:r>
    </w:p>
    <w:p>
      <w:pPr>
        <w:pStyle w:val="18"/>
        <w:pageBreakBefore w:val="0"/>
        <w:kinsoku/>
        <w:wordWrap/>
        <w:overflowPunct/>
        <w:topLinePunct w:val="0"/>
        <w:bidi w:val="0"/>
        <w:adjustRightInd w:val="0"/>
        <w:snapToGrid w:val="0"/>
        <w:spacing w:line="312" w:lineRule="auto"/>
        <w:ind w:firstLine="480" w:firstLineChars="200"/>
        <w:textAlignment w:val="auto"/>
        <w:rPr>
          <w:rFonts w:hint="eastAsia" w:ascii="仿宋" w:hAnsi="仿宋" w:eastAsia="仿宋" w:cs="仿宋"/>
          <w:szCs w:val="24"/>
        </w:rPr>
      </w:pPr>
      <w:r>
        <w:rPr>
          <w:rFonts w:hint="eastAsia" w:ascii="仿宋" w:hAnsi="仿宋" w:eastAsia="仿宋" w:cs="仿宋"/>
          <w:bCs/>
          <w:szCs w:val="24"/>
          <w:u w:val="single"/>
        </w:rPr>
        <w:t>投标人应于开标时间前按照电子投标要求将电子加密标书上传到“政采云”平台，逾期或未上传成功的将导致无法投标或投标无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投标方投标无效，投标方可在开标时间前将在政采云平台上最后生成的具备电子签章的备份加密投标文件（文件名后缀为备份文件四字的首字母）以电子邮件方式传送至浙江日晟信息咨询有限公司邮箱（</w:t>
      </w:r>
      <w:r>
        <w:rPr>
          <w:rFonts w:hint="eastAsia" w:ascii="仿宋" w:hAnsi="仿宋" w:eastAsia="仿宋" w:cs="仿宋"/>
          <w:szCs w:val="24"/>
          <w:lang w:val="en-US" w:eastAsia="zh-CN"/>
        </w:rPr>
        <w:t>3457848128</w:t>
      </w:r>
      <w:r>
        <w:rPr>
          <w:rFonts w:hint="eastAsia" w:ascii="仿宋" w:hAnsi="仿宋" w:eastAsia="仿宋" w:cs="仿宋"/>
          <w:szCs w:val="24"/>
        </w:rPr>
        <w:t>@qq.com），传送的备份电子投标文件需打包压缩并加密，加密密码由投标方自行保管，如政采云上电子投标文件出现解密失败情况（开标后30分钟内进行解密），投标方可按照自身意愿确认是否同意提供加密密码解密传送至浙江日晟信息咨询有限公司邮箱的备份文件，并以备份文件作为替代电子投标文件，如投标方未按照规定时间前按要求提供有效备份文件，同时政采云上投标文件解密失败的，将导致投标无效。</w:t>
      </w:r>
    </w:p>
    <w:p>
      <w:pPr>
        <w:pStyle w:val="18"/>
        <w:pageBreakBefore w:val="0"/>
        <w:kinsoku/>
        <w:wordWrap/>
        <w:overflowPunct/>
        <w:topLinePunct w:val="0"/>
        <w:bidi w:val="0"/>
        <w:adjustRightInd w:val="0"/>
        <w:snapToGrid w:val="0"/>
        <w:spacing w:line="312" w:lineRule="auto"/>
        <w:ind w:firstLine="480" w:firstLineChars="200"/>
        <w:textAlignment w:val="auto"/>
        <w:rPr>
          <w:rFonts w:hint="eastAsia" w:ascii="仿宋" w:hAnsi="仿宋" w:eastAsia="仿宋" w:cs="仿宋"/>
          <w:bCs/>
          <w:szCs w:val="24"/>
        </w:rPr>
      </w:pPr>
      <w:r>
        <w:rPr>
          <w:rFonts w:hint="eastAsia" w:ascii="仿宋" w:hAnsi="仿宋" w:eastAsia="仿宋" w:cs="仿宋"/>
          <w:bCs/>
          <w:kern w:val="0"/>
          <w:szCs w:val="24"/>
          <w:u w:val="single"/>
        </w:rPr>
        <w:t>投标方无须在开标当天到达开标现场对电子投标进行解密，可在公司办公场地在规定时间内对电子投标文件进行解密。</w:t>
      </w:r>
    </w:p>
    <w:p>
      <w:pPr>
        <w:pStyle w:val="31"/>
        <w:pageBreakBefore w:val="0"/>
        <w:kinsoku/>
        <w:wordWrap/>
        <w:overflowPunct/>
        <w:topLinePunct w:val="0"/>
        <w:bidi w:val="0"/>
        <w:spacing w:before="0" w:beforeAutospacing="0" w:after="0" w:afterAutospacing="0" w:line="312" w:lineRule="auto"/>
        <w:textAlignment w:val="auto"/>
        <w:rPr>
          <w:rStyle w:val="37"/>
          <w:rFonts w:hint="eastAsia" w:ascii="仿宋" w:hAnsi="仿宋" w:eastAsia="仿宋" w:cs="仿宋"/>
        </w:rPr>
      </w:pPr>
      <w:r>
        <w:rPr>
          <w:rFonts w:hint="eastAsia" w:ascii="仿宋" w:hAnsi="仿宋" w:eastAsia="仿宋" w:cs="仿宋"/>
          <w:bCs/>
        </w:rPr>
        <w:t>开标时间后30分钟内供应商可以登录“政采云”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　　　</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Style w:val="37"/>
          <w:rFonts w:hint="eastAsia" w:ascii="仿宋" w:hAnsi="仿宋" w:eastAsia="仿宋" w:cs="仿宋"/>
        </w:rPr>
        <w:t>九、对本次招标提出询问、质疑、投诉，请按以下方式联系：</w:t>
      </w:r>
      <w:r>
        <w:rPr>
          <w:rFonts w:hint="eastAsia" w:ascii="仿宋" w:hAnsi="仿宋" w:eastAsia="仿宋" w:cs="仿宋"/>
        </w:rPr>
        <w:t xml:space="preserve">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1.采购人信息</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武义县公安局交通警察大队</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武义县环城北路45号</w:t>
      </w:r>
      <w:r>
        <w:rPr>
          <w:rFonts w:hint="eastAsia" w:ascii="仿宋" w:hAnsi="仿宋" w:eastAsia="仿宋" w:cs="仿宋"/>
        </w:rPr>
        <w:t xml:space="preserve">    　</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highlight w:val="none"/>
        </w:rPr>
      </w:pPr>
      <w:r>
        <w:rPr>
          <w:rFonts w:hint="eastAsia" w:ascii="仿宋" w:hAnsi="仿宋" w:eastAsia="仿宋" w:cs="仿宋"/>
        </w:rPr>
        <w:t>    项目联系人（询问）：</w:t>
      </w:r>
      <w:r>
        <w:rPr>
          <w:rFonts w:hint="eastAsia" w:ascii="仿宋" w:hAnsi="仿宋" w:eastAsia="仿宋" w:cs="仿宋"/>
          <w:u w:val="single"/>
          <w:lang w:val="en-US" w:eastAsia="zh-CN"/>
        </w:rPr>
        <w:t>翁先生</w:t>
      </w:r>
      <w:r>
        <w:rPr>
          <w:rFonts w:hint="eastAsia" w:ascii="仿宋" w:hAnsi="仿宋" w:eastAsia="仿宋" w:cs="仿宋"/>
          <w:highlight w:val="none"/>
        </w:rPr>
        <w:t>　　　　　　　</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highlight w:val="none"/>
        </w:rPr>
        <w:t>    项目联系方式（询问）：</w:t>
      </w:r>
      <w:r>
        <w:rPr>
          <w:rFonts w:hint="eastAsia" w:ascii="仿宋" w:hAnsi="仿宋" w:eastAsia="仿宋" w:cs="仿宋"/>
          <w:color w:val="auto"/>
          <w:sz w:val="24"/>
          <w:szCs w:val="24"/>
          <w:highlight w:val="none"/>
          <w:u w:val="single"/>
          <w:lang w:val="en-US" w:eastAsia="zh-CN" w:bidi="ar-SA"/>
        </w:rPr>
        <w:t>13967975757</w:t>
      </w:r>
      <w:r>
        <w:rPr>
          <w:rFonts w:hint="eastAsia" w:ascii="仿宋" w:hAnsi="仿宋" w:eastAsia="仿宋" w:cs="仿宋"/>
          <w:highlight w:val="none"/>
        </w:rPr>
        <w:t> </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2.采购代理机构信息</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传   真：</w:t>
      </w:r>
      <w:r>
        <w:rPr>
          <w:rFonts w:hint="eastAsia" w:ascii="仿宋" w:hAnsi="仿宋" w:eastAsia="仿宋" w:cs="仿宋"/>
          <w:u w:val="single"/>
        </w:rPr>
        <w:t>0579-87669989</w:t>
      </w:r>
      <w:r>
        <w:rPr>
          <w:rFonts w:hint="eastAsia" w:ascii="仿宋" w:hAnsi="仿宋" w:eastAsia="仿宋" w:cs="仿宋"/>
        </w:rPr>
        <w:t xml:space="preserve"> 　</w:t>
      </w:r>
    </w:p>
    <w:p>
      <w:pPr>
        <w:pStyle w:val="31"/>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pPr>
        <w:pStyle w:val="31"/>
        <w:pageBreakBefore w:val="0"/>
        <w:kinsoku/>
        <w:wordWrap/>
        <w:overflowPunct/>
        <w:topLinePunct w:val="0"/>
        <w:bidi w:val="0"/>
        <w:spacing w:before="75" w:beforeAutospacing="0" w:after="75" w:afterAutospacing="0" w:line="312" w:lineRule="auto"/>
        <w:ind w:firstLine="373"/>
        <w:textAlignment w:val="auto"/>
        <w:rPr>
          <w:rFonts w:hint="default" w:ascii="仿宋" w:hAnsi="仿宋" w:eastAsia="仿宋" w:cs="仿宋"/>
          <w:u w:val="single"/>
          <w:lang w:val="en-US" w:eastAsia="zh-CN"/>
        </w:rPr>
      </w:pPr>
      <w:r>
        <w:rPr>
          <w:rFonts w:hint="eastAsia" w:ascii="仿宋" w:hAnsi="仿宋" w:eastAsia="仿宋" w:cs="仿宋"/>
        </w:rPr>
        <w:t>项目联系方式（询问）：</w:t>
      </w:r>
      <w:r>
        <w:rPr>
          <w:rFonts w:hint="eastAsia" w:ascii="仿宋" w:hAnsi="仿宋" w:eastAsia="仿宋" w:cs="仿宋"/>
          <w:u w:val="single"/>
          <w:lang w:val="en-US" w:eastAsia="zh-CN"/>
        </w:rPr>
        <w:t>13967965955</w:t>
      </w:r>
    </w:p>
    <w:p>
      <w:pPr>
        <w:pStyle w:val="31"/>
        <w:pageBreakBefore w:val="0"/>
        <w:kinsoku/>
        <w:wordWrap/>
        <w:overflowPunct/>
        <w:topLinePunct w:val="0"/>
        <w:bidi w:val="0"/>
        <w:spacing w:before="75" w:beforeAutospacing="0" w:after="75" w:afterAutospacing="0" w:line="312" w:lineRule="auto"/>
        <w:ind w:firstLine="373"/>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pPr>
        <w:pStyle w:val="31"/>
        <w:pageBreakBefore w:val="0"/>
        <w:kinsoku/>
        <w:wordWrap/>
        <w:overflowPunct/>
        <w:topLinePunct w:val="0"/>
        <w:bidi w:val="0"/>
        <w:spacing w:before="75" w:beforeAutospacing="0" w:after="75" w:afterAutospacing="0" w:line="312" w:lineRule="auto"/>
        <w:ind w:firstLine="373"/>
        <w:textAlignment w:val="auto"/>
        <w:rPr>
          <w:rFonts w:hint="eastAsia" w:ascii="仿宋" w:hAnsi="仿宋" w:eastAsia="仿宋" w:cs="仿宋"/>
          <w:u w:val="single"/>
          <w:lang w:val="en-US" w:eastAsia="zh-CN"/>
        </w:rPr>
      </w:pPr>
      <w:r>
        <w:rPr>
          <w:rFonts w:hint="eastAsia" w:ascii="仿宋" w:hAnsi="仿宋" w:eastAsia="仿宋" w:cs="仿宋"/>
        </w:rPr>
        <w:t>质疑联系方式：</w:t>
      </w:r>
      <w:r>
        <w:rPr>
          <w:rFonts w:hint="eastAsia" w:ascii="仿宋" w:hAnsi="仿宋" w:eastAsia="仿宋" w:cs="仿宋"/>
          <w:u w:val="single"/>
        </w:rPr>
        <w:t>15</w:t>
      </w:r>
      <w:r>
        <w:rPr>
          <w:rFonts w:hint="eastAsia" w:ascii="仿宋" w:hAnsi="仿宋" w:eastAsia="仿宋" w:cs="仿宋"/>
          <w:u w:val="single"/>
          <w:lang w:val="en-US" w:eastAsia="zh-CN"/>
        </w:rPr>
        <w:t>858910555</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3.同级政府采购监督管理部门</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武义县温泉南路100号502室</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    联 系 人：</w:t>
      </w:r>
      <w:r>
        <w:rPr>
          <w:rFonts w:hint="eastAsia" w:ascii="仿宋" w:hAnsi="仿宋" w:eastAsia="仿宋" w:cs="仿宋"/>
          <w:u w:val="single"/>
        </w:rPr>
        <w:t>潘女士</w:t>
      </w:r>
      <w:r>
        <w:rPr>
          <w:rFonts w:hint="eastAsia" w:ascii="仿宋" w:hAnsi="仿宋" w:eastAsia="仿宋" w:cs="仿宋"/>
        </w:rPr>
        <w:t>   　　　　　　　　　　　</w:t>
      </w:r>
    </w:p>
    <w:p>
      <w:pPr>
        <w:pStyle w:val="31"/>
        <w:pageBreakBefore w:val="0"/>
        <w:kinsoku/>
        <w:wordWrap/>
        <w:overflowPunct/>
        <w:topLinePunct w:val="0"/>
        <w:bidi w:val="0"/>
        <w:spacing w:before="0" w:beforeAutospacing="0" w:after="0" w:afterAutospacing="0" w:line="312" w:lineRule="auto"/>
        <w:textAlignment w:val="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pPr>
        <w:pStyle w:val="80"/>
        <w:pageBreakBefore w:val="0"/>
        <w:kinsoku/>
        <w:wordWrap/>
        <w:overflowPunct/>
        <w:topLinePunct w:val="0"/>
        <w:bidi w:val="0"/>
        <w:spacing w:line="312" w:lineRule="auto"/>
        <w:ind w:firstLine="420" w:firstLineChars="200"/>
        <w:textAlignment w:val="auto"/>
        <w:rPr>
          <w:rFonts w:hint="eastAsia" w:ascii="仿宋" w:hAnsi="仿宋" w:eastAsia="仿宋" w:cs="仿宋"/>
          <w:color w:val="auto"/>
          <w:sz w:val="21"/>
          <w:szCs w:val="21"/>
          <w:shd w:val="clear" w:color="auto" w:fill="FFFFFF"/>
        </w:rPr>
      </w:pPr>
    </w:p>
    <w:p>
      <w:pPr>
        <w:pStyle w:val="80"/>
        <w:pageBreakBefore w:val="0"/>
        <w:kinsoku/>
        <w:wordWrap/>
        <w:overflowPunct/>
        <w:topLinePunct w:val="0"/>
        <w:bidi w:val="0"/>
        <w:spacing w:line="312"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p>
    <w:bookmarkEnd w:id="1"/>
    <w:p>
      <w:pPr>
        <w:pStyle w:val="4"/>
        <w:pageBreakBefore w:val="0"/>
        <w:kinsoku/>
        <w:wordWrap/>
        <w:overflowPunct/>
        <w:topLinePunct w:val="0"/>
        <w:bidi w:val="0"/>
        <w:spacing w:before="0" w:after="0" w:line="312" w:lineRule="auto"/>
        <w:textAlignment w:val="auto"/>
        <w:rPr>
          <w:rFonts w:hint="eastAsia" w:ascii="仿宋" w:hAnsi="仿宋" w:eastAsia="仿宋" w:cs="仿宋"/>
          <w:color w:val="auto"/>
          <w:sz w:val="36"/>
          <w:szCs w:val="36"/>
        </w:rPr>
        <w:sectPr>
          <w:headerReference r:id="rId4" w:type="first"/>
          <w:footerReference r:id="rId7" w:type="first"/>
          <w:headerReference r:id="rId3" w:type="default"/>
          <w:footerReference r:id="rId5" w:type="default"/>
          <w:footerReference r:id="rId6" w:type="even"/>
          <w:pgSz w:w="11906" w:h="16838"/>
          <w:pgMar w:top="1247" w:right="1134" w:bottom="1020" w:left="1418" w:header="851" w:footer="907" w:gutter="0"/>
          <w:pgNumType w:fmt="numberInDash" w:start="1"/>
          <w:cols w:space="720" w:num="1"/>
          <w:titlePg/>
          <w:docGrid w:type="lines" w:linePitch="312" w:charSpace="0"/>
        </w:sectPr>
      </w:pPr>
      <w:bookmarkStart w:id="2" w:name="_Toc125344503"/>
    </w:p>
    <w:p>
      <w:pPr>
        <w:pStyle w:val="4"/>
        <w:spacing w:before="0" w:after="0" w:line="312"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rPr>
        <w:t>第二章  投标须知</w:t>
      </w:r>
    </w:p>
    <w:p>
      <w:pPr>
        <w:spacing w:line="312" w:lineRule="auto"/>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前  附  表</w:t>
      </w:r>
    </w:p>
    <w:tbl>
      <w:tblPr>
        <w:tblStyle w:val="34"/>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武义县公安局智慧交管项目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szCs w:val="24"/>
              </w:rPr>
            </w:pPr>
            <w:r>
              <w:rPr>
                <w:rFonts w:hint="eastAsia" w:ascii="仿宋" w:hAnsi="仿宋" w:eastAsia="仿宋" w:cs="仿宋"/>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szCs w:val="24"/>
              </w:rPr>
            </w:pPr>
            <w:r>
              <w:rPr>
                <w:rFonts w:hint="eastAsia" w:ascii="仿宋" w:hAnsi="仿宋" w:eastAsia="仿宋" w:cs="仿宋"/>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投标人（供应商）资格要求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szCs w:val="24"/>
              </w:rPr>
            </w:pPr>
            <w:r>
              <w:rPr>
                <w:rFonts w:hint="eastAsia" w:ascii="仿宋" w:hAnsi="仿宋" w:eastAsia="仿宋" w:cs="仿宋"/>
                <w:color w:val="0000FF"/>
                <w:szCs w:val="24"/>
              </w:rPr>
              <w:t>本项目接</w:t>
            </w:r>
            <w:r>
              <w:rPr>
                <w:rFonts w:hint="eastAsia" w:ascii="仿宋" w:hAnsi="仿宋" w:eastAsia="仿宋" w:cs="仿宋"/>
                <w:color w:val="0000FF"/>
                <w:szCs w:val="24"/>
                <w:lang w:eastAsia="zh-CN"/>
              </w:rPr>
              <w:t>受</w:t>
            </w:r>
            <w:r>
              <w:rPr>
                <w:rFonts w:hint="eastAsia" w:ascii="仿宋" w:hAnsi="仿宋" w:eastAsia="仿宋" w:cs="仿宋"/>
                <w:color w:val="0000FF"/>
                <w:szCs w:val="24"/>
              </w:rPr>
              <w:t>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本次招标共</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标的，采购人将</w:t>
            </w:r>
            <w:r>
              <w:rPr>
                <w:rFonts w:hint="eastAsia" w:ascii="仿宋" w:hAnsi="仿宋" w:eastAsia="仿宋" w:cs="仿宋"/>
                <w:color w:val="auto"/>
                <w:sz w:val="24"/>
                <w:szCs w:val="24"/>
                <w:lang w:eastAsia="zh-CN"/>
              </w:rPr>
              <w:t>整体</w:t>
            </w:r>
            <w:r>
              <w:rPr>
                <w:rFonts w:hint="eastAsia" w:ascii="仿宋" w:hAnsi="仿宋" w:eastAsia="仿宋" w:cs="仿宋"/>
                <w:color w:val="auto"/>
                <w:sz w:val="24"/>
                <w:szCs w:val="24"/>
              </w:rPr>
              <w:t>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供应商资格采用资格后审方式，由评标委员会进行审查。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招标文件的</w:t>
            </w:r>
          </w:p>
          <w:p>
            <w:pPr>
              <w:pStyle w:val="18"/>
              <w:spacing w:line="420" w:lineRule="exact"/>
              <w:jc w:val="center"/>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31"/>
              <w:spacing w:before="0" w:beforeAutospacing="0" w:after="0" w:afterAutospacing="0" w:line="420" w:lineRule="exact"/>
              <w:rPr>
                <w:rFonts w:hint="eastAsia" w:ascii="仿宋" w:hAnsi="仿宋" w:eastAsia="仿宋" w:cs="仿宋"/>
              </w:rPr>
            </w:pPr>
            <w:r>
              <w:rPr>
                <w:rFonts w:hint="eastAsia" w:ascii="仿宋" w:hAnsi="仿宋" w:eastAsia="仿宋" w:cs="仿宋"/>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（1）企业法人营业执照复印件；</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kern w:val="2"/>
                <w:sz w:val="24"/>
                <w:szCs w:val="24"/>
                <w:lang w:eastAsia="zh-CN"/>
              </w:rPr>
              <w:t>联合体投标授权书（如有）；非联合体投标提供</w:t>
            </w:r>
            <w:r>
              <w:rPr>
                <w:rFonts w:hint="eastAsia" w:ascii="仿宋" w:hAnsi="仿宋" w:eastAsia="仿宋" w:cs="仿宋"/>
                <w:kern w:val="2"/>
                <w:sz w:val="24"/>
                <w:szCs w:val="24"/>
              </w:rPr>
              <w:t>法定代表人授权委托书（法定代表人提供身份证复印件)；格式见附件</w:t>
            </w:r>
            <w:r>
              <w:rPr>
                <w:rFonts w:hint="eastAsia" w:ascii="仿宋" w:hAnsi="仿宋" w:eastAsia="仿宋" w:cs="仿宋"/>
                <w:color w:val="auto"/>
                <w:sz w:val="24"/>
                <w:szCs w:val="24"/>
              </w:rPr>
              <w:t>；</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bCs/>
                <w:color w:val="auto"/>
                <w:kern w:val="2"/>
                <w:sz w:val="24"/>
                <w:szCs w:val="24"/>
                <w:lang w:val="en-US" w:eastAsia="zh-CN" w:bidi="ar-SA"/>
              </w:rPr>
              <w:t>（3）符合参加政府采购活动应当具备的一般条件的承诺函；</w:t>
            </w:r>
          </w:p>
          <w:p>
            <w:pPr>
              <w:snapToGrid w:val="0"/>
              <w:spacing w:line="420" w:lineRule="exact"/>
              <w:jc w:val="left"/>
              <w:rPr>
                <w:rFonts w:hint="eastAsia" w:ascii="仿宋" w:hAnsi="仿宋" w:eastAsia="仿宋" w:cs="仿宋"/>
                <w:kern w:val="2"/>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kern w:val="2"/>
                <w:sz w:val="24"/>
                <w:szCs w:val="24"/>
              </w:rPr>
              <w:t>以下任意一种符合企业自身条件的声明函：</w:t>
            </w:r>
          </w:p>
          <w:p>
            <w:pPr>
              <w:snapToGrid w:val="0"/>
              <w:spacing w:line="42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①中小企业声明函；</w:t>
            </w:r>
          </w:p>
          <w:p>
            <w:pPr>
              <w:snapToGrid w:val="0"/>
              <w:spacing w:line="420" w:lineRule="exact"/>
              <w:jc w:val="left"/>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kern w:val="2"/>
                <w:sz w:val="24"/>
                <w:szCs w:val="24"/>
              </w:rPr>
              <w:t xml:space="preserve">  ③监狱企业声明函。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投标人基本情况介绍；</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）根据招标文件第</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章评分细则中涉及的相关内容描述；</w:t>
            </w:r>
          </w:p>
          <w:p>
            <w:pPr>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）包括但不限于以上技术文件或说明。</w:t>
            </w:r>
          </w:p>
          <w:p>
            <w:pPr>
              <w:pStyle w:val="18"/>
              <w:spacing w:line="420" w:lineRule="exact"/>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（1）投标函（格式见附件）； </w:t>
            </w:r>
          </w:p>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（2）开标一览表（格式见附件）；</w:t>
            </w:r>
          </w:p>
          <w:p>
            <w:pPr>
              <w:tabs>
                <w:tab w:val="left" w:pos="3870"/>
                <w:tab w:val="left" w:pos="4085"/>
              </w:tabs>
              <w:snapToGrid w:val="0"/>
              <w:spacing w:line="4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）分项报价表（根据招标需求内容格式自拟）；</w:t>
            </w:r>
          </w:p>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）投标承诺书（格式见附件）；</w:t>
            </w:r>
          </w:p>
          <w:p>
            <w:pPr>
              <w:tabs>
                <w:tab w:val="left" w:pos="3870"/>
                <w:tab w:val="left" w:pos="4085"/>
              </w:tabs>
              <w:snapToGrid w:val="0"/>
              <w:spacing w:line="420" w:lineRule="exact"/>
              <w:jc w:val="left"/>
              <w:rPr>
                <w:rFonts w:hint="eastAsia" w:ascii="仿宋" w:hAnsi="仿宋" w:eastAsia="仿宋" w:cs="仿宋"/>
                <w:b/>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）投标人需要说明的其他文件和说明（格式自拟）。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演示U盘</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tabs>
                <w:tab w:val="left" w:pos="3870"/>
                <w:tab w:val="left" w:pos="4085"/>
              </w:tabs>
              <w:snapToGrid w:val="0"/>
              <w:spacing w:line="420" w:lineRule="exact"/>
              <w:jc w:val="left"/>
              <w:rPr>
                <w:rFonts w:hint="eastAsia" w:ascii="仿宋" w:hAnsi="仿宋" w:eastAsia="仿宋" w:cs="仿宋"/>
                <w:color w:val="auto"/>
                <w:sz w:val="24"/>
                <w:szCs w:val="24"/>
              </w:rPr>
            </w:pPr>
            <w:r>
              <w:rPr>
                <w:rFonts w:hint="eastAsia" w:ascii="仿宋" w:hAnsi="仿宋" w:eastAsia="仿宋" w:cs="仿宋"/>
                <w:b/>
                <w:bCs/>
                <w:color w:val="0000FF"/>
                <w:sz w:val="24"/>
                <w:szCs w:val="24"/>
              </w:rPr>
              <w:t>演示U盘文件应于</w:t>
            </w:r>
            <w:r>
              <w:rPr>
                <w:rFonts w:hint="eastAsia" w:ascii="仿宋" w:hAnsi="仿宋" w:eastAsia="仿宋" w:cs="仿宋"/>
                <w:b/>
                <w:bCs/>
                <w:color w:val="FF0000"/>
                <w:sz w:val="24"/>
                <w:szCs w:val="24"/>
              </w:rPr>
              <w:t>202</w:t>
            </w:r>
            <w:r>
              <w:rPr>
                <w:rFonts w:hint="eastAsia" w:ascii="仿宋" w:hAnsi="仿宋" w:eastAsia="仿宋" w:cs="仿宋"/>
                <w:b/>
                <w:bCs/>
                <w:color w:val="FF0000"/>
                <w:sz w:val="24"/>
                <w:szCs w:val="24"/>
                <w:lang w:val="en-US" w:eastAsia="zh-CN"/>
              </w:rPr>
              <w:t>2</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lang w:val="en-US" w:eastAsia="zh-CN"/>
              </w:rPr>
              <w:t>9</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w:t>
            </w:r>
            <w:r>
              <w:rPr>
                <w:rFonts w:hint="eastAsia" w:ascii="仿宋" w:hAnsi="仿宋" w:eastAsia="仿宋" w:cs="仿宋"/>
                <w:b/>
                <w:bCs/>
                <w:color w:val="FF0000"/>
                <w:sz w:val="24"/>
                <w:szCs w:val="24"/>
              </w:rPr>
              <w:t>日17：00时前</w:t>
            </w:r>
            <w:r>
              <w:rPr>
                <w:rFonts w:hint="eastAsia" w:ascii="仿宋" w:hAnsi="仿宋" w:eastAsia="仿宋" w:cs="仿宋"/>
                <w:b/>
                <w:bCs/>
                <w:color w:val="0000FF"/>
                <w:sz w:val="24"/>
                <w:szCs w:val="24"/>
              </w:rPr>
              <w:t>以邮寄方式递交至浙江日晟信息咨询有限公司，逾期不予接受。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供应商应于</w:t>
            </w:r>
            <w:r>
              <w:rPr>
                <w:rFonts w:hint="eastAsia" w:ascii="仿宋" w:hAnsi="仿宋" w:eastAsia="仿宋" w:cs="仿宋"/>
                <w:bCs/>
                <w:color w:val="FF0000"/>
                <w:sz w:val="24"/>
                <w:szCs w:val="24"/>
                <w:lang w:val="en-US" w:eastAsia="zh-CN"/>
              </w:rPr>
              <w:t>2022年9月2日09：00时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bCs/>
                <w:szCs w:val="24"/>
              </w:rPr>
            </w:pPr>
            <w:r>
              <w:rPr>
                <w:rFonts w:hint="eastAsia" w:ascii="仿宋" w:hAnsi="仿宋" w:eastAsia="仿宋" w:cs="仿宋"/>
                <w:bCs/>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bCs/>
                <w:szCs w:val="24"/>
              </w:rPr>
            </w:pPr>
            <w:r>
              <w:rPr>
                <w:rFonts w:hint="eastAsia" w:ascii="仿宋" w:hAnsi="仿宋" w:eastAsia="仿宋" w:cs="仿宋"/>
                <w:bCs/>
                <w:szCs w:val="24"/>
              </w:rPr>
              <w:t>中标通知书发出后</w:t>
            </w:r>
            <w:r>
              <w:rPr>
                <w:rFonts w:hint="eastAsia" w:ascii="仿宋" w:hAnsi="仿宋" w:eastAsia="仿宋" w:cs="仿宋"/>
                <w:bCs/>
                <w:szCs w:val="24"/>
                <w:lang w:val="en-US" w:eastAsia="zh-CN"/>
              </w:rPr>
              <w:t>2</w:t>
            </w:r>
            <w:r>
              <w:rPr>
                <w:rFonts w:hint="eastAsia" w:ascii="仿宋" w:hAnsi="仿宋" w:eastAsia="仿宋" w:cs="仿宋"/>
                <w:bCs/>
                <w:szCs w:val="24"/>
              </w:rPr>
              <w:t>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bCs/>
                <w:szCs w:val="24"/>
              </w:rPr>
            </w:pPr>
            <w:r>
              <w:rPr>
                <w:rFonts w:hint="eastAsia" w:ascii="仿宋" w:hAnsi="仿宋" w:eastAsia="仿宋" w:cs="仿宋"/>
                <w:bCs/>
                <w:szCs w:val="24"/>
              </w:rPr>
              <w:t>☑ 不同意转包。</w:t>
            </w:r>
          </w:p>
          <w:p>
            <w:pPr>
              <w:pStyle w:val="18"/>
              <w:spacing w:line="420" w:lineRule="exact"/>
              <w:rPr>
                <w:rFonts w:hint="eastAsia" w:ascii="仿宋" w:hAnsi="仿宋" w:eastAsia="仿宋" w:cs="仿宋"/>
                <w:bCs/>
                <w:szCs w:val="24"/>
              </w:rPr>
            </w:pPr>
            <w:r>
              <w:rPr>
                <w:rFonts w:hint="eastAsia" w:ascii="仿宋" w:hAnsi="仿宋" w:eastAsia="仿宋" w:cs="仿宋"/>
                <w:bCs/>
                <w:szCs w:val="24"/>
                <w:lang w:eastAsia="zh-CN"/>
              </w:rPr>
              <w:t>☑</w:t>
            </w:r>
            <w:r>
              <w:rPr>
                <w:rFonts w:hint="eastAsia" w:ascii="仿宋" w:hAnsi="仿宋" w:eastAsia="仿宋" w:cs="仿宋"/>
                <w:bCs/>
                <w:szCs w:val="24"/>
                <w:lang w:val="en-US" w:eastAsia="zh-CN"/>
              </w:rPr>
              <w:t xml:space="preserve"> </w:t>
            </w:r>
            <w:r>
              <w:rPr>
                <w:rFonts w:hint="eastAsia" w:ascii="仿宋" w:hAnsi="仿宋" w:eastAsia="仿宋" w:cs="仿宋"/>
                <w:bCs/>
                <w:szCs w:val="24"/>
              </w:rPr>
              <w:t>同意将非主体、非关键性的工作分包。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highlight w:val="none"/>
              </w:rPr>
            </w:pPr>
            <w:r>
              <w:rPr>
                <w:rFonts w:hint="eastAsia" w:ascii="仿宋" w:hAnsi="仿宋" w:eastAsia="仿宋" w:cs="仿宋"/>
                <w:szCs w:val="24"/>
                <w:highlight w:val="none"/>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bCs/>
                <w:szCs w:val="24"/>
                <w:highlight w:val="none"/>
                <w:lang w:val="en-US" w:eastAsia="zh-CN"/>
              </w:rPr>
            </w:pPr>
            <w:r>
              <w:rPr>
                <w:rFonts w:hint="eastAsia" w:ascii="仿宋" w:hAnsi="仿宋" w:eastAsia="仿宋" w:cs="仿宋"/>
                <w:bCs/>
                <w:szCs w:val="24"/>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ascii="仿宋" w:hAnsi="仿宋" w:eastAsia="仿宋" w:cs="仿宋"/>
                <w:bCs/>
                <w:color w:val="FF0000"/>
                <w:sz w:val="24"/>
                <w:szCs w:val="24"/>
                <w:lang w:val="en-US" w:eastAsia="zh-CN"/>
              </w:rPr>
              <w:t>2022年9月2日09：00时</w:t>
            </w:r>
            <w:r>
              <w:rPr>
                <w:rFonts w:hint="eastAsia" w:ascii="仿宋" w:hAnsi="仿宋" w:eastAsia="仿宋" w:cs="仿宋"/>
                <w:bCs/>
                <w:color w:val="auto"/>
                <w:sz w:val="24"/>
                <w:szCs w:val="24"/>
              </w:rPr>
              <w:t>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szCs w:val="24"/>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default" w:ascii="仿宋" w:hAnsi="仿宋" w:eastAsia="仿宋" w:cs="仿宋"/>
                <w:bCs/>
                <w:szCs w:val="24"/>
                <w:lang w:val="en-US" w:eastAsia="zh-CN"/>
              </w:rPr>
            </w:pPr>
            <w:r>
              <w:rPr>
                <w:rFonts w:hint="eastAsia" w:ascii="仿宋" w:hAnsi="仿宋" w:eastAsia="仿宋" w:cs="仿宋"/>
                <w:bCs/>
                <w:szCs w:val="24"/>
                <w:lang w:val="en-US" w:eastAsia="zh-CN"/>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kern w:val="2"/>
                <w:sz w:val="24"/>
                <w:szCs w:val="24"/>
              </w:rPr>
            </w:pPr>
            <w:r>
              <w:rPr>
                <w:rFonts w:hint="eastAsia" w:ascii="仿宋" w:hAnsi="仿宋" w:eastAsia="仿宋" w:cs="仿宋"/>
                <w:bCs/>
                <w:color w:val="FF0000"/>
                <w:sz w:val="24"/>
                <w:szCs w:val="24"/>
                <w:lang w:val="en-US" w:eastAsia="zh-CN"/>
              </w:rPr>
              <w:t>2022年9月2日09：00时</w:t>
            </w:r>
            <w:r>
              <w:rPr>
                <w:rFonts w:hint="eastAsia" w:ascii="仿宋" w:hAnsi="仿宋" w:eastAsia="仿宋" w:cs="仿宋"/>
                <w:bCs/>
                <w:color w:val="auto"/>
                <w:sz w:val="24"/>
                <w:szCs w:val="24"/>
              </w:rPr>
              <w:t>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
                <w:bCs/>
                <w:color w:val="auto"/>
                <w:kern w:val="2"/>
                <w:sz w:val="24"/>
                <w:szCs w:val="24"/>
              </w:rPr>
            </w:pPr>
            <w:r>
              <w:rPr>
                <w:rFonts w:hint="eastAsia" w:ascii="仿宋" w:hAnsi="仿宋" w:eastAsia="仿宋" w:cs="仿宋"/>
                <w:color w:val="auto"/>
                <w:sz w:val="24"/>
                <w:szCs w:val="24"/>
              </w:rPr>
              <w:t>金华市公共资源交易中心武义县分中心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left="105" w:leftChars="5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根据《关于在政府采购活动中查询及使用信用记录有关问题的通知》财库[2016]125号的规定：</w:t>
            </w:r>
          </w:p>
          <w:p>
            <w:pPr>
              <w:snapToGrid w:val="0"/>
              <w:spacing w:line="460" w:lineRule="exact"/>
              <w:ind w:left="105" w:left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2）截止时点：提交投标文件（响应文件）截止时间前3年内；</w:t>
            </w:r>
          </w:p>
          <w:p>
            <w:pPr>
              <w:snapToGrid w:val="0"/>
              <w:spacing w:line="460" w:lineRule="exact"/>
              <w:ind w:left="105" w:left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3）查询记录和证据的留存：信用信息查询记录和证据以网页截图等方式留存。</w:t>
            </w:r>
          </w:p>
          <w:p>
            <w:pPr>
              <w:snapToGrid w:val="0"/>
              <w:spacing w:line="460" w:lineRule="exact"/>
              <w:ind w:left="105" w:leftChars="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8"/>
              <w:spacing w:line="420" w:lineRule="exact"/>
              <w:rPr>
                <w:rFonts w:hint="eastAsia" w:ascii="仿宋" w:hAnsi="仿宋" w:eastAsia="仿宋" w:cs="仿宋"/>
                <w:szCs w:val="24"/>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200" w:line="360" w:lineRule="auto"/>
              <w:jc w:val="left"/>
              <w:rPr>
                <w:rFonts w:hint="eastAsia" w:ascii="仿宋" w:hAnsi="仿宋" w:eastAsia="仿宋" w:cs="仿宋"/>
                <w:color w:val="auto"/>
                <w:kern w:val="2"/>
                <w:sz w:val="24"/>
                <w:szCs w:val="24"/>
              </w:rPr>
            </w:pPr>
            <w:r>
              <w:rPr>
                <w:rFonts w:hint="eastAsia" w:ascii="仿宋" w:hAnsi="仿宋" w:eastAsia="仿宋" w:cs="仿宋"/>
                <w:bCs/>
                <w:color w:val="auto"/>
                <w:sz w:val="24"/>
                <w:szCs w:val="24"/>
                <w:lang w:val="zh-CN"/>
              </w:rPr>
              <w:t>根据财库</w:t>
            </w:r>
            <w:r>
              <w:rPr>
                <w:rFonts w:hint="eastAsia" w:ascii="仿宋" w:hAnsi="仿宋" w:eastAsia="仿宋" w:cs="仿宋"/>
                <w:bCs/>
                <w:color w:val="auto"/>
                <w:sz w:val="24"/>
                <w:szCs w:val="24"/>
              </w:rPr>
              <w:t>[2019]9号、</w:t>
            </w:r>
            <w:r>
              <w:rPr>
                <w:rFonts w:hint="eastAsia" w:ascii="仿宋" w:hAnsi="仿宋" w:eastAsia="仿宋" w:cs="仿宋"/>
                <w:bCs/>
                <w:color w:val="auto"/>
                <w:sz w:val="24"/>
                <w:szCs w:val="24"/>
                <w:lang w:val="zh-CN"/>
              </w:rPr>
              <w:t>财库</w:t>
            </w:r>
            <w:r>
              <w:rPr>
                <w:rFonts w:hint="eastAsia" w:ascii="仿宋" w:hAnsi="仿宋" w:eastAsia="仿宋" w:cs="仿宋"/>
                <w:bCs/>
                <w:color w:val="auto"/>
                <w:sz w:val="24"/>
                <w:szCs w:val="24"/>
              </w:rPr>
              <w:t>[2019]18号、</w:t>
            </w:r>
            <w:r>
              <w:rPr>
                <w:rFonts w:hint="eastAsia" w:ascii="仿宋" w:hAnsi="仿宋" w:eastAsia="仿宋" w:cs="仿宋"/>
                <w:bCs/>
                <w:color w:val="auto"/>
                <w:sz w:val="24"/>
                <w:szCs w:val="24"/>
                <w:lang w:val="zh-CN"/>
              </w:rPr>
              <w:t>财库</w:t>
            </w:r>
            <w:r>
              <w:rPr>
                <w:rFonts w:hint="eastAsia" w:ascii="仿宋" w:hAnsi="仿宋" w:eastAsia="仿宋" w:cs="仿宋"/>
                <w:bCs/>
                <w:color w:val="auto"/>
                <w:sz w:val="24"/>
                <w:szCs w:val="24"/>
              </w:rPr>
              <w:t>[2019]19号规定，</w:t>
            </w:r>
            <w:r>
              <w:rPr>
                <w:rFonts w:hint="eastAsia" w:ascii="仿宋" w:hAnsi="仿宋" w:eastAsia="仿宋" w:cs="仿宋"/>
                <w:bCs/>
                <w:color w:val="auto"/>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Cs/>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pPr>
              <w:spacing w:line="420" w:lineRule="exact"/>
              <w:rPr>
                <w:rFonts w:hint="eastAsia" w:ascii="仿宋" w:hAnsi="仿宋" w:eastAsia="仿宋" w:cs="仿宋"/>
                <w:bCs/>
                <w:color w:val="auto"/>
                <w:sz w:val="24"/>
                <w:szCs w:val="24"/>
                <w:highlight w:val="yellow"/>
              </w:rPr>
            </w:pPr>
            <w:r>
              <w:rPr>
                <w:rFonts w:hint="eastAsia" w:ascii="仿宋" w:hAnsi="仿宋" w:eastAsia="仿宋" w:cs="仿宋"/>
                <w:bCs/>
                <w:color w:val="auto"/>
                <w:sz w:val="24"/>
                <w:szCs w:val="24"/>
              </w:rPr>
              <w:t>（1）本项目招标代理费由中标方支付，招标代理费为</w:t>
            </w:r>
            <w:r>
              <w:rPr>
                <w:rFonts w:hint="eastAsia" w:ascii="仿宋" w:hAnsi="仿宋" w:eastAsia="仿宋" w:cs="仿宋"/>
                <w:b/>
                <w:bCs w:val="0"/>
                <w:color w:val="auto"/>
                <w:sz w:val="24"/>
                <w:szCs w:val="24"/>
                <w:u w:val="single"/>
                <w:lang w:eastAsia="zh-CN"/>
              </w:rPr>
              <w:t>人民币</w:t>
            </w:r>
            <w:r>
              <w:rPr>
                <w:rFonts w:hint="eastAsia" w:ascii="仿宋" w:hAnsi="仿宋" w:eastAsia="仿宋" w:cs="仿宋"/>
                <w:b/>
                <w:bCs w:val="0"/>
                <w:color w:val="auto"/>
                <w:sz w:val="24"/>
                <w:szCs w:val="24"/>
                <w:u w:val="single"/>
                <w:lang w:val="en-US" w:eastAsia="zh-CN"/>
              </w:rPr>
              <w:t>99926元</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highlight w:val="none"/>
              </w:rPr>
              <w:t>。</w:t>
            </w:r>
            <w:r>
              <w:rPr>
                <w:rFonts w:hint="eastAsia" w:ascii="仿宋" w:hAnsi="仿宋" w:eastAsia="仿宋" w:cs="仿宋"/>
                <w:sz w:val="24"/>
              </w:rPr>
              <w:t>（单位名称：浙江日晟信息咨询有限公司；银行账号：201000136304517；开户银行：浙江武义农村商业银行股份有限公司壶山支行）。</w:t>
            </w:r>
          </w:p>
          <w:p>
            <w:pPr>
              <w:spacing w:line="42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（2）以上费用由</w:t>
            </w:r>
            <w:r>
              <w:rPr>
                <w:rFonts w:hint="eastAsia" w:ascii="仿宋" w:hAnsi="仿宋" w:eastAsia="仿宋" w:cs="仿宋"/>
                <w:bCs/>
                <w:color w:val="auto"/>
                <w:sz w:val="24"/>
                <w:szCs w:val="24"/>
                <w:lang w:eastAsia="zh-CN"/>
              </w:rPr>
              <w:t>投标人</w:t>
            </w:r>
            <w:r>
              <w:rPr>
                <w:rFonts w:hint="eastAsia" w:ascii="仿宋" w:hAnsi="仿宋" w:eastAsia="仿宋" w:cs="仿宋"/>
                <w:bCs/>
                <w:color w:val="auto"/>
                <w:sz w:val="24"/>
                <w:szCs w:val="24"/>
              </w:rPr>
              <w:t>在报价中一并考虑。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default" w:ascii="仿宋" w:hAnsi="仿宋" w:eastAsia="仿宋" w:cs="仿宋"/>
                <w:bCs/>
                <w:color w:val="auto"/>
                <w:kern w:val="2"/>
                <w:sz w:val="24"/>
                <w:szCs w:val="24"/>
                <w:lang w:val="en-US" w:eastAsia="zh-CN" w:bidi="ar-SA"/>
              </w:rPr>
            </w:pPr>
            <w:r>
              <w:rPr>
                <w:rFonts w:hint="eastAsia" w:ascii="仿宋" w:hAnsi="仿宋" w:eastAsia="仿宋"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pStyle w:val="18"/>
              <w:spacing w:line="420" w:lineRule="exact"/>
              <w:jc w:val="center"/>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lang w:val="en-US" w:eastAsia="zh-CN"/>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 w:hAnsi="仿宋" w:eastAsia="仿宋" w:cs="仿宋"/>
                <w:bCs/>
                <w:color w:val="auto"/>
                <w:sz w:val="24"/>
                <w:szCs w:val="24"/>
                <w:lang w:val="en-US" w:eastAsia="zh-CN" w:bidi="ar-SA"/>
              </w:rPr>
            </w:pPr>
            <w:r>
              <w:rPr>
                <w:rFonts w:hint="eastAsia" w:ascii="仿宋" w:hAnsi="仿宋" w:eastAsia="仿宋" w:cs="仿宋"/>
                <w:sz w:val="24"/>
              </w:rPr>
              <w:t>根据《关于印发中小企业划型标准规定的通知》（工信部联企业〔2011〕300号），本企业按所属行业为“</w:t>
            </w:r>
            <w:r>
              <w:rPr>
                <w:rFonts w:hint="eastAsia" w:ascii="仿宋" w:hAnsi="仿宋" w:eastAsia="仿宋" w:cs="仿宋"/>
                <w:sz w:val="24"/>
                <w:lang w:eastAsia="zh-CN"/>
              </w:rPr>
              <w:t>其它未列明行业</w:t>
            </w:r>
            <w:r>
              <w:rPr>
                <w:rFonts w:hint="eastAsia" w:ascii="仿宋" w:hAnsi="仿宋" w:eastAsia="仿宋" w:cs="仿宋"/>
                <w:sz w:val="24"/>
              </w:rPr>
              <w:t>”。</w:t>
            </w:r>
          </w:p>
        </w:tc>
      </w:tr>
    </w:tbl>
    <w:p>
      <w:pPr>
        <w:pStyle w:val="33"/>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2"/>
    <w:p>
      <w:pPr>
        <w:pStyle w:val="33"/>
        <w:spacing w:after="0" w:line="420" w:lineRule="exact"/>
        <w:ind w:left="0" w:leftChars="0"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一、总  则</w:t>
      </w:r>
    </w:p>
    <w:p>
      <w:pPr>
        <w:spacing w:line="336" w:lineRule="auto"/>
        <w:ind w:firstLine="482" w:firstLineChars="200"/>
        <w:rPr>
          <w:rFonts w:hint="eastAsia" w:ascii="仿宋" w:hAnsi="仿宋" w:eastAsia="仿宋" w:cs="仿宋"/>
          <w:color w:val="auto"/>
        </w:rPr>
      </w:pPr>
      <w:r>
        <w:rPr>
          <w:rFonts w:hint="eastAsia" w:ascii="仿宋" w:hAnsi="仿宋" w:eastAsia="仿宋" w:cs="仿宋"/>
          <w:b/>
          <w:bCs/>
          <w:color w:val="auto"/>
          <w:sz w:val="24"/>
        </w:rPr>
        <w:t>1.</w:t>
      </w:r>
      <w:r>
        <w:rPr>
          <w:rFonts w:hint="eastAsia" w:ascii="仿宋" w:hAnsi="仿宋" w:eastAsia="仿宋" w:cs="仿宋"/>
          <w:b/>
          <w:color w:val="auto"/>
          <w:sz w:val="24"/>
        </w:rPr>
        <w:t>适用范围</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2.定义</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2.1“采购人”系指组织本次招标的采购单位。</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2.2“采购代理机构”系指浙江日晟信息咨询有限公司。</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2.3“投标人”系指向采购人和采购代理机构提交投标文件的供应商。</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2.4“货物”系指供方按招标文件规定，须向采购人提供的一切设备、保险、税 金、备品备件、工具、手册及其它有关技术资料和材料。</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2.5“服务”系指招标文件规定投标人须承担的安装、调试、技术协助、校准、培训、技术指导以及其他类似的义务。</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2.6“项目”系指投标人按招标文件规定向采购人提供的货物和服务。</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2.7“书面形式”包括信函、传真、电报等。</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2.9“▲”系指实质性要求条款，不允许负偏离，否则作无效标处理；“★”为重要参数。</w:t>
      </w:r>
    </w:p>
    <w:p>
      <w:pPr>
        <w:snapToGrid w:val="0"/>
        <w:spacing w:line="336"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3.采购方式</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本次采购采用公开招标方式进行。</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4.投标人及投标委托有关说明</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4.1投标人代表不是法定代表人，须有法定代表人出具的授权委托书。</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5.投标费用</w:t>
      </w:r>
    </w:p>
    <w:p>
      <w:pPr>
        <w:snapToGrid w:val="0"/>
        <w:spacing w:line="336"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投标人应自行承担获得招标文件和编制、提交投标文件所涉及的一切费用。不论投标结果如何，投标人均应自行承担所有与投标有关的全部费用。</w:t>
      </w:r>
      <w:r>
        <w:rPr>
          <w:rFonts w:hint="eastAsia" w:ascii="仿宋" w:hAnsi="仿宋" w:eastAsia="仿宋" w:cs="仿宋"/>
          <w:b/>
          <w:bCs/>
          <w:color w:val="auto"/>
          <w:sz w:val="24"/>
        </w:rPr>
        <w:t>对中标人收取政府采购代理服务费。</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6.特别说明：</w:t>
      </w:r>
    </w:p>
    <w:p>
      <w:pPr>
        <w:pStyle w:val="18"/>
        <w:snapToGrid w:val="0"/>
        <w:spacing w:line="336" w:lineRule="auto"/>
        <w:ind w:firstLine="480" w:firstLineChars="200"/>
        <w:jc w:val="left"/>
        <w:rPr>
          <w:rFonts w:hint="eastAsia" w:ascii="仿宋" w:hAnsi="仿宋" w:eastAsia="仿宋" w:cs="仿宋"/>
        </w:rPr>
      </w:pPr>
      <w:r>
        <w:rPr>
          <w:rFonts w:hint="eastAsia" w:ascii="仿宋" w:hAnsi="仿宋" w:eastAsia="仿宋" w:cs="仿宋"/>
        </w:rPr>
        <w:t>6.1投标人应仔细阅读招标文件的所有内容，按照招标文件的要求提交投标文件，并对所提供的全部资料的真实性承担法律责任。</w:t>
      </w:r>
    </w:p>
    <w:p>
      <w:pPr>
        <w:pStyle w:val="18"/>
        <w:snapToGrid w:val="0"/>
        <w:spacing w:line="336" w:lineRule="auto"/>
        <w:ind w:firstLine="480" w:firstLineChars="200"/>
        <w:jc w:val="left"/>
        <w:rPr>
          <w:rFonts w:hint="eastAsia" w:ascii="仿宋" w:hAnsi="仿宋" w:eastAsia="仿宋" w:cs="仿宋"/>
        </w:rPr>
      </w:pPr>
      <w:r>
        <w:rPr>
          <w:rFonts w:hint="eastAsia" w:ascii="仿宋" w:hAnsi="仿宋" w:eastAsia="仿宋" w:cs="仿宋"/>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8"/>
        <w:snapToGrid w:val="0"/>
        <w:spacing w:line="336" w:lineRule="auto"/>
        <w:ind w:firstLine="480" w:firstLineChars="200"/>
        <w:jc w:val="left"/>
        <w:rPr>
          <w:rFonts w:hint="eastAsia" w:ascii="仿宋" w:hAnsi="仿宋" w:eastAsia="仿宋" w:cs="仿宋"/>
        </w:rPr>
      </w:pPr>
      <w:r>
        <w:rPr>
          <w:rFonts w:hint="eastAsia" w:ascii="仿宋" w:hAnsi="仿宋" w:eastAsia="仿宋" w:cs="仿宋"/>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8"/>
        <w:snapToGrid w:val="0"/>
        <w:spacing w:line="336" w:lineRule="auto"/>
        <w:ind w:firstLine="480" w:firstLineChars="200"/>
        <w:rPr>
          <w:rFonts w:hint="eastAsia" w:ascii="仿宋" w:hAnsi="仿宋" w:eastAsia="仿宋" w:cs="仿宋"/>
        </w:rPr>
      </w:pPr>
      <w:r>
        <w:rPr>
          <w:rFonts w:hint="eastAsia" w:ascii="仿宋" w:hAnsi="仿宋" w:eastAsia="仿宋" w:cs="仿宋"/>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8"/>
        <w:snapToGrid w:val="0"/>
        <w:spacing w:line="336" w:lineRule="auto"/>
        <w:ind w:firstLine="480" w:firstLineChars="200"/>
        <w:rPr>
          <w:rFonts w:hint="eastAsia" w:ascii="仿宋" w:hAnsi="仿宋" w:eastAsia="仿宋" w:cs="仿宋"/>
        </w:rPr>
      </w:pPr>
      <w:r>
        <w:rPr>
          <w:rFonts w:hint="eastAsia" w:ascii="仿宋" w:hAnsi="仿宋" w:eastAsia="仿宋" w:cs="仿宋"/>
        </w:rPr>
        <w:t>6.5本项目涉及采购货物必须是全新、未使用过的原装合格正品（包括零部件），如安装或配置了软件的，须为正版软件。</w:t>
      </w:r>
    </w:p>
    <w:p>
      <w:pPr>
        <w:pStyle w:val="18"/>
        <w:snapToGrid w:val="0"/>
        <w:spacing w:line="336" w:lineRule="auto"/>
        <w:ind w:firstLine="480" w:firstLineChars="200"/>
        <w:rPr>
          <w:rFonts w:hint="eastAsia" w:ascii="仿宋" w:hAnsi="仿宋" w:eastAsia="仿宋" w:cs="仿宋"/>
        </w:rPr>
      </w:pPr>
      <w:r>
        <w:rPr>
          <w:rFonts w:hint="eastAsia" w:ascii="仿宋" w:hAnsi="仿宋" w:eastAsia="仿宋" w:cs="仿宋"/>
        </w:rPr>
        <w:t>6.6国产的货物及其有关服务必须符合中华人民共和国的设计和制造生产标准或行业标准。招标公告有其他要求的，亦应符合其要求。</w:t>
      </w:r>
    </w:p>
    <w:p>
      <w:pPr>
        <w:snapToGrid w:val="0"/>
        <w:spacing w:line="336" w:lineRule="auto"/>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7.质疑和投诉</w:t>
      </w:r>
    </w:p>
    <w:p>
      <w:pPr>
        <w:pStyle w:val="18"/>
        <w:snapToGrid w:val="0"/>
        <w:spacing w:line="336" w:lineRule="auto"/>
        <w:ind w:firstLine="480" w:firstLineChars="200"/>
        <w:rPr>
          <w:rFonts w:hint="eastAsia" w:ascii="仿宋" w:hAnsi="仿宋" w:eastAsia="仿宋" w:cs="仿宋"/>
          <w:bCs/>
        </w:rPr>
      </w:pPr>
      <w:r>
        <w:rPr>
          <w:rFonts w:hint="eastAsia" w:ascii="仿宋" w:hAnsi="仿宋" w:eastAsia="仿宋" w:cs="仿宋"/>
          <w:bCs/>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p>
      <w:pPr>
        <w:pStyle w:val="18"/>
        <w:snapToGrid w:val="0"/>
        <w:spacing w:line="336" w:lineRule="auto"/>
        <w:ind w:firstLine="480" w:firstLineChars="200"/>
        <w:rPr>
          <w:rFonts w:hint="eastAsia" w:ascii="仿宋" w:hAnsi="仿宋" w:eastAsia="仿宋" w:cs="仿宋"/>
        </w:rPr>
      </w:pPr>
      <w:r>
        <w:rPr>
          <w:rFonts w:hint="eastAsia" w:ascii="仿宋" w:hAnsi="仿宋" w:eastAsia="仿宋" w:cs="仿宋"/>
          <w:bCs/>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rPr>
        <w:t>其来源或线索，便于有关单位调查、答复和处理。</w:t>
      </w:r>
    </w:p>
    <w:p>
      <w:pPr>
        <w:pStyle w:val="18"/>
        <w:snapToGrid w:val="0"/>
        <w:spacing w:line="336" w:lineRule="auto"/>
        <w:ind w:firstLine="480" w:firstLineChars="200"/>
        <w:rPr>
          <w:rFonts w:hint="eastAsia" w:ascii="仿宋" w:hAnsi="仿宋" w:eastAsia="仿宋" w:cs="仿宋"/>
          <w:szCs w:val="24"/>
        </w:rPr>
      </w:pPr>
      <w:r>
        <w:rPr>
          <w:rFonts w:hint="eastAsia" w:ascii="仿宋" w:hAnsi="仿宋" w:eastAsia="仿宋" w:cs="仿宋"/>
        </w:rPr>
        <w:t>7.3</w:t>
      </w:r>
      <w:r>
        <w:rPr>
          <w:rFonts w:hint="eastAsia" w:ascii="仿宋" w:hAnsi="仿宋" w:eastAsia="仿宋" w:cs="仿宋"/>
          <w:szCs w:val="24"/>
        </w:rPr>
        <w:t>采购代理机构与采购人研究后，对认为有必要回答的问题，采购人和采购代理机构将补充（更正）以网上发布公告的形式通知所有投标人，补充（更正）是招标文件的组成部分。</w:t>
      </w:r>
    </w:p>
    <w:p>
      <w:pPr>
        <w:pStyle w:val="18"/>
        <w:snapToGrid w:val="0"/>
        <w:spacing w:line="336" w:lineRule="auto"/>
        <w:ind w:firstLine="482" w:firstLineChars="200"/>
        <w:rPr>
          <w:rFonts w:hint="eastAsia" w:ascii="仿宋" w:hAnsi="仿宋" w:eastAsia="仿宋" w:cs="仿宋"/>
          <w:b/>
        </w:rPr>
      </w:pPr>
      <w:r>
        <w:rPr>
          <w:rFonts w:hint="eastAsia" w:ascii="仿宋" w:hAnsi="仿宋" w:eastAsia="仿宋" w:cs="仿宋"/>
          <w:b/>
          <w:bCs/>
          <w:szCs w:val="24"/>
        </w:rPr>
        <w:t>7.4</w:t>
      </w:r>
      <w:r>
        <w:rPr>
          <w:rFonts w:hint="eastAsia" w:ascii="仿宋" w:hAnsi="仿宋" w:eastAsia="仿宋" w:cs="仿宋"/>
          <w:b/>
          <w:bCs/>
          <w:u w:val="single"/>
        </w:rPr>
        <w:t>质疑供应商在收到该更正（补充）公告后应于1日内，以书面或传真形式（签署意见并加盖公章）向采购代理机构回函给予确认。过期未回复的，视为默认接受。</w:t>
      </w: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p>
    <w:p>
      <w:pPr>
        <w:snapToGrid w:val="0"/>
        <w:spacing w:line="420" w:lineRule="exact"/>
        <w:ind w:firstLine="443" w:firstLineChars="147"/>
        <w:jc w:val="center"/>
        <w:rPr>
          <w:rFonts w:hint="eastAsia" w:ascii="仿宋" w:hAnsi="仿宋" w:eastAsia="仿宋" w:cs="仿宋"/>
          <w:b/>
          <w:bCs/>
          <w:color w:val="auto"/>
          <w:kern w:val="2"/>
          <w:sz w:val="30"/>
          <w:szCs w:val="30"/>
        </w:rPr>
      </w:pPr>
      <w:r>
        <w:rPr>
          <w:rFonts w:hint="eastAsia" w:ascii="仿宋" w:hAnsi="仿宋" w:eastAsia="仿宋" w:cs="仿宋"/>
          <w:b/>
          <w:bCs/>
          <w:color w:val="auto"/>
          <w:kern w:val="2"/>
          <w:sz w:val="30"/>
          <w:szCs w:val="30"/>
        </w:rPr>
        <w:t>二、招标文件</w:t>
      </w:r>
    </w:p>
    <w:p>
      <w:pPr>
        <w:snapToGrid w:val="0"/>
        <w:spacing w:line="420" w:lineRule="exact"/>
        <w:ind w:firstLine="354" w:firstLineChars="147"/>
        <w:jc w:val="left"/>
        <w:rPr>
          <w:rFonts w:hint="eastAsia" w:ascii="仿宋" w:hAnsi="仿宋" w:eastAsia="仿宋" w:cs="仿宋"/>
          <w:b/>
          <w:color w:val="auto"/>
          <w:sz w:val="24"/>
        </w:rPr>
      </w:pPr>
      <w:r>
        <w:rPr>
          <w:rFonts w:hint="eastAsia" w:ascii="仿宋" w:hAnsi="仿宋" w:eastAsia="仿宋" w:cs="仿宋"/>
          <w:b/>
          <w:color w:val="auto"/>
          <w:sz w:val="24"/>
        </w:rPr>
        <w:t>8.招标文件的构成。</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本招标文件由以下部分组成：</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8.1招标公告；</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8.2投标须知；</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8.3采购需求；</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8.4评标办法及评分标准；</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8.5采购合同；</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8.6应提交的有关格式范例。</w:t>
      </w:r>
    </w:p>
    <w:p>
      <w:pPr>
        <w:snapToGrid w:val="0"/>
        <w:spacing w:line="420" w:lineRule="exact"/>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9.投标人的风险</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spacing w:line="42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spacing w:line="420" w:lineRule="exact"/>
        <w:ind w:firstLine="472" w:firstLineChars="196"/>
        <w:jc w:val="left"/>
        <w:outlineLvl w:val="1"/>
        <w:rPr>
          <w:rFonts w:hint="eastAsia" w:ascii="仿宋" w:hAnsi="仿宋" w:eastAsia="仿宋" w:cs="仿宋"/>
          <w:b/>
          <w:color w:val="auto"/>
          <w:sz w:val="24"/>
        </w:rPr>
      </w:pPr>
      <w:r>
        <w:rPr>
          <w:rFonts w:hint="eastAsia" w:ascii="仿宋" w:hAnsi="仿宋" w:eastAsia="仿宋" w:cs="仿宋"/>
          <w:b/>
          <w:color w:val="auto"/>
          <w:sz w:val="24"/>
        </w:rPr>
        <w:t xml:space="preserve">10.招标文件的澄清与修改 </w:t>
      </w:r>
    </w:p>
    <w:p>
      <w:pPr>
        <w:pStyle w:val="18"/>
        <w:snapToGrid w:val="0"/>
        <w:spacing w:line="420" w:lineRule="exact"/>
        <w:ind w:firstLine="480" w:firstLineChars="200"/>
        <w:rPr>
          <w:rFonts w:hint="eastAsia" w:ascii="仿宋" w:hAnsi="仿宋" w:eastAsia="仿宋" w:cs="仿宋"/>
          <w:szCs w:val="24"/>
        </w:rPr>
      </w:pPr>
      <w:r>
        <w:rPr>
          <w:rFonts w:hint="eastAsia" w:ascii="仿宋" w:hAnsi="仿宋" w:eastAsia="仿宋" w:cs="仿宋"/>
        </w:rPr>
        <w:t>10.1</w:t>
      </w:r>
      <w:r>
        <w:rPr>
          <w:rFonts w:hint="eastAsia" w:ascii="仿宋" w:hAnsi="仿宋" w:eastAsia="仿宋" w:cs="仿宋"/>
          <w:bCs/>
        </w:rPr>
        <w:t>投标人下载招标文件后，应认真阅读本招标文件的所有内容，发现其中有误或有不合理要求的，投标人必须按前附表规定的时间前以书面形式</w:t>
      </w:r>
      <w:r>
        <w:rPr>
          <w:rFonts w:hint="eastAsia" w:ascii="仿宋" w:hAnsi="仿宋" w:eastAsia="仿宋" w:cs="仿宋"/>
        </w:rPr>
        <w:t>(包括书面文字、传真等)</w:t>
      </w:r>
      <w:r>
        <w:rPr>
          <w:rFonts w:hint="eastAsia" w:ascii="仿宋" w:hAnsi="仿宋" w:eastAsia="仿宋" w:cs="仿宋"/>
          <w:bCs/>
        </w:rPr>
        <w:t>要求采购人澄清</w:t>
      </w:r>
      <w:r>
        <w:rPr>
          <w:rFonts w:hint="eastAsia" w:ascii="仿宋" w:hAnsi="仿宋" w:eastAsia="仿宋" w:cs="仿宋"/>
        </w:rPr>
        <w:t>。逾期提出的，采购人将不予受理。</w:t>
      </w:r>
      <w:r>
        <w:rPr>
          <w:rFonts w:hint="eastAsia" w:ascii="仿宋" w:hAnsi="仿宋" w:eastAsia="仿宋" w:cs="仿宋"/>
          <w:szCs w:val="24"/>
        </w:rPr>
        <w:t>采购代理机构与采购人研究后，对认为有必要回答的问题，采购人将补充（更正内容）以网上发布公告的形式通知所有投标人，补充（更正）内容是招标文件的组成部分。投标人可以通过武义县公共资源交易网自行下载，以确认已阅知该澄清或修改内容，否则，由此导致的风险由投标人自行承担，采购人不承担任何责任。</w:t>
      </w:r>
    </w:p>
    <w:p>
      <w:pPr>
        <w:pStyle w:val="18"/>
        <w:snapToGrid w:val="0"/>
        <w:spacing w:line="420" w:lineRule="exact"/>
        <w:ind w:firstLine="480" w:firstLineChars="200"/>
        <w:rPr>
          <w:rFonts w:hint="eastAsia" w:ascii="仿宋" w:hAnsi="仿宋" w:eastAsia="仿宋" w:cs="仿宋"/>
          <w:szCs w:val="24"/>
        </w:rPr>
      </w:pPr>
      <w:r>
        <w:rPr>
          <w:rFonts w:hint="eastAsia" w:ascii="仿宋" w:hAnsi="仿宋" w:eastAsia="仿宋" w:cs="仿宋"/>
          <w:szCs w:val="24"/>
        </w:rPr>
        <w:t>10.2</w:t>
      </w:r>
      <w:r>
        <w:rPr>
          <w:rFonts w:hint="eastAsia" w:ascii="仿宋" w:hAnsi="仿宋" w:eastAsia="仿宋" w:cs="仿宋"/>
        </w:rPr>
        <w:t>招标文件澄清、答复、修改、补充的内容为招标文件的组成部分。当招标文件与招标文件的答复、澄清、修改、补充公告就同一内容的表述不一致时，以最后发出的文件或公告或通知为准。</w:t>
      </w:r>
    </w:p>
    <w:p>
      <w:pPr>
        <w:pStyle w:val="18"/>
        <w:snapToGrid w:val="0"/>
        <w:spacing w:line="420" w:lineRule="exact"/>
        <w:ind w:firstLine="480" w:firstLineChars="200"/>
        <w:rPr>
          <w:rFonts w:hint="eastAsia" w:ascii="仿宋" w:hAnsi="仿宋" w:eastAsia="仿宋" w:cs="仿宋"/>
        </w:rPr>
      </w:pPr>
      <w:r>
        <w:rPr>
          <w:rFonts w:hint="eastAsia" w:ascii="仿宋" w:hAnsi="仿宋" w:eastAsia="仿宋" w:cs="仿宋"/>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8"/>
        <w:snapToGrid w:val="0"/>
        <w:spacing w:line="420" w:lineRule="exact"/>
        <w:ind w:firstLine="480" w:firstLineChars="200"/>
        <w:rPr>
          <w:rFonts w:hint="eastAsia" w:ascii="仿宋" w:hAnsi="仿宋" w:eastAsia="仿宋" w:cs="仿宋"/>
        </w:rPr>
      </w:pPr>
      <w:r>
        <w:rPr>
          <w:rFonts w:hint="eastAsia" w:ascii="仿宋" w:hAnsi="仿宋" w:eastAsia="仿宋" w:cs="仿宋"/>
        </w:rPr>
        <w:t>10.4为使投标人在编制投标文件时，把补充公告内容进行研究，采购代理机构可以酌情推迟递交投标文件的截止时间。</w:t>
      </w:r>
    </w:p>
    <w:p>
      <w:pPr>
        <w:pStyle w:val="18"/>
        <w:snapToGrid w:val="0"/>
        <w:spacing w:line="420" w:lineRule="exact"/>
        <w:ind w:firstLine="480" w:firstLineChars="200"/>
        <w:rPr>
          <w:rFonts w:hint="eastAsia" w:ascii="仿宋" w:hAnsi="仿宋" w:eastAsia="仿宋" w:cs="仿宋"/>
        </w:rPr>
      </w:pPr>
      <w:r>
        <w:rPr>
          <w:rFonts w:hint="eastAsia" w:ascii="仿宋" w:hAnsi="仿宋" w:eastAsia="仿宋" w:cs="仿宋"/>
        </w:rPr>
        <w:t>10.5投标人一旦参与本次招标活动，即被视为接受了本招标文件的所有内容，如有任何异议，均须在答疑截止时间前提出。</w:t>
      </w:r>
    </w:p>
    <w:p>
      <w:pPr>
        <w:pStyle w:val="5"/>
        <w:spacing w:before="0" w:after="0" w:line="420" w:lineRule="exact"/>
        <w:jc w:val="center"/>
        <w:rPr>
          <w:rFonts w:hint="eastAsia" w:ascii="仿宋" w:hAnsi="仿宋" w:eastAsia="仿宋" w:cs="仿宋"/>
          <w:sz w:val="30"/>
          <w:szCs w:val="30"/>
        </w:rPr>
      </w:pPr>
      <w:bookmarkStart w:id="3" w:name="_Toc125344505"/>
      <w:r>
        <w:rPr>
          <w:rFonts w:hint="eastAsia" w:ascii="仿宋" w:hAnsi="仿宋" w:eastAsia="仿宋" w:cs="仿宋"/>
          <w:sz w:val="30"/>
          <w:szCs w:val="30"/>
        </w:rPr>
        <w:t>三、投标文件编制</w:t>
      </w:r>
      <w:bookmarkEnd w:id="3"/>
      <w:r>
        <w:rPr>
          <w:rFonts w:hint="eastAsia" w:ascii="仿宋" w:hAnsi="仿宋" w:eastAsia="仿宋" w:cs="仿宋"/>
          <w:sz w:val="30"/>
          <w:szCs w:val="30"/>
        </w:rPr>
        <w:t>和提交</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11.投标文件的组成</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投标文件由资格文件、商务技术文件、报价文件三部分组成。详见前附表。</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12.投标文件的语言及计量</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12.2投标计量单位，招标文件已有明确规定的，使用招标文件规定的计量单位；招标文件没有规定的，应采用中华人民共和国法定计量单位（货币单位：人民币元），否则视同未响应。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13.投标报价</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13.1投标报价应按招标文件中相关附表格式填写。本项目的投标应以人民币计。</w:t>
      </w:r>
    </w:p>
    <w:p>
      <w:pPr>
        <w:pStyle w:val="18"/>
        <w:spacing w:line="360" w:lineRule="auto"/>
        <w:ind w:firstLine="480" w:firstLineChars="200"/>
        <w:rPr>
          <w:rFonts w:hint="eastAsia" w:ascii="仿宋" w:hAnsi="仿宋" w:eastAsia="仿宋" w:cs="仿宋"/>
        </w:rPr>
      </w:pPr>
      <w:r>
        <w:rPr>
          <w:rFonts w:hint="eastAsia" w:ascii="仿宋" w:hAnsi="仿宋" w:eastAsia="仿宋" w:cs="仿宋"/>
        </w:rPr>
        <w:t>13.2投标报价应包括市场调研、数据整理、外业调查、资料费、成果验收费、交通费、相关专家评审费、成果印制费、售后服务费、差旅费、招标代理费、利润、税费及工作所发生的一切费用。投标报价（包括单价、总价等）均保留到小数点后两位（如：100.88元）。投标人必须报有合理单价，其将作为设备增减的主要依据。如有漏项，视同已包含在其它项目中，合同总价和单价不做调整。</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13.3投标文件只允许有一个报价，有选择的或有条件的报价将不予接受。</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13.4招标文件未列明，而投标人认为必需的费用也需列入报价。</w:t>
      </w:r>
    </w:p>
    <w:p>
      <w:pPr>
        <w:pStyle w:val="18"/>
        <w:spacing w:line="360" w:lineRule="auto"/>
        <w:ind w:firstLine="480" w:firstLineChars="200"/>
        <w:rPr>
          <w:rFonts w:hint="eastAsia" w:ascii="仿宋" w:hAnsi="仿宋" w:eastAsia="仿宋" w:cs="仿宋"/>
          <w:szCs w:val="24"/>
        </w:rPr>
      </w:pPr>
      <w:r>
        <w:rPr>
          <w:rFonts w:hint="eastAsia" w:ascii="仿宋" w:hAnsi="仿宋" w:eastAsia="仿宋" w:cs="仿宋"/>
        </w:rPr>
        <w:t>13.5</w:t>
      </w:r>
      <w:r>
        <w:rPr>
          <w:rFonts w:hint="eastAsia" w:ascii="仿宋" w:hAnsi="仿宋" w:eastAsia="仿宋" w:cs="仿宋"/>
          <w:szCs w:val="24"/>
        </w:rPr>
        <w:t>中标后，中标人所填写的单价在合同实施期间不因市场变化因素而变动，投标人在计算报价时应考虑一定的风险系数。</w:t>
      </w:r>
    </w:p>
    <w:p>
      <w:pPr>
        <w:pStyle w:val="18"/>
        <w:snapToGrid w:val="0"/>
        <w:spacing w:line="360" w:lineRule="auto"/>
        <w:ind w:firstLine="480" w:firstLineChars="200"/>
        <w:rPr>
          <w:rFonts w:hint="eastAsia" w:ascii="仿宋" w:hAnsi="仿宋" w:eastAsia="仿宋" w:cs="仿宋"/>
          <w:bCs/>
        </w:rPr>
      </w:pPr>
      <w:r>
        <w:rPr>
          <w:rFonts w:hint="eastAsia" w:ascii="仿宋" w:hAnsi="仿宋" w:eastAsia="仿宋" w:cs="仿宋"/>
          <w:bCs/>
        </w:rPr>
        <w:t>13.6投标人若有方案和报价未被唱标，应在开标时及时声明或提请采购代理机构宣读，否则是投标人自己的风险，采购代理机构对此不承担任何责任。</w:t>
      </w:r>
    </w:p>
    <w:p>
      <w:pPr>
        <w:pStyle w:val="9"/>
        <w:widowControl w:val="0"/>
        <w:tabs>
          <w:tab w:val="clear" w:pos="360"/>
        </w:tabs>
        <w:snapToGrid w:val="0"/>
        <w:spacing w:afterLines="0" w:line="360" w:lineRule="auto"/>
        <w:ind w:left="0" w:firstLine="354" w:firstLineChars="147"/>
        <w:rPr>
          <w:rFonts w:hint="eastAsia" w:ascii="仿宋" w:hAnsi="仿宋" w:eastAsia="仿宋" w:cs="仿宋"/>
          <w:b/>
          <w:szCs w:val="24"/>
        </w:rPr>
      </w:pPr>
      <w:r>
        <w:rPr>
          <w:rFonts w:hint="eastAsia" w:ascii="仿宋" w:hAnsi="仿宋" w:eastAsia="仿宋" w:cs="仿宋"/>
          <w:b/>
          <w:szCs w:val="24"/>
        </w:rPr>
        <w:t>14.投标文件的有效期</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14.1</w:t>
      </w:r>
      <w:r>
        <w:rPr>
          <w:rFonts w:hint="eastAsia" w:ascii="仿宋" w:hAnsi="仿宋" w:eastAsia="仿宋" w:cs="仿宋"/>
          <w:szCs w:val="21"/>
        </w:rPr>
        <w:t>投标有效期为从投标截止之日算起的日历天数，</w:t>
      </w:r>
      <w:r>
        <w:rPr>
          <w:rFonts w:hint="eastAsia" w:ascii="仿宋" w:hAnsi="仿宋" w:eastAsia="仿宋" w:cs="仿宋"/>
        </w:rPr>
        <w:t>自投标截止日起90天投标书应保持有效。如采购人认为必要，可延长投标有效期。有效期短于这个规定期限的投标将被拒绝。</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14.2在特殊情况下，采购人可与投标人协商延长投标书的有效期，这种要求和答复均以书面形式进行。</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 xml:space="preserve">14.3投标人可拒绝接受延期要求，但其投标在原投标有效期满后不再有效。同意延长有效期的投标人不能修改投标文件。 </w:t>
      </w:r>
    </w:p>
    <w:p>
      <w:pPr>
        <w:pStyle w:val="18"/>
        <w:snapToGrid w:val="0"/>
        <w:spacing w:line="360" w:lineRule="auto"/>
        <w:ind w:firstLine="480" w:firstLineChars="200"/>
        <w:rPr>
          <w:rFonts w:hint="eastAsia" w:ascii="仿宋" w:hAnsi="仿宋" w:eastAsia="仿宋" w:cs="仿宋"/>
        </w:rPr>
      </w:pPr>
      <w:r>
        <w:rPr>
          <w:rFonts w:hint="eastAsia" w:ascii="仿宋" w:hAnsi="仿宋" w:eastAsia="仿宋" w:cs="仿宋"/>
        </w:rPr>
        <w:t>14.4中标人的投标文件自开标之日起至合同履行完毕止均应保持有效。</w:t>
      </w:r>
    </w:p>
    <w:p>
      <w:pPr>
        <w:snapToGrid w:val="0"/>
        <w:spacing w:line="360" w:lineRule="auto"/>
        <w:ind w:firstLine="354" w:firstLineChars="147"/>
        <w:jc w:val="left"/>
        <w:outlineLvl w:val="0"/>
        <w:rPr>
          <w:rFonts w:hint="eastAsia" w:ascii="仿宋" w:hAnsi="仿宋" w:eastAsia="仿宋" w:cs="仿宋"/>
          <w:b/>
          <w:color w:val="auto"/>
          <w:sz w:val="24"/>
        </w:rPr>
      </w:pPr>
      <w:r>
        <w:rPr>
          <w:rFonts w:hint="eastAsia" w:ascii="仿宋" w:hAnsi="仿宋" w:eastAsia="仿宋" w:cs="仿宋"/>
          <w:b/>
          <w:color w:val="auto"/>
          <w:sz w:val="24"/>
        </w:rPr>
        <w:t>15.投标保证金</w:t>
      </w:r>
    </w:p>
    <w:p>
      <w:pPr>
        <w:snapToGrid w:val="0"/>
        <w:spacing w:line="360" w:lineRule="auto"/>
        <w:ind w:firstLine="480" w:firstLineChars="20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15.1本项目免收投标保证金。</w:t>
      </w:r>
    </w:p>
    <w:p>
      <w:pPr>
        <w:snapToGrid w:val="0"/>
        <w:spacing w:line="360" w:lineRule="auto"/>
        <w:ind w:firstLine="480" w:firstLineChars="200"/>
        <w:jc w:val="left"/>
        <w:outlineLvl w:val="0"/>
        <w:rPr>
          <w:rFonts w:hint="eastAsia" w:ascii="仿宋" w:hAnsi="仿宋" w:eastAsia="仿宋" w:cs="仿宋"/>
          <w:color w:val="auto"/>
          <w:sz w:val="24"/>
        </w:rPr>
      </w:pPr>
      <w:r>
        <w:rPr>
          <w:rFonts w:hint="eastAsia" w:ascii="仿宋" w:hAnsi="仿宋" w:eastAsia="仿宋" w:cs="仿宋"/>
          <w:color w:val="auto"/>
          <w:sz w:val="24"/>
          <w:szCs w:val="24"/>
        </w:rPr>
        <w:t>15.2如投标人有下列情形</w:t>
      </w:r>
      <w:r>
        <w:rPr>
          <w:rFonts w:hint="eastAsia" w:ascii="仿宋" w:hAnsi="仿宋" w:eastAsia="仿宋" w:cs="仿宋"/>
          <w:color w:val="auto"/>
          <w:sz w:val="24"/>
        </w:rPr>
        <w:t>之一的，应当按照本项目采购预算价2%的标准承担因此给采购单位造成的损失的赔偿责任及相应的法律责任：</w:t>
      </w:r>
    </w:p>
    <w:p>
      <w:pPr>
        <w:snapToGrid w:val="0"/>
        <w:spacing w:line="360" w:lineRule="auto"/>
        <w:ind w:firstLine="480" w:firstLineChars="200"/>
        <w:jc w:val="left"/>
        <w:outlineLvl w:val="0"/>
        <w:rPr>
          <w:rFonts w:hint="eastAsia" w:ascii="仿宋" w:hAnsi="仿宋" w:eastAsia="仿宋" w:cs="仿宋"/>
          <w:bCs/>
          <w:color w:val="auto"/>
          <w:sz w:val="24"/>
          <w:szCs w:val="24"/>
        </w:rPr>
      </w:pPr>
      <w:r>
        <w:rPr>
          <w:rFonts w:hint="eastAsia" w:ascii="仿宋" w:hAnsi="仿宋" w:eastAsia="仿宋" w:cs="仿宋"/>
          <w:color w:val="auto"/>
          <w:sz w:val="24"/>
        </w:rPr>
        <w:t>15.3.1投标人在投标有效期内撤回投标</w:t>
      </w:r>
      <w:r>
        <w:rPr>
          <w:rFonts w:hint="eastAsia" w:ascii="仿宋" w:hAnsi="仿宋" w:eastAsia="仿宋" w:cs="仿宋"/>
          <w:bCs/>
          <w:color w:val="auto"/>
          <w:sz w:val="24"/>
          <w:szCs w:val="24"/>
        </w:rPr>
        <w:t>文件的；</w:t>
      </w:r>
    </w:p>
    <w:p>
      <w:pPr>
        <w:snapToGrid w:val="0"/>
        <w:spacing w:line="360" w:lineRule="auto"/>
        <w:ind w:firstLine="470" w:firstLineChars="196"/>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15.3.2投标人在投标过程中弄虚作假，提供虚假材料的；</w:t>
      </w:r>
    </w:p>
    <w:p>
      <w:pPr>
        <w:snapToGrid w:val="0"/>
        <w:spacing w:line="360" w:lineRule="auto"/>
        <w:ind w:firstLine="470" w:firstLineChars="196"/>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15.3.3中标人无正当理由在规定的时间内不与采购人签订合同的；</w:t>
      </w:r>
    </w:p>
    <w:p>
      <w:pPr>
        <w:snapToGrid w:val="0"/>
        <w:spacing w:line="360" w:lineRule="auto"/>
        <w:ind w:firstLine="470" w:firstLineChars="196"/>
        <w:rPr>
          <w:rFonts w:hint="eastAsia" w:ascii="仿宋" w:hAnsi="仿宋" w:eastAsia="仿宋" w:cs="仿宋"/>
          <w:bCs/>
          <w:color w:val="auto"/>
          <w:sz w:val="24"/>
          <w:szCs w:val="24"/>
        </w:rPr>
      </w:pPr>
      <w:r>
        <w:rPr>
          <w:rFonts w:hint="eastAsia" w:ascii="仿宋" w:hAnsi="仿宋" w:eastAsia="仿宋" w:cs="仿宋"/>
          <w:bCs/>
          <w:color w:val="auto"/>
          <w:sz w:val="24"/>
          <w:szCs w:val="24"/>
        </w:rPr>
        <w:t>15.3.4</w:t>
      </w:r>
      <w:r>
        <w:rPr>
          <w:rFonts w:hint="eastAsia" w:ascii="仿宋" w:hAnsi="仿宋" w:eastAsia="仿宋" w:cs="仿宋"/>
          <w:color w:val="auto"/>
          <w:sz w:val="24"/>
          <w:szCs w:val="24"/>
        </w:rPr>
        <w:t>将中标项目转让给他人或者在投标文件中未说明且未经采购人同意，将中标项目分包给他人的；</w:t>
      </w:r>
    </w:p>
    <w:p>
      <w:pPr>
        <w:snapToGrid w:val="0"/>
        <w:spacing w:line="360" w:lineRule="auto"/>
        <w:ind w:firstLine="470" w:firstLineChars="196"/>
        <w:rPr>
          <w:rFonts w:hint="eastAsia" w:ascii="仿宋" w:hAnsi="仿宋" w:eastAsia="仿宋" w:cs="仿宋"/>
          <w:b/>
          <w:color w:val="auto"/>
          <w:sz w:val="24"/>
          <w:szCs w:val="24"/>
        </w:rPr>
      </w:pPr>
      <w:r>
        <w:rPr>
          <w:rFonts w:hint="eastAsia" w:ascii="仿宋" w:hAnsi="仿宋" w:eastAsia="仿宋" w:cs="仿宋"/>
          <w:bCs/>
          <w:color w:val="auto"/>
          <w:sz w:val="24"/>
          <w:szCs w:val="24"/>
        </w:rPr>
        <w:t>15.3</w:t>
      </w:r>
      <w:r>
        <w:rPr>
          <w:rFonts w:hint="eastAsia" w:ascii="仿宋" w:hAnsi="仿宋" w:eastAsia="仿宋" w:cs="仿宋"/>
          <w:color w:val="auto"/>
          <w:sz w:val="24"/>
          <w:szCs w:val="24"/>
        </w:rPr>
        <w:t>.5其他严重扰乱招投标程序的；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15.3.6向有关人员行贿或者采取其他不正当手段谋取中标的；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15.3.7中标人无正当理由放弃中标的；</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15.3.8投标人质疑投诉提供虚假情况；</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15.3.9存在法律、法规规定的其它损害采购人或采购单位利益或社会公共利益的情形的。</w:t>
      </w:r>
    </w:p>
    <w:p>
      <w:pPr>
        <w:snapToGrid w:val="0"/>
        <w:spacing w:line="360" w:lineRule="auto"/>
        <w:ind w:firstLine="472" w:firstLineChars="196"/>
        <w:jc w:val="left"/>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16.投标文件的制作</w:t>
      </w:r>
    </w:p>
    <w:p>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16.1投标人应按招标文件前附表规定的内容编制投标文件。</w:t>
      </w:r>
    </w:p>
    <w:p>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16.3投标文件须由投标人在规定位置盖章，投标人应写全称。</w:t>
      </w:r>
      <w:r>
        <w:rPr>
          <w:rFonts w:hint="eastAsia" w:ascii="仿宋" w:hAnsi="仿宋" w:eastAsia="仿宋" w:cs="仿宋"/>
          <w:b/>
          <w:color w:val="auto"/>
          <w:sz w:val="24"/>
          <w:szCs w:val="24"/>
        </w:rPr>
        <w:t>电子投标文件中所有加盖公章均采用CA签章。</w:t>
      </w:r>
    </w:p>
    <w:p>
      <w:pPr>
        <w:snapToGrid w:val="0"/>
        <w:spacing w:line="360" w:lineRule="auto"/>
        <w:ind w:firstLine="480" w:firstLineChars="200"/>
        <w:jc w:val="left"/>
        <w:rPr>
          <w:rFonts w:hint="eastAsia" w:ascii="仿宋" w:hAnsi="仿宋" w:eastAsia="仿宋" w:cs="仿宋"/>
          <w:b/>
          <w:color w:val="auto"/>
          <w:sz w:val="24"/>
          <w:szCs w:val="24"/>
        </w:rPr>
      </w:pPr>
      <w:r>
        <w:rPr>
          <w:rFonts w:hint="eastAsia" w:ascii="仿宋" w:hAnsi="仿宋" w:eastAsia="仿宋" w:cs="仿宋"/>
          <w:color w:val="auto"/>
          <w:sz w:val="24"/>
          <w:szCs w:val="24"/>
        </w:rPr>
        <w:t>16.4投标文件不得涂改，若有修改错漏处，须加盖单位公章。投标文件因表达不清所引起的后果由投标人负责。</w:t>
      </w:r>
    </w:p>
    <w:p>
      <w:pPr>
        <w:snapToGrid w:val="0"/>
        <w:spacing w:line="360" w:lineRule="auto"/>
        <w:ind w:firstLine="480" w:firstLineChars="20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16.5投标人应认真阅读招标文件中所有的内容。如果投标人编制的投标文件实质上不响应招标文件的要求，其投标文件将作无效标处理。</w:t>
      </w:r>
    </w:p>
    <w:p>
      <w:pPr>
        <w:snapToGrid w:val="0"/>
        <w:spacing w:line="360" w:lineRule="auto"/>
        <w:ind w:firstLine="354" w:firstLineChars="147"/>
        <w:jc w:val="left"/>
        <w:rPr>
          <w:rFonts w:hint="eastAsia" w:ascii="仿宋" w:hAnsi="仿宋" w:eastAsia="仿宋" w:cs="仿宋"/>
          <w:b/>
          <w:color w:val="auto"/>
          <w:sz w:val="24"/>
          <w:szCs w:val="24"/>
        </w:rPr>
      </w:pPr>
      <w:r>
        <w:rPr>
          <w:rFonts w:hint="eastAsia" w:ascii="仿宋" w:hAnsi="仿宋" w:eastAsia="仿宋" w:cs="仿宋"/>
          <w:b/>
          <w:color w:val="auto"/>
          <w:sz w:val="24"/>
          <w:szCs w:val="24"/>
        </w:rPr>
        <w:t>17.投标文件的递交、修改和撤回</w:t>
      </w:r>
    </w:p>
    <w:p>
      <w:pPr>
        <w:pStyle w:val="1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17.1投标人应将投标文件的</w:t>
      </w:r>
      <w:r>
        <w:rPr>
          <w:rFonts w:hint="eastAsia" w:ascii="仿宋" w:hAnsi="仿宋" w:eastAsia="仿宋" w:cs="仿宋"/>
          <w:sz w:val="24"/>
        </w:rPr>
        <w:t>资格文件</w:t>
      </w:r>
      <w:r>
        <w:rPr>
          <w:rFonts w:hint="eastAsia" w:ascii="仿宋" w:hAnsi="仿宋" w:eastAsia="仿宋" w:cs="仿宋"/>
          <w:sz w:val="24"/>
          <w:szCs w:val="24"/>
        </w:rPr>
        <w:t>、商务技术文件、报价文件分开制作。</w:t>
      </w:r>
      <w:r>
        <w:rPr>
          <w:rFonts w:hint="eastAsia" w:ascii="仿宋" w:hAnsi="仿宋" w:eastAsia="仿宋" w:cs="仿宋"/>
          <w:b/>
          <w:sz w:val="24"/>
          <w:szCs w:val="24"/>
        </w:rPr>
        <w:t>如投标文件</w:t>
      </w:r>
      <w:r>
        <w:rPr>
          <w:rFonts w:hint="eastAsia" w:ascii="仿宋" w:hAnsi="仿宋" w:eastAsia="仿宋" w:cs="仿宋"/>
          <w:b/>
          <w:sz w:val="24"/>
          <w:szCs w:val="24"/>
          <w:lang w:eastAsia="zh-CN"/>
        </w:rPr>
        <w:t>商务</w:t>
      </w:r>
      <w:r>
        <w:rPr>
          <w:rFonts w:hint="eastAsia" w:ascii="仿宋" w:hAnsi="仿宋" w:eastAsia="仿宋" w:cs="仿宋"/>
          <w:b/>
          <w:sz w:val="24"/>
          <w:szCs w:val="24"/>
        </w:rPr>
        <w:t>技术标内容含有报价的内容，将被视作无效标处理。</w:t>
      </w:r>
    </w:p>
    <w:p>
      <w:pPr>
        <w:pStyle w:val="1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17.2投标人应在开标前在“政采云”上自行加密上传电子投标文件，逾期上传或未按要求上传的投标文件将予以拒收。</w:t>
      </w:r>
    </w:p>
    <w:p>
      <w:pPr>
        <w:pStyle w:val="1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17.3</w:t>
      </w:r>
      <w:r>
        <w:rPr>
          <w:rFonts w:hint="eastAsia" w:ascii="仿宋" w:hAnsi="仿宋" w:eastAsia="仿宋" w:cs="仿宋"/>
          <w:sz w:val="24"/>
          <w:szCs w:val="24"/>
        </w:rPr>
        <w:t>投标人在投标截止时间之前，可以对已提交的投标文件进行修改或撤回，补充、修改的内容为投标文件的组成部分。</w:t>
      </w:r>
    </w:p>
    <w:p>
      <w:pPr>
        <w:pStyle w:val="1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17.4投标截止时间后，投标人不得撤回、修改投标文件。</w:t>
      </w:r>
    </w:p>
    <w:p>
      <w:pPr>
        <w:pStyle w:val="1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17.5不论投标人中标与否，投标人文件均不得撤回其投标。</w:t>
      </w:r>
    </w:p>
    <w:p>
      <w:pPr>
        <w:pStyle w:val="10"/>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17.6未按时解密的，视为投标文件撤回。</w:t>
      </w:r>
    </w:p>
    <w:p>
      <w:pPr>
        <w:snapToGrid w:val="0"/>
        <w:spacing w:line="360" w:lineRule="auto"/>
        <w:ind w:firstLine="354" w:firstLineChars="147"/>
        <w:jc w:val="left"/>
        <w:rPr>
          <w:rFonts w:hint="eastAsia" w:ascii="仿宋" w:hAnsi="仿宋" w:eastAsia="仿宋" w:cs="仿宋"/>
          <w:b/>
          <w:color w:val="auto"/>
          <w:sz w:val="24"/>
          <w:szCs w:val="24"/>
        </w:rPr>
      </w:pPr>
      <w:r>
        <w:rPr>
          <w:rFonts w:hint="eastAsia" w:ascii="仿宋" w:hAnsi="仿宋" w:eastAsia="仿宋" w:cs="仿宋"/>
          <w:b/>
          <w:color w:val="auto"/>
          <w:sz w:val="24"/>
          <w:szCs w:val="24"/>
        </w:rPr>
        <w:t>18.投标无效的情形</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质上没有响应招标文件要求的投标将被视为无效投标。投标人不得通过修正或撤销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line="360" w:lineRule="auto"/>
        <w:ind w:left="0" w:leftChars="0" w:firstLine="472" w:firstLineChars="196"/>
        <w:rPr>
          <w:rFonts w:hint="eastAsia" w:ascii="仿宋" w:hAnsi="仿宋" w:eastAsia="仿宋" w:cs="仿宋"/>
          <w:b/>
          <w:bCs/>
          <w:color w:val="auto"/>
          <w:sz w:val="24"/>
          <w:szCs w:val="24"/>
        </w:rPr>
      </w:pPr>
      <w:r>
        <w:rPr>
          <w:rFonts w:hint="eastAsia" w:ascii="仿宋" w:hAnsi="仿宋" w:eastAsia="仿宋" w:cs="仿宋"/>
          <w:b/>
          <w:bCs/>
          <w:color w:val="auto"/>
          <w:sz w:val="24"/>
          <w:szCs w:val="24"/>
        </w:rPr>
        <w:t>18.1在符合性审查和资格性审查时，如发现下列情形之一的，投标文件将被视为无效投标：</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18.1.1资格证明文件不全的，或者不符合招标文件标明的资格要求的；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18.1.2未按照招标文件规定要求盖章；</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18.1.3投标文件项目不齐全或者内容虚假的；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18.1.4投标文件的实质性内容未使用中文表述、意思表述不明确、前后矛盾或者使用计量单位不符合招标文件要求的；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18.1.5投标有效期、交货时间、质保期、售后服务承诺等条款不能满足招标文件要求的；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18.1.6投标文件的技术标内容含有商务报价的内容；</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18.1.7投标文件含有采购人不能接受的附加条件的；</w:t>
      </w:r>
    </w:p>
    <w:p>
      <w:pPr>
        <w:snapToGrid w:val="0"/>
        <w:spacing w:line="360" w:lineRule="auto"/>
        <w:ind w:firstLine="48" w:firstLineChars="20"/>
        <w:rPr>
          <w:rFonts w:hint="eastAsia" w:ascii="仿宋" w:hAnsi="仿宋" w:eastAsia="仿宋" w:cs="仿宋"/>
          <w:color w:val="auto"/>
          <w:sz w:val="24"/>
          <w:szCs w:val="24"/>
        </w:rPr>
      </w:pPr>
      <w:r>
        <w:rPr>
          <w:rFonts w:hint="eastAsia" w:ascii="仿宋" w:hAnsi="仿宋" w:eastAsia="仿宋" w:cs="仿宋"/>
          <w:color w:val="auto"/>
          <w:sz w:val="24"/>
          <w:szCs w:val="24"/>
        </w:rPr>
        <w:t>18.1.8不符合法律、法规或未实质性响应招标文件要求或者投标文件有采购人不能接受的附加条件的。</w:t>
      </w:r>
    </w:p>
    <w:p>
      <w:pPr>
        <w:pStyle w:val="11"/>
        <w:snapToGrid w:val="0"/>
        <w:spacing w:after="0" w:line="360" w:lineRule="auto"/>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18.2在技术评审时，如发现下列情形之一的，投标文件将被视为无效：</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18.2.1未提供或未如实提供投标货物的技术参数，或者投标文件标明的响应或偏离与事实不符或虚假投标的；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18.2.2允许偏离的技术、性能指标或者辅助功能项目发生负偏离达20项（含）以上的；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18.2.3投标技术方案不明确，存在一个或一个以上备选（替代）投标方案的；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18.2.4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line="360" w:lineRule="auto"/>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18.3在报价评审时，如发现下列情形之一的，投标文件将被视为无效：</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（1）未采用人民币报价或者未按照招标文件标明的币种报价的；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（2）投标报价超过招标文件中规定的最高限价的；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（3）评标委员会认为投标人的报价明显低于其他通过符合性审查投标人的报价，有可能影响产品质量或者不能诚信履约，且投标人不能证明其报价合理性的；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（4）投标人不接受报价文件中修正后的报价的；</w:t>
      </w:r>
    </w:p>
    <w:p>
      <w:pPr>
        <w:snapToGrid w:val="0"/>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（5）投标报价具有选择性。</w:t>
      </w:r>
    </w:p>
    <w:p>
      <w:pPr>
        <w:pStyle w:val="11"/>
        <w:snapToGrid w:val="0"/>
        <w:spacing w:after="0" w:line="360" w:lineRule="auto"/>
        <w:ind w:left="0" w:left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18.4符合招标文件明确规定的其他无效投标条款的。</w:t>
      </w:r>
    </w:p>
    <w:p>
      <w:pPr>
        <w:pStyle w:val="5"/>
        <w:spacing w:before="0" w:after="0" w:line="420" w:lineRule="exact"/>
        <w:jc w:val="center"/>
        <w:rPr>
          <w:rFonts w:hint="eastAsia" w:ascii="仿宋" w:hAnsi="仿宋" w:eastAsia="仿宋" w:cs="仿宋"/>
          <w:sz w:val="30"/>
          <w:szCs w:val="30"/>
        </w:rPr>
      </w:pPr>
      <w:bookmarkStart w:id="4" w:name="_Toc125344507"/>
    </w:p>
    <w:p>
      <w:pPr>
        <w:pStyle w:val="5"/>
        <w:spacing w:before="0" w:after="0" w:line="420" w:lineRule="exact"/>
        <w:jc w:val="center"/>
        <w:rPr>
          <w:rFonts w:hint="eastAsia" w:ascii="仿宋" w:hAnsi="仿宋" w:eastAsia="仿宋" w:cs="仿宋"/>
          <w:sz w:val="30"/>
          <w:szCs w:val="30"/>
        </w:rPr>
      </w:pPr>
    </w:p>
    <w:p>
      <w:pPr>
        <w:pStyle w:val="5"/>
        <w:spacing w:before="0" w:after="0" w:line="420" w:lineRule="exact"/>
        <w:rPr>
          <w:rFonts w:hint="eastAsia" w:ascii="仿宋" w:hAnsi="仿宋" w:eastAsia="仿宋" w:cs="仿宋"/>
          <w:sz w:val="30"/>
          <w:szCs w:val="30"/>
        </w:rPr>
      </w:pPr>
    </w:p>
    <w:p>
      <w:pPr>
        <w:rPr>
          <w:rFonts w:hint="eastAsia" w:ascii="仿宋" w:hAnsi="仿宋" w:eastAsia="仿宋" w:cs="仿宋"/>
          <w:b/>
          <w:bCs/>
          <w:color w:val="auto"/>
          <w:kern w:val="2"/>
          <w:sz w:val="30"/>
          <w:szCs w:val="30"/>
        </w:rPr>
      </w:pPr>
    </w:p>
    <w:p>
      <w:pPr>
        <w:pStyle w:val="4"/>
        <w:rPr>
          <w:rFonts w:hint="eastAsia" w:ascii="仿宋" w:hAnsi="仿宋" w:eastAsia="仿宋" w:cs="仿宋"/>
          <w:bCs/>
          <w:color w:val="auto"/>
          <w:kern w:val="2"/>
          <w:sz w:val="30"/>
          <w:szCs w:val="30"/>
        </w:rPr>
      </w:pPr>
    </w:p>
    <w:p>
      <w:pPr>
        <w:rPr>
          <w:rFonts w:hint="eastAsia" w:ascii="仿宋" w:hAnsi="仿宋" w:eastAsia="仿宋" w:cs="仿宋"/>
          <w:b/>
          <w:bCs/>
          <w:color w:val="auto"/>
          <w:kern w:val="2"/>
          <w:sz w:val="30"/>
          <w:szCs w:val="30"/>
        </w:rPr>
      </w:pPr>
    </w:p>
    <w:p>
      <w:pPr>
        <w:pStyle w:val="5"/>
        <w:spacing w:before="0" w:after="0" w:line="420" w:lineRule="exact"/>
        <w:rPr>
          <w:rFonts w:hint="eastAsia" w:ascii="仿宋" w:hAnsi="仿宋" w:eastAsia="仿宋" w:cs="仿宋"/>
          <w:sz w:val="30"/>
          <w:szCs w:val="30"/>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
        <w:rPr>
          <w:rFonts w:hint="eastAsia" w:ascii="仿宋" w:hAnsi="仿宋" w:eastAsia="仿宋" w:cs="仿宋"/>
        </w:rPr>
      </w:pPr>
    </w:p>
    <w:p>
      <w:pPr>
        <w:rPr>
          <w:rFonts w:hint="eastAsia" w:ascii="仿宋" w:hAnsi="仿宋" w:eastAsia="仿宋" w:cs="仿宋"/>
        </w:rPr>
      </w:pPr>
    </w:p>
    <w:p>
      <w:pPr>
        <w:pStyle w:val="2"/>
        <w:rPr>
          <w:rFonts w:hint="eastAsia"/>
        </w:rPr>
      </w:pPr>
    </w:p>
    <w:p>
      <w:pPr>
        <w:pStyle w:val="5"/>
        <w:spacing w:before="0" w:after="0" w:line="420" w:lineRule="exact"/>
        <w:jc w:val="center"/>
        <w:rPr>
          <w:rFonts w:hint="eastAsia" w:ascii="仿宋" w:hAnsi="仿宋" w:eastAsia="仿宋" w:cs="仿宋"/>
          <w:sz w:val="30"/>
          <w:szCs w:val="30"/>
        </w:rPr>
      </w:pPr>
      <w:r>
        <w:rPr>
          <w:rFonts w:hint="eastAsia" w:ascii="仿宋" w:hAnsi="仿宋" w:eastAsia="仿宋" w:cs="仿宋"/>
          <w:sz w:val="30"/>
          <w:szCs w:val="30"/>
        </w:rPr>
        <w:t>四、开  标</w:t>
      </w:r>
      <w:bookmarkEnd w:id="4"/>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bCs/>
          <w:color w:val="auto"/>
          <w:sz w:val="24"/>
        </w:rPr>
        <w:t>19.</w:t>
      </w:r>
      <w:r>
        <w:rPr>
          <w:rFonts w:hint="eastAsia" w:ascii="仿宋" w:hAnsi="仿宋" w:eastAsia="仿宋" w:cs="仿宋"/>
          <w:b/>
          <w:color w:val="auto"/>
          <w:sz w:val="24"/>
        </w:rPr>
        <w:t>开标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19.1采购代理机构将在前附表规定的时间、地点进行开标。无关人员不得进入开标现场。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19.2本项目实行电子开评标，投标人无须前往开评标现场，只需在规定时间内在“政采云”平台上上传电子投标文件。 </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20.开标程序</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20.2评标委员会对投标人的资格和商务技术响应文件进行评审；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20.3对技术标有效的投标单位的投标报价在“政采云”平台上予以公开；</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20.4评标委员会对技术标有效的投标单位进行投标报价评审，确定投标报价评审有效投标单位；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20.5对投标报价评审后有效的投标单位计算投标报价分和综合得分；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20.6确定预中标人。</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特别说明：</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1、政采云公司如对电子化开标及评审程序有调整的，按调整后的程序操作。</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2、如中标单位投标文件和招标文件要求不一致，且评审过程中未发现的，履约应按有利于采购人的要求执行。</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3、采购过程中出现以下情形，导致电子交易平台无法正常运行，或者无法保证电子交易的公平、公正和安全时，采购组织机构可中止电子交易活动：</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（一）电子交易平台发生故障而无法登录访问的； </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（二）电子交易平台应用或数据库出现错误，不能进行正常操作的；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（三）电子交易平台发现严重安全漏洞，有潜在泄密危险的；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（四）病毒发作导致不能进行正常操作的； </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（五）其他无法保证电子交易的公平、公正和安全的情况。</w:t>
      </w:r>
    </w:p>
    <w:p>
      <w:pPr>
        <w:pStyle w:val="26"/>
        <w:spacing w:line="360" w:lineRule="auto"/>
        <w:ind w:firstLine="480" w:firstLineChars="200"/>
        <w:rPr>
          <w:rFonts w:hint="eastAsia" w:ascii="仿宋" w:hAnsi="仿宋" w:eastAsia="仿宋" w:cs="仿宋"/>
        </w:rPr>
      </w:pPr>
      <w:r>
        <w:rPr>
          <w:rFonts w:hint="eastAsia" w:ascii="仿宋" w:hAnsi="仿宋" w:eastAsia="仿宋" w:cs="仿宋"/>
          <w:sz w:val="24"/>
        </w:rPr>
        <w:t> 出现前款规定情形，不影响采购公平、公正性的，采购组织机构可以待上述情形消除后继续组织电子交易活动；影响或可能影响采购公平、公正性的，应当重新采购。</w:t>
      </w:r>
      <w:bookmarkStart w:id="5" w:name="_Toc125344508"/>
    </w:p>
    <w:p>
      <w:pPr>
        <w:pStyle w:val="5"/>
        <w:spacing w:before="0" w:after="0" w:line="420" w:lineRule="exact"/>
        <w:jc w:val="center"/>
        <w:rPr>
          <w:rFonts w:hint="eastAsia" w:ascii="仿宋" w:hAnsi="仿宋" w:eastAsia="仿宋" w:cs="仿宋"/>
          <w:sz w:val="30"/>
          <w:szCs w:val="30"/>
        </w:rPr>
      </w:pPr>
      <w:r>
        <w:rPr>
          <w:rFonts w:hint="eastAsia" w:ascii="仿宋" w:hAnsi="仿宋" w:eastAsia="仿宋" w:cs="仿宋"/>
          <w:sz w:val="30"/>
          <w:szCs w:val="30"/>
        </w:rPr>
        <w:t>五、评　标</w:t>
      </w:r>
      <w:bookmarkEnd w:id="5"/>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组建评标委员会</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评标委员会按照有关规定组建，</w:t>
      </w:r>
      <w:r>
        <w:rPr>
          <w:rFonts w:hint="eastAsia" w:ascii="仿宋" w:hAnsi="仿宋" w:eastAsia="仿宋" w:cs="仿宋"/>
          <w:color w:val="000000"/>
          <w:sz w:val="24"/>
        </w:rPr>
        <w:t>由</w:t>
      </w:r>
      <w:r>
        <w:rPr>
          <w:rFonts w:hint="eastAsia" w:ascii="仿宋" w:hAnsi="仿宋" w:eastAsia="仿宋" w:cs="仿宋"/>
          <w:color w:val="000000"/>
          <w:sz w:val="24"/>
          <w:u w:val="single"/>
        </w:rPr>
        <w:t>1</w:t>
      </w:r>
      <w:r>
        <w:rPr>
          <w:rFonts w:hint="eastAsia" w:ascii="仿宋" w:hAnsi="仿宋" w:eastAsia="仿宋" w:cs="仿宋"/>
          <w:color w:val="000000"/>
          <w:sz w:val="24"/>
        </w:rPr>
        <w:t>位采购人代表和</w:t>
      </w:r>
      <w:r>
        <w:rPr>
          <w:rFonts w:hint="eastAsia" w:ascii="仿宋" w:hAnsi="仿宋" w:eastAsia="仿宋" w:cs="仿宋"/>
          <w:color w:val="000000"/>
          <w:sz w:val="24"/>
          <w:u w:val="single"/>
          <w:lang w:val="en-US" w:eastAsia="zh-CN"/>
        </w:rPr>
        <w:t>4</w:t>
      </w:r>
      <w:r>
        <w:rPr>
          <w:rFonts w:hint="eastAsia" w:ascii="仿宋" w:hAnsi="仿宋" w:eastAsia="仿宋" w:cs="仿宋"/>
          <w:color w:val="000000"/>
          <w:sz w:val="24"/>
        </w:rPr>
        <w:t>位评审专家组成</w:t>
      </w:r>
      <w:r>
        <w:rPr>
          <w:rFonts w:hint="eastAsia" w:ascii="仿宋" w:hAnsi="仿宋" w:eastAsia="仿宋" w:cs="仿宋"/>
          <w:sz w:val="24"/>
        </w:rPr>
        <w:t>。</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22.评标原则</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22.1评标委员会必须公平、公正、客观，不带任何倾向性和启发性；</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22.2不得向外界透露任何与评标有关的内容；</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22.3任何单位和个人不得干扰、影响评标的正常进行；</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22.4评标委员会及有关工作人员不得私下与投标人接触。</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bCs/>
          <w:color w:val="auto"/>
          <w:sz w:val="24"/>
        </w:rPr>
        <w:t>22.6以</w:t>
      </w:r>
      <w:r>
        <w:rPr>
          <w:rFonts w:hint="eastAsia" w:ascii="仿宋" w:hAnsi="仿宋" w:eastAsia="仿宋" w:cs="仿宋"/>
          <w:color w:val="auto"/>
          <w:sz w:val="24"/>
        </w:rPr>
        <w:t>联合体形式参加政府采购活动的，联合体各方不得再单独参加或者与其他供应商另外组成联合体参加同一合同项下的政府采购活动。</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22.7除单一来源采购以外，为采购项目提供整体设计、规范编制或者项目管理、监理、检测等服务的供应商，不得参加本采购项目。</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22.8单位负责人为同一人或者存在直接控股、管理关系的不同供应商，不得参加同一合同项下的政府采购活动。</w:t>
      </w:r>
    </w:p>
    <w:p>
      <w:pPr>
        <w:pStyle w:val="18"/>
        <w:snapToGrid w:val="0"/>
        <w:spacing w:line="360" w:lineRule="auto"/>
        <w:ind w:firstLine="480" w:firstLineChars="200"/>
        <w:rPr>
          <w:rFonts w:hint="eastAsia" w:ascii="仿宋" w:hAnsi="仿宋" w:eastAsia="仿宋" w:cs="仿宋"/>
          <w:bCs/>
        </w:rPr>
      </w:pPr>
      <w:r>
        <w:rPr>
          <w:rFonts w:hint="eastAsia" w:ascii="仿宋" w:hAnsi="仿宋" w:eastAsia="仿宋" w:cs="仿宋"/>
          <w:bCs/>
        </w:rPr>
        <w:t>22.9本项目涉及提供的有关资质证书，若原有资质证书处于年审期间，投标人提供年审证明的可按原资质投标；若投标人正在申报上一级别资质，在未获批准之前，仍按原级别资质投标。</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23.评标程序</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23.1资格审查</w:t>
      </w:r>
    </w:p>
    <w:p>
      <w:pPr>
        <w:snapToGrid w:val="0"/>
        <w:spacing w:line="360" w:lineRule="auto"/>
        <w:ind w:firstLine="470" w:firstLineChars="196"/>
        <w:rPr>
          <w:rFonts w:hint="eastAsia" w:ascii="仿宋" w:hAnsi="仿宋" w:eastAsia="仿宋" w:cs="仿宋"/>
          <w:b/>
          <w:bCs/>
          <w:color w:val="auto"/>
          <w:sz w:val="24"/>
        </w:rPr>
      </w:pPr>
      <w:r>
        <w:rPr>
          <w:rFonts w:hint="eastAsia" w:ascii="仿宋" w:hAnsi="仿宋" w:eastAsia="仿宋" w:cs="仿宋"/>
          <w:color w:val="auto"/>
          <w:sz w:val="24"/>
        </w:rPr>
        <w:t>评标委员会对投标人的资格进行审查。</w:t>
      </w:r>
    </w:p>
    <w:p>
      <w:pPr>
        <w:snapToGrid w:val="0"/>
        <w:spacing w:line="360" w:lineRule="auto"/>
        <w:ind w:firstLine="472" w:firstLineChars="196"/>
        <w:rPr>
          <w:rFonts w:hint="eastAsia" w:ascii="仿宋" w:hAnsi="仿宋" w:eastAsia="仿宋" w:cs="仿宋"/>
          <w:b/>
          <w:bCs/>
          <w:color w:val="auto"/>
          <w:sz w:val="24"/>
          <w:szCs w:val="20"/>
        </w:rPr>
      </w:pPr>
      <w:r>
        <w:rPr>
          <w:rFonts w:hint="eastAsia" w:ascii="仿宋" w:hAnsi="仿宋" w:eastAsia="仿宋" w:cs="仿宋"/>
          <w:b/>
          <w:bCs/>
          <w:color w:val="auto"/>
          <w:sz w:val="24"/>
        </w:rPr>
        <w:t>23.2形式审查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rPr>
        <w:t>评标委员会对投标人的</w:t>
      </w:r>
      <w:r>
        <w:rPr>
          <w:rFonts w:hint="eastAsia" w:ascii="仿宋" w:hAnsi="仿宋" w:eastAsia="仿宋" w:cs="仿宋"/>
          <w:color w:val="auto"/>
          <w:sz w:val="24"/>
        </w:rPr>
        <w:t>投标文件的完整性、合法性等进行审查。</w:t>
      </w:r>
    </w:p>
    <w:p>
      <w:pPr>
        <w:snapToGrid w:val="0"/>
        <w:spacing w:line="360" w:lineRule="auto"/>
        <w:ind w:firstLine="472" w:firstLineChars="196"/>
        <w:rPr>
          <w:rFonts w:hint="eastAsia" w:ascii="仿宋" w:hAnsi="仿宋" w:eastAsia="仿宋" w:cs="仿宋"/>
          <w:b/>
          <w:bCs/>
          <w:color w:val="auto"/>
          <w:sz w:val="24"/>
          <w:szCs w:val="20"/>
        </w:rPr>
      </w:pPr>
      <w:r>
        <w:rPr>
          <w:rFonts w:hint="eastAsia" w:ascii="仿宋" w:hAnsi="仿宋" w:eastAsia="仿宋" w:cs="仿宋"/>
          <w:b/>
          <w:bCs/>
          <w:color w:val="auto"/>
          <w:sz w:val="24"/>
        </w:rPr>
        <w:t>23.3实质审查与比较</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26"/>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23.3.4如果投标文件实质不响应招标文件的各项要求，评标委员会将予以拒绝，并且不允许投标人通过修改或撤销其不符合要求的差异或保留，使之成为具有响应性的投标。</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23.3.5各投标人的技术得分为所有评委的有效评分的算术平均数。</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23.3.6评标委员会完成评标后,评委对各部分得分汇总,计算出本项目最终得分。评标委员会按评标原则推荐中标候选人，同时起草评标报告。</w:t>
      </w:r>
    </w:p>
    <w:p>
      <w:pPr>
        <w:pStyle w:val="26"/>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23.3.7评标委员会对明显不合理的投标报价，有权要求投标人在规定时间内提交说明，投标人不能提供的或提供的材料不能说明问题的，评标委员会可以判定其投标无效。</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bCs/>
          <w:color w:val="auto"/>
          <w:sz w:val="24"/>
          <w:szCs w:val="24"/>
        </w:rPr>
        <w:t>24.</w:t>
      </w:r>
      <w:r>
        <w:rPr>
          <w:rFonts w:hint="eastAsia" w:ascii="仿宋" w:hAnsi="仿宋" w:eastAsia="仿宋" w:cs="仿宋"/>
          <w:color w:val="auto"/>
          <w:sz w:val="24"/>
          <w:szCs w:val="24"/>
        </w:rPr>
        <w:t>如投标人或采购人有下列情形之一的，应按串通投标行为认定，禁止其一至三年内进入本市政府采购市场，情节严重的移送有关部门依法处理。</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 xml:space="preserve">24.1不同投标人的投标文件由同一单位或人员编制； </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24.2不同投标人委托同一单位或个人办理投标事宜；</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24.3不同投标人的投标文件载明的项目管理或联系人员为同一人；</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 xml:space="preserve">24.4不同投标人的投标文件异常一致或者投标报价呈规律性差异； </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24.5不同投标人的投标文件遗留其他投标人不属于本投标人参加政府采购必需的信息资料的；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 xml:space="preserve">24.6不同投标人的授权代表为同一单位的工作人员的；   </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24.7采购响应截止时间后，采购人协助投标人撤换或更改投标文件的；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24.8采购人泄露有意向参加政府采购的投标人名称、数量等应当保密的事项的；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24.9不同投标人之间私下达成书面或口头协议，指定一家投标人中标或轮流中标的；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24.10属于同一集团、协会、商会等组织成员的投标人按照该组织要求协同的投标；</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24.11投标人之间为谋取中标或者排斥特定投标人而采取的其他联合行动；</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24.12不同投标人与同一投标人联合投标的；</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24.13采购人（或采购代理机构）明示或者暗示投标人压低或者抬高投标报价；</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24.14采购人（或采购代理机构）明示或者暗示投标人为特定投标人中标提供方便；</w:t>
      </w:r>
    </w:p>
    <w:p>
      <w:pPr>
        <w:spacing w:line="360" w:lineRule="auto"/>
        <w:ind w:firstLine="477" w:firstLineChars="199"/>
        <w:rPr>
          <w:rFonts w:hint="eastAsia" w:ascii="仿宋" w:hAnsi="仿宋" w:eastAsia="仿宋" w:cs="仿宋"/>
          <w:color w:val="auto"/>
          <w:sz w:val="24"/>
          <w:szCs w:val="24"/>
        </w:rPr>
      </w:pPr>
      <w:r>
        <w:rPr>
          <w:rFonts w:hint="eastAsia" w:ascii="仿宋" w:hAnsi="仿宋" w:eastAsia="仿宋" w:cs="仿宋"/>
          <w:color w:val="auto"/>
          <w:sz w:val="24"/>
          <w:szCs w:val="24"/>
        </w:rPr>
        <w:t>24.15采购人（或采购代理机构）与投标人为谋求特定投标人中标而采取的其他串通行为；</w:t>
      </w:r>
    </w:p>
    <w:p>
      <w:pPr>
        <w:snapToGrid w:val="0"/>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24.16法律、法规或规章规定的其他串通行为。</w:t>
      </w:r>
    </w:p>
    <w:p>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25.投标文件的澄清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8"/>
        <w:snapToGrid w:val="0"/>
        <w:spacing w:line="360" w:lineRule="auto"/>
        <w:ind w:left="241" w:hanging="241" w:hangingChars="100"/>
        <w:rPr>
          <w:rFonts w:hint="eastAsia" w:ascii="仿宋" w:hAnsi="仿宋" w:eastAsia="仿宋" w:cs="仿宋"/>
          <w:b/>
        </w:rPr>
      </w:pPr>
      <w:r>
        <w:rPr>
          <w:rFonts w:hint="eastAsia" w:ascii="仿宋" w:hAnsi="仿宋" w:eastAsia="仿宋" w:cs="仿宋"/>
          <w:b/>
        </w:rPr>
        <w:t>26.错误修正</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投标文件报价出现前后不一致的，按照下列规定修正：</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26.1投标文件中开标一览表（报价表）内容与投标文件中相应内容不一致的，以开标一览表（报价表）为准。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26.2大写金额和小写金额不一致的，以大写金额为准。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26.3单价金额小数点或者百分比有明显错位的，以开标一览表的总价为准，并修改单价。</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26.4总价金额与按单价汇总金额不一致的，以单价金额计算结果为准。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同时出现两种以上不一致的，按照上述规定的顺序修正。</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pStyle w:val="26"/>
        <w:spacing w:line="360" w:lineRule="auto"/>
        <w:ind w:firstLine="482" w:firstLineChars="200"/>
        <w:rPr>
          <w:rFonts w:hint="eastAsia" w:ascii="仿宋" w:hAnsi="仿宋" w:eastAsia="仿宋" w:cs="仿宋"/>
          <w:b/>
          <w:sz w:val="24"/>
        </w:rPr>
      </w:pPr>
      <w:r>
        <w:rPr>
          <w:rFonts w:hint="eastAsia" w:ascii="仿宋" w:hAnsi="仿宋" w:eastAsia="仿宋" w:cs="仿宋"/>
          <w:b/>
          <w:sz w:val="24"/>
        </w:rPr>
        <w:t>27.评标办法。</w:t>
      </w:r>
    </w:p>
    <w:p>
      <w:pPr>
        <w:pStyle w:val="26"/>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本项目评标办法是综合评分法，具体评标内容及评分标准等详见《第</w:t>
      </w:r>
      <w:r>
        <w:rPr>
          <w:rFonts w:hint="eastAsia" w:ascii="仿宋" w:hAnsi="仿宋" w:eastAsia="仿宋" w:cs="仿宋"/>
          <w:sz w:val="24"/>
          <w:lang w:eastAsia="zh-CN"/>
        </w:rPr>
        <w:t>四</w:t>
      </w:r>
      <w:r>
        <w:rPr>
          <w:rFonts w:hint="eastAsia" w:ascii="仿宋" w:hAnsi="仿宋" w:eastAsia="仿宋" w:cs="仿宋"/>
          <w:sz w:val="24"/>
        </w:rPr>
        <w:t>章：评标办法及评分标准》。</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28.</w:t>
      </w:r>
      <w:r>
        <w:rPr>
          <w:rFonts w:hint="eastAsia" w:ascii="仿宋" w:hAnsi="仿宋" w:eastAsia="仿宋" w:cs="仿宋"/>
          <w:b/>
          <w:bCs/>
          <w:color w:val="auto"/>
          <w:sz w:val="24"/>
        </w:rPr>
        <w:t>评标过程的保密</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28.1开标后，直到宣布授予中标人合同为止，凡属于审查、澄清、评价和比较投标文件的有关资料和授予合同的信息，采购人、评标委员会成员都不应向投标人或与该过程无关的其他人员泄露。</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6"/>
        <w:spacing w:line="360" w:lineRule="auto"/>
        <w:ind w:firstLine="480" w:firstLineChars="200"/>
        <w:rPr>
          <w:rFonts w:hint="eastAsia" w:ascii="仿宋" w:hAnsi="仿宋" w:eastAsia="仿宋" w:cs="仿宋"/>
          <w:sz w:val="30"/>
          <w:szCs w:val="30"/>
        </w:rPr>
      </w:pPr>
      <w:r>
        <w:rPr>
          <w:rFonts w:hint="eastAsia" w:ascii="仿宋" w:hAnsi="仿宋" w:eastAsia="仿宋" w:cs="仿宋"/>
          <w:sz w:val="24"/>
        </w:rPr>
        <w:t>28.3中标人确定后，采购人不对未中标人就评标过程以及未能中标原因作出任何解释。未中标人不得向评标委员会或其他有关人员索问评标过程的情况和材料。</w:t>
      </w:r>
      <w:bookmarkStart w:id="6" w:name="_Toc125344509"/>
    </w:p>
    <w:p>
      <w:pPr>
        <w:pStyle w:val="5"/>
        <w:spacing w:before="0" w:after="0" w:line="420" w:lineRule="exact"/>
        <w:jc w:val="center"/>
        <w:rPr>
          <w:rFonts w:hint="eastAsia" w:ascii="仿宋" w:hAnsi="仿宋" w:eastAsia="仿宋" w:cs="仿宋"/>
          <w:sz w:val="30"/>
          <w:szCs w:val="30"/>
        </w:rPr>
      </w:pPr>
    </w:p>
    <w:bookmarkEnd w:id="6"/>
    <w:p>
      <w:pPr>
        <w:pStyle w:val="26"/>
        <w:spacing w:line="420" w:lineRule="exact"/>
        <w:ind w:firstLine="0"/>
        <w:rPr>
          <w:rFonts w:hint="eastAsia" w:ascii="仿宋" w:hAnsi="仿宋" w:eastAsia="仿宋" w:cs="仿宋"/>
          <w:b/>
          <w:bCs/>
          <w:sz w:val="24"/>
        </w:rPr>
      </w:pPr>
    </w:p>
    <w:p>
      <w:pPr>
        <w:pStyle w:val="26"/>
        <w:spacing w:line="420" w:lineRule="exact"/>
        <w:ind w:firstLine="3614" w:firstLineChars="1200"/>
        <w:jc w:val="both"/>
        <w:rPr>
          <w:rFonts w:hint="eastAsia" w:ascii="仿宋" w:hAnsi="仿宋" w:eastAsia="仿宋" w:cs="仿宋"/>
          <w:b/>
          <w:bCs/>
          <w:sz w:val="30"/>
          <w:szCs w:val="30"/>
        </w:rPr>
      </w:pPr>
      <w:r>
        <w:rPr>
          <w:rFonts w:hint="eastAsia" w:ascii="仿宋" w:hAnsi="仿宋" w:eastAsia="仿宋" w:cs="仿宋"/>
          <w:b/>
          <w:bCs/>
          <w:sz w:val="30"/>
          <w:szCs w:val="30"/>
        </w:rPr>
        <w:t>六、定标</w:t>
      </w:r>
    </w:p>
    <w:p>
      <w:pPr>
        <w:pStyle w:val="26"/>
        <w:spacing w:line="420" w:lineRule="exact"/>
        <w:ind w:firstLine="482" w:firstLineChars="200"/>
        <w:rPr>
          <w:rFonts w:hint="eastAsia" w:ascii="仿宋" w:hAnsi="仿宋" w:eastAsia="仿宋" w:cs="仿宋"/>
          <w:b/>
          <w:bCs/>
          <w:sz w:val="24"/>
        </w:rPr>
      </w:pPr>
    </w:p>
    <w:p>
      <w:pPr>
        <w:pStyle w:val="26"/>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29.确定中标人。本项目由采购人确定中标人。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29.2第一名中标候选人无正当理由放弃中标成交或被取消中标资格的，将上报武义县财政局，武义县财政局将按《中华人民共和国政府采购法》、《武义县招投标市场不良行为记录暂行规定》等有关法律、法规、制度进行处理。</w:t>
      </w:r>
      <w:r>
        <w:rPr>
          <w:rFonts w:hint="eastAsia" w:ascii="仿宋" w:hAnsi="仿宋" w:eastAsia="仿宋" w:cs="仿宋"/>
          <w:b/>
          <w:color w:val="auto"/>
          <w:sz w:val="24"/>
        </w:rPr>
        <w:t>此标的将另行组织采购</w:t>
      </w:r>
      <w:r>
        <w:rPr>
          <w:rFonts w:hint="eastAsia" w:ascii="仿宋" w:hAnsi="仿宋" w:eastAsia="仿宋" w:cs="仿宋"/>
          <w:color w:val="auto"/>
          <w:sz w:val="24"/>
        </w:rPr>
        <w:t>。</w:t>
      </w:r>
    </w:p>
    <w:p>
      <w:pPr>
        <w:pStyle w:val="26"/>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30.中标通知与中标结果公告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30.1采购结果经采购人确认后，采购代理机构将于2个工作日内在浙江省政府采购网上发布中标公告，并同时发放《中标通知书》，中标结果公告期限为1个工作日。《中标通知书》一经发出即发生法律效力。</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31. 中标无效情形</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中标人存在下列情形之一的，中标无效：</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31.1提供虚假材料谋取中标的；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31.2采取不正当手段诋毁、排挤其他投标人的；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31.3与采购人、其他投标人恶意串通的；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31.4向采购人、采购代理机构行贿或者提供其他不正当利益的；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31.5在招标过程中与采购人进行协商谈判；不按照招标文件和投标文件订立合同或者与采购人另行背离合同实质性内容的协议的；</w:t>
      </w:r>
    </w:p>
    <w:p>
      <w:pPr>
        <w:pStyle w:val="26"/>
        <w:spacing w:line="360" w:lineRule="auto"/>
        <w:ind w:firstLine="480" w:firstLineChars="200"/>
        <w:rPr>
          <w:rFonts w:hint="eastAsia" w:ascii="仿宋" w:hAnsi="仿宋" w:eastAsia="仿宋" w:cs="仿宋"/>
          <w:sz w:val="24"/>
        </w:rPr>
      </w:pPr>
      <w:r>
        <w:rPr>
          <w:rFonts w:hint="eastAsia" w:ascii="仿宋" w:hAnsi="仿宋" w:eastAsia="仿宋" w:cs="仿宋"/>
          <w:sz w:val="24"/>
        </w:rPr>
        <w:t>31.6拖延、拒签合同的；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31.7存在法律、法规规定的其它损害采购人或采购</w:t>
      </w:r>
      <w:r>
        <w:rPr>
          <w:rFonts w:hint="eastAsia" w:ascii="仿宋" w:hAnsi="仿宋" w:eastAsia="仿宋" w:cs="仿宋"/>
          <w:color w:val="auto"/>
          <w:sz w:val="24"/>
          <w:lang w:eastAsia="zh-CN"/>
        </w:rPr>
        <w:t>人</w:t>
      </w:r>
      <w:r>
        <w:rPr>
          <w:rFonts w:hint="eastAsia" w:ascii="仿宋" w:hAnsi="仿宋" w:eastAsia="仿宋" w:cs="仿宋"/>
          <w:color w:val="auto"/>
          <w:sz w:val="24"/>
        </w:rPr>
        <w:t>利益或社会公共利益的情形的</w:t>
      </w:r>
      <w:r>
        <w:rPr>
          <w:rFonts w:hint="eastAsia" w:ascii="仿宋" w:hAnsi="仿宋" w:eastAsia="仿宋" w:cs="仿宋"/>
          <w:color w:val="auto"/>
          <w:sz w:val="24"/>
          <w:szCs w:val="24"/>
        </w:rPr>
        <w:t>。</w:t>
      </w: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32.重新招标</w:t>
      </w:r>
    </w:p>
    <w:p>
      <w:pPr>
        <w:snapToGrid w:val="0"/>
        <w:spacing w:line="360" w:lineRule="auto"/>
        <w:ind w:firstLine="470" w:firstLineChars="196"/>
        <w:rPr>
          <w:rFonts w:hint="eastAsia" w:ascii="仿宋" w:hAnsi="仿宋" w:eastAsia="仿宋" w:cs="仿宋"/>
          <w:b/>
          <w:bCs/>
          <w:color w:val="auto"/>
          <w:sz w:val="24"/>
        </w:rPr>
      </w:pPr>
      <w:r>
        <w:rPr>
          <w:rFonts w:hint="eastAsia" w:ascii="仿宋" w:hAnsi="仿宋" w:eastAsia="仿宋" w:cs="仿宋"/>
          <w:color w:val="auto"/>
          <w:sz w:val="24"/>
        </w:rPr>
        <w:t>投标截止时间及评审期间，出现有效供应商不足3家的，本项目流标，重新组织采购。</w:t>
      </w:r>
    </w:p>
    <w:p>
      <w:pPr>
        <w:snapToGrid w:val="0"/>
        <w:spacing w:line="420" w:lineRule="exact"/>
        <w:rPr>
          <w:rFonts w:hint="eastAsia" w:ascii="仿宋" w:hAnsi="仿宋" w:eastAsia="仿宋" w:cs="仿宋"/>
          <w:b/>
          <w:bCs/>
          <w:color w:val="auto"/>
          <w:sz w:val="24"/>
        </w:rPr>
      </w:pPr>
    </w:p>
    <w:p>
      <w:pPr>
        <w:snapToGrid w:val="0"/>
        <w:spacing w:line="420" w:lineRule="exact"/>
        <w:ind w:firstLine="590" w:firstLineChars="196"/>
        <w:jc w:val="center"/>
        <w:rPr>
          <w:rFonts w:hint="eastAsia" w:ascii="仿宋" w:hAnsi="仿宋" w:eastAsia="仿宋" w:cs="仿宋"/>
          <w:b/>
          <w:bCs/>
          <w:color w:val="auto"/>
          <w:sz w:val="30"/>
          <w:szCs w:val="30"/>
        </w:rPr>
      </w:pPr>
    </w:p>
    <w:p>
      <w:pPr>
        <w:snapToGrid w:val="0"/>
        <w:spacing w:line="420" w:lineRule="exact"/>
        <w:ind w:firstLine="590" w:firstLineChars="196"/>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七、授予合同</w:t>
      </w:r>
    </w:p>
    <w:p>
      <w:pPr>
        <w:snapToGrid w:val="0"/>
        <w:spacing w:line="420" w:lineRule="exact"/>
        <w:ind w:firstLine="472" w:firstLineChars="196"/>
        <w:rPr>
          <w:rFonts w:hint="eastAsia" w:ascii="仿宋" w:hAnsi="仿宋" w:eastAsia="仿宋" w:cs="仿宋"/>
          <w:b/>
          <w:bCs/>
          <w:color w:val="auto"/>
          <w:sz w:val="24"/>
        </w:rPr>
      </w:pPr>
    </w:p>
    <w:p>
      <w:pPr>
        <w:snapToGrid w:val="0"/>
        <w:spacing w:line="360" w:lineRule="auto"/>
        <w:ind w:firstLine="472" w:firstLineChars="196"/>
        <w:rPr>
          <w:rFonts w:hint="eastAsia" w:ascii="仿宋" w:hAnsi="仿宋" w:eastAsia="仿宋" w:cs="仿宋"/>
          <w:b/>
          <w:bCs/>
          <w:color w:val="auto"/>
          <w:sz w:val="24"/>
        </w:rPr>
      </w:pPr>
      <w:r>
        <w:rPr>
          <w:rFonts w:hint="eastAsia" w:ascii="仿宋" w:hAnsi="仿宋" w:eastAsia="仿宋" w:cs="仿宋"/>
          <w:b/>
          <w:bCs/>
          <w:color w:val="auto"/>
          <w:sz w:val="24"/>
        </w:rPr>
        <w:t>33.签订合同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33.1采购人与中标人应当在《中标通知书》发出之日起</w:t>
      </w:r>
      <w:r>
        <w:rPr>
          <w:rFonts w:hint="eastAsia" w:ascii="仿宋" w:hAnsi="仿宋" w:eastAsia="仿宋" w:cs="仿宋"/>
          <w:color w:val="auto"/>
          <w:sz w:val="24"/>
          <w:lang w:val="en-US" w:eastAsia="zh-CN"/>
        </w:rPr>
        <w:t>2</w:t>
      </w:r>
      <w:r>
        <w:rPr>
          <w:rFonts w:hint="eastAsia" w:ascii="仿宋" w:hAnsi="仿宋" w:eastAsia="仿宋" w:cs="仿宋"/>
          <w:color w:val="auto"/>
          <w:sz w:val="24"/>
        </w:rPr>
        <w:t>0日内签订政府采购合同。</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33.2招标文件、中标人的投标文件和评标过程中投标人的询标时作出的承诺及其澄清文件等作为合同签订的依据和主要附件。</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33.3合同一式陆份，采购</w:t>
      </w:r>
      <w:r>
        <w:rPr>
          <w:rFonts w:hint="eastAsia" w:ascii="仿宋" w:hAnsi="仿宋" w:eastAsia="仿宋" w:cs="仿宋"/>
          <w:b/>
          <w:bCs/>
          <w:color w:val="auto"/>
          <w:sz w:val="24"/>
          <w:lang w:eastAsia="zh-CN"/>
        </w:rPr>
        <w:t>人</w:t>
      </w:r>
      <w:r>
        <w:rPr>
          <w:rFonts w:hint="eastAsia" w:ascii="仿宋" w:hAnsi="仿宋" w:eastAsia="仿宋" w:cs="仿宋"/>
          <w:b/>
          <w:bCs/>
          <w:color w:val="auto"/>
          <w:sz w:val="24"/>
        </w:rPr>
        <w:t>和中标人各执两份，采购办、代理机构各执一份。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33.4中标人和采购</w:t>
      </w:r>
      <w:r>
        <w:rPr>
          <w:rFonts w:hint="eastAsia" w:ascii="仿宋" w:hAnsi="仿宋" w:eastAsia="仿宋" w:cs="仿宋"/>
          <w:color w:val="auto"/>
          <w:sz w:val="24"/>
          <w:lang w:eastAsia="zh-CN"/>
        </w:rPr>
        <w:t>人</w:t>
      </w:r>
      <w:r>
        <w:rPr>
          <w:rFonts w:hint="eastAsia" w:ascii="仿宋" w:hAnsi="仿宋" w:eastAsia="仿宋" w:cs="仿宋"/>
          <w:color w:val="auto"/>
          <w:sz w:val="24"/>
        </w:rPr>
        <w:t>不得擅自变更、中止或者终止合同，不得另外订立背离合同实质性内容的其它协议。</w:t>
      </w:r>
    </w:p>
    <w:p>
      <w:pPr>
        <w:spacing w:line="420" w:lineRule="exact"/>
        <w:rPr>
          <w:rFonts w:hint="eastAsia" w:ascii="仿宋" w:hAnsi="仿宋" w:eastAsia="仿宋" w:cs="仿宋"/>
          <w:color w:val="auto"/>
          <w:sz w:val="24"/>
        </w:rPr>
      </w:pPr>
    </w:p>
    <w:p>
      <w:pPr>
        <w:spacing w:line="420" w:lineRule="exact"/>
        <w:ind w:firstLine="602" w:firstLineChars="200"/>
        <w:jc w:val="center"/>
        <w:rPr>
          <w:rFonts w:hint="eastAsia" w:ascii="仿宋" w:hAnsi="仿宋" w:eastAsia="仿宋" w:cs="仿宋"/>
          <w:b/>
          <w:bCs/>
          <w:color w:val="auto"/>
          <w:sz w:val="30"/>
          <w:szCs w:val="30"/>
        </w:rPr>
      </w:pPr>
      <w:bookmarkStart w:id="7" w:name="_Toc339459646"/>
      <w:bookmarkStart w:id="8" w:name="_Toc352165696"/>
      <w:bookmarkStart w:id="9" w:name="_Toc125344511"/>
    </w:p>
    <w:p>
      <w:pPr>
        <w:spacing w:line="420" w:lineRule="exact"/>
        <w:ind w:firstLine="602" w:firstLineChars="20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八、质疑和投诉</w:t>
      </w:r>
    </w:p>
    <w:p>
      <w:pPr>
        <w:spacing w:line="420" w:lineRule="exact"/>
        <w:ind w:firstLine="480" w:firstLineChars="200"/>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开标过程中，投标人对开标有异议的，应当在“政采云”平台上及时提出，评审委员应对异常情况制作相关记录。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36.质疑投诉的相关规定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（一）质疑投诉递交的资料需为书面材料。质疑投诉书面材料需法人代表人（或负责人）或授权代表签字并加盖公章。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（二）质疑投诉属于以下情况之一的，将不予受理：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(1).质疑投诉人不是所投诉项目的参与者，或者与质疑投诉项目无任何利害关系。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(2).质疑投诉事项不具体，且未提供有效线索，难以查证。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(3).未提供书面质疑或者质疑未加盖公章的；投诉人为法人或者其他组织，其投诉书未经法定代表人或者主要负责人签字并加盖公章的。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(4).已超过招标文件规定质疑投诉提出期限的事项。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(5).投诉事项已作出处理决定，并且投诉人没有提出新的证据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(6).质疑投诉的事项已经进入行政复议或者行政诉讼程序的；投诉事项应先提出质疑而没有提出质疑的。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(7).不符合《政府采购质疑和投诉办法》（财政部令第94号）等有关规定的投诉。</w:t>
      </w:r>
    </w:p>
    <w:bookmarkEnd w:id="7"/>
    <w:bookmarkEnd w:id="8"/>
    <w:p>
      <w:pPr>
        <w:pStyle w:val="5"/>
        <w:spacing w:before="0" w:after="0" w:line="420" w:lineRule="exact"/>
        <w:jc w:val="center"/>
        <w:rPr>
          <w:rFonts w:hint="eastAsia" w:ascii="仿宋" w:hAnsi="仿宋" w:eastAsia="仿宋" w:cs="仿宋"/>
          <w:sz w:val="30"/>
          <w:szCs w:val="30"/>
        </w:rPr>
      </w:pPr>
    </w:p>
    <w:p>
      <w:pPr>
        <w:pStyle w:val="5"/>
        <w:spacing w:before="0" w:after="0" w:line="420" w:lineRule="exact"/>
        <w:jc w:val="center"/>
        <w:rPr>
          <w:rFonts w:hint="eastAsia" w:ascii="仿宋" w:hAnsi="仿宋" w:eastAsia="仿宋" w:cs="仿宋"/>
          <w:sz w:val="30"/>
          <w:szCs w:val="30"/>
        </w:rPr>
      </w:pPr>
    </w:p>
    <w:p>
      <w:pPr>
        <w:pStyle w:val="5"/>
        <w:spacing w:before="0" w:after="0" w:line="420" w:lineRule="exact"/>
        <w:jc w:val="center"/>
        <w:rPr>
          <w:rFonts w:hint="eastAsia" w:ascii="仿宋" w:hAnsi="仿宋" w:eastAsia="仿宋" w:cs="仿宋"/>
          <w:sz w:val="30"/>
          <w:szCs w:val="30"/>
        </w:rPr>
      </w:pPr>
      <w:r>
        <w:rPr>
          <w:rFonts w:hint="eastAsia" w:ascii="仿宋" w:hAnsi="仿宋" w:eastAsia="仿宋" w:cs="仿宋"/>
          <w:sz w:val="30"/>
          <w:szCs w:val="30"/>
        </w:rPr>
        <w:t>九、监督和解释</w:t>
      </w:r>
      <w:bookmarkEnd w:id="9"/>
    </w:p>
    <w:p>
      <w:pPr>
        <w:spacing w:line="420" w:lineRule="exact"/>
        <w:ind w:firstLine="482" w:firstLineChars="200"/>
        <w:rPr>
          <w:rFonts w:hint="eastAsia" w:ascii="仿宋" w:hAnsi="仿宋" w:eastAsia="仿宋" w:cs="仿宋"/>
          <w:b/>
          <w:bCs/>
          <w:color w:val="auto"/>
          <w:sz w:val="24"/>
        </w:rPr>
      </w:pPr>
    </w:p>
    <w:p>
      <w:pPr>
        <w:spacing w:line="420" w:lineRule="exact"/>
        <w:ind w:firstLine="480" w:firstLineChars="200"/>
        <w:rPr>
          <w:rFonts w:hint="eastAsia" w:ascii="仿宋" w:hAnsi="仿宋" w:eastAsia="仿宋" w:cs="仿宋"/>
          <w:color w:val="auto"/>
          <w:sz w:val="36"/>
          <w:szCs w:val="36"/>
        </w:rPr>
      </w:pPr>
      <w:r>
        <w:rPr>
          <w:rFonts w:hint="eastAsia" w:ascii="仿宋" w:hAnsi="仿宋" w:eastAsia="仿宋" w:cs="仿宋"/>
          <w:color w:val="auto"/>
          <w:sz w:val="24"/>
        </w:rPr>
        <w:t>37.本招标文件的解释权属于采购人和浙江日晟信息咨询有限公司。</w:t>
      </w:r>
    </w:p>
    <w:p>
      <w:pPr>
        <w:pStyle w:val="33"/>
        <w:ind w:left="0" w:leftChars="0" w:firstLine="0" w:firstLineChars="0"/>
        <w:rPr>
          <w:rFonts w:hint="eastAsia" w:ascii="仿宋" w:hAnsi="仿宋" w:eastAsia="仿宋" w:cs="仿宋"/>
          <w:sz w:val="24"/>
          <w:szCs w:val="24"/>
        </w:rPr>
      </w:pPr>
    </w:p>
    <w:p>
      <w:pPr>
        <w:rPr>
          <w:rFonts w:hint="eastAsia" w:ascii="仿宋" w:hAnsi="仿宋" w:eastAsia="仿宋" w:cs="仿宋"/>
          <w:sz w:val="24"/>
          <w:szCs w:val="24"/>
        </w:rPr>
      </w:pPr>
    </w:p>
    <w:p>
      <w:pPr>
        <w:numPr>
          <w:ilvl w:val="0"/>
          <w:numId w:val="0"/>
        </w:numPr>
        <w:spacing w:line="400" w:lineRule="exact"/>
        <w:jc w:val="both"/>
        <w:rPr>
          <w:rFonts w:hint="eastAsia" w:ascii="仿宋" w:hAnsi="仿宋" w:eastAsia="仿宋" w:cs="仿宋"/>
          <w:b/>
          <w:color w:val="auto"/>
          <w:sz w:val="36"/>
          <w:szCs w:val="36"/>
          <w:lang w:eastAsia="zh-CN"/>
        </w:rPr>
      </w:pPr>
    </w:p>
    <w:p>
      <w:pPr>
        <w:numPr>
          <w:ilvl w:val="0"/>
          <w:numId w:val="0"/>
        </w:numPr>
        <w:spacing w:line="400" w:lineRule="exact"/>
        <w:jc w:val="both"/>
        <w:rPr>
          <w:rFonts w:hint="eastAsia" w:ascii="仿宋" w:hAnsi="仿宋" w:eastAsia="仿宋" w:cs="仿宋"/>
          <w:b/>
          <w:color w:val="auto"/>
          <w:sz w:val="36"/>
          <w:szCs w:val="36"/>
          <w:lang w:eastAsia="zh-CN"/>
        </w:rPr>
      </w:pPr>
    </w:p>
    <w:p>
      <w:pPr>
        <w:numPr>
          <w:ilvl w:val="0"/>
          <w:numId w:val="0"/>
        </w:numPr>
        <w:spacing w:line="400" w:lineRule="exact"/>
        <w:jc w:val="both"/>
        <w:rPr>
          <w:rFonts w:hint="eastAsia" w:ascii="仿宋" w:hAnsi="仿宋" w:eastAsia="仿宋" w:cs="仿宋"/>
          <w:b/>
          <w:color w:val="auto"/>
          <w:sz w:val="36"/>
          <w:szCs w:val="36"/>
          <w:lang w:eastAsia="zh-CN"/>
        </w:rPr>
      </w:pPr>
    </w:p>
    <w:p>
      <w:pPr>
        <w:numPr>
          <w:ilvl w:val="0"/>
          <w:numId w:val="0"/>
        </w:numPr>
        <w:spacing w:line="400" w:lineRule="exact"/>
        <w:jc w:val="both"/>
        <w:rPr>
          <w:rFonts w:hint="eastAsia" w:ascii="仿宋" w:hAnsi="仿宋" w:eastAsia="仿宋" w:cs="仿宋"/>
          <w:b/>
          <w:color w:val="auto"/>
          <w:sz w:val="36"/>
          <w:szCs w:val="36"/>
          <w:lang w:eastAsia="zh-CN"/>
        </w:rPr>
      </w:pPr>
    </w:p>
    <w:p>
      <w:pPr>
        <w:numPr>
          <w:ilvl w:val="0"/>
          <w:numId w:val="0"/>
        </w:numPr>
        <w:spacing w:line="400" w:lineRule="exact"/>
        <w:jc w:val="both"/>
        <w:rPr>
          <w:rFonts w:hint="eastAsia" w:ascii="仿宋" w:hAnsi="仿宋" w:eastAsia="仿宋" w:cs="仿宋"/>
          <w:b/>
          <w:color w:val="auto"/>
          <w:sz w:val="36"/>
          <w:szCs w:val="36"/>
          <w:lang w:eastAsia="zh-CN"/>
        </w:rPr>
      </w:pPr>
    </w:p>
    <w:p>
      <w:pPr>
        <w:numPr>
          <w:ilvl w:val="0"/>
          <w:numId w:val="0"/>
        </w:numPr>
        <w:spacing w:line="400" w:lineRule="exact"/>
        <w:jc w:val="both"/>
        <w:rPr>
          <w:rFonts w:hint="eastAsia" w:ascii="仿宋" w:hAnsi="仿宋" w:eastAsia="仿宋" w:cs="仿宋"/>
          <w:b/>
          <w:color w:val="auto"/>
          <w:sz w:val="36"/>
          <w:szCs w:val="36"/>
          <w:lang w:eastAsia="zh-CN"/>
        </w:rPr>
      </w:pPr>
    </w:p>
    <w:p>
      <w:pPr>
        <w:numPr>
          <w:ilvl w:val="0"/>
          <w:numId w:val="0"/>
        </w:numPr>
        <w:spacing w:line="400" w:lineRule="exact"/>
        <w:jc w:val="center"/>
        <w:rPr>
          <w:rFonts w:hint="eastAsia" w:ascii="仿宋" w:hAnsi="仿宋" w:eastAsia="仿宋" w:cs="仿宋"/>
          <w:b/>
          <w:color w:val="auto"/>
          <w:sz w:val="36"/>
          <w:szCs w:val="36"/>
        </w:rPr>
      </w:pPr>
      <w:r>
        <w:rPr>
          <w:rFonts w:hint="eastAsia" w:ascii="仿宋" w:hAnsi="仿宋" w:eastAsia="仿宋" w:cs="仿宋"/>
          <w:b/>
          <w:color w:val="auto"/>
          <w:sz w:val="36"/>
          <w:szCs w:val="36"/>
          <w:lang w:eastAsia="zh-CN"/>
        </w:rPr>
        <w:t>第三章</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 xml:space="preserve"> 招标需求</w:t>
      </w:r>
    </w:p>
    <w:p>
      <w:pPr>
        <w:pStyle w:val="15"/>
        <w:numPr>
          <w:ilvl w:val="0"/>
          <w:numId w:val="0"/>
        </w:numPr>
        <w:rPr>
          <w:rFonts w:hint="eastAsia"/>
        </w:rPr>
      </w:pPr>
    </w:p>
    <w:p>
      <w:pPr>
        <w:spacing w:line="360" w:lineRule="auto"/>
        <w:jc w:val="left"/>
        <w:rPr>
          <w:rFonts w:hint="eastAsia" w:ascii="仿宋" w:hAnsi="仿宋" w:eastAsia="仿宋" w:cs="仿宋"/>
          <w:b/>
          <w:bCs/>
          <w:sz w:val="24"/>
          <w:szCs w:val="24"/>
        </w:rPr>
      </w:pPr>
      <w:r>
        <w:rPr>
          <w:rFonts w:hint="eastAsia" w:ascii="仿宋" w:hAnsi="仿宋" w:eastAsia="仿宋" w:cs="仿宋"/>
          <w:sz w:val="24"/>
          <w:szCs w:val="24"/>
        </w:rPr>
        <w:t>一、</w:t>
      </w:r>
      <w:r>
        <w:rPr>
          <w:rFonts w:hint="eastAsia" w:ascii="仿宋" w:hAnsi="仿宋" w:eastAsia="仿宋" w:cs="仿宋"/>
          <w:b/>
          <w:bCs/>
          <w:sz w:val="24"/>
          <w:szCs w:val="24"/>
        </w:rPr>
        <w:t>采购内容：</w:t>
      </w:r>
    </w:p>
    <w:p>
      <w:pPr>
        <w:autoSpaceDE/>
        <w:autoSpaceDN/>
        <w:adjustRightInd/>
        <w:spacing w:line="360" w:lineRule="auto"/>
        <w:jc w:val="left"/>
        <w:rPr>
          <w:rFonts w:hint="eastAsia" w:ascii="仿宋" w:hAnsi="仿宋" w:eastAsia="仿宋" w:cs="仿宋"/>
          <w:b/>
          <w:bCs/>
          <w:sz w:val="24"/>
          <w:szCs w:val="24"/>
        </w:rPr>
      </w:pPr>
    </w:p>
    <w:tbl>
      <w:tblPr>
        <w:tblStyle w:val="34"/>
        <w:tblW w:w="9656" w:type="dxa"/>
        <w:tblInd w:w="-202" w:type="dxa"/>
        <w:tblLayout w:type="fixed"/>
        <w:tblCellMar>
          <w:top w:w="0" w:type="dxa"/>
          <w:left w:w="108" w:type="dxa"/>
          <w:bottom w:w="0" w:type="dxa"/>
          <w:right w:w="108" w:type="dxa"/>
        </w:tblCellMar>
      </w:tblPr>
      <w:tblGrid>
        <w:gridCol w:w="644"/>
        <w:gridCol w:w="1207"/>
        <w:gridCol w:w="4195"/>
        <w:gridCol w:w="2171"/>
        <w:gridCol w:w="1439"/>
      </w:tblGrid>
      <w:tr>
        <w:tblPrEx>
          <w:tblCellMar>
            <w:top w:w="0" w:type="dxa"/>
            <w:left w:w="108" w:type="dxa"/>
            <w:bottom w:w="0" w:type="dxa"/>
            <w:right w:w="108" w:type="dxa"/>
          </w:tblCellMar>
        </w:tblPrEx>
        <w:trPr>
          <w:trHeight w:val="810"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序号</w:t>
            </w:r>
          </w:p>
        </w:tc>
        <w:tc>
          <w:tcPr>
            <w:tcW w:w="12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采购内容</w:t>
            </w:r>
          </w:p>
        </w:tc>
        <w:tc>
          <w:tcPr>
            <w:tcW w:w="419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专项债券项目名称</w:t>
            </w:r>
          </w:p>
        </w:tc>
        <w:tc>
          <w:tcPr>
            <w:tcW w:w="217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子项名称</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最高限价</w:t>
            </w:r>
          </w:p>
          <w:p>
            <w:pPr>
              <w:jc w:val="center"/>
              <w:rPr>
                <w:rFonts w:hint="eastAsia" w:ascii="仿宋" w:hAnsi="仿宋" w:eastAsia="仿宋" w:cs="仿宋"/>
                <w:b/>
                <w:bCs/>
                <w:kern w:val="2"/>
                <w:sz w:val="22"/>
                <w:szCs w:val="22"/>
              </w:rPr>
            </w:pPr>
            <w:r>
              <w:rPr>
                <w:rFonts w:hint="eastAsia" w:ascii="仿宋" w:hAnsi="仿宋" w:eastAsia="仿宋" w:cs="仿宋"/>
                <w:b/>
                <w:bCs/>
                <w:kern w:val="2"/>
                <w:sz w:val="22"/>
                <w:szCs w:val="22"/>
              </w:rPr>
              <w:t>（万元）</w:t>
            </w:r>
          </w:p>
        </w:tc>
      </w:tr>
      <w:tr>
        <w:tblPrEx>
          <w:tblCellMar>
            <w:top w:w="0" w:type="dxa"/>
            <w:left w:w="108" w:type="dxa"/>
            <w:bottom w:w="0" w:type="dxa"/>
            <w:right w:w="108" w:type="dxa"/>
          </w:tblCellMar>
        </w:tblPrEx>
        <w:trPr>
          <w:trHeight w:val="780" w:hRule="atLeast"/>
        </w:trPr>
        <w:tc>
          <w:tcPr>
            <w:tcW w:w="64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kern w:val="2"/>
              </w:rPr>
            </w:pPr>
            <w:r>
              <w:rPr>
                <w:rFonts w:hint="eastAsia" w:ascii="仿宋" w:hAnsi="仿宋" w:eastAsia="仿宋" w:cs="仿宋"/>
                <w:kern w:val="2"/>
              </w:rPr>
              <w:t>1</w:t>
            </w:r>
          </w:p>
        </w:tc>
        <w:tc>
          <w:tcPr>
            <w:tcW w:w="120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kern w:val="2"/>
              </w:rPr>
            </w:pPr>
            <w:r>
              <w:rPr>
                <w:rFonts w:hint="eastAsia" w:ascii="仿宋" w:hAnsi="仿宋" w:eastAsia="仿宋" w:cs="仿宋"/>
                <w:sz w:val="24"/>
                <w:szCs w:val="24"/>
              </w:rPr>
              <w:t>武义县公安局智慧交管项目</w:t>
            </w:r>
          </w:p>
        </w:tc>
        <w:tc>
          <w:tcPr>
            <w:tcW w:w="419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武义县城区停车场项目</w:t>
            </w:r>
          </w:p>
        </w:tc>
        <w:tc>
          <w:tcPr>
            <w:tcW w:w="217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智慧安防智能感知建设</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202</w:t>
            </w:r>
          </w:p>
        </w:tc>
      </w:tr>
      <w:tr>
        <w:tblPrEx>
          <w:tblCellMar>
            <w:top w:w="0" w:type="dxa"/>
            <w:left w:w="108" w:type="dxa"/>
            <w:bottom w:w="0" w:type="dxa"/>
            <w:right w:w="108" w:type="dxa"/>
          </w:tblCellMar>
        </w:tblPrEx>
        <w:trPr>
          <w:trHeight w:val="780" w:hRule="atLeast"/>
        </w:trPr>
        <w:tc>
          <w:tcPr>
            <w:tcW w:w="644"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kern w:val="2"/>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kern w:val="2"/>
              </w:rPr>
            </w:pPr>
          </w:p>
        </w:tc>
        <w:tc>
          <w:tcPr>
            <w:tcW w:w="419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武义县光电产业园基础设施建设项目</w:t>
            </w:r>
          </w:p>
        </w:tc>
        <w:tc>
          <w:tcPr>
            <w:tcW w:w="2171"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物联感知基础设施建设</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797</w:t>
            </w:r>
            <w:r>
              <w:rPr>
                <w:rFonts w:hint="eastAsia" w:ascii="仿宋" w:hAnsi="仿宋" w:eastAsia="仿宋" w:cs="仿宋"/>
                <w:sz w:val="24"/>
                <w:szCs w:val="24"/>
              </w:rPr>
              <w:t>.07</w:t>
            </w:r>
            <w:r>
              <w:rPr>
                <w:rFonts w:hint="eastAsia" w:ascii="仿宋" w:hAnsi="仿宋" w:eastAsia="仿宋" w:cs="仿宋"/>
                <w:sz w:val="24"/>
                <w:szCs w:val="24"/>
                <w:lang w:val="en-US" w:eastAsia="zh-CN"/>
              </w:rPr>
              <w:t>15</w:t>
            </w:r>
          </w:p>
        </w:tc>
      </w:tr>
      <w:tr>
        <w:tblPrEx>
          <w:tblCellMar>
            <w:top w:w="0" w:type="dxa"/>
            <w:left w:w="108" w:type="dxa"/>
            <w:bottom w:w="0" w:type="dxa"/>
            <w:right w:w="108" w:type="dxa"/>
          </w:tblCellMar>
        </w:tblPrEx>
        <w:trPr>
          <w:trHeight w:val="570" w:hRule="atLeast"/>
        </w:trPr>
        <w:tc>
          <w:tcPr>
            <w:tcW w:w="8217"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999</w:t>
            </w:r>
            <w:r>
              <w:rPr>
                <w:rFonts w:hint="eastAsia" w:ascii="仿宋" w:hAnsi="仿宋" w:eastAsia="仿宋" w:cs="仿宋"/>
                <w:sz w:val="24"/>
                <w:szCs w:val="24"/>
              </w:rPr>
              <w:t>.07</w:t>
            </w:r>
            <w:r>
              <w:rPr>
                <w:rFonts w:hint="eastAsia" w:ascii="仿宋" w:hAnsi="仿宋" w:eastAsia="仿宋" w:cs="仿宋"/>
                <w:sz w:val="24"/>
                <w:szCs w:val="24"/>
                <w:lang w:val="en-US" w:eastAsia="zh-CN"/>
              </w:rPr>
              <w:t>15</w:t>
            </w:r>
          </w:p>
        </w:tc>
      </w:tr>
    </w:tbl>
    <w:p>
      <w:pPr>
        <w:autoSpaceDE/>
        <w:autoSpaceDN/>
        <w:adjustRightInd/>
        <w:spacing w:line="360" w:lineRule="auto"/>
        <w:jc w:val="left"/>
        <w:rPr>
          <w:rFonts w:hint="eastAsia" w:ascii="仿宋" w:hAnsi="仿宋" w:eastAsia="仿宋" w:cs="仿宋"/>
          <w:b/>
          <w:bCs/>
          <w:sz w:val="24"/>
          <w:szCs w:val="24"/>
        </w:rPr>
      </w:pPr>
    </w:p>
    <w:p>
      <w:pPr>
        <w:autoSpaceDE/>
        <w:autoSpaceDN/>
        <w:adjustRightInd/>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二、建设背景及意义：</w:t>
      </w:r>
    </w:p>
    <w:p>
      <w:pPr>
        <w:widowControl/>
        <w:spacing w:line="360" w:lineRule="auto"/>
        <w:ind w:right="-53" w:rightChars="-25" w:firstLine="480" w:firstLineChars="200"/>
        <w:jc w:val="left"/>
        <w:rPr>
          <w:rFonts w:hint="eastAsia" w:ascii="仿宋" w:hAnsi="仿宋" w:eastAsia="仿宋" w:cs="仿宋"/>
          <w:sz w:val="24"/>
          <w:szCs w:val="24"/>
        </w:rPr>
      </w:pPr>
      <w:r>
        <w:rPr>
          <w:rFonts w:hint="eastAsia" w:ascii="仿宋" w:hAnsi="仿宋" w:eastAsia="仿宋" w:cs="仿宋"/>
          <w:sz w:val="24"/>
          <w:szCs w:val="24"/>
        </w:rPr>
        <w:t>遵循中央关于全面深化公安改革“1+3”意见方案公安部以**实战化为核心的“四项建设”，同时补齐面对动态化、信息化、智能化条件下的公安工作，当前武义县交警在交通违法警情智能分配、自动派发、事故处置闭环、勤务科学管理、信号灯管控、重点车辆管理、实景指挥业务存在一些短板，需要通过信息化建设实现交通管理效能提升。</w:t>
      </w:r>
    </w:p>
    <w:p>
      <w:pPr>
        <w:widowControl/>
        <w:spacing w:line="360" w:lineRule="auto"/>
        <w:ind w:right="-53" w:rightChars="-25" w:firstLine="480" w:firstLineChars="200"/>
        <w:jc w:val="left"/>
        <w:rPr>
          <w:rFonts w:hint="eastAsia" w:ascii="仿宋" w:hAnsi="仿宋" w:eastAsia="仿宋" w:cs="仿宋"/>
          <w:sz w:val="24"/>
          <w:szCs w:val="24"/>
        </w:rPr>
      </w:pPr>
      <w:r>
        <w:rPr>
          <w:rFonts w:hint="eastAsia" w:ascii="仿宋" w:hAnsi="仿宋" w:eastAsia="仿宋" w:cs="仿宋"/>
          <w:sz w:val="24"/>
          <w:szCs w:val="24"/>
        </w:rPr>
        <w:t>本次项目充分立足于目前武义交通管理现状，全面提升已建信息化系统，以全面贯彻落实党的十九大和十九届二中、三中、四中、五中会议精神为引领，以推进平安中国、法治中国、交通强国建设为导向，围绕“安全、畅通、便民、高效”的工作宗旨，补短板、强弱项，最终实现交通畅通、管理有序、出行便捷、百姓满意的交通管理新局面。</w:t>
      </w:r>
    </w:p>
    <w:p>
      <w:pPr>
        <w:autoSpaceDE/>
        <w:autoSpaceDN/>
        <w:adjustRightInd/>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三、功能清单：（▲号为实质性要求条款，不满足或废标，★为重要条款，不满足或被扣分；）投标人所投的设备参数应满足或优于采购需求中的技术参数。</w:t>
      </w:r>
    </w:p>
    <w:p>
      <w:pPr>
        <w:widowControl/>
        <w:spacing w:line="360" w:lineRule="auto"/>
        <w:ind w:right="-53" w:rightChars="-25"/>
        <w:jc w:val="left"/>
        <w:rPr>
          <w:rFonts w:hint="eastAsia" w:ascii="仿宋" w:hAnsi="仿宋" w:eastAsia="仿宋" w:cs="仿宋"/>
          <w:b/>
          <w:bCs/>
          <w:sz w:val="24"/>
          <w:szCs w:val="24"/>
        </w:rPr>
      </w:pPr>
    </w:p>
    <w:p>
      <w:pPr>
        <w:widowControl/>
        <w:numPr>
          <w:ilvl w:val="0"/>
          <w:numId w:val="5"/>
        </w:numPr>
        <w:spacing w:line="360" w:lineRule="auto"/>
        <w:ind w:right="-53" w:rightChars="-25"/>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武义县城区停车场项目清单</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表一：智慧交管系统建设（硬件设备）</w:t>
      </w:r>
    </w:p>
    <w:tbl>
      <w:tblPr>
        <w:tblStyle w:val="34"/>
        <w:tblW w:w="9308" w:type="dxa"/>
        <w:tblInd w:w="98" w:type="dxa"/>
        <w:tblLayout w:type="fixed"/>
        <w:tblCellMar>
          <w:top w:w="0" w:type="dxa"/>
          <w:left w:w="108" w:type="dxa"/>
          <w:bottom w:w="0" w:type="dxa"/>
          <w:right w:w="108" w:type="dxa"/>
        </w:tblCellMar>
      </w:tblPr>
      <w:tblGrid>
        <w:gridCol w:w="564"/>
        <w:gridCol w:w="887"/>
        <w:gridCol w:w="6370"/>
        <w:gridCol w:w="750"/>
        <w:gridCol w:w="737"/>
      </w:tblGrid>
      <w:tr>
        <w:tblPrEx>
          <w:tblCellMar>
            <w:top w:w="0" w:type="dxa"/>
            <w:left w:w="108" w:type="dxa"/>
            <w:bottom w:w="0" w:type="dxa"/>
            <w:right w:w="108" w:type="dxa"/>
          </w:tblCellMar>
        </w:tblPrEx>
        <w:trPr>
          <w:trHeight w:val="2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设备名称</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主要技术参数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单位</w:t>
            </w:r>
          </w:p>
        </w:tc>
      </w:tr>
      <w:tr>
        <w:tblPrEx>
          <w:tblCellMar>
            <w:top w:w="0" w:type="dxa"/>
            <w:left w:w="108" w:type="dxa"/>
            <w:bottom w:w="0" w:type="dxa"/>
            <w:right w:w="108" w:type="dxa"/>
          </w:tblCellMar>
        </w:tblPrEx>
        <w:trPr>
          <w:trHeight w:val="499"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一、硬件配套</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操作台</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1、1工位，长度1200mm，深度850-980mm，底柜深度406mm。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2、内部主框架为2.0mm冷轧钢板，台面支撑件为3.0mm冷轧钢板，防静电喷塑处理；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3、台面板具有耐热、耐烟灼、耐撞击、耐刻划、耐潮湿、耐腐蚀、防水、防静电、易清洁的性能。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4、台面板为进口的HPL防火板，无缝拼接，整体厚度不低于27mm。台面封边为软聚氨酯鸭嘴边弧形封边条及封边条；</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5、控制台板材需通过HJ2547-2016≪环境标志产品技术要求 家具≫检验，甲醛释放量≤0.01㎎/㎡，总挥发性有机物含量不超过0.02㎎/（㎡•h）；(提供相关盖章证明文件)</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6、控制台整体产品需提供Green-guard GOLD绿色卫士证书，且经过168小时测试Total Aldehydes(总醛)含量不超过0.2umol/（㎡•hr）；(提供相关盖章证明文件)</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7、阻燃级别符合GB 20286-2006 公共场所阻燃制品及组件燃烧性能要求和标识 附录C  暴露在明焰点火源下组件和家具的燃烧性能试验方法达到阻燃1级，其中热释放速率峰值小于20KW,5min内总热释放量不超过10.2MJ，一氧化碳浓度小于100ppm。(提供相关盖章证明文件)</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8、控制台整体抗震实验，根据检测依据YD 5083-2005，实验结果抗震能力达到9烈度。(提供相关盖章证明文件)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30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米</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视频网24口POE交换机</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autoSpaceDN/>
              <w:jc w:val="left"/>
              <w:rPr>
                <w:rFonts w:hint="eastAsia" w:ascii="仿宋" w:hAnsi="仿宋" w:eastAsia="仿宋"/>
                <w:sz w:val="24"/>
                <w:szCs w:val="24"/>
              </w:rPr>
            </w:pPr>
            <w:r>
              <w:rPr>
                <w:rFonts w:hint="eastAsia" w:ascii="仿宋" w:hAnsi="仿宋" w:eastAsia="仿宋"/>
                <w:sz w:val="24"/>
                <w:szCs w:val="24"/>
              </w:rPr>
              <w:t>为考虑整网方案，便于管理和维护，要求使用设备与“核心交换机”为同一品牌；</w:t>
            </w:r>
          </w:p>
          <w:p>
            <w:pPr>
              <w:widowControl/>
              <w:autoSpaceDN/>
              <w:jc w:val="left"/>
              <w:rPr>
                <w:rFonts w:hint="eastAsia" w:ascii="仿宋" w:hAnsi="仿宋" w:eastAsia="仿宋"/>
                <w:sz w:val="24"/>
                <w:szCs w:val="24"/>
              </w:rPr>
            </w:pPr>
            <w:r>
              <w:rPr>
                <w:rFonts w:hint="eastAsia" w:ascii="仿宋" w:hAnsi="仿宋" w:eastAsia="仿宋"/>
                <w:sz w:val="24"/>
                <w:szCs w:val="24"/>
              </w:rPr>
              <w:t>交换容量:≥336Gbps，包转发率≥51Mpps（提供官网截图证明，若官网存在双指标，以较小为准）；</w:t>
            </w:r>
          </w:p>
          <w:p>
            <w:pPr>
              <w:widowControl/>
              <w:autoSpaceDN/>
              <w:jc w:val="left"/>
              <w:rPr>
                <w:rFonts w:hint="eastAsia" w:ascii="仿宋" w:hAnsi="仿宋" w:eastAsia="仿宋"/>
                <w:sz w:val="24"/>
                <w:szCs w:val="24"/>
              </w:rPr>
            </w:pPr>
            <w:r>
              <w:rPr>
                <w:rFonts w:hint="eastAsia" w:ascii="仿宋" w:hAnsi="仿宋" w:eastAsia="仿宋"/>
                <w:sz w:val="24"/>
                <w:szCs w:val="24"/>
              </w:rPr>
              <w:t>≥24个10/100/1000Base-T以太网端口,≥4个千兆SFP；</w:t>
            </w:r>
          </w:p>
          <w:p>
            <w:pPr>
              <w:widowControl/>
              <w:autoSpaceDN/>
              <w:jc w:val="left"/>
              <w:rPr>
                <w:rFonts w:hint="eastAsia" w:ascii="仿宋" w:hAnsi="仿宋" w:eastAsia="仿宋"/>
                <w:sz w:val="24"/>
                <w:szCs w:val="24"/>
              </w:rPr>
            </w:pPr>
            <w:r>
              <w:rPr>
                <w:rFonts w:hint="eastAsia" w:ascii="仿宋" w:hAnsi="仿宋" w:eastAsia="仿宋"/>
                <w:sz w:val="24"/>
                <w:szCs w:val="24"/>
              </w:rPr>
              <w:t>POE功率≥370W，支持802.3at/POE+供电标准；</w:t>
            </w:r>
          </w:p>
          <w:p>
            <w:pPr>
              <w:widowControl/>
              <w:autoSpaceDN/>
              <w:jc w:val="left"/>
              <w:rPr>
                <w:rFonts w:hint="eastAsia" w:ascii="仿宋" w:hAnsi="仿宋" w:eastAsia="仿宋"/>
                <w:sz w:val="24"/>
                <w:szCs w:val="24"/>
              </w:rPr>
            </w:pPr>
            <w:r>
              <w:rPr>
                <w:rFonts w:hint="eastAsia" w:ascii="仿宋" w:hAnsi="仿宋" w:eastAsia="仿宋"/>
                <w:sz w:val="24"/>
                <w:szCs w:val="24"/>
              </w:rPr>
              <w:t>实现CPU保护功能，能限制非法报文对CPU的攻击，保护交换机在各种环境下稳定工作。要求提供权威机构颁发的第三方测试报告；</w:t>
            </w:r>
          </w:p>
          <w:p>
            <w:pPr>
              <w:widowControl/>
              <w:autoSpaceDN/>
              <w:jc w:val="left"/>
              <w:rPr>
                <w:rFonts w:hint="eastAsia" w:ascii="仿宋" w:hAnsi="仿宋" w:eastAsia="仿宋"/>
                <w:sz w:val="24"/>
                <w:szCs w:val="24"/>
              </w:rPr>
            </w:pPr>
            <w:r>
              <w:rPr>
                <w:rFonts w:hint="eastAsia" w:ascii="仿宋" w:hAnsi="仿宋" w:eastAsia="仿宋"/>
                <w:sz w:val="24"/>
                <w:szCs w:val="24"/>
              </w:rPr>
              <w:t>IP路由：支持静态路由、RIP、RIPng、OSPF；</w:t>
            </w:r>
          </w:p>
          <w:p>
            <w:pPr>
              <w:widowControl/>
              <w:autoSpaceDN/>
              <w:jc w:val="left"/>
              <w:rPr>
                <w:rFonts w:hint="eastAsia" w:ascii="仿宋" w:hAnsi="仿宋" w:eastAsia="仿宋"/>
                <w:sz w:val="24"/>
                <w:szCs w:val="24"/>
              </w:rPr>
            </w:pPr>
            <w:r>
              <w:rPr>
                <w:rFonts w:hint="eastAsia" w:ascii="仿宋" w:hAnsi="仿宋" w:eastAsia="仿宋"/>
                <w:sz w:val="24"/>
                <w:szCs w:val="24"/>
              </w:rPr>
              <w:t>★不需要额外软件网管，设备本身支持智能网关。可配合上端汇聚交换机设备实现整网拓扑可视，实现在网络设备上对整网交换机的统一管理，无需再额外配置网管平台。要求提供权威机构颁发的第三方测试报告；</w:t>
            </w:r>
          </w:p>
          <w:p>
            <w:pPr>
              <w:widowControl/>
              <w:autoSpaceDN/>
              <w:jc w:val="left"/>
              <w:rPr>
                <w:rFonts w:hint="eastAsia" w:ascii="仿宋" w:hAnsi="仿宋" w:eastAsia="仿宋"/>
                <w:sz w:val="24"/>
                <w:szCs w:val="24"/>
              </w:rPr>
            </w:pPr>
            <w:r>
              <w:rPr>
                <w:rFonts w:hint="eastAsia" w:ascii="仿宋" w:hAnsi="仿宋" w:eastAsia="仿宋"/>
                <w:sz w:val="24"/>
                <w:szCs w:val="24"/>
              </w:rPr>
              <w:t>★支持RRPP（快速环网保护协议），环网故障恢复时间不超过50ms；支持Smartlink，收敛时间≤50ms；要求提供权威机构颁发的第三方测试报告；</w:t>
            </w:r>
          </w:p>
          <w:p>
            <w:pPr>
              <w:widowControl/>
              <w:autoSpaceDN/>
              <w:jc w:val="left"/>
              <w:rPr>
                <w:rFonts w:hint="eastAsia" w:ascii="仿宋" w:hAnsi="仿宋" w:eastAsia="仿宋"/>
                <w:sz w:val="24"/>
                <w:szCs w:val="24"/>
              </w:rPr>
            </w:pPr>
            <w:r>
              <w:rPr>
                <w:rFonts w:hint="eastAsia" w:ascii="仿宋" w:hAnsi="仿宋" w:eastAsia="仿宋"/>
                <w:sz w:val="24"/>
                <w:szCs w:val="24"/>
              </w:rPr>
              <w:t>支持IPv4和IPv6静态路由、RIP V1/V2、OSPF、RIPng、OSPF v3 ；</w:t>
            </w:r>
          </w:p>
          <w:p>
            <w:pPr>
              <w:widowControl/>
              <w:autoSpaceDN/>
              <w:jc w:val="left"/>
              <w:rPr>
                <w:rFonts w:hint="eastAsia" w:ascii="仿宋" w:hAnsi="仿宋" w:eastAsia="仿宋"/>
                <w:sz w:val="24"/>
                <w:szCs w:val="24"/>
              </w:rPr>
            </w:pPr>
            <w:r>
              <w:rPr>
                <w:rFonts w:hint="eastAsia" w:ascii="仿宋" w:hAnsi="仿宋" w:eastAsia="仿宋"/>
                <w:sz w:val="24"/>
                <w:szCs w:val="24"/>
              </w:rPr>
              <w:t>支持业界领先的10KV业务端口防雷能力，使其在比较恶劣的工作环境中也能极大的降低雷击对设备的损坏率；</w:t>
            </w:r>
          </w:p>
          <w:p>
            <w:pPr>
              <w:widowControl/>
              <w:autoSpaceDN/>
              <w:jc w:val="left"/>
              <w:rPr>
                <w:rFonts w:hint="eastAsia" w:ascii="仿宋" w:hAnsi="仿宋" w:eastAsia="仿宋"/>
                <w:sz w:val="24"/>
                <w:szCs w:val="24"/>
              </w:rPr>
            </w:pPr>
            <w:r>
              <w:rPr>
                <w:rFonts w:hint="eastAsia" w:ascii="仿宋" w:hAnsi="仿宋" w:eastAsia="仿宋"/>
                <w:sz w:val="24"/>
                <w:szCs w:val="24"/>
              </w:rPr>
              <w:t>要求提供ROHS节能认证；</w:t>
            </w:r>
          </w:p>
          <w:p>
            <w:pPr>
              <w:widowControl/>
              <w:jc w:val="left"/>
              <w:textAlignment w:val="bottom"/>
              <w:rPr>
                <w:rFonts w:hint="eastAsia" w:ascii="仿宋" w:hAnsi="仿宋" w:eastAsia="仿宋" w:cs="仿宋"/>
                <w:sz w:val="24"/>
                <w:szCs w:val="24"/>
              </w:rPr>
            </w:pPr>
            <w:r>
              <w:rPr>
                <w:rFonts w:hint="eastAsia" w:ascii="仿宋" w:hAnsi="仿宋" w:eastAsia="仿宋"/>
                <w:sz w:val="24"/>
                <w:szCs w:val="24"/>
              </w:rPr>
              <w:t>为考虑产品市场成熟度，提供产品的信产部入网证和检验报告；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18</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视频网8口POE交换机</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autoSpaceDN/>
              <w:jc w:val="left"/>
              <w:rPr>
                <w:rFonts w:hint="eastAsia" w:ascii="仿宋" w:hAnsi="仿宋" w:eastAsia="仿宋"/>
                <w:sz w:val="24"/>
                <w:szCs w:val="24"/>
              </w:rPr>
            </w:pPr>
            <w:r>
              <w:rPr>
                <w:rFonts w:hint="eastAsia" w:ascii="仿宋" w:hAnsi="仿宋" w:eastAsia="仿宋"/>
                <w:sz w:val="24"/>
                <w:szCs w:val="24"/>
              </w:rPr>
              <w:t>为考虑整网方案，便于管理和维护，要求使用设备与“核心交换机”为同一品牌；</w:t>
            </w:r>
          </w:p>
          <w:p>
            <w:pPr>
              <w:widowControl/>
              <w:autoSpaceDN/>
              <w:jc w:val="left"/>
              <w:rPr>
                <w:rFonts w:hint="eastAsia" w:ascii="仿宋" w:hAnsi="仿宋" w:eastAsia="仿宋"/>
                <w:sz w:val="24"/>
                <w:szCs w:val="24"/>
              </w:rPr>
            </w:pPr>
            <w:r>
              <w:rPr>
                <w:rFonts w:hint="eastAsia" w:ascii="仿宋" w:hAnsi="仿宋" w:eastAsia="仿宋"/>
                <w:sz w:val="24"/>
                <w:szCs w:val="24"/>
              </w:rPr>
              <w:t>交换容量:≥336Gbps，包转发率≥27Mpps（提供官网截图证明，若官网存在双指标，以较小为准）；</w:t>
            </w:r>
          </w:p>
          <w:p>
            <w:pPr>
              <w:widowControl/>
              <w:autoSpaceDN/>
              <w:jc w:val="left"/>
              <w:rPr>
                <w:rFonts w:hint="eastAsia" w:ascii="仿宋" w:hAnsi="仿宋" w:eastAsia="仿宋"/>
                <w:sz w:val="24"/>
                <w:szCs w:val="24"/>
              </w:rPr>
            </w:pPr>
            <w:r>
              <w:rPr>
                <w:rFonts w:hint="eastAsia" w:ascii="仿宋" w:hAnsi="仿宋" w:eastAsia="仿宋"/>
                <w:sz w:val="24"/>
                <w:szCs w:val="24"/>
              </w:rPr>
              <w:t>★≥8个10/100/1000Base-T以太网端口,≥4个千兆SFP（其中Combo口≥2），提供官网截图证明材料；</w:t>
            </w:r>
          </w:p>
          <w:p>
            <w:pPr>
              <w:widowControl/>
              <w:autoSpaceDN/>
              <w:jc w:val="left"/>
              <w:rPr>
                <w:rFonts w:hint="eastAsia" w:ascii="仿宋" w:hAnsi="仿宋" w:eastAsia="仿宋"/>
                <w:sz w:val="24"/>
                <w:szCs w:val="24"/>
              </w:rPr>
            </w:pPr>
            <w:r>
              <w:rPr>
                <w:rFonts w:hint="eastAsia" w:ascii="仿宋" w:hAnsi="仿宋" w:eastAsia="仿宋"/>
                <w:sz w:val="24"/>
                <w:szCs w:val="24"/>
              </w:rPr>
              <w:t>含13英寸机箱挂耳附件-SOHO/低端接入-网络终端共用，；</w:t>
            </w:r>
          </w:p>
          <w:p>
            <w:pPr>
              <w:widowControl/>
              <w:autoSpaceDN/>
              <w:jc w:val="left"/>
              <w:rPr>
                <w:rFonts w:hint="eastAsia" w:ascii="仿宋" w:hAnsi="仿宋" w:eastAsia="仿宋"/>
                <w:sz w:val="24"/>
                <w:szCs w:val="24"/>
              </w:rPr>
            </w:pPr>
            <w:r>
              <w:rPr>
                <w:rFonts w:hint="eastAsia" w:ascii="仿宋" w:hAnsi="仿宋" w:eastAsia="仿宋"/>
                <w:sz w:val="24"/>
                <w:szCs w:val="24"/>
              </w:rPr>
              <w:t>POE功率≥125W，支持802.3at/POE+供电标准；</w:t>
            </w:r>
          </w:p>
          <w:p>
            <w:pPr>
              <w:widowControl/>
              <w:autoSpaceDN/>
              <w:jc w:val="left"/>
              <w:rPr>
                <w:rFonts w:hint="eastAsia" w:ascii="仿宋" w:hAnsi="仿宋" w:eastAsia="仿宋"/>
                <w:sz w:val="24"/>
                <w:szCs w:val="24"/>
              </w:rPr>
            </w:pPr>
            <w:r>
              <w:rPr>
                <w:rFonts w:hint="eastAsia" w:ascii="仿宋" w:hAnsi="仿宋" w:eastAsia="仿宋"/>
                <w:sz w:val="24"/>
                <w:szCs w:val="24"/>
              </w:rPr>
              <w:t>实现CPU保护功能，能限制非法报文对CPU的攻击，保护交换机在各种环境下稳定工作。要求提供权威机构颁发的第三方测试报告；</w:t>
            </w:r>
          </w:p>
          <w:p>
            <w:pPr>
              <w:widowControl/>
              <w:autoSpaceDN/>
              <w:jc w:val="left"/>
              <w:rPr>
                <w:rFonts w:hint="eastAsia" w:ascii="仿宋" w:hAnsi="仿宋" w:eastAsia="仿宋"/>
                <w:sz w:val="24"/>
                <w:szCs w:val="24"/>
              </w:rPr>
            </w:pPr>
            <w:r>
              <w:rPr>
                <w:rFonts w:hint="eastAsia" w:ascii="仿宋" w:hAnsi="仿宋" w:eastAsia="仿宋"/>
                <w:sz w:val="24"/>
                <w:szCs w:val="24"/>
              </w:rPr>
              <w:t>IP路由：支持静态路由、RIP、RIPng、OSPF；</w:t>
            </w:r>
          </w:p>
          <w:p>
            <w:pPr>
              <w:widowControl/>
              <w:autoSpaceDN/>
              <w:jc w:val="left"/>
              <w:rPr>
                <w:rFonts w:hint="eastAsia" w:ascii="仿宋" w:hAnsi="仿宋" w:eastAsia="仿宋"/>
                <w:sz w:val="24"/>
                <w:szCs w:val="24"/>
              </w:rPr>
            </w:pPr>
            <w:r>
              <w:rPr>
                <w:rFonts w:hint="eastAsia" w:ascii="仿宋" w:hAnsi="仿宋" w:eastAsia="仿宋"/>
                <w:sz w:val="24"/>
                <w:szCs w:val="24"/>
              </w:rPr>
              <w:t>★不需要额外软件网管，设备本身支持智能网关。可配合上端汇聚交换机设备实现整网拓扑可视，实现在网络设备上对整网交换机的统一管理，无需再额外配置网管平台。要求提供权威机构颁发的第三方测试报告；</w:t>
            </w:r>
          </w:p>
          <w:p>
            <w:pPr>
              <w:widowControl/>
              <w:autoSpaceDN/>
              <w:jc w:val="left"/>
              <w:rPr>
                <w:rFonts w:hint="eastAsia" w:ascii="仿宋" w:hAnsi="仿宋" w:eastAsia="仿宋"/>
                <w:sz w:val="24"/>
                <w:szCs w:val="24"/>
              </w:rPr>
            </w:pPr>
            <w:r>
              <w:rPr>
                <w:rFonts w:hint="eastAsia" w:ascii="仿宋" w:hAnsi="仿宋" w:eastAsia="仿宋"/>
                <w:sz w:val="24"/>
                <w:szCs w:val="24"/>
              </w:rPr>
              <w:t>★支持RRPP（快速环网保护协议），环网故障恢复时间不超过50ms；支持Smartlink，收敛时间≤50ms；要求提供权威机构颁发的第三方测试报告；</w:t>
            </w:r>
          </w:p>
          <w:p>
            <w:pPr>
              <w:widowControl/>
              <w:autoSpaceDN/>
              <w:jc w:val="left"/>
              <w:rPr>
                <w:rFonts w:hint="eastAsia" w:ascii="仿宋" w:hAnsi="仿宋" w:eastAsia="仿宋"/>
                <w:sz w:val="24"/>
                <w:szCs w:val="24"/>
              </w:rPr>
            </w:pPr>
            <w:r>
              <w:rPr>
                <w:rFonts w:hint="eastAsia" w:ascii="仿宋" w:hAnsi="仿宋" w:eastAsia="仿宋"/>
                <w:sz w:val="24"/>
                <w:szCs w:val="24"/>
              </w:rPr>
              <w:t>支持IPv4和IPv6静态路由、RIP V1/V2、OSPF、RIPng、OSPF v3 ；</w:t>
            </w:r>
          </w:p>
          <w:p>
            <w:pPr>
              <w:widowControl/>
              <w:autoSpaceDN/>
              <w:jc w:val="left"/>
              <w:rPr>
                <w:rFonts w:hint="eastAsia" w:ascii="仿宋" w:hAnsi="仿宋" w:eastAsia="仿宋"/>
                <w:sz w:val="24"/>
                <w:szCs w:val="24"/>
              </w:rPr>
            </w:pPr>
            <w:r>
              <w:rPr>
                <w:rFonts w:hint="eastAsia" w:ascii="仿宋" w:hAnsi="仿宋" w:eastAsia="仿宋"/>
                <w:sz w:val="24"/>
                <w:szCs w:val="24"/>
              </w:rPr>
              <w:t>支持业界领先的10KV业务端口防雷能力，使其在比较恶劣的工作环境中也能极大的降低雷击对设备的损坏率；</w:t>
            </w:r>
          </w:p>
          <w:p>
            <w:pPr>
              <w:widowControl/>
              <w:jc w:val="left"/>
              <w:textAlignment w:val="bottom"/>
              <w:rPr>
                <w:rFonts w:hint="eastAsia" w:ascii="仿宋" w:hAnsi="仿宋" w:eastAsia="仿宋" w:cs="仿宋"/>
                <w:sz w:val="24"/>
                <w:szCs w:val="24"/>
              </w:rPr>
            </w:pPr>
            <w:r>
              <w:rPr>
                <w:rFonts w:hint="eastAsia" w:ascii="仿宋" w:hAnsi="仿宋" w:eastAsia="仿宋"/>
                <w:sz w:val="24"/>
                <w:szCs w:val="24"/>
              </w:rPr>
              <w:t>为考虑产品市场成熟度，提供产品的信产部入网证和检验报告；市场成熟度，提供产品的信产部入网证和检验报告；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9</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千兆光模块</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光模块-SFP-GE-单模模块-(1310nm,10km,LC)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公安网网管平台</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autoSpaceDN/>
              <w:jc w:val="left"/>
              <w:rPr>
                <w:rFonts w:hint="eastAsia" w:ascii="仿宋" w:hAnsi="仿宋" w:eastAsia="仿宋"/>
                <w:sz w:val="24"/>
                <w:szCs w:val="24"/>
              </w:rPr>
            </w:pPr>
            <w:r>
              <w:rPr>
                <w:rFonts w:hint="eastAsia" w:ascii="仿宋" w:hAnsi="仿宋" w:eastAsia="仿宋"/>
                <w:sz w:val="24"/>
                <w:szCs w:val="24"/>
              </w:rPr>
              <w:t>平台资质：厂商通过CMMI 5级认证；</w:t>
            </w:r>
          </w:p>
          <w:p>
            <w:pPr>
              <w:widowControl/>
              <w:autoSpaceDN/>
              <w:jc w:val="left"/>
              <w:rPr>
                <w:rFonts w:hint="eastAsia" w:ascii="仿宋" w:hAnsi="仿宋" w:eastAsia="仿宋"/>
                <w:sz w:val="24"/>
                <w:szCs w:val="24"/>
              </w:rPr>
            </w:pPr>
            <w:r>
              <w:rPr>
                <w:rFonts w:hint="eastAsia" w:ascii="仿宋" w:hAnsi="仿宋" w:eastAsia="仿宋"/>
                <w:sz w:val="24"/>
                <w:szCs w:val="24"/>
              </w:rPr>
              <w:t xml:space="preserve">★实配≥100*物理网元，≥500*终端认证授权； </w:t>
            </w:r>
          </w:p>
          <w:p>
            <w:pPr>
              <w:widowControl/>
              <w:autoSpaceDN/>
              <w:jc w:val="left"/>
              <w:rPr>
                <w:rFonts w:hint="eastAsia" w:ascii="仿宋" w:hAnsi="仿宋" w:eastAsia="仿宋"/>
                <w:sz w:val="24"/>
                <w:szCs w:val="24"/>
              </w:rPr>
            </w:pPr>
            <w:r>
              <w:rPr>
                <w:rFonts w:hint="eastAsia" w:ascii="仿宋" w:hAnsi="仿宋" w:eastAsia="仿宋"/>
                <w:sz w:val="24"/>
                <w:szCs w:val="24"/>
              </w:rPr>
              <w:t>用户分权管理：可以为不同的管理员设置不同的用户名、密码，并限制管理员的管理权限和管理范围，实现用户分权管理。</w:t>
            </w:r>
          </w:p>
          <w:p>
            <w:pPr>
              <w:widowControl/>
              <w:autoSpaceDN/>
              <w:jc w:val="left"/>
              <w:rPr>
                <w:rFonts w:hint="eastAsia" w:ascii="仿宋" w:hAnsi="仿宋" w:eastAsia="仿宋"/>
                <w:sz w:val="24"/>
                <w:szCs w:val="24"/>
              </w:rPr>
            </w:pPr>
            <w:r>
              <w:rPr>
                <w:rFonts w:hint="eastAsia" w:ascii="仿宋" w:hAnsi="仿宋" w:eastAsia="仿宋"/>
                <w:sz w:val="24"/>
                <w:szCs w:val="24"/>
              </w:rPr>
              <w:t>★支持自定义用户主页：管理员可以首页中通过拖拽，自定义需要在首页展示页面，同时支持Widget扩展，提供产品截图证明材料。</w:t>
            </w:r>
          </w:p>
          <w:p>
            <w:pPr>
              <w:widowControl/>
              <w:autoSpaceDN/>
              <w:jc w:val="left"/>
              <w:rPr>
                <w:rFonts w:hint="eastAsia" w:ascii="仿宋" w:hAnsi="仿宋" w:eastAsia="仿宋"/>
                <w:sz w:val="24"/>
                <w:szCs w:val="24"/>
              </w:rPr>
            </w:pPr>
            <w:r>
              <w:rPr>
                <w:rFonts w:hint="eastAsia" w:ascii="仿宋" w:hAnsi="仿宋" w:eastAsia="仿宋"/>
                <w:sz w:val="24"/>
                <w:szCs w:val="24"/>
              </w:rPr>
              <w:t>自动发现拓扑：自动发现网络中的所有网络设备，并在拓扑中显示出来，支持拓扑图自定义修改，包括设备、链路等。</w:t>
            </w:r>
          </w:p>
          <w:p>
            <w:pPr>
              <w:widowControl/>
              <w:autoSpaceDN/>
              <w:jc w:val="left"/>
              <w:rPr>
                <w:rFonts w:hint="eastAsia" w:ascii="仿宋" w:hAnsi="仿宋" w:eastAsia="仿宋"/>
                <w:sz w:val="24"/>
                <w:szCs w:val="24"/>
              </w:rPr>
            </w:pPr>
            <w:r>
              <w:rPr>
                <w:rFonts w:hint="eastAsia" w:ascii="仿宋" w:hAnsi="仿宋" w:eastAsia="仿宋"/>
                <w:sz w:val="24"/>
                <w:szCs w:val="24"/>
              </w:rPr>
              <w:t>★支持设备与用户统一管理：支持网络管理与用户管理联动，如通过点击拓扑楼层接入交换机图标，可查看该设备所有接入用户帐户信息，查询在线用户列表、强制用户下线、下发消息、总在线用户数统计、不安全用户数统计等。，提供产品截图证明材料。</w:t>
            </w:r>
          </w:p>
          <w:p>
            <w:pPr>
              <w:widowControl/>
              <w:autoSpaceDN/>
              <w:jc w:val="left"/>
              <w:rPr>
                <w:rFonts w:hint="eastAsia" w:ascii="仿宋" w:hAnsi="仿宋" w:eastAsia="仿宋"/>
                <w:sz w:val="24"/>
                <w:szCs w:val="24"/>
              </w:rPr>
            </w:pPr>
            <w:r>
              <w:rPr>
                <w:rFonts w:hint="eastAsia" w:ascii="仿宋" w:hAnsi="仿宋" w:eastAsia="仿宋"/>
                <w:sz w:val="24"/>
                <w:szCs w:val="24"/>
              </w:rPr>
              <w:t>多种802.1X接入认证：支持PAP认证、CHAP认证、EAP-MD5认证、EAP-PAP认证、EAP-TLS认证、EAP-PEAP-MSCHAPV2认证、EAP-PEAP-MD5、EAP-GTC、EAP-TTLS认证，防客户端破解。</w:t>
            </w:r>
          </w:p>
          <w:p>
            <w:pPr>
              <w:widowControl/>
              <w:autoSpaceDN/>
              <w:jc w:val="left"/>
              <w:rPr>
                <w:rFonts w:hint="eastAsia" w:ascii="仿宋" w:hAnsi="仿宋" w:eastAsia="仿宋"/>
                <w:sz w:val="24"/>
                <w:szCs w:val="24"/>
              </w:rPr>
            </w:pPr>
            <w:r>
              <w:rPr>
                <w:rFonts w:hint="eastAsia" w:ascii="仿宋" w:hAnsi="仿宋" w:eastAsia="仿宋"/>
                <w:sz w:val="24"/>
                <w:szCs w:val="24"/>
              </w:rPr>
              <w:t>智能终端注册页面的属性定制：定制注册页面的属性，包括是否显示、是否作为必填项、配置缺省值（用户姓名、证件号码和密码支持随机生成，密码是6位数字，其它是32位大小写字母和数字组成的随机数）、调整显示顺序、修改属性的显示名称、显示许可条款。</w:t>
            </w:r>
          </w:p>
          <w:p>
            <w:pPr>
              <w:widowControl/>
              <w:autoSpaceDN/>
              <w:jc w:val="left"/>
              <w:rPr>
                <w:rFonts w:hint="eastAsia" w:ascii="仿宋" w:hAnsi="仿宋" w:eastAsia="仿宋"/>
                <w:sz w:val="24"/>
                <w:szCs w:val="24"/>
              </w:rPr>
            </w:pPr>
            <w:r>
              <w:rPr>
                <w:rFonts w:hint="eastAsia" w:ascii="仿宋" w:hAnsi="仿宋" w:eastAsia="仿宋"/>
                <w:sz w:val="24"/>
                <w:szCs w:val="24"/>
              </w:rPr>
              <w:t>支持不同的访客账号创建方式：支持公共领域访客短信认证模式、企业访客接待员手工开户模式、企业访客自助开户模式、访客开户二维码模式、接待员生成访客二维码方式；支持访客批量管理；支持访客清单打印；</w:t>
            </w:r>
          </w:p>
          <w:p>
            <w:pPr>
              <w:widowControl/>
              <w:autoSpaceDN/>
              <w:jc w:val="left"/>
              <w:rPr>
                <w:rFonts w:hint="eastAsia" w:ascii="仿宋" w:hAnsi="仿宋" w:eastAsia="仿宋"/>
                <w:sz w:val="24"/>
                <w:szCs w:val="24"/>
                <w:lang w:val="en-US" w:eastAsia="zh-CN"/>
              </w:rPr>
            </w:pPr>
            <w:r>
              <w:rPr>
                <w:rFonts w:hint="eastAsia" w:ascii="仿宋" w:hAnsi="仿宋" w:eastAsia="仿宋"/>
                <w:sz w:val="24"/>
                <w:szCs w:val="24"/>
                <w:lang w:val="en-US" w:eastAsia="zh-CN"/>
              </w:rPr>
              <w:t>硬件配置：</w:t>
            </w:r>
          </w:p>
          <w:p>
            <w:pPr>
              <w:widowControl/>
              <w:autoSpaceDN/>
              <w:jc w:val="left"/>
              <w:rPr>
                <w:rFonts w:hint="default" w:ascii="仿宋" w:hAnsi="仿宋" w:eastAsia="仿宋"/>
                <w:sz w:val="24"/>
                <w:szCs w:val="24"/>
                <w:lang w:val="en-US" w:eastAsia="zh-CN"/>
              </w:rPr>
            </w:pPr>
            <w:r>
              <w:rPr>
                <w:rFonts w:hint="eastAsia" w:ascii="仿宋" w:hAnsi="仿宋" w:eastAsia="仿宋"/>
                <w:sz w:val="24"/>
                <w:szCs w:val="24"/>
                <w:lang w:val="en-US" w:eastAsia="zh-CN"/>
              </w:rPr>
              <w:t>≥</w:t>
            </w:r>
            <w:r>
              <w:rPr>
                <w:rFonts w:hint="default" w:ascii="仿宋" w:hAnsi="仿宋" w:eastAsia="仿宋"/>
                <w:sz w:val="24"/>
                <w:szCs w:val="24"/>
                <w:lang w:val="en-US" w:eastAsia="zh-CN"/>
              </w:rPr>
              <w:t>2</w:t>
            </w:r>
            <w:r>
              <w:rPr>
                <w:rFonts w:hint="eastAsia" w:ascii="仿宋" w:hAnsi="仿宋" w:eastAsia="仿宋"/>
                <w:sz w:val="24"/>
                <w:szCs w:val="24"/>
                <w:lang w:val="en-US" w:eastAsia="zh-CN"/>
              </w:rPr>
              <w:t xml:space="preserve"> * 海光 7</w:t>
            </w:r>
            <w:r>
              <w:rPr>
                <w:rFonts w:hint="default" w:ascii="仿宋" w:hAnsi="仿宋" w:eastAsia="仿宋"/>
                <w:sz w:val="24"/>
                <w:szCs w:val="24"/>
                <w:lang w:val="en-US" w:eastAsia="zh-CN"/>
              </w:rPr>
              <w:t>260(2.2GHz/24核)CPU模块;</w:t>
            </w:r>
          </w:p>
          <w:p>
            <w:pPr>
              <w:widowControl/>
              <w:autoSpaceDN/>
              <w:jc w:val="left"/>
              <w:rPr>
                <w:rFonts w:hint="default" w:ascii="仿宋" w:hAnsi="仿宋" w:eastAsia="仿宋"/>
                <w:sz w:val="24"/>
                <w:szCs w:val="24"/>
                <w:lang w:val="en-US" w:eastAsia="zh-CN"/>
              </w:rPr>
            </w:pPr>
            <w:r>
              <w:rPr>
                <w:rFonts w:hint="eastAsia" w:ascii="仿宋" w:hAnsi="仿宋" w:eastAsia="仿宋"/>
                <w:sz w:val="24"/>
                <w:szCs w:val="24"/>
                <w:lang w:val="en-US" w:eastAsia="zh-CN"/>
              </w:rPr>
              <w:t>≥64G内存；</w:t>
            </w:r>
          </w:p>
          <w:p>
            <w:pPr>
              <w:widowControl/>
              <w:autoSpaceDN/>
              <w:jc w:val="left"/>
              <w:rPr>
                <w:rFonts w:hint="default" w:ascii="仿宋" w:hAnsi="仿宋" w:eastAsia="仿宋"/>
                <w:sz w:val="24"/>
                <w:szCs w:val="24"/>
                <w:lang w:val="en-US" w:eastAsia="zh-CN"/>
              </w:rPr>
            </w:pPr>
            <w:r>
              <w:rPr>
                <w:rFonts w:hint="eastAsia" w:ascii="仿宋" w:hAnsi="仿宋" w:eastAsia="仿宋"/>
                <w:sz w:val="24"/>
                <w:szCs w:val="24"/>
                <w:lang w:val="en-US" w:eastAsia="zh-CN"/>
              </w:rPr>
              <w:t>≥</w:t>
            </w:r>
            <w:r>
              <w:rPr>
                <w:rFonts w:hint="default" w:ascii="仿宋" w:hAnsi="仿宋" w:eastAsia="仿宋"/>
                <w:sz w:val="24"/>
                <w:szCs w:val="24"/>
                <w:lang w:val="en-US" w:eastAsia="zh-CN"/>
              </w:rPr>
              <w:t>2 * 600GB HDD硬盘;</w:t>
            </w:r>
          </w:p>
          <w:p>
            <w:pPr>
              <w:widowControl/>
              <w:autoSpaceDN/>
              <w:jc w:val="left"/>
              <w:rPr>
                <w:rFonts w:hint="default" w:ascii="仿宋" w:hAnsi="仿宋" w:eastAsia="仿宋"/>
                <w:sz w:val="24"/>
                <w:szCs w:val="24"/>
                <w:lang w:val="en-US" w:eastAsia="zh-CN"/>
              </w:rPr>
            </w:pPr>
            <w:r>
              <w:rPr>
                <w:rFonts w:hint="eastAsia" w:ascii="仿宋" w:hAnsi="仿宋" w:eastAsia="仿宋"/>
                <w:sz w:val="24"/>
                <w:szCs w:val="24"/>
                <w:lang w:val="en-US" w:eastAsia="zh-CN"/>
              </w:rPr>
              <w:t>≥</w:t>
            </w:r>
            <w:r>
              <w:rPr>
                <w:rFonts w:hint="default" w:ascii="仿宋" w:hAnsi="仿宋" w:eastAsia="仿宋"/>
                <w:sz w:val="24"/>
                <w:szCs w:val="24"/>
                <w:lang w:val="en-US" w:eastAsia="zh-CN"/>
              </w:rPr>
              <w:t>2 * 2.4TB HDD硬盘;</w:t>
            </w:r>
          </w:p>
          <w:p>
            <w:pPr>
              <w:widowControl/>
              <w:autoSpaceDN/>
              <w:jc w:val="left"/>
              <w:rPr>
                <w:rFonts w:hint="default" w:ascii="仿宋" w:hAnsi="仿宋" w:eastAsia="仿宋"/>
                <w:sz w:val="24"/>
                <w:szCs w:val="24"/>
                <w:lang w:val="en-US" w:eastAsia="zh-CN"/>
              </w:rPr>
            </w:pPr>
            <w:r>
              <w:rPr>
                <w:rFonts w:hint="eastAsia" w:ascii="仿宋" w:hAnsi="仿宋" w:eastAsia="仿宋"/>
                <w:sz w:val="24"/>
                <w:szCs w:val="24"/>
                <w:lang w:val="en-US" w:eastAsia="zh-CN"/>
              </w:rPr>
              <w:t>≥</w:t>
            </w:r>
            <w:r>
              <w:rPr>
                <w:rFonts w:hint="default" w:ascii="仿宋" w:hAnsi="仿宋" w:eastAsia="仿宋"/>
                <w:sz w:val="24"/>
                <w:szCs w:val="24"/>
                <w:lang w:val="en-US" w:eastAsia="zh-CN"/>
              </w:rPr>
              <w:t>1 * 12Gb 2端口SAS RAID卡(支持8个SAS口,</w:t>
            </w:r>
            <w:r>
              <w:rPr>
                <w:rFonts w:hint="eastAsia" w:ascii="仿宋" w:hAnsi="仿宋" w:eastAsia="仿宋"/>
                <w:sz w:val="24"/>
                <w:szCs w:val="24"/>
                <w:lang w:val="en-US" w:eastAsia="zh-CN"/>
              </w:rPr>
              <w:t>2</w:t>
            </w:r>
            <w:r>
              <w:rPr>
                <w:rFonts w:hint="default" w:ascii="仿宋" w:hAnsi="仿宋" w:eastAsia="仿宋"/>
                <w:sz w:val="24"/>
                <w:szCs w:val="24"/>
                <w:lang w:val="en-US" w:eastAsia="zh-CN"/>
              </w:rPr>
              <w:t>G缓存);</w:t>
            </w:r>
          </w:p>
          <w:p>
            <w:pPr>
              <w:widowControl/>
              <w:autoSpaceDN/>
              <w:jc w:val="left"/>
              <w:rPr>
                <w:rFonts w:hint="eastAsia" w:ascii="仿宋" w:hAnsi="仿宋" w:eastAsia="仿宋"/>
                <w:sz w:val="24"/>
                <w:szCs w:val="24"/>
                <w:lang w:val="en-US" w:eastAsia="zh-CN"/>
              </w:rPr>
            </w:pPr>
            <w:r>
              <w:rPr>
                <w:rFonts w:hint="eastAsia" w:ascii="仿宋" w:hAnsi="仿宋" w:eastAsia="仿宋"/>
                <w:sz w:val="24"/>
                <w:szCs w:val="24"/>
                <w:lang w:val="en-US" w:eastAsia="zh-CN"/>
              </w:rPr>
              <w:t>≥</w:t>
            </w:r>
            <w:r>
              <w:rPr>
                <w:rFonts w:hint="default" w:ascii="仿宋" w:hAnsi="仿宋" w:eastAsia="仿宋"/>
                <w:sz w:val="24"/>
                <w:szCs w:val="24"/>
                <w:lang w:val="en-US" w:eastAsia="zh-CN"/>
              </w:rPr>
              <w:t>2</w:t>
            </w:r>
            <w:r>
              <w:rPr>
                <w:rFonts w:hint="eastAsia" w:ascii="仿宋" w:hAnsi="仿宋" w:eastAsia="仿宋"/>
                <w:sz w:val="24"/>
                <w:szCs w:val="24"/>
                <w:lang w:val="en-US" w:eastAsia="zh-CN"/>
              </w:rPr>
              <w:t>个</w:t>
            </w:r>
            <w:r>
              <w:rPr>
                <w:rFonts w:hint="default" w:ascii="仿宋" w:hAnsi="仿宋" w:eastAsia="仿宋"/>
                <w:sz w:val="24"/>
                <w:szCs w:val="24"/>
                <w:lang w:val="en-US" w:eastAsia="zh-CN"/>
              </w:rPr>
              <w:t>万兆光接口</w:t>
            </w:r>
            <w:r>
              <w:rPr>
                <w:rFonts w:hint="eastAsia" w:ascii="仿宋" w:hAnsi="仿宋" w:eastAsia="仿宋"/>
                <w:sz w:val="24"/>
                <w:szCs w:val="24"/>
                <w:lang w:val="en-US" w:eastAsia="zh-CN"/>
              </w:rPr>
              <w:t>，≥4个千兆电口，满配万兆光模块；</w:t>
            </w:r>
          </w:p>
          <w:p>
            <w:pPr>
              <w:widowControl/>
              <w:jc w:val="left"/>
              <w:textAlignment w:val="bottom"/>
              <w:rPr>
                <w:rFonts w:hint="eastAsia" w:ascii="仿宋" w:hAnsi="仿宋" w:eastAsia="仿宋" w:cs="仿宋"/>
                <w:sz w:val="24"/>
                <w:szCs w:val="24"/>
              </w:rPr>
            </w:pPr>
            <w:r>
              <w:rPr>
                <w:rFonts w:hint="eastAsia" w:ascii="仿宋" w:hAnsi="仿宋" w:eastAsia="仿宋"/>
                <w:sz w:val="24"/>
                <w:szCs w:val="24"/>
                <w:lang w:val="en-US" w:eastAsia="zh-CN"/>
              </w:rPr>
              <w:t>≥</w:t>
            </w:r>
            <w:r>
              <w:rPr>
                <w:rFonts w:hint="default" w:ascii="仿宋" w:hAnsi="仿宋" w:eastAsia="仿宋"/>
                <w:sz w:val="24"/>
                <w:szCs w:val="24"/>
                <w:lang w:val="en-US" w:eastAsia="zh-CN"/>
              </w:rPr>
              <w:t xml:space="preserve">2 * </w:t>
            </w:r>
            <w:r>
              <w:rPr>
                <w:rFonts w:hint="eastAsia" w:ascii="仿宋" w:hAnsi="仿宋" w:eastAsia="仿宋"/>
                <w:sz w:val="24"/>
                <w:szCs w:val="24"/>
                <w:lang w:val="en-US" w:eastAsia="zh-CN"/>
              </w:rPr>
              <w:t>80</w:t>
            </w:r>
            <w:r>
              <w:rPr>
                <w:rFonts w:hint="default" w:ascii="仿宋" w:hAnsi="仿宋" w:eastAsia="仿宋"/>
                <w:sz w:val="24"/>
                <w:szCs w:val="24"/>
                <w:lang w:val="en-US" w:eastAsia="zh-CN"/>
              </w:rPr>
              <w:t xml:space="preserve">0W </w:t>
            </w:r>
            <w:r>
              <w:rPr>
                <w:rFonts w:hint="eastAsia" w:ascii="仿宋" w:hAnsi="仿宋" w:eastAsia="仿宋"/>
                <w:sz w:val="24"/>
                <w:szCs w:val="24"/>
                <w:lang w:val="en-US" w:eastAsia="zh-CN"/>
              </w:rPr>
              <w:t>白金</w:t>
            </w:r>
            <w:r>
              <w:rPr>
                <w:rFonts w:hint="default" w:ascii="仿宋" w:hAnsi="仿宋" w:eastAsia="仿宋"/>
                <w:sz w:val="24"/>
                <w:szCs w:val="24"/>
                <w:lang w:val="en-US" w:eastAsia="zh-CN"/>
              </w:rPr>
              <w:t>交流</w:t>
            </w:r>
            <w:r>
              <w:rPr>
                <w:rFonts w:hint="eastAsia" w:ascii="仿宋" w:hAnsi="仿宋" w:eastAsia="仿宋"/>
                <w:sz w:val="24"/>
                <w:szCs w:val="24"/>
                <w:lang w:val="en-US" w:eastAsia="zh-CN"/>
              </w:rPr>
              <w:t>电源；</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bidi="ar"/>
              </w:rPr>
              <w:t>铁骑专用</w:t>
            </w:r>
            <w:r>
              <w:rPr>
                <w:rFonts w:hint="eastAsia" w:ascii="仿宋" w:hAnsi="仿宋" w:eastAsia="仿宋" w:cs="仿宋"/>
                <w:sz w:val="24"/>
                <w:szCs w:val="24"/>
                <w:lang w:val="en-US" w:eastAsia="zh-CN" w:bidi="ar"/>
              </w:rPr>
              <w:t>设备</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200万1/2.8”CMOS分离式车载智能网络摄像机</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支持两路车辆抓拍，支持车牌识别、车辆属性等结果数据输出</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支持动抓动，动抓静，静抓动等情况下的车辆抓拍符合车载震动二级标准，可适用于摩托车等震动环境下使用</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采用深度学习算法，以海量图片及视频资源为路基，通过机器自身提取目标特征，形成深层可供学习的车辆、车牌图像。极大的提升了车辆车牌的检出率</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支持全网通4G，支持高精度卫星定位（北斗+GPS双模）</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支持Wi-Fi热点功能，可对接手机、警用PDA等，有配套的平台和APP</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内置64GB 存储，可按需存储录像，图片等数据</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支持LTE-TDD/LTE-FDD/TD-SCDMA/EVDO 4G无线网络传输(全网通)</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传感器类型: 1/2.8＂ progressive scan CMOS</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最低照度: 彩色：0.009Lux @ (F1.6，AGC ON),黑白：0.0004Lux @(F1.6，AGC ON),0 Lux with IR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最大图像尺寸: 1920×1080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视频压缩标准: H.265 /H.264 / MJPEG</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移动通信参数:</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制式: LTE-TDD/LTE-FDD/TD-SCDMA/UMTS/EVDO/EDGE/GPRS/GSM/CDMA</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频段: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LTE-TDD Quad-band Band 38/39/40/41</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LTE-FDD Dual-band Band 1/3/5/8</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TD-SCDMA Dual-band Band 34/39</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WCDMA Double-band Band 1/8</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CDMA1x EVDO Single band BC0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GSM Band 3/5/8</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SIM卡类型: Micro-SIM卡</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网络: 1个RJ45 10 M/100 M 自适应以太网口</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SD卡扩展: 内置Micro SD(即TF卡)/Micro SDHC/Micro SDXC插槽，最大支持256 GB; 内置64GB高性能存储颗粒</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音频: 1 input ( line in),1 output ( line out)</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报警: 2路输入，1路输出（报警输出最大支持AC24 V或DC24 V，1 A）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RS-485USB接口: USB2.0接口，用于外接WiFi热点模块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复位: 支持 电源输出: DC12 V，200 mA</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4G: 支持</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电流及功耗: DC8-36V 2.5A-0.6A; POE(802.3at 42.5V-57V 0.5A-0.4A) 20W MAX</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供电方式: PoE/DC8-36V</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电源接口类型: 2芯航空头 (配有圆头转两芯转接线)</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存储温湿度: -30℃-60℃,湿度小于95%(无凝结)</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启动及工作温湿度: -30℃-60℃,湿度小于95%(无凝结)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7</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铁骑专用分离式镜头</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200万1/2.8”CMOS分离式车载智能网络摄像机</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镜头 焦距&amp;视场角: 4mm，@F1.6，水平视场角：82°，垂直视场角：44°，对角线视场角：97°  6mm，@F1.6，水平视场角：51°，垂直视场角：27°，对角线视场角：59° </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40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8</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单兵</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【5G单兵】6.4英寸高清全面屏； ARM八核2.0Hz处理器，8GB RAM，256GB ROM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前置1600万像素相机，后置主摄像机4800万像素； 支持5G网络</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支持4K高清录像； 内置高灵敏度卫星定位模块，支持北斗，GPS定位</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三防设计，IP68防护等级 支持无线充电</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后置三摄4800万+1300万+30万像素，前置1600万相机</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支持手动/自动对焦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图片分辨率：最高4800万</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录像格式：MP4</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图片格式：JPEG</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视频压缩标准：H.264;H.265</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音频压缩标准：G.711alaw,G.711ulaw,G.722.1,PCM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音频压缩码率：8K,16K</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音频采样率：16 kHz</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屏幕尺寸：6.4英寸；分辨率：1080*2300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屏幕类型：多点电容触摸屏型</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支持5G网络，兼容4G/3G/2G</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Wi-Fi频段：2.4GHz，5.8GHz双频段</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Wi-Fi工作模式：AP;STATION；蓝牙：支持蓝牙 V5.1；定位：GPS;北斗;混合定位；NFC：支持</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操作系统：Android11.0；CPU：八核2.0 Ghz</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内存：8GB</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内置存储介质：Emmc</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内置存储容量：256GB</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扬声器：支持</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MIC：支持</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SIM卡槽：Nano SIM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充电方式：Type-C有线充电、无线充电</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外部接口：Type-C</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电池类型：不可拆卸，锂离子电池</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电池容量：5280mAh</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工作湿度：10%～90%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工作温度：-15℃～+55℃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9</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手持终端支架</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定制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19</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个</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中心存储</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4U24盘位,双路64位多核处理器,32GB内存,1颗240GB SSD，1颗960GB 索引SSD，高效冗余电源,支持SATA/SAS硬盘,2个千兆口，2个万兆口，支持网络RAID，中端高性价比，对象应用场景；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台</w:t>
            </w:r>
          </w:p>
        </w:tc>
      </w:tr>
      <w:tr>
        <w:tblPrEx>
          <w:tblCellMar>
            <w:top w:w="0" w:type="dxa"/>
            <w:left w:w="108" w:type="dxa"/>
            <w:bottom w:w="0" w:type="dxa"/>
            <w:right w:w="108" w:type="dxa"/>
          </w:tblCellMar>
        </w:tblPrEx>
        <w:trPr>
          <w:trHeight w:val="499"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二、大货车闯红灯抓拍(7个路口）</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基础改造工作</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基础重新制作、杆件拆杆、安装杆件、管路延伸、手井制作，线缆敷设、设备箱安装、光纤熔接等内容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镜头</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rPr>
              <w:t>相机更换大货车抓拍镜头、且调试场景，镜头采用1英寸 10-40变焦镜头或定焦镜头，满足大货车抓拍需求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只</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3</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全景录像机</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eastAsia" w:ascii="仿宋" w:hAnsi="仿宋" w:eastAsia="仿宋" w:cs="仿宋"/>
                <w:sz w:val="24"/>
                <w:szCs w:val="24"/>
              </w:rPr>
            </w:pPr>
            <w:r>
              <w:rPr>
                <w:rFonts w:hint="eastAsia" w:ascii="仿宋" w:hAnsi="仿宋" w:eastAsia="仿宋" w:cs="仿宋"/>
                <w:sz w:val="24"/>
                <w:szCs w:val="24"/>
                <w:lang w:bidi="ar"/>
              </w:rPr>
              <w:t>电子警察杆出加装180度全景相机，用于15-30秒闯红灯取证的辅助，</w:t>
            </w:r>
            <w:r>
              <w:rPr>
                <w:rFonts w:hint="eastAsia" w:ascii="仿宋" w:hAnsi="仿宋" w:eastAsia="仿宋" w:cs="仿宋"/>
                <w:sz w:val="24"/>
                <w:szCs w:val="24"/>
              </w:rPr>
              <w:t>电子警察杆出加装180度全景相机，用于15-30秒闯红灯取证的辅助，</w:t>
            </w:r>
          </w:p>
          <w:p>
            <w:pPr>
              <w:rPr>
                <w:rFonts w:hint="eastAsia" w:ascii="仿宋" w:hAnsi="仿宋" w:eastAsia="仿宋" w:cs="仿宋"/>
                <w:sz w:val="24"/>
                <w:szCs w:val="24"/>
              </w:rPr>
            </w:pPr>
            <w:r>
              <w:rPr>
                <w:rFonts w:hint="eastAsia" w:ascii="仿宋" w:hAnsi="仿宋" w:eastAsia="仿宋" w:cs="仿宋"/>
                <w:sz w:val="24"/>
                <w:szCs w:val="24"/>
              </w:rPr>
              <w:t>传感器类型：1/1.8" 英寸+1/1.8" 英寸CMOS；</w:t>
            </w:r>
          </w:p>
          <w:p>
            <w:pPr>
              <w:rPr>
                <w:rFonts w:hint="eastAsia" w:ascii="仿宋" w:hAnsi="仿宋" w:eastAsia="仿宋" w:cs="仿宋"/>
                <w:sz w:val="24"/>
                <w:szCs w:val="24"/>
              </w:rPr>
            </w:pPr>
            <w:r>
              <w:rPr>
                <w:rFonts w:hint="eastAsia" w:ascii="仿宋" w:hAnsi="仿宋" w:eastAsia="仿宋" w:cs="仿宋"/>
                <w:sz w:val="24"/>
                <w:szCs w:val="24"/>
              </w:rPr>
              <w:t>像素：800万，最大分辨率：4096×1800；最低照度：0.001Lux(彩色模式);0.0001Lux(黑白模式);0Lux(补光灯开启)；最大补光距离：30m；</w:t>
            </w:r>
          </w:p>
          <w:p>
            <w:pPr>
              <w:rPr>
                <w:rFonts w:hint="eastAsia" w:ascii="仿宋" w:hAnsi="仿宋" w:eastAsia="仿宋" w:cs="仿宋"/>
                <w:sz w:val="24"/>
                <w:szCs w:val="24"/>
              </w:rPr>
            </w:pPr>
            <w:r>
              <w:rPr>
                <w:rFonts w:hint="eastAsia" w:ascii="仿宋" w:hAnsi="仿宋" w:eastAsia="仿宋" w:cs="仿宋"/>
                <w:sz w:val="24"/>
                <w:szCs w:val="24"/>
              </w:rPr>
              <w:t>镜头类型：定焦，3.6mm；</w:t>
            </w:r>
          </w:p>
          <w:p>
            <w:pPr>
              <w:rPr>
                <w:rFonts w:hint="eastAsia" w:ascii="仿宋" w:hAnsi="仿宋" w:eastAsia="仿宋" w:cs="仿宋"/>
                <w:sz w:val="24"/>
                <w:szCs w:val="24"/>
              </w:rPr>
            </w:pPr>
            <w:r>
              <w:rPr>
                <w:rFonts w:hint="eastAsia" w:ascii="仿宋" w:hAnsi="仿宋" w:eastAsia="仿宋" w:cs="仿宋"/>
                <w:sz w:val="24"/>
                <w:szCs w:val="24"/>
              </w:rPr>
              <w:t>视场角：水平180°×垂直48°；</w:t>
            </w:r>
          </w:p>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rPr>
              <w:t>内置MIC：支持；内置扬声器：支持；供电方式：DC12V/POE；防护等级：IP67；★屏显示功能：可通过浏览器设置将画面分为1+1、1+3、1+5等多种分屏方式显示,子显示画面可进行任意大小、位置调节；（公安部检测报告证明）目标跟踪功能：支持在智能事件触发时,子显示画面显示放大跟踪触发目标,支持预览和回放,跟踪时长可设置（公安部检测报告证明）。</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14</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680" w:hRule="atLeast"/>
        </w:trPr>
        <w:tc>
          <w:tcPr>
            <w:tcW w:w="930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三、警用装备</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distribute"/>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bidi="ar"/>
              </w:rPr>
              <w:t>酒精测速仪</w:t>
            </w:r>
            <w:r>
              <w:rPr>
                <w:rFonts w:hint="eastAsia" w:ascii="仿宋" w:hAnsi="仿宋" w:eastAsia="仿宋" w:cs="仿宋"/>
                <w:sz w:val="24"/>
                <w:szCs w:val="24"/>
                <w:lang w:val="en-US" w:eastAsia="zh-CN" w:bidi="ar"/>
              </w:rPr>
              <w:t>(5G)</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1.采用触摸模式输入，操作方便明确。</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2.支持快速测试功能，交警路边查车时方便快速测量，提高工作效率。</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3.采用4.3英寸超大800*480彩色显示屏，显示清晰、美观。</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4.支持GPS定位，客户可选择是否需要GPS功能，用装有GPS的机测量时，可以记录测量到的经纬度。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5.鞍形吹嘴可进行言语交谈时快速测试。</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 6.弹出式吹管设计，方便又卫生。</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套</w:t>
            </w:r>
          </w:p>
        </w:tc>
      </w:tr>
      <w:tr>
        <w:tblPrEx>
          <w:tblCellMar>
            <w:top w:w="0" w:type="dxa"/>
            <w:left w:w="108" w:type="dxa"/>
            <w:bottom w:w="0" w:type="dxa"/>
            <w:right w:w="108" w:type="dxa"/>
          </w:tblCellMar>
        </w:tblPrEx>
        <w:trPr>
          <w:trHeight w:val="49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distribute"/>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bidi="ar"/>
              </w:rPr>
              <w:t>执法记录仪</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5G)</w:t>
            </w:r>
          </w:p>
        </w:tc>
        <w:tc>
          <w:tcPr>
            <w:tcW w:w="63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1.设备结构为一体式设计，材质为高强度复合材料，设备主体外表颜色为黑色；</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2.设备体积≤94.9mm*58.5mm*24.6mm；重量≤190g （不含背夹）；</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3.显示屏≥2.4英寸TFT LCD, 240*320电容触摸屏，支持触摸屏；</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4.操作系统配置不低于Android6.0 Cortex-A53架构，8核64位处理器，32GB内存；</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5.视频输入：支持前置摄像头，内置摄像机录像分辨率1920*1080；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6.视频录像：视频分辨率最高为1080P/30FPS，1280*720/720*576可选；摄录水平视场角≥105°，畸变≤15.1%，视频分辨率为1920*1080时，视频分辨力≥700线；</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7.语音播报：具备语音播报功能，提醒执法对象正在进行摄录执法，并将执法语音提示音录入当前视频</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8.支持对动态人脸自动进行检测、抓拍和跟踪，照片上传平台，与平台人脸识别库进行匹配；</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9.支持国标GB/T 28181技术规范，具备手动录入警情编号后六位数功能；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10.内置GPS和北斗二代组合定位，可在显示屏显示具体经纬度以及当前记录仪实时运动速度；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11.具备自动红外夜视开/关，滤光片自动切换，自动白平衡的功能；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12.后置相机3000万像素，，支持照片自动上传；</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13.设备在开启/低电量/低存储/故障情况下具备语音提示音；</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14.在设备进行视频、音频回放时，可进行快进、快退回放功能；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15.支持后摄同时实时现场查看，支持语音对讲指挥，支持地图定位轨迹、运行速度显示等；</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16.可通过无线通信方式以文件或流的形式传输数据，可通过内置SIM卡的通信模块传输视音频数据；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80</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hint="eastAsia" w:ascii="仿宋" w:hAnsi="仿宋" w:eastAsia="仿宋" w:cs="仿宋"/>
                <w:sz w:val="24"/>
                <w:szCs w:val="24"/>
              </w:rPr>
            </w:pPr>
            <w:r>
              <w:rPr>
                <w:rFonts w:hint="eastAsia" w:ascii="仿宋" w:hAnsi="仿宋" w:eastAsia="仿宋" w:cs="仿宋"/>
                <w:sz w:val="24"/>
                <w:szCs w:val="24"/>
                <w:lang w:bidi="ar"/>
              </w:rPr>
              <w:t>套</w:t>
            </w:r>
          </w:p>
        </w:tc>
      </w:tr>
    </w:tbl>
    <w:p>
      <w:pPr>
        <w:rPr>
          <w:rFonts w:hint="eastAsia" w:ascii="仿宋" w:hAnsi="仿宋" w:eastAsia="仿宋" w:cs="仿宋"/>
          <w:b/>
          <w:bCs/>
          <w:sz w:val="24"/>
          <w:szCs w:val="24"/>
        </w:rPr>
      </w:pPr>
    </w:p>
    <w:p>
      <w:pPr>
        <w:pStyle w:val="2"/>
        <w:rPr>
          <w:rFonts w:hint="eastAsia" w:ascii="仿宋" w:hAnsi="仿宋" w:eastAsia="仿宋" w:cs="仿宋"/>
          <w:sz w:val="24"/>
          <w:szCs w:val="24"/>
        </w:rPr>
      </w:pPr>
    </w:p>
    <w:p>
      <w:pPr>
        <w:pStyle w:val="3"/>
        <w:ind w:left="0"/>
        <w:rPr>
          <w:rFonts w:hint="eastAsia" w:ascii="仿宋" w:hAnsi="仿宋" w:eastAsia="仿宋" w:cs="仿宋"/>
          <w:b w:val="0"/>
          <w:bCs/>
          <w:color w:val="000000"/>
          <w:sz w:val="24"/>
          <w:szCs w:val="24"/>
        </w:rPr>
      </w:pPr>
    </w:p>
    <w:p>
      <w:pPr>
        <w:pStyle w:val="3"/>
        <w:numPr>
          <w:ilvl w:val="0"/>
          <w:numId w:val="6"/>
        </w:numPr>
        <w:ind w:left="0"/>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rPr>
        <w:t>武义县光电产业园基础设施建设项目清单</w:t>
      </w:r>
    </w:p>
    <w:p>
      <w:pPr>
        <w:rPr>
          <w:rFonts w:hint="eastAsia" w:ascii="仿宋" w:hAnsi="仿宋" w:eastAsia="仿宋" w:cs="仿宋"/>
          <w:sz w:val="24"/>
          <w:szCs w:val="24"/>
        </w:rPr>
      </w:pPr>
      <w:r>
        <w:rPr>
          <w:rFonts w:hint="eastAsia" w:ascii="仿宋" w:hAnsi="仿宋" w:eastAsia="仿宋" w:cs="仿宋"/>
          <w:b/>
          <w:bCs/>
          <w:sz w:val="24"/>
          <w:szCs w:val="24"/>
          <w:lang w:bidi="ar"/>
        </w:rPr>
        <w:t>表一、扁平化指挥系统（硬件设备）清单</w:t>
      </w:r>
    </w:p>
    <w:tbl>
      <w:tblPr>
        <w:tblStyle w:val="34"/>
        <w:tblW w:w="9333"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26"/>
        <w:gridCol w:w="1495"/>
        <w:gridCol w:w="4918"/>
        <w:gridCol w:w="72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4" w:type="dxa"/>
            <w:vMerge w:val="restart"/>
            <w:shd w:val="clear" w:color="auto" w:fill="FFFFFF"/>
            <w:noWrap w:val="0"/>
            <w:vAlign w:val="center"/>
          </w:tcPr>
          <w:p>
            <w:pPr>
              <w:widowControl/>
              <w:jc w:val="center"/>
              <w:textAlignment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lang w:bidi="ar"/>
              </w:rPr>
              <w:t>序号</w:t>
            </w:r>
          </w:p>
        </w:tc>
        <w:tc>
          <w:tcPr>
            <w:tcW w:w="926" w:type="dxa"/>
            <w:vMerge w:val="restart"/>
            <w:shd w:val="clear" w:color="auto" w:fill="FFFFFF"/>
            <w:noWrap w:val="0"/>
            <w:vAlign w:val="center"/>
          </w:tcPr>
          <w:p>
            <w:pPr>
              <w:widowControl/>
              <w:jc w:val="center"/>
              <w:textAlignment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lang w:bidi="ar"/>
              </w:rPr>
              <w:t>设备名称</w:t>
            </w:r>
          </w:p>
        </w:tc>
        <w:tc>
          <w:tcPr>
            <w:tcW w:w="6413" w:type="dxa"/>
            <w:gridSpan w:val="2"/>
            <w:vMerge w:val="restart"/>
            <w:shd w:val="clear" w:color="auto" w:fill="FFFFFF"/>
            <w:noWrap w:val="0"/>
            <w:vAlign w:val="center"/>
          </w:tcPr>
          <w:p>
            <w:pPr>
              <w:widowControl/>
              <w:jc w:val="center"/>
              <w:textAlignment w:val="center"/>
              <w:rPr>
                <w:rFonts w:hint="eastAsia" w:ascii="仿宋" w:hAnsi="仿宋" w:eastAsia="仿宋" w:cs="仿宋"/>
                <w:b/>
                <w:bCs/>
                <w:sz w:val="24"/>
                <w:szCs w:val="24"/>
                <w:shd w:val="clear" w:color="auto" w:fill="auto"/>
              </w:rPr>
            </w:pPr>
            <w:r>
              <w:rPr>
                <w:rFonts w:hint="eastAsia" w:ascii="仿宋" w:hAnsi="仿宋" w:eastAsia="仿宋" w:cs="仿宋"/>
                <w:b/>
                <w:bCs/>
                <w:sz w:val="24"/>
                <w:szCs w:val="24"/>
                <w:shd w:val="clear" w:color="auto" w:fill="auto"/>
                <w:lang w:bidi="ar"/>
              </w:rPr>
              <w:t>性能参数</w:t>
            </w:r>
          </w:p>
        </w:tc>
        <w:tc>
          <w:tcPr>
            <w:tcW w:w="725" w:type="dxa"/>
            <w:vMerge w:val="restart"/>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数量</w:t>
            </w:r>
          </w:p>
        </w:tc>
        <w:tc>
          <w:tcPr>
            <w:tcW w:w="775" w:type="dxa"/>
            <w:vMerge w:val="restart"/>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4" w:type="dxa"/>
            <w:vMerge w:val="continue"/>
            <w:shd w:val="clear" w:color="auto" w:fill="FFFFFF"/>
            <w:noWrap w:val="0"/>
            <w:vAlign w:val="center"/>
          </w:tcPr>
          <w:p>
            <w:pPr>
              <w:jc w:val="center"/>
              <w:rPr>
                <w:rFonts w:hint="eastAsia" w:ascii="仿宋" w:hAnsi="仿宋" w:eastAsia="仿宋" w:cs="仿宋"/>
                <w:b/>
                <w:bCs/>
                <w:sz w:val="24"/>
                <w:szCs w:val="24"/>
              </w:rPr>
            </w:pPr>
          </w:p>
        </w:tc>
        <w:tc>
          <w:tcPr>
            <w:tcW w:w="926" w:type="dxa"/>
            <w:vMerge w:val="continue"/>
            <w:shd w:val="clear" w:color="auto" w:fill="FFFFFF"/>
            <w:noWrap w:val="0"/>
            <w:vAlign w:val="center"/>
          </w:tcPr>
          <w:p>
            <w:pPr>
              <w:jc w:val="center"/>
              <w:rPr>
                <w:rFonts w:hint="eastAsia" w:ascii="仿宋" w:hAnsi="仿宋" w:eastAsia="仿宋" w:cs="仿宋"/>
                <w:b/>
                <w:bCs/>
                <w:sz w:val="24"/>
                <w:szCs w:val="24"/>
              </w:rPr>
            </w:pPr>
          </w:p>
        </w:tc>
        <w:tc>
          <w:tcPr>
            <w:tcW w:w="6413" w:type="dxa"/>
            <w:gridSpan w:val="2"/>
            <w:vMerge w:val="continue"/>
            <w:shd w:val="clear" w:color="auto" w:fill="FFFFFF"/>
            <w:noWrap w:val="0"/>
            <w:vAlign w:val="center"/>
          </w:tcPr>
          <w:p>
            <w:pPr>
              <w:jc w:val="center"/>
              <w:rPr>
                <w:rFonts w:hint="eastAsia" w:ascii="仿宋" w:hAnsi="仿宋" w:eastAsia="仿宋" w:cs="仿宋"/>
                <w:b/>
                <w:bCs/>
                <w:sz w:val="24"/>
                <w:szCs w:val="24"/>
              </w:rPr>
            </w:pPr>
          </w:p>
        </w:tc>
        <w:tc>
          <w:tcPr>
            <w:tcW w:w="725" w:type="dxa"/>
            <w:vMerge w:val="continue"/>
            <w:shd w:val="clear" w:color="auto" w:fill="FFFFFF"/>
            <w:noWrap w:val="0"/>
            <w:vAlign w:val="center"/>
          </w:tcPr>
          <w:p>
            <w:pPr>
              <w:jc w:val="center"/>
              <w:rPr>
                <w:rFonts w:hint="eastAsia" w:ascii="仿宋" w:hAnsi="仿宋" w:eastAsia="仿宋" w:cs="仿宋"/>
                <w:b/>
                <w:bCs/>
                <w:sz w:val="24"/>
                <w:szCs w:val="24"/>
              </w:rPr>
            </w:pPr>
          </w:p>
        </w:tc>
        <w:tc>
          <w:tcPr>
            <w:tcW w:w="775" w:type="dxa"/>
            <w:vMerge w:val="continue"/>
            <w:shd w:val="clear" w:color="auto" w:fill="FFFFFF"/>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restart"/>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926" w:type="dxa"/>
            <w:vMerge w:val="restart"/>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1拖6冷通道一体化机柜</w:t>
            </w: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机柜模块</w:t>
            </w:r>
          </w:p>
        </w:tc>
        <w:tc>
          <w:tcPr>
            <w:tcW w:w="725" w:type="dxa"/>
            <w:shd w:val="clear" w:color="auto" w:fill="FFFFFF"/>
            <w:noWrap/>
            <w:vAlign w:val="bottom"/>
          </w:tcPr>
          <w:p>
            <w:pPr>
              <w:rPr>
                <w:rFonts w:hint="eastAsia" w:ascii="仿宋" w:hAnsi="仿宋" w:eastAsia="仿宋" w:cs="仿宋"/>
                <w:sz w:val="24"/>
                <w:szCs w:val="24"/>
              </w:rPr>
            </w:pPr>
          </w:p>
        </w:tc>
        <w:tc>
          <w:tcPr>
            <w:tcW w:w="775" w:type="dxa"/>
            <w:shd w:val="clear" w:color="auto" w:fill="FFFFFF"/>
            <w:noWrap/>
            <w:vAlign w:val="bottom"/>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物联网服务器机柜</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1.规格：600mm(W)*2000mm(H)*1250mm(D)，符合19英寸标准安装规范；机柜内部安装空间42U，前后立柱均有U位标记；</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2、材质：高强度钣金框体,厚度:方孔条≥2.0mm,骨架和安装梁≥1.8mm,其它≥1.8mm。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3、前门双层真空保温玻璃门（10寸屏位和数字屏位），后门钣金门，带前后门推门器，应急自动弹开</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4、整柜全密封内壁B1银色高质防火保温层，其余脱脂、磷化、静电喷塑，后上下密封进出毛刷</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5、机柜螺丝（90颗）、4个机柜抗压轮、4个脚杯（M12*100-60高度）　　　　　　　　　　　　                                                    </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189230"/>
                  <wp:effectExtent l="0" t="0" r="0" b="0"/>
                  <wp:wrapNone/>
                  <wp:docPr id="1" name="图片_27"/>
                  <wp:cNvGraphicFramePr/>
                  <a:graphic xmlns:a="http://schemas.openxmlformats.org/drawingml/2006/main">
                    <a:graphicData uri="http://schemas.openxmlformats.org/drawingml/2006/picture">
                      <pic:pic xmlns:pic="http://schemas.openxmlformats.org/drawingml/2006/picture">
                        <pic:nvPicPr>
                          <pic:cNvPr id="1" name="图片_27"/>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930" cy="189230"/>
                  <wp:effectExtent l="0" t="0" r="0" b="0"/>
                  <wp:wrapNone/>
                  <wp:docPr id="2" name="图片_29"/>
                  <wp:cNvGraphicFramePr/>
                  <a:graphic xmlns:a="http://schemas.openxmlformats.org/drawingml/2006/main">
                    <a:graphicData uri="http://schemas.openxmlformats.org/drawingml/2006/picture">
                      <pic:pic xmlns:pic="http://schemas.openxmlformats.org/drawingml/2006/picture">
                        <pic:nvPicPr>
                          <pic:cNvPr id="2" name="图片_29"/>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4930" cy="189230"/>
                  <wp:effectExtent l="0" t="0" r="0" b="0"/>
                  <wp:wrapNone/>
                  <wp:docPr id="3" name="图片_33"/>
                  <wp:cNvGraphicFramePr/>
                  <a:graphic xmlns:a="http://schemas.openxmlformats.org/drawingml/2006/main">
                    <a:graphicData uri="http://schemas.openxmlformats.org/drawingml/2006/picture">
                      <pic:pic xmlns:pic="http://schemas.openxmlformats.org/drawingml/2006/picture">
                        <pic:nvPicPr>
                          <pic:cNvPr id="3" name="图片_33"/>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4930" cy="189230"/>
                  <wp:effectExtent l="0" t="0" r="0" b="0"/>
                  <wp:wrapNone/>
                  <wp:docPr id="4" name="图片_41"/>
                  <wp:cNvGraphicFramePr/>
                  <a:graphic xmlns:a="http://schemas.openxmlformats.org/drawingml/2006/main">
                    <a:graphicData uri="http://schemas.openxmlformats.org/drawingml/2006/picture">
                      <pic:pic xmlns:pic="http://schemas.openxmlformats.org/drawingml/2006/picture">
                        <pic:nvPicPr>
                          <pic:cNvPr id="4" name="图片_41"/>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4930" cy="163830"/>
                  <wp:effectExtent l="0" t="0" r="0" b="0"/>
                  <wp:wrapNone/>
                  <wp:docPr id="5" name="图片_136"/>
                  <wp:cNvGraphicFramePr/>
                  <a:graphic xmlns:a="http://schemas.openxmlformats.org/drawingml/2006/main">
                    <a:graphicData uri="http://schemas.openxmlformats.org/drawingml/2006/picture">
                      <pic:pic xmlns:pic="http://schemas.openxmlformats.org/drawingml/2006/picture">
                        <pic:nvPicPr>
                          <pic:cNvPr id="5" name="图片_136"/>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4930" cy="163830"/>
                  <wp:effectExtent l="0" t="0" r="0" b="0"/>
                  <wp:wrapNone/>
                  <wp:docPr id="6" name="图片_146"/>
                  <wp:cNvGraphicFramePr/>
                  <a:graphic xmlns:a="http://schemas.openxmlformats.org/drawingml/2006/main">
                    <a:graphicData uri="http://schemas.openxmlformats.org/drawingml/2006/picture">
                      <pic:pic xmlns:pic="http://schemas.openxmlformats.org/drawingml/2006/picture">
                        <pic:nvPicPr>
                          <pic:cNvPr id="6" name="图片_146"/>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4930" cy="163830"/>
                  <wp:effectExtent l="0" t="0" r="0" b="0"/>
                  <wp:wrapNone/>
                  <wp:docPr id="7" name="图片_145"/>
                  <wp:cNvGraphicFramePr/>
                  <a:graphic xmlns:a="http://schemas.openxmlformats.org/drawingml/2006/main">
                    <a:graphicData uri="http://schemas.openxmlformats.org/drawingml/2006/picture">
                      <pic:pic xmlns:pic="http://schemas.openxmlformats.org/drawingml/2006/picture">
                        <pic:nvPicPr>
                          <pic:cNvPr id="7" name="图片_145"/>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4930" cy="163830"/>
                  <wp:effectExtent l="0" t="0" r="0" b="0"/>
                  <wp:wrapNone/>
                  <wp:docPr id="8" name="图片_135"/>
                  <wp:cNvGraphicFramePr/>
                  <a:graphic xmlns:a="http://schemas.openxmlformats.org/drawingml/2006/main">
                    <a:graphicData uri="http://schemas.openxmlformats.org/drawingml/2006/picture">
                      <pic:pic xmlns:pic="http://schemas.openxmlformats.org/drawingml/2006/picture">
                        <pic:nvPicPr>
                          <pic:cNvPr id="8" name="图片_135"/>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4930" cy="163830"/>
                  <wp:effectExtent l="0" t="0" r="0" b="0"/>
                  <wp:wrapNone/>
                  <wp:docPr id="9" name="图片_144"/>
                  <wp:cNvGraphicFramePr/>
                  <a:graphic xmlns:a="http://schemas.openxmlformats.org/drawingml/2006/main">
                    <a:graphicData uri="http://schemas.openxmlformats.org/drawingml/2006/picture">
                      <pic:pic xmlns:pic="http://schemas.openxmlformats.org/drawingml/2006/picture">
                        <pic:nvPicPr>
                          <pic:cNvPr id="9" name="图片_144"/>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4930" cy="163830"/>
                  <wp:effectExtent l="0" t="0" r="0" b="0"/>
                  <wp:wrapNone/>
                  <wp:docPr id="10" name="图片_143"/>
                  <wp:cNvGraphicFramePr/>
                  <a:graphic xmlns:a="http://schemas.openxmlformats.org/drawingml/2006/main">
                    <a:graphicData uri="http://schemas.openxmlformats.org/drawingml/2006/picture">
                      <pic:pic xmlns:pic="http://schemas.openxmlformats.org/drawingml/2006/picture">
                        <pic:nvPicPr>
                          <pic:cNvPr id="10" name="图片_143"/>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4930" cy="189230"/>
                  <wp:effectExtent l="0" t="0" r="0" b="0"/>
                  <wp:wrapNone/>
                  <wp:docPr id="11" name="图片_40"/>
                  <wp:cNvGraphicFramePr/>
                  <a:graphic xmlns:a="http://schemas.openxmlformats.org/drawingml/2006/main">
                    <a:graphicData uri="http://schemas.openxmlformats.org/drawingml/2006/picture">
                      <pic:pic xmlns:pic="http://schemas.openxmlformats.org/drawingml/2006/picture">
                        <pic:nvPicPr>
                          <pic:cNvPr id="11" name="图片_40"/>
                          <pic:cNvPicPr/>
                        </pic:nvPicPr>
                        <pic:blipFill>
                          <a:blip r:embed="rId13"/>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74930" cy="163830"/>
                  <wp:effectExtent l="0" t="0" r="0" b="0"/>
                  <wp:wrapNone/>
                  <wp:docPr id="12" name="图片_134"/>
                  <wp:cNvGraphicFramePr/>
                  <a:graphic xmlns:a="http://schemas.openxmlformats.org/drawingml/2006/main">
                    <a:graphicData uri="http://schemas.openxmlformats.org/drawingml/2006/picture">
                      <pic:pic xmlns:pic="http://schemas.openxmlformats.org/drawingml/2006/picture">
                        <pic:nvPicPr>
                          <pic:cNvPr id="12" name="图片_134"/>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74930" cy="163830"/>
                  <wp:effectExtent l="0" t="0" r="0" b="0"/>
                  <wp:wrapNone/>
                  <wp:docPr id="13" name="图片_142"/>
                  <wp:cNvGraphicFramePr/>
                  <a:graphic xmlns:a="http://schemas.openxmlformats.org/drawingml/2006/main">
                    <a:graphicData uri="http://schemas.openxmlformats.org/drawingml/2006/picture">
                      <pic:pic xmlns:pic="http://schemas.openxmlformats.org/drawingml/2006/picture">
                        <pic:nvPicPr>
                          <pic:cNvPr id="13" name="图片_142"/>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74930" cy="163830"/>
                  <wp:effectExtent l="0" t="0" r="0" b="0"/>
                  <wp:wrapNone/>
                  <wp:docPr id="14" name="图片_141"/>
                  <wp:cNvGraphicFramePr/>
                  <a:graphic xmlns:a="http://schemas.openxmlformats.org/drawingml/2006/main">
                    <a:graphicData uri="http://schemas.openxmlformats.org/drawingml/2006/picture">
                      <pic:pic xmlns:pic="http://schemas.openxmlformats.org/drawingml/2006/picture">
                        <pic:nvPicPr>
                          <pic:cNvPr id="14" name="图片_14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74930" cy="163830"/>
                  <wp:effectExtent l="0" t="0" r="0" b="0"/>
                  <wp:wrapNone/>
                  <wp:docPr id="15" name="图片_133"/>
                  <wp:cNvGraphicFramePr/>
                  <a:graphic xmlns:a="http://schemas.openxmlformats.org/drawingml/2006/main">
                    <a:graphicData uri="http://schemas.openxmlformats.org/drawingml/2006/picture">
                      <pic:pic xmlns:pic="http://schemas.openxmlformats.org/drawingml/2006/picture">
                        <pic:nvPicPr>
                          <pic:cNvPr id="15" name="图片_133"/>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4930" cy="163830"/>
                  <wp:effectExtent l="0" t="0" r="0" b="0"/>
                  <wp:wrapNone/>
                  <wp:docPr id="16" name="图片_140"/>
                  <wp:cNvGraphicFramePr/>
                  <a:graphic xmlns:a="http://schemas.openxmlformats.org/drawingml/2006/main">
                    <a:graphicData uri="http://schemas.openxmlformats.org/drawingml/2006/picture">
                      <pic:pic xmlns:pic="http://schemas.openxmlformats.org/drawingml/2006/picture">
                        <pic:nvPicPr>
                          <pic:cNvPr id="16" name="图片_140"/>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74930" cy="163830"/>
                  <wp:effectExtent l="0" t="0" r="0" b="0"/>
                  <wp:wrapNone/>
                  <wp:docPr id="17" name="图片_139"/>
                  <wp:cNvGraphicFramePr/>
                  <a:graphic xmlns:a="http://schemas.openxmlformats.org/drawingml/2006/main">
                    <a:graphicData uri="http://schemas.openxmlformats.org/drawingml/2006/picture">
                      <pic:pic xmlns:pic="http://schemas.openxmlformats.org/drawingml/2006/picture">
                        <pic:nvPicPr>
                          <pic:cNvPr id="17" name="图片_139"/>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74930" cy="189230"/>
                  <wp:effectExtent l="0" t="0" r="0" b="0"/>
                  <wp:wrapNone/>
                  <wp:docPr id="18" name="图片_32"/>
                  <wp:cNvGraphicFramePr/>
                  <a:graphic xmlns:a="http://schemas.openxmlformats.org/drawingml/2006/main">
                    <a:graphicData uri="http://schemas.openxmlformats.org/drawingml/2006/picture">
                      <pic:pic xmlns:pic="http://schemas.openxmlformats.org/drawingml/2006/picture">
                        <pic:nvPicPr>
                          <pic:cNvPr id="18" name="图片_32"/>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74930" cy="189230"/>
                  <wp:effectExtent l="0" t="0" r="0" b="0"/>
                  <wp:wrapNone/>
                  <wp:docPr id="19" name="图片_39"/>
                  <wp:cNvGraphicFramePr/>
                  <a:graphic xmlns:a="http://schemas.openxmlformats.org/drawingml/2006/main">
                    <a:graphicData uri="http://schemas.openxmlformats.org/drawingml/2006/picture">
                      <pic:pic xmlns:pic="http://schemas.openxmlformats.org/drawingml/2006/picture">
                        <pic:nvPicPr>
                          <pic:cNvPr id="19" name="图片_39"/>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74930" cy="163830"/>
                  <wp:effectExtent l="0" t="0" r="0" b="0"/>
                  <wp:wrapNone/>
                  <wp:docPr id="20" name="图片_132"/>
                  <wp:cNvGraphicFramePr/>
                  <a:graphic xmlns:a="http://schemas.openxmlformats.org/drawingml/2006/main">
                    <a:graphicData uri="http://schemas.openxmlformats.org/drawingml/2006/picture">
                      <pic:pic xmlns:pic="http://schemas.openxmlformats.org/drawingml/2006/picture">
                        <pic:nvPicPr>
                          <pic:cNvPr id="20" name="图片_132"/>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74930" cy="163830"/>
                  <wp:effectExtent l="0" t="0" r="0" b="0"/>
                  <wp:wrapNone/>
                  <wp:docPr id="21" name="图片_138"/>
                  <wp:cNvGraphicFramePr/>
                  <a:graphic xmlns:a="http://schemas.openxmlformats.org/drawingml/2006/main">
                    <a:graphicData uri="http://schemas.openxmlformats.org/drawingml/2006/picture">
                      <pic:pic xmlns:pic="http://schemas.openxmlformats.org/drawingml/2006/picture">
                        <pic:nvPicPr>
                          <pic:cNvPr id="21" name="图片_138"/>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74930" cy="163830"/>
                  <wp:effectExtent l="0" t="0" r="0" b="0"/>
                  <wp:wrapNone/>
                  <wp:docPr id="22" name="图片_137"/>
                  <wp:cNvGraphicFramePr/>
                  <a:graphic xmlns:a="http://schemas.openxmlformats.org/drawingml/2006/main">
                    <a:graphicData uri="http://schemas.openxmlformats.org/drawingml/2006/picture">
                      <pic:pic xmlns:pic="http://schemas.openxmlformats.org/drawingml/2006/picture">
                        <pic:nvPicPr>
                          <pic:cNvPr id="22" name="图片_137"/>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74930" cy="163830"/>
                  <wp:effectExtent l="0" t="0" r="0" b="0"/>
                  <wp:wrapNone/>
                  <wp:docPr id="23" name="图片_131"/>
                  <wp:cNvGraphicFramePr/>
                  <a:graphic xmlns:a="http://schemas.openxmlformats.org/drawingml/2006/main">
                    <a:graphicData uri="http://schemas.openxmlformats.org/drawingml/2006/picture">
                      <pic:pic xmlns:pic="http://schemas.openxmlformats.org/drawingml/2006/picture">
                        <pic:nvPicPr>
                          <pic:cNvPr id="23" name="图片_13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74930" cy="163830"/>
                  <wp:effectExtent l="0" t="0" r="0" b="0"/>
                  <wp:wrapNone/>
                  <wp:docPr id="24" name="图片_136_SpCnt_1"/>
                  <wp:cNvGraphicFramePr/>
                  <a:graphic xmlns:a="http://schemas.openxmlformats.org/drawingml/2006/main">
                    <a:graphicData uri="http://schemas.openxmlformats.org/drawingml/2006/picture">
                      <pic:pic xmlns:pic="http://schemas.openxmlformats.org/drawingml/2006/picture">
                        <pic:nvPicPr>
                          <pic:cNvPr id="24" name="图片_136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74930" cy="163830"/>
                  <wp:effectExtent l="0" t="0" r="0" b="0"/>
                  <wp:wrapNone/>
                  <wp:docPr id="25" name="图片_135_SpCnt_1"/>
                  <wp:cNvGraphicFramePr/>
                  <a:graphic xmlns:a="http://schemas.openxmlformats.org/drawingml/2006/main">
                    <a:graphicData uri="http://schemas.openxmlformats.org/drawingml/2006/picture">
                      <pic:pic xmlns:pic="http://schemas.openxmlformats.org/drawingml/2006/picture">
                        <pic:nvPicPr>
                          <pic:cNvPr id="25" name="图片_135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74930" cy="189230"/>
                  <wp:effectExtent l="0" t="0" r="0" b="0"/>
                  <wp:wrapNone/>
                  <wp:docPr id="26" name="图片_38"/>
                  <wp:cNvGraphicFramePr/>
                  <a:graphic xmlns:a="http://schemas.openxmlformats.org/drawingml/2006/main">
                    <a:graphicData uri="http://schemas.openxmlformats.org/drawingml/2006/picture">
                      <pic:pic xmlns:pic="http://schemas.openxmlformats.org/drawingml/2006/picture">
                        <pic:nvPicPr>
                          <pic:cNvPr id="26" name="图片_38"/>
                          <pic:cNvPicPr/>
                        </pic:nvPicPr>
                        <pic:blipFill>
                          <a:blip r:embed="rId14"/>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74930" cy="163830"/>
                  <wp:effectExtent l="0" t="0" r="0" b="0"/>
                  <wp:wrapNone/>
                  <wp:docPr id="27" name="图片_130"/>
                  <wp:cNvGraphicFramePr/>
                  <a:graphic xmlns:a="http://schemas.openxmlformats.org/drawingml/2006/main">
                    <a:graphicData uri="http://schemas.openxmlformats.org/drawingml/2006/picture">
                      <pic:pic xmlns:pic="http://schemas.openxmlformats.org/drawingml/2006/picture">
                        <pic:nvPicPr>
                          <pic:cNvPr id="27" name="图片_130"/>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74930" cy="163830"/>
                  <wp:effectExtent l="0" t="0" r="0" b="0"/>
                  <wp:wrapNone/>
                  <wp:docPr id="28" name="图片_134_SpCnt_1"/>
                  <wp:cNvGraphicFramePr/>
                  <a:graphic xmlns:a="http://schemas.openxmlformats.org/drawingml/2006/main">
                    <a:graphicData uri="http://schemas.openxmlformats.org/drawingml/2006/picture">
                      <pic:pic xmlns:pic="http://schemas.openxmlformats.org/drawingml/2006/picture">
                        <pic:nvPicPr>
                          <pic:cNvPr id="28" name="图片_134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74930" cy="163830"/>
                  <wp:effectExtent l="0" t="0" r="0" b="0"/>
                  <wp:wrapNone/>
                  <wp:docPr id="29" name="图片_133_SpCnt_1"/>
                  <wp:cNvGraphicFramePr/>
                  <a:graphic xmlns:a="http://schemas.openxmlformats.org/drawingml/2006/main">
                    <a:graphicData uri="http://schemas.openxmlformats.org/drawingml/2006/picture">
                      <pic:pic xmlns:pic="http://schemas.openxmlformats.org/drawingml/2006/picture">
                        <pic:nvPicPr>
                          <pic:cNvPr id="29" name="图片_133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74930" cy="163830"/>
                  <wp:effectExtent l="0" t="0" r="0" b="0"/>
                  <wp:wrapNone/>
                  <wp:docPr id="30" name="图片_129"/>
                  <wp:cNvGraphicFramePr/>
                  <a:graphic xmlns:a="http://schemas.openxmlformats.org/drawingml/2006/main">
                    <a:graphicData uri="http://schemas.openxmlformats.org/drawingml/2006/picture">
                      <pic:pic xmlns:pic="http://schemas.openxmlformats.org/drawingml/2006/picture">
                        <pic:nvPicPr>
                          <pic:cNvPr id="30" name="图片_129"/>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74930" cy="163830"/>
                  <wp:effectExtent l="0" t="0" r="0" b="0"/>
                  <wp:wrapNone/>
                  <wp:docPr id="31" name="图片_132_SpCnt_1"/>
                  <wp:cNvGraphicFramePr/>
                  <a:graphic xmlns:a="http://schemas.openxmlformats.org/drawingml/2006/main">
                    <a:graphicData uri="http://schemas.openxmlformats.org/drawingml/2006/picture">
                      <pic:pic xmlns:pic="http://schemas.openxmlformats.org/drawingml/2006/picture">
                        <pic:nvPicPr>
                          <pic:cNvPr id="31" name="图片_132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74930" cy="163830"/>
                  <wp:effectExtent l="0" t="0" r="0" b="0"/>
                  <wp:wrapNone/>
                  <wp:docPr id="32" name="图片_131_SpCnt_1"/>
                  <wp:cNvGraphicFramePr/>
                  <a:graphic xmlns:a="http://schemas.openxmlformats.org/drawingml/2006/main">
                    <a:graphicData uri="http://schemas.openxmlformats.org/drawingml/2006/picture">
                      <pic:pic xmlns:pic="http://schemas.openxmlformats.org/drawingml/2006/picture">
                        <pic:nvPicPr>
                          <pic:cNvPr id="32" name="图片_131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74930" cy="189230"/>
                  <wp:effectExtent l="0" t="0" r="0" b="0"/>
                  <wp:wrapNone/>
                  <wp:docPr id="33" name="图片_28"/>
                  <wp:cNvGraphicFramePr/>
                  <a:graphic xmlns:a="http://schemas.openxmlformats.org/drawingml/2006/main">
                    <a:graphicData uri="http://schemas.openxmlformats.org/drawingml/2006/picture">
                      <pic:pic xmlns:pic="http://schemas.openxmlformats.org/drawingml/2006/picture">
                        <pic:nvPicPr>
                          <pic:cNvPr id="33" name="图片_28"/>
                          <pic:cNvPicPr/>
                        </pic:nvPicPr>
                        <pic:blipFill>
                          <a:blip r:embed="rId15"/>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74930" cy="189230"/>
                  <wp:effectExtent l="0" t="0" r="0" b="0"/>
                  <wp:wrapNone/>
                  <wp:docPr id="34" name="图片_31"/>
                  <wp:cNvGraphicFramePr/>
                  <a:graphic xmlns:a="http://schemas.openxmlformats.org/drawingml/2006/main">
                    <a:graphicData uri="http://schemas.openxmlformats.org/drawingml/2006/picture">
                      <pic:pic xmlns:pic="http://schemas.openxmlformats.org/drawingml/2006/picture">
                        <pic:nvPicPr>
                          <pic:cNvPr id="34" name="图片_31"/>
                          <pic:cNvPicPr/>
                        </pic:nvPicPr>
                        <pic:blipFill>
                          <a:blip r:embed="rId16"/>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74930" cy="189230"/>
                  <wp:effectExtent l="0" t="0" r="0" b="0"/>
                  <wp:wrapNone/>
                  <wp:docPr id="35" name="图片_37"/>
                  <wp:cNvGraphicFramePr/>
                  <a:graphic xmlns:a="http://schemas.openxmlformats.org/drawingml/2006/main">
                    <a:graphicData uri="http://schemas.openxmlformats.org/drawingml/2006/picture">
                      <pic:pic xmlns:pic="http://schemas.openxmlformats.org/drawingml/2006/picture">
                        <pic:nvPicPr>
                          <pic:cNvPr id="35" name="图片_37"/>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74930" cy="163830"/>
                  <wp:effectExtent l="0" t="0" r="0" b="0"/>
                  <wp:wrapNone/>
                  <wp:docPr id="36" name="图片_128"/>
                  <wp:cNvGraphicFramePr/>
                  <a:graphic xmlns:a="http://schemas.openxmlformats.org/drawingml/2006/main">
                    <a:graphicData uri="http://schemas.openxmlformats.org/drawingml/2006/picture">
                      <pic:pic xmlns:pic="http://schemas.openxmlformats.org/drawingml/2006/picture">
                        <pic:nvPicPr>
                          <pic:cNvPr id="36" name="图片_128"/>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74930" cy="163830"/>
                  <wp:effectExtent l="0" t="0" r="0" b="0"/>
                  <wp:wrapNone/>
                  <wp:docPr id="37" name="图片_130_SpCnt_1"/>
                  <wp:cNvGraphicFramePr/>
                  <a:graphic xmlns:a="http://schemas.openxmlformats.org/drawingml/2006/main">
                    <a:graphicData uri="http://schemas.openxmlformats.org/drawingml/2006/picture">
                      <pic:pic xmlns:pic="http://schemas.openxmlformats.org/drawingml/2006/picture">
                        <pic:nvPicPr>
                          <pic:cNvPr id="37" name="图片_130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74930" cy="163830"/>
                  <wp:effectExtent l="0" t="0" r="0" b="0"/>
                  <wp:wrapNone/>
                  <wp:docPr id="38" name="图片_129_SpCnt_1"/>
                  <wp:cNvGraphicFramePr/>
                  <a:graphic xmlns:a="http://schemas.openxmlformats.org/drawingml/2006/main">
                    <a:graphicData uri="http://schemas.openxmlformats.org/drawingml/2006/picture">
                      <pic:pic xmlns:pic="http://schemas.openxmlformats.org/drawingml/2006/picture">
                        <pic:nvPicPr>
                          <pic:cNvPr id="38" name="图片_129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74930" cy="189230"/>
                  <wp:effectExtent l="0" t="0" r="0" b="0"/>
                  <wp:wrapNone/>
                  <wp:docPr id="39" name="图片_48"/>
                  <wp:cNvGraphicFramePr/>
                  <a:graphic xmlns:a="http://schemas.openxmlformats.org/drawingml/2006/main">
                    <a:graphicData uri="http://schemas.openxmlformats.org/drawingml/2006/picture">
                      <pic:pic xmlns:pic="http://schemas.openxmlformats.org/drawingml/2006/picture">
                        <pic:nvPicPr>
                          <pic:cNvPr id="39" name="图片_48"/>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74930" cy="163830"/>
                  <wp:effectExtent l="0" t="0" r="0" b="0"/>
                  <wp:wrapNone/>
                  <wp:docPr id="40" name="图片_128_SpCnt_1"/>
                  <wp:cNvGraphicFramePr/>
                  <a:graphic xmlns:a="http://schemas.openxmlformats.org/drawingml/2006/main">
                    <a:graphicData uri="http://schemas.openxmlformats.org/drawingml/2006/picture">
                      <pic:pic xmlns:pic="http://schemas.openxmlformats.org/drawingml/2006/picture">
                        <pic:nvPicPr>
                          <pic:cNvPr id="40" name="图片_128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74930" cy="163830"/>
                  <wp:effectExtent l="0" t="0" r="0" b="0"/>
                  <wp:wrapNone/>
                  <wp:docPr id="41" name="图片_149"/>
                  <wp:cNvGraphicFramePr/>
                  <a:graphic xmlns:a="http://schemas.openxmlformats.org/drawingml/2006/main">
                    <a:graphicData uri="http://schemas.openxmlformats.org/drawingml/2006/picture">
                      <pic:pic xmlns:pic="http://schemas.openxmlformats.org/drawingml/2006/picture">
                        <pic:nvPicPr>
                          <pic:cNvPr id="41" name="图片_149"/>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74930" cy="189230"/>
                  <wp:effectExtent l="0" t="0" r="0" b="0"/>
                  <wp:wrapNone/>
                  <wp:docPr id="42" name="图片_36"/>
                  <wp:cNvGraphicFramePr/>
                  <a:graphic xmlns:a="http://schemas.openxmlformats.org/drawingml/2006/main">
                    <a:graphicData uri="http://schemas.openxmlformats.org/drawingml/2006/picture">
                      <pic:pic xmlns:pic="http://schemas.openxmlformats.org/drawingml/2006/picture">
                        <pic:nvPicPr>
                          <pic:cNvPr id="42" name="图片_36"/>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74930" cy="189230"/>
                  <wp:effectExtent l="0" t="0" r="0" b="0"/>
                  <wp:wrapNone/>
                  <wp:docPr id="43" name="图片_47"/>
                  <wp:cNvGraphicFramePr/>
                  <a:graphic xmlns:a="http://schemas.openxmlformats.org/drawingml/2006/main">
                    <a:graphicData uri="http://schemas.openxmlformats.org/drawingml/2006/picture">
                      <pic:pic xmlns:pic="http://schemas.openxmlformats.org/drawingml/2006/picture">
                        <pic:nvPicPr>
                          <pic:cNvPr id="43" name="图片_47"/>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74930" cy="163830"/>
                  <wp:effectExtent l="0" t="0" r="0" b="0"/>
                  <wp:wrapNone/>
                  <wp:docPr id="44" name="图片_148"/>
                  <wp:cNvGraphicFramePr/>
                  <a:graphic xmlns:a="http://schemas.openxmlformats.org/drawingml/2006/main">
                    <a:graphicData uri="http://schemas.openxmlformats.org/drawingml/2006/picture">
                      <pic:pic xmlns:pic="http://schemas.openxmlformats.org/drawingml/2006/picture">
                        <pic:nvPicPr>
                          <pic:cNvPr id="44" name="图片_148"/>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74930" cy="163830"/>
                  <wp:effectExtent l="0" t="0" r="0" b="0"/>
                  <wp:wrapNone/>
                  <wp:docPr id="45" name="图片_147"/>
                  <wp:cNvGraphicFramePr/>
                  <a:graphic xmlns:a="http://schemas.openxmlformats.org/drawingml/2006/main">
                    <a:graphicData uri="http://schemas.openxmlformats.org/drawingml/2006/picture">
                      <pic:pic xmlns:pic="http://schemas.openxmlformats.org/drawingml/2006/picture">
                        <pic:nvPicPr>
                          <pic:cNvPr id="45" name="图片_147"/>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74930" cy="189230"/>
                  <wp:effectExtent l="0" t="0" r="0" b="0"/>
                  <wp:wrapNone/>
                  <wp:docPr id="46" name="图片_46"/>
                  <wp:cNvGraphicFramePr/>
                  <a:graphic xmlns:a="http://schemas.openxmlformats.org/drawingml/2006/main">
                    <a:graphicData uri="http://schemas.openxmlformats.org/drawingml/2006/picture">
                      <pic:pic xmlns:pic="http://schemas.openxmlformats.org/drawingml/2006/picture">
                        <pic:nvPicPr>
                          <pic:cNvPr id="46" name="图片_46"/>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74930" cy="163830"/>
                  <wp:effectExtent l="0" t="0" r="0" b="0"/>
                  <wp:wrapNone/>
                  <wp:docPr id="47" name="图片_146_SpCnt_1"/>
                  <wp:cNvGraphicFramePr/>
                  <a:graphic xmlns:a="http://schemas.openxmlformats.org/drawingml/2006/main">
                    <a:graphicData uri="http://schemas.openxmlformats.org/drawingml/2006/picture">
                      <pic:pic xmlns:pic="http://schemas.openxmlformats.org/drawingml/2006/picture">
                        <pic:nvPicPr>
                          <pic:cNvPr id="47" name="图片_146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74930" cy="163830"/>
                  <wp:effectExtent l="0" t="0" r="0" b="0"/>
                  <wp:wrapNone/>
                  <wp:docPr id="48" name="图片_145_SpCnt_1"/>
                  <wp:cNvGraphicFramePr/>
                  <a:graphic xmlns:a="http://schemas.openxmlformats.org/drawingml/2006/main">
                    <a:graphicData uri="http://schemas.openxmlformats.org/drawingml/2006/picture">
                      <pic:pic xmlns:pic="http://schemas.openxmlformats.org/drawingml/2006/picture">
                        <pic:nvPicPr>
                          <pic:cNvPr id="48" name="图片_145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74930" cy="189230"/>
                  <wp:effectExtent l="0" t="0" r="0" b="0"/>
                  <wp:wrapNone/>
                  <wp:docPr id="49" name="图片_30"/>
                  <wp:cNvGraphicFramePr/>
                  <a:graphic xmlns:a="http://schemas.openxmlformats.org/drawingml/2006/main">
                    <a:graphicData uri="http://schemas.openxmlformats.org/drawingml/2006/picture">
                      <pic:pic xmlns:pic="http://schemas.openxmlformats.org/drawingml/2006/picture">
                        <pic:nvPicPr>
                          <pic:cNvPr id="49" name="图片_30"/>
                          <pic:cNvPicPr/>
                        </pic:nvPicPr>
                        <pic:blipFill>
                          <a:blip r:embed="rId17"/>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74930" cy="189230"/>
                  <wp:effectExtent l="0" t="0" r="0" b="0"/>
                  <wp:wrapNone/>
                  <wp:docPr id="50" name="图片_35"/>
                  <wp:cNvGraphicFramePr/>
                  <a:graphic xmlns:a="http://schemas.openxmlformats.org/drawingml/2006/main">
                    <a:graphicData uri="http://schemas.openxmlformats.org/drawingml/2006/picture">
                      <pic:pic xmlns:pic="http://schemas.openxmlformats.org/drawingml/2006/picture">
                        <pic:nvPicPr>
                          <pic:cNvPr id="50" name="图片_35"/>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74930" cy="189230"/>
                  <wp:effectExtent l="0" t="0" r="0" b="0"/>
                  <wp:wrapNone/>
                  <wp:docPr id="51" name="图片_45"/>
                  <wp:cNvGraphicFramePr/>
                  <a:graphic xmlns:a="http://schemas.openxmlformats.org/drawingml/2006/main">
                    <a:graphicData uri="http://schemas.openxmlformats.org/drawingml/2006/picture">
                      <pic:pic xmlns:pic="http://schemas.openxmlformats.org/drawingml/2006/picture">
                        <pic:nvPicPr>
                          <pic:cNvPr id="51" name="图片_45"/>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74930" cy="163830"/>
                  <wp:effectExtent l="0" t="0" r="0" b="0"/>
                  <wp:wrapNone/>
                  <wp:docPr id="52" name="图片_144_SpCnt_1"/>
                  <wp:cNvGraphicFramePr/>
                  <a:graphic xmlns:a="http://schemas.openxmlformats.org/drawingml/2006/main">
                    <a:graphicData uri="http://schemas.openxmlformats.org/drawingml/2006/picture">
                      <pic:pic xmlns:pic="http://schemas.openxmlformats.org/drawingml/2006/picture">
                        <pic:nvPicPr>
                          <pic:cNvPr id="52" name="图片_144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74930" cy="163830"/>
                  <wp:effectExtent l="0" t="0" r="0" b="0"/>
                  <wp:wrapNone/>
                  <wp:docPr id="53" name="图片_143_SpCnt_1"/>
                  <wp:cNvGraphicFramePr/>
                  <a:graphic xmlns:a="http://schemas.openxmlformats.org/drawingml/2006/main">
                    <a:graphicData uri="http://schemas.openxmlformats.org/drawingml/2006/picture">
                      <pic:pic xmlns:pic="http://schemas.openxmlformats.org/drawingml/2006/picture">
                        <pic:nvPicPr>
                          <pic:cNvPr id="53" name="图片_143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74930" cy="189230"/>
                  <wp:effectExtent l="0" t="0" r="0" b="0"/>
                  <wp:wrapNone/>
                  <wp:docPr id="54" name="图片_44"/>
                  <wp:cNvGraphicFramePr/>
                  <a:graphic xmlns:a="http://schemas.openxmlformats.org/drawingml/2006/main">
                    <a:graphicData uri="http://schemas.openxmlformats.org/drawingml/2006/picture">
                      <pic:pic xmlns:pic="http://schemas.openxmlformats.org/drawingml/2006/picture">
                        <pic:nvPicPr>
                          <pic:cNvPr id="54" name="图片_44"/>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74930" cy="163830"/>
                  <wp:effectExtent l="0" t="0" r="0" b="0"/>
                  <wp:wrapNone/>
                  <wp:docPr id="55" name="图片_142_SpCnt_1"/>
                  <wp:cNvGraphicFramePr/>
                  <a:graphic xmlns:a="http://schemas.openxmlformats.org/drawingml/2006/main">
                    <a:graphicData uri="http://schemas.openxmlformats.org/drawingml/2006/picture">
                      <pic:pic xmlns:pic="http://schemas.openxmlformats.org/drawingml/2006/picture">
                        <pic:nvPicPr>
                          <pic:cNvPr id="55" name="图片_142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74930" cy="163830"/>
                  <wp:effectExtent l="0" t="0" r="0" b="0"/>
                  <wp:wrapNone/>
                  <wp:docPr id="56" name="图片_141_SpCnt_1"/>
                  <wp:cNvGraphicFramePr/>
                  <a:graphic xmlns:a="http://schemas.openxmlformats.org/drawingml/2006/main">
                    <a:graphicData uri="http://schemas.openxmlformats.org/drawingml/2006/picture">
                      <pic:pic xmlns:pic="http://schemas.openxmlformats.org/drawingml/2006/picture">
                        <pic:nvPicPr>
                          <pic:cNvPr id="56" name="图片_141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74930" cy="189230"/>
                  <wp:effectExtent l="0" t="0" r="0" b="0"/>
                  <wp:wrapNone/>
                  <wp:docPr id="57" name="图片_34"/>
                  <wp:cNvGraphicFramePr/>
                  <a:graphic xmlns:a="http://schemas.openxmlformats.org/drawingml/2006/main">
                    <a:graphicData uri="http://schemas.openxmlformats.org/drawingml/2006/picture">
                      <pic:pic xmlns:pic="http://schemas.openxmlformats.org/drawingml/2006/picture">
                        <pic:nvPicPr>
                          <pic:cNvPr id="57" name="图片_34"/>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74930" cy="189230"/>
                  <wp:effectExtent l="0" t="0" r="0" b="0"/>
                  <wp:wrapNone/>
                  <wp:docPr id="58" name="图片_43"/>
                  <wp:cNvGraphicFramePr/>
                  <a:graphic xmlns:a="http://schemas.openxmlformats.org/drawingml/2006/main">
                    <a:graphicData uri="http://schemas.openxmlformats.org/drawingml/2006/picture">
                      <pic:pic xmlns:pic="http://schemas.openxmlformats.org/drawingml/2006/picture">
                        <pic:nvPicPr>
                          <pic:cNvPr id="58" name="图片_43"/>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74930" cy="163830"/>
                  <wp:effectExtent l="0" t="0" r="0" b="0"/>
                  <wp:wrapNone/>
                  <wp:docPr id="59" name="图片_140_SpCnt_1"/>
                  <wp:cNvGraphicFramePr/>
                  <a:graphic xmlns:a="http://schemas.openxmlformats.org/drawingml/2006/main">
                    <a:graphicData uri="http://schemas.openxmlformats.org/drawingml/2006/picture">
                      <pic:pic xmlns:pic="http://schemas.openxmlformats.org/drawingml/2006/picture">
                        <pic:nvPicPr>
                          <pic:cNvPr id="59" name="图片_140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74930" cy="163830"/>
                  <wp:effectExtent l="0" t="0" r="0" b="0"/>
                  <wp:wrapNone/>
                  <wp:docPr id="60" name="图片_139_SpCnt_1"/>
                  <wp:cNvGraphicFramePr/>
                  <a:graphic xmlns:a="http://schemas.openxmlformats.org/drawingml/2006/main">
                    <a:graphicData uri="http://schemas.openxmlformats.org/drawingml/2006/picture">
                      <pic:pic xmlns:pic="http://schemas.openxmlformats.org/drawingml/2006/picture">
                        <pic:nvPicPr>
                          <pic:cNvPr id="60" name="图片_139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74930" cy="189230"/>
                  <wp:effectExtent l="0" t="0" r="0" b="0"/>
                  <wp:wrapNone/>
                  <wp:docPr id="61" name="图片_42"/>
                  <wp:cNvGraphicFramePr/>
                  <a:graphic xmlns:a="http://schemas.openxmlformats.org/drawingml/2006/main">
                    <a:graphicData uri="http://schemas.openxmlformats.org/drawingml/2006/picture">
                      <pic:pic xmlns:pic="http://schemas.openxmlformats.org/drawingml/2006/picture">
                        <pic:nvPicPr>
                          <pic:cNvPr id="61" name="图片_42"/>
                          <pic:cNvPicPr/>
                        </pic:nvPicPr>
                        <pic:blipFill>
                          <a:blip r:embed="rId11"/>
                          <a:stretch>
                            <a:fillRect/>
                          </a:stretch>
                        </pic:blipFill>
                        <pic:spPr>
                          <a:xfrm>
                            <a:off x="0" y="0"/>
                            <a:ext cx="74930"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74930" cy="163830"/>
                  <wp:effectExtent l="0" t="0" r="0" b="0"/>
                  <wp:wrapNone/>
                  <wp:docPr id="62" name="图片_138_SpCnt_1"/>
                  <wp:cNvGraphicFramePr/>
                  <a:graphic xmlns:a="http://schemas.openxmlformats.org/drawingml/2006/main">
                    <a:graphicData uri="http://schemas.openxmlformats.org/drawingml/2006/picture">
                      <pic:pic xmlns:pic="http://schemas.openxmlformats.org/drawingml/2006/picture">
                        <pic:nvPicPr>
                          <pic:cNvPr id="62" name="图片_138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74930" cy="163830"/>
                  <wp:effectExtent l="0" t="0" r="0" b="0"/>
                  <wp:wrapNone/>
                  <wp:docPr id="63" name="图片_149_SpCnt_1"/>
                  <wp:cNvGraphicFramePr/>
                  <a:graphic xmlns:a="http://schemas.openxmlformats.org/drawingml/2006/main">
                    <a:graphicData uri="http://schemas.openxmlformats.org/drawingml/2006/picture">
                      <pic:pic xmlns:pic="http://schemas.openxmlformats.org/drawingml/2006/picture">
                        <pic:nvPicPr>
                          <pic:cNvPr id="63" name="图片_149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74930" cy="163830"/>
                  <wp:effectExtent l="0" t="0" r="0" b="0"/>
                  <wp:wrapNone/>
                  <wp:docPr id="64" name="图片_137_SpCnt_1"/>
                  <wp:cNvGraphicFramePr/>
                  <a:graphic xmlns:a="http://schemas.openxmlformats.org/drawingml/2006/main">
                    <a:graphicData uri="http://schemas.openxmlformats.org/drawingml/2006/picture">
                      <pic:pic xmlns:pic="http://schemas.openxmlformats.org/drawingml/2006/picture">
                        <pic:nvPicPr>
                          <pic:cNvPr id="64" name="图片_137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74930" cy="163830"/>
                  <wp:effectExtent l="0" t="0" r="0" b="0"/>
                  <wp:wrapNone/>
                  <wp:docPr id="65" name="图片_148_SpCnt_1"/>
                  <wp:cNvGraphicFramePr/>
                  <a:graphic xmlns:a="http://schemas.openxmlformats.org/drawingml/2006/main">
                    <a:graphicData uri="http://schemas.openxmlformats.org/drawingml/2006/picture">
                      <pic:pic xmlns:pic="http://schemas.openxmlformats.org/drawingml/2006/picture">
                        <pic:nvPicPr>
                          <pic:cNvPr id="65" name="图片_148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74930" cy="163830"/>
                  <wp:effectExtent l="0" t="0" r="0" b="0"/>
                  <wp:wrapNone/>
                  <wp:docPr id="66" name="图片_147_SpCnt_1"/>
                  <wp:cNvGraphicFramePr/>
                  <a:graphic xmlns:a="http://schemas.openxmlformats.org/drawingml/2006/main">
                    <a:graphicData uri="http://schemas.openxmlformats.org/drawingml/2006/picture">
                      <pic:pic xmlns:pic="http://schemas.openxmlformats.org/drawingml/2006/picture">
                        <pic:nvPicPr>
                          <pic:cNvPr id="66" name="图片_147_SpCnt_1"/>
                          <pic:cNvPicPr/>
                        </pic:nvPicPr>
                        <pic:blipFill>
                          <a:blip r:embed="rId12"/>
                          <a:stretch>
                            <a:fillRect/>
                          </a:stretch>
                        </pic:blipFill>
                        <pic:spPr>
                          <a:xfrm>
                            <a:off x="0" y="0"/>
                            <a:ext cx="74930" cy="163830"/>
                          </a:xfrm>
                          <a:prstGeom prst="rect">
                            <a:avLst/>
                          </a:prstGeom>
                          <a:noFill/>
                          <a:ln>
                            <a:noFill/>
                          </a:ln>
                        </pic:spPr>
                      </pic:pic>
                    </a:graphicData>
                  </a:graphic>
                </wp:anchor>
              </w:drawing>
            </w:r>
            <w:r>
              <w:rPr>
                <w:rFonts w:hint="eastAsia" w:ascii="仿宋" w:hAnsi="仿宋" w:eastAsia="仿宋" w:cs="仿宋"/>
                <w:sz w:val="24"/>
                <w:szCs w:val="24"/>
                <w:lang w:bidi="ar"/>
              </w:rPr>
              <w:t>机柜侧门板</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用于1200mm深,2000mm高机柜</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75565" cy="163830"/>
                  <wp:effectExtent l="0" t="0" r="0" b="0"/>
                  <wp:wrapNone/>
                  <wp:docPr id="67" name="图片_150"/>
                  <wp:cNvGraphicFramePr/>
                  <a:graphic xmlns:a="http://schemas.openxmlformats.org/drawingml/2006/main">
                    <a:graphicData uri="http://schemas.openxmlformats.org/drawingml/2006/picture">
                      <pic:pic xmlns:pic="http://schemas.openxmlformats.org/drawingml/2006/picture">
                        <pic:nvPicPr>
                          <pic:cNvPr id="67" name="图片_150"/>
                          <pic:cNvPicPr/>
                        </pic:nvPicPr>
                        <pic:blipFill>
                          <a:blip r:embed="rId12"/>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75565" cy="163830"/>
                  <wp:effectExtent l="0" t="0" r="0" b="0"/>
                  <wp:wrapNone/>
                  <wp:docPr id="68" name="图片_151"/>
                  <wp:cNvGraphicFramePr/>
                  <a:graphic xmlns:a="http://schemas.openxmlformats.org/drawingml/2006/main">
                    <a:graphicData uri="http://schemas.openxmlformats.org/drawingml/2006/picture">
                      <pic:pic xmlns:pic="http://schemas.openxmlformats.org/drawingml/2006/picture">
                        <pic:nvPicPr>
                          <pic:cNvPr id="68" name="图片_151"/>
                          <pic:cNvPicPr/>
                        </pic:nvPicPr>
                        <pic:blipFill>
                          <a:blip r:embed="rId12"/>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75565" cy="163830"/>
                  <wp:effectExtent l="0" t="0" r="0" b="0"/>
                  <wp:wrapNone/>
                  <wp:docPr id="69" name="图片_151_SpCnt_1"/>
                  <wp:cNvGraphicFramePr/>
                  <a:graphic xmlns:a="http://schemas.openxmlformats.org/drawingml/2006/main">
                    <a:graphicData uri="http://schemas.openxmlformats.org/drawingml/2006/picture">
                      <pic:pic xmlns:pic="http://schemas.openxmlformats.org/drawingml/2006/picture">
                        <pic:nvPicPr>
                          <pic:cNvPr id="69" name="图片_151_SpCnt_1"/>
                          <pic:cNvPicPr/>
                        </pic:nvPicPr>
                        <pic:blipFill>
                          <a:blip r:embed="rId12"/>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75565" cy="163830"/>
                  <wp:effectExtent l="0" t="0" r="0" b="0"/>
                  <wp:wrapNone/>
                  <wp:docPr id="70" name="图片_150_SpCnt_1"/>
                  <wp:cNvGraphicFramePr/>
                  <a:graphic xmlns:a="http://schemas.openxmlformats.org/drawingml/2006/main">
                    <a:graphicData uri="http://schemas.openxmlformats.org/drawingml/2006/picture">
                      <pic:pic xmlns:pic="http://schemas.openxmlformats.org/drawingml/2006/picture">
                        <pic:nvPicPr>
                          <pic:cNvPr id="70" name="图片_150_SpCnt_1"/>
                          <pic:cNvPicPr/>
                        </pic:nvPicPr>
                        <pic:blipFill>
                          <a:blip r:embed="rId12"/>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75565" cy="189230"/>
                  <wp:effectExtent l="0" t="0" r="0" b="0"/>
                  <wp:wrapNone/>
                  <wp:docPr id="71" name="图片_49"/>
                  <wp:cNvGraphicFramePr/>
                  <a:graphic xmlns:a="http://schemas.openxmlformats.org/drawingml/2006/main">
                    <a:graphicData uri="http://schemas.openxmlformats.org/drawingml/2006/picture">
                      <pic:pic xmlns:pic="http://schemas.openxmlformats.org/drawingml/2006/picture">
                        <pic:nvPicPr>
                          <pic:cNvPr id="71" name="图片_49"/>
                          <pic:cNvPicPr/>
                        </pic:nvPicPr>
                        <pic:blipFill>
                          <a:blip r:embed="rId11"/>
                          <a:stretch>
                            <a:fillRect/>
                          </a:stretch>
                        </pic:blipFill>
                        <pic:spPr>
                          <a:xfrm>
                            <a:off x="0" y="0"/>
                            <a:ext cx="75565"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75565" cy="189230"/>
                  <wp:effectExtent l="0" t="0" r="0" b="0"/>
                  <wp:wrapNone/>
                  <wp:docPr id="72" name="图片_50"/>
                  <wp:cNvGraphicFramePr/>
                  <a:graphic xmlns:a="http://schemas.openxmlformats.org/drawingml/2006/main">
                    <a:graphicData uri="http://schemas.openxmlformats.org/drawingml/2006/picture">
                      <pic:pic xmlns:pic="http://schemas.openxmlformats.org/drawingml/2006/picture">
                        <pic:nvPicPr>
                          <pic:cNvPr id="72" name="图片_50"/>
                          <pic:cNvPicPr/>
                        </pic:nvPicPr>
                        <pic:blipFill>
                          <a:blip r:embed="rId11"/>
                          <a:stretch>
                            <a:fillRect/>
                          </a:stretch>
                        </pic:blipFill>
                        <pic:spPr>
                          <a:xfrm>
                            <a:off x="0" y="0"/>
                            <a:ext cx="75565" cy="189230"/>
                          </a:xfrm>
                          <a:prstGeom prst="rect">
                            <a:avLst/>
                          </a:prstGeom>
                          <a:noFill/>
                          <a:ln>
                            <a:noFill/>
                          </a:ln>
                        </pic:spPr>
                      </pic:pic>
                    </a:graphicData>
                  </a:graphic>
                </wp:anchor>
              </w:drawing>
            </w:r>
            <w:r>
              <w:rPr>
                <w:rFonts w:hint="eastAsia" w:ascii="仿宋" w:hAnsi="仿宋" w:eastAsia="仿宋" w:cs="仿宋"/>
                <w:sz w:val="24"/>
                <w:szCs w:val="24"/>
                <w:lang w:bidi="ar"/>
              </w:rPr>
              <w:t xml:space="preserve">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75565" cy="163830"/>
                  <wp:effectExtent l="0" t="0" r="0" b="0"/>
                  <wp:wrapNone/>
                  <wp:docPr id="73" name="图片_23"/>
                  <wp:cNvGraphicFramePr/>
                  <a:graphic xmlns:a="http://schemas.openxmlformats.org/drawingml/2006/main">
                    <a:graphicData uri="http://schemas.openxmlformats.org/drawingml/2006/picture">
                      <pic:pic xmlns:pic="http://schemas.openxmlformats.org/drawingml/2006/picture">
                        <pic:nvPicPr>
                          <pic:cNvPr id="73" name="图片_23"/>
                          <pic:cNvPicPr/>
                        </pic:nvPicPr>
                        <pic:blipFill>
                          <a:blip r:embed="rId18"/>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75565" cy="163830"/>
                  <wp:effectExtent l="0" t="0" r="0" b="0"/>
                  <wp:wrapNone/>
                  <wp:docPr id="74" name="图片_24"/>
                  <wp:cNvGraphicFramePr/>
                  <a:graphic xmlns:a="http://schemas.openxmlformats.org/drawingml/2006/main">
                    <a:graphicData uri="http://schemas.openxmlformats.org/drawingml/2006/picture">
                      <pic:pic xmlns:pic="http://schemas.openxmlformats.org/drawingml/2006/picture">
                        <pic:nvPicPr>
                          <pic:cNvPr id="74" name="图片_24"/>
                          <pic:cNvPicPr/>
                        </pic:nvPicPr>
                        <pic:blipFill>
                          <a:blip r:embed="rId18"/>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75565" cy="163830"/>
                  <wp:effectExtent l="0" t="0" r="0" b="0"/>
                  <wp:wrapNone/>
                  <wp:docPr id="75" name="图片_24_SpCnt_1"/>
                  <wp:cNvGraphicFramePr/>
                  <a:graphic xmlns:a="http://schemas.openxmlformats.org/drawingml/2006/main">
                    <a:graphicData uri="http://schemas.openxmlformats.org/drawingml/2006/picture">
                      <pic:pic xmlns:pic="http://schemas.openxmlformats.org/drawingml/2006/picture">
                        <pic:nvPicPr>
                          <pic:cNvPr id="75" name="图片_24_SpCnt_1"/>
                          <pic:cNvPicPr/>
                        </pic:nvPicPr>
                        <pic:blipFill>
                          <a:blip r:embed="rId18"/>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75565" cy="163830"/>
                  <wp:effectExtent l="0" t="0" r="0" b="0"/>
                  <wp:wrapNone/>
                  <wp:docPr id="76" name="图片_23_SpCnt_1"/>
                  <wp:cNvGraphicFramePr/>
                  <a:graphic xmlns:a="http://schemas.openxmlformats.org/drawingml/2006/main">
                    <a:graphicData uri="http://schemas.openxmlformats.org/drawingml/2006/picture">
                      <pic:pic xmlns:pic="http://schemas.openxmlformats.org/drawingml/2006/picture">
                        <pic:nvPicPr>
                          <pic:cNvPr id="76" name="图片_23_SpCnt_1"/>
                          <pic:cNvPicPr/>
                        </pic:nvPicPr>
                        <pic:blipFill>
                          <a:blip r:embed="rId18"/>
                          <a:stretch>
                            <a:fillRect/>
                          </a:stretch>
                        </pic:blipFill>
                        <pic:spPr>
                          <a:xfrm>
                            <a:off x="0" y="0"/>
                            <a:ext cx="75565" cy="1638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75565" cy="189230"/>
                  <wp:effectExtent l="0" t="0" r="0" b="0"/>
                  <wp:wrapNone/>
                  <wp:docPr id="77" name="图片_24_SpCnt_2"/>
                  <wp:cNvGraphicFramePr/>
                  <a:graphic xmlns:a="http://schemas.openxmlformats.org/drawingml/2006/main">
                    <a:graphicData uri="http://schemas.openxmlformats.org/drawingml/2006/picture">
                      <pic:pic xmlns:pic="http://schemas.openxmlformats.org/drawingml/2006/picture">
                        <pic:nvPicPr>
                          <pic:cNvPr id="77" name="图片_24_SpCnt_2"/>
                          <pic:cNvPicPr/>
                        </pic:nvPicPr>
                        <pic:blipFill>
                          <a:blip r:embed="rId19"/>
                          <a:stretch>
                            <a:fillRect/>
                          </a:stretch>
                        </pic:blipFill>
                        <pic:spPr>
                          <a:xfrm>
                            <a:off x="0" y="0"/>
                            <a:ext cx="75565" cy="189230"/>
                          </a:xfrm>
                          <a:prstGeom prst="rect">
                            <a:avLst/>
                          </a:prstGeom>
                          <a:noFill/>
                          <a:ln>
                            <a:noFill/>
                          </a:ln>
                        </pic:spPr>
                      </pic:pic>
                    </a:graphicData>
                  </a:graphic>
                </wp:anchor>
              </w:drawing>
            </w:r>
            <w:r>
              <w:rPr>
                <w:rFonts w:hint="eastAsia" w:ascii="仿宋" w:hAnsi="仿宋" w:eastAsia="仿宋" w:cs="仿宋"/>
                <w:sz w:val="24"/>
                <w:szCs w:val="24"/>
                <w:bdr w:val="single" w:color="000000" w:sz="4" w:space="0"/>
                <w:shd w:val="clear" w:color="auto" w:fill="FFFFFF"/>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75565" cy="189230"/>
                  <wp:effectExtent l="0" t="0" r="0" b="0"/>
                  <wp:wrapNone/>
                  <wp:docPr id="78" name="图片_23_SpCnt_2"/>
                  <wp:cNvGraphicFramePr/>
                  <a:graphic xmlns:a="http://schemas.openxmlformats.org/drawingml/2006/main">
                    <a:graphicData uri="http://schemas.openxmlformats.org/drawingml/2006/picture">
                      <pic:pic xmlns:pic="http://schemas.openxmlformats.org/drawingml/2006/picture">
                        <pic:nvPicPr>
                          <pic:cNvPr id="78" name="图片_23_SpCnt_2"/>
                          <pic:cNvPicPr/>
                        </pic:nvPicPr>
                        <pic:blipFill>
                          <a:blip r:embed="rId19"/>
                          <a:stretch>
                            <a:fillRect/>
                          </a:stretch>
                        </pic:blipFill>
                        <pic:spPr>
                          <a:xfrm>
                            <a:off x="0" y="0"/>
                            <a:ext cx="75565" cy="189230"/>
                          </a:xfrm>
                          <a:prstGeom prst="rect">
                            <a:avLst/>
                          </a:prstGeom>
                          <a:noFill/>
                          <a:ln>
                            <a:noFill/>
                          </a:ln>
                        </pic:spPr>
                      </pic:pic>
                    </a:graphicData>
                  </a:graphic>
                </wp:anchor>
              </w:drawing>
            </w: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气流盲板</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1U</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120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托板</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配件</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L型支撑架</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L型支撑架</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30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水平理线架</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水平理线架</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垂直理线板</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垂直理线板</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推门器</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多角度可调，自动推门器。</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门控装置</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1、含门禁磁力锁2个，磁力锁直接接入智慧网关控制器管理联动控制，无需第三方门禁控制器。</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2、门磁感应、自动监测门开关状态、保护资产及数据安全，接入网关本地屏幕开关门状态及输出给远程监控中心监控开关门状态。</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LED维修灯</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LED维修照明灯，长40CM,DC12V低电压输出，高亮灯珠，防火磨砂罩，柜门开灯亮，门关灯灭，自动感应。</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LED氛围灯</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DC12V LED灯带，长40CM,乳白色磨纱透光外壳，蓝色光，水平型安装前门</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气流诱导风机</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双路风机，高中低自适应调速，当温度超出规定范围，可自主选择风机运行模式，空调故障时，温度超热自动开启风机排热。</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数字温湿度</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高精度数字温度传感器，数字模块采集技术和温湿度传感技术，具有极高的可靠性与卓越的长期稳定性，抗干扰能力强。接入网关和温湿度、门禁、空调实现联动。</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烟雾探测器</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内置微处理器，探测器对自身采集到的数据进行存储、分析和判断，具有自诊断功能；污染自动补偿。根据自身的污染程度进行零位漂移，最大程度减少误报，带自检测试按钮。烟雾探测器接入网关控制器，能够与门禁实现联动管理，烟雾预警，机柜门自动弹开。</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数字触摸屏</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辅助机柜安装，嵌入式ARM架构，LINUX系统，辅柜安装，支持本地触摸按键设置，支持本地门禁开门控制管理，支持本地温湿阀值设置，诱导风扇阀值设置，支持空调、UPS阀值设置等。物联网智慧网关对接，本地控制触摸按键管理。</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75565" cy="177800"/>
                  <wp:effectExtent l="0" t="0" r="0" b="0"/>
                  <wp:wrapNone/>
                  <wp:docPr id="79" name="图片_139_SpCnt_2"/>
                  <wp:cNvGraphicFramePr/>
                  <a:graphic xmlns:a="http://schemas.openxmlformats.org/drawingml/2006/main">
                    <a:graphicData uri="http://schemas.openxmlformats.org/drawingml/2006/picture">
                      <pic:pic xmlns:pic="http://schemas.openxmlformats.org/drawingml/2006/picture">
                        <pic:nvPicPr>
                          <pic:cNvPr id="79" name="图片_139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75565" cy="177800"/>
                  <wp:effectExtent l="0" t="0" r="0" b="0"/>
                  <wp:wrapNone/>
                  <wp:docPr id="80" name="图片_140_SpCnt_2"/>
                  <wp:cNvGraphicFramePr/>
                  <a:graphic xmlns:a="http://schemas.openxmlformats.org/drawingml/2006/main">
                    <a:graphicData uri="http://schemas.openxmlformats.org/drawingml/2006/picture">
                      <pic:pic xmlns:pic="http://schemas.openxmlformats.org/drawingml/2006/picture">
                        <pic:nvPicPr>
                          <pic:cNvPr id="80" name="图片_140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75565" cy="177800"/>
                  <wp:effectExtent l="0" t="0" r="0" b="0"/>
                  <wp:wrapNone/>
                  <wp:docPr id="81" name="图片_137_SpCnt_2"/>
                  <wp:cNvGraphicFramePr/>
                  <a:graphic xmlns:a="http://schemas.openxmlformats.org/drawingml/2006/main">
                    <a:graphicData uri="http://schemas.openxmlformats.org/drawingml/2006/picture">
                      <pic:pic xmlns:pic="http://schemas.openxmlformats.org/drawingml/2006/picture">
                        <pic:nvPicPr>
                          <pic:cNvPr id="81" name="图片_137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75565" cy="177800"/>
                  <wp:effectExtent l="0" t="0" r="0" b="0"/>
                  <wp:wrapNone/>
                  <wp:docPr id="82" name="图片_138_SpCnt_2"/>
                  <wp:cNvGraphicFramePr/>
                  <a:graphic xmlns:a="http://schemas.openxmlformats.org/drawingml/2006/main">
                    <a:graphicData uri="http://schemas.openxmlformats.org/drawingml/2006/picture">
                      <pic:pic xmlns:pic="http://schemas.openxmlformats.org/drawingml/2006/picture">
                        <pic:nvPicPr>
                          <pic:cNvPr id="82" name="图片_138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75565" cy="177800"/>
                  <wp:effectExtent l="0" t="0" r="0" b="0"/>
                  <wp:wrapNone/>
                  <wp:docPr id="83" name="图片_135_SpCnt_2"/>
                  <wp:cNvGraphicFramePr/>
                  <a:graphic xmlns:a="http://schemas.openxmlformats.org/drawingml/2006/main">
                    <a:graphicData uri="http://schemas.openxmlformats.org/drawingml/2006/picture">
                      <pic:pic xmlns:pic="http://schemas.openxmlformats.org/drawingml/2006/picture">
                        <pic:nvPicPr>
                          <pic:cNvPr id="83" name="图片_135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75565" cy="177800"/>
                  <wp:effectExtent l="0" t="0" r="0" b="0"/>
                  <wp:wrapNone/>
                  <wp:docPr id="84" name="图片_136_SpCnt_2"/>
                  <wp:cNvGraphicFramePr/>
                  <a:graphic xmlns:a="http://schemas.openxmlformats.org/drawingml/2006/main">
                    <a:graphicData uri="http://schemas.openxmlformats.org/drawingml/2006/picture">
                      <pic:pic xmlns:pic="http://schemas.openxmlformats.org/drawingml/2006/picture">
                        <pic:nvPicPr>
                          <pic:cNvPr id="84" name="图片_136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75565" cy="177800"/>
                  <wp:effectExtent l="0" t="0" r="0" b="0"/>
                  <wp:wrapNone/>
                  <wp:docPr id="85" name="图片_133_SpCnt_2"/>
                  <wp:cNvGraphicFramePr/>
                  <a:graphic xmlns:a="http://schemas.openxmlformats.org/drawingml/2006/main">
                    <a:graphicData uri="http://schemas.openxmlformats.org/drawingml/2006/picture">
                      <pic:pic xmlns:pic="http://schemas.openxmlformats.org/drawingml/2006/picture">
                        <pic:nvPicPr>
                          <pic:cNvPr id="85" name="图片_133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75565" cy="177800"/>
                  <wp:effectExtent l="0" t="0" r="0" b="0"/>
                  <wp:wrapNone/>
                  <wp:docPr id="86" name="图片_140_SpCnt_3"/>
                  <wp:cNvGraphicFramePr/>
                  <a:graphic xmlns:a="http://schemas.openxmlformats.org/drawingml/2006/main">
                    <a:graphicData uri="http://schemas.openxmlformats.org/drawingml/2006/picture">
                      <pic:pic xmlns:pic="http://schemas.openxmlformats.org/drawingml/2006/picture">
                        <pic:nvPicPr>
                          <pic:cNvPr id="86" name="图片_140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75565" cy="177800"/>
                  <wp:effectExtent l="0" t="0" r="0" b="0"/>
                  <wp:wrapNone/>
                  <wp:docPr id="87" name="图片_131_SpCnt_2"/>
                  <wp:cNvGraphicFramePr/>
                  <a:graphic xmlns:a="http://schemas.openxmlformats.org/drawingml/2006/main">
                    <a:graphicData uri="http://schemas.openxmlformats.org/drawingml/2006/picture">
                      <pic:pic xmlns:pic="http://schemas.openxmlformats.org/drawingml/2006/picture">
                        <pic:nvPicPr>
                          <pic:cNvPr id="87" name="图片_131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75565" cy="177800"/>
                  <wp:effectExtent l="0" t="0" r="0" b="0"/>
                  <wp:wrapNone/>
                  <wp:docPr id="88" name="图片_132_SpCnt_2"/>
                  <wp:cNvGraphicFramePr/>
                  <a:graphic xmlns:a="http://schemas.openxmlformats.org/drawingml/2006/main">
                    <a:graphicData uri="http://schemas.openxmlformats.org/drawingml/2006/picture">
                      <pic:pic xmlns:pic="http://schemas.openxmlformats.org/drawingml/2006/picture">
                        <pic:nvPicPr>
                          <pic:cNvPr id="88" name="图片_132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75565" cy="177800"/>
                  <wp:effectExtent l="0" t="0" r="0" b="0"/>
                  <wp:wrapNone/>
                  <wp:docPr id="89" name="图片_129_SpCnt_2"/>
                  <wp:cNvGraphicFramePr/>
                  <a:graphic xmlns:a="http://schemas.openxmlformats.org/drawingml/2006/main">
                    <a:graphicData uri="http://schemas.openxmlformats.org/drawingml/2006/picture">
                      <pic:pic xmlns:pic="http://schemas.openxmlformats.org/drawingml/2006/picture">
                        <pic:nvPicPr>
                          <pic:cNvPr id="89" name="图片_129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75565" cy="177800"/>
                  <wp:effectExtent l="0" t="0" r="0" b="0"/>
                  <wp:wrapNone/>
                  <wp:docPr id="90" name="图片_136_SpCnt_3"/>
                  <wp:cNvGraphicFramePr/>
                  <a:graphic xmlns:a="http://schemas.openxmlformats.org/drawingml/2006/main">
                    <a:graphicData uri="http://schemas.openxmlformats.org/drawingml/2006/picture">
                      <pic:pic xmlns:pic="http://schemas.openxmlformats.org/drawingml/2006/picture">
                        <pic:nvPicPr>
                          <pic:cNvPr id="90" name="图片_136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75565" cy="177800"/>
                  <wp:effectExtent l="0" t="0" r="0" b="0"/>
                  <wp:wrapNone/>
                  <wp:docPr id="91" name="图片_149_SpCnt_2"/>
                  <wp:cNvGraphicFramePr/>
                  <a:graphic xmlns:a="http://schemas.openxmlformats.org/drawingml/2006/main">
                    <a:graphicData uri="http://schemas.openxmlformats.org/drawingml/2006/picture">
                      <pic:pic xmlns:pic="http://schemas.openxmlformats.org/drawingml/2006/picture">
                        <pic:nvPicPr>
                          <pic:cNvPr id="91" name="图片_149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75565" cy="177800"/>
                  <wp:effectExtent l="0" t="0" r="0" b="0"/>
                  <wp:wrapNone/>
                  <wp:docPr id="92" name="图片_128_SpCnt_2"/>
                  <wp:cNvGraphicFramePr/>
                  <a:graphic xmlns:a="http://schemas.openxmlformats.org/drawingml/2006/main">
                    <a:graphicData uri="http://schemas.openxmlformats.org/drawingml/2006/picture">
                      <pic:pic xmlns:pic="http://schemas.openxmlformats.org/drawingml/2006/picture">
                        <pic:nvPicPr>
                          <pic:cNvPr id="92" name="图片_128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75565" cy="177800"/>
                  <wp:effectExtent l="0" t="0" r="0" b="0"/>
                  <wp:wrapNone/>
                  <wp:docPr id="93" name="图片_147_SpCnt_2"/>
                  <wp:cNvGraphicFramePr/>
                  <a:graphic xmlns:a="http://schemas.openxmlformats.org/drawingml/2006/main">
                    <a:graphicData uri="http://schemas.openxmlformats.org/drawingml/2006/picture">
                      <pic:pic xmlns:pic="http://schemas.openxmlformats.org/drawingml/2006/picture">
                        <pic:nvPicPr>
                          <pic:cNvPr id="93" name="图片_147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75565" cy="177800"/>
                  <wp:effectExtent l="0" t="0" r="0" b="0"/>
                  <wp:wrapNone/>
                  <wp:docPr id="94" name="图片_132_SpCnt_3"/>
                  <wp:cNvGraphicFramePr/>
                  <a:graphic xmlns:a="http://schemas.openxmlformats.org/drawingml/2006/main">
                    <a:graphicData uri="http://schemas.openxmlformats.org/drawingml/2006/picture">
                      <pic:pic xmlns:pic="http://schemas.openxmlformats.org/drawingml/2006/picture">
                        <pic:nvPicPr>
                          <pic:cNvPr id="94" name="图片_132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75565" cy="177800"/>
                  <wp:effectExtent l="0" t="0" r="0" b="0"/>
                  <wp:wrapNone/>
                  <wp:docPr id="95" name="图片_145_SpCnt_2"/>
                  <wp:cNvGraphicFramePr/>
                  <a:graphic xmlns:a="http://schemas.openxmlformats.org/drawingml/2006/main">
                    <a:graphicData uri="http://schemas.openxmlformats.org/drawingml/2006/picture">
                      <pic:pic xmlns:pic="http://schemas.openxmlformats.org/drawingml/2006/picture">
                        <pic:nvPicPr>
                          <pic:cNvPr id="95" name="图片_145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75565" cy="177800"/>
                  <wp:effectExtent l="0" t="0" r="0" b="0"/>
                  <wp:wrapNone/>
                  <wp:docPr id="96" name="图片_146_SpCnt_2"/>
                  <wp:cNvGraphicFramePr/>
                  <a:graphic xmlns:a="http://schemas.openxmlformats.org/drawingml/2006/main">
                    <a:graphicData uri="http://schemas.openxmlformats.org/drawingml/2006/picture">
                      <pic:pic xmlns:pic="http://schemas.openxmlformats.org/drawingml/2006/picture">
                        <pic:nvPicPr>
                          <pic:cNvPr id="96" name="图片_146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75565" cy="177800"/>
                  <wp:effectExtent l="0" t="0" r="0" b="0"/>
                  <wp:wrapNone/>
                  <wp:docPr id="97" name="图片_143_SpCnt_2"/>
                  <wp:cNvGraphicFramePr/>
                  <a:graphic xmlns:a="http://schemas.openxmlformats.org/drawingml/2006/main">
                    <a:graphicData uri="http://schemas.openxmlformats.org/drawingml/2006/picture">
                      <pic:pic xmlns:pic="http://schemas.openxmlformats.org/drawingml/2006/picture">
                        <pic:nvPicPr>
                          <pic:cNvPr id="97" name="图片_143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75565" cy="177800"/>
                  <wp:effectExtent l="0" t="0" r="0" b="0"/>
                  <wp:wrapNone/>
                  <wp:docPr id="98" name="图片_144_SpCnt_2"/>
                  <wp:cNvGraphicFramePr/>
                  <a:graphic xmlns:a="http://schemas.openxmlformats.org/drawingml/2006/main">
                    <a:graphicData uri="http://schemas.openxmlformats.org/drawingml/2006/picture">
                      <pic:pic xmlns:pic="http://schemas.openxmlformats.org/drawingml/2006/picture">
                        <pic:nvPicPr>
                          <pic:cNvPr id="98" name="图片_144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75565" cy="177800"/>
                  <wp:effectExtent l="0" t="0" r="0" b="0"/>
                  <wp:wrapNone/>
                  <wp:docPr id="99" name="图片_141_SpCnt_2"/>
                  <wp:cNvGraphicFramePr/>
                  <a:graphic xmlns:a="http://schemas.openxmlformats.org/drawingml/2006/main">
                    <a:graphicData uri="http://schemas.openxmlformats.org/drawingml/2006/picture">
                      <pic:pic xmlns:pic="http://schemas.openxmlformats.org/drawingml/2006/picture">
                        <pic:nvPicPr>
                          <pic:cNvPr id="99" name="图片_141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75565" cy="177800"/>
                  <wp:effectExtent l="0" t="0" r="0" b="0"/>
                  <wp:wrapNone/>
                  <wp:docPr id="100" name="图片_142_SpCnt_2"/>
                  <wp:cNvGraphicFramePr/>
                  <a:graphic xmlns:a="http://schemas.openxmlformats.org/drawingml/2006/main">
                    <a:graphicData uri="http://schemas.openxmlformats.org/drawingml/2006/picture">
                      <pic:pic xmlns:pic="http://schemas.openxmlformats.org/drawingml/2006/picture">
                        <pic:nvPicPr>
                          <pic:cNvPr id="100" name="图片_142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75565" cy="177800"/>
                  <wp:effectExtent l="0" t="0" r="0" b="0"/>
                  <wp:wrapNone/>
                  <wp:docPr id="101" name="图片_139_SpCnt_3"/>
                  <wp:cNvGraphicFramePr/>
                  <a:graphic xmlns:a="http://schemas.openxmlformats.org/drawingml/2006/main">
                    <a:graphicData uri="http://schemas.openxmlformats.org/drawingml/2006/picture">
                      <pic:pic xmlns:pic="http://schemas.openxmlformats.org/drawingml/2006/picture">
                        <pic:nvPicPr>
                          <pic:cNvPr id="101" name="图片_139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75565" cy="177800"/>
                  <wp:effectExtent l="0" t="0" r="0" b="0"/>
                  <wp:wrapNone/>
                  <wp:docPr id="102" name="图片_45_SpCnt_1"/>
                  <wp:cNvGraphicFramePr/>
                  <a:graphic xmlns:a="http://schemas.openxmlformats.org/drawingml/2006/main">
                    <a:graphicData uri="http://schemas.openxmlformats.org/drawingml/2006/picture">
                      <pic:pic xmlns:pic="http://schemas.openxmlformats.org/drawingml/2006/picture">
                        <pic:nvPicPr>
                          <pic:cNvPr id="102" name="图片_45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75565" cy="177800"/>
                  <wp:effectExtent l="0" t="0" r="0" b="0"/>
                  <wp:wrapNone/>
                  <wp:docPr id="103" name="图片_137_SpCnt_3"/>
                  <wp:cNvGraphicFramePr/>
                  <a:graphic xmlns:a="http://schemas.openxmlformats.org/drawingml/2006/main">
                    <a:graphicData uri="http://schemas.openxmlformats.org/drawingml/2006/picture">
                      <pic:pic xmlns:pic="http://schemas.openxmlformats.org/drawingml/2006/picture">
                        <pic:nvPicPr>
                          <pic:cNvPr id="103" name="图片_137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75565" cy="177800"/>
                  <wp:effectExtent l="0" t="0" r="0" b="0"/>
                  <wp:wrapNone/>
                  <wp:docPr id="104" name="图片_138_SpCnt_3"/>
                  <wp:cNvGraphicFramePr/>
                  <a:graphic xmlns:a="http://schemas.openxmlformats.org/drawingml/2006/main">
                    <a:graphicData uri="http://schemas.openxmlformats.org/drawingml/2006/picture">
                      <pic:pic xmlns:pic="http://schemas.openxmlformats.org/drawingml/2006/picture">
                        <pic:nvPicPr>
                          <pic:cNvPr id="104" name="图片_138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75565" cy="177800"/>
                  <wp:effectExtent l="0" t="0" r="0" b="0"/>
                  <wp:wrapNone/>
                  <wp:docPr id="105" name="图片_135_SpCnt_3"/>
                  <wp:cNvGraphicFramePr/>
                  <a:graphic xmlns:a="http://schemas.openxmlformats.org/drawingml/2006/main">
                    <a:graphicData uri="http://schemas.openxmlformats.org/drawingml/2006/picture">
                      <pic:pic xmlns:pic="http://schemas.openxmlformats.org/drawingml/2006/picture">
                        <pic:nvPicPr>
                          <pic:cNvPr id="105" name="图片_135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75565" cy="177800"/>
                  <wp:effectExtent l="0" t="0" r="0" b="0"/>
                  <wp:wrapNone/>
                  <wp:docPr id="106" name="图片_41_SpCnt_1"/>
                  <wp:cNvGraphicFramePr/>
                  <a:graphic xmlns:a="http://schemas.openxmlformats.org/drawingml/2006/main">
                    <a:graphicData uri="http://schemas.openxmlformats.org/drawingml/2006/picture">
                      <pic:pic xmlns:pic="http://schemas.openxmlformats.org/drawingml/2006/picture">
                        <pic:nvPicPr>
                          <pic:cNvPr id="106" name="图片_41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75565" cy="177800"/>
                  <wp:effectExtent l="0" t="0" r="0" b="0"/>
                  <wp:wrapNone/>
                  <wp:docPr id="107" name="图片_133_SpCnt_3"/>
                  <wp:cNvGraphicFramePr/>
                  <a:graphic xmlns:a="http://schemas.openxmlformats.org/drawingml/2006/main">
                    <a:graphicData uri="http://schemas.openxmlformats.org/drawingml/2006/picture">
                      <pic:pic xmlns:pic="http://schemas.openxmlformats.org/drawingml/2006/picture">
                        <pic:nvPicPr>
                          <pic:cNvPr id="107" name="图片_133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75565" cy="177800"/>
                  <wp:effectExtent l="0" t="0" r="0" b="0"/>
                  <wp:wrapNone/>
                  <wp:docPr id="108" name="图片_134_SpCnt_2"/>
                  <wp:cNvGraphicFramePr/>
                  <a:graphic xmlns:a="http://schemas.openxmlformats.org/drawingml/2006/main">
                    <a:graphicData uri="http://schemas.openxmlformats.org/drawingml/2006/picture">
                      <pic:pic xmlns:pic="http://schemas.openxmlformats.org/drawingml/2006/picture">
                        <pic:nvPicPr>
                          <pic:cNvPr id="108" name="图片_134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75565" cy="177800"/>
                  <wp:effectExtent l="0" t="0" r="0" b="0"/>
                  <wp:wrapNone/>
                  <wp:docPr id="109" name="图片_40_SpCnt_1"/>
                  <wp:cNvGraphicFramePr/>
                  <a:graphic xmlns:a="http://schemas.openxmlformats.org/drawingml/2006/main">
                    <a:graphicData uri="http://schemas.openxmlformats.org/drawingml/2006/picture">
                      <pic:pic xmlns:pic="http://schemas.openxmlformats.org/drawingml/2006/picture">
                        <pic:nvPicPr>
                          <pic:cNvPr id="109" name="图片_40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75565" cy="177800"/>
                  <wp:effectExtent l="0" t="0" r="0" b="0"/>
                  <wp:wrapNone/>
                  <wp:docPr id="110" name="图片_131_SpCnt_3"/>
                  <wp:cNvGraphicFramePr/>
                  <a:graphic xmlns:a="http://schemas.openxmlformats.org/drawingml/2006/main">
                    <a:graphicData uri="http://schemas.openxmlformats.org/drawingml/2006/picture">
                      <pic:pic xmlns:pic="http://schemas.openxmlformats.org/drawingml/2006/picture">
                        <pic:nvPicPr>
                          <pic:cNvPr id="110" name="图片_131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75565" cy="177800"/>
                  <wp:effectExtent l="0" t="0" r="0" b="0"/>
                  <wp:wrapNone/>
                  <wp:docPr id="111" name="图片_37_SpCnt_1"/>
                  <wp:cNvGraphicFramePr/>
                  <a:graphic xmlns:a="http://schemas.openxmlformats.org/drawingml/2006/main">
                    <a:graphicData uri="http://schemas.openxmlformats.org/drawingml/2006/picture">
                      <pic:pic xmlns:pic="http://schemas.openxmlformats.org/drawingml/2006/picture">
                        <pic:nvPicPr>
                          <pic:cNvPr id="111" name="图片_37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75565" cy="177800"/>
                  <wp:effectExtent l="0" t="0" r="0" b="0"/>
                  <wp:wrapNone/>
                  <wp:docPr id="112" name="图片_33_SpCnt_1"/>
                  <wp:cNvGraphicFramePr/>
                  <a:graphic xmlns:a="http://schemas.openxmlformats.org/drawingml/2006/main">
                    <a:graphicData uri="http://schemas.openxmlformats.org/drawingml/2006/picture">
                      <pic:pic xmlns:pic="http://schemas.openxmlformats.org/drawingml/2006/picture">
                        <pic:nvPicPr>
                          <pic:cNvPr id="112" name="图片_33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75565" cy="177800"/>
                  <wp:effectExtent l="0" t="0" r="0" b="0"/>
                  <wp:wrapNone/>
                  <wp:docPr id="113" name="图片_129_SpCnt_3"/>
                  <wp:cNvGraphicFramePr/>
                  <a:graphic xmlns:a="http://schemas.openxmlformats.org/drawingml/2006/main">
                    <a:graphicData uri="http://schemas.openxmlformats.org/drawingml/2006/picture">
                      <pic:pic xmlns:pic="http://schemas.openxmlformats.org/drawingml/2006/picture">
                        <pic:nvPicPr>
                          <pic:cNvPr id="113" name="图片_129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75565" cy="177800"/>
                  <wp:effectExtent l="0" t="0" r="0" b="0"/>
                  <wp:wrapNone/>
                  <wp:docPr id="114" name="图片_130_SpCnt_2"/>
                  <wp:cNvGraphicFramePr/>
                  <a:graphic xmlns:a="http://schemas.openxmlformats.org/drawingml/2006/main">
                    <a:graphicData uri="http://schemas.openxmlformats.org/drawingml/2006/picture">
                      <pic:pic xmlns:pic="http://schemas.openxmlformats.org/drawingml/2006/picture">
                        <pic:nvPicPr>
                          <pic:cNvPr id="114" name="图片_130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75565" cy="177800"/>
                  <wp:effectExtent l="0" t="0" r="0" b="0"/>
                  <wp:wrapNone/>
                  <wp:docPr id="115" name="图片_48_SpCnt_1"/>
                  <wp:cNvGraphicFramePr/>
                  <a:graphic xmlns:a="http://schemas.openxmlformats.org/drawingml/2006/main">
                    <a:graphicData uri="http://schemas.openxmlformats.org/drawingml/2006/picture">
                      <pic:pic xmlns:pic="http://schemas.openxmlformats.org/drawingml/2006/picture">
                        <pic:nvPicPr>
                          <pic:cNvPr id="115" name="图片_48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75565" cy="177800"/>
                  <wp:effectExtent l="0" t="0" r="0" b="0"/>
                  <wp:wrapNone/>
                  <wp:docPr id="116" name="图片_128_SpCnt_3"/>
                  <wp:cNvGraphicFramePr/>
                  <a:graphic xmlns:a="http://schemas.openxmlformats.org/drawingml/2006/main">
                    <a:graphicData uri="http://schemas.openxmlformats.org/drawingml/2006/picture">
                      <pic:pic xmlns:pic="http://schemas.openxmlformats.org/drawingml/2006/picture">
                        <pic:nvPicPr>
                          <pic:cNvPr id="116" name="图片_128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75565" cy="177800"/>
                  <wp:effectExtent l="0" t="0" r="0" b="0"/>
                  <wp:wrapNone/>
                  <wp:docPr id="117" name="图片_46_SpCnt_1"/>
                  <wp:cNvGraphicFramePr/>
                  <a:graphic xmlns:a="http://schemas.openxmlformats.org/drawingml/2006/main">
                    <a:graphicData uri="http://schemas.openxmlformats.org/drawingml/2006/picture">
                      <pic:pic xmlns:pic="http://schemas.openxmlformats.org/drawingml/2006/picture">
                        <pic:nvPicPr>
                          <pic:cNvPr id="117" name="图片_46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75565" cy="177800"/>
                  <wp:effectExtent l="0" t="0" r="0" b="0"/>
                  <wp:wrapNone/>
                  <wp:docPr id="118" name="图片_47_SpCnt_1"/>
                  <wp:cNvGraphicFramePr/>
                  <a:graphic xmlns:a="http://schemas.openxmlformats.org/drawingml/2006/main">
                    <a:graphicData uri="http://schemas.openxmlformats.org/drawingml/2006/picture">
                      <pic:pic xmlns:pic="http://schemas.openxmlformats.org/drawingml/2006/picture">
                        <pic:nvPicPr>
                          <pic:cNvPr id="118" name="图片_47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75565" cy="177800"/>
                  <wp:effectExtent l="0" t="0" r="0" b="0"/>
                  <wp:wrapNone/>
                  <wp:docPr id="119" name="图片_29_SpCnt_1"/>
                  <wp:cNvGraphicFramePr/>
                  <a:graphic xmlns:a="http://schemas.openxmlformats.org/drawingml/2006/main">
                    <a:graphicData uri="http://schemas.openxmlformats.org/drawingml/2006/picture">
                      <pic:pic xmlns:pic="http://schemas.openxmlformats.org/drawingml/2006/picture">
                        <pic:nvPicPr>
                          <pic:cNvPr id="119" name="图片_29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75565" cy="177800"/>
                  <wp:effectExtent l="0" t="0" r="0" b="0"/>
                  <wp:wrapNone/>
                  <wp:docPr id="120" name="图片_44_SpCnt_1"/>
                  <wp:cNvGraphicFramePr/>
                  <a:graphic xmlns:a="http://schemas.openxmlformats.org/drawingml/2006/main">
                    <a:graphicData uri="http://schemas.openxmlformats.org/drawingml/2006/picture">
                      <pic:pic xmlns:pic="http://schemas.openxmlformats.org/drawingml/2006/picture">
                        <pic:nvPicPr>
                          <pic:cNvPr id="120" name="图片_44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75565" cy="177800"/>
                  <wp:effectExtent l="0" t="0" r="0" b="0"/>
                  <wp:wrapNone/>
                  <wp:docPr id="121" name="图片_148_SpCnt_2"/>
                  <wp:cNvGraphicFramePr/>
                  <a:graphic xmlns:a="http://schemas.openxmlformats.org/drawingml/2006/main">
                    <a:graphicData uri="http://schemas.openxmlformats.org/drawingml/2006/picture">
                      <pic:pic xmlns:pic="http://schemas.openxmlformats.org/drawingml/2006/picture">
                        <pic:nvPicPr>
                          <pic:cNvPr id="121" name="图片_148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75565" cy="177800"/>
                  <wp:effectExtent l="0" t="0" r="0" b="0"/>
                  <wp:wrapNone/>
                  <wp:docPr id="122" name="图片_42_SpCnt_1"/>
                  <wp:cNvGraphicFramePr/>
                  <a:graphic xmlns:a="http://schemas.openxmlformats.org/drawingml/2006/main">
                    <a:graphicData uri="http://schemas.openxmlformats.org/drawingml/2006/picture">
                      <pic:pic xmlns:pic="http://schemas.openxmlformats.org/drawingml/2006/picture">
                        <pic:nvPicPr>
                          <pic:cNvPr id="122" name="图片_42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75565" cy="177800"/>
                  <wp:effectExtent l="0" t="0" r="0" b="0"/>
                  <wp:wrapNone/>
                  <wp:docPr id="123" name="图片_43_SpCnt_1"/>
                  <wp:cNvGraphicFramePr/>
                  <a:graphic xmlns:a="http://schemas.openxmlformats.org/drawingml/2006/main">
                    <a:graphicData uri="http://schemas.openxmlformats.org/drawingml/2006/picture">
                      <pic:pic xmlns:pic="http://schemas.openxmlformats.org/drawingml/2006/picture">
                        <pic:nvPicPr>
                          <pic:cNvPr id="123" name="图片_43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75565" cy="177800"/>
                  <wp:effectExtent l="0" t="0" r="0" b="0"/>
                  <wp:wrapNone/>
                  <wp:docPr id="124" name="图片_41_SpCnt_2"/>
                  <wp:cNvGraphicFramePr/>
                  <a:graphic xmlns:a="http://schemas.openxmlformats.org/drawingml/2006/main">
                    <a:graphicData uri="http://schemas.openxmlformats.org/drawingml/2006/picture">
                      <pic:pic xmlns:pic="http://schemas.openxmlformats.org/drawingml/2006/picture">
                        <pic:nvPicPr>
                          <pic:cNvPr id="124" name="图片_41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75565" cy="177800"/>
                  <wp:effectExtent l="0" t="0" r="0" b="0"/>
                  <wp:wrapNone/>
                  <wp:docPr id="125" name="图片_40_SpCnt_2"/>
                  <wp:cNvGraphicFramePr/>
                  <a:graphic xmlns:a="http://schemas.openxmlformats.org/drawingml/2006/main">
                    <a:graphicData uri="http://schemas.openxmlformats.org/drawingml/2006/picture">
                      <pic:pic xmlns:pic="http://schemas.openxmlformats.org/drawingml/2006/picture">
                        <pic:nvPicPr>
                          <pic:cNvPr id="125" name="图片_40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75565" cy="177800"/>
                  <wp:effectExtent l="0" t="0" r="0" b="0"/>
                  <wp:wrapNone/>
                  <wp:docPr id="126" name="图片_144_SpCnt_3"/>
                  <wp:cNvGraphicFramePr/>
                  <a:graphic xmlns:a="http://schemas.openxmlformats.org/drawingml/2006/main">
                    <a:graphicData uri="http://schemas.openxmlformats.org/drawingml/2006/picture">
                      <pic:pic xmlns:pic="http://schemas.openxmlformats.org/drawingml/2006/picture">
                        <pic:nvPicPr>
                          <pic:cNvPr id="126" name="图片_144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75565" cy="177800"/>
                  <wp:effectExtent l="0" t="0" r="0" b="0"/>
                  <wp:wrapNone/>
                  <wp:docPr id="127" name="图片_38_SpCnt_1"/>
                  <wp:cNvGraphicFramePr/>
                  <a:graphic xmlns:a="http://schemas.openxmlformats.org/drawingml/2006/main">
                    <a:graphicData uri="http://schemas.openxmlformats.org/drawingml/2006/picture">
                      <pic:pic xmlns:pic="http://schemas.openxmlformats.org/drawingml/2006/picture">
                        <pic:nvPicPr>
                          <pic:cNvPr id="127" name="图片_38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75565" cy="177800"/>
                  <wp:effectExtent l="0" t="0" r="0" b="0"/>
                  <wp:wrapNone/>
                  <wp:docPr id="128" name="图片_39_SpCnt_1"/>
                  <wp:cNvGraphicFramePr/>
                  <a:graphic xmlns:a="http://schemas.openxmlformats.org/drawingml/2006/main">
                    <a:graphicData uri="http://schemas.openxmlformats.org/drawingml/2006/picture">
                      <pic:pic xmlns:pic="http://schemas.openxmlformats.org/drawingml/2006/picture">
                        <pic:nvPicPr>
                          <pic:cNvPr id="128" name="图片_39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75565" cy="177800"/>
                  <wp:effectExtent l="0" t="0" r="0" b="0"/>
                  <wp:wrapNone/>
                  <wp:docPr id="129" name="图片_36_SpCnt_1"/>
                  <wp:cNvGraphicFramePr/>
                  <a:graphic xmlns:a="http://schemas.openxmlformats.org/drawingml/2006/main">
                    <a:graphicData uri="http://schemas.openxmlformats.org/drawingml/2006/picture">
                      <pic:pic xmlns:pic="http://schemas.openxmlformats.org/drawingml/2006/picture">
                        <pic:nvPicPr>
                          <pic:cNvPr id="129" name="图片_36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75565" cy="177800"/>
                  <wp:effectExtent l="0" t="0" r="0" b="0"/>
                  <wp:wrapNone/>
                  <wp:docPr id="130" name="图片_34_SpCnt_1"/>
                  <wp:cNvGraphicFramePr/>
                  <a:graphic xmlns:a="http://schemas.openxmlformats.org/drawingml/2006/main">
                    <a:graphicData uri="http://schemas.openxmlformats.org/drawingml/2006/picture">
                      <pic:pic xmlns:pic="http://schemas.openxmlformats.org/drawingml/2006/picture">
                        <pic:nvPicPr>
                          <pic:cNvPr id="130" name="图片_34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75565" cy="177800"/>
                  <wp:effectExtent l="0" t="0" r="0" b="0"/>
                  <wp:wrapNone/>
                  <wp:docPr id="131" name="图片_35_SpCnt_1"/>
                  <wp:cNvGraphicFramePr/>
                  <a:graphic xmlns:a="http://schemas.openxmlformats.org/drawingml/2006/main">
                    <a:graphicData uri="http://schemas.openxmlformats.org/drawingml/2006/picture">
                      <pic:pic xmlns:pic="http://schemas.openxmlformats.org/drawingml/2006/picture">
                        <pic:nvPicPr>
                          <pic:cNvPr id="131" name="图片_35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75565" cy="177800"/>
                  <wp:effectExtent l="0" t="0" r="0" b="0"/>
                  <wp:wrapNone/>
                  <wp:docPr id="132" name="图片_39_SpCnt_2"/>
                  <wp:cNvGraphicFramePr/>
                  <a:graphic xmlns:a="http://schemas.openxmlformats.org/drawingml/2006/main">
                    <a:graphicData uri="http://schemas.openxmlformats.org/drawingml/2006/picture">
                      <pic:pic xmlns:pic="http://schemas.openxmlformats.org/drawingml/2006/picture">
                        <pic:nvPicPr>
                          <pic:cNvPr id="132" name="图片_39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75565" cy="177800"/>
                  <wp:effectExtent l="0" t="0" r="0" b="0"/>
                  <wp:wrapNone/>
                  <wp:docPr id="133" name="图片_32_SpCnt_1"/>
                  <wp:cNvGraphicFramePr/>
                  <a:graphic xmlns:a="http://schemas.openxmlformats.org/drawingml/2006/main">
                    <a:graphicData uri="http://schemas.openxmlformats.org/drawingml/2006/picture">
                      <pic:pic xmlns:pic="http://schemas.openxmlformats.org/drawingml/2006/picture">
                        <pic:nvPicPr>
                          <pic:cNvPr id="133" name="图片_32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75565" cy="177800"/>
                  <wp:effectExtent l="0" t="0" r="0" b="0"/>
                  <wp:wrapNone/>
                  <wp:docPr id="134" name="图片_136_SpCnt_4"/>
                  <wp:cNvGraphicFramePr/>
                  <a:graphic xmlns:a="http://schemas.openxmlformats.org/drawingml/2006/main">
                    <a:graphicData uri="http://schemas.openxmlformats.org/drawingml/2006/picture">
                      <pic:pic xmlns:pic="http://schemas.openxmlformats.org/drawingml/2006/picture">
                        <pic:nvPicPr>
                          <pic:cNvPr id="134" name="图片_136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75565" cy="177800"/>
                  <wp:effectExtent l="0" t="0" r="0" b="0"/>
                  <wp:wrapNone/>
                  <wp:docPr id="135" name="图片_30_SpCnt_1"/>
                  <wp:cNvGraphicFramePr/>
                  <a:graphic xmlns:a="http://schemas.openxmlformats.org/drawingml/2006/main">
                    <a:graphicData uri="http://schemas.openxmlformats.org/drawingml/2006/picture">
                      <pic:pic xmlns:pic="http://schemas.openxmlformats.org/drawingml/2006/picture">
                        <pic:nvPicPr>
                          <pic:cNvPr id="135" name="图片_30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75565" cy="177800"/>
                  <wp:effectExtent l="0" t="0" r="0" b="0"/>
                  <wp:wrapNone/>
                  <wp:docPr id="136" name="图片_31_SpCnt_1"/>
                  <wp:cNvGraphicFramePr/>
                  <a:graphic xmlns:a="http://schemas.openxmlformats.org/drawingml/2006/main">
                    <a:graphicData uri="http://schemas.openxmlformats.org/drawingml/2006/picture">
                      <pic:pic xmlns:pic="http://schemas.openxmlformats.org/drawingml/2006/picture">
                        <pic:nvPicPr>
                          <pic:cNvPr id="136" name="图片_31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75565" cy="177800"/>
                  <wp:effectExtent l="0" t="0" r="0" b="0"/>
                  <wp:wrapNone/>
                  <wp:docPr id="137" name="图片_28_SpCnt_1"/>
                  <wp:cNvGraphicFramePr/>
                  <a:graphic xmlns:a="http://schemas.openxmlformats.org/drawingml/2006/main">
                    <a:graphicData uri="http://schemas.openxmlformats.org/drawingml/2006/picture">
                      <pic:pic xmlns:pic="http://schemas.openxmlformats.org/drawingml/2006/picture">
                        <pic:nvPicPr>
                          <pic:cNvPr id="137" name="图片_28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75565" cy="177800"/>
                  <wp:effectExtent l="0" t="0" r="0" b="0"/>
                  <wp:wrapNone/>
                  <wp:docPr id="138" name="图片_132_SpCnt_4"/>
                  <wp:cNvGraphicFramePr/>
                  <a:graphic xmlns:a="http://schemas.openxmlformats.org/drawingml/2006/main">
                    <a:graphicData uri="http://schemas.openxmlformats.org/drawingml/2006/picture">
                      <pic:pic xmlns:pic="http://schemas.openxmlformats.org/drawingml/2006/picture">
                        <pic:nvPicPr>
                          <pic:cNvPr id="138" name="图片_132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75565" cy="177800"/>
                  <wp:effectExtent l="0" t="0" r="0" b="0"/>
                  <wp:wrapNone/>
                  <wp:docPr id="139" name="图片_149_SpCnt_3"/>
                  <wp:cNvGraphicFramePr/>
                  <a:graphic xmlns:a="http://schemas.openxmlformats.org/drawingml/2006/main">
                    <a:graphicData uri="http://schemas.openxmlformats.org/drawingml/2006/picture">
                      <pic:pic xmlns:pic="http://schemas.openxmlformats.org/drawingml/2006/picture">
                        <pic:nvPicPr>
                          <pic:cNvPr id="139" name="图片_149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75565" cy="177800"/>
                  <wp:effectExtent l="0" t="0" r="0" b="0"/>
                  <wp:wrapNone/>
                  <wp:docPr id="140" name="图片_27_SpCnt_1"/>
                  <wp:cNvGraphicFramePr/>
                  <a:graphic xmlns:a="http://schemas.openxmlformats.org/drawingml/2006/main">
                    <a:graphicData uri="http://schemas.openxmlformats.org/drawingml/2006/picture">
                      <pic:pic xmlns:pic="http://schemas.openxmlformats.org/drawingml/2006/picture">
                        <pic:nvPicPr>
                          <pic:cNvPr id="140" name="图片_27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75565" cy="177800"/>
                  <wp:effectExtent l="0" t="0" r="0" b="0"/>
                  <wp:wrapNone/>
                  <wp:docPr id="141" name="图片_147_SpCnt_3"/>
                  <wp:cNvGraphicFramePr/>
                  <a:graphic xmlns:a="http://schemas.openxmlformats.org/drawingml/2006/main">
                    <a:graphicData uri="http://schemas.openxmlformats.org/drawingml/2006/picture">
                      <pic:pic xmlns:pic="http://schemas.openxmlformats.org/drawingml/2006/picture">
                        <pic:nvPicPr>
                          <pic:cNvPr id="141" name="图片_147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75565" cy="177800"/>
                  <wp:effectExtent l="0" t="0" r="0" b="0"/>
                  <wp:wrapNone/>
                  <wp:docPr id="142" name="图片_128_SpCnt_4"/>
                  <wp:cNvGraphicFramePr/>
                  <a:graphic xmlns:a="http://schemas.openxmlformats.org/drawingml/2006/main">
                    <a:graphicData uri="http://schemas.openxmlformats.org/drawingml/2006/picture">
                      <pic:pic xmlns:pic="http://schemas.openxmlformats.org/drawingml/2006/picture">
                        <pic:nvPicPr>
                          <pic:cNvPr id="142" name="图片_128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75565" cy="177800"/>
                  <wp:effectExtent l="0" t="0" r="0" b="0"/>
                  <wp:wrapNone/>
                  <wp:docPr id="143" name="图片_145_SpCnt_3"/>
                  <wp:cNvGraphicFramePr/>
                  <a:graphic xmlns:a="http://schemas.openxmlformats.org/drawingml/2006/main">
                    <a:graphicData uri="http://schemas.openxmlformats.org/drawingml/2006/picture">
                      <pic:pic xmlns:pic="http://schemas.openxmlformats.org/drawingml/2006/picture">
                        <pic:nvPicPr>
                          <pic:cNvPr id="143" name="图片_145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75565" cy="177800"/>
                  <wp:effectExtent l="0" t="0" r="0" b="0"/>
                  <wp:wrapNone/>
                  <wp:docPr id="144" name="图片_146_SpCnt_3"/>
                  <wp:cNvGraphicFramePr/>
                  <a:graphic xmlns:a="http://schemas.openxmlformats.org/drawingml/2006/main">
                    <a:graphicData uri="http://schemas.openxmlformats.org/drawingml/2006/picture">
                      <pic:pic xmlns:pic="http://schemas.openxmlformats.org/drawingml/2006/picture">
                        <pic:nvPicPr>
                          <pic:cNvPr id="144" name="图片_146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75565" cy="177800"/>
                  <wp:effectExtent l="0" t="0" r="0" b="0"/>
                  <wp:wrapNone/>
                  <wp:docPr id="145" name="图片_143_SpCnt_3"/>
                  <wp:cNvGraphicFramePr/>
                  <a:graphic xmlns:a="http://schemas.openxmlformats.org/drawingml/2006/main">
                    <a:graphicData uri="http://schemas.openxmlformats.org/drawingml/2006/picture">
                      <pic:pic xmlns:pic="http://schemas.openxmlformats.org/drawingml/2006/picture">
                        <pic:nvPicPr>
                          <pic:cNvPr id="145" name="图片_143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75565" cy="177800"/>
                  <wp:effectExtent l="0" t="0" r="0" b="0"/>
                  <wp:wrapNone/>
                  <wp:docPr id="146" name="图片_142_SpCnt_3"/>
                  <wp:cNvGraphicFramePr/>
                  <a:graphic xmlns:a="http://schemas.openxmlformats.org/drawingml/2006/main">
                    <a:graphicData uri="http://schemas.openxmlformats.org/drawingml/2006/picture">
                      <pic:pic xmlns:pic="http://schemas.openxmlformats.org/drawingml/2006/picture">
                        <pic:nvPicPr>
                          <pic:cNvPr id="146" name="图片_142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75565" cy="177800"/>
                  <wp:effectExtent l="0" t="0" r="0" b="0"/>
                  <wp:wrapNone/>
                  <wp:docPr id="147" name="图片_141_SpCnt_3"/>
                  <wp:cNvGraphicFramePr/>
                  <a:graphic xmlns:a="http://schemas.openxmlformats.org/drawingml/2006/main">
                    <a:graphicData uri="http://schemas.openxmlformats.org/drawingml/2006/picture">
                      <pic:pic xmlns:pic="http://schemas.openxmlformats.org/drawingml/2006/picture">
                        <pic:nvPicPr>
                          <pic:cNvPr id="147" name="图片_141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75565" cy="177800"/>
                  <wp:effectExtent l="0" t="0" r="0" b="0"/>
                  <wp:wrapNone/>
                  <wp:docPr id="148" name="图片_142_SpCnt_4"/>
                  <wp:cNvGraphicFramePr/>
                  <a:graphic xmlns:a="http://schemas.openxmlformats.org/drawingml/2006/main">
                    <a:graphicData uri="http://schemas.openxmlformats.org/drawingml/2006/picture">
                      <pic:pic xmlns:pic="http://schemas.openxmlformats.org/drawingml/2006/picture">
                        <pic:nvPicPr>
                          <pic:cNvPr id="148" name="图片_142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75565" cy="177800"/>
                  <wp:effectExtent l="0" t="0" r="0" b="0"/>
                  <wp:wrapNone/>
                  <wp:docPr id="149" name="图片_139_SpCnt_4"/>
                  <wp:cNvGraphicFramePr/>
                  <a:graphic xmlns:a="http://schemas.openxmlformats.org/drawingml/2006/main">
                    <a:graphicData uri="http://schemas.openxmlformats.org/drawingml/2006/picture">
                      <pic:pic xmlns:pic="http://schemas.openxmlformats.org/drawingml/2006/picture">
                        <pic:nvPicPr>
                          <pic:cNvPr id="149" name="图片_139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75565" cy="177800"/>
                  <wp:effectExtent l="0" t="0" r="0" b="0"/>
                  <wp:wrapNone/>
                  <wp:docPr id="150" name="图片_140_SpCnt_4"/>
                  <wp:cNvGraphicFramePr/>
                  <a:graphic xmlns:a="http://schemas.openxmlformats.org/drawingml/2006/main">
                    <a:graphicData uri="http://schemas.openxmlformats.org/drawingml/2006/picture">
                      <pic:pic xmlns:pic="http://schemas.openxmlformats.org/drawingml/2006/picture">
                        <pic:nvPicPr>
                          <pic:cNvPr id="150" name="图片_140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75565" cy="177800"/>
                  <wp:effectExtent l="0" t="0" r="0" b="0"/>
                  <wp:wrapNone/>
                  <wp:docPr id="151" name="图片_137_SpCnt_4"/>
                  <wp:cNvGraphicFramePr/>
                  <a:graphic xmlns:a="http://schemas.openxmlformats.org/drawingml/2006/main">
                    <a:graphicData uri="http://schemas.openxmlformats.org/drawingml/2006/picture">
                      <pic:pic xmlns:pic="http://schemas.openxmlformats.org/drawingml/2006/picture">
                        <pic:nvPicPr>
                          <pic:cNvPr id="151" name="图片_137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75565" cy="177800"/>
                  <wp:effectExtent l="0" t="0" r="0" b="0"/>
                  <wp:wrapNone/>
                  <wp:docPr id="152" name="图片_138_SpCnt_4"/>
                  <wp:cNvGraphicFramePr/>
                  <a:graphic xmlns:a="http://schemas.openxmlformats.org/drawingml/2006/main">
                    <a:graphicData uri="http://schemas.openxmlformats.org/drawingml/2006/picture">
                      <pic:pic xmlns:pic="http://schemas.openxmlformats.org/drawingml/2006/picture">
                        <pic:nvPicPr>
                          <pic:cNvPr id="152" name="图片_138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75565" cy="177800"/>
                  <wp:effectExtent l="0" t="0" r="0" b="0"/>
                  <wp:wrapNone/>
                  <wp:docPr id="153" name="图片_135_SpCnt_4"/>
                  <wp:cNvGraphicFramePr/>
                  <a:graphic xmlns:a="http://schemas.openxmlformats.org/drawingml/2006/main">
                    <a:graphicData uri="http://schemas.openxmlformats.org/drawingml/2006/picture">
                      <pic:pic xmlns:pic="http://schemas.openxmlformats.org/drawingml/2006/picture">
                        <pic:nvPicPr>
                          <pic:cNvPr id="153" name="图片_135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75565" cy="177800"/>
                  <wp:effectExtent l="0" t="0" r="0" b="0"/>
                  <wp:wrapNone/>
                  <wp:docPr id="154" name="图片_138_SpCnt_5"/>
                  <wp:cNvGraphicFramePr/>
                  <a:graphic xmlns:a="http://schemas.openxmlformats.org/drawingml/2006/main">
                    <a:graphicData uri="http://schemas.openxmlformats.org/drawingml/2006/picture">
                      <pic:pic xmlns:pic="http://schemas.openxmlformats.org/drawingml/2006/picture">
                        <pic:nvPicPr>
                          <pic:cNvPr id="154" name="图片_138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75565" cy="177800"/>
                  <wp:effectExtent l="0" t="0" r="0" b="0"/>
                  <wp:wrapNone/>
                  <wp:docPr id="155" name="图片_29_SpCnt_2"/>
                  <wp:cNvGraphicFramePr/>
                  <a:graphic xmlns:a="http://schemas.openxmlformats.org/drawingml/2006/main">
                    <a:graphicData uri="http://schemas.openxmlformats.org/drawingml/2006/picture">
                      <pic:pic xmlns:pic="http://schemas.openxmlformats.org/drawingml/2006/picture">
                        <pic:nvPicPr>
                          <pic:cNvPr id="155" name="图片_29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75565" cy="177800"/>
                  <wp:effectExtent l="0" t="0" r="0" b="0"/>
                  <wp:wrapNone/>
                  <wp:docPr id="156" name="图片_133_SpCnt_4"/>
                  <wp:cNvGraphicFramePr/>
                  <a:graphic xmlns:a="http://schemas.openxmlformats.org/drawingml/2006/main">
                    <a:graphicData uri="http://schemas.openxmlformats.org/drawingml/2006/picture">
                      <pic:pic xmlns:pic="http://schemas.openxmlformats.org/drawingml/2006/picture">
                        <pic:nvPicPr>
                          <pic:cNvPr id="156" name="图片_133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75565" cy="177800"/>
                  <wp:effectExtent l="0" t="0" r="0" b="0"/>
                  <wp:wrapNone/>
                  <wp:docPr id="157" name="图片_134_SpCnt_3"/>
                  <wp:cNvGraphicFramePr/>
                  <a:graphic xmlns:a="http://schemas.openxmlformats.org/drawingml/2006/main">
                    <a:graphicData uri="http://schemas.openxmlformats.org/drawingml/2006/picture">
                      <pic:pic xmlns:pic="http://schemas.openxmlformats.org/drawingml/2006/picture">
                        <pic:nvPicPr>
                          <pic:cNvPr id="157" name="图片_134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75565" cy="177800"/>
                  <wp:effectExtent l="0" t="0" r="0" b="0"/>
                  <wp:wrapNone/>
                  <wp:docPr id="158" name="图片_131_SpCnt_4"/>
                  <wp:cNvGraphicFramePr/>
                  <a:graphic xmlns:a="http://schemas.openxmlformats.org/drawingml/2006/main">
                    <a:graphicData uri="http://schemas.openxmlformats.org/drawingml/2006/picture">
                      <pic:pic xmlns:pic="http://schemas.openxmlformats.org/drawingml/2006/picture">
                        <pic:nvPicPr>
                          <pic:cNvPr id="158" name="图片_131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75565" cy="177800"/>
                  <wp:effectExtent l="0" t="0" r="0" b="0"/>
                  <wp:wrapNone/>
                  <wp:docPr id="159" name="图片_134_SpCnt_4"/>
                  <wp:cNvGraphicFramePr/>
                  <a:graphic xmlns:a="http://schemas.openxmlformats.org/drawingml/2006/main">
                    <a:graphicData uri="http://schemas.openxmlformats.org/drawingml/2006/picture">
                      <pic:pic xmlns:pic="http://schemas.openxmlformats.org/drawingml/2006/picture">
                        <pic:nvPicPr>
                          <pic:cNvPr id="159" name="图片_134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75565" cy="177800"/>
                  <wp:effectExtent l="0" t="0" r="0" b="0"/>
                  <wp:wrapNone/>
                  <wp:docPr id="160" name="图片_129_SpCnt_4"/>
                  <wp:cNvGraphicFramePr/>
                  <a:graphic xmlns:a="http://schemas.openxmlformats.org/drawingml/2006/main">
                    <a:graphicData uri="http://schemas.openxmlformats.org/drawingml/2006/picture">
                      <pic:pic xmlns:pic="http://schemas.openxmlformats.org/drawingml/2006/picture">
                        <pic:nvPicPr>
                          <pic:cNvPr id="160" name="图片_129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75565" cy="177800"/>
                  <wp:effectExtent l="0" t="0" r="0" b="0"/>
                  <wp:wrapNone/>
                  <wp:docPr id="161" name="图片_130_SpCnt_3"/>
                  <wp:cNvGraphicFramePr/>
                  <a:graphic xmlns:a="http://schemas.openxmlformats.org/drawingml/2006/main">
                    <a:graphicData uri="http://schemas.openxmlformats.org/drawingml/2006/picture">
                      <pic:pic xmlns:pic="http://schemas.openxmlformats.org/drawingml/2006/picture">
                        <pic:nvPicPr>
                          <pic:cNvPr id="161" name="图片_130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75565" cy="177800"/>
                  <wp:effectExtent l="0" t="0" r="0" b="0"/>
                  <wp:wrapNone/>
                  <wp:docPr id="162" name="图片_149_SpCnt_4"/>
                  <wp:cNvGraphicFramePr/>
                  <a:graphic xmlns:a="http://schemas.openxmlformats.org/drawingml/2006/main">
                    <a:graphicData uri="http://schemas.openxmlformats.org/drawingml/2006/picture">
                      <pic:pic xmlns:pic="http://schemas.openxmlformats.org/drawingml/2006/picture">
                        <pic:nvPicPr>
                          <pic:cNvPr id="162" name="图片_149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75565" cy="177800"/>
                  <wp:effectExtent l="0" t="0" r="0" b="0"/>
                  <wp:wrapNone/>
                  <wp:docPr id="163" name="图片_149_SpCnt_5"/>
                  <wp:cNvGraphicFramePr/>
                  <a:graphic xmlns:a="http://schemas.openxmlformats.org/drawingml/2006/main">
                    <a:graphicData uri="http://schemas.openxmlformats.org/drawingml/2006/picture">
                      <pic:pic xmlns:pic="http://schemas.openxmlformats.org/drawingml/2006/picture">
                        <pic:nvPicPr>
                          <pic:cNvPr id="163" name="图片_149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75565" cy="177800"/>
                  <wp:effectExtent l="0" t="0" r="0" b="0"/>
                  <wp:wrapNone/>
                  <wp:docPr id="164" name="图片_47_SpCnt_2"/>
                  <wp:cNvGraphicFramePr/>
                  <a:graphic xmlns:a="http://schemas.openxmlformats.org/drawingml/2006/main">
                    <a:graphicData uri="http://schemas.openxmlformats.org/drawingml/2006/picture">
                      <pic:pic xmlns:pic="http://schemas.openxmlformats.org/drawingml/2006/picture">
                        <pic:nvPicPr>
                          <pic:cNvPr id="164" name="图片_47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75565" cy="177800"/>
                  <wp:effectExtent l="0" t="0" r="0" b="0"/>
                  <wp:wrapNone/>
                  <wp:docPr id="165" name="图片_147_SpCnt_4"/>
                  <wp:cNvGraphicFramePr/>
                  <a:graphic xmlns:a="http://schemas.openxmlformats.org/drawingml/2006/main">
                    <a:graphicData uri="http://schemas.openxmlformats.org/drawingml/2006/picture">
                      <pic:pic xmlns:pic="http://schemas.openxmlformats.org/drawingml/2006/picture">
                        <pic:nvPicPr>
                          <pic:cNvPr id="165" name="图片_147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75565" cy="177800"/>
                  <wp:effectExtent l="0" t="0" r="0" b="0"/>
                  <wp:wrapNone/>
                  <wp:docPr id="166" name="图片_148_SpCnt_3"/>
                  <wp:cNvGraphicFramePr/>
                  <a:graphic xmlns:a="http://schemas.openxmlformats.org/drawingml/2006/main">
                    <a:graphicData uri="http://schemas.openxmlformats.org/drawingml/2006/picture">
                      <pic:pic xmlns:pic="http://schemas.openxmlformats.org/drawingml/2006/picture">
                        <pic:nvPicPr>
                          <pic:cNvPr id="166" name="图片_148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75565" cy="177800"/>
                  <wp:effectExtent l="0" t="0" r="0" b="0"/>
                  <wp:wrapNone/>
                  <wp:docPr id="167" name="图片_145_SpCnt_4"/>
                  <wp:cNvGraphicFramePr/>
                  <a:graphic xmlns:a="http://schemas.openxmlformats.org/drawingml/2006/main">
                    <a:graphicData uri="http://schemas.openxmlformats.org/drawingml/2006/picture">
                      <pic:pic xmlns:pic="http://schemas.openxmlformats.org/drawingml/2006/picture">
                        <pic:nvPicPr>
                          <pic:cNvPr id="167" name="图片_145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75565" cy="177800"/>
                  <wp:effectExtent l="0" t="0" r="0" b="0"/>
                  <wp:wrapNone/>
                  <wp:docPr id="168" name="图片_146_SpCnt_4"/>
                  <wp:cNvGraphicFramePr/>
                  <a:graphic xmlns:a="http://schemas.openxmlformats.org/drawingml/2006/main">
                    <a:graphicData uri="http://schemas.openxmlformats.org/drawingml/2006/picture">
                      <pic:pic xmlns:pic="http://schemas.openxmlformats.org/drawingml/2006/picture">
                        <pic:nvPicPr>
                          <pic:cNvPr id="168" name="图片_146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75565" cy="177800"/>
                  <wp:effectExtent l="0" t="0" r="0" b="0"/>
                  <wp:wrapNone/>
                  <wp:docPr id="169" name="图片_130_SpCnt_4"/>
                  <wp:cNvGraphicFramePr/>
                  <a:graphic xmlns:a="http://schemas.openxmlformats.org/drawingml/2006/main">
                    <a:graphicData uri="http://schemas.openxmlformats.org/drawingml/2006/picture">
                      <pic:pic xmlns:pic="http://schemas.openxmlformats.org/drawingml/2006/picture">
                        <pic:nvPicPr>
                          <pic:cNvPr id="169" name="图片_130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75565" cy="177800"/>
                  <wp:effectExtent l="0" t="0" r="0" b="0"/>
                  <wp:wrapNone/>
                  <wp:docPr id="170" name="图片_43_SpCnt_2"/>
                  <wp:cNvGraphicFramePr/>
                  <a:graphic xmlns:a="http://schemas.openxmlformats.org/drawingml/2006/main">
                    <a:graphicData uri="http://schemas.openxmlformats.org/drawingml/2006/picture">
                      <pic:pic xmlns:pic="http://schemas.openxmlformats.org/drawingml/2006/picture">
                        <pic:nvPicPr>
                          <pic:cNvPr id="170" name="图片_43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75565" cy="177800"/>
                  <wp:effectExtent l="0" t="0" r="0" b="0"/>
                  <wp:wrapNone/>
                  <wp:docPr id="171" name="图片_143_SpCnt_4"/>
                  <wp:cNvGraphicFramePr/>
                  <a:graphic xmlns:a="http://schemas.openxmlformats.org/drawingml/2006/main">
                    <a:graphicData uri="http://schemas.openxmlformats.org/drawingml/2006/picture">
                      <pic:pic xmlns:pic="http://schemas.openxmlformats.org/drawingml/2006/picture">
                        <pic:nvPicPr>
                          <pic:cNvPr id="171" name="图片_143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75565" cy="177800"/>
                  <wp:effectExtent l="0" t="0" r="0" b="0"/>
                  <wp:wrapNone/>
                  <wp:docPr id="172" name="图片_144_SpCnt_4"/>
                  <wp:cNvGraphicFramePr/>
                  <a:graphic xmlns:a="http://schemas.openxmlformats.org/drawingml/2006/main">
                    <a:graphicData uri="http://schemas.openxmlformats.org/drawingml/2006/picture">
                      <pic:pic xmlns:pic="http://schemas.openxmlformats.org/drawingml/2006/picture">
                        <pic:nvPicPr>
                          <pic:cNvPr id="172" name="图片_144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75565" cy="177800"/>
                  <wp:effectExtent l="0" t="0" r="0" b="0"/>
                  <wp:wrapNone/>
                  <wp:docPr id="173" name="图片_141_SpCnt_4"/>
                  <wp:cNvGraphicFramePr/>
                  <a:graphic xmlns:a="http://schemas.openxmlformats.org/drawingml/2006/main">
                    <a:graphicData uri="http://schemas.openxmlformats.org/drawingml/2006/picture">
                      <pic:pic xmlns:pic="http://schemas.openxmlformats.org/drawingml/2006/picture">
                        <pic:nvPicPr>
                          <pic:cNvPr id="173" name="图片_141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75565" cy="177800"/>
                  <wp:effectExtent l="0" t="0" r="0" b="0"/>
                  <wp:wrapNone/>
                  <wp:docPr id="174" name="图片_38_SpCnt_2"/>
                  <wp:cNvGraphicFramePr/>
                  <a:graphic xmlns:a="http://schemas.openxmlformats.org/drawingml/2006/main">
                    <a:graphicData uri="http://schemas.openxmlformats.org/drawingml/2006/picture">
                      <pic:pic xmlns:pic="http://schemas.openxmlformats.org/drawingml/2006/picture">
                        <pic:nvPicPr>
                          <pic:cNvPr id="174" name="图片_38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75565" cy="177800"/>
                  <wp:effectExtent l="0" t="0" r="0" b="0"/>
                  <wp:wrapNone/>
                  <wp:docPr id="175" name="图片_139_SpCnt_5"/>
                  <wp:cNvGraphicFramePr/>
                  <a:graphic xmlns:a="http://schemas.openxmlformats.org/drawingml/2006/main">
                    <a:graphicData uri="http://schemas.openxmlformats.org/drawingml/2006/picture">
                      <pic:pic xmlns:pic="http://schemas.openxmlformats.org/drawingml/2006/picture">
                        <pic:nvPicPr>
                          <pic:cNvPr id="175" name="图片_139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75565" cy="177800"/>
                  <wp:effectExtent l="0" t="0" r="0" b="0"/>
                  <wp:wrapNone/>
                  <wp:docPr id="176" name="图片_140_SpCnt_5"/>
                  <wp:cNvGraphicFramePr/>
                  <a:graphic xmlns:a="http://schemas.openxmlformats.org/drawingml/2006/main">
                    <a:graphicData uri="http://schemas.openxmlformats.org/drawingml/2006/picture">
                      <pic:pic xmlns:pic="http://schemas.openxmlformats.org/drawingml/2006/picture">
                        <pic:nvPicPr>
                          <pic:cNvPr id="176" name="图片_140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75565" cy="177800"/>
                  <wp:effectExtent l="0" t="0" r="0" b="0"/>
                  <wp:wrapNone/>
                  <wp:docPr id="177" name="图片_28_SpCnt_2"/>
                  <wp:cNvGraphicFramePr/>
                  <a:graphic xmlns:a="http://schemas.openxmlformats.org/drawingml/2006/main">
                    <a:graphicData uri="http://schemas.openxmlformats.org/drawingml/2006/picture">
                      <pic:pic xmlns:pic="http://schemas.openxmlformats.org/drawingml/2006/picture">
                        <pic:nvPicPr>
                          <pic:cNvPr id="177" name="图片_28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75565" cy="177800"/>
                  <wp:effectExtent l="0" t="0" r="0" b="0"/>
                  <wp:wrapNone/>
                  <wp:docPr id="178" name="图片_137_SpCnt_5"/>
                  <wp:cNvGraphicFramePr/>
                  <a:graphic xmlns:a="http://schemas.openxmlformats.org/drawingml/2006/main">
                    <a:graphicData uri="http://schemas.openxmlformats.org/drawingml/2006/picture">
                      <pic:pic xmlns:pic="http://schemas.openxmlformats.org/drawingml/2006/picture">
                        <pic:nvPicPr>
                          <pic:cNvPr id="178" name="图片_137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75565" cy="177800"/>
                  <wp:effectExtent l="0" t="0" r="0" b="0"/>
                  <wp:wrapNone/>
                  <wp:docPr id="179" name="图片_35_SpCnt_2"/>
                  <wp:cNvGraphicFramePr/>
                  <a:graphic xmlns:a="http://schemas.openxmlformats.org/drawingml/2006/main">
                    <a:graphicData uri="http://schemas.openxmlformats.org/drawingml/2006/picture">
                      <pic:pic xmlns:pic="http://schemas.openxmlformats.org/drawingml/2006/picture">
                        <pic:nvPicPr>
                          <pic:cNvPr id="179" name="图片_35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75565" cy="177800"/>
                  <wp:effectExtent l="0" t="0" r="0" b="0"/>
                  <wp:wrapNone/>
                  <wp:docPr id="180" name="图片_135_SpCnt_5"/>
                  <wp:cNvGraphicFramePr/>
                  <a:graphic xmlns:a="http://schemas.openxmlformats.org/drawingml/2006/main">
                    <a:graphicData uri="http://schemas.openxmlformats.org/drawingml/2006/picture">
                      <pic:pic xmlns:pic="http://schemas.openxmlformats.org/drawingml/2006/picture">
                        <pic:nvPicPr>
                          <pic:cNvPr id="180" name="图片_135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75565" cy="177800"/>
                  <wp:effectExtent l="0" t="0" r="0" b="0"/>
                  <wp:wrapNone/>
                  <wp:docPr id="181" name="图片_136_SpCnt_5"/>
                  <wp:cNvGraphicFramePr/>
                  <a:graphic xmlns:a="http://schemas.openxmlformats.org/drawingml/2006/main">
                    <a:graphicData uri="http://schemas.openxmlformats.org/drawingml/2006/picture">
                      <pic:pic xmlns:pic="http://schemas.openxmlformats.org/drawingml/2006/picture">
                        <pic:nvPicPr>
                          <pic:cNvPr id="181" name="图片_136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75565" cy="177800"/>
                  <wp:effectExtent l="0" t="0" r="0" b="0"/>
                  <wp:wrapNone/>
                  <wp:docPr id="182" name="图片_133_SpCnt_5"/>
                  <wp:cNvGraphicFramePr/>
                  <a:graphic xmlns:a="http://schemas.openxmlformats.org/drawingml/2006/main">
                    <a:graphicData uri="http://schemas.openxmlformats.org/drawingml/2006/picture">
                      <pic:pic xmlns:pic="http://schemas.openxmlformats.org/drawingml/2006/picture">
                        <pic:nvPicPr>
                          <pic:cNvPr id="182" name="图片_133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75565" cy="177800"/>
                  <wp:effectExtent l="0" t="0" r="0" b="0"/>
                  <wp:wrapNone/>
                  <wp:docPr id="183" name="图片_31_SpCnt_2"/>
                  <wp:cNvGraphicFramePr/>
                  <a:graphic xmlns:a="http://schemas.openxmlformats.org/drawingml/2006/main">
                    <a:graphicData uri="http://schemas.openxmlformats.org/drawingml/2006/picture">
                      <pic:pic xmlns:pic="http://schemas.openxmlformats.org/drawingml/2006/picture">
                        <pic:nvPicPr>
                          <pic:cNvPr id="183" name="图片_31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75565" cy="177800"/>
                  <wp:effectExtent l="0" t="0" r="0" b="0"/>
                  <wp:wrapNone/>
                  <wp:docPr id="184" name="图片_131_SpCnt_5"/>
                  <wp:cNvGraphicFramePr/>
                  <a:graphic xmlns:a="http://schemas.openxmlformats.org/drawingml/2006/main">
                    <a:graphicData uri="http://schemas.openxmlformats.org/drawingml/2006/picture">
                      <pic:pic xmlns:pic="http://schemas.openxmlformats.org/drawingml/2006/picture">
                        <pic:nvPicPr>
                          <pic:cNvPr id="184" name="图片_131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75565" cy="177800"/>
                  <wp:effectExtent l="0" t="0" r="0" b="0"/>
                  <wp:wrapNone/>
                  <wp:docPr id="185" name="图片_132_SpCnt_5"/>
                  <wp:cNvGraphicFramePr/>
                  <a:graphic xmlns:a="http://schemas.openxmlformats.org/drawingml/2006/main">
                    <a:graphicData uri="http://schemas.openxmlformats.org/drawingml/2006/picture">
                      <pic:pic xmlns:pic="http://schemas.openxmlformats.org/drawingml/2006/picture">
                        <pic:nvPicPr>
                          <pic:cNvPr id="185" name="图片_132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75565" cy="177800"/>
                  <wp:effectExtent l="0" t="0" r="0" b="0"/>
                  <wp:wrapNone/>
                  <wp:docPr id="186" name="图片_27_SpCnt_2"/>
                  <wp:cNvGraphicFramePr/>
                  <a:graphic xmlns:a="http://schemas.openxmlformats.org/drawingml/2006/main">
                    <a:graphicData uri="http://schemas.openxmlformats.org/drawingml/2006/picture">
                      <pic:pic xmlns:pic="http://schemas.openxmlformats.org/drawingml/2006/picture">
                        <pic:nvPicPr>
                          <pic:cNvPr id="186" name="图片_27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75565" cy="177800"/>
                  <wp:effectExtent l="0" t="0" r="0" b="0"/>
                  <wp:wrapNone/>
                  <wp:docPr id="187" name="图片_129_SpCnt_5"/>
                  <wp:cNvGraphicFramePr/>
                  <a:graphic xmlns:a="http://schemas.openxmlformats.org/drawingml/2006/main">
                    <a:graphicData uri="http://schemas.openxmlformats.org/drawingml/2006/picture">
                      <pic:pic xmlns:pic="http://schemas.openxmlformats.org/drawingml/2006/picture">
                        <pic:nvPicPr>
                          <pic:cNvPr id="187" name="图片_129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75565" cy="177800"/>
                  <wp:effectExtent l="0" t="0" r="0" b="0"/>
                  <wp:wrapNone/>
                  <wp:docPr id="188" name="图片_130_SpCnt_5"/>
                  <wp:cNvGraphicFramePr/>
                  <a:graphic xmlns:a="http://schemas.openxmlformats.org/drawingml/2006/main">
                    <a:graphicData uri="http://schemas.openxmlformats.org/drawingml/2006/picture">
                      <pic:pic xmlns:pic="http://schemas.openxmlformats.org/drawingml/2006/picture">
                        <pic:nvPicPr>
                          <pic:cNvPr id="188" name="图片_130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75565" cy="177800"/>
                  <wp:effectExtent l="0" t="0" r="0" b="0"/>
                  <wp:wrapNone/>
                  <wp:docPr id="189" name="图片_48_SpCnt_2"/>
                  <wp:cNvGraphicFramePr/>
                  <a:graphic xmlns:a="http://schemas.openxmlformats.org/drawingml/2006/main">
                    <a:graphicData uri="http://schemas.openxmlformats.org/drawingml/2006/picture">
                      <pic:pic xmlns:pic="http://schemas.openxmlformats.org/drawingml/2006/picture">
                        <pic:nvPicPr>
                          <pic:cNvPr id="189" name="图片_48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75565" cy="177800"/>
                  <wp:effectExtent l="0" t="0" r="0" b="0"/>
                  <wp:wrapNone/>
                  <wp:docPr id="190" name="图片_128_SpCnt_5"/>
                  <wp:cNvGraphicFramePr/>
                  <a:graphic xmlns:a="http://schemas.openxmlformats.org/drawingml/2006/main">
                    <a:graphicData uri="http://schemas.openxmlformats.org/drawingml/2006/picture">
                      <pic:pic xmlns:pic="http://schemas.openxmlformats.org/drawingml/2006/picture">
                        <pic:nvPicPr>
                          <pic:cNvPr id="190" name="图片_128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75565" cy="177800"/>
                  <wp:effectExtent l="0" t="0" r="0" b="0"/>
                  <wp:wrapNone/>
                  <wp:docPr id="191" name="图片_46_SpCnt_2"/>
                  <wp:cNvGraphicFramePr/>
                  <a:graphic xmlns:a="http://schemas.openxmlformats.org/drawingml/2006/main">
                    <a:graphicData uri="http://schemas.openxmlformats.org/drawingml/2006/picture">
                      <pic:pic xmlns:pic="http://schemas.openxmlformats.org/drawingml/2006/picture">
                        <pic:nvPicPr>
                          <pic:cNvPr id="191" name="图片_46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75565" cy="177800"/>
                  <wp:effectExtent l="0" t="0" r="0" b="0"/>
                  <wp:wrapNone/>
                  <wp:docPr id="192" name="图片_141_SpCnt_5"/>
                  <wp:cNvGraphicFramePr/>
                  <a:graphic xmlns:a="http://schemas.openxmlformats.org/drawingml/2006/main">
                    <a:graphicData uri="http://schemas.openxmlformats.org/drawingml/2006/picture">
                      <pic:pic xmlns:pic="http://schemas.openxmlformats.org/drawingml/2006/picture">
                        <pic:nvPicPr>
                          <pic:cNvPr id="192" name="图片_141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75565" cy="177800"/>
                  <wp:effectExtent l="0" t="0" r="0" b="0"/>
                  <wp:wrapNone/>
                  <wp:docPr id="193" name="图片_44_SpCnt_2"/>
                  <wp:cNvGraphicFramePr/>
                  <a:graphic xmlns:a="http://schemas.openxmlformats.org/drawingml/2006/main">
                    <a:graphicData uri="http://schemas.openxmlformats.org/drawingml/2006/picture">
                      <pic:pic xmlns:pic="http://schemas.openxmlformats.org/drawingml/2006/picture">
                        <pic:nvPicPr>
                          <pic:cNvPr id="193" name="图片_44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75565" cy="177800"/>
                  <wp:effectExtent l="0" t="0" r="0" b="0"/>
                  <wp:wrapNone/>
                  <wp:docPr id="194" name="图片_45_SpCnt_2"/>
                  <wp:cNvGraphicFramePr/>
                  <a:graphic xmlns:a="http://schemas.openxmlformats.org/drawingml/2006/main">
                    <a:graphicData uri="http://schemas.openxmlformats.org/drawingml/2006/picture">
                      <pic:pic xmlns:pic="http://schemas.openxmlformats.org/drawingml/2006/picture">
                        <pic:nvPicPr>
                          <pic:cNvPr id="194" name="图片_45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75565" cy="177800"/>
                  <wp:effectExtent l="0" t="0" r="0" b="0"/>
                  <wp:wrapNone/>
                  <wp:docPr id="195" name="图片_148_SpCnt_4"/>
                  <wp:cNvGraphicFramePr/>
                  <a:graphic xmlns:a="http://schemas.openxmlformats.org/drawingml/2006/main">
                    <a:graphicData uri="http://schemas.openxmlformats.org/drawingml/2006/picture">
                      <pic:pic xmlns:pic="http://schemas.openxmlformats.org/drawingml/2006/picture">
                        <pic:nvPicPr>
                          <pic:cNvPr id="195" name="图片_148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75565" cy="177800"/>
                  <wp:effectExtent l="0" t="0" r="0" b="0"/>
                  <wp:wrapNone/>
                  <wp:docPr id="196" name="图片_42_SpCnt_2"/>
                  <wp:cNvGraphicFramePr/>
                  <a:graphic xmlns:a="http://schemas.openxmlformats.org/drawingml/2006/main">
                    <a:graphicData uri="http://schemas.openxmlformats.org/drawingml/2006/picture">
                      <pic:pic xmlns:pic="http://schemas.openxmlformats.org/drawingml/2006/picture">
                        <pic:nvPicPr>
                          <pic:cNvPr id="196" name="图片_42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75565" cy="177800"/>
                  <wp:effectExtent l="0" t="0" r="0" b="0"/>
                  <wp:wrapNone/>
                  <wp:docPr id="197" name="图片_146_SpCnt_5"/>
                  <wp:cNvGraphicFramePr/>
                  <a:graphic xmlns:a="http://schemas.openxmlformats.org/drawingml/2006/main">
                    <a:graphicData uri="http://schemas.openxmlformats.org/drawingml/2006/picture">
                      <pic:pic xmlns:pic="http://schemas.openxmlformats.org/drawingml/2006/picture">
                        <pic:nvPicPr>
                          <pic:cNvPr id="197" name="图片_146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75565" cy="177800"/>
                  <wp:effectExtent l="0" t="0" r="0" b="0"/>
                  <wp:wrapNone/>
                  <wp:docPr id="198" name="图片_134_SpCnt_5"/>
                  <wp:cNvGraphicFramePr/>
                  <a:graphic xmlns:a="http://schemas.openxmlformats.org/drawingml/2006/main">
                    <a:graphicData uri="http://schemas.openxmlformats.org/drawingml/2006/picture">
                      <pic:pic xmlns:pic="http://schemas.openxmlformats.org/drawingml/2006/picture">
                        <pic:nvPicPr>
                          <pic:cNvPr id="198" name="图片_134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75565" cy="177800"/>
                  <wp:effectExtent l="0" t="0" r="0" b="0"/>
                  <wp:wrapNone/>
                  <wp:docPr id="199" name="图片_36_SpCnt_2"/>
                  <wp:cNvGraphicFramePr/>
                  <a:graphic xmlns:a="http://schemas.openxmlformats.org/drawingml/2006/main">
                    <a:graphicData uri="http://schemas.openxmlformats.org/drawingml/2006/picture">
                      <pic:pic xmlns:pic="http://schemas.openxmlformats.org/drawingml/2006/picture">
                        <pic:nvPicPr>
                          <pic:cNvPr id="199" name="图片_36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75565" cy="177800"/>
                  <wp:effectExtent l="0" t="0" r="0" b="0"/>
                  <wp:wrapNone/>
                  <wp:docPr id="200" name="图片_37_SpCnt_2"/>
                  <wp:cNvGraphicFramePr/>
                  <a:graphic xmlns:a="http://schemas.openxmlformats.org/drawingml/2006/main">
                    <a:graphicData uri="http://schemas.openxmlformats.org/drawingml/2006/picture">
                      <pic:pic xmlns:pic="http://schemas.openxmlformats.org/drawingml/2006/picture">
                        <pic:nvPicPr>
                          <pic:cNvPr id="200" name="图片_37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75565" cy="177800"/>
                  <wp:effectExtent l="0" t="0" r="0" b="0"/>
                  <wp:wrapNone/>
                  <wp:docPr id="201" name="图片_144_SpCnt_5"/>
                  <wp:cNvGraphicFramePr/>
                  <a:graphic xmlns:a="http://schemas.openxmlformats.org/drawingml/2006/main">
                    <a:graphicData uri="http://schemas.openxmlformats.org/drawingml/2006/picture">
                      <pic:pic xmlns:pic="http://schemas.openxmlformats.org/drawingml/2006/picture">
                        <pic:nvPicPr>
                          <pic:cNvPr id="201" name="图片_144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75565" cy="177800"/>
                  <wp:effectExtent l="0" t="0" r="0" b="0"/>
                  <wp:wrapNone/>
                  <wp:docPr id="202" name="图片_142_SpCnt_5"/>
                  <wp:cNvGraphicFramePr/>
                  <a:graphic xmlns:a="http://schemas.openxmlformats.org/drawingml/2006/main">
                    <a:graphicData uri="http://schemas.openxmlformats.org/drawingml/2006/picture">
                      <pic:pic xmlns:pic="http://schemas.openxmlformats.org/drawingml/2006/picture">
                        <pic:nvPicPr>
                          <pic:cNvPr id="202" name="图片_142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75565" cy="177800"/>
                  <wp:effectExtent l="0" t="0" r="0" b="0"/>
                  <wp:wrapNone/>
                  <wp:docPr id="203" name="图片_34_SpCnt_2"/>
                  <wp:cNvGraphicFramePr/>
                  <a:graphic xmlns:a="http://schemas.openxmlformats.org/drawingml/2006/main">
                    <a:graphicData uri="http://schemas.openxmlformats.org/drawingml/2006/picture">
                      <pic:pic xmlns:pic="http://schemas.openxmlformats.org/drawingml/2006/picture">
                        <pic:nvPicPr>
                          <pic:cNvPr id="203" name="图片_34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75565" cy="177800"/>
                  <wp:effectExtent l="0" t="0" r="0" b="0"/>
                  <wp:wrapNone/>
                  <wp:docPr id="204" name="图片_32_SpCnt_2"/>
                  <wp:cNvGraphicFramePr/>
                  <a:graphic xmlns:a="http://schemas.openxmlformats.org/drawingml/2006/main">
                    <a:graphicData uri="http://schemas.openxmlformats.org/drawingml/2006/picture">
                      <pic:pic xmlns:pic="http://schemas.openxmlformats.org/drawingml/2006/picture">
                        <pic:nvPicPr>
                          <pic:cNvPr id="204" name="图片_32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75565" cy="177800"/>
                  <wp:effectExtent l="0" t="0" r="0" b="0"/>
                  <wp:wrapNone/>
                  <wp:docPr id="205" name="图片_33_SpCnt_2"/>
                  <wp:cNvGraphicFramePr/>
                  <a:graphic xmlns:a="http://schemas.openxmlformats.org/drawingml/2006/main">
                    <a:graphicData uri="http://schemas.openxmlformats.org/drawingml/2006/picture">
                      <pic:pic xmlns:pic="http://schemas.openxmlformats.org/drawingml/2006/picture">
                        <pic:nvPicPr>
                          <pic:cNvPr id="205" name="图片_33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75565" cy="177800"/>
                  <wp:effectExtent l="0" t="0" r="0" b="0"/>
                  <wp:wrapNone/>
                  <wp:docPr id="206" name="图片_30_SpCnt_2"/>
                  <wp:cNvGraphicFramePr/>
                  <a:graphic xmlns:a="http://schemas.openxmlformats.org/drawingml/2006/main">
                    <a:graphicData uri="http://schemas.openxmlformats.org/drawingml/2006/picture">
                      <pic:pic xmlns:pic="http://schemas.openxmlformats.org/drawingml/2006/picture">
                        <pic:nvPicPr>
                          <pic:cNvPr id="206" name="图片_30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75565" cy="177800"/>
                  <wp:effectExtent l="0" t="0" r="0" b="0"/>
                  <wp:wrapNone/>
                  <wp:docPr id="207" name="图片_148_SpCnt_5"/>
                  <wp:cNvGraphicFramePr/>
                  <a:graphic xmlns:a="http://schemas.openxmlformats.org/drawingml/2006/main">
                    <a:graphicData uri="http://schemas.openxmlformats.org/drawingml/2006/picture">
                      <pic:pic xmlns:pic="http://schemas.openxmlformats.org/drawingml/2006/picture">
                        <pic:nvPicPr>
                          <pic:cNvPr id="207" name="图片_148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75565" cy="177800"/>
                  <wp:effectExtent l="0" t="0" r="0" b="0"/>
                  <wp:wrapNone/>
                  <wp:docPr id="208" name="图片_147_SpCnt_5"/>
                  <wp:cNvGraphicFramePr/>
                  <a:graphic xmlns:a="http://schemas.openxmlformats.org/drawingml/2006/main">
                    <a:graphicData uri="http://schemas.openxmlformats.org/drawingml/2006/picture">
                      <pic:pic xmlns:pic="http://schemas.openxmlformats.org/drawingml/2006/picture">
                        <pic:nvPicPr>
                          <pic:cNvPr id="208" name="图片_147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75565" cy="177800"/>
                  <wp:effectExtent l="0" t="0" r="0" b="0"/>
                  <wp:wrapNone/>
                  <wp:docPr id="209" name="图片_145_SpCnt_5"/>
                  <wp:cNvGraphicFramePr/>
                  <a:graphic xmlns:a="http://schemas.openxmlformats.org/drawingml/2006/main">
                    <a:graphicData uri="http://schemas.openxmlformats.org/drawingml/2006/picture">
                      <pic:pic xmlns:pic="http://schemas.openxmlformats.org/drawingml/2006/picture">
                        <pic:nvPicPr>
                          <pic:cNvPr id="209" name="图片_145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75565" cy="177800"/>
                  <wp:effectExtent l="0" t="0" r="0" b="0"/>
                  <wp:wrapNone/>
                  <wp:docPr id="210" name="图片_143_SpCnt_5"/>
                  <wp:cNvGraphicFramePr/>
                  <a:graphic xmlns:a="http://schemas.openxmlformats.org/drawingml/2006/main">
                    <a:graphicData uri="http://schemas.openxmlformats.org/drawingml/2006/picture">
                      <pic:pic xmlns:pic="http://schemas.openxmlformats.org/drawingml/2006/picture">
                        <pic:nvPicPr>
                          <pic:cNvPr id="210" name="图片_143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lang w:bidi="ar"/>
              </w:rPr>
              <w:t>配电模块</w:t>
            </w:r>
          </w:p>
        </w:tc>
        <w:tc>
          <w:tcPr>
            <w:tcW w:w="725" w:type="dxa"/>
            <w:shd w:val="clear" w:color="auto" w:fill="FFFFF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75565" cy="177800"/>
                  <wp:effectExtent l="0" t="0" r="0" b="0"/>
                  <wp:wrapNone/>
                  <wp:docPr id="211" name="图片_151_SpCnt_2"/>
                  <wp:cNvGraphicFramePr/>
                  <a:graphic xmlns:a="http://schemas.openxmlformats.org/drawingml/2006/main">
                    <a:graphicData uri="http://schemas.openxmlformats.org/drawingml/2006/picture">
                      <pic:pic xmlns:pic="http://schemas.openxmlformats.org/drawingml/2006/picture">
                        <pic:nvPicPr>
                          <pic:cNvPr id="211" name="图片_151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75565" cy="177800"/>
                  <wp:effectExtent l="0" t="0" r="0" b="0"/>
                  <wp:wrapNone/>
                  <wp:docPr id="212" name="图片_49_SpCnt_1"/>
                  <wp:cNvGraphicFramePr/>
                  <a:graphic xmlns:a="http://schemas.openxmlformats.org/drawingml/2006/main">
                    <a:graphicData uri="http://schemas.openxmlformats.org/drawingml/2006/picture">
                      <pic:pic xmlns:pic="http://schemas.openxmlformats.org/drawingml/2006/picture">
                        <pic:nvPicPr>
                          <pic:cNvPr id="212" name="图片_49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75565" cy="177800"/>
                  <wp:effectExtent l="0" t="0" r="0" b="0"/>
                  <wp:wrapNone/>
                  <wp:docPr id="213" name="图片_151_SpCnt_3"/>
                  <wp:cNvGraphicFramePr/>
                  <a:graphic xmlns:a="http://schemas.openxmlformats.org/drawingml/2006/main">
                    <a:graphicData uri="http://schemas.openxmlformats.org/drawingml/2006/picture">
                      <pic:pic xmlns:pic="http://schemas.openxmlformats.org/drawingml/2006/picture">
                        <pic:nvPicPr>
                          <pic:cNvPr id="213" name="图片_151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75565" cy="177800"/>
                  <wp:effectExtent l="0" t="0" r="0" b="0"/>
                  <wp:wrapNone/>
                  <wp:docPr id="214" name="图片_150_SpCnt_2"/>
                  <wp:cNvGraphicFramePr/>
                  <a:graphic xmlns:a="http://schemas.openxmlformats.org/drawingml/2006/main">
                    <a:graphicData uri="http://schemas.openxmlformats.org/drawingml/2006/picture">
                      <pic:pic xmlns:pic="http://schemas.openxmlformats.org/drawingml/2006/picture">
                        <pic:nvPicPr>
                          <pic:cNvPr id="214" name="图片_150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75565" cy="177800"/>
                  <wp:effectExtent l="0" t="0" r="0" b="0"/>
                  <wp:wrapNone/>
                  <wp:docPr id="215" name="图片_150_SpCnt_3"/>
                  <wp:cNvGraphicFramePr/>
                  <a:graphic xmlns:a="http://schemas.openxmlformats.org/drawingml/2006/main">
                    <a:graphicData uri="http://schemas.openxmlformats.org/drawingml/2006/picture">
                      <pic:pic xmlns:pic="http://schemas.openxmlformats.org/drawingml/2006/picture">
                        <pic:nvPicPr>
                          <pic:cNvPr id="215" name="图片_150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75565" cy="177800"/>
                  <wp:effectExtent l="0" t="0" r="0" b="0"/>
                  <wp:wrapNone/>
                  <wp:docPr id="216" name="图片_50_SpCnt_1"/>
                  <wp:cNvGraphicFramePr/>
                  <a:graphic xmlns:a="http://schemas.openxmlformats.org/drawingml/2006/main">
                    <a:graphicData uri="http://schemas.openxmlformats.org/drawingml/2006/picture">
                      <pic:pic xmlns:pic="http://schemas.openxmlformats.org/drawingml/2006/picture">
                        <pic:nvPicPr>
                          <pic:cNvPr id="216" name="图片_50_SpCnt_1"/>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75565" cy="177800"/>
                  <wp:effectExtent l="0" t="0" r="0" b="0"/>
                  <wp:wrapNone/>
                  <wp:docPr id="217" name="图片_151_SpCnt_4"/>
                  <wp:cNvGraphicFramePr/>
                  <a:graphic xmlns:a="http://schemas.openxmlformats.org/drawingml/2006/main">
                    <a:graphicData uri="http://schemas.openxmlformats.org/drawingml/2006/picture">
                      <pic:pic xmlns:pic="http://schemas.openxmlformats.org/drawingml/2006/picture">
                        <pic:nvPicPr>
                          <pic:cNvPr id="217" name="图片_151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75565" cy="177800"/>
                  <wp:effectExtent l="0" t="0" r="0" b="0"/>
                  <wp:wrapNone/>
                  <wp:docPr id="218" name="图片_50_SpCnt_2"/>
                  <wp:cNvGraphicFramePr/>
                  <a:graphic xmlns:a="http://schemas.openxmlformats.org/drawingml/2006/main">
                    <a:graphicData uri="http://schemas.openxmlformats.org/drawingml/2006/picture">
                      <pic:pic xmlns:pic="http://schemas.openxmlformats.org/drawingml/2006/picture">
                        <pic:nvPicPr>
                          <pic:cNvPr id="218" name="图片_50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75565" cy="177800"/>
                  <wp:effectExtent l="0" t="0" r="0" b="0"/>
                  <wp:wrapNone/>
                  <wp:docPr id="219" name="图片_151_SpCnt_5"/>
                  <wp:cNvGraphicFramePr/>
                  <a:graphic xmlns:a="http://schemas.openxmlformats.org/drawingml/2006/main">
                    <a:graphicData uri="http://schemas.openxmlformats.org/drawingml/2006/picture">
                      <pic:pic xmlns:pic="http://schemas.openxmlformats.org/drawingml/2006/picture">
                        <pic:nvPicPr>
                          <pic:cNvPr id="219" name="图片_151_SpCnt_5"/>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75565" cy="177800"/>
                  <wp:effectExtent l="0" t="0" r="0" b="0"/>
                  <wp:wrapNone/>
                  <wp:docPr id="220" name="图片_49_SpCnt_2"/>
                  <wp:cNvGraphicFramePr/>
                  <a:graphic xmlns:a="http://schemas.openxmlformats.org/drawingml/2006/main">
                    <a:graphicData uri="http://schemas.openxmlformats.org/drawingml/2006/picture">
                      <pic:pic xmlns:pic="http://schemas.openxmlformats.org/drawingml/2006/picture">
                        <pic:nvPicPr>
                          <pic:cNvPr id="220" name="图片_49_SpCnt_2"/>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75565" cy="177800"/>
                  <wp:effectExtent l="0" t="0" r="0" b="0"/>
                  <wp:wrapNone/>
                  <wp:docPr id="221" name="图片_150_SpCnt_4"/>
                  <wp:cNvGraphicFramePr/>
                  <a:graphic xmlns:a="http://schemas.openxmlformats.org/drawingml/2006/main">
                    <a:graphicData uri="http://schemas.openxmlformats.org/drawingml/2006/picture">
                      <pic:pic xmlns:pic="http://schemas.openxmlformats.org/drawingml/2006/picture">
                        <pic:nvPicPr>
                          <pic:cNvPr id="221" name="图片_150_SpCnt_4"/>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75565" cy="177800"/>
                  <wp:effectExtent l="0" t="0" r="0" b="0"/>
                  <wp:wrapNone/>
                  <wp:docPr id="222" name="图片_150_SpCnt_5"/>
                  <wp:cNvGraphicFramePr/>
                  <a:graphic xmlns:a="http://schemas.openxmlformats.org/drawingml/2006/main">
                    <a:graphicData uri="http://schemas.openxmlformats.org/drawingml/2006/picture">
                      <pic:pic xmlns:pic="http://schemas.openxmlformats.org/drawingml/2006/picture">
                        <pic:nvPicPr>
                          <pic:cNvPr id="222" name="图片_150_SpCnt_5"/>
                          <pic:cNvPicPr/>
                        </pic:nvPicPr>
                        <pic:blipFill>
                          <a:blip r:embed="rId20"/>
                          <a:stretch>
                            <a:fillRect/>
                          </a:stretch>
                        </pic:blipFill>
                        <pic:spPr>
                          <a:xfrm>
                            <a:off x="0" y="0"/>
                            <a:ext cx="75565" cy="177800"/>
                          </a:xfrm>
                          <a:prstGeom prst="rect">
                            <a:avLst/>
                          </a:prstGeom>
                          <a:noFill/>
                          <a:ln>
                            <a:noFill/>
                          </a:ln>
                        </pic:spPr>
                      </pic:pic>
                    </a:graphicData>
                  </a:graphic>
                </wp:anchor>
              </w:drawing>
            </w:r>
          </w:p>
        </w:tc>
        <w:tc>
          <w:tcPr>
            <w:tcW w:w="775" w:type="dxa"/>
            <w:shd w:val="clear" w:color="auto" w:fill="FFFFF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75565" cy="177800"/>
                  <wp:effectExtent l="0" t="0" r="0" b="0"/>
                  <wp:wrapNone/>
                  <wp:docPr id="223" name="图片_24_SpCnt_3"/>
                  <wp:cNvGraphicFramePr/>
                  <a:graphic xmlns:a="http://schemas.openxmlformats.org/drawingml/2006/main">
                    <a:graphicData uri="http://schemas.openxmlformats.org/drawingml/2006/picture">
                      <pic:pic xmlns:pic="http://schemas.openxmlformats.org/drawingml/2006/picture">
                        <pic:nvPicPr>
                          <pic:cNvPr id="223" name="图片_24_SpCnt_3"/>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75565" cy="177800"/>
                  <wp:effectExtent l="0" t="0" r="0" b="0"/>
                  <wp:wrapNone/>
                  <wp:docPr id="224" name="图片_24_SpCnt_4"/>
                  <wp:cNvGraphicFramePr/>
                  <a:graphic xmlns:a="http://schemas.openxmlformats.org/drawingml/2006/main">
                    <a:graphicData uri="http://schemas.openxmlformats.org/drawingml/2006/picture">
                      <pic:pic xmlns:pic="http://schemas.openxmlformats.org/drawingml/2006/picture">
                        <pic:nvPicPr>
                          <pic:cNvPr id="224" name="图片_24_SpCnt_4"/>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75565" cy="177800"/>
                  <wp:effectExtent l="0" t="0" r="0" b="0"/>
                  <wp:wrapNone/>
                  <wp:docPr id="225" name="图片_23_SpCnt_3"/>
                  <wp:cNvGraphicFramePr/>
                  <a:graphic xmlns:a="http://schemas.openxmlformats.org/drawingml/2006/main">
                    <a:graphicData uri="http://schemas.openxmlformats.org/drawingml/2006/picture">
                      <pic:pic xmlns:pic="http://schemas.openxmlformats.org/drawingml/2006/picture">
                        <pic:nvPicPr>
                          <pic:cNvPr id="225" name="图片_23_SpCnt_3"/>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75565" cy="177800"/>
                  <wp:effectExtent l="0" t="0" r="0" b="0"/>
                  <wp:wrapNone/>
                  <wp:docPr id="226" name="图片_23_SpCnt_4"/>
                  <wp:cNvGraphicFramePr/>
                  <a:graphic xmlns:a="http://schemas.openxmlformats.org/drawingml/2006/main">
                    <a:graphicData uri="http://schemas.openxmlformats.org/drawingml/2006/picture">
                      <pic:pic xmlns:pic="http://schemas.openxmlformats.org/drawingml/2006/picture">
                        <pic:nvPicPr>
                          <pic:cNvPr id="226" name="图片_23_SpCnt_4"/>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75565" cy="177800"/>
                  <wp:effectExtent l="0" t="0" r="0" b="0"/>
                  <wp:wrapNone/>
                  <wp:docPr id="227" name="图片_24_SpCnt_5"/>
                  <wp:cNvGraphicFramePr/>
                  <a:graphic xmlns:a="http://schemas.openxmlformats.org/drawingml/2006/main">
                    <a:graphicData uri="http://schemas.openxmlformats.org/drawingml/2006/picture">
                      <pic:pic xmlns:pic="http://schemas.openxmlformats.org/drawingml/2006/picture">
                        <pic:nvPicPr>
                          <pic:cNvPr id="227" name="图片_24_SpCnt_5"/>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75565" cy="177800"/>
                  <wp:effectExtent l="0" t="0" r="0" b="0"/>
                  <wp:wrapNone/>
                  <wp:docPr id="228" name="图片_23_SpCnt_5"/>
                  <wp:cNvGraphicFramePr/>
                  <a:graphic xmlns:a="http://schemas.openxmlformats.org/drawingml/2006/main">
                    <a:graphicData uri="http://schemas.openxmlformats.org/drawingml/2006/picture">
                      <pic:pic xmlns:pic="http://schemas.openxmlformats.org/drawingml/2006/picture">
                        <pic:nvPicPr>
                          <pic:cNvPr id="228" name="图片_23_SpCnt_5"/>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75565" cy="177800"/>
                  <wp:effectExtent l="0" t="0" r="0" b="0"/>
                  <wp:wrapNone/>
                  <wp:docPr id="229" name="图片_23_SpCnt_6"/>
                  <wp:cNvGraphicFramePr/>
                  <a:graphic xmlns:a="http://schemas.openxmlformats.org/drawingml/2006/main">
                    <a:graphicData uri="http://schemas.openxmlformats.org/drawingml/2006/picture">
                      <pic:pic xmlns:pic="http://schemas.openxmlformats.org/drawingml/2006/picture">
                        <pic:nvPicPr>
                          <pic:cNvPr id="229" name="图片_23_SpCnt_6"/>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75565" cy="177800"/>
                  <wp:effectExtent l="0" t="0" r="0" b="0"/>
                  <wp:wrapNone/>
                  <wp:docPr id="230" name="图片_23_SpCnt_7"/>
                  <wp:cNvGraphicFramePr/>
                  <a:graphic xmlns:a="http://schemas.openxmlformats.org/drawingml/2006/main">
                    <a:graphicData uri="http://schemas.openxmlformats.org/drawingml/2006/picture">
                      <pic:pic xmlns:pic="http://schemas.openxmlformats.org/drawingml/2006/picture">
                        <pic:nvPicPr>
                          <pic:cNvPr id="230" name="图片_23_SpCnt_7"/>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75565" cy="177800"/>
                  <wp:effectExtent l="0" t="0" r="0" b="0"/>
                  <wp:wrapNone/>
                  <wp:docPr id="231" name="图片_24_SpCnt_6"/>
                  <wp:cNvGraphicFramePr/>
                  <a:graphic xmlns:a="http://schemas.openxmlformats.org/drawingml/2006/main">
                    <a:graphicData uri="http://schemas.openxmlformats.org/drawingml/2006/picture">
                      <pic:pic xmlns:pic="http://schemas.openxmlformats.org/drawingml/2006/picture">
                        <pic:nvPicPr>
                          <pic:cNvPr id="231" name="图片_24_SpCnt_6"/>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75565" cy="177800"/>
                  <wp:effectExtent l="0" t="0" r="0" b="0"/>
                  <wp:wrapNone/>
                  <wp:docPr id="232" name="图片_24_SpCnt_7"/>
                  <wp:cNvGraphicFramePr/>
                  <a:graphic xmlns:a="http://schemas.openxmlformats.org/drawingml/2006/main">
                    <a:graphicData uri="http://schemas.openxmlformats.org/drawingml/2006/picture">
                      <pic:pic xmlns:pic="http://schemas.openxmlformats.org/drawingml/2006/picture">
                        <pic:nvPicPr>
                          <pic:cNvPr id="232" name="图片_24_SpCnt_7"/>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75565" cy="177800"/>
                  <wp:effectExtent l="0" t="0" r="0" b="0"/>
                  <wp:wrapNone/>
                  <wp:docPr id="233" name="图片_24_SpCnt_8"/>
                  <wp:cNvGraphicFramePr/>
                  <a:graphic xmlns:a="http://schemas.openxmlformats.org/drawingml/2006/main">
                    <a:graphicData uri="http://schemas.openxmlformats.org/drawingml/2006/picture">
                      <pic:pic xmlns:pic="http://schemas.openxmlformats.org/drawingml/2006/picture">
                        <pic:nvPicPr>
                          <pic:cNvPr id="233" name="图片_24_SpCnt_8"/>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75565" cy="177800"/>
                  <wp:effectExtent l="0" t="0" r="0" b="0"/>
                  <wp:wrapNone/>
                  <wp:docPr id="234" name="图片_23_SpCnt_8"/>
                  <wp:cNvGraphicFramePr/>
                  <a:graphic xmlns:a="http://schemas.openxmlformats.org/drawingml/2006/main">
                    <a:graphicData uri="http://schemas.openxmlformats.org/drawingml/2006/picture">
                      <pic:pic xmlns:pic="http://schemas.openxmlformats.org/drawingml/2006/picture">
                        <pic:nvPicPr>
                          <pic:cNvPr id="234" name="图片_23_SpCnt_8"/>
                          <pic:cNvPicPr/>
                        </pic:nvPicPr>
                        <pic:blipFill>
                          <a:blip r:embed="rId21"/>
                          <a:stretch>
                            <a:fillRect/>
                          </a:stretch>
                        </pic:blipFill>
                        <pic:spPr>
                          <a:xfrm>
                            <a:off x="0" y="0"/>
                            <a:ext cx="75565" cy="1778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总接入电缆</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WDZA-YJY-4*35+1*16mm2，甲方提供</w:t>
            </w:r>
          </w:p>
        </w:tc>
        <w:tc>
          <w:tcPr>
            <w:tcW w:w="725" w:type="dxa"/>
            <w:shd w:val="clear" w:color="auto" w:fill="FFFFFF"/>
            <w:noWrap/>
            <w:vAlign w:val="center"/>
          </w:tcPr>
          <w:p>
            <w:pPr>
              <w:jc w:val="center"/>
              <w:rPr>
                <w:rFonts w:hint="eastAsia" w:ascii="仿宋" w:hAnsi="仿宋" w:eastAsia="仿宋" w:cs="仿宋"/>
                <w:b/>
                <w:bCs/>
                <w:sz w:val="24"/>
                <w:szCs w:val="24"/>
              </w:rPr>
            </w:pPr>
          </w:p>
        </w:tc>
        <w:tc>
          <w:tcPr>
            <w:tcW w:w="775" w:type="dxa"/>
            <w:shd w:val="clear" w:color="auto" w:fill="FFFFFF"/>
            <w:noWrap/>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机架式配电单元</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总接入空开80A3P1个，UPS输入空开63A3P1个，输出空开63A3P1个，旁路带锁63A3P1个，精密空调空开40A1P2个，机柜空开32A1P10个，备用空开16A1P3个，10A1P3个。含防雷开关。</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带智能电量控制器，接入网关和平台统一管理。</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PDU电源</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输出电压110/220VAC，50/60Hz，总负载电流32A, 带输出指示灯， 16个国产优质优质10A插座，含一套32安工业插头</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10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智能型PDU</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输出电压110/220VAC，50/60Hz，总负载电流32A, 带输出指示灯， 16个国产优质优质10A插座，含一套32A工业插头，带监测模块，可接入物联网网关监测电流、电压、功率等，主柜触摸屏触摸管理设置。</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75565" cy="177800"/>
                  <wp:effectExtent l="0" t="0" r="0" b="0"/>
                  <wp:wrapNone/>
                  <wp:docPr id="235" name="图片_44_SpCnt_3"/>
                  <wp:cNvGraphicFramePr/>
                  <a:graphic xmlns:a="http://schemas.openxmlformats.org/drawingml/2006/main">
                    <a:graphicData uri="http://schemas.openxmlformats.org/drawingml/2006/picture">
                      <pic:pic xmlns:pic="http://schemas.openxmlformats.org/drawingml/2006/picture">
                        <pic:nvPicPr>
                          <pic:cNvPr id="235" name="图片_44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75565" cy="177800"/>
                  <wp:effectExtent l="0" t="0" r="0" b="0"/>
                  <wp:wrapNone/>
                  <wp:docPr id="236" name="图片_132_SpCnt_6"/>
                  <wp:cNvGraphicFramePr/>
                  <a:graphic xmlns:a="http://schemas.openxmlformats.org/drawingml/2006/main">
                    <a:graphicData uri="http://schemas.openxmlformats.org/drawingml/2006/picture">
                      <pic:pic xmlns:pic="http://schemas.openxmlformats.org/drawingml/2006/picture">
                        <pic:nvPicPr>
                          <pic:cNvPr id="236" name="图片_132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75565" cy="177800"/>
                  <wp:effectExtent l="0" t="0" r="0" b="0"/>
                  <wp:wrapNone/>
                  <wp:docPr id="237" name="图片_36_SpCnt_3"/>
                  <wp:cNvGraphicFramePr/>
                  <a:graphic xmlns:a="http://schemas.openxmlformats.org/drawingml/2006/main">
                    <a:graphicData uri="http://schemas.openxmlformats.org/drawingml/2006/picture">
                      <pic:pic xmlns:pic="http://schemas.openxmlformats.org/drawingml/2006/picture">
                        <pic:nvPicPr>
                          <pic:cNvPr id="237" name="图片_36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75565" cy="177800"/>
                  <wp:effectExtent l="0" t="0" r="0" b="0"/>
                  <wp:wrapNone/>
                  <wp:docPr id="238" name="图片_42_SpCnt_3"/>
                  <wp:cNvGraphicFramePr/>
                  <a:graphic xmlns:a="http://schemas.openxmlformats.org/drawingml/2006/main">
                    <a:graphicData uri="http://schemas.openxmlformats.org/drawingml/2006/picture">
                      <pic:pic xmlns:pic="http://schemas.openxmlformats.org/drawingml/2006/picture">
                        <pic:nvPicPr>
                          <pic:cNvPr id="238" name="图片_42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75565" cy="177800"/>
                  <wp:effectExtent l="0" t="0" r="0" b="0"/>
                  <wp:wrapNone/>
                  <wp:docPr id="239" name="图片_34_SpCnt_3"/>
                  <wp:cNvGraphicFramePr/>
                  <a:graphic xmlns:a="http://schemas.openxmlformats.org/drawingml/2006/main">
                    <a:graphicData uri="http://schemas.openxmlformats.org/drawingml/2006/picture">
                      <pic:pic xmlns:pic="http://schemas.openxmlformats.org/drawingml/2006/picture">
                        <pic:nvPicPr>
                          <pic:cNvPr id="239" name="图片_34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75565" cy="177800"/>
                  <wp:effectExtent l="0" t="0" r="0" b="0"/>
                  <wp:wrapNone/>
                  <wp:docPr id="240" name="图片_144_SpCnt_6"/>
                  <wp:cNvGraphicFramePr/>
                  <a:graphic xmlns:a="http://schemas.openxmlformats.org/drawingml/2006/main">
                    <a:graphicData uri="http://schemas.openxmlformats.org/drawingml/2006/picture">
                      <pic:pic xmlns:pic="http://schemas.openxmlformats.org/drawingml/2006/picture">
                        <pic:nvPicPr>
                          <pic:cNvPr id="240" name="图片_144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75565" cy="177800"/>
                  <wp:effectExtent l="0" t="0" r="0" b="0"/>
                  <wp:wrapNone/>
                  <wp:docPr id="241" name="图片_131_SpCnt_6"/>
                  <wp:cNvGraphicFramePr/>
                  <a:graphic xmlns:a="http://schemas.openxmlformats.org/drawingml/2006/main">
                    <a:graphicData uri="http://schemas.openxmlformats.org/drawingml/2006/picture">
                      <pic:pic xmlns:pic="http://schemas.openxmlformats.org/drawingml/2006/picture">
                        <pic:nvPicPr>
                          <pic:cNvPr id="241" name="图片_131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75565" cy="177800"/>
                  <wp:effectExtent l="0" t="0" r="0" b="0"/>
                  <wp:wrapNone/>
                  <wp:docPr id="242" name="图片_29_SpCnt_3"/>
                  <wp:cNvGraphicFramePr/>
                  <a:graphic xmlns:a="http://schemas.openxmlformats.org/drawingml/2006/main">
                    <a:graphicData uri="http://schemas.openxmlformats.org/drawingml/2006/picture">
                      <pic:pic xmlns:pic="http://schemas.openxmlformats.org/drawingml/2006/picture">
                        <pic:nvPicPr>
                          <pic:cNvPr id="242" name="图片_29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75565" cy="177800"/>
                  <wp:effectExtent l="0" t="0" r="0" b="0"/>
                  <wp:wrapNone/>
                  <wp:docPr id="243" name="图片_35_SpCnt_3"/>
                  <wp:cNvGraphicFramePr/>
                  <a:graphic xmlns:a="http://schemas.openxmlformats.org/drawingml/2006/main">
                    <a:graphicData uri="http://schemas.openxmlformats.org/drawingml/2006/picture">
                      <pic:pic xmlns:pic="http://schemas.openxmlformats.org/drawingml/2006/picture">
                        <pic:nvPicPr>
                          <pic:cNvPr id="243" name="图片_35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75565" cy="177800"/>
                  <wp:effectExtent l="0" t="0" r="0" b="0"/>
                  <wp:wrapNone/>
                  <wp:docPr id="244" name="图片_141_SpCnt_6"/>
                  <wp:cNvGraphicFramePr/>
                  <a:graphic xmlns:a="http://schemas.openxmlformats.org/drawingml/2006/main">
                    <a:graphicData uri="http://schemas.openxmlformats.org/drawingml/2006/picture">
                      <pic:pic xmlns:pic="http://schemas.openxmlformats.org/drawingml/2006/picture">
                        <pic:nvPicPr>
                          <pic:cNvPr id="244" name="图片_141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75565" cy="177800"/>
                  <wp:effectExtent l="0" t="0" r="0" b="0"/>
                  <wp:wrapNone/>
                  <wp:docPr id="245" name="图片_130_SpCnt_6"/>
                  <wp:cNvGraphicFramePr/>
                  <a:graphic xmlns:a="http://schemas.openxmlformats.org/drawingml/2006/main">
                    <a:graphicData uri="http://schemas.openxmlformats.org/drawingml/2006/picture">
                      <pic:pic xmlns:pic="http://schemas.openxmlformats.org/drawingml/2006/picture">
                        <pic:nvPicPr>
                          <pic:cNvPr id="245" name="图片_130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75565" cy="177800"/>
                  <wp:effectExtent l="0" t="0" r="0" b="0"/>
                  <wp:wrapNone/>
                  <wp:docPr id="246" name="图片_129_SpCnt_6"/>
                  <wp:cNvGraphicFramePr/>
                  <a:graphic xmlns:a="http://schemas.openxmlformats.org/drawingml/2006/main">
                    <a:graphicData uri="http://schemas.openxmlformats.org/drawingml/2006/picture">
                      <pic:pic xmlns:pic="http://schemas.openxmlformats.org/drawingml/2006/picture">
                        <pic:nvPicPr>
                          <pic:cNvPr id="246" name="图片_129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75565" cy="177800"/>
                  <wp:effectExtent l="0" t="0" r="0" b="0"/>
                  <wp:wrapNone/>
                  <wp:docPr id="247" name="图片_149_SpCnt_6"/>
                  <wp:cNvGraphicFramePr/>
                  <a:graphic xmlns:a="http://schemas.openxmlformats.org/drawingml/2006/main">
                    <a:graphicData uri="http://schemas.openxmlformats.org/drawingml/2006/picture">
                      <pic:pic xmlns:pic="http://schemas.openxmlformats.org/drawingml/2006/picture">
                        <pic:nvPicPr>
                          <pic:cNvPr id="247" name="图片_149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75565" cy="177800"/>
                  <wp:effectExtent l="0" t="0" r="0" b="0"/>
                  <wp:wrapNone/>
                  <wp:docPr id="248" name="图片_129_SpCnt_7"/>
                  <wp:cNvGraphicFramePr/>
                  <a:graphic xmlns:a="http://schemas.openxmlformats.org/drawingml/2006/main">
                    <a:graphicData uri="http://schemas.openxmlformats.org/drawingml/2006/picture">
                      <pic:pic xmlns:pic="http://schemas.openxmlformats.org/drawingml/2006/picture">
                        <pic:nvPicPr>
                          <pic:cNvPr id="248" name="图片_129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75565" cy="177800"/>
                  <wp:effectExtent l="0" t="0" r="0" b="0"/>
                  <wp:wrapNone/>
                  <wp:docPr id="249" name="图片_128_SpCnt_6"/>
                  <wp:cNvGraphicFramePr/>
                  <a:graphic xmlns:a="http://schemas.openxmlformats.org/drawingml/2006/main">
                    <a:graphicData uri="http://schemas.openxmlformats.org/drawingml/2006/picture">
                      <pic:pic xmlns:pic="http://schemas.openxmlformats.org/drawingml/2006/picture">
                        <pic:nvPicPr>
                          <pic:cNvPr id="249" name="图片_128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75565" cy="177800"/>
                  <wp:effectExtent l="0" t="0" r="0" b="0"/>
                  <wp:wrapNone/>
                  <wp:docPr id="250" name="图片_143_SpCnt_6"/>
                  <wp:cNvGraphicFramePr/>
                  <a:graphic xmlns:a="http://schemas.openxmlformats.org/drawingml/2006/main">
                    <a:graphicData uri="http://schemas.openxmlformats.org/drawingml/2006/picture">
                      <pic:pic xmlns:pic="http://schemas.openxmlformats.org/drawingml/2006/picture">
                        <pic:nvPicPr>
                          <pic:cNvPr id="250" name="图片_143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75565" cy="177800"/>
                  <wp:effectExtent l="0" t="0" r="0" b="0"/>
                  <wp:wrapNone/>
                  <wp:docPr id="251" name="图片_31_SpCnt_3"/>
                  <wp:cNvGraphicFramePr/>
                  <a:graphic xmlns:a="http://schemas.openxmlformats.org/drawingml/2006/main">
                    <a:graphicData uri="http://schemas.openxmlformats.org/drawingml/2006/picture">
                      <pic:pic xmlns:pic="http://schemas.openxmlformats.org/drawingml/2006/picture">
                        <pic:nvPicPr>
                          <pic:cNvPr id="251" name="图片_31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75565" cy="177800"/>
                  <wp:effectExtent l="0" t="0" r="0" b="0"/>
                  <wp:wrapNone/>
                  <wp:docPr id="252" name="图片_148_SpCnt_6"/>
                  <wp:cNvGraphicFramePr/>
                  <a:graphic xmlns:a="http://schemas.openxmlformats.org/drawingml/2006/main">
                    <a:graphicData uri="http://schemas.openxmlformats.org/drawingml/2006/picture">
                      <pic:pic xmlns:pic="http://schemas.openxmlformats.org/drawingml/2006/picture">
                        <pic:nvPicPr>
                          <pic:cNvPr id="252" name="图片_148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75565" cy="177800"/>
                  <wp:effectExtent l="0" t="0" r="0" b="0"/>
                  <wp:wrapNone/>
                  <wp:docPr id="253" name="图片_145_SpCnt_6"/>
                  <wp:cNvGraphicFramePr/>
                  <a:graphic xmlns:a="http://schemas.openxmlformats.org/drawingml/2006/main">
                    <a:graphicData uri="http://schemas.openxmlformats.org/drawingml/2006/picture">
                      <pic:pic xmlns:pic="http://schemas.openxmlformats.org/drawingml/2006/picture">
                        <pic:nvPicPr>
                          <pic:cNvPr id="253" name="图片_145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75565" cy="177800"/>
                  <wp:effectExtent l="0" t="0" r="0" b="0"/>
                  <wp:wrapNone/>
                  <wp:docPr id="254" name="图片_138_SpCnt_6"/>
                  <wp:cNvGraphicFramePr/>
                  <a:graphic xmlns:a="http://schemas.openxmlformats.org/drawingml/2006/main">
                    <a:graphicData uri="http://schemas.openxmlformats.org/drawingml/2006/picture">
                      <pic:pic xmlns:pic="http://schemas.openxmlformats.org/drawingml/2006/picture">
                        <pic:nvPicPr>
                          <pic:cNvPr id="254" name="图片_138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75565" cy="177800"/>
                  <wp:effectExtent l="0" t="0" r="0" b="0"/>
                  <wp:wrapNone/>
                  <wp:docPr id="255" name="图片_30_SpCnt_3"/>
                  <wp:cNvGraphicFramePr/>
                  <a:graphic xmlns:a="http://schemas.openxmlformats.org/drawingml/2006/main">
                    <a:graphicData uri="http://schemas.openxmlformats.org/drawingml/2006/picture">
                      <pic:pic xmlns:pic="http://schemas.openxmlformats.org/drawingml/2006/picture">
                        <pic:nvPicPr>
                          <pic:cNvPr id="255" name="图片_30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75565" cy="177800"/>
                  <wp:effectExtent l="0" t="0" r="0" b="0"/>
                  <wp:wrapNone/>
                  <wp:docPr id="256" name="图片_145_SpCnt_7"/>
                  <wp:cNvGraphicFramePr/>
                  <a:graphic xmlns:a="http://schemas.openxmlformats.org/drawingml/2006/main">
                    <a:graphicData uri="http://schemas.openxmlformats.org/drawingml/2006/picture">
                      <pic:pic xmlns:pic="http://schemas.openxmlformats.org/drawingml/2006/picture">
                        <pic:nvPicPr>
                          <pic:cNvPr id="256" name="图片_145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75565" cy="177800"/>
                  <wp:effectExtent l="0" t="0" r="0" b="0"/>
                  <wp:wrapNone/>
                  <wp:docPr id="257" name="图片_144_SpCnt_7"/>
                  <wp:cNvGraphicFramePr/>
                  <a:graphic xmlns:a="http://schemas.openxmlformats.org/drawingml/2006/main">
                    <a:graphicData uri="http://schemas.openxmlformats.org/drawingml/2006/picture">
                      <pic:pic xmlns:pic="http://schemas.openxmlformats.org/drawingml/2006/picture">
                        <pic:nvPicPr>
                          <pic:cNvPr id="257" name="图片_144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75565" cy="177800"/>
                  <wp:effectExtent l="0" t="0" r="0" b="0"/>
                  <wp:wrapNone/>
                  <wp:docPr id="258" name="图片_128_SpCnt_7"/>
                  <wp:cNvGraphicFramePr/>
                  <a:graphic xmlns:a="http://schemas.openxmlformats.org/drawingml/2006/main">
                    <a:graphicData uri="http://schemas.openxmlformats.org/drawingml/2006/picture">
                      <pic:pic xmlns:pic="http://schemas.openxmlformats.org/drawingml/2006/picture">
                        <pic:nvPicPr>
                          <pic:cNvPr id="258" name="图片_128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75565" cy="177800"/>
                  <wp:effectExtent l="0" t="0" r="0" b="0"/>
                  <wp:wrapNone/>
                  <wp:docPr id="259" name="图片_137_SpCnt_6"/>
                  <wp:cNvGraphicFramePr/>
                  <a:graphic xmlns:a="http://schemas.openxmlformats.org/drawingml/2006/main">
                    <a:graphicData uri="http://schemas.openxmlformats.org/drawingml/2006/picture">
                      <pic:pic xmlns:pic="http://schemas.openxmlformats.org/drawingml/2006/picture">
                        <pic:nvPicPr>
                          <pic:cNvPr id="259" name="图片_137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75565" cy="177800"/>
                  <wp:effectExtent l="0" t="0" r="0" b="0"/>
                  <wp:wrapNone/>
                  <wp:docPr id="260" name="图片_37_SpCnt_3"/>
                  <wp:cNvGraphicFramePr/>
                  <a:graphic xmlns:a="http://schemas.openxmlformats.org/drawingml/2006/main">
                    <a:graphicData uri="http://schemas.openxmlformats.org/drawingml/2006/picture">
                      <pic:pic xmlns:pic="http://schemas.openxmlformats.org/drawingml/2006/picture">
                        <pic:nvPicPr>
                          <pic:cNvPr id="260" name="图片_37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75565" cy="177800"/>
                  <wp:effectExtent l="0" t="0" r="0" b="0"/>
                  <wp:wrapNone/>
                  <wp:docPr id="261" name="图片_137_SpCnt_7"/>
                  <wp:cNvGraphicFramePr/>
                  <a:graphic xmlns:a="http://schemas.openxmlformats.org/drawingml/2006/main">
                    <a:graphicData uri="http://schemas.openxmlformats.org/drawingml/2006/picture">
                      <pic:pic xmlns:pic="http://schemas.openxmlformats.org/drawingml/2006/picture">
                        <pic:nvPicPr>
                          <pic:cNvPr id="261" name="图片_137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75565" cy="177800"/>
                  <wp:effectExtent l="0" t="0" r="0" b="0"/>
                  <wp:wrapNone/>
                  <wp:docPr id="262" name="图片_139_SpCnt_6"/>
                  <wp:cNvGraphicFramePr/>
                  <a:graphic xmlns:a="http://schemas.openxmlformats.org/drawingml/2006/main">
                    <a:graphicData uri="http://schemas.openxmlformats.org/drawingml/2006/picture">
                      <pic:pic xmlns:pic="http://schemas.openxmlformats.org/drawingml/2006/picture">
                        <pic:nvPicPr>
                          <pic:cNvPr id="262" name="图片_139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75565" cy="177800"/>
                  <wp:effectExtent l="0" t="0" r="0" b="0"/>
                  <wp:wrapNone/>
                  <wp:docPr id="263" name="图片_135_SpCnt_6"/>
                  <wp:cNvGraphicFramePr/>
                  <a:graphic xmlns:a="http://schemas.openxmlformats.org/drawingml/2006/main">
                    <a:graphicData uri="http://schemas.openxmlformats.org/drawingml/2006/picture">
                      <pic:pic xmlns:pic="http://schemas.openxmlformats.org/drawingml/2006/picture">
                        <pic:nvPicPr>
                          <pic:cNvPr id="263" name="图片_135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75565" cy="177800"/>
                  <wp:effectExtent l="0" t="0" r="0" b="0"/>
                  <wp:wrapNone/>
                  <wp:docPr id="264" name="图片_40_SpCnt_3"/>
                  <wp:cNvGraphicFramePr/>
                  <a:graphic xmlns:a="http://schemas.openxmlformats.org/drawingml/2006/main">
                    <a:graphicData uri="http://schemas.openxmlformats.org/drawingml/2006/picture">
                      <pic:pic xmlns:pic="http://schemas.openxmlformats.org/drawingml/2006/picture">
                        <pic:nvPicPr>
                          <pic:cNvPr id="264" name="图片_40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75565" cy="177800"/>
                  <wp:effectExtent l="0" t="0" r="0" b="0"/>
                  <wp:wrapNone/>
                  <wp:docPr id="265" name="图片_135_SpCnt_7"/>
                  <wp:cNvGraphicFramePr/>
                  <a:graphic xmlns:a="http://schemas.openxmlformats.org/drawingml/2006/main">
                    <a:graphicData uri="http://schemas.openxmlformats.org/drawingml/2006/picture">
                      <pic:pic xmlns:pic="http://schemas.openxmlformats.org/drawingml/2006/picture">
                        <pic:nvPicPr>
                          <pic:cNvPr id="265" name="图片_135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75565" cy="177800"/>
                  <wp:effectExtent l="0" t="0" r="0" b="0"/>
                  <wp:wrapNone/>
                  <wp:docPr id="266" name="图片_32_SpCnt_3"/>
                  <wp:cNvGraphicFramePr/>
                  <a:graphic xmlns:a="http://schemas.openxmlformats.org/drawingml/2006/main">
                    <a:graphicData uri="http://schemas.openxmlformats.org/drawingml/2006/picture">
                      <pic:pic xmlns:pic="http://schemas.openxmlformats.org/drawingml/2006/picture">
                        <pic:nvPicPr>
                          <pic:cNvPr id="266" name="图片_32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75565" cy="177800"/>
                  <wp:effectExtent l="0" t="0" r="0" b="0"/>
                  <wp:wrapNone/>
                  <wp:docPr id="267" name="图片_131_SpCnt_7"/>
                  <wp:cNvGraphicFramePr/>
                  <a:graphic xmlns:a="http://schemas.openxmlformats.org/drawingml/2006/main">
                    <a:graphicData uri="http://schemas.openxmlformats.org/drawingml/2006/picture">
                      <pic:pic xmlns:pic="http://schemas.openxmlformats.org/drawingml/2006/picture">
                        <pic:nvPicPr>
                          <pic:cNvPr id="267" name="图片_131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75565" cy="177800"/>
                  <wp:effectExtent l="0" t="0" r="0" b="0"/>
                  <wp:wrapNone/>
                  <wp:docPr id="268" name="图片_130_SpCnt_7"/>
                  <wp:cNvGraphicFramePr/>
                  <a:graphic xmlns:a="http://schemas.openxmlformats.org/drawingml/2006/main">
                    <a:graphicData uri="http://schemas.openxmlformats.org/drawingml/2006/picture">
                      <pic:pic xmlns:pic="http://schemas.openxmlformats.org/drawingml/2006/picture">
                        <pic:nvPicPr>
                          <pic:cNvPr id="268" name="图片_130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75565" cy="177800"/>
                  <wp:effectExtent l="0" t="0" r="0" b="0"/>
                  <wp:wrapNone/>
                  <wp:docPr id="269" name="图片_46_SpCnt_3"/>
                  <wp:cNvGraphicFramePr/>
                  <a:graphic xmlns:a="http://schemas.openxmlformats.org/drawingml/2006/main">
                    <a:graphicData uri="http://schemas.openxmlformats.org/drawingml/2006/picture">
                      <pic:pic xmlns:pic="http://schemas.openxmlformats.org/drawingml/2006/picture">
                        <pic:nvPicPr>
                          <pic:cNvPr id="269" name="图片_46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75565" cy="177800"/>
                  <wp:effectExtent l="0" t="0" r="0" b="0"/>
                  <wp:wrapNone/>
                  <wp:docPr id="270" name="图片_27_SpCnt_3"/>
                  <wp:cNvGraphicFramePr/>
                  <a:graphic xmlns:a="http://schemas.openxmlformats.org/drawingml/2006/main">
                    <a:graphicData uri="http://schemas.openxmlformats.org/drawingml/2006/picture">
                      <pic:pic xmlns:pic="http://schemas.openxmlformats.org/drawingml/2006/picture">
                        <pic:nvPicPr>
                          <pic:cNvPr id="270" name="图片_27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75565" cy="177800"/>
                  <wp:effectExtent l="0" t="0" r="0" b="0"/>
                  <wp:wrapNone/>
                  <wp:docPr id="271" name="图片_28_SpCnt_3"/>
                  <wp:cNvGraphicFramePr/>
                  <a:graphic xmlns:a="http://schemas.openxmlformats.org/drawingml/2006/main">
                    <a:graphicData uri="http://schemas.openxmlformats.org/drawingml/2006/picture">
                      <pic:pic xmlns:pic="http://schemas.openxmlformats.org/drawingml/2006/picture">
                        <pic:nvPicPr>
                          <pic:cNvPr id="271" name="图片_28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75565" cy="177800"/>
                  <wp:effectExtent l="0" t="0" r="0" b="0"/>
                  <wp:wrapNone/>
                  <wp:docPr id="272" name="图片_43_SpCnt_3"/>
                  <wp:cNvGraphicFramePr/>
                  <a:graphic xmlns:a="http://schemas.openxmlformats.org/drawingml/2006/main">
                    <a:graphicData uri="http://schemas.openxmlformats.org/drawingml/2006/picture">
                      <pic:pic xmlns:pic="http://schemas.openxmlformats.org/drawingml/2006/picture">
                        <pic:nvPicPr>
                          <pic:cNvPr id="272" name="图片_43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75565" cy="177800"/>
                  <wp:effectExtent l="0" t="0" r="0" b="0"/>
                  <wp:wrapNone/>
                  <wp:docPr id="273" name="图片_134_SpCnt_6"/>
                  <wp:cNvGraphicFramePr/>
                  <a:graphic xmlns:a="http://schemas.openxmlformats.org/drawingml/2006/main">
                    <a:graphicData uri="http://schemas.openxmlformats.org/drawingml/2006/picture">
                      <pic:pic xmlns:pic="http://schemas.openxmlformats.org/drawingml/2006/picture">
                        <pic:nvPicPr>
                          <pic:cNvPr id="273" name="图片_134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75565" cy="177800"/>
                  <wp:effectExtent l="0" t="0" r="0" b="0"/>
                  <wp:wrapNone/>
                  <wp:docPr id="274" name="图片_39_SpCnt_3"/>
                  <wp:cNvGraphicFramePr/>
                  <a:graphic xmlns:a="http://schemas.openxmlformats.org/drawingml/2006/main">
                    <a:graphicData uri="http://schemas.openxmlformats.org/drawingml/2006/picture">
                      <pic:pic xmlns:pic="http://schemas.openxmlformats.org/drawingml/2006/picture">
                        <pic:nvPicPr>
                          <pic:cNvPr id="274" name="图片_39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75565" cy="177800"/>
                  <wp:effectExtent l="0" t="0" r="0" b="0"/>
                  <wp:wrapNone/>
                  <wp:docPr id="275" name="图片_48_SpCnt_3"/>
                  <wp:cNvGraphicFramePr/>
                  <a:graphic xmlns:a="http://schemas.openxmlformats.org/drawingml/2006/main">
                    <a:graphicData uri="http://schemas.openxmlformats.org/drawingml/2006/picture">
                      <pic:pic xmlns:pic="http://schemas.openxmlformats.org/drawingml/2006/picture">
                        <pic:nvPicPr>
                          <pic:cNvPr id="275" name="图片_48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75565" cy="177800"/>
                  <wp:effectExtent l="0" t="0" r="0" b="0"/>
                  <wp:wrapNone/>
                  <wp:docPr id="276" name="图片_140_SpCnt_6"/>
                  <wp:cNvGraphicFramePr/>
                  <a:graphic xmlns:a="http://schemas.openxmlformats.org/drawingml/2006/main">
                    <a:graphicData uri="http://schemas.openxmlformats.org/drawingml/2006/picture">
                      <pic:pic xmlns:pic="http://schemas.openxmlformats.org/drawingml/2006/picture">
                        <pic:nvPicPr>
                          <pic:cNvPr id="276" name="图片_140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75565" cy="177800"/>
                  <wp:effectExtent l="0" t="0" r="0" b="0"/>
                  <wp:wrapNone/>
                  <wp:docPr id="277" name="图片_142_SpCnt_6"/>
                  <wp:cNvGraphicFramePr/>
                  <a:graphic xmlns:a="http://schemas.openxmlformats.org/drawingml/2006/main">
                    <a:graphicData uri="http://schemas.openxmlformats.org/drawingml/2006/picture">
                      <pic:pic xmlns:pic="http://schemas.openxmlformats.org/drawingml/2006/picture">
                        <pic:nvPicPr>
                          <pic:cNvPr id="277" name="图片_142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75565" cy="177800"/>
                  <wp:effectExtent l="0" t="0" r="0" b="0"/>
                  <wp:wrapNone/>
                  <wp:docPr id="278" name="图片_38_SpCnt_3"/>
                  <wp:cNvGraphicFramePr/>
                  <a:graphic xmlns:a="http://schemas.openxmlformats.org/drawingml/2006/main">
                    <a:graphicData uri="http://schemas.openxmlformats.org/drawingml/2006/picture">
                      <pic:pic xmlns:pic="http://schemas.openxmlformats.org/drawingml/2006/picture">
                        <pic:nvPicPr>
                          <pic:cNvPr id="278" name="图片_38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75565" cy="177800"/>
                  <wp:effectExtent l="0" t="0" r="0" b="0"/>
                  <wp:wrapNone/>
                  <wp:docPr id="279" name="图片_33_SpCnt_3"/>
                  <wp:cNvGraphicFramePr/>
                  <a:graphic xmlns:a="http://schemas.openxmlformats.org/drawingml/2006/main">
                    <a:graphicData uri="http://schemas.openxmlformats.org/drawingml/2006/picture">
                      <pic:pic xmlns:pic="http://schemas.openxmlformats.org/drawingml/2006/picture">
                        <pic:nvPicPr>
                          <pic:cNvPr id="279" name="图片_33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75565" cy="177800"/>
                  <wp:effectExtent l="0" t="0" r="0" b="0"/>
                  <wp:wrapNone/>
                  <wp:docPr id="280" name="图片_132_SpCnt_7"/>
                  <wp:cNvGraphicFramePr/>
                  <a:graphic xmlns:a="http://schemas.openxmlformats.org/drawingml/2006/main">
                    <a:graphicData uri="http://schemas.openxmlformats.org/drawingml/2006/picture">
                      <pic:pic xmlns:pic="http://schemas.openxmlformats.org/drawingml/2006/picture">
                        <pic:nvPicPr>
                          <pic:cNvPr id="280" name="图片_132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75565" cy="177800"/>
                  <wp:effectExtent l="0" t="0" r="0" b="0"/>
                  <wp:wrapNone/>
                  <wp:docPr id="281" name="图片_148_SpCnt_7"/>
                  <wp:cNvGraphicFramePr/>
                  <a:graphic xmlns:a="http://schemas.openxmlformats.org/drawingml/2006/main">
                    <a:graphicData uri="http://schemas.openxmlformats.org/drawingml/2006/picture">
                      <pic:pic xmlns:pic="http://schemas.openxmlformats.org/drawingml/2006/picture">
                        <pic:nvPicPr>
                          <pic:cNvPr id="281" name="图片_148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75565" cy="177800"/>
                  <wp:effectExtent l="0" t="0" r="0" b="0"/>
                  <wp:wrapNone/>
                  <wp:docPr id="282" name="图片_45_SpCnt_3"/>
                  <wp:cNvGraphicFramePr/>
                  <a:graphic xmlns:a="http://schemas.openxmlformats.org/drawingml/2006/main">
                    <a:graphicData uri="http://schemas.openxmlformats.org/drawingml/2006/picture">
                      <pic:pic xmlns:pic="http://schemas.openxmlformats.org/drawingml/2006/picture">
                        <pic:nvPicPr>
                          <pic:cNvPr id="282" name="图片_45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75565" cy="177800"/>
                  <wp:effectExtent l="0" t="0" r="0" b="0"/>
                  <wp:wrapNone/>
                  <wp:docPr id="283" name="图片_146_SpCnt_6"/>
                  <wp:cNvGraphicFramePr/>
                  <a:graphic xmlns:a="http://schemas.openxmlformats.org/drawingml/2006/main">
                    <a:graphicData uri="http://schemas.openxmlformats.org/drawingml/2006/picture">
                      <pic:pic xmlns:pic="http://schemas.openxmlformats.org/drawingml/2006/picture">
                        <pic:nvPicPr>
                          <pic:cNvPr id="283" name="图片_146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75565" cy="177800"/>
                  <wp:effectExtent l="0" t="0" r="0" b="0"/>
                  <wp:wrapNone/>
                  <wp:docPr id="284" name="图片_136_SpCnt_6"/>
                  <wp:cNvGraphicFramePr/>
                  <a:graphic xmlns:a="http://schemas.openxmlformats.org/drawingml/2006/main">
                    <a:graphicData uri="http://schemas.openxmlformats.org/drawingml/2006/picture">
                      <pic:pic xmlns:pic="http://schemas.openxmlformats.org/drawingml/2006/picture">
                        <pic:nvPicPr>
                          <pic:cNvPr id="284" name="图片_136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75565" cy="177800"/>
                  <wp:effectExtent l="0" t="0" r="0" b="0"/>
                  <wp:wrapNone/>
                  <wp:docPr id="285" name="图片_140_SpCnt_7"/>
                  <wp:cNvGraphicFramePr/>
                  <a:graphic xmlns:a="http://schemas.openxmlformats.org/drawingml/2006/main">
                    <a:graphicData uri="http://schemas.openxmlformats.org/drawingml/2006/picture">
                      <pic:pic xmlns:pic="http://schemas.openxmlformats.org/drawingml/2006/picture">
                        <pic:nvPicPr>
                          <pic:cNvPr id="285" name="图片_140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75565" cy="177800"/>
                  <wp:effectExtent l="0" t="0" r="0" b="0"/>
                  <wp:wrapNone/>
                  <wp:docPr id="286" name="图片_41_SpCnt_3"/>
                  <wp:cNvGraphicFramePr/>
                  <a:graphic xmlns:a="http://schemas.openxmlformats.org/drawingml/2006/main">
                    <a:graphicData uri="http://schemas.openxmlformats.org/drawingml/2006/picture">
                      <pic:pic xmlns:pic="http://schemas.openxmlformats.org/drawingml/2006/picture">
                        <pic:nvPicPr>
                          <pic:cNvPr id="286" name="图片_41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75565" cy="177800"/>
                  <wp:effectExtent l="0" t="0" r="0" b="0"/>
                  <wp:wrapNone/>
                  <wp:docPr id="287" name="图片_133_SpCnt_6"/>
                  <wp:cNvGraphicFramePr/>
                  <a:graphic xmlns:a="http://schemas.openxmlformats.org/drawingml/2006/main">
                    <a:graphicData uri="http://schemas.openxmlformats.org/drawingml/2006/picture">
                      <pic:pic xmlns:pic="http://schemas.openxmlformats.org/drawingml/2006/picture">
                        <pic:nvPicPr>
                          <pic:cNvPr id="287" name="图片_133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75565" cy="177800"/>
                  <wp:effectExtent l="0" t="0" r="0" b="0"/>
                  <wp:wrapNone/>
                  <wp:docPr id="288" name="图片_141_SpCnt_7"/>
                  <wp:cNvGraphicFramePr/>
                  <a:graphic xmlns:a="http://schemas.openxmlformats.org/drawingml/2006/main">
                    <a:graphicData uri="http://schemas.openxmlformats.org/drawingml/2006/picture">
                      <pic:pic xmlns:pic="http://schemas.openxmlformats.org/drawingml/2006/picture">
                        <pic:nvPicPr>
                          <pic:cNvPr id="288" name="图片_141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75565" cy="177800"/>
                  <wp:effectExtent l="0" t="0" r="0" b="0"/>
                  <wp:wrapNone/>
                  <wp:docPr id="289" name="图片_147_SpCnt_6"/>
                  <wp:cNvGraphicFramePr/>
                  <a:graphic xmlns:a="http://schemas.openxmlformats.org/drawingml/2006/main">
                    <a:graphicData uri="http://schemas.openxmlformats.org/drawingml/2006/picture">
                      <pic:pic xmlns:pic="http://schemas.openxmlformats.org/drawingml/2006/picture">
                        <pic:nvPicPr>
                          <pic:cNvPr id="289" name="图片_147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75565" cy="177800"/>
                  <wp:effectExtent l="0" t="0" r="0" b="0"/>
                  <wp:wrapNone/>
                  <wp:docPr id="290" name="图片_139_SpCnt_7"/>
                  <wp:cNvGraphicFramePr/>
                  <a:graphic xmlns:a="http://schemas.openxmlformats.org/drawingml/2006/main">
                    <a:graphicData uri="http://schemas.openxmlformats.org/drawingml/2006/picture">
                      <pic:pic xmlns:pic="http://schemas.openxmlformats.org/drawingml/2006/picture">
                        <pic:nvPicPr>
                          <pic:cNvPr id="290" name="图片_139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75565" cy="177800"/>
                  <wp:effectExtent l="0" t="0" r="0" b="0"/>
                  <wp:wrapNone/>
                  <wp:docPr id="291" name="图片_47_SpCnt_3"/>
                  <wp:cNvGraphicFramePr/>
                  <a:graphic xmlns:a="http://schemas.openxmlformats.org/drawingml/2006/main">
                    <a:graphicData uri="http://schemas.openxmlformats.org/drawingml/2006/picture">
                      <pic:pic xmlns:pic="http://schemas.openxmlformats.org/drawingml/2006/picture">
                        <pic:nvPicPr>
                          <pic:cNvPr id="291" name="图片_47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75565" cy="177800"/>
                  <wp:effectExtent l="0" t="0" r="0" b="0"/>
                  <wp:wrapNone/>
                  <wp:docPr id="292" name="图片_136_SpCnt_7"/>
                  <wp:cNvGraphicFramePr/>
                  <a:graphic xmlns:a="http://schemas.openxmlformats.org/drawingml/2006/main">
                    <a:graphicData uri="http://schemas.openxmlformats.org/drawingml/2006/picture">
                      <pic:pic xmlns:pic="http://schemas.openxmlformats.org/drawingml/2006/picture">
                        <pic:nvPicPr>
                          <pic:cNvPr id="292" name="图片_136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75565" cy="177800"/>
                  <wp:effectExtent l="0" t="0" r="0" b="0"/>
                  <wp:wrapNone/>
                  <wp:docPr id="293" name="图片_146_SpCnt_7"/>
                  <wp:cNvGraphicFramePr/>
                  <a:graphic xmlns:a="http://schemas.openxmlformats.org/drawingml/2006/main">
                    <a:graphicData uri="http://schemas.openxmlformats.org/drawingml/2006/picture">
                      <pic:pic xmlns:pic="http://schemas.openxmlformats.org/drawingml/2006/picture">
                        <pic:nvPicPr>
                          <pic:cNvPr id="293" name="图片_146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75565" cy="177800"/>
                  <wp:effectExtent l="0" t="0" r="0" b="0"/>
                  <wp:wrapNone/>
                  <wp:docPr id="294" name="图片_149_SpCnt_7"/>
                  <wp:cNvGraphicFramePr/>
                  <a:graphic xmlns:a="http://schemas.openxmlformats.org/drawingml/2006/main">
                    <a:graphicData uri="http://schemas.openxmlformats.org/drawingml/2006/picture">
                      <pic:pic xmlns:pic="http://schemas.openxmlformats.org/drawingml/2006/picture">
                        <pic:nvPicPr>
                          <pic:cNvPr id="294" name="图片_149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75565" cy="177800"/>
                  <wp:effectExtent l="0" t="0" r="0" b="0"/>
                  <wp:wrapNone/>
                  <wp:docPr id="295" name="图片_143_SpCnt_7"/>
                  <wp:cNvGraphicFramePr/>
                  <a:graphic xmlns:a="http://schemas.openxmlformats.org/drawingml/2006/main">
                    <a:graphicData uri="http://schemas.openxmlformats.org/drawingml/2006/picture">
                      <pic:pic xmlns:pic="http://schemas.openxmlformats.org/drawingml/2006/picture">
                        <pic:nvPicPr>
                          <pic:cNvPr id="295" name="图片_143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75565" cy="177800"/>
                  <wp:effectExtent l="0" t="0" r="0" b="0"/>
                  <wp:wrapNone/>
                  <wp:docPr id="296" name="图片_133_SpCnt_7"/>
                  <wp:cNvGraphicFramePr/>
                  <a:graphic xmlns:a="http://schemas.openxmlformats.org/drawingml/2006/main">
                    <a:graphicData uri="http://schemas.openxmlformats.org/drawingml/2006/picture">
                      <pic:pic xmlns:pic="http://schemas.openxmlformats.org/drawingml/2006/picture">
                        <pic:nvPicPr>
                          <pic:cNvPr id="296" name="图片_133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75565" cy="177800"/>
                  <wp:effectExtent l="0" t="0" r="0" b="0"/>
                  <wp:wrapNone/>
                  <wp:docPr id="297" name="图片_134_SpCnt_7"/>
                  <wp:cNvGraphicFramePr/>
                  <a:graphic xmlns:a="http://schemas.openxmlformats.org/drawingml/2006/main">
                    <a:graphicData uri="http://schemas.openxmlformats.org/drawingml/2006/picture">
                      <pic:pic xmlns:pic="http://schemas.openxmlformats.org/drawingml/2006/picture">
                        <pic:nvPicPr>
                          <pic:cNvPr id="297" name="图片_134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75565" cy="177800"/>
                  <wp:effectExtent l="0" t="0" r="0" b="0"/>
                  <wp:wrapNone/>
                  <wp:docPr id="298" name="图片_147_SpCnt_7"/>
                  <wp:cNvGraphicFramePr/>
                  <a:graphic xmlns:a="http://schemas.openxmlformats.org/drawingml/2006/main">
                    <a:graphicData uri="http://schemas.openxmlformats.org/drawingml/2006/picture">
                      <pic:pic xmlns:pic="http://schemas.openxmlformats.org/drawingml/2006/picture">
                        <pic:nvPicPr>
                          <pic:cNvPr id="298" name="图片_147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75565" cy="177800"/>
                  <wp:effectExtent l="0" t="0" r="0" b="0"/>
                  <wp:wrapNone/>
                  <wp:docPr id="299" name="图片_142_SpCnt_7"/>
                  <wp:cNvGraphicFramePr/>
                  <a:graphic xmlns:a="http://schemas.openxmlformats.org/drawingml/2006/main">
                    <a:graphicData uri="http://schemas.openxmlformats.org/drawingml/2006/picture">
                      <pic:pic xmlns:pic="http://schemas.openxmlformats.org/drawingml/2006/picture">
                        <pic:nvPicPr>
                          <pic:cNvPr id="299" name="图片_142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75565" cy="177800"/>
                  <wp:effectExtent l="0" t="0" r="0" b="0"/>
                  <wp:wrapNone/>
                  <wp:docPr id="300" name="图片_138_SpCnt_7"/>
                  <wp:cNvGraphicFramePr/>
                  <a:graphic xmlns:a="http://schemas.openxmlformats.org/drawingml/2006/main">
                    <a:graphicData uri="http://schemas.openxmlformats.org/drawingml/2006/picture">
                      <pic:pic xmlns:pic="http://schemas.openxmlformats.org/drawingml/2006/picture">
                        <pic:nvPicPr>
                          <pic:cNvPr id="300" name="图片_138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lang w:bidi="ar"/>
              </w:rPr>
              <w:t>制冷模块</w:t>
            </w:r>
          </w:p>
        </w:tc>
        <w:tc>
          <w:tcPr>
            <w:tcW w:w="725" w:type="dxa"/>
            <w:shd w:val="clear" w:color="auto" w:fill="FFFFF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75565" cy="177800"/>
                  <wp:effectExtent l="0" t="0" r="0" b="0"/>
                  <wp:wrapNone/>
                  <wp:docPr id="301" name="图片_49_SpCnt_3"/>
                  <wp:cNvGraphicFramePr/>
                  <a:graphic xmlns:a="http://schemas.openxmlformats.org/drawingml/2006/main">
                    <a:graphicData uri="http://schemas.openxmlformats.org/drawingml/2006/picture">
                      <pic:pic xmlns:pic="http://schemas.openxmlformats.org/drawingml/2006/picture">
                        <pic:nvPicPr>
                          <pic:cNvPr id="301" name="图片_49_SpCnt_3"/>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75565" cy="177800"/>
                  <wp:effectExtent l="0" t="0" r="0" b="0"/>
                  <wp:wrapNone/>
                  <wp:docPr id="302" name="图片_151_SpCnt_6"/>
                  <wp:cNvGraphicFramePr/>
                  <a:graphic xmlns:a="http://schemas.openxmlformats.org/drawingml/2006/main">
                    <a:graphicData uri="http://schemas.openxmlformats.org/drawingml/2006/picture">
                      <pic:pic xmlns:pic="http://schemas.openxmlformats.org/drawingml/2006/picture">
                        <pic:nvPicPr>
                          <pic:cNvPr id="302" name="图片_151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75565" cy="177800"/>
                  <wp:effectExtent l="0" t="0" r="0" b="0"/>
                  <wp:wrapNone/>
                  <wp:docPr id="303" name="图片_150_SpCnt_6"/>
                  <wp:cNvGraphicFramePr/>
                  <a:graphic xmlns:a="http://schemas.openxmlformats.org/drawingml/2006/main">
                    <a:graphicData uri="http://schemas.openxmlformats.org/drawingml/2006/picture">
                      <pic:pic xmlns:pic="http://schemas.openxmlformats.org/drawingml/2006/picture">
                        <pic:nvPicPr>
                          <pic:cNvPr id="303" name="图片_150_SpCnt_6"/>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75565" cy="177800"/>
                  <wp:effectExtent l="0" t="0" r="0" b="0"/>
                  <wp:wrapNone/>
                  <wp:docPr id="304" name="图片_151_SpCnt_7"/>
                  <wp:cNvGraphicFramePr/>
                  <a:graphic xmlns:a="http://schemas.openxmlformats.org/drawingml/2006/main">
                    <a:graphicData uri="http://schemas.openxmlformats.org/drawingml/2006/picture">
                      <pic:pic xmlns:pic="http://schemas.openxmlformats.org/drawingml/2006/picture">
                        <pic:nvPicPr>
                          <pic:cNvPr id="304" name="图片_151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75565" cy="177800"/>
                  <wp:effectExtent l="0" t="0" r="0" b="0"/>
                  <wp:wrapNone/>
                  <wp:docPr id="305" name="图片_150_SpCnt_7"/>
                  <wp:cNvGraphicFramePr/>
                  <a:graphic xmlns:a="http://schemas.openxmlformats.org/drawingml/2006/main">
                    <a:graphicData uri="http://schemas.openxmlformats.org/drawingml/2006/picture">
                      <pic:pic xmlns:pic="http://schemas.openxmlformats.org/drawingml/2006/picture">
                        <pic:nvPicPr>
                          <pic:cNvPr id="305" name="图片_150_SpCnt_7"/>
                          <pic:cNvPicPr/>
                        </pic:nvPicPr>
                        <pic:blipFill>
                          <a:blip r:embed="rId20"/>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75565" cy="177800"/>
                  <wp:effectExtent l="0" t="0" r="0" b="0"/>
                  <wp:wrapNone/>
                  <wp:docPr id="306" name="图片_50_SpCnt_3"/>
                  <wp:cNvGraphicFramePr/>
                  <a:graphic xmlns:a="http://schemas.openxmlformats.org/drawingml/2006/main">
                    <a:graphicData uri="http://schemas.openxmlformats.org/drawingml/2006/picture">
                      <pic:pic xmlns:pic="http://schemas.openxmlformats.org/drawingml/2006/picture">
                        <pic:nvPicPr>
                          <pic:cNvPr id="306" name="图片_50_SpCnt_3"/>
                          <pic:cNvPicPr/>
                        </pic:nvPicPr>
                        <pic:blipFill>
                          <a:blip r:embed="rId20"/>
                          <a:stretch>
                            <a:fillRect/>
                          </a:stretch>
                        </pic:blipFill>
                        <pic:spPr>
                          <a:xfrm>
                            <a:off x="0" y="0"/>
                            <a:ext cx="75565" cy="177800"/>
                          </a:xfrm>
                          <a:prstGeom prst="rect">
                            <a:avLst/>
                          </a:prstGeom>
                          <a:noFill/>
                          <a:ln>
                            <a:noFill/>
                          </a:ln>
                        </pic:spPr>
                      </pic:pic>
                    </a:graphicData>
                  </a:graphic>
                </wp:anchor>
              </w:drawing>
            </w:r>
          </w:p>
        </w:tc>
        <w:tc>
          <w:tcPr>
            <w:tcW w:w="775" w:type="dxa"/>
            <w:shd w:val="clear" w:color="auto" w:fill="FFFFFF"/>
            <w:noWrap/>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75565" cy="177800"/>
                  <wp:effectExtent l="0" t="0" r="0" b="0"/>
                  <wp:wrapNone/>
                  <wp:docPr id="307" name="图片_23_SpCnt_9"/>
                  <wp:cNvGraphicFramePr/>
                  <a:graphic xmlns:a="http://schemas.openxmlformats.org/drawingml/2006/main">
                    <a:graphicData uri="http://schemas.openxmlformats.org/drawingml/2006/picture">
                      <pic:pic xmlns:pic="http://schemas.openxmlformats.org/drawingml/2006/picture">
                        <pic:nvPicPr>
                          <pic:cNvPr id="307" name="图片_23_SpCnt_9"/>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75565" cy="177800"/>
                  <wp:effectExtent l="0" t="0" r="0" b="0"/>
                  <wp:wrapNone/>
                  <wp:docPr id="308" name="图片_24_SpCnt_9"/>
                  <wp:cNvGraphicFramePr/>
                  <a:graphic xmlns:a="http://schemas.openxmlformats.org/drawingml/2006/main">
                    <a:graphicData uri="http://schemas.openxmlformats.org/drawingml/2006/picture">
                      <pic:pic xmlns:pic="http://schemas.openxmlformats.org/drawingml/2006/picture">
                        <pic:nvPicPr>
                          <pic:cNvPr id="308" name="图片_24_SpCnt_9"/>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75565" cy="177800"/>
                  <wp:effectExtent l="0" t="0" r="0" b="0"/>
                  <wp:wrapNone/>
                  <wp:docPr id="309" name="图片_24_SpCnt_10"/>
                  <wp:cNvGraphicFramePr/>
                  <a:graphic xmlns:a="http://schemas.openxmlformats.org/drawingml/2006/main">
                    <a:graphicData uri="http://schemas.openxmlformats.org/drawingml/2006/picture">
                      <pic:pic xmlns:pic="http://schemas.openxmlformats.org/drawingml/2006/picture">
                        <pic:nvPicPr>
                          <pic:cNvPr id="309" name="图片_24_SpCnt_10"/>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75565" cy="177800"/>
                  <wp:effectExtent l="0" t="0" r="0" b="0"/>
                  <wp:wrapNone/>
                  <wp:docPr id="310" name="图片_24_SpCnt_11"/>
                  <wp:cNvGraphicFramePr/>
                  <a:graphic xmlns:a="http://schemas.openxmlformats.org/drawingml/2006/main">
                    <a:graphicData uri="http://schemas.openxmlformats.org/drawingml/2006/picture">
                      <pic:pic xmlns:pic="http://schemas.openxmlformats.org/drawingml/2006/picture">
                        <pic:nvPicPr>
                          <pic:cNvPr id="310" name="图片_24_SpCnt_11"/>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75565" cy="177800"/>
                  <wp:effectExtent l="0" t="0" r="0" b="0"/>
                  <wp:wrapNone/>
                  <wp:docPr id="311" name="图片_23_SpCnt_10"/>
                  <wp:cNvGraphicFramePr/>
                  <a:graphic xmlns:a="http://schemas.openxmlformats.org/drawingml/2006/main">
                    <a:graphicData uri="http://schemas.openxmlformats.org/drawingml/2006/picture">
                      <pic:pic xmlns:pic="http://schemas.openxmlformats.org/drawingml/2006/picture">
                        <pic:nvPicPr>
                          <pic:cNvPr id="311" name="图片_23_SpCnt_10"/>
                          <pic:cNvPicPr/>
                        </pic:nvPicPr>
                        <pic:blipFill>
                          <a:blip r:embed="rId21"/>
                          <a:stretch>
                            <a:fillRect/>
                          </a:stretch>
                        </pic:blipFill>
                        <pic:spPr>
                          <a:xfrm>
                            <a:off x="0" y="0"/>
                            <a:ext cx="75565" cy="177800"/>
                          </a:xfrm>
                          <a:prstGeom prst="rect">
                            <a:avLst/>
                          </a:prstGeom>
                          <a:noFill/>
                          <a:ln>
                            <a:noFill/>
                          </a:ln>
                        </pic:spPr>
                      </pic:pic>
                    </a:graphicData>
                  </a:graphic>
                </wp:anchor>
              </w:drawing>
            </w:r>
            <w:r>
              <w:rPr>
                <w:rFonts w:hint="eastAsia" w:ascii="仿宋" w:hAnsi="仿宋" w:eastAsia="仿宋" w:cs="仿宋"/>
                <w:b/>
                <w:bCs/>
                <w:sz w:val="24"/>
                <w:szCs w:val="24"/>
                <w:bdr w:val="single" w:color="000000" w:sz="4" w:space="0"/>
                <w:shd w:val="clear" w:color="auto" w:fill="FFFFFF"/>
                <w:lang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75565" cy="177800"/>
                  <wp:effectExtent l="0" t="0" r="0" b="0"/>
                  <wp:wrapNone/>
                  <wp:docPr id="312" name="图片_23_SpCnt_11"/>
                  <wp:cNvGraphicFramePr/>
                  <a:graphic xmlns:a="http://schemas.openxmlformats.org/drawingml/2006/main">
                    <a:graphicData uri="http://schemas.openxmlformats.org/drawingml/2006/picture">
                      <pic:pic xmlns:pic="http://schemas.openxmlformats.org/drawingml/2006/picture">
                        <pic:nvPicPr>
                          <pic:cNvPr id="312" name="图片_23_SpCnt_11"/>
                          <pic:cNvPicPr/>
                        </pic:nvPicPr>
                        <pic:blipFill>
                          <a:blip r:embed="rId21"/>
                          <a:stretch>
                            <a:fillRect/>
                          </a:stretch>
                        </pic:blipFill>
                        <pic:spPr>
                          <a:xfrm>
                            <a:off x="0" y="0"/>
                            <a:ext cx="75565" cy="1778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物联网精密空调</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机架式8kW精密空调，安装于柜体内，占5U空间，接入物联网网关统一管理。能够采用直流变频技术，智能可变容量供冷，当市电断电后，室内机直接柜内UPS模块供电，应急散热，可以冷热通道隔离，解决局部热点及高热密度机架问题，节能高效。可支持消防联动，机柜烟雾监测到火警时可及时关闭空调。需具备应急通风功能，当空调故障时，可利用空调风机应急散热。</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具备动态制冷功能，能够来电自启动。支持机柜7寸触屏制冷模块运行参数阀值设置，开关机控制； 当空调故障时，能够利用空调风应行状态监测，故障预警。</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2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val="en-US" w:eastAsia="zh-CN" w:bidi="ar"/>
              </w:rPr>
              <w:t>电源</w:t>
            </w:r>
            <w:r>
              <w:rPr>
                <w:rFonts w:hint="eastAsia" w:ascii="仿宋" w:hAnsi="仿宋" w:eastAsia="仿宋" w:cs="仿宋"/>
                <w:b/>
                <w:bCs/>
                <w:sz w:val="24"/>
                <w:szCs w:val="24"/>
                <w:lang w:bidi="ar"/>
              </w:rPr>
              <w:t>模块</w:t>
            </w:r>
          </w:p>
        </w:tc>
        <w:tc>
          <w:tcPr>
            <w:tcW w:w="725" w:type="dxa"/>
            <w:shd w:val="clear" w:color="auto" w:fill="FFFFFF"/>
            <w:noWrap/>
            <w:vAlign w:val="center"/>
          </w:tcPr>
          <w:p>
            <w:pPr>
              <w:jc w:val="center"/>
              <w:rPr>
                <w:rFonts w:hint="eastAsia" w:ascii="仿宋" w:hAnsi="仿宋" w:eastAsia="仿宋" w:cs="仿宋"/>
                <w:b/>
                <w:bCs/>
                <w:sz w:val="24"/>
                <w:szCs w:val="24"/>
              </w:rPr>
            </w:pPr>
          </w:p>
        </w:tc>
        <w:tc>
          <w:tcPr>
            <w:tcW w:w="775" w:type="dxa"/>
            <w:shd w:val="clear" w:color="auto" w:fill="FFFFFF"/>
            <w:noWrap/>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电源模块</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1、容量20KVA,输入电压380VAC，输入功因数≥0.95，输出电压380VAC±1%，输出效率＞0.85纯净的正弦波输出；全微处理器控制、自我诊断、电池自动测试；纯在线静态旁路，极强的过载和故障保护能力；机架式安装。</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2、支持手机APP远程监控，故障预警。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3、机柜触摸屏开关控制：自检、关机控制；故障预警：运行状态监测，故障预警。</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铅酸蓄电池</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12V-100AH 铅酸蓄电池;遵循的主要标准：YD/T 1360-2005;单体电池均充电电压：2.34~2.40V;单体电池浮充电电压：2.23~2.26V;电池的充电电流：≤0.25C10</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32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电池箱</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可容纳32节电池。</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电池连接线</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电池连接线</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电池与主机连接线</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RVV16</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电池空开箱</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含电池空开及空开箱子</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控制模块</w:t>
            </w:r>
          </w:p>
        </w:tc>
        <w:tc>
          <w:tcPr>
            <w:tcW w:w="725" w:type="dxa"/>
            <w:shd w:val="clear" w:color="auto" w:fill="FFFFFF"/>
            <w:noWrap w:val="0"/>
            <w:vAlign w:val="center"/>
          </w:tcPr>
          <w:p>
            <w:pPr>
              <w:jc w:val="center"/>
              <w:rPr>
                <w:rFonts w:hint="eastAsia" w:ascii="仿宋" w:hAnsi="仿宋" w:eastAsia="仿宋" w:cs="仿宋"/>
                <w:sz w:val="24"/>
                <w:szCs w:val="24"/>
              </w:rPr>
            </w:pPr>
          </w:p>
        </w:tc>
        <w:tc>
          <w:tcPr>
            <w:tcW w:w="775" w:type="dxa"/>
            <w:shd w:val="clear" w:color="auto" w:fill="FFFFFF"/>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物联网智慧网关（含物联网智慧网关嵌入式软件V1.0)</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1、采用高可靠ARM架构，嵌入式LINUX内核系统，双CPU设计，防系统假死。支持有线网络及WIFI无线网络接入；                                                                        2、支持APP扫码一键配置连接，预警信息推送、扫码、远程分级权限管理等功能。                                                                                                                                 </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3、支持与运维管理平台集成，可从平台获得配置管理和控制管理。采用标准TCP/IP网络连接，支持断网单机运行，云平台联机运行。</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4、服务器机柜内设备高温时，具有风量调节告警。具有对机柜运行安全、能耗等告警阀值、机制自适应管理。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5、支持触摸按键和触摸屏密码开门、烟雾、温湿度、开关门状态、设备在线/离线等监测功能；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6、具有触摸屏开门、紧急告警自动推门功能，当柜内超高温或着火等一级告警时，柜门将自动推开。具有对温湿度上下限、双路PDU电源管理器总电流、电压上下限、总功率监测、告警阀值管理。                                                                                                                                      7、具有2路温湿度接口，4路调温风机接口，风机支持3档自适应调速控制，手动及自动两种模式。具有4路磁力锁接口，2路门磁感应器接口，1路烟雾传感器接口，1路漏水传感器接口，2路LED灯光控制接口，灯光支持门开灯亮，门关灯灭。具有1路配电监测接口，1路UPS接口，1路配线架接口，2路摄像机无线接入，1路触字触摸屏接口，1路7寸全彩液晶触摸屏接口。</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8、具有直观的显示机柜内设备各种运行状态、故障数据、参数数据等，可根据新需求二次开发。</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 xml:space="preserve">9、支持远程一键升级固件，自动获取IP地址，手动WEB页面修改IP地址等功能，支持权限分级管理、设备初使化等功能。                                                                                                                                                         </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消防模块</w:t>
            </w:r>
          </w:p>
        </w:tc>
        <w:tc>
          <w:tcPr>
            <w:tcW w:w="725" w:type="dxa"/>
            <w:shd w:val="clear" w:color="auto" w:fill="FFFFFF"/>
            <w:noWrap w:val="0"/>
            <w:vAlign w:val="center"/>
          </w:tcPr>
          <w:p>
            <w:pPr>
              <w:jc w:val="center"/>
              <w:rPr>
                <w:rFonts w:hint="eastAsia" w:ascii="仿宋" w:hAnsi="仿宋" w:eastAsia="仿宋" w:cs="仿宋"/>
                <w:sz w:val="24"/>
                <w:szCs w:val="24"/>
              </w:rPr>
            </w:pPr>
          </w:p>
        </w:tc>
        <w:tc>
          <w:tcPr>
            <w:tcW w:w="775" w:type="dxa"/>
            <w:shd w:val="clear" w:color="auto" w:fill="FFFFFF"/>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物联网机架式消防装置</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1.实现应急模式自动启动，同步声光告警及开启气阀灭火。</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2.物联数据可视化，OLED液晶屏显示，实时掌控温度，烟感，气阀，配电，联机，离线等数据。</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3.阈值自定义，按需触发管控。支持延时触发控制模式，自定义阈值，满足不同场景的延时断电，延时释放气体。</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4.极简运维，监测数据连接物联网平台，通过手机或电脑直接巡检，无需进入房间查设备，提高巡检效率。</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5.七氟丙烷洁净气体，快速降解保护环境。</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6.全周期安全管理，提升可靠性。烟温触发声光预警，双路互锁开启气体，释放完成LED灯光提醒，物联信息上报，平台管控，提升可靠性。</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7.手自一体，手动/自动模式。支持在线/离线工作。通讯方式支持RS485，支持有线。</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8.一个RS485 RJ45接口。四位通讯拨码开关，电池包级联接口，切断电源联动接口，查询/翻页键。</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9.具备感知与深度 AI 控制技术，控制器支持高 可靠 ARM 架构，嵌入式 LINUX 内核系统，双 CPU 设计，防系统假死。</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10.支持传感器采集、数据分析、安全算法融合、 联动控制等功能，支持断网单机运行，接入七寸屏管理终端和平台集中管理。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★11.提供相关的物联网通消防装置一体机相关证书，复印件加盖原厂公章。</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2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运维管理模块</w:t>
            </w:r>
          </w:p>
        </w:tc>
        <w:tc>
          <w:tcPr>
            <w:tcW w:w="725" w:type="dxa"/>
            <w:shd w:val="clear" w:color="auto" w:fill="FFFFFF"/>
            <w:noWrap w:val="0"/>
            <w:vAlign w:val="center"/>
          </w:tcPr>
          <w:p>
            <w:pPr>
              <w:jc w:val="center"/>
              <w:rPr>
                <w:rFonts w:hint="eastAsia" w:ascii="仿宋" w:hAnsi="仿宋" w:eastAsia="仿宋" w:cs="仿宋"/>
                <w:sz w:val="24"/>
                <w:szCs w:val="24"/>
              </w:rPr>
            </w:pPr>
          </w:p>
        </w:tc>
        <w:tc>
          <w:tcPr>
            <w:tcW w:w="775" w:type="dxa"/>
            <w:shd w:val="clear" w:color="auto" w:fill="FFFFFF"/>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运维管理</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w:t>
            </w:r>
            <w:r>
              <w:rPr>
                <w:rFonts w:hint="eastAsia" w:ascii="仿宋" w:hAnsi="仿宋" w:eastAsia="仿宋" w:cs="仿宋"/>
                <w:sz w:val="24"/>
                <w:szCs w:val="24"/>
                <w:lang w:val="en-US" w:eastAsia="zh-CN" w:bidi="ar"/>
              </w:rPr>
              <w:t>操作尺寸≥10寸</w:t>
            </w:r>
            <w:r>
              <w:rPr>
                <w:rFonts w:hint="eastAsia" w:ascii="仿宋" w:hAnsi="仿宋" w:eastAsia="仿宋" w:cs="仿宋"/>
                <w:sz w:val="24"/>
                <w:szCs w:val="24"/>
                <w:lang w:bidi="ar"/>
              </w:rPr>
              <w:t>，多点电容式工业级全彩触摸屏，屏幕触感灵敏，透光率好，外壳采用裸金属架构；</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2、支持Linux架构，为保证系统稳定，拒绝使用Windows、安卓系统</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3、支持全天运行，触摸次数大于3500万次，背光寿命大于50000小时，分辨率：1024*768</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4、内嵌可视化动态微平台，界面支持UPS、空调、配电、灯光、门禁、消防、烟温等设备或传感器的可视化动态数据展示及动态分析；</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5、支持“微模块”智能管理，消防智联管理，安防安全管理，告警分级管理，动力一体化管理，空调节能管理功能。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6、支持门磁管理功能，可视化界面可实时监测机柜门磁状态，若有异常则发出告警。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7、支持机柜环境监测功能，可视化界面可实时监测单个机柜温湿度、智能调速风机等设备状态，若有异常则发出告警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8、具有应急保护功能，若机柜内温度达到阈值，则自动开启机柜门/手动密码开启，进行应急保护措施</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bidi="ar"/>
              </w:rPr>
              <w:t>平台管理</w:t>
            </w:r>
            <w:r>
              <w:rPr>
                <w:rFonts w:hint="eastAsia" w:ascii="仿宋" w:hAnsi="仿宋" w:eastAsia="仿宋" w:cs="仿宋"/>
                <w:sz w:val="24"/>
                <w:szCs w:val="24"/>
                <w:lang w:val="en-US" w:eastAsia="zh-CN" w:bidi="ar"/>
              </w:rPr>
              <w:t>设备</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整合多个单一目的基础架构产品，使用一个通用Web控制台界面的一个登录账号，即可以进入其它界面和产品。可以使数据中心基础架构的采购和部署更加灵活、高效，提高投资成本效率，基于Linux平台，软硬件一体化设计。</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2、智慧基础设施物联网服务平台-权限管理模块: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在线智能设备实现权限分配，设备的分层分组管理、权限移交等，支持下接传感器、终端模块的绑定及解绑功能。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3、智慧基础设施物联网服务平台-访问控制管理模块: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通过用户身份认证进行访问控制，能够基于安全的配置文件和权限来分配不同用户，只能查看有访问权限的终端设备、传感器的运行状态及配置管理。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4、智慧基础设施物联网服务平台-3D页面定制模块: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机房 3D 页面定制设计，含坐标动态定位，机房 3D 模拟页面，以机柜为单位展示数据中心所有机房状态，以设备为单位展示机房所有设备健康状态。平台光标锁位，故障快速定位管理。</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5、智慧基础设施物联网服务平台-机柜智能PDU管理软件模块: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智能PDU监测模块，具备机柜PDU总负载电流、总输入电压、总负载功率监测与数据上传功能；具有总负载电压、电流、功率上、下限阀值设置功能。具有机柜3D效果展现、设备定位、异常情况分颜色告警。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具备PDU电能统计分析功能，能够统计本机柜设备从开始使用到目前的耗电电能情况，便于用户实时掌握机柜使用电量情况。</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6、智慧基础设施物联网服务平台-后备电力管理软件模块: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支持UPS群组管理、应急开关机管理、自动监测UPS输入、输出电压、频率、负载容量、后备电池组的状态、电池剩余百分比、市电、旁路状态等；</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支持网关双向同步运行，远程控制UPS的开关机，机房UPS配电三维效果展现，数据折线统计，状态及参数异常区域定位变色，及时报警。</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7、智慧基础设施物联网服务平台-机柜门禁安全分级管理软件模块: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机柜门禁安全管理模块，支持机房所有机柜门禁统一运维管理，机柜开关门状态实时在线监测，开门记录统计分析；具有智能机柜数字触摸屏密码开门管理功能，支持触摸屏触摸开门管理；具有移动运维终端扫码、密码、手势开门管理功能。</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8、智慧基础设施物联网服务平台-配电安全管理软件模块: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支持智能列头单元管理，测量三相线电压、三相相电压、三相电流，有功功率，无功功率等指标监测，仪表盘变色效果展现，状态及参数异常或者故障及时报警。</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APP运维管理模块</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APP运维管理模块能够将智慧物联网机柜的微环境、配电、制冷、不间断电源、消防等信息无缝接入，进行移动管理。对机房内的各类告警及故障信息进行移动管理，方便快速查找设备故障定位。</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直接可以在安卓和IOS等商城直接下载手机APP管理软件，支持APP远程预警和远程控制。（非平板或者手机上WEB页面浏览。）</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APP运维管理模块可针对智慧物联安全机柜进行远程控制管理，可远程开门控制、远程诱导风扇控制、远程调取节点机房视频监控等。</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APP可管理模块能够实现节点机房统一管理，各节点管理内容包含门禁控制、UPS监测控制、空调监测控制、机柜双路供电PDU监测控制、诱导散热风扇控制、视频监控实时和回放功能、温湿度监测、烟雾监测、LED灯光控制等。</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短信告警模块</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故障时短信告警</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机柜输入电缆</w:t>
            </w:r>
          </w:p>
        </w:tc>
        <w:tc>
          <w:tcPr>
            <w:tcW w:w="4918" w:type="dxa"/>
            <w:shd w:val="clear" w:color="auto" w:fill="FFFFFF"/>
            <w:noWrap/>
            <w:vAlign w:val="bottom"/>
          </w:tcPr>
          <w:p>
            <w:pPr>
              <w:widowControl/>
              <w:jc w:val="left"/>
              <w:textAlignment w:val="bottom"/>
              <w:rPr>
                <w:rFonts w:hint="eastAsia" w:ascii="仿宋" w:hAnsi="仿宋" w:eastAsia="仿宋" w:cs="仿宋"/>
                <w:sz w:val="24"/>
                <w:szCs w:val="24"/>
              </w:rPr>
            </w:pPr>
            <w:r>
              <w:rPr>
                <w:rFonts w:hint="eastAsia" w:ascii="仿宋" w:hAnsi="仿宋" w:eastAsia="仿宋" w:cs="仿宋"/>
                <w:sz w:val="24"/>
                <w:szCs w:val="24"/>
                <w:lang w:bidi="ar"/>
              </w:rPr>
              <w:t>RVV-3*6mm2</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物联网空调输入电缆</w:t>
            </w:r>
          </w:p>
        </w:tc>
        <w:tc>
          <w:tcPr>
            <w:tcW w:w="4918" w:type="dxa"/>
            <w:shd w:val="clear" w:color="auto" w:fill="FFFFFF"/>
            <w:noWrap/>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YJV-5*16mm2</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桥架</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200*100网格桥架（含配件）</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6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空调进排水管及保温</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物联网空调空调给水、排水</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空调铜管及保温</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空调内外机之间铜管、保温、信号线等</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100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空调制冷剂</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采用环保制冷剂</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2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1495"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空调搬运</w:t>
            </w:r>
          </w:p>
        </w:tc>
        <w:tc>
          <w:tcPr>
            <w:tcW w:w="4918"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设备到现场后卸货、搬运、就位</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4" w:type="dxa"/>
            <w:vMerge w:val="continue"/>
            <w:shd w:val="clear" w:color="auto" w:fill="auto"/>
            <w:noWrap w:val="0"/>
            <w:vAlign w:val="center"/>
          </w:tcPr>
          <w:p>
            <w:pPr>
              <w:jc w:val="center"/>
              <w:rPr>
                <w:rFonts w:hint="eastAsia" w:ascii="仿宋" w:hAnsi="仿宋" w:eastAsia="仿宋" w:cs="仿宋"/>
                <w:sz w:val="24"/>
                <w:szCs w:val="24"/>
              </w:rPr>
            </w:pPr>
          </w:p>
        </w:tc>
        <w:tc>
          <w:tcPr>
            <w:tcW w:w="926" w:type="dxa"/>
            <w:vMerge w:val="continue"/>
            <w:shd w:val="clear" w:color="auto" w:fill="auto"/>
            <w:noWrap w:val="0"/>
            <w:vAlign w:val="center"/>
          </w:tcPr>
          <w:p>
            <w:pPr>
              <w:jc w:val="center"/>
              <w:rPr>
                <w:rFonts w:hint="eastAsia" w:ascii="仿宋" w:hAnsi="仿宋" w:eastAsia="仿宋" w:cs="仿宋"/>
                <w:sz w:val="24"/>
                <w:szCs w:val="24"/>
              </w:rPr>
            </w:pPr>
          </w:p>
        </w:tc>
        <w:tc>
          <w:tcPr>
            <w:tcW w:w="6413" w:type="dxa"/>
            <w:gridSpan w:val="2"/>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集成费</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1 </w:t>
            </w:r>
          </w:p>
        </w:tc>
        <w:tc>
          <w:tcPr>
            <w:tcW w:w="77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3</w:t>
            </w:r>
          </w:p>
        </w:tc>
        <w:tc>
          <w:tcPr>
            <w:tcW w:w="926"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政务网核心交换机</w:t>
            </w:r>
          </w:p>
        </w:tc>
        <w:tc>
          <w:tcPr>
            <w:tcW w:w="6413" w:type="dxa"/>
            <w:gridSpan w:val="2"/>
            <w:shd w:val="clear" w:color="auto" w:fill="FFFFFF"/>
            <w:noWrap w:val="0"/>
            <w:vAlign w:val="center"/>
          </w:tcPr>
          <w:p>
            <w:pPr>
              <w:widowControl/>
              <w:autoSpaceDN/>
              <w:jc w:val="left"/>
              <w:rPr>
                <w:rFonts w:hint="eastAsia" w:ascii="仿宋" w:hAnsi="仿宋" w:eastAsia="仿宋" w:cs="仿宋"/>
                <w:sz w:val="24"/>
                <w:szCs w:val="24"/>
              </w:rPr>
            </w:pPr>
            <w:r>
              <w:rPr>
                <w:rFonts w:hint="eastAsia" w:ascii="仿宋" w:hAnsi="仿宋" w:eastAsia="仿宋" w:cs="仿宋"/>
                <w:sz w:val="24"/>
                <w:szCs w:val="24"/>
              </w:rPr>
              <w:t>交换容量≥76.8Tbps，包转发率≥8640Mpps；若存在双指标，以低值为准，要求提供官网截图证明材料；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主控槽位与业务线卡槽位宽度相同，为全宽槽位，设备支持主控引擎≥2，业务槽位≥6个；</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为考虑后续接口扩容需求，要求扩展插槽接口支持千兆电口，千兆光口，万兆光口、万兆电，25G端口、40G端口、100G端口；</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支持原生无线 AC 功能：无需独立的AC板卡或带AC功能的接口板，即支持无线AP管理功能；</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支持BFD，能够实现BFD与OSPF/VRRP联动。支持BFD 3ms最小探测间隔测试；</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★多虚一技术(N:1)，支持4框虚拟化技术，支持多虚一技术和一虚多技术的配合使用；要求提供第三方测试报告证明材料；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不需要额外软件网管，设备本身支持智能网关。可配合上端汇聚交换机设备实现整网拓扑可视，实现在网络设备上对整网交换机的统一管理，无需再额外配置网管平台；</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★支持安全业务插卡FW、IPS、ACG、LB、SSL VPN。提供官网截图证明；</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支持静态路由、RIP、RIPng、OSPF、OSPFv3、BGP、BGP4+、ISIS、ISISv6，支持路由协议多实例，支持GR for OSPF/IS-IS/BGP；</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支持IPv6过渡技术，IPv4/IPv6双栈、6over4隧道、4 over6隧道，支持IPv6 DHCP SERVER, IPv6 DHCP Relay, DHCP Snooping，支持IPv6 Souce Guard；</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支持MACsec加密技术；要求提供第三方测试报告证明材料；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★本次实配双主控，双电源，千兆EPON OLT光接口≥8，万兆EPON OLT光接口≥12，万兆光口≥10，SFP+电缆3m≥1；</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★考虑产品成熟度，要求产品入网时间≥3年，提供入网证证明；</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2</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5</w:t>
            </w:r>
          </w:p>
        </w:tc>
        <w:tc>
          <w:tcPr>
            <w:tcW w:w="926"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公安网核心交换机</w:t>
            </w:r>
          </w:p>
        </w:tc>
        <w:tc>
          <w:tcPr>
            <w:tcW w:w="6413" w:type="dxa"/>
            <w:gridSpan w:val="2"/>
            <w:shd w:val="clear" w:color="auto" w:fill="FFFFFF"/>
            <w:noWrap w:val="0"/>
            <w:vAlign w:val="center"/>
          </w:tcPr>
          <w:p>
            <w:pPr>
              <w:widowControl/>
              <w:autoSpaceDN/>
              <w:jc w:val="left"/>
              <w:rPr>
                <w:rFonts w:hint="eastAsia" w:ascii="仿宋" w:hAnsi="仿宋" w:eastAsia="仿宋" w:cs="仿宋"/>
                <w:sz w:val="24"/>
                <w:szCs w:val="24"/>
              </w:rPr>
            </w:pPr>
            <w:r>
              <w:rPr>
                <w:rFonts w:hint="eastAsia" w:ascii="仿宋" w:hAnsi="仿宋" w:eastAsia="仿宋" w:cs="仿宋"/>
                <w:sz w:val="24"/>
                <w:szCs w:val="24"/>
              </w:rPr>
              <w:t>交换容量≥76.8Tbps，包转发率≥8640Mpps；若存在双指标，以低值为准，要求提供官网截图证明材料；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主控槽位与业务线卡槽位宽度相同，为全宽槽位，设备支持主控引擎≥2，业务槽位≥6个；</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为考虑后续接口扩容需求，要求扩展插槽接口支持千兆电口，千兆光口，万兆光口、万兆电，25G端口、40G端口、100G端口；</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支持原生无线 AC 功能：无需独立的AC板卡或带AC功能的接口板，即支持无线AP管理功能；</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支持BFD，能够实现BFD与OSPF/VRRP联动。支持BFD 3ms最小探测间隔测试；</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★多虚一技术(N:1)，支持4框虚拟化技术，支持多虚一技术和一虚多技术的配合使用；要求提供第三方测试报告证明材料；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不需要额外软件网管，设备本身支持智能网关。可配合上端汇聚交换机设备实现整网拓扑可视，实现在网络设备上对整网交换机的统一管理，无需再额外配置网管平台；</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★支持安全业务插卡FW、IPS、ACG、LB、SSL VPN。提供官网截图证明；</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支持静态路由、RIP、RIPng、OSPF、OSPFv3、BGP、BGP4+、ISIS、ISISv6，支持路由协议多实例，支持GR for OSPF/IS-IS/BGP；</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支持IPv6过渡技术，IPv4/IPv6双栈、6over4隧道、4 over6隧道，支持IPv6 DHCP SERVER, IPv6 DHCP Relay, DHCP Snooping，支持IPv6 Souce Guard；</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支持MACsec加密技术；要求提供第三方测试报告证明材料；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本次实配双主控，双电源，万兆以太网光接口≥16，千兆电口≥24，SFP+电缆3m≥1；</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★考虑产品成熟度，要求产品入网时间≥3年，提供入网证证明；</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6</w:t>
            </w:r>
          </w:p>
        </w:tc>
        <w:tc>
          <w:tcPr>
            <w:tcW w:w="926"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公安网汇聚交换机</w:t>
            </w:r>
          </w:p>
        </w:tc>
        <w:tc>
          <w:tcPr>
            <w:tcW w:w="6413" w:type="dxa"/>
            <w:gridSpan w:val="2"/>
            <w:shd w:val="clear" w:color="auto" w:fill="FFFFFF"/>
            <w:noWrap w:val="0"/>
            <w:vAlign w:val="center"/>
          </w:tcPr>
          <w:p>
            <w:pPr>
              <w:widowControl/>
              <w:autoSpaceDN/>
              <w:jc w:val="left"/>
              <w:rPr>
                <w:rFonts w:hint="eastAsia" w:ascii="仿宋" w:hAnsi="仿宋" w:eastAsia="仿宋" w:cs="仿宋"/>
                <w:sz w:val="24"/>
                <w:szCs w:val="24"/>
              </w:rPr>
            </w:pPr>
            <w:r>
              <w:rPr>
                <w:rFonts w:hint="eastAsia" w:ascii="仿宋" w:hAnsi="仿宋" w:eastAsia="仿宋" w:cs="仿宋"/>
                <w:sz w:val="24"/>
                <w:szCs w:val="24"/>
              </w:rPr>
              <w:t>为考虑整网方案，便于管理和维护，要求使用设备与“核心交换机”为同一品牌；</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交换容量:≥756Gbps，包转发率≥222Mpps（提供官网截图证明，若官网存在双指标，以较小为准）；</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★≥24个SFP端口（其中Combo口≥8）,≥4个万兆SFP+，扩展插槽≥1，提供官网截图证明材料；</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★支持扩展插槽≥1，支持多种类型插卡，包括万兆电、万兆光、25G、40G，提供官网链接及截图证明。</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VLAN数量≥4K；支持QinQ；</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实现CPU保护功能，能限制非法报文对CPU的攻击，保护交换机在各种环境下稳定工作。要求提供权威机构颁发的第三方测试报告；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IP路由：支持静态路由、RIP、RIPng、OSPF；</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不需要额外软件网管，设备本身支持智能网关。可配合上端汇聚交换机设备实现整网拓扑可视，实现在网络设备上对整网交换机的统一管理，无需再额外配置网管平台。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★支持RRPP（快速环网保护协议），环网故障恢复时间不超过50ms；支持Smartlink，收敛时间≤50ms；要求提供权威机构颁发的第三方测试报告；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支持IPv4和IPv6静态路由、RIP V1/V2、OSPF、RIPng、OSPF v3 ；</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支持业界领先的10KV业务端口防雷能力，使其在比较恶劣的工作环境中也能极大的降低雷击对设备的损坏率；</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要求提供ROHS节能认证；</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★为考虑产品市场成熟度，要求所投设备入网时间≥3年，提供产品的信产部入网证和检验报告；</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7</w:t>
            </w:r>
          </w:p>
        </w:tc>
        <w:tc>
          <w:tcPr>
            <w:tcW w:w="926"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公安网24口接入</w:t>
            </w:r>
          </w:p>
        </w:tc>
        <w:tc>
          <w:tcPr>
            <w:tcW w:w="6413" w:type="dxa"/>
            <w:gridSpan w:val="2"/>
            <w:shd w:val="clear" w:color="auto" w:fill="FFFFFF"/>
            <w:noWrap w:val="0"/>
            <w:vAlign w:val="center"/>
          </w:tcPr>
          <w:p>
            <w:pPr>
              <w:widowControl/>
              <w:autoSpaceDN/>
              <w:jc w:val="left"/>
              <w:rPr>
                <w:rFonts w:hint="eastAsia" w:ascii="仿宋" w:hAnsi="仿宋" w:eastAsia="仿宋" w:cs="仿宋"/>
                <w:sz w:val="24"/>
                <w:szCs w:val="24"/>
              </w:rPr>
            </w:pPr>
            <w:r>
              <w:rPr>
                <w:rFonts w:hint="eastAsia" w:ascii="仿宋" w:hAnsi="仿宋" w:eastAsia="仿宋" w:cs="仿宋"/>
                <w:sz w:val="24"/>
                <w:szCs w:val="24"/>
              </w:rPr>
              <w:t>为考虑整网方案，便于管理和维护，要求使用设备与“核心交换机”为同一品牌；</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交换容量:≥336Gbps，包转发率≥51Mpps（提供官网截图证明，若官网存在双指标，以较小为准）；</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≥24个10/100/1000Base-T以太网端口,≥4个千兆SFP；</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实现CPU保护功能，能限制非法报文对CPU的攻击，保护交换机在各种环境下稳定工作。要求提供权威机构颁发的第三方测试报告；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IP路由：支持静态路由、RIP、RIPng、OSPF；</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不需要额外软件网管，设备本身支持智能网关。可配合上端汇聚交换机设备实现整网拓扑可视，实现在网络设备上对整网交换机的统一管理，无需再额外配置网管平台。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★支持RRPP（快速环网保护协议），环网故障恢复时间不超过50ms；支持Smartlink，收敛时间≤50ms；要求提供权威机构颁发的第三方测试报告；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支持IPv4和IPv6静态路由、RIP V1/V2、OSPF、RIPng、OSPF v3 ；</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支持业界领先的10KV业务端口防雷能力，使其在比较恶劣的工作环境中也能极大的降低雷击对设备的损坏率；</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要求提供ROHS节能认证；</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★为考虑产品市场成熟度，要求所投设备入网时间≥3年，提供产品的信产部入网证和检验报告；</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8</w:t>
            </w:r>
          </w:p>
        </w:tc>
        <w:tc>
          <w:tcPr>
            <w:tcW w:w="926"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公安网48口接入</w:t>
            </w:r>
          </w:p>
        </w:tc>
        <w:tc>
          <w:tcPr>
            <w:tcW w:w="6413" w:type="dxa"/>
            <w:gridSpan w:val="2"/>
            <w:shd w:val="clear" w:color="auto" w:fill="FFFFFF"/>
            <w:noWrap w:val="0"/>
            <w:vAlign w:val="center"/>
          </w:tcPr>
          <w:p>
            <w:pPr>
              <w:widowControl/>
              <w:autoSpaceDN/>
              <w:jc w:val="left"/>
              <w:rPr>
                <w:rFonts w:hint="eastAsia" w:ascii="仿宋" w:hAnsi="仿宋" w:eastAsia="仿宋" w:cs="仿宋"/>
                <w:sz w:val="24"/>
                <w:szCs w:val="24"/>
              </w:rPr>
            </w:pPr>
            <w:r>
              <w:rPr>
                <w:rFonts w:hint="eastAsia" w:ascii="仿宋" w:hAnsi="仿宋" w:eastAsia="仿宋" w:cs="仿宋"/>
                <w:sz w:val="24"/>
                <w:szCs w:val="24"/>
              </w:rPr>
              <w:t>为考虑整网方案，便于管理和维护，要求使用设备与“核心交换机”为同一品牌；</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交换容量:≥432Gbps，包转发率≥87Mpps（提供官网截图证明，若官网存在双指标，以较小为准）；</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≥48个10/100/1000Base-T以太网端口,≥4个千兆SFP；</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实现CPU保护功能，能限制非法报文对CPU的攻击，保护交换机在各种环境下稳定工作。要求提供权威机构颁发的第三方测试报告；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IP路由：支持静态路由、RIP、RIPng、OSPF；</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不需要额外软件网管，设备本身支持智能网关。可配合上端汇聚交换机设备实现整网拓扑可视，实现在网络设备上对整网交换机的统一管理，无需再额外配置网管平台。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★支持RRPP（快速环网保护协议），环网故障恢复时间不超过50ms；支持Smartlink，收敛时间≤50ms；要求提供权威机构颁发的第三方测试报告；</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支持IPv4和IPv6静态路由、RIP V1/V2、OSPF、RIPng、OSPF v3 ；</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支持业界领先的10KV业务端口防雷能力，使其在比较恶劣的工作环境中也能极大的降低雷击对设备的损坏率；</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要求提供ROHS节能认证；</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★为考虑产品市场成熟度，要求所投设备入网时间≥3年，提供产品的信产部入网证和检验报告；</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bidi="ar"/>
              </w:rPr>
              <w:t>9</w:t>
            </w:r>
          </w:p>
        </w:tc>
        <w:tc>
          <w:tcPr>
            <w:tcW w:w="926"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视频核心交换机</w:t>
            </w:r>
          </w:p>
        </w:tc>
        <w:tc>
          <w:tcPr>
            <w:tcW w:w="6413" w:type="dxa"/>
            <w:gridSpan w:val="2"/>
            <w:shd w:val="clear" w:color="auto" w:fill="FFFFFF"/>
            <w:noWrap w:val="0"/>
            <w:vAlign w:val="center"/>
          </w:tcPr>
          <w:p>
            <w:pPr>
              <w:widowControl/>
              <w:autoSpaceDN/>
              <w:jc w:val="left"/>
              <w:rPr>
                <w:rFonts w:hint="eastAsia" w:ascii="仿宋" w:hAnsi="仿宋" w:eastAsia="仿宋" w:cs="仿宋"/>
                <w:sz w:val="24"/>
                <w:szCs w:val="24"/>
              </w:rPr>
            </w:pPr>
            <w:r>
              <w:rPr>
                <w:rFonts w:hint="eastAsia" w:ascii="仿宋" w:hAnsi="仿宋" w:eastAsia="仿宋" w:cs="仿宋"/>
                <w:sz w:val="24"/>
                <w:szCs w:val="24"/>
              </w:rPr>
              <w:t>交换容量≥38.4Tbps，包转发率≥7200Mpps；若存在双指标，以低值为准；</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设备支持主控引擎≥2，业务槽位≥3个；</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★主控引擎支持固化千兆光业务口≥24个，万兆光口≥4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提供官网截图证明材料</w:t>
            </w:r>
            <w:r>
              <w:rPr>
                <w:rFonts w:hint="eastAsia" w:ascii="仿宋" w:hAnsi="仿宋" w:eastAsia="仿宋" w:cs="仿宋"/>
                <w:sz w:val="24"/>
                <w:szCs w:val="24"/>
              </w:rPr>
              <w:t>；</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★主控引擎支持固化千兆电业务口≥24个，万兆光口≥4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提供官网截图证明材料</w:t>
            </w:r>
            <w:r>
              <w:rPr>
                <w:rFonts w:hint="eastAsia" w:ascii="仿宋" w:hAnsi="仿宋" w:eastAsia="仿宋" w:cs="仿宋"/>
                <w:sz w:val="24"/>
                <w:szCs w:val="24"/>
              </w:rPr>
              <w:t>；</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支持原生无线 AC 功能：无需独立的AC板卡或带AC功能的接口板，即支持无线AP管理功能；</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多虚一技术(N:1)，支持4框虚拟化技术，支持多虚一技术和一虚多技术的配合使用；</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★支持安全业务插卡FW。提供官网截图证明；</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不需要额外软件网管，设备本身支持智能网关。可配合上端汇聚交换机设备实现整网拓扑可视，实现在网络设备上对整网交换机的统一管理，无需再额外配置网管平台；</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支持静态路由、RIP、RIPng、OSPF、OSPFv3、BGP、BGP4+、ISIS、ISISv6，支持路由协议多实例，支持GR for OSPF/IS-IS/BGP；</w:t>
            </w:r>
          </w:p>
          <w:p>
            <w:pPr>
              <w:widowControl/>
              <w:autoSpaceDN/>
              <w:jc w:val="left"/>
              <w:rPr>
                <w:rFonts w:hint="eastAsia" w:ascii="仿宋" w:hAnsi="仿宋" w:eastAsia="仿宋" w:cs="仿宋"/>
                <w:sz w:val="24"/>
                <w:szCs w:val="24"/>
              </w:rPr>
            </w:pPr>
            <w:r>
              <w:rPr>
                <w:rFonts w:hint="eastAsia" w:ascii="仿宋" w:hAnsi="仿宋" w:eastAsia="仿宋" w:cs="仿宋"/>
                <w:sz w:val="24"/>
                <w:szCs w:val="24"/>
              </w:rPr>
              <w:t>支持IPv6过渡技术，IPv4/IPv6双栈、6over4隧道、4 over6隧道，支持IPv6 DHCP SERVER, IPv6 DHCP Relay, DHCP Snooping，支持IPv6 Souce Guard；</w:t>
            </w:r>
          </w:p>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★本次配置≥8个万兆光口,≥48个千兆光，冗余电源，冗余主控，SFP+电缆3m≥1；</w:t>
            </w:r>
          </w:p>
        </w:tc>
        <w:tc>
          <w:tcPr>
            <w:tcW w:w="725" w:type="dxa"/>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bidi="ar"/>
              </w:rPr>
              <w:t>1</w:t>
            </w:r>
            <w:r>
              <w:rPr>
                <w:rFonts w:hint="eastAsia" w:ascii="仿宋" w:hAnsi="仿宋" w:eastAsia="仿宋" w:cs="仿宋"/>
                <w:color w:val="auto"/>
                <w:sz w:val="24"/>
                <w:szCs w:val="24"/>
                <w:lang w:val="en-US" w:eastAsia="zh-CN" w:bidi="ar"/>
              </w:rPr>
              <w:t>3</w:t>
            </w:r>
          </w:p>
        </w:tc>
        <w:tc>
          <w:tcPr>
            <w:tcW w:w="926"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万兆光模块</w:t>
            </w:r>
          </w:p>
        </w:tc>
        <w:tc>
          <w:tcPr>
            <w:tcW w:w="6413" w:type="dxa"/>
            <w:gridSpan w:val="2"/>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SFP+ 万兆模块(1310nm,10km,LC)</w:t>
            </w:r>
          </w:p>
        </w:tc>
        <w:tc>
          <w:tcPr>
            <w:tcW w:w="725" w:type="dxa"/>
            <w:shd w:val="clear" w:color="auto" w:fill="FFFFFF"/>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24</w:t>
            </w:r>
          </w:p>
        </w:tc>
        <w:tc>
          <w:tcPr>
            <w:tcW w:w="77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94" w:type="dxa"/>
            <w:shd w:val="clear" w:color="auto" w:fill="FFFFFF"/>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14</w:t>
            </w:r>
          </w:p>
        </w:tc>
        <w:tc>
          <w:tcPr>
            <w:tcW w:w="926"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手持终端支架</w:t>
            </w:r>
          </w:p>
        </w:tc>
        <w:tc>
          <w:tcPr>
            <w:tcW w:w="6413" w:type="dxa"/>
            <w:gridSpan w:val="2"/>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定制</w:t>
            </w:r>
          </w:p>
        </w:tc>
        <w:tc>
          <w:tcPr>
            <w:tcW w:w="72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1</w:t>
            </w:r>
          </w:p>
        </w:tc>
        <w:tc>
          <w:tcPr>
            <w:tcW w:w="77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94" w:type="dxa"/>
            <w:shd w:val="clear" w:color="auto" w:fill="FFFFFF"/>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15</w:t>
            </w:r>
          </w:p>
        </w:tc>
        <w:tc>
          <w:tcPr>
            <w:tcW w:w="926"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拓展抓拍按钮</w:t>
            </w:r>
          </w:p>
        </w:tc>
        <w:tc>
          <w:tcPr>
            <w:tcW w:w="6413" w:type="dxa"/>
            <w:gridSpan w:val="2"/>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定制</w:t>
            </w:r>
          </w:p>
        </w:tc>
        <w:tc>
          <w:tcPr>
            <w:tcW w:w="72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20</w:t>
            </w:r>
          </w:p>
        </w:tc>
        <w:tc>
          <w:tcPr>
            <w:tcW w:w="77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shd w:val="clear" w:color="auto" w:fill="FFFFFF"/>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16</w:t>
            </w:r>
          </w:p>
        </w:tc>
        <w:tc>
          <w:tcPr>
            <w:tcW w:w="926"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物联网卡</w:t>
            </w:r>
          </w:p>
        </w:tc>
        <w:tc>
          <w:tcPr>
            <w:tcW w:w="6413" w:type="dxa"/>
            <w:gridSpan w:val="2"/>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电信/移动/联通</w:t>
            </w:r>
          </w:p>
        </w:tc>
        <w:tc>
          <w:tcPr>
            <w:tcW w:w="72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20</w:t>
            </w:r>
          </w:p>
        </w:tc>
        <w:tc>
          <w:tcPr>
            <w:tcW w:w="775" w:type="dxa"/>
            <w:shd w:val="clear" w:color="auto" w:fill="FFFFFF"/>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4" w:type="dxa"/>
            <w:shd w:val="clear" w:color="auto" w:fill="FFFFFF"/>
            <w:noWrap w:val="0"/>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17</w:t>
            </w:r>
          </w:p>
        </w:tc>
        <w:tc>
          <w:tcPr>
            <w:tcW w:w="926" w:type="dxa"/>
            <w:shd w:val="clear" w:color="auto" w:fill="FFFFFF"/>
            <w:noWrap w:val="0"/>
            <w:vAlign w:val="center"/>
          </w:tcPr>
          <w:p>
            <w:pPr>
              <w:widowControl/>
              <w:jc w:val="center"/>
              <w:textAlignment w:val="center"/>
              <w:rPr>
                <w:rFonts w:hint="eastAsia" w:ascii="仿宋" w:hAnsi="仿宋" w:eastAsia="仿宋" w:cs="仿宋"/>
                <w:color w:val="FF0000"/>
                <w:sz w:val="24"/>
                <w:szCs w:val="24"/>
                <w:lang w:val="en-US" w:eastAsia="zh-CN"/>
              </w:rPr>
            </w:pPr>
            <w:r>
              <w:rPr>
                <w:rFonts w:hint="eastAsia" w:ascii="仿宋" w:hAnsi="仿宋" w:eastAsia="仿宋" w:cs="仿宋"/>
                <w:sz w:val="24"/>
                <w:szCs w:val="24"/>
                <w:lang w:bidi="ar"/>
              </w:rPr>
              <w:t>平台服</w:t>
            </w:r>
            <w:r>
              <w:rPr>
                <w:rFonts w:hint="eastAsia" w:ascii="仿宋" w:hAnsi="仿宋" w:eastAsia="仿宋" w:cs="仿宋"/>
                <w:sz w:val="24"/>
                <w:szCs w:val="24"/>
                <w:lang w:val="en-US" w:eastAsia="zh-CN" w:bidi="ar"/>
              </w:rPr>
              <w:t>支撑</w:t>
            </w:r>
          </w:p>
        </w:tc>
        <w:tc>
          <w:tcPr>
            <w:tcW w:w="6413" w:type="dxa"/>
            <w:gridSpan w:val="2"/>
            <w:shd w:val="clear" w:color="auto" w:fill="FFFFFF"/>
            <w:noWrap w:val="0"/>
            <w:vAlign w:val="center"/>
          </w:tcPr>
          <w:p>
            <w:pPr>
              <w:widowControl/>
              <w:jc w:val="left"/>
              <w:textAlignment w:val="center"/>
              <w:rPr>
                <w:rFonts w:hint="eastAsia"/>
                <w:sz w:val="24"/>
                <w:szCs w:val="24"/>
                <w:lang w:eastAsia="zh-CN"/>
              </w:rPr>
            </w:pPr>
            <w:r>
              <w:rPr>
                <w:rFonts w:hint="eastAsia" w:ascii="仿宋" w:hAnsi="仿宋" w:eastAsia="仿宋" w:cs="仿宋"/>
                <w:sz w:val="24"/>
                <w:szCs w:val="24"/>
                <w:lang w:bidi="ar"/>
              </w:rPr>
              <w:t>HG7265/64G DDR4/600G 10K SAS×4(RAID_10)/SAS_HBA/1GbE×2/550W(1+1)/2U/3Y</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2U单路标准机架式服务器</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val="en-US" w:eastAsia="zh-CN" w:bidi="ar"/>
              </w:rPr>
              <w:t>处理器</w:t>
            </w:r>
            <w:r>
              <w:rPr>
                <w:rFonts w:hint="eastAsia" w:ascii="仿宋" w:hAnsi="仿宋" w:eastAsia="仿宋" w:cs="仿宋"/>
                <w:sz w:val="24"/>
                <w:szCs w:val="24"/>
                <w:lang w:bidi="ar"/>
              </w:rPr>
              <w:t>：1颗 x86架构HYGON处理器，核数≥24核，频率≥2.2GHz</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内存：64G DDR4，16根内存插槽，最大支持扩展至2TB内存</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硬盘：4块600G 10K 2.5英寸SAS盘</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可选支持12块3.5寸(兼容2.5寸)热插拔SAS/SATA硬盘</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可选支持2块后置2.5寸热插拔SAS/SATA硬盘</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可选支持4块NVME U.2热插拔硬盘</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支持1个M.2插槽</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支持1个TF插槽</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阵列卡：标配SAS_HBA卡，支持RAID0/1/10</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可选RAID_2G卡，支持0/1/5/6/10/50/60，可选支持断电保护</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PCIE扩展：最大可支持6个PCIe扩展插槽</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网口：2个千兆电口</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其他接口：1个千兆RJ-45管理接口，4个USB 3.0接口，2个位于机箱后部，2个位于机箱前部</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1个VGA口，位于机箱后部"</w:t>
            </w:r>
          </w:p>
          <w:p>
            <w:pPr>
              <w:widowControl/>
              <w:jc w:val="left"/>
              <w:textAlignment w:val="center"/>
              <w:rPr>
                <w:rFonts w:hint="eastAsia" w:ascii="仿宋" w:hAnsi="仿宋" w:eastAsia="仿宋" w:cs="仿宋"/>
                <w:sz w:val="24"/>
                <w:szCs w:val="24"/>
                <w:lang w:eastAsia="zh-CN" w:bidi="ar"/>
              </w:rPr>
            </w:pPr>
            <w:r>
              <w:rPr>
                <w:rFonts w:hint="eastAsia" w:ascii="仿宋" w:hAnsi="仿宋" w:eastAsia="仿宋" w:cs="仿宋"/>
                <w:sz w:val="24"/>
                <w:szCs w:val="24"/>
                <w:lang w:bidi="ar"/>
              </w:rPr>
              <w:t xml:space="preserve">"电源：标配550W（1+1）白金冗余电源 </w:t>
            </w:r>
          </w:p>
          <w:p>
            <w:pPr>
              <w:widowControl/>
              <w:jc w:val="left"/>
              <w:textAlignment w:val="center"/>
              <w:rPr>
                <w:rFonts w:hint="eastAsia" w:ascii="仿宋" w:hAnsi="仿宋" w:eastAsia="仿宋" w:cs="仿宋"/>
                <w:color w:val="FF0000"/>
                <w:sz w:val="24"/>
                <w:szCs w:val="24"/>
              </w:rPr>
            </w:pPr>
            <w:r>
              <w:rPr>
                <w:rFonts w:hint="eastAsia" w:ascii="仿宋" w:hAnsi="仿宋" w:eastAsia="仿宋" w:cs="仿宋"/>
                <w:sz w:val="24"/>
                <w:szCs w:val="24"/>
                <w:lang w:bidi="ar"/>
              </w:rPr>
              <w:t>支持200-240V 50/60Hz AC/HVDC"</w:t>
            </w:r>
          </w:p>
        </w:tc>
        <w:tc>
          <w:tcPr>
            <w:tcW w:w="72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775"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bl>
    <w:p>
      <w:pPr>
        <w:rPr>
          <w:rFonts w:hint="eastAsia" w:ascii="仿宋" w:hAnsi="仿宋" w:eastAsia="仿宋" w:cs="仿宋"/>
          <w:sz w:val="24"/>
          <w:szCs w:val="24"/>
        </w:rPr>
      </w:pPr>
    </w:p>
    <w:p>
      <w:pPr>
        <w:pStyle w:val="2"/>
        <w:rPr>
          <w:rFonts w:hint="eastAsia" w:ascii="仿宋" w:hAnsi="仿宋" w:eastAsia="仿宋" w:cs="仿宋"/>
          <w:b/>
          <w:bCs/>
          <w:sz w:val="24"/>
          <w:szCs w:val="24"/>
          <w:lang w:bidi="ar"/>
        </w:rPr>
      </w:pPr>
    </w:p>
    <w:p>
      <w:pPr>
        <w:pStyle w:val="2"/>
        <w:rPr>
          <w:rFonts w:hint="eastAsia" w:ascii="仿宋" w:hAnsi="仿宋" w:eastAsia="仿宋" w:cs="仿宋"/>
          <w:sz w:val="24"/>
          <w:szCs w:val="24"/>
        </w:rPr>
      </w:pPr>
      <w:r>
        <w:rPr>
          <w:rFonts w:hint="eastAsia" w:ascii="仿宋" w:hAnsi="仿宋" w:eastAsia="仿宋" w:cs="仿宋"/>
          <w:b/>
          <w:bCs/>
          <w:sz w:val="24"/>
          <w:szCs w:val="24"/>
          <w:lang w:bidi="ar"/>
        </w:rPr>
        <w:t>表二、扁平化指挥系统（定制软件）功能清单</w:t>
      </w:r>
    </w:p>
    <w:p>
      <w:pPr>
        <w:rPr>
          <w:rFonts w:hint="eastAsia" w:ascii="仿宋" w:hAnsi="仿宋" w:eastAsia="仿宋" w:cs="仿宋"/>
          <w:sz w:val="24"/>
          <w:szCs w:val="24"/>
        </w:rPr>
      </w:pPr>
    </w:p>
    <w:tbl>
      <w:tblPr>
        <w:tblStyle w:val="34"/>
        <w:tblW w:w="935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38"/>
        <w:gridCol w:w="1039"/>
        <w:gridCol w:w="1138"/>
        <w:gridCol w:w="4492"/>
        <w:gridCol w:w="75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31" w:type="dxa"/>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序号</w:t>
            </w:r>
          </w:p>
        </w:tc>
        <w:tc>
          <w:tcPr>
            <w:tcW w:w="638" w:type="dxa"/>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子模块</w:t>
            </w:r>
          </w:p>
        </w:tc>
        <w:tc>
          <w:tcPr>
            <w:tcW w:w="1039" w:type="dxa"/>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具体功能</w:t>
            </w:r>
          </w:p>
        </w:tc>
        <w:tc>
          <w:tcPr>
            <w:tcW w:w="1138" w:type="dxa"/>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详细功能</w:t>
            </w:r>
          </w:p>
        </w:tc>
        <w:tc>
          <w:tcPr>
            <w:tcW w:w="4492" w:type="dxa"/>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功能及技术参数</w:t>
            </w:r>
          </w:p>
        </w:tc>
        <w:tc>
          <w:tcPr>
            <w:tcW w:w="750" w:type="dxa"/>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数量</w:t>
            </w:r>
          </w:p>
        </w:tc>
        <w:tc>
          <w:tcPr>
            <w:tcW w:w="762" w:type="dxa"/>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38" w:type="dxa"/>
            <w:vMerge w:val="restart"/>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数据统计分析（成品软件）</w:t>
            </w:r>
          </w:p>
        </w:tc>
        <w:tc>
          <w:tcPr>
            <w:tcW w:w="1039"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数据接入</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110接处警数据</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系统通过接口或视图、表的方式，接入110指挥中心的警情数据，包括实时接入：3张视图，13张原始表，共计137个字段，秒级实时数据接入。</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视频监控卡口数据</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系统通过接口的方式，接入全市超过300路的路面视频、监控、卡口等数据。</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警力数据</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需要接入县交警大队基本的警力数据，目前为手工数据，大约涉及50个左右的字段项，需要和排班模块结合，结构化清洗后入库。</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警力设备定位数据</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需要接入县交警大队基本的警力设备数据，和警力数据当前的情况一直，大约涉及50个左右的字段项，需要结构化后入库。</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restart"/>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事故警情统计</w:t>
            </w:r>
          </w:p>
        </w:tc>
        <w:tc>
          <w:tcPr>
            <w:tcW w:w="1138"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数据分类识别</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对110警情数据进行打标，识别出类型明显的常规类交通警情。</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通过对接处警警情描述的语义分析，识别出类型、类别、细类缺失的无类型划分的特殊交通警情。</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restart"/>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警情统计</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按照时间维度，从日、周、月等统计周期展示周期内警情数量。</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auto"/>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按照行政管辖维度，从个人、中队、大队等的维度展示警情数量。</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统计展示警情变化同比、环比情况。</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事故警情分析</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包括通过事故警情发生时间特点，进行事故警情时段分析。</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包括通过事故警情在一个周期内的变化情况，进行事故警情变化趋势分析。</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其他还包括根据事故警情类型、事故警情成因等进行分析。</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警情合格率</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包括：根据排班签到计算到警合格率；</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根据处警反馈计算处置合格率；</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接处警流程化信息实时展示。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14</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警情回放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包括：记录回放，警情检索，事件聚合展示。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15</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警情档案</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建立警情档案，可以关联同类警情，历史警情，包含历史处警记录等信息。</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16</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支持按警情类型、警情地点、警情时间、警情来源等条件查询检索警情。</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17</w:t>
            </w:r>
          </w:p>
        </w:tc>
        <w:tc>
          <w:tcPr>
            <w:tcW w:w="638" w:type="dxa"/>
            <w:vMerge w:val="restart"/>
            <w:shd w:val="clear" w:color="auto" w:fill="auto"/>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智能接处警</w:t>
            </w:r>
          </w:p>
        </w:tc>
        <w:tc>
          <w:tcPr>
            <w:tcW w:w="1039" w:type="dxa"/>
            <w:vMerge w:val="restart"/>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智能派单</w:t>
            </w:r>
          </w:p>
        </w:tc>
        <w:tc>
          <w:tcPr>
            <w:tcW w:w="1138"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警情定位</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根据警情定位可以基于GIS可视化展示：选择范围内的周边警力列表，包括警力类型、警力名称、距离。</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根据警情定位，选择范围后查询周边监控列表，包括点位名称、监控类型、距离；</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根据警情定位，选择范围后查询周边警情列表，包括报警时间、报警内容、距离。</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20</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闲置警力派单</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通过对警力的地图分析，寻找直线距离最近的警力进行自动派单。</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21</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通过对地图路径规划，寻找最优路径的警力进行自动派单。</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22</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警力派单排队</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根据警情的紧急程度，警力能力高低，当季考核指数等因素定义警情积分权重；</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23</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根据当前警力的闲置情况，按照积分权重计算出的数值进行警情推送；</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24</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如果当前没有闲置警力，则根据积分的高低情况进行警情排队派单。</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25</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restart"/>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接单方式</w:t>
            </w:r>
          </w:p>
        </w:tc>
        <w:tc>
          <w:tcPr>
            <w:tcW w:w="1138"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警情数据录入</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1、支持三台合一警情数据接入，及警情处置信息写入。</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2、支持视频巡逻岗主动发现警情录入。</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vMerge w:val="continue"/>
            <w:shd w:val="clear" w:color="auto" w:fill="FFFFFF"/>
            <w:noWrap w:val="0"/>
            <w:vAlign w:val="center"/>
          </w:tcPr>
          <w:p>
            <w:pPr>
              <w:jc w:val="center"/>
              <w:rPr>
                <w:rFonts w:hint="eastAsia" w:ascii="仿宋" w:hAnsi="仿宋" w:eastAsia="仿宋" w:cs="仿宋"/>
                <w:sz w:val="24"/>
                <w:szCs w:val="24"/>
              </w:rPr>
            </w:pP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3、支持路面巡逻岗主动发现警情录入。</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智能抢单</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系统展示当前活跃的警情，并提供语音提醒，由警力自主根据如：警情的发生地点，警情类别，当期考核指数等因素进行抢单操作。</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auto"/>
            <w:noWrap w:val="0"/>
            <w:vAlign w:val="center"/>
          </w:tcPr>
          <w:p>
            <w:pPr>
              <w:jc w:val="center"/>
              <w:rPr>
                <w:rFonts w:hint="eastAsia" w:ascii="仿宋" w:hAnsi="仿宋" w:eastAsia="仿宋" w:cs="仿宋"/>
                <w:sz w:val="24"/>
                <w:szCs w:val="24"/>
              </w:rPr>
            </w:pPr>
          </w:p>
        </w:tc>
        <w:tc>
          <w:tcPr>
            <w:tcW w:w="113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关闭接单</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值班警力根据自身当前情况，通过按钮，关闭接受警情的自动推送。</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30</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警情图上指挥</w:t>
            </w: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警情地址解析</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1、实时地址解析：通过深度学习、语义解析和地址解析技术，将警情的文字描述性地址解析为经纬度，为警情上图定位提供经纬度地址。</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31</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2、地址自动纠错：通过深度学习，对警情地址文本中的错字、不规范描述进行自动识别，并解析出经纬度。</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警情展示</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支持通过列表展示实时警情（包括122警情、人工巡查警情等各类警情），展示内容包括报警时间、警情地点、警情详情、警情来源。</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关注警情</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支持对当日需要重点关注的警情进行手动收藏关注。</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34</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警情处置闭环跟踪</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支持对警情处置进行闭环跟踪记录并展示其处置进展（接警、到达现场、警情反馈、处置完毕），每环节记录支持文字描述、图片和视频文件。</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35</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指挥资源接入及联动</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接入警力、视频监控、清障车等指挥资源数据，并在警情上图定位后，自动联动周边警力、视频监控、清障车等指挥资源进行图上呈现，为警情指挥调度提供辅助决策（例如：以警情为中心展示警情周边有哪些警力，以辅助精准派警、就近派警）。</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36</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可视化警情核准</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支持通过上报警情位置信息，可自动关联周边可视化道路监控资源，指挥中心视频巡查岗可通过系统实现对道路监控的直接控制，从而在视频中确认警情的实际位置、类型，实现警情确认。</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37</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定位短信发送</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根据上报警情中报警人手机号码或手动录入报警人手机号码，可实现定位引导短信链接下发。</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38</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后续处置流程短信发送</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根据现场警员处置反馈信息以及警情类型，发送对应后续处置规范流程至报警人。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39</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违停接入集指系统</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违停违法检索</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系统支持自动合并非严管路段同一个车同一个地点设备首次抓拍数据和提醒10分钟后未驶离数据，支持对合并后的数据进行查询和查看详情。</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40</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应用配置</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1、接入参数配置：系统支持配置上传集成指挥平台的参数配置，包括集成指挥平台地址、重传次数、事件消息队列类型等。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41</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2、违法地点管理：系统支持自动同步已经配置好的违法地点，并支持对违法地点进行额外的配置，并支持根据配置信息进行过滤。</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平台接口开放</w:t>
            </w: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top"/>
          </w:tcPr>
          <w:p>
            <w:pPr>
              <w:widowControl/>
              <w:jc w:val="left"/>
              <w:textAlignment w:val="top"/>
              <w:rPr>
                <w:rFonts w:hint="eastAsia" w:ascii="仿宋" w:hAnsi="仿宋" w:eastAsia="仿宋" w:cs="仿宋"/>
                <w:sz w:val="24"/>
                <w:szCs w:val="24"/>
              </w:rPr>
            </w:pPr>
            <w:r>
              <w:rPr>
                <w:rFonts w:hint="eastAsia" w:ascii="仿宋" w:hAnsi="仿宋" w:eastAsia="仿宋" w:cs="仿宋"/>
                <w:sz w:val="24"/>
                <w:szCs w:val="24"/>
                <w:lang w:bidi="ar"/>
              </w:rPr>
              <w:t xml:space="preserve">1、提供人脸应用、人体应用、车辆应用等服务供第三方使用；       </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top"/>
          </w:tcPr>
          <w:p>
            <w:pPr>
              <w:widowControl/>
              <w:jc w:val="left"/>
              <w:textAlignment w:val="top"/>
              <w:rPr>
                <w:rFonts w:hint="eastAsia" w:ascii="仿宋" w:hAnsi="仿宋" w:eastAsia="仿宋" w:cs="仿宋"/>
                <w:sz w:val="24"/>
                <w:szCs w:val="24"/>
              </w:rPr>
            </w:pPr>
            <w:r>
              <w:rPr>
                <w:rFonts w:hint="eastAsia" w:ascii="仿宋" w:hAnsi="仿宋" w:eastAsia="仿宋" w:cs="仿宋"/>
                <w:sz w:val="24"/>
                <w:szCs w:val="24"/>
                <w:lang w:bidi="ar"/>
              </w:rPr>
              <w:t xml:space="preserve">2、提供图像识别及图像比对等服务供第三方使用；  </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44</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top"/>
          </w:tcPr>
          <w:p>
            <w:pPr>
              <w:widowControl/>
              <w:jc w:val="left"/>
              <w:textAlignment w:val="top"/>
              <w:rPr>
                <w:rFonts w:hint="eastAsia" w:ascii="仿宋" w:hAnsi="仿宋" w:eastAsia="仿宋" w:cs="仿宋"/>
                <w:sz w:val="24"/>
                <w:szCs w:val="24"/>
              </w:rPr>
            </w:pPr>
            <w:r>
              <w:rPr>
                <w:rFonts w:hint="eastAsia" w:ascii="仿宋" w:hAnsi="仿宋" w:eastAsia="仿宋" w:cs="仿宋"/>
                <w:sz w:val="24"/>
                <w:szCs w:val="24"/>
                <w:lang w:bidi="ar"/>
              </w:rPr>
              <w:t xml:space="preserve">3、提供取流解码、视频预览、录像回放的能力供第三方使用； </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45</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top"/>
          </w:tcPr>
          <w:p>
            <w:pPr>
              <w:widowControl/>
              <w:jc w:val="left"/>
              <w:textAlignment w:val="top"/>
              <w:rPr>
                <w:rFonts w:hint="eastAsia" w:ascii="仿宋" w:hAnsi="仿宋" w:eastAsia="仿宋" w:cs="仿宋"/>
                <w:sz w:val="24"/>
                <w:szCs w:val="24"/>
              </w:rPr>
            </w:pPr>
            <w:r>
              <w:rPr>
                <w:rFonts w:hint="eastAsia" w:ascii="仿宋" w:hAnsi="仿宋" w:eastAsia="仿宋" w:cs="仿宋"/>
                <w:sz w:val="24"/>
                <w:szCs w:val="24"/>
                <w:lang w:bidi="ar"/>
              </w:rPr>
              <w:t>4、提供区域信息、视频监控点信息、车辆卡口信息的获取服务供第三方使用；</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46</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top"/>
          </w:tcPr>
          <w:p>
            <w:pPr>
              <w:widowControl/>
              <w:jc w:val="left"/>
              <w:textAlignment w:val="top"/>
              <w:rPr>
                <w:rFonts w:hint="eastAsia" w:ascii="仿宋" w:hAnsi="仿宋" w:eastAsia="仿宋" w:cs="仿宋"/>
                <w:sz w:val="24"/>
                <w:szCs w:val="24"/>
              </w:rPr>
            </w:pPr>
            <w:r>
              <w:rPr>
                <w:rFonts w:hint="eastAsia" w:ascii="仿宋" w:hAnsi="仿宋" w:eastAsia="仿宋" w:cs="仿宋"/>
                <w:sz w:val="24"/>
                <w:szCs w:val="24"/>
                <w:lang w:bidi="ar"/>
              </w:rPr>
              <w:t>5、提供用户服务、事件订阅、数据字典服务供第三方使用。</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47</w:t>
            </w:r>
          </w:p>
        </w:tc>
        <w:tc>
          <w:tcPr>
            <w:tcW w:w="638" w:type="dxa"/>
            <w:vMerge w:val="restart"/>
            <w:shd w:val="clear" w:color="auto" w:fill="auto"/>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勤务排班（成品软件）</w:t>
            </w: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勤务管理</w:t>
            </w: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班次维护</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班次维护：对参与执勤铁骑按照8人每组，共三组，三班倒（执勤、备勤、休息，做四休二）的方式进行排班管理。针对勤务考勤的班次维护，支持班次的新增、修改、删除等操作，支持通过班次名称、班次类型、所属单位对班次进行维护。</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分组维护</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对勤务考勤的分组维护，支持对勤务考勤分组进行查看、编辑、新增、删除操作，支持对勤务考勤分组进行关键字、分组领导、所属单位查询。</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换班管理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勤务考勤的换班管理模块，实现勤务排班后，部分人员请假需求后的换班管理操作。</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50</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我的排班</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根据用户自己的勤务排班展示展示个人的值班情况，并支持通过年月筛选。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51</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电子围栏管理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根据排班情况，对于执勤铁骑的责任区域范围进行电子围栏管理。</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52</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勤务签到与统计</w:t>
            </w: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出勤情况及执法次数统计</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对每一名铁骑从接警数量，响应时长，处置时长，处置完成质量等维度，按照考核周期进行排名，统计考核。可以统计处置警情总数、已完成数、待处理数。</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53</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执法明细展示查询</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将按照统计周期统计出的积分或警情处置数量，用图表的形式显示同比、环比，上升或下降趋势，各类不同警情的占比等。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54</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铁骑考核</w:t>
            </w: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铁骑轨迹查询</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地图可视化查看铁骑执勤轨迹。</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55</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铁骑管理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定义铁骑日常工作事项的积分，如：接警数量，响应时长，处置时长，处置完成质量等。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工作效率考核</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按照已定义的积分权重，对铁骑进行按周期积分管理。</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勤务优化</w:t>
            </w: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勤务热力图</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根据铁骑执勤轨迹，警情发生地点等带有地点位置信息的数据，描绘勤务热力图。</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事故警情分析</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通过对事故警情数据的多维度分析，有效排查道路黑点，深度挖掘事故成因。</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勤务优化</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通过对事故警情分析进行勤务优化，充分有效指导交管部门勤务优化工作的决策部署。</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60</w:t>
            </w:r>
          </w:p>
        </w:tc>
        <w:tc>
          <w:tcPr>
            <w:tcW w:w="638" w:type="dxa"/>
            <w:vMerge w:val="restart"/>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鹰眼铁骑APP（成品软件）</w:t>
            </w: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数据概览</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页面展示了最近抓拍的过车或违停车辆车牌号、当天该PDA连接的铁骑设备抓拍到的正常过车总数、黑名单车辆总数和违停车辆数量。</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61</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模式配置</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可以选择当前抓拍模式：缉查布控模式抓拍过车图片，App根据抓拍的车牌号对比名单库，一旦比中就会在主界面弹窗报警，并语音提示；违停抓拍模式下需要选择违法代码和违停路段，铁骑设备会抓拍路边的违停车辆并上报至平台。</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违停抓拍</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在模式配置中切换模式为“违停抓拍”后，铁骑摄像头开始进行违停车辆的抓拍研判。违停车辆详情中可以查看该车辆的违停信息和抓拍照片。抓拍前需要在路段列表中设置当前所在的路段（APP会根据当前的GPS信息自动关联最近的违停路段，以列表的形式展示），方便后期违法图片的查看与审核。</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手动抓拍</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进入一个车牌扫描界面，手机自动识别扫描到的车牌号，当扫描失败时也可以选择手动输入车牌号。扫描之后进入信息输入界面，这里需要至少拍摄一张车头照片或一张车尾照片，并输入违法代码和违法路段。</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64</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实时预览</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实时预览界面支持用户同时查看车头和车尾的铁骑摄像头的实时视频。</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65</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查看历史抓拍</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正常过车展示一定时间内所有的过车车牌号以及抓拍时间；黑名单列表除了车牌号和抓拍时间，还会展示该车牌被布控的原因。点击右上角的时间还可以手动输入时间，查看特定时间内的抓拍。黑名单车辆右侧的查看按钮点击后，可以查看对应的抓拍图片。</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66</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违停抓拍查询</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分别展示证据不全需要补拍照片的违停车辆，和已经取证完成生成违停记录的违停车辆。右上角可以输入车牌号对车辆进行过滤，也可以点击时间查询一定时间范围内的违停数据。</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67</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警情数据采集</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支持对处置警情进行位置精准定位，警情信息手动打标，现场图片数据上传等。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68</w:t>
            </w:r>
          </w:p>
        </w:tc>
        <w:tc>
          <w:tcPr>
            <w:tcW w:w="638" w:type="dxa"/>
            <w:vMerge w:val="restart"/>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铁骑执法作战图（成品软件）</w:t>
            </w:r>
          </w:p>
        </w:tc>
        <w:tc>
          <w:tcPr>
            <w:tcW w:w="1039"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资源上图</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支持接入展示铁骑设备、执法单兵、4G执法记录仪、4G车载设备等带定位功能的移动**设备上墙动态展示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69</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支持铁骑设备、执法单兵、4G执法记录仪、4G车载设备、警员排班情况等数据的概览展示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70</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vMerge w:val="continue"/>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支持选择辖区，展示警力、设备资源数量及状态情况</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71</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警情概览</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支持按天、周、月、季度等事件维度进行警情数据概览展示，包括警情总数、分类、处置情况等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警情详情</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支持通过列表展示实时警情（包括122警情、人工巡查警情等），展示内容包括报警时间、警情地点、警情详情、警情来源。</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勤务排名</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支持以中队、民警等维度展示勤务工作成效排名情况</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74</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运维数据展示</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支持展示当前移动**设备运维情况，包括在离线设备数量等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75</w:t>
            </w:r>
          </w:p>
        </w:tc>
        <w:tc>
          <w:tcPr>
            <w:tcW w:w="638" w:type="dxa"/>
            <w:vMerge w:val="restart"/>
            <w:shd w:val="clear" w:color="auto" w:fill="auto"/>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系统管理（成品软件）</w:t>
            </w: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用户管理</w:t>
            </w: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权限管理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提供对注册用户的审核及业务权限分配，由系统管理员负责。</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注册用户管理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系统管理员可以对注册用户信息包括：用户名、密码、用户角色、用户真实姓名、所属单位等内容进行维护。</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用户个人信息管理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管理员也可以根据工作需要对注册用户进行权限授权、注册审核、修改信息、删除用户，同时，注册用户自己也可以对个人信息进行维护。</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部门管理</w:t>
            </w: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部门信息管理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对部门信息进行管理，可以对部门信息进行修改、编辑。</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部门查询</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通过部门编号或者部门名称进行搜索查询。</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80</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部门编码管理</w:t>
            </w:r>
          </w:p>
        </w:tc>
        <w:tc>
          <w:tcPr>
            <w:tcW w:w="4492"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为避免重复和冲突，针对每一个机构设置全局的、统一的部门编码，可以在各服务系统和其它应用系统中使用。</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81</w:t>
            </w:r>
          </w:p>
        </w:tc>
        <w:tc>
          <w:tcPr>
            <w:tcW w:w="638" w:type="dxa"/>
            <w:vMerge w:val="restart"/>
            <w:shd w:val="clear" w:color="auto" w:fill="auto"/>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交通综合分析研判</w:t>
            </w:r>
          </w:p>
        </w:tc>
        <w:tc>
          <w:tcPr>
            <w:tcW w:w="1039" w:type="dxa"/>
            <w:vMerge w:val="restart"/>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综合研判分析</w:t>
            </w: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综合研判分析</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将交通类数据，按照特征进行标签化，以标签化后的数据为基础。</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82</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多角度、多维度对交通拥堵、事故、违法数据进行融合碰撞分析。</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83</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挖掘交通流、交通事故、交通违法的时空变化特性，并对其进行专项预警预测，从而为交通管理者提供决策依据。</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84</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交通态势研判</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基于实时、历史交通流数据，挖掘交通流时空分布特性。</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85</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分区域、路段、交叉口三个维度分析交通运行状况。</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精准识别路网拥堵区域、节点，为交通拥堵治理提供决策辅助。</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违法研判分析</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汇聚现场和非现场执法设备等，产生的交通违法数据。</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识别违法高发地点、违法高发车辆，实现违法高发地点、高发车辆、高发单位的精准打击治理。</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事故研判分析</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汇聚交通事故数据，并进行研判分析，挖掘事故多发点、黑点。</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90</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挖掘事故、道路、车辆之间的潜在关系，为事故预防、隐患排查、警力部署提供决策支持。</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91</w:t>
            </w:r>
          </w:p>
        </w:tc>
        <w:tc>
          <w:tcPr>
            <w:tcW w:w="638" w:type="dxa"/>
            <w:vMerge w:val="restart"/>
            <w:shd w:val="clear" w:color="auto" w:fill="auto"/>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交通大屏（成品软件）</w:t>
            </w:r>
          </w:p>
        </w:tc>
        <w:tc>
          <w:tcPr>
            <w:tcW w:w="1039" w:type="dxa"/>
            <w:vMerge w:val="restart"/>
            <w:shd w:val="clear" w:color="auto" w:fill="FFFFFF"/>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交通数字驾驶舱</w:t>
            </w: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拥堵态势一张图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基于GIS地图，对城市交通拥堵状态进行展示。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92</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交通卡口、视频等多源异类海量交通源数据进行异常数据清洗、交通状态指标转化、多源数据融合计算，实现更为准确、实时的交通状况评估，全面掌握城市交通状态根据城区道路交通拥堵情况，计算出平均车速、拥堵时长、拥堵距离等数据，并可计算拥堵里程比。</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93</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根据道路通行情况，从宏观角度反映区域、路网、高架、快速路等拥堵情况的概念性指数。考虑车流量、车速、道路等级、驾驶人员拥堵感觉等因素，协助管理者了解整个城市路网的交通拥堵情况。</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94</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违法态势一张图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基于GIS地图，接入各类违法事件数据，实时显示区域内违法事件发生热力图。</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95</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通过对违法事件数据的挖掘研判分析，精准研判违法高发区域、路口，剖析违法行为时空分布特征，展示违法数量、违法类型、违法车辆。</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事故态势一张图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实现全域交通事故状况的宏观总览，包括交通事故热力图、当日事故总数、已处理事故数、事故类型分布、事故时间分布、事故处置时间等指标，对交通安全态势进行综合评价。</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展示各地点的事故数量及对比情况，折线图展示事故在时间上的分布情况，为事故黑点排查和事故预防工作提供数据支撑。</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98</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警情态势一张图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实现全域交通警情态势的宏观总览，支持大队报警总量、中队报警总量、各网格报警总量、交通事故、移车类的警情数量翻牌显示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99</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实现对最新警情内容描述以及警情动态的实时展示，实现警情定位、警情筛选、警力筛选、警情轮播、重大警情显示、预警信息发布以及今日警情统计、警情同比/环比分析等功能</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100</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支持对重点关注面板居中放大突出展示。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101</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警力资源一张图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实现基于GIS电子地图、警力GPS定位等信息，对当前路网的警力分布、岗位人员具体信息、警力巡逻路线、警车分布等信息的展示。</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102</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同时系统能够监控警力执勤状态，并可以随时掌握警力巡逻轨迹、执勤情况等详细信息。</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103</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restart"/>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设备资源一张图</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基于GIS地图展示各类设备位置坐标信息，实时监测并展示工作状态的智能设施包括交通信号机、视频监控、电子警察、智能卡口、诱导屏、可变车道牌等。</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104</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ign w:val="center"/>
          </w:tcPr>
          <w:p>
            <w:pPr>
              <w:jc w:val="center"/>
              <w:rPr>
                <w:rFonts w:hint="eastAsia" w:ascii="仿宋" w:hAnsi="仿宋" w:eastAsia="仿宋" w:cs="仿宋"/>
                <w:sz w:val="24"/>
                <w:szCs w:val="24"/>
              </w:rPr>
            </w:pPr>
          </w:p>
        </w:tc>
        <w:tc>
          <w:tcPr>
            <w:tcW w:w="1138" w:type="dxa"/>
            <w:vMerge w:val="continue"/>
            <w:noWrap w:val="0"/>
            <w:vAlign w:val="center"/>
          </w:tcPr>
          <w:p>
            <w:pPr>
              <w:jc w:val="center"/>
              <w:rPr>
                <w:rFonts w:hint="eastAsia" w:ascii="仿宋" w:hAnsi="仿宋" w:eastAsia="仿宋" w:cs="仿宋"/>
                <w:sz w:val="24"/>
                <w:szCs w:val="24"/>
              </w:rPr>
            </w:pP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展示各类型设备总数、设备在线率、告警信息等指标。</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105</w:t>
            </w:r>
          </w:p>
        </w:tc>
        <w:tc>
          <w:tcPr>
            <w:tcW w:w="638" w:type="dxa"/>
            <w:vMerge w:val="restart"/>
            <w:shd w:val="clear" w:color="auto" w:fill="auto"/>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设施运维管理（成品软件）</w:t>
            </w:r>
          </w:p>
        </w:tc>
        <w:tc>
          <w:tcPr>
            <w:tcW w:w="1039" w:type="dxa"/>
            <w:vMerge w:val="restar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运维管理</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智能化设备监测</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设备主动上报，设备巡检，视频智能分析。通过接入交通路网信息及各类交通设施设备信息，基于全生命周期管理理念，结合设备智能监测、在线运维等手段，对交通设施问题上报、审批、施工维护、结算等维护流程进行全面管理，实现监测、运维及资产管理一体化。</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106</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可视化设备管理</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基于高精度地图，状态信息集约化，故障信息集约化。</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shd w:val="clear" w:color="auto" w:fill="auto"/>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107</w:t>
            </w:r>
          </w:p>
        </w:tc>
        <w:tc>
          <w:tcPr>
            <w:tcW w:w="638" w:type="dxa"/>
            <w:vMerge w:val="continue"/>
            <w:shd w:val="clear" w:color="auto" w:fill="auto"/>
            <w:noWrap w:val="0"/>
            <w:vAlign w:val="center"/>
          </w:tcPr>
          <w:p>
            <w:pPr>
              <w:jc w:val="center"/>
              <w:rPr>
                <w:rFonts w:hint="eastAsia" w:ascii="仿宋" w:hAnsi="仿宋" w:eastAsia="仿宋" w:cs="仿宋"/>
                <w:b/>
                <w:bCs/>
                <w:sz w:val="24"/>
                <w:szCs w:val="24"/>
              </w:rPr>
            </w:pPr>
          </w:p>
        </w:tc>
        <w:tc>
          <w:tcPr>
            <w:tcW w:w="1039" w:type="dxa"/>
            <w:vMerge w:val="continue"/>
            <w:shd w:val="clear" w:color="auto" w:fill="FFFFFF"/>
            <w:noWrap w:val="0"/>
            <w:vAlign w:val="center"/>
          </w:tcPr>
          <w:p>
            <w:pPr>
              <w:jc w:val="center"/>
              <w:rPr>
                <w:rFonts w:hint="eastAsia" w:ascii="仿宋" w:hAnsi="仿宋" w:eastAsia="仿宋" w:cs="仿宋"/>
                <w:sz w:val="24"/>
                <w:szCs w:val="24"/>
              </w:rPr>
            </w:pP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互联网运维流程</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无纸化在线运维，设备维护处置，设备运维分析。支持手机APP进行设备故障上报，维修人员通过手机APP接单，开展后续维修工作，通过手机APP实时查看维修工单进度，实现设备故障的快速上报、维修工单快速下发、维修全流程监控。</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108</w:t>
            </w:r>
          </w:p>
        </w:tc>
        <w:tc>
          <w:tcPr>
            <w:tcW w:w="638" w:type="dxa"/>
            <w:vMerge w:val="restart"/>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交警综合服务模块</w:t>
            </w: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监控通道授权</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本级监控通道授权</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对视频设备的接入通道数进行管理，按接入数收费。</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109</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本级车道接入</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本级车道接入</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对移动卡口等设备的接入车道数进行管理，按接入数收费</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110</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物联要素综合服务软件</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物联要素综合服务软件</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物联要素综合服务软件模块提供设备纵膈标定、交通单元标定、空间综合标绘、标准地址治理、治理成果展示、现勘工具等功能。 </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111</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本地化交通单元道路标定实施服务</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本地化交通单元道路标定实施服务</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按路的公里数使用交通单元工具完成交通要素相关信息标定工作。 </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112</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本地化交通单元路口标定实施服务</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本地化交通单元路口标定实施服务</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按路口计算使用交通单元工具完成交通要素相关信息标定工作。 </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1" w:type="dxa"/>
            <w:noWrap/>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113</w:t>
            </w:r>
          </w:p>
        </w:tc>
        <w:tc>
          <w:tcPr>
            <w:tcW w:w="638" w:type="dxa"/>
            <w:vMerge w:val="continue"/>
            <w:noWrap w:val="0"/>
            <w:vAlign w:val="center"/>
          </w:tcPr>
          <w:p>
            <w:pPr>
              <w:jc w:val="center"/>
              <w:rPr>
                <w:rFonts w:hint="eastAsia" w:ascii="仿宋" w:hAnsi="仿宋" w:eastAsia="仿宋" w:cs="仿宋"/>
                <w:b/>
                <w:bCs/>
                <w:sz w:val="24"/>
                <w:szCs w:val="24"/>
              </w:rPr>
            </w:pPr>
          </w:p>
        </w:tc>
        <w:tc>
          <w:tcPr>
            <w:tcW w:w="103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本地化设备治理实施服务</w:t>
            </w:r>
          </w:p>
        </w:tc>
        <w:tc>
          <w:tcPr>
            <w:tcW w:w="113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本地化设备治理实施服务</w:t>
            </w:r>
          </w:p>
        </w:tc>
        <w:tc>
          <w:tcPr>
            <w:tcW w:w="4492"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使用设备治理工具远程标定设备的场所类型、地名、室内外、设备名称。</w:t>
            </w:r>
          </w:p>
        </w:tc>
        <w:tc>
          <w:tcPr>
            <w:tcW w:w="750"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762"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bl>
    <w:p>
      <w:pPr>
        <w:pStyle w:val="2"/>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b/>
          <w:bCs/>
          <w:sz w:val="24"/>
          <w:szCs w:val="24"/>
          <w:lang w:bidi="ar"/>
        </w:rPr>
        <w:t>表三、交通信号控制系统（硬件设备）清单</w:t>
      </w:r>
    </w:p>
    <w:tbl>
      <w:tblPr>
        <w:tblStyle w:val="34"/>
        <w:tblW w:w="963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178"/>
        <w:gridCol w:w="6471"/>
        <w:gridCol w:w="769"/>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4" w:type="dxa"/>
            <w:vMerge w:val="restart"/>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序号</w:t>
            </w:r>
          </w:p>
        </w:tc>
        <w:tc>
          <w:tcPr>
            <w:tcW w:w="1178" w:type="dxa"/>
            <w:vMerge w:val="restart"/>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设备名称</w:t>
            </w:r>
          </w:p>
        </w:tc>
        <w:tc>
          <w:tcPr>
            <w:tcW w:w="6471" w:type="dxa"/>
            <w:vMerge w:val="restart"/>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性能参数</w:t>
            </w:r>
          </w:p>
        </w:tc>
        <w:tc>
          <w:tcPr>
            <w:tcW w:w="769" w:type="dxa"/>
            <w:vMerge w:val="restart"/>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数量</w:t>
            </w:r>
          </w:p>
        </w:tc>
        <w:tc>
          <w:tcPr>
            <w:tcW w:w="675" w:type="dxa"/>
            <w:vMerge w:val="restart"/>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44" w:type="dxa"/>
            <w:vMerge w:val="continue"/>
            <w:shd w:val="clear" w:color="auto" w:fill="BFBFBF"/>
            <w:noWrap w:val="0"/>
            <w:vAlign w:val="center"/>
          </w:tcPr>
          <w:p>
            <w:pPr>
              <w:jc w:val="center"/>
              <w:rPr>
                <w:rFonts w:hint="eastAsia" w:ascii="仿宋" w:hAnsi="仿宋" w:eastAsia="仿宋" w:cs="仿宋"/>
                <w:b/>
                <w:bCs/>
                <w:sz w:val="24"/>
                <w:szCs w:val="24"/>
              </w:rPr>
            </w:pPr>
          </w:p>
        </w:tc>
        <w:tc>
          <w:tcPr>
            <w:tcW w:w="1178" w:type="dxa"/>
            <w:vMerge w:val="continue"/>
            <w:shd w:val="clear" w:color="auto" w:fill="BFBFBF"/>
            <w:noWrap w:val="0"/>
            <w:vAlign w:val="center"/>
          </w:tcPr>
          <w:p>
            <w:pPr>
              <w:jc w:val="center"/>
              <w:rPr>
                <w:rFonts w:hint="eastAsia" w:ascii="仿宋" w:hAnsi="仿宋" w:eastAsia="仿宋" w:cs="仿宋"/>
                <w:b/>
                <w:bCs/>
                <w:sz w:val="24"/>
                <w:szCs w:val="24"/>
              </w:rPr>
            </w:pPr>
          </w:p>
        </w:tc>
        <w:tc>
          <w:tcPr>
            <w:tcW w:w="6471" w:type="dxa"/>
            <w:vMerge w:val="continue"/>
            <w:shd w:val="clear" w:color="auto" w:fill="BFBFBF"/>
            <w:noWrap w:val="0"/>
            <w:vAlign w:val="center"/>
          </w:tcPr>
          <w:p>
            <w:pPr>
              <w:jc w:val="center"/>
              <w:rPr>
                <w:rFonts w:hint="eastAsia" w:ascii="仿宋" w:hAnsi="仿宋" w:eastAsia="仿宋" w:cs="仿宋"/>
                <w:b/>
                <w:bCs/>
                <w:sz w:val="24"/>
                <w:szCs w:val="24"/>
              </w:rPr>
            </w:pPr>
          </w:p>
        </w:tc>
        <w:tc>
          <w:tcPr>
            <w:tcW w:w="769" w:type="dxa"/>
            <w:vMerge w:val="continue"/>
            <w:shd w:val="clear" w:color="auto" w:fill="BFBFBF"/>
            <w:noWrap w:val="0"/>
            <w:vAlign w:val="center"/>
          </w:tcPr>
          <w:p>
            <w:pPr>
              <w:jc w:val="center"/>
              <w:rPr>
                <w:rFonts w:hint="eastAsia" w:ascii="仿宋" w:hAnsi="仿宋" w:eastAsia="仿宋" w:cs="仿宋"/>
                <w:b/>
                <w:bCs/>
                <w:sz w:val="24"/>
                <w:szCs w:val="24"/>
              </w:rPr>
            </w:pPr>
          </w:p>
        </w:tc>
        <w:tc>
          <w:tcPr>
            <w:tcW w:w="675" w:type="dxa"/>
            <w:vMerge w:val="continue"/>
            <w:shd w:val="clear" w:color="auto" w:fill="BFBFBF"/>
            <w:noWrap w:val="0"/>
            <w:vAlign w:val="center"/>
          </w:tcPr>
          <w:p>
            <w:pPr>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37" w:type="dxa"/>
            <w:gridSpan w:val="5"/>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一、交通信号控制系统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移动特勤客户端</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处理器主频：1.8GHz以上</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操作系统：安卓系统</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存储：ROM：32GB/ 16GB</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RAM：4GB以上</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定位：GPS/北斗</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分辨率：2000×1200以上</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卡槽：具备SIM卡槽</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5G专网VPN通讯卡</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支持无线网络与交管信号专网的互连互通</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个/三年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数据库服务器</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CPU 龙芯3000B，内存 紫光DDR4 64G，硬盘 SATA/SAS/SSD 4T,raid 卡 ，千兆控制器，麒麟操作系统</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业务服务器</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CPU 龙芯3000B，内存 紫光DDR4 64G，硬盘 SATA/SAS/SSD 4T,raid 卡 ，千兆控制器，麒麟操作系统</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消息通讯服务器</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CPU 龙芯3000B，内存 紫光DDR4 64G，硬盘 SATA/SAS/SSD 4T,raid 卡 ，千兆控制器，麒麟操作系统</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区域机服务器</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CPU 龙芯3000B，内存 紫光DDR4 64G，硬盘 SATA/SAS/SSD 4T,raid 卡 ，千兆控制器，麒麟操作系统</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37" w:type="dxa"/>
            <w:gridSpan w:val="5"/>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二、交通信号控制机建设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交通信号控制机</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交通信号机控制软件应符合国家标准 GB/T 20999-2017《交通信号控制机与上位机间的数据通信协议》通讯协议的体系结构。</w:t>
            </w:r>
            <w:r>
              <w:rPr>
                <w:rFonts w:hint="eastAsia" w:ascii="仿宋" w:hAnsi="仿宋" w:eastAsia="仿宋" w:cs="仿宋"/>
                <w:sz w:val="24"/>
                <w:szCs w:val="24"/>
              </w:rPr>
              <w:br w:type="textWrapping"/>
            </w:r>
            <w:r>
              <w:rPr>
                <w:rFonts w:hint="eastAsia" w:ascii="仿宋" w:hAnsi="仿宋" w:eastAsia="仿宋" w:cs="仿宋"/>
                <w:sz w:val="24"/>
                <w:szCs w:val="24"/>
              </w:rPr>
              <w:t>在信号控制机软件建设和研发领域具备成熟的技术水平。</w:t>
            </w:r>
            <w:r>
              <w:rPr>
                <w:rFonts w:hint="eastAsia" w:ascii="仿宋" w:hAnsi="仿宋" w:eastAsia="仿宋" w:cs="仿宋"/>
                <w:sz w:val="24"/>
                <w:szCs w:val="24"/>
              </w:rPr>
              <w:br w:type="textWrapping"/>
            </w:r>
            <w:r>
              <w:rPr>
                <w:rFonts w:hint="eastAsia" w:ascii="仿宋" w:hAnsi="仿宋" w:eastAsia="仿宋" w:cs="仿宋"/>
                <w:sz w:val="24"/>
                <w:szCs w:val="24"/>
              </w:rPr>
              <w:t>（1）所投交通信号控制机，截至招标公告发布日止，应是已取得检测依据为：《道路交通信号控制机》（GB25280-2016）的</w:t>
            </w:r>
            <w:r>
              <w:rPr>
                <w:rFonts w:hint="eastAsia" w:ascii="仿宋" w:hAnsi="仿宋" w:eastAsia="仿宋" w:cs="仿宋"/>
                <w:sz w:val="24"/>
                <w:szCs w:val="24"/>
                <w:lang w:val="en-US" w:eastAsia="zh-CN"/>
              </w:rPr>
              <w:t>A</w:t>
            </w:r>
            <w:r>
              <w:rPr>
                <w:rFonts w:hint="eastAsia" w:ascii="仿宋" w:hAnsi="仿宋" w:eastAsia="仿宋" w:cs="仿宋"/>
                <w:sz w:val="24"/>
                <w:szCs w:val="24"/>
              </w:rPr>
              <w:t>类</w:t>
            </w:r>
            <w:r>
              <w:rPr>
                <w:rFonts w:hint="eastAsia" w:ascii="仿宋" w:hAnsi="仿宋" w:eastAsia="仿宋" w:cs="仿宋"/>
                <w:sz w:val="24"/>
                <w:szCs w:val="24"/>
                <w:lang w:val="en-US" w:eastAsia="zh-CN"/>
              </w:rPr>
              <w:t>及以上</w:t>
            </w:r>
            <w:r>
              <w:rPr>
                <w:rFonts w:hint="eastAsia" w:ascii="仿宋" w:hAnsi="仿宋" w:eastAsia="仿宋" w:cs="仿宋"/>
                <w:sz w:val="24"/>
                <w:szCs w:val="24"/>
              </w:rPr>
              <w:t>信号机。</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（2）交通信号机控制软件应符合国家标准 GB/T 20999-2017《交通信号控制机与上位机间的数据通信协议》通讯协议的体系结构。</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性能要求：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（1）采用电磁兼容性设计技术，具有良好的防电网浪涌、防雷击措施，具有漏电保护功能；整机全模块化（插件单元）设计，系统的硬件配置可作弹性调整，机器维修能简化为功能模块现场快速代换。</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（2）可实现不少于32 相位控制，不少于48 路灯控输出；不低于4 路行人按钮接入。</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（3）可接入不少于</w:t>
            </w:r>
            <w:r>
              <w:rPr>
                <w:rFonts w:hint="eastAsia" w:ascii="仿宋" w:hAnsi="仿宋" w:eastAsia="仿宋" w:cs="仿宋"/>
                <w:sz w:val="24"/>
                <w:szCs w:val="24"/>
                <w:lang w:val="en-US" w:eastAsia="zh-CN"/>
              </w:rPr>
              <w:t>16</w:t>
            </w:r>
            <w:r>
              <w:rPr>
                <w:rFonts w:hint="eastAsia" w:ascii="仿宋" w:hAnsi="仿宋" w:eastAsia="仿宋" w:cs="仿宋"/>
                <w:sz w:val="24"/>
                <w:szCs w:val="24"/>
              </w:rPr>
              <w:t>路检测器设备，支持环型线圈、地磁、微波、视频等车辆检测器。支持行人过街按钮接入。具有与公交及特种车辆检测器连接的接口。</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（4）可接入不少于4路三色倒计时显示器，并可扩充至不少于16 路，支持倒9秒显示。</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（5）支持至少48个时段配时设置（例如：节假日、星期）、支持不少于20种配时方案。</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（6）信号控制机配置1块主控板，最大可配置不少于2块检测板。</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（7）通信接口丰富，提供一个RS232,一个RS485,用于通讯测试 。</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支持单点控制，手动控制，系统平台控制。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具备掉电数据保护功能:交通信号控制机可支持掉电后工作参数和时钟不丢失，且运行状态信息和故障信息保持不丢失。</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）图形化配置功能：信号机配置软件应能采用中文图形化配置路口渠化、检测器、信号灯连接关系、配时方案与时段信息。</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）检测数据上传功能：具备通过检测器方式采集交通数据并上传中心。</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相位接管功能：当交通信号控制机的主控单元发生故障时，交通信号控制机可继续执行当前的工作方式，路口放行状态不受影响；主控单元发生故障的情况下，若遇灯组故障，立即转为黄闪控制方式；当主控单元故障排除后，自动恢复自主控制。</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拥堵控制功能：当通行车道缓行时，信号机能根据信号控制系统指令，减小上游路口绿灯放行时间，增加下游路口绿灯放行时间。当通行车道拥堵时，信号机能根据信号控制系统指令，截止上游路口当前绿灯放行时间，转为红灯信号控制，下游路口能继续增加绿灯放行时间。当通行车道机动车排队消散后，路口控制状态自动恢复正常。</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）具备故障及事件采集、记录、存储功能。</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）运维功能：具备升级功能，支持远程、本地等多种升级方式。能够记录详细操作步骤及内容，本地可保存3个月以上。</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）在进行网络通信时，应能对网络数据异常“网络风暴”进行防护，并能正常运行。</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）信号机与雷达视频检测器、微波交通流检测器等通讯可直接用于参数计算做信号自适应。</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）交通流参数采集功能：信号控制机的控制板支持直接采集微波/超声波、线圈、地磁、雷达等开关量检测数据；信号控制机也可采集行人过街按钮等数据。</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信号机与交通检测设备连接后，信号机可根据交通检测设备采集的实时数据进入全感应控制方式，实现相位请求、相位扩展，也可根据采集的实时数据进入协同感应控制方式，实现相位阶段请求、方案运行；系统支持自适应控制模式，可根据信号机的上传数据对交通信号进行调整。</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）配时方案、相位差可设置三位数。</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）工作方式变化时，红绿灯信号自动平滑过渡。</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电气环境要求：</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（1）电源适应性：电源电压在AC220V±44V、频率在50Hz±2Hz范围内变化时，信号机应能正常工作。</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（2）工作温度: -40℃～+70℃。</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（3）工作相对湿度：≤95%。</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（4）绝缘电阻：≥500MΩ。</w:t>
            </w:r>
          </w:p>
          <w:p>
            <w:pPr>
              <w:pStyle w:val="2"/>
              <w:rPr>
                <w:rFonts w:hint="eastAsia" w:ascii="仿宋" w:hAnsi="仿宋" w:eastAsia="仿宋" w:cs="仿宋"/>
                <w:sz w:val="24"/>
                <w:szCs w:val="24"/>
              </w:rPr>
            </w:pPr>
            <w:r>
              <w:rPr>
                <w:rFonts w:hint="eastAsia" w:ascii="仿宋" w:hAnsi="仿宋" w:eastAsia="仿宋" w:cs="仿宋"/>
                <w:sz w:val="24"/>
                <w:szCs w:val="24"/>
              </w:rPr>
              <w:t>▲需对接到武义县公安局交通警察大队的交通信号控制系统（新建）</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智能机柜</w:t>
            </w:r>
          </w:p>
        </w:tc>
        <w:tc>
          <w:tcPr>
            <w:tcW w:w="6471" w:type="dxa"/>
            <w:noWrap w:val="0"/>
            <w:vAlign w:val="center"/>
          </w:tcPr>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信号机机柜内、外表面及控制面板应光洁、平整，不应有凹痕、划伤、裂缝、变形等缺陷。机柜表面应有牢固的防锈、防腐蚀镀层或漆层，金属零件不应有锈蚀及其他机械损伤，各滑动或转动部件活动应灵活，紧固部件不松动，机柜的外部表面不应有可能导致伤害的尖锐的突起或拐角。</w:t>
            </w:r>
          </w:p>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信号机机柜内侧应设有存放用户手册、说明书、接线图、维修记录等资料的存储盒。</w:t>
            </w:r>
          </w:p>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预留照明灯接口，具备夜间开门照明功能；</w:t>
            </w:r>
          </w:p>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柜门状态实时检测，支持拍照存储并上传的功能；</w:t>
            </w:r>
          </w:p>
          <w:p>
            <w:pPr>
              <w:widowControl/>
              <w:jc w:val="left"/>
              <w:textAlignment w:val="center"/>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支持智能冷却功能，温度达到阈值时，风扇自动开启进行降温；</w:t>
            </w:r>
          </w:p>
          <w:p>
            <w:pPr>
              <w:widowControl/>
              <w:jc w:val="left"/>
              <w:textAlignment w:val="center"/>
              <w:rPr>
                <w:rStyle w:val="98"/>
                <w:rFonts w:hint="eastAsia" w:ascii="仿宋" w:hAnsi="仿宋" w:eastAsia="仿宋" w:cs="仿宋"/>
                <w:color w:val="4472C4"/>
                <w:sz w:val="24"/>
                <w:szCs w:val="24"/>
                <w:lang w:bidi="ar"/>
              </w:rPr>
            </w:pPr>
            <w:r>
              <w:rPr>
                <w:rFonts w:hint="eastAsia" w:ascii="仿宋" w:hAnsi="仿宋" w:eastAsia="仿宋" w:cs="仿宋"/>
                <w:color w:val="000000"/>
                <w:sz w:val="24"/>
                <w:szCs w:val="24"/>
                <w:lang w:bidi="ar"/>
              </w:rPr>
              <w:t>柜内环境参数实时监测上报，支持入侵时告警。</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满屏信号灯</w:t>
            </w:r>
          </w:p>
        </w:tc>
        <w:tc>
          <w:tcPr>
            <w:tcW w:w="6471" w:type="dxa"/>
            <w:noWrap w:val="0"/>
            <w:vAlign w:val="center"/>
          </w:tcPr>
          <w:p>
            <w:pPr>
              <w:widowControl/>
              <w:jc w:val="left"/>
              <w:textAlignment w:val="center"/>
              <w:rPr>
                <w:rFonts w:hint="eastAsia" w:ascii="仿宋" w:hAnsi="仿宋" w:eastAsia="仿宋" w:cs="仿宋"/>
                <w:sz w:val="24"/>
                <w:szCs w:val="24"/>
              </w:rPr>
            </w:pPr>
            <w:r>
              <w:rPr>
                <w:rStyle w:val="98"/>
                <w:rFonts w:hint="eastAsia" w:ascii="仿宋" w:hAnsi="仿宋" w:eastAsia="仿宋" w:cs="仿宋"/>
                <w:sz w:val="24"/>
                <w:szCs w:val="24"/>
                <w:lang w:bidi="ar"/>
              </w:rPr>
              <w:t>外观：每套信号灯由红、黄、绿三个几何位置分立单元组成；灯体外壳颜色按采购人要求制作，外壳、前盖、色片及密封圈表面平滑,无缺料、开裂、银丝、变形和毛刺等缺陷；表面有牢固的防锈、防腐蚀层。</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外形尺寸及材质：</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（1）灯面直径：φ400mm；</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（2）灯体材质：铝合金压铸灯箱，与信号灯杆连接固定的安装支架是热镀锌钢结构件，热镀锌钢结构件外观颜色与信号灯杆一致；</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发光单元：采用超高亮度发光二极管，红、黄绿LED管各自成4排，LED寿命&gt; 50000 小时；</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显示画面：红满屏、黄满屏、绿满屏；</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工作电压：AC220V±15%、50Hz±2Hz；</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视在功率：每个灯头≤25VA；</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消耗功率：&lt;15W；</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功率因数：红灯≥0.92</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          黄灯≥0.92</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          绿灯≥0.92</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适应温度：-40℃～+75℃；</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适应湿度：≤ 95%；</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单套重量：＜30kg；</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内部电气装置：内部的各种电气装置应布局合理，便于安装维护，内部走线应清晰、整齐，便于零部件的更换；</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外壳防护等级：≥IP53；</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绝缘电阻、介电强度、泄漏电流、耐高温、耐低温、耐湿热、耐盐雾、抗振动等性能应符合要求；</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56</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箭头信号灯</w:t>
            </w:r>
          </w:p>
        </w:tc>
        <w:tc>
          <w:tcPr>
            <w:tcW w:w="6471" w:type="dxa"/>
            <w:noWrap w:val="0"/>
            <w:vAlign w:val="center"/>
          </w:tcPr>
          <w:p>
            <w:pPr>
              <w:widowControl/>
              <w:jc w:val="left"/>
              <w:textAlignment w:val="center"/>
              <w:rPr>
                <w:rFonts w:hint="eastAsia" w:ascii="仿宋" w:hAnsi="仿宋" w:eastAsia="仿宋" w:cs="仿宋"/>
                <w:sz w:val="24"/>
                <w:szCs w:val="24"/>
              </w:rPr>
            </w:pPr>
            <w:r>
              <w:rPr>
                <w:rStyle w:val="98"/>
                <w:rFonts w:hint="eastAsia" w:ascii="仿宋" w:hAnsi="仿宋" w:eastAsia="仿宋" w:cs="仿宋"/>
                <w:sz w:val="24"/>
                <w:szCs w:val="24"/>
                <w:lang w:bidi="ar"/>
              </w:rPr>
              <w:t>外观：每套信号灯由红、黄、绿三个几何位置分立单元组成；灯体外壳颜色按采购人要求制作，外壳、前盖、色片及密封圈表面平滑,无缺料、开裂、银丝、变形和毛刺等缺陷；表面有牢固的防锈、防腐蚀层。</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外形尺寸及材质：</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（1）灯面直径：φ400mm；</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（2）灯体材质：铝合金压铸灯箱，与信号灯杆连接固定的安装支架是热镀锌钢结构件，热镀锌钢结构件外观颜色与信号灯杆一致；</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发光单元：采用超高亮度发光二极管，红、黄绿LED管各自成4排，LED寿命&gt; 50000 小时；</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显示画面：红箭头、黄箭头、绿箭头；</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工作电压：AC220V±15%、50Hz±2Hz；</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消耗功率：≤15W；</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功率因数：红灯≥0.92</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          黄灯≥0.92</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          绿灯≥0.92</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适应温度：-40℃～+75℃；</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适应湿度：≤ 95%；</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单套重量：＜30kg；</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内部电气装置：内部的各种电气装置应布局合理，便于安装维护，内部走线应清晰、整齐，便于零部件的更换；</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外壳防护等级：≥IP53；</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绝缘电阻、介电强度、泄漏电流、耐高温、耐低温、耐湿热、耐盐雾、抗振动等性能应符合GB14887-2011中要求；</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56</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2"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人行信号灯</w:t>
            </w:r>
          </w:p>
        </w:tc>
        <w:tc>
          <w:tcPr>
            <w:tcW w:w="6471" w:type="dxa"/>
            <w:noWrap w:val="0"/>
            <w:vAlign w:val="center"/>
          </w:tcPr>
          <w:p>
            <w:pPr>
              <w:widowControl/>
              <w:jc w:val="left"/>
              <w:textAlignment w:val="center"/>
              <w:rPr>
                <w:rFonts w:hint="eastAsia" w:ascii="仿宋" w:hAnsi="仿宋" w:eastAsia="仿宋" w:cs="仿宋"/>
                <w:sz w:val="24"/>
                <w:szCs w:val="24"/>
              </w:rPr>
            </w:pPr>
            <w:r>
              <w:rPr>
                <w:rStyle w:val="98"/>
                <w:rFonts w:hint="eastAsia" w:ascii="仿宋" w:hAnsi="仿宋" w:eastAsia="仿宋" w:cs="仿宋"/>
                <w:sz w:val="24"/>
                <w:szCs w:val="24"/>
                <w:lang w:bidi="ar"/>
              </w:rPr>
              <w:t>外观：每组信号灯由两个几何位置分立单元组成；灯体外壳颜色按采购人要求制作，外壳、前盖、遮沿、色片及密封圈表面平滑,无缺料、无开裂、无银丝、无明显变型和毛刺等缺陷；</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外形尺寸及材质：</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（1）灯面直径：φ300mm（误差在±2mm）；</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（2）灯体材质：采用一次性铝压铸材料成型，硬度高、耐高温、阻燃并且永不变形；采用硅橡胶双重密封，防水、防尘。</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（3）发光单元：发光单元采用四元素超高亮度具有寿命长、功耗低的发光二极管（LED），发光LED使用寿命大于5万小时。</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发光单元：采用超高亮度发光二极管，LED寿命&gt; 50000 小时；</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显示画面：国标红人、绿人，倒计时数码显示器红数字、绿数字；</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额定功率：单灯头功率≤20W </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额定电压：220VAC ±20%</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工作频率：50HZ±2Hz </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功率因数：&gt;0.9</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 xml:space="preserve">工作环境：－40℃～+80℃ </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电源启动关闭时间：小于100ms</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启动瞬间电流：小于1A</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绝缘电阻：≥500MΩ</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接地电阻：小于0.5Ω</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显示颜色：红、绿</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倒计时工作方式：学习、脉冲、通信（可选）</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内部电气装置：</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（1）内部的各种电气装置应布局合理，便于安装维护，内部走线应清晰、整齐，便于零部件的更换；</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（2）接线端子安装牢固、连接可靠，在进行正常拆、接线操作时不会松动。</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外壳防护等级：≥IP53；</w:t>
            </w:r>
            <w:r>
              <w:rPr>
                <w:rStyle w:val="98"/>
                <w:rFonts w:hint="eastAsia" w:ascii="仿宋" w:hAnsi="仿宋" w:eastAsia="仿宋" w:cs="仿宋"/>
                <w:sz w:val="24"/>
                <w:szCs w:val="24"/>
                <w:lang w:bidi="ar"/>
              </w:rPr>
              <w:br w:type="textWrapping"/>
            </w:r>
            <w:r>
              <w:rPr>
                <w:rStyle w:val="98"/>
                <w:rFonts w:hint="eastAsia" w:ascii="仿宋" w:hAnsi="仿宋" w:eastAsia="仿宋" w:cs="仿宋"/>
                <w:sz w:val="24"/>
                <w:szCs w:val="24"/>
                <w:lang w:bidi="ar"/>
              </w:rPr>
              <w:t>绝缘电阻、介电强度、泄漏电流、耐高温、耐低温、耐湿热、耐盐雾、抗振动等性能符合GB14887-2011中要求；</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12</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调试终端</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支持信号控制方案现场调试，支持安卓系统、蓝牙无线传输功能等</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13</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老旧设备拆除</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包含老旧设备拆除、搬运、线缆标记、分类整理等</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36</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14</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机箱基础</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落地机箱基础：与机箱大小匹配，C25砼，含接地</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15</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设备安装</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交通信号控制机安装，包含机箱安装、设备接线等</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16</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设备调试</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交通信号控制机调试，包含开机调试、单点信号配时方案编制等</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17</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配套辅材</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绝缘胶带、扎带、水晶头等</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18</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系统联调</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联合调试前端设备与后台系统，实现远程管理、特勤任务、协调控制等功能</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37" w:type="dxa"/>
            <w:gridSpan w:val="5"/>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三、会议平台系统建设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3"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19</w:t>
            </w:r>
          </w:p>
        </w:tc>
        <w:tc>
          <w:tcPr>
            <w:tcW w:w="1178" w:type="dxa"/>
            <w:noWrap w:val="0"/>
            <w:vAlign w:val="center"/>
          </w:tcPr>
          <w:p>
            <w:pPr>
              <w:widowControl/>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视频会议设备</w:t>
            </w:r>
          </w:p>
        </w:tc>
        <w:tc>
          <w:tcPr>
            <w:tcW w:w="6471" w:type="dxa"/>
            <w:noWrap w:val="0"/>
            <w:vAlign w:val="center"/>
          </w:tcPr>
          <w:p>
            <w:pPr>
              <w:widowControl/>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 xml:space="preserve"> 尺寸：75英寸； 显示比例：16:09；背光类型：DLED； 分辨率：3840（H）×2160（V）；可视角度：水平 178°，垂直 178°；触摸屏材料：防眩钢化玻璃，表面硬度达莫氏七级； 触摸技术：红外；触摸点数：20点；书写工具：手指 + 智能笔；响应时间：&lt;10ms；触摸精度：1mm</w:t>
            </w:r>
          </w:p>
          <w:p>
            <w:pPr>
              <w:widowControl/>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；摄像头：内置 500 万像素摄像头，最大分辨率 4k@30fps；麦克风：内置 2 阵列，全向拾音器 8 米拾音； 扩音：前置2*15W扬声器；视频输入：HDMI 输入；音频接口：1 路 LINE OUT；USB 接口：USB2.0*1、USB3.0*3</w:t>
            </w:r>
          </w:p>
          <w:p>
            <w:pPr>
              <w:widowControl/>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 网络接口：1路 RJ45 1000M 网口；WIFI 功能：支持 2.4G/5G 双频，支持 802.11 a/b/g/n/ac 无线频段；流畅书写：支持手写和笔写，快速的书写响应速度；手势操作：支持缩放、移动拖拽、漫游等手势操作，及多种擦除方式（点擦、圈擦、手势板擦、一键清屏）；分享及保存：无论设备是否联网均可扫码带走。支持二维码加密功能（提供CNAS相关检测报告）；多通道批注：支持在任意通道任何界面下进行批注；</w:t>
            </w:r>
          </w:p>
          <w:p>
            <w:pPr>
              <w:widowControl/>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无线投屏：支持免驱动投屏，支持无线双流功能，兼容Windows和MAC操作系统，PC可通过无线方式将桌面内容作为双流发送给远端多个远程客户端，视频分辨率为1920*1080；支持移动设备无线投屏功能，兼容Android、IOS手机和Pad，移动设备的投屏内容可作为双流发送给远端多个远程客户端，视频分辨率为1920*1080；支持android 1-9分屏，分屏时支持触控回传。（提供CNAS检测报告）</w:t>
            </w:r>
          </w:p>
          <w:p>
            <w:pPr>
              <w:widowControl/>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轮流传屏：支持同时多个无线传屏器，多画面同时展示；支持投屏内容反向操作；标准兼容：可兼容腾讯会议Rooms、钉钉会议Rooms、华创云会议等视频会议软件；欢迎界面：支持编辑任意欢迎词内容，快速生成欢迎词界面，并可进行签名、书写；一键录屏：一键启动录屏，将图像声音一起保存；罗盘功能：开启罗盘后，两指以上双击唤出罗盘；</w:t>
            </w:r>
          </w:p>
          <w:p>
            <w:pPr>
              <w:widowControl/>
              <w:jc w:val="left"/>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全局罗盘/可拖动/可隐藏，罗盘 功能按键可收缩/可展开，支持返回、首页、批注、电子白板、系统切换、文件管理等功能（提供CNAS检测报告）；</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操作系统：Android 9.0；配置：四核，4G RAM+32GB ROM； 电源：100 V ~ 240 V/AC, 50/60 Hz；. 待机功耗：≤ 0.5W；使用温度：0℃～ 45℃；</w:t>
            </w:r>
            <w:r>
              <w:rPr>
                <w:rFonts w:hint="eastAsia" w:ascii="仿宋" w:hAnsi="仿宋" w:eastAsia="仿宋" w:cs="仿宋"/>
                <w:sz w:val="24"/>
                <w:szCs w:val="24"/>
                <w:lang w:bidi="ar"/>
              </w:rPr>
              <w:br w:type="textWrapping"/>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20</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智能笔</w:t>
            </w:r>
          </w:p>
        </w:tc>
        <w:tc>
          <w:tcPr>
            <w:tcW w:w="6471"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配套智能会议平板使用，采用RF 2.4GHz遥控技术，4个物理按键，支持翻页</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21</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专用无线投屏器</w:t>
            </w:r>
          </w:p>
        </w:tc>
        <w:tc>
          <w:tcPr>
            <w:tcW w:w="6471"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配套智能会议平板使用，支持1个USB2.0接口，支持一键传屏，支持支持触摸回传</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22</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简易移动支架</w:t>
            </w:r>
          </w:p>
        </w:tc>
        <w:tc>
          <w:tcPr>
            <w:tcW w:w="6471"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配套智能会议平板使用，简易移动支架</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37" w:type="dxa"/>
            <w:gridSpan w:val="5"/>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四、移动测速系统建设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1"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23</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900万雷达测速仪</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雷达测速仪 集卡口，超速，欠速抓拍等功能于一体，同时可识别车辆行驶的车道号、车型；</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支持大小车限速、时段限速、车道限速，可变限速等违法抓拍；</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超大容量存储，支持图片、24小时录像或违章短视频存储；</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支持3G/4G传输，三网通用；</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支持GPS/NTP校时和GPS/北斗定位；</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集成8.4寸液晶屏，方便人机交互；</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内置锂电池，待机时间长；</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支持固定和移动安装，场景应用多样化，稽查布控更方便；</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传感器类型及尺寸1英寸 GS-CMOS ，抓拍图片分辨率4096*2160；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监控车道1 ~ 4车道；车辆速度范围（5 ~ 350）km/h；测速精度模拟测速误差范围：（-4~0）km/h；</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现场测速误差范围：＜100km/h； 误差范围：（-4 ~0）km/h；≥100km/h； 误差范围：（-4~0）%；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超速抓拍捕获率≥ 90%；大小车识别率≥ 90%；车道识别率≥ 90%；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存储容量标配500GB，2.5英寸硬盘；</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雷达频率24.150GHz；雷达触发支持；</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卡口抓拍功能支持过车抓拍，1、2张可选；</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支持欠速抓拍功能和超速抓拍功能，1、2、3张可选；</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车牌识别功能白天≥90%；晚上≥80%。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要求提供GA/T 832-2014《道路交通安全违法行为图像取证技术规范》相关的检测报告</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要求测速类设备提供GB/T21255-2007《机动车测速仪》检测报告</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★要求提供质量技术监督局出具的雷达设备计量器具型式批准证书和中国计量科学研究院出具的计量器具型式评价报告</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需提供与金华城市道路一体化平台对接证明并加盖公章</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24</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镜头  </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 xml:space="preserve">中文中性高清1英寸25mm镜头  </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25</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偏振镜</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PL M37*0.5 偏振镜与镜头滤镜尺寸匹配，科看清车内人脸，可添加此设备</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26</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测速仪机箱</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机箱外壳采用双层防爆钢材质。</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机箱内部适用安装大华测速仪使用。</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门柜采用引水槽设计，机箱防水性能强。</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机箱采用防水防尘密封条，机箱铰链采用不锈钢材质，使用寿命长。</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机箱箱体可以360°旋转，内部底座俯仰角度最大10°。功耗：30W（带测速仪）；</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工作温度：﹣40℃～＋70℃；</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工作湿度：20%～90%（无凝结）；</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防护等级：IP55；</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产品尺寸：494mm*480mm*761.5mm（长*宽*高）</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4"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27</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闪光灯</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灯型：氙气灯；</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光源：可见光（波长350-780nm）；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色温：5800 K±200K；</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中心光照度：≤4000Lx；</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触发方式：开关量；</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光斑覆盖范围：1车道；</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补光距离：16m~26m；</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回电时间：＜60ms；</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闪光持续时间：180 μs～500 μs；</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爆闪计数：支持统计爆闪次数和触发次数；</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闪光灯寿命：≥1000万次；</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日夜切换：支持，1~6级灵敏度可设置；</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远程故障显示：支持远程显示补光灯故障、正常状态；</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功耗：＜65J；</w:t>
            </w:r>
            <w:r>
              <w:rPr>
                <w:rFonts w:hint="eastAsia" w:ascii="仿宋" w:hAnsi="仿宋" w:eastAsia="仿宋" w:cs="仿宋"/>
                <w:sz w:val="24"/>
                <w:szCs w:val="24"/>
                <w:lang w:bidi="ar"/>
              </w:rPr>
              <w:br w:type="textWrapping"/>
            </w:r>
            <w:r>
              <w:rPr>
                <w:rFonts w:hint="eastAsia" w:ascii="仿宋" w:hAnsi="仿宋" w:eastAsia="仿宋" w:cs="仿宋"/>
                <w:sz w:val="24"/>
                <w:szCs w:val="24"/>
                <w:lang w:bidi="ar"/>
              </w:rPr>
              <w:t>供电方式：AC220V±10％</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28</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基础</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测速仪基础和闪光灯基础含预埋杆件，和立杆</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29</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安装调试费</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包括设备的安装调试费用等人工服务费</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30</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流量包</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每月提供10G流量</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31</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室外强电线缆</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YJV3*4mm2</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1900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绿化及土路</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含审批、开挖和回填及恢复、清理</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1900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44" w:type="dxa"/>
            <w:shd w:val="clear" w:color="auto" w:fill="auto"/>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33</w:t>
            </w:r>
          </w:p>
        </w:tc>
        <w:tc>
          <w:tcPr>
            <w:tcW w:w="1178" w:type="dxa"/>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PE管</w:t>
            </w:r>
          </w:p>
        </w:tc>
        <w:tc>
          <w:tcPr>
            <w:tcW w:w="6471" w:type="dxa"/>
            <w:shd w:val="clear" w:color="auto" w:fill="FFFFFF"/>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PE管，直径≥50mm，含弯头等辅件，根据现场情况</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1900</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637" w:type="dxa"/>
            <w:gridSpan w:val="5"/>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五、配时优化服务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36</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信号配时工程师</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负责交通信号基础管理工作、外场巡视、指挥中心信号巡查、信号配时方案优化、特殊勤务工作等。</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44"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37</w:t>
            </w:r>
          </w:p>
        </w:tc>
        <w:tc>
          <w:tcPr>
            <w:tcW w:w="1178"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汽车租赁费</w:t>
            </w:r>
          </w:p>
        </w:tc>
        <w:tc>
          <w:tcPr>
            <w:tcW w:w="6471" w:type="dxa"/>
            <w:noWrap w:val="0"/>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lang w:bidi="ar"/>
              </w:rPr>
              <w:t>租赁汽车用于外场巡视，日常维护工作</w:t>
            </w:r>
          </w:p>
        </w:tc>
        <w:tc>
          <w:tcPr>
            <w:tcW w:w="769"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675"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辆/年</w:t>
            </w:r>
          </w:p>
        </w:tc>
      </w:tr>
    </w:tbl>
    <w:p>
      <w:pPr>
        <w:pStyle w:val="2"/>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b/>
          <w:bCs/>
          <w:sz w:val="24"/>
          <w:szCs w:val="24"/>
          <w:lang w:bidi="ar"/>
        </w:rPr>
        <w:t>表四、交通信号控制系统清单</w:t>
      </w:r>
    </w:p>
    <w:tbl>
      <w:tblPr>
        <w:tblStyle w:val="34"/>
        <w:tblW w:w="5157" w:type="pct"/>
        <w:tblInd w:w="0" w:type="dxa"/>
        <w:tblLayout w:type="autofit"/>
        <w:tblCellMar>
          <w:top w:w="0" w:type="dxa"/>
          <w:left w:w="108" w:type="dxa"/>
          <w:bottom w:w="0" w:type="dxa"/>
          <w:right w:w="108" w:type="dxa"/>
        </w:tblCellMar>
      </w:tblPr>
      <w:tblGrid>
        <w:gridCol w:w="552"/>
        <w:gridCol w:w="1116"/>
        <w:gridCol w:w="950"/>
        <w:gridCol w:w="5907"/>
        <w:gridCol w:w="648"/>
        <w:gridCol w:w="697"/>
      </w:tblGrid>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序号</w:t>
            </w:r>
          </w:p>
        </w:tc>
        <w:tc>
          <w:tcPr>
            <w:tcW w:w="565"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子模块</w:t>
            </w:r>
          </w:p>
        </w:tc>
        <w:tc>
          <w:tcPr>
            <w:tcW w:w="48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left"/>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具体功能</w:t>
            </w:r>
          </w:p>
        </w:tc>
        <w:tc>
          <w:tcPr>
            <w:tcW w:w="2992"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hint="eastAsia" w:ascii="仿宋" w:hAnsi="仿宋" w:eastAsia="仿宋" w:cs="仿宋"/>
                <w:b/>
                <w:bCs/>
                <w:sz w:val="24"/>
                <w:szCs w:val="24"/>
                <w:lang w:bidi="ar"/>
              </w:rPr>
            </w:pPr>
            <w:r>
              <w:rPr>
                <w:rFonts w:hint="eastAsia" w:ascii="仿宋" w:hAnsi="仿宋" w:eastAsia="仿宋" w:cs="仿宋"/>
                <w:b/>
                <w:bCs/>
                <w:sz w:val="24"/>
                <w:szCs w:val="24"/>
                <w:lang w:bidi="ar"/>
              </w:rPr>
              <w:t>详细功能</w:t>
            </w:r>
          </w:p>
        </w:tc>
        <w:tc>
          <w:tcPr>
            <w:tcW w:w="328"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数量</w:t>
            </w:r>
          </w:p>
        </w:tc>
        <w:tc>
          <w:tcPr>
            <w:tcW w:w="353"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lang w:bidi="ar"/>
              </w:rPr>
              <w:t>单位</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数据融合服务</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通信服务</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通信服务应支持信号控制系统与信号机之间的数据通信，系统应支持接收信号机实时状态数据，检测数据；信号机应支持接收人工干预指令、系统优化指令、加载调看指令等。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多协议适配服务</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系统应建立统一的控制协议及数据消息传输协议框架，实现对不同厂家信号控制产品按照GA/T 1049.2和GB/T20999协议实现数据双向通讯，也可提出和制定平台地方标准接口。</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数据采集汇聚服务</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通过接入的各类检测设备采集断面流量、排队长度、行程时间、拥堵排满时间等动态交通流数据和与交通信息管理相关的外场设备静态数据，实现对外实时数据应用功能，对内提供数据预处理、数据管理、数据分发与处理等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数据分析服务</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系统应支持多源数据采集汇聚，具备多源数据接入、数据清洗、数据融合、数据管理能力。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控制算法服务</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路网级决策算法</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系统应支持根据路网拓扑和交通需求关联性整个路网会划分多个静态控制子区，从而生成路网级约束条件。</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路径级决策算法</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系统应支持基于各交叉口的交通状态和交叉口间交通关联性，制定需要进行动态协调控制的路径，实现路径协调的周期级优化。</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路口级决策算法</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系统应支持基于路口级控制策略和路口所有流向的交通状态，实时生成路口级约束条件，实现路口相位级优化。</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8</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场景化控制策略</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系统应支持根据不同交通需求特征和放行优先级别，用户可自定义路网级、路径级和路口级控制策略的功能，控制策略的制定流程化且逻辑可编程。</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9</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接口对接服务</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提供信号系统接口对接服务，支持接入交通信号控制系统统一管理，实现不同品牌信号机及信号系统的互联互通。</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10</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信号管理</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信号管理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系统应支持对信号机时钟、相位、阶段、协调方案、日计划、日计划调度表等信号机基础运行参数执行读取和写入操作和各参数导入导出功能，实现信号机参数的远程维护。</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11</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实时监视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系统采用B/S架构，应支持各信号系统接入和基本管理功能，通过各信号控制系统在统一平台展示信号灯态、配时方案可以在平台展示，同时能够接入显示路口的视频。</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12</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协调控制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对多厂家信号系统或设备在统一时钟体系下的协调控制进行配置设计、方案管理、调试下发。在系统上可对协调子区的无电缆协调、系统协调两种控制方式的方案进行配置管理。包括：绿波线路编辑、时段划分、时距图、计算协调阶段差、绿波方案加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13</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特勤任务</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特勤任务功能基于GIS地图，在配置和执行特勤线路时实现空间可视化，与视频系统相结合实现路口视频的动态调看。系统应支持包括：特勤方案编制、任务配置、方案预演、任务审核、任务执行、多线路冲突检测预警等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14</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临时方案</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系统应支持在不影响现有方案的前提下，可实现编辑方案、选择持续时长、锁定/解锁控制、临时方案运行日志记录等功能。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15</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自适应控制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数据采集与分析</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数据采集分析是整个自适应控制的基础，系统应支持通过接入的各类检测设备采集动态交通流数据和与交通信息管理相关的外场设备静态数据，实现对外实时数据应用功能。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16</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信号自适应控制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信号自适应控制功能综合考虑社会车辆的控制效益，结合多元信息采集和分析研判出行规律，以车辆出行占用道路时空资源最低、路网通行需求均衡度最大为目标，实现信号智能控制。</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17</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路口实时监视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系统应支持动态展示当前路口的实时交通状态、相位放行信息和交通流向信息的功能。包括：路口实时交通状态和相位放行信息。</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18</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异常检测处理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系统应支持完备的数据异常检测机制与安全降级功能。根据检测设备数据，检查数据质量，发现数据异常。</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19</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特殊场景控制</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匝道控制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系统应支持匝道控制功能，控制方案配置、控制方案管理等。</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20</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溢出控制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系统应支持溢出控制功能，设置不溢出状态（缓行、拥堵）的配时方案的功能。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21</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可变车道控制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系统应支持可变车道控制功能，可根据车道排队长度自动调整进口车道的车道属性，将相应的标志标牌的指示、信号灯显示联动控制，有效缓解交通压力。</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22</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多模式过街控制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系统应支持对多模式的行人过街路口进行系统管理的功能，多模式过街的系统层面管理功能包括：检测参数及阈值配置、方案管理、时段控制。</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23</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组织管控</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任务编制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系统应支持在GIS上选择管控任务区域内的信号控制机，并设置控制方式（全红/黄闪）的功能。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24</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任务执行</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系统应支持一键下达组织管控任务，并能够在任务结束后恢复的功能。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25</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移动特勤</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用户登录</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系统移动客户端应支持能够以用户名和密码登陆的功能。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26</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方案配置</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系统应支持根据用户在移动客户端的GIS上选择通行路径自动计算优先相位或手动设置通行相位，制定通行方案的功能。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27</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任务编制</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系统应支持在移动客户端发起并批准特勤任务后，平台相应能创建和保障该任务的编制线路。</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28</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任务申请</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系统应支持申请移动特勤任务，并能够对任务进行审核的功能。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29</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任务执行</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系统移动客户端应支持手动或者根据移动终端的GPS数据自动执行已启动的移动特勤任务</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30</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任务监视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系统移动客户端应支持监视已启动的移动特勤任务（GPS链路信息、后台连接信息），并支持连接信息中断自动中断任务的功能。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31</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信号评价诊断</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信号控制效益评价</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系统应具备从路口、路径、路网这三层评价对象进行参数计算分析的能力，应用量化的各个指标分析交通运行效果，实现对信号控制效益的综合评价。</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32</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信号控制问题诊断</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系统应支持信号控制问题诊断功能，包括：交通节点诊断、交通干线诊断等功能。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33</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信号运维监测</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系统应支持对接前端系统，获取联网设备的运行故障信息。提供监测到的故障，并上报系统。</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34</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查询统计</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历史相位查询</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系统应支持以路口名称、日期区间、时段查询两个月期间的路口信号控制机的相位执行信息，以及导出查询结果的功能。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35</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控制方式查询</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系统应支持以路口名称、日期区间、时段查询路口信号控制机的控制方式信息，以及导出查询结果的功能。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36</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联/脱机状态查询</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系统应支持以路口名称、日期区间、时段查询两个月期间的路口信号控制机的联/脱机状态信息，以及导出查询结果的功能。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37</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用户操作日志查询</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系统应支持以路口名称、日期区间、时段查询两个月期间的对路口信号控制机的用户操作信息，以及导出查询结果的功能。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38</w:t>
            </w:r>
          </w:p>
        </w:tc>
        <w:tc>
          <w:tcPr>
            <w:tcW w:w="56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系统管理</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用户管理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系统应支持创建、编辑、删除用户，并为用户分配辖区和角色的功能。</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39</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日志管理</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系统应支持记录路口的运行控制信息，提供用户操作历史信息的日志查询。日志管理中显示了所用用户在系统中的操作记录。</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40</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故障信息监测</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系统应具备实时监测信号控制设备和控制系统的异常情况的功能，并将系统监测结果统一推送给设施设备运维管理进行处理。</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r>
        <w:tblPrEx>
          <w:tblCellMar>
            <w:top w:w="0" w:type="dxa"/>
            <w:left w:w="108" w:type="dxa"/>
            <w:bottom w:w="0" w:type="dxa"/>
            <w:right w:w="108" w:type="dxa"/>
          </w:tblCellMar>
        </w:tblPrEx>
        <w:trPr>
          <w:trHeight w:val="4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41</w:t>
            </w:r>
          </w:p>
        </w:tc>
        <w:tc>
          <w:tcPr>
            <w:tcW w:w="56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应急预案</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hAnsi="仿宋" w:eastAsia="仿宋" w:cs="仿宋"/>
                <w:sz w:val="24"/>
                <w:szCs w:val="24"/>
                <w:lang w:bidi="ar"/>
              </w:rPr>
            </w:pPr>
            <w:r>
              <w:rPr>
                <w:rFonts w:hint="eastAsia" w:ascii="仿宋" w:hAnsi="仿宋" w:eastAsia="仿宋" w:cs="仿宋"/>
                <w:sz w:val="24"/>
                <w:szCs w:val="24"/>
              </w:rPr>
              <w:t>系统应具备系统崩溃（控制发生故障、通信断线等）的紧急预案，一旦出现系统崩溃，为确保路口交通正常运行，系统将控制权限下放至各信号系统或信号机。</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bidi="ar"/>
              </w:rPr>
              <w:t>项</w:t>
            </w:r>
          </w:p>
        </w:tc>
      </w:tr>
    </w:tbl>
    <w:p>
      <w:pPr>
        <w:pStyle w:val="2"/>
        <w:rPr>
          <w:rFonts w:hint="eastAsia"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kern w:val="2"/>
          <w:sz w:val="24"/>
          <w:szCs w:val="24"/>
        </w:rPr>
        <w:t>交通信号控制系统支持武义县公安局全域智能感知体系建设项目交警前端点位建设）的协调式联网交通信号控制机进行无缝对接</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且对接费用由投标人自行承担，提供承诺。</w:t>
      </w:r>
    </w:p>
    <w:p>
      <w:pPr>
        <w:pStyle w:val="2"/>
        <w:rPr>
          <w:rFonts w:hint="eastAsia" w:ascii="仿宋" w:hAnsi="仿宋" w:eastAsia="仿宋" w:cs="仿宋"/>
          <w:sz w:val="24"/>
          <w:szCs w:val="24"/>
        </w:rPr>
      </w:pPr>
      <w:r>
        <w:rPr>
          <w:rFonts w:hint="eastAsia" w:ascii="仿宋" w:hAnsi="仿宋" w:eastAsia="仿宋" w:cs="仿宋"/>
          <w:b/>
          <w:bCs/>
          <w:sz w:val="24"/>
          <w:szCs w:val="24"/>
        </w:rPr>
        <w:t>四、建设具体的要求</w:t>
      </w:r>
    </w:p>
    <w:p>
      <w:pPr>
        <w:pStyle w:val="6"/>
        <w:numPr>
          <w:ilvl w:val="0"/>
          <w:numId w:val="0"/>
        </w:numPr>
        <w:rPr>
          <w:rFonts w:hint="eastAsia" w:ascii="仿宋" w:hAnsi="仿宋" w:eastAsia="仿宋" w:cs="仿宋"/>
          <w:sz w:val="24"/>
          <w:szCs w:val="24"/>
        </w:rPr>
      </w:pPr>
      <w:r>
        <w:rPr>
          <w:rFonts w:hint="eastAsia" w:ascii="仿宋" w:hAnsi="仿宋" w:eastAsia="仿宋" w:cs="仿宋"/>
          <w:sz w:val="24"/>
          <w:szCs w:val="24"/>
        </w:rPr>
        <w:t>1、建设内容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（1）建设一套扁平化指挥系统，用于日常交通指挥等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（2）建设新型交通信号控制系统，用于日常交通信号管理，实现统一信控管理等功能。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对武义县老旧交通信号控制机及系统进行更、联网联控前端交通信号控制机以及后端系统，实现远程管理、协调控制、特勤任务等功能，基于重点管控的路口路段，通过雷视融合微波检测器，实时获取交通流量数据，使交通信号控制系统实现自适应优化。</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（4）提供配时优化服务，实现交通信号优化科学调配，缓解因配时不合理造成的拥堵。</w:t>
      </w:r>
    </w:p>
    <w:p>
      <w:pPr>
        <w:pStyle w:val="6"/>
        <w:numPr>
          <w:ilvl w:val="0"/>
          <w:numId w:val="0"/>
        </w:numPr>
        <w:rPr>
          <w:rFonts w:hint="eastAsia" w:ascii="仿宋" w:hAnsi="仿宋" w:eastAsia="仿宋" w:cs="仿宋"/>
          <w:sz w:val="24"/>
          <w:szCs w:val="24"/>
        </w:rPr>
      </w:pPr>
      <w:r>
        <w:rPr>
          <w:rFonts w:hint="eastAsia" w:ascii="仿宋" w:hAnsi="仿宋" w:eastAsia="仿宋" w:cs="仿宋"/>
          <w:sz w:val="24"/>
          <w:szCs w:val="24"/>
        </w:rPr>
        <w:t>2、设计依据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（1）《中华人民共和国道路交通安全法》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（2）《中华人民共和国道路交通安全法实施条例》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（3）《道路交通信号控制系统术语》（GB/T 31418-2015）</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（4）《道路交通信号控制机》（GB 25280-2016）</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（5）《公安交通集成指挥平台通信协议 第1部分 总则》（GA/T 1049.1-2013）</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（6）《公安交通集成指挥平台通信协议 第2部分 交通信号控制系统》（GA/T 1049.2-2013）</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（7）《交通信号控制机与上位机间的数据通信协议》（GB/T 20999-2017）</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（8）《城市道路交通信号控制方式》（GA/T527）</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（9）《道路交通信号控制机与车辆检测器间的通信协议》（GA/T920-2010）</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（10）《道路交通信号控制机安装规范》（GA/T 489-2016）</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（11）《道路交通信号控制系统通用技术要求》（GB/T 39900-2021）</w:t>
      </w:r>
    </w:p>
    <w:p>
      <w:pPr>
        <w:rPr>
          <w:rFonts w:hint="eastAsia" w:ascii="仿宋" w:hAnsi="仿宋" w:eastAsia="仿宋" w:cs="仿宋"/>
          <w:sz w:val="24"/>
          <w:szCs w:val="24"/>
        </w:rPr>
      </w:pPr>
    </w:p>
    <w:p>
      <w:pPr>
        <w:pStyle w:val="6"/>
        <w:numPr>
          <w:ilvl w:val="0"/>
          <w:numId w:val="0"/>
        </w:numPr>
        <w:rPr>
          <w:rFonts w:hint="eastAsia" w:ascii="仿宋" w:hAnsi="仿宋" w:eastAsia="仿宋" w:cs="仿宋"/>
          <w:sz w:val="24"/>
          <w:szCs w:val="24"/>
        </w:rPr>
      </w:pPr>
      <w:r>
        <w:rPr>
          <w:rFonts w:hint="eastAsia" w:ascii="仿宋" w:hAnsi="仿宋" w:eastAsia="仿宋" w:cs="仿宋"/>
          <w:sz w:val="24"/>
          <w:szCs w:val="24"/>
        </w:rPr>
        <w:t>3、总体要求</w:t>
      </w:r>
    </w:p>
    <w:p>
      <w:pPr>
        <w:pStyle w:val="7"/>
        <w:numPr>
          <w:ilvl w:val="0"/>
          <w:numId w:val="7"/>
        </w:numPr>
        <w:ind w:left="425" w:hanging="425"/>
        <w:rPr>
          <w:rFonts w:hint="eastAsia" w:ascii="仿宋" w:hAnsi="仿宋" w:eastAsia="仿宋" w:cs="仿宋"/>
          <w:sz w:val="24"/>
          <w:szCs w:val="24"/>
        </w:rPr>
      </w:pPr>
      <w:r>
        <w:rPr>
          <w:rFonts w:hint="eastAsia" w:ascii="仿宋" w:hAnsi="仿宋" w:eastAsia="仿宋" w:cs="仿宋"/>
          <w:sz w:val="24"/>
          <w:szCs w:val="24"/>
        </w:rPr>
        <w:t>功能要求</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（1）信号机统一联网控制</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交通信号统一信控平台是为武义交管解决境内不同厂家品牌交通信号机统一管理、联网联控的专业交通控制平台，并提供并建立规范性标准接口。</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（2）数据汇聚</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应支持路口检测设备的数据汇聚，能够实现系统端各类分析数据的汇聚；并能够实现基于各类外场检测设备的数据统一接入、支持互联网数据接入、实现外部厂家信号机控制参数的接入。</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（3）信息研判</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应支持在数据汇聚的基础上，信号机能够进行路口级的交通状态研判、交通事件识别并能够综合分析路口通行能力和通行需求进行控制策略选择，同时能够基于各类传感设备采集的动力环境数据进行控制方式研判、运维信息研判等基本数据。</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（4）优化控制</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应支持基于数据汇聚和信息研判，信号机能够自主实现单点自适应控制功能；系统在既有的控制方式上能够实现复杂场景的信号自适应控制。</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（5）故障处理</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应支持故障处理时信号机和信号控制系统在保证基本道路通行安全前提先能够稳定运行的基础，信号机能够进行运维信息上报，并支持独立黄闪工作；系统能够通过数据综合分析对检测器数据质量进行评价，对控制设备故障进行降级。 </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（6）操作记录及评价</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平台将选取信号控制记录与方案修改记录两项数据作为评估信号优化工作的主要指标，作为本项目信号优化服务的客观记录，以量化人工优化工作。</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（7）信息展示</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系统应支持通过显示屏展示路口信号机实时的信号控制状态、渠化配置等基本信息；信号系统可直观展示当前城市交通运行的整体态势，通过数据的深度挖掘，分析交通运行规律，并进行图形化展示。</w:t>
      </w:r>
    </w:p>
    <w:p>
      <w:pPr>
        <w:pStyle w:val="7"/>
        <w:numPr>
          <w:ilvl w:val="0"/>
          <w:numId w:val="7"/>
        </w:numPr>
        <w:rPr>
          <w:rFonts w:hint="eastAsia" w:ascii="仿宋" w:hAnsi="仿宋" w:eastAsia="仿宋" w:cs="仿宋"/>
          <w:color w:val="auto"/>
          <w:sz w:val="24"/>
          <w:szCs w:val="24"/>
        </w:rPr>
      </w:pPr>
      <w:r>
        <w:rPr>
          <w:rFonts w:hint="eastAsia" w:ascii="仿宋" w:hAnsi="仿宋" w:eastAsia="仿宋" w:cs="仿宋"/>
          <w:color w:val="auto"/>
          <w:sz w:val="24"/>
          <w:szCs w:val="24"/>
        </w:rPr>
        <w:t>接口要求</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系统应用于公安交管系统，针对其业务的特殊性，要求系统安全稳定，因此要求设备及系统应符合相关标准规范要求同时具备稳定安全可靠的要求。</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从整体对外分析，要求信号机及系统应满足《公安交通集成指挥平台通信协议 第1部分 总则》、《公安交通集成指挥平台通信协议 第2部分 交通信号控制系统》、《交通信号控制机与上位机间的数据通信协议》等国家或行业相关标准协议和国际通用协议。</w:t>
      </w:r>
    </w:p>
    <w:p>
      <w:pPr>
        <w:pStyle w:val="7"/>
        <w:numPr>
          <w:ilvl w:val="0"/>
          <w:numId w:val="7"/>
        </w:numPr>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性能要求</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系统应在信号控制和信息服务方面满足最大配时方案数、最大普通时段数、日计划时段数等性能指标，支持7*24小时不间断运行。</w:t>
      </w:r>
    </w:p>
    <w:p>
      <w:pPr>
        <w:pStyle w:val="7"/>
        <w:numPr>
          <w:ilvl w:val="0"/>
          <w:numId w:val="7"/>
        </w:numPr>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安全部署需求</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系统部署时应及时安装杀毒软件，通过打开Windows防火墙、设置复杂密码、设置用户授权访问等方式，保障系统及网络安全。</w:t>
      </w:r>
    </w:p>
    <w:p>
      <w:pPr>
        <w:pStyle w:val="6"/>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4、交通信号控制系统</w:t>
      </w:r>
    </w:p>
    <w:p>
      <w:pPr>
        <w:pStyle w:val="6"/>
        <w:numPr>
          <w:ilvl w:val="0"/>
          <w:numId w:val="8"/>
        </w:numPr>
        <w:spacing w:line="360" w:lineRule="auto"/>
        <w:rPr>
          <w:rFonts w:hint="eastAsia" w:ascii="仿宋" w:hAnsi="仿宋" w:eastAsia="仿宋" w:cs="仿宋"/>
          <w:color w:val="auto"/>
          <w:sz w:val="24"/>
          <w:szCs w:val="24"/>
        </w:rPr>
      </w:pPr>
      <w:bookmarkStart w:id="10" w:name="_Toc88473214"/>
      <w:bookmarkStart w:id="11" w:name="_Toc107418735"/>
      <w:r>
        <w:rPr>
          <w:rFonts w:hint="eastAsia" w:ascii="仿宋" w:hAnsi="仿宋" w:eastAsia="仿宋" w:cs="仿宋"/>
          <w:color w:val="auto"/>
          <w:sz w:val="24"/>
          <w:szCs w:val="24"/>
        </w:rPr>
        <w:t>系统架构</w:t>
      </w:r>
      <w:bookmarkEnd w:id="10"/>
      <w:bookmarkEnd w:id="11"/>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系统应遵循统一的信息安全体系、标准规范体系，采用三层架构进行设计。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（1）设备层应包括信号控制接入设备和交通信息采集设备。其中，信号控制设备的接入包括GA/T1049协议、GB/T20999、以及其他厂家私有协议等实现全市所有信号控制设备的接入管控。</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（2）数据层应包括前端采集数据的接入、清洗、融合分析、数据管理等。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（3）应用层应包括信号的日常管控、信号自适应控制、信号控制的诊断和评价、统一运维等。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（4）为方便用户操作，系统应采用B/S架构。</w:t>
      </w:r>
    </w:p>
    <w:p>
      <w:pPr>
        <w:pStyle w:val="2"/>
        <w:rPr>
          <w:rFonts w:hint="eastAsia" w:ascii="仿宋" w:hAnsi="仿宋" w:eastAsia="仿宋" w:cs="仿宋"/>
          <w:color w:val="auto"/>
          <w:sz w:val="24"/>
          <w:szCs w:val="24"/>
        </w:rPr>
      </w:pPr>
    </w:p>
    <w:p>
      <w:pPr>
        <w:pStyle w:val="6"/>
        <w:numPr>
          <w:ilvl w:val="0"/>
          <w:numId w:val="8"/>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网络架构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交通信号控制系统部署在交警视频专网内，应具备三级网络架构进行设计。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（1）路口控制：应支持接收处理来自车辆检测器的交通流信息，并通过网络设备定时向区域计算机发送；通过网络设备接收处理来自区域服务器的命令，并向区域服务器反馈工作状态和故障信息；</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（2）区域控制：应支持通过网络交换设备与路口控制层及中心控制层保持数据交互，监控受控区域的运行，并对工作状态和故障情况进行监视；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（3）中心控制：应支持监控整个系统的运行；协调区域控制级的运行。</w:t>
      </w:r>
    </w:p>
    <w:p>
      <w:pPr>
        <w:pStyle w:val="6"/>
        <w:numPr>
          <w:ilvl w:val="0"/>
          <w:numId w:val="8"/>
        </w:numPr>
        <w:spacing w:line="360" w:lineRule="auto"/>
        <w:rPr>
          <w:rFonts w:hint="eastAsia" w:ascii="仿宋" w:hAnsi="仿宋" w:eastAsia="仿宋" w:cs="仿宋"/>
          <w:color w:val="auto"/>
          <w:sz w:val="24"/>
          <w:szCs w:val="24"/>
        </w:rPr>
      </w:pPr>
      <w:bookmarkStart w:id="12" w:name="_Toc101539325"/>
      <w:r>
        <w:rPr>
          <w:rFonts w:hint="eastAsia" w:ascii="仿宋" w:hAnsi="仿宋" w:eastAsia="仿宋" w:cs="仿宋"/>
          <w:color w:val="auto"/>
          <w:sz w:val="24"/>
          <w:szCs w:val="24"/>
        </w:rPr>
        <w:t>系统功能</w:t>
      </w:r>
    </w:p>
    <w:bookmarkEnd w:id="12"/>
    <w:p>
      <w:pPr>
        <w:pStyle w:val="7"/>
        <w:numPr>
          <w:ilvl w:val="0"/>
          <w:numId w:val="9"/>
        </w:numPr>
        <w:spacing w:line="360" w:lineRule="auto"/>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路口实时监控</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实现路口交通信号机的状态监测，当路口信号机发生故障或其他脱机状态时，及时报警。同时对路口信号机执行的相位、周期、绿信比、方案等进行监控。当路口的交通流量增多或交通事故时，要求在信号控制系统能够进行对路口信号机控制方案及配时的的远程调控。能够远程实现信号机相位锁定、驻留、跳相、临时调时、黄闪、关灯等操作。</w:t>
      </w:r>
    </w:p>
    <w:p>
      <w:pPr>
        <w:pStyle w:val="7"/>
        <w:numPr>
          <w:ilvl w:val="0"/>
          <w:numId w:val="9"/>
        </w:numPr>
        <w:spacing w:line="360" w:lineRule="auto"/>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多时段特征参数设定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能够实现对路口信号机的配时方案的设置，依照早高峰、晚高峰、平峰、节假日等时段每个路口可以设置多个配时方案，路口信号机在不同时间段调度相应的配时方案执行。</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区域监控</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能够实现对协调子区运行的监控，查看协调子区的公共周期、绿信比、时距图、配时方案等丰富的参数。同时也可以对一些参数进行人工调整并实时下发至信号机执行。</w:t>
      </w:r>
    </w:p>
    <w:p>
      <w:pPr>
        <w:pStyle w:val="2"/>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预案调度</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预案调度需包括区域联控、干线协调、假日方案等功能。区域联控调度需能够对一组信号机进行统一方案调度；干线协调调度需能够对相邻的若干路口通过绿波工具临时生成一条绿波进行控制；假日方案调度需实现假日时期的信号配时方案批量特征参数的自动调度和恢复。</w:t>
      </w:r>
    </w:p>
    <w:p>
      <w:pPr>
        <w:pStyle w:val="3"/>
        <w:numPr>
          <w:ilvl w:val="0"/>
          <w:numId w:val="9"/>
        </w:numPr>
        <w:wordWrap/>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路网模型编辑</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备图形化自定义路口编辑功能，路口模型可自定义，支持十字、T型、父子、匝道、五叉等路口模型，进口角度可设，能够支持10种车道类型，能够对车道数进行设置，能够对可变车道指示牌、待驶区提示屏的状态进行设置调整。</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路口设备管理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能够对路口的信号机、可变车道指示牌、待驶区提示屏、视频检测设备、视频设备等进行管理。并实现不同设备的资源统计功能。</w:t>
      </w:r>
    </w:p>
    <w:p>
      <w:pPr>
        <w:pStyle w:val="2"/>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定时协调方案设定</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能够基于实际信号协调控制的需要，选择需协调控制的路口，进行协调子区的配置，包括子区名称及协调方案配置、协调周期设定、定时协调方案时序及时基设定等。</w:t>
      </w:r>
    </w:p>
    <w:p>
      <w:pPr>
        <w:pStyle w:val="3"/>
        <w:numPr>
          <w:ilvl w:val="0"/>
          <w:numId w:val="9"/>
        </w:numPr>
        <w:wordWrap/>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定时协调子区编辑</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能够实现对定时协调子区运行的信号方案的实时查看、相关调度方案的编辑、修改等。</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故障管理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能够对路口的交通信号机的故障进行监控和管理，当路口信号机出现灯组异常、机柜门异常、时钟偏差等故障时，能够实时报警。</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信号机运行记录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能够记录信号机运行的各种记录包括配时方案、故障记录、参数配置记录等。</w:t>
      </w:r>
    </w:p>
    <w:p>
      <w:pPr>
        <w:pStyle w:val="2"/>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人员操作记录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记录信号控制系统的各级管理员的登陆和操作记录，以便进行事件的溯源。要求系统能够记录一年的日志。</w:t>
      </w:r>
    </w:p>
    <w:p>
      <w:pPr>
        <w:pStyle w:val="3"/>
        <w:numPr>
          <w:ilvl w:val="0"/>
          <w:numId w:val="9"/>
        </w:numPr>
        <w:wordWrap/>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设备故障报警监测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自动对诸如交通信号控制机、电源、通信链路、视频检测器等系统设备和软件的工作状态与故障情况进行全面监测，同时能够显示系统和设备的状态，如设备不能正常工作时，需发出报警或提示。所有故障信息及其它操作错误或事件发生需记录在系统日志中。</w:t>
      </w:r>
    </w:p>
    <w:p>
      <w:pPr>
        <w:pStyle w:val="3"/>
        <w:numPr>
          <w:ilvl w:val="0"/>
          <w:numId w:val="9"/>
        </w:numPr>
        <w:wordWrap/>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软件故障报警监测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能够在中心系统的软件模块发生故障或异常时报警，包括通信、处理、存储、分析等软件模块；报警信息中需包含软件模块信息及故障报警原因的描述。</w:t>
      </w:r>
    </w:p>
    <w:p>
      <w:pPr>
        <w:pStyle w:val="3"/>
        <w:numPr>
          <w:ilvl w:val="0"/>
          <w:numId w:val="9"/>
        </w:numPr>
        <w:wordWrap/>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系统远程维护</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能够在获得用户授权的前提下，通过以太网等远程联网方式与系统维护中心相联，由系统维护中心对本系统进行远程维护和控制。系统能够向交通信号控制机发出远程指令进行硬件测试，交通信号控制机接收到测试命令后将回报硬件状态。</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普通用户管理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普通用户管理需包括用户增删改查、组织机构的管理、授权管理、用户的登录、退出等。</w:t>
      </w:r>
    </w:p>
    <w:p>
      <w:pPr>
        <w:pStyle w:val="2"/>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第三方用户管理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方应用用户管理需能对接入第三方应用用户进行管理、接口管理、路口管理、访问审计，实现对外提供接口的管控，限制非授权用户访问接口，限制授权用户访问权限之外的接口，限制对非授权的资源进行接口调用，另外能够支持各个用户的接口调用进行审计。</w:t>
      </w:r>
    </w:p>
    <w:p>
      <w:pPr>
        <w:pStyle w:val="3"/>
        <w:numPr>
          <w:ilvl w:val="0"/>
          <w:numId w:val="9"/>
        </w:numPr>
        <w:wordWrap/>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系统设置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需支持底层信号机、信号平台或其他设备的驱动查看、安装、更新和卸载功能；需支持上层应用服务的查看、安装、更新和卸载功能；需支持服务器的节点监视、节点运行服务监视、启停操作等功能。</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统一信控驱动服务</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将所需支持的信号机对接，按驱动加载服务的方式，为后续同类型品牌的接入做好规划与准备。</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数据底座运行监测</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过车、排队、密度及速度数据实施监控、接入</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数据底座秩序评价分析</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实现路口安全秩序评价分析</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数据底座事件报警</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路口拥堵识别、溢出识别等功能</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运维管理分析模块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包括信号机运行状态界定，故障原因分析和统计等功能，以后台考察不同品牌设备运行稳定性。</w:t>
      </w:r>
    </w:p>
    <w:p>
      <w:pPr>
        <w:numPr>
          <w:ilvl w:val="0"/>
          <w:numId w:val="9"/>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操作专项分析模块</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支持用户以不同的操作类型，统计信号优化团队内，多个信号优化工程师账号产生的操作记录总和。</w:t>
      </w:r>
    </w:p>
    <w:p>
      <w:pPr>
        <w:pStyle w:val="6"/>
        <w:numPr>
          <w:ilvl w:val="0"/>
          <w:numId w:val="0"/>
        </w:numPr>
        <w:rPr>
          <w:rFonts w:hint="eastAsia" w:ascii="仿宋" w:hAnsi="仿宋" w:eastAsia="仿宋" w:cs="仿宋"/>
          <w:sz w:val="24"/>
          <w:szCs w:val="24"/>
        </w:rPr>
      </w:pPr>
      <w:r>
        <w:rPr>
          <w:rFonts w:hint="eastAsia" w:ascii="仿宋" w:hAnsi="仿宋" w:eastAsia="仿宋" w:cs="仿宋"/>
          <w:sz w:val="24"/>
          <w:szCs w:val="24"/>
        </w:rPr>
        <w:t>5、配时优化服务</w:t>
      </w:r>
    </w:p>
    <w:p>
      <w:pPr>
        <w:pStyle w:val="6"/>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概述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通过信号配时控制优化服务，实现交通信号优化管理流程标准化、实现信号控制方案科学调配、实现绿波控制、实现日常路口管理流程化、规范化等，切实缓解交通拥堵，营造畅通武义。</w:t>
      </w:r>
    </w:p>
    <w:p>
      <w:pPr>
        <w:pStyle w:val="6"/>
        <w:numPr>
          <w:ilvl w:val="0"/>
          <w:numId w:val="10"/>
        </w:numPr>
        <w:spacing w:line="360" w:lineRule="auto"/>
        <w:rPr>
          <w:rFonts w:hint="eastAsia" w:ascii="仿宋" w:hAnsi="仿宋" w:eastAsia="仿宋" w:cs="仿宋"/>
          <w:sz w:val="24"/>
          <w:szCs w:val="24"/>
        </w:rPr>
      </w:pPr>
      <w:r>
        <w:rPr>
          <w:rFonts w:hint="eastAsia" w:ascii="仿宋" w:hAnsi="仿宋" w:eastAsia="仿宋" w:cs="仿宋"/>
          <w:sz w:val="24"/>
          <w:szCs w:val="24"/>
        </w:rPr>
        <w:t>工作内容</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基础管理工作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实现完善交通信号灯基础信息（信息包括交叉口基础信息、信号机信息、检测器、灯具类型、管网等）及运行方案（主要包括信号控制类型、相位、相序、配时方案等），建立档案及软件管理系统，实现电子化、可视化展示、并实时更新。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（1）建立信息采集及维护的业务规范及流程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针对信号控制路口信息发生变化以及新建信号控制路口的，5个工作日之内完成更新及绘制、归档。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集信息：路口渠化信息、路口几何形状及尺寸、信号机、信号灯具、信号灯杆、检查井、交通流量检测器等所有与交通信号有关的设施型号、材质、数量、设置坐标，以及地下管线走向、取电位置，信号机柜内接线图和信号灯配时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（2）根据需要采集的内容，设计灯控路口基础设施信息采集各类调查表格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包括：灯控路口基础信息调查表、灯控路口信号机接线表、灯控路口信号配时方案表等；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（3）信号机接线图和配时方案在机柜内各留存一份，并保证其干净完好；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（4）根据规范要求指导、配合信号控制系统维护单位完成对管网、灯具接线等进行规范整改。</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外场巡视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（1）巡查原则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建立交通信号设施巡查工作流程及其标准，定期（每三个月一次）对所有路口进行巡查。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巡查以路面巡查和内场检查相结合，以路面巡查为主。其中路面巡查主要是定期对辖区路口进行实地调查，及时发现路口存在问题，记录巡查情况；内场检查主要是在控制中心利用系统警告功能和交通监控视频来发现问题路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收集各种渠道反映的信号灯配时相关问题，及时开展调查，并跟踪处置效果。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巡视时间要求：巡视时间包括机动车早高峰、机动车平峰、机动车晚高峰，以及甲方要求的特殊时段的巡视。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对配时调整进行效果检查，提供必要的影像资料。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对发生事故的路口，到现场认真核对，以确保其真实性，并向甲方上报相关信息。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信号灯基础信息、运行方案信息发生变化的，5个工作日之内完成档案及软件管理系统更新。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（2）巡查内容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交通信号配时方案巡查的内容主要包括：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1）收集交通信号控制基础信息，对所采集的数据进行核实确认有无变更；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2）观察灯控路口是否存在设备损坏、缺失等问题；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3）观察灯控路口的配时方案是否合理；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4）配时方案不合理主要体现在一下几个方面，巡查过程中要重点观察：</w:t>
      </w:r>
    </w:p>
    <w:p>
      <w:pPr>
        <w:pStyle w:val="77"/>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存在冲突放行</w:t>
      </w:r>
    </w:p>
    <w:p>
      <w:pPr>
        <w:pStyle w:val="77"/>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相位设置与流向不匹配</w:t>
      </w:r>
    </w:p>
    <w:p>
      <w:pPr>
        <w:pStyle w:val="77"/>
        <w:numPr>
          <w:ilvl w:val="0"/>
          <w:numId w:val="12"/>
        </w:num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相位绿灯时间与流量不匹配</w:t>
      </w:r>
    </w:p>
    <w:p>
      <w:pPr>
        <w:pStyle w:val="77"/>
        <w:numPr>
          <w:ilvl w:val="0"/>
          <w:numId w:val="12"/>
        </w:num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配时方案设置与交通组织不匹配</w:t>
      </w:r>
    </w:p>
    <w:p>
      <w:pPr>
        <w:pStyle w:val="77"/>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存在空放现象</w:t>
      </w:r>
    </w:p>
    <w:p>
      <w:pPr>
        <w:pStyle w:val="77"/>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行人过街时间不足</w:t>
      </w:r>
    </w:p>
    <w:p>
      <w:pPr>
        <w:pStyle w:val="77"/>
        <w:numPr>
          <w:ilvl w:val="0"/>
          <w:numId w:val="12"/>
        </w:numPr>
        <w:spacing w:line="360" w:lineRule="auto"/>
        <w:rPr>
          <w:rFonts w:hint="eastAsia" w:ascii="仿宋" w:hAnsi="仿宋" w:eastAsia="仿宋" w:cs="仿宋"/>
          <w:sz w:val="24"/>
          <w:szCs w:val="24"/>
        </w:rPr>
      </w:pPr>
      <w:r>
        <w:rPr>
          <w:rFonts w:hint="eastAsia" w:ascii="仿宋" w:hAnsi="仿宋" w:eastAsia="仿宋" w:cs="仿宋"/>
          <w:sz w:val="24"/>
          <w:szCs w:val="24"/>
        </w:rPr>
        <w:t>路口清空时间不合理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（3）巡查方案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在实施组织方案科学合理的基础上，根据区域特点及重要性制定相应维护措施，对重点区域及重点时段信号配时维护工作制定针对性维护方案，能够满足系统应用需求，做到了以下几点：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1）日常巡视：对交通信号灯进行巡视工作。对外场设备进行细致认真的巡视工作，并随随时准备着支队及领导下发的调试任务。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2）节假日巡视：针对节假日，安排人员大力巡视对不同节日影响区域进行有针对性的重点巡视：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春节前后：安排人员对车站、商场周边、旅馆等人员密集场所组进行巡视，并随时留意突发情况的发生。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清明节假期：安排人员进行巡视工作，主要巡视墓地园区、商场等人员祭拜密集区域。</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指挥中心信号巡查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指挥中心信号巡查，包含重要警保卫工作和业主有特殊要求的应急备勤工作。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（1）按计划每个月后台巡检1次，负责监测和巡检交通信号后台控制系统的运行状况，及时处置系统软件故障，及时发现系统通讯和外场硬件故障并通知相关维护单位处置，保障系统正常运行；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（2）专人维护后台系统，按照要求提取、收集、汇总和发送相关数据；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（3）配合外场信号灯建设单位，完成信号灯外场设备与后台系统的接驳；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（4）完成特勤任务、大型活动和应急处突等信号控制方案的制作、下发、后台（外场）操控。</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信号配时方案优化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交通信号灯配时方案定期巡查；信号灯日常方案优化调整，包括：单点调优、绿波调优等。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（1）交通信号灯运行巡查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建立交通信号设施巡查工作流程及其标准，对配时调整效果进行检查、分析。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复核、更新信号控制档案。依据路口基础信息（渠化设计图），现场核查渠化状况，及时更新基础信息数据。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对信号灯应用类问题和交通信号智能化控制点位进行摸排并给出整改建议。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区域内信号控制点位通讯故障巡检维护。维护人员及时发现通讯故障清单并统计，故障信息下发至信号控制系统维护单位。信号控制系统维护单位人员按要求时限及时赶赴现场，排查故障原因，采取有效措施解决故障。如需其他相关单位配合实施，报请组织协调后共同实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（2）交通信号配时方案设置、优化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通过现场巡查、系统巡查、视频巡查等方式，及时发现、处置信号灯配时不合理、信号灯设置与交通标志标线矛盾等问题，提出优化方案，优化、调整信号配时方案，并对优化效果进行跟踪：</w:t>
      </w:r>
    </w:p>
    <w:p>
      <w:pPr>
        <w:pStyle w:val="77"/>
        <w:spacing w:line="360" w:lineRule="auto"/>
        <w:ind w:left="480"/>
        <w:rPr>
          <w:rFonts w:hint="eastAsia" w:ascii="仿宋" w:hAnsi="仿宋" w:eastAsia="仿宋" w:cs="仿宋"/>
          <w:sz w:val="24"/>
          <w:szCs w:val="24"/>
          <w:lang w:eastAsia="zh-CN"/>
        </w:rPr>
      </w:pPr>
      <w:r>
        <w:rPr>
          <w:rFonts w:hint="eastAsia" w:ascii="仿宋" w:hAnsi="仿宋" w:eastAsia="仿宋" w:cs="仿宋"/>
          <w:sz w:val="24"/>
          <w:szCs w:val="24"/>
          <w:lang w:eastAsia="zh-CN"/>
        </w:rPr>
        <w:t>根据不同时段道路交通状况，合理设置信号灯配时方案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原则上按照以下时段划分：全年按照不同交通季节、节假日、工作日，一天内按照早高峰、白天平峰、晚高峰、夜间平峰、凌晨时段。</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路口信号控制方案设计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对新建或改建路口（信号灯具及接线发生变化）进行信号控制方案设计。包括：信号控制方案的时段划分、相位、阶段，各相位或阶段的时间及间隔时间，干线协调方式设计及相位差等主要参数设置。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提交路口配时信息调查表、路口信号配时方案表、路口信号控制表和路口设计报告，设计报告内容包括问题来源，实地观测数据分析，配时设计方案，效果预测及观测结果。</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问题路口控制方案优化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对日常巡查发现（现场巡查、系统巡查、视频巡查等）的问题，安排专人及时跟进，调查实际情况，优化控制方案，跟踪优化效果。</w:t>
      </w:r>
    </w:p>
    <w:p>
      <w:pPr>
        <w:pStyle w:val="77"/>
        <w:spacing w:line="360" w:lineRule="auto"/>
        <w:ind w:left="480"/>
        <w:rPr>
          <w:rFonts w:hint="eastAsia" w:ascii="仿宋" w:hAnsi="仿宋" w:eastAsia="仿宋" w:cs="仿宋"/>
          <w:sz w:val="24"/>
          <w:szCs w:val="24"/>
          <w:lang w:eastAsia="zh-CN"/>
        </w:rPr>
      </w:pPr>
      <w:r>
        <w:rPr>
          <w:rFonts w:hint="eastAsia" w:ascii="仿宋" w:hAnsi="仿宋" w:eastAsia="仿宋" w:cs="仿宋"/>
          <w:sz w:val="24"/>
          <w:szCs w:val="24"/>
          <w:lang w:eastAsia="zh-CN"/>
        </w:rPr>
        <w:t>重点路口控制方案优化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调查重点路口交通运行参数及控制方案。调查内容包括：路口渠化，路口通行能力，交通流量、流向变化情况，车辆排队及延误，信号配时方案详细参数等。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优化控制方案。在路口调查基础上，分析路口存在问题以及可提升空间，制定并实施优化方案，确保配时与现实交通流相匹配。</w:t>
      </w:r>
    </w:p>
    <w:p>
      <w:pPr>
        <w:pStyle w:val="77"/>
        <w:spacing w:line="360" w:lineRule="auto"/>
        <w:ind w:left="480"/>
        <w:rPr>
          <w:rFonts w:hint="eastAsia" w:ascii="仿宋" w:hAnsi="仿宋" w:eastAsia="仿宋" w:cs="仿宋"/>
          <w:sz w:val="24"/>
          <w:szCs w:val="24"/>
          <w:lang w:eastAsia="zh-CN"/>
        </w:rPr>
      </w:pPr>
      <w:r>
        <w:rPr>
          <w:rFonts w:hint="eastAsia" w:ascii="仿宋" w:hAnsi="仿宋" w:eastAsia="仿宋" w:cs="仿宋"/>
          <w:sz w:val="24"/>
          <w:szCs w:val="24"/>
          <w:lang w:eastAsia="zh-CN"/>
        </w:rPr>
        <w:t>重点路段协调设计与方案优化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满足条件的联网协调路段，运用绿波带计算工具辅助绿波带方案设计；路段协调控制情况及参数调查；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优化效果采取直观与数据分析结合方式进行，同时通过优化，建立绿波带信号优化评价方法与规范流程。</w:t>
      </w:r>
    </w:p>
    <w:p>
      <w:pPr>
        <w:pStyle w:val="7"/>
        <w:numPr>
          <w:ilvl w:val="0"/>
          <w:numId w:val="0"/>
        </w:numPr>
        <w:spacing w:line="360" w:lineRule="auto"/>
        <w:ind w:left="210"/>
        <w:rPr>
          <w:rFonts w:hint="eastAsia" w:ascii="仿宋" w:hAnsi="仿宋" w:eastAsia="仿宋" w:cs="仿宋"/>
          <w:sz w:val="24"/>
          <w:szCs w:val="24"/>
        </w:rPr>
      </w:pPr>
      <w:r>
        <w:rPr>
          <w:rFonts w:hint="eastAsia" w:ascii="仿宋" w:hAnsi="仿宋" w:eastAsia="仿宋" w:cs="仿宋"/>
          <w:sz w:val="24"/>
          <w:szCs w:val="24"/>
        </w:rPr>
        <w:t>特殊勤务工作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特殊控制；市区两级重大活动等特殊日期重点巡视、工作响应；配合制定重大活动交通组织方案及应急预案的信号灯配时方案；其他重大专项活动保障。</w:t>
      </w:r>
    </w:p>
    <w:p>
      <w:pPr>
        <w:pStyle w:val="7"/>
        <w:numPr>
          <w:ilvl w:val="0"/>
          <w:numId w:val="0"/>
        </w:numPr>
        <w:spacing w:line="360" w:lineRule="auto"/>
        <w:ind w:left="210"/>
        <w:rPr>
          <w:rFonts w:hint="eastAsia" w:ascii="仿宋" w:hAnsi="仿宋" w:eastAsia="仿宋" w:cs="仿宋"/>
          <w:sz w:val="24"/>
          <w:szCs w:val="24"/>
        </w:rPr>
      </w:pPr>
      <w:r>
        <w:rPr>
          <w:rFonts w:hint="eastAsia" w:ascii="仿宋" w:hAnsi="仿宋" w:eastAsia="仿宋" w:cs="仿宋"/>
          <w:sz w:val="24"/>
          <w:szCs w:val="24"/>
        </w:rPr>
        <w:t>其它</w:t>
      </w:r>
    </w:p>
    <w:p>
      <w:pPr>
        <w:pStyle w:val="7"/>
        <w:numPr>
          <w:ilvl w:val="0"/>
          <w:numId w:val="11"/>
        </w:numPr>
        <w:spacing w:line="360" w:lineRule="auto"/>
        <w:rPr>
          <w:rFonts w:hint="eastAsia" w:ascii="仿宋" w:hAnsi="仿宋" w:eastAsia="仿宋" w:cs="仿宋"/>
          <w:sz w:val="24"/>
          <w:szCs w:val="24"/>
        </w:rPr>
      </w:pPr>
      <w:r>
        <w:rPr>
          <w:rFonts w:hint="eastAsia" w:ascii="仿宋" w:hAnsi="仿宋" w:eastAsia="仿宋" w:cs="仿宋"/>
          <w:sz w:val="24"/>
          <w:szCs w:val="24"/>
        </w:rPr>
        <w:t>大队要求完成的其它相关工作。</w:t>
      </w:r>
    </w:p>
    <w:p>
      <w:pPr>
        <w:pStyle w:val="5"/>
        <w:spacing w:line="360" w:lineRule="auto"/>
        <w:rPr>
          <w:rFonts w:hint="eastAsia" w:ascii="仿宋" w:hAnsi="仿宋" w:eastAsia="仿宋" w:cs="仿宋"/>
          <w:sz w:val="24"/>
          <w:szCs w:val="24"/>
        </w:rPr>
      </w:pPr>
      <w:r>
        <w:rPr>
          <w:rFonts w:hint="eastAsia" w:ascii="仿宋" w:hAnsi="仿宋" w:eastAsia="仿宋" w:cs="仿宋"/>
          <w:sz w:val="24"/>
          <w:szCs w:val="24"/>
        </w:rPr>
        <w:t>5、主要设备技术要求</w:t>
      </w:r>
    </w:p>
    <w:p>
      <w:pPr>
        <w:pStyle w:val="6"/>
        <w:numPr>
          <w:ilvl w:val="0"/>
          <w:numId w:val="13"/>
        </w:numPr>
        <w:spacing w:line="360" w:lineRule="auto"/>
        <w:rPr>
          <w:rFonts w:hint="eastAsia" w:ascii="仿宋" w:hAnsi="仿宋" w:eastAsia="仿宋" w:cs="仿宋"/>
          <w:sz w:val="24"/>
          <w:szCs w:val="24"/>
        </w:rPr>
      </w:pPr>
      <w:bookmarkStart w:id="13" w:name="_Toc107418764"/>
      <w:r>
        <w:rPr>
          <w:rFonts w:hint="eastAsia" w:ascii="仿宋" w:hAnsi="仿宋" w:eastAsia="仿宋" w:cs="仿宋"/>
          <w:sz w:val="24"/>
          <w:szCs w:val="24"/>
        </w:rPr>
        <w:t>交通信号控制机</w:t>
      </w:r>
      <w:bookmarkEnd w:id="13"/>
      <w:r>
        <w:rPr>
          <w:rFonts w:hint="eastAsia" w:ascii="仿宋" w:hAnsi="仿宋" w:eastAsia="仿宋" w:cs="仿宋"/>
          <w:sz w:val="24"/>
          <w:szCs w:val="24"/>
        </w:rPr>
        <w:t>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（1）所投交通信号控制机，截至招标公告发布日止，应是已取得检测依据为：《道路交通信号控制机》（GB25280-2016）的C类信号机。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（2）交通信号机控制软件应符合国家标准 GB/T 20999-2017《交通信号控制机与上位机间的数据通信协议》通讯协议的体系结构。</w:t>
      </w:r>
    </w:p>
    <w:p>
      <w:pPr>
        <w:pStyle w:val="7"/>
        <w:numPr>
          <w:ilvl w:val="0"/>
          <w:numId w:val="0"/>
        </w:numPr>
        <w:spacing w:line="360" w:lineRule="auto"/>
        <w:ind w:left="210"/>
        <w:rPr>
          <w:rFonts w:hint="eastAsia" w:ascii="仿宋" w:hAnsi="仿宋" w:eastAsia="仿宋" w:cs="仿宋"/>
          <w:sz w:val="24"/>
          <w:szCs w:val="24"/>
        </w:rPr>
      </w:pPr>
      <w:bookmarkStart w:id="14" w:name="_Toc107418765"/>
      <w:r>
        <w:rPr>
          <w:rFonts w:hint="eastAsia" w:ascii="仿宋" w:hAnsi="仿宋" w:eastAsia="仿宋" w:cs="仿宋"/>
          <w:sz w:val="24"/>
          <w:szCs w:val="24"/>
        </w:rPr>
        <w:t>性能要求</w:t>
      </w:r>
      <w:bookmarkEnd w:id="14"/>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（1）采用电磁兼容性设计技术，具有良好的防电网浪涌、防雷击措施，具有漏电保护功能；整机全模块化（插件单元）设计，系统的硬件配置可作弹性调整，机器维修能简化为功能模块现场快速代换。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（2）可实现不少于32 相位控制，不少于48 路灯控输出，可扩充至不少于</w:t>
      </w:r>
      <w:r>
        <w:rPr>
          <w:rFonts w:hint="eastAsia" w:ascii="仿宋" w:hAnsi="仿宋" w:eastAsia="仿宋" w:cs="仿宋"/>
          <w:color w:val="4472C4"/>
          <w:sz w:val="24"/>
          <w:szCs w:val="24"/>
        </w:rPr>
        <w:t>72</w:t>
      </w:r>
      <w:r>
        <w:rPr>
          <w:rFonts w:hint="eastAsia" w:ascii="仿宋" w:hAnsi="仿宋" w:eastAsia="仿宋" w:cs="仿宋"/>
          <w:sz w:val="24"/>
          <w:szCs w:val="24"/>
        </w:rPr>
        <w:t>路灯控输出；不低于4 路行人按钮接入。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（3）可接入不少于32路检测器设备，支持环型线圈、地磁、微波、视频等车辆检测器。支持行人过街按钮接入。具有与公交及特种车辆检测器连接的接口。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（4）可接入不少于4路三色倒计时显示器，并可扩充至不少于16 路，支持倒9秒显示。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（5）支持至少48个时段配时设置（例如：节假日、星期）、支持不少于20种配时方案。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（6）信号控制机配置1块主控板，最大可配置不少于2块检测板，最大可配置不少于6块输出控制板。</w:t>
      </w:r>
    </w:p>
    <w:p>
      <w:pPr>
        <w:spacing w:line="360" w:lineRule="auto"/>
        <w:ind w:firstLine="480" w:firstLineChars="200"/>
        <w:rPr>
          <w:rFonts w:hint="eastAsia" w:ascii="仿宋" w:hAnsi="仿宋" w:eastAsia="仿宋" w:cs="仿宋"/>
          <w:b w:val="0"/>
          <w:bCs w:val="0"/>
          <w:color w:val="000000"/>
          <w:sz w:val="24"/>
          <w:szCs w:val="24"/>
        </w:rPr>
      </w:pPr>
      <w:r>
        <w:rPr>
          <w:rFonts w:hint="eastAsia" w:ascii="仿宋" w:hAnsi="仿宋" w:eastAsia="仿宋" w:cs="仿宋"/>
          <w:sz w:val="24"/>
          <w:szCs w:val="24"/>
        </w:rPr>
        <w:t>（7）通信接口丰</w:t>
      </w:r>
      <w:r>
        <w:rPr>
          <w:rFonts w:hint="eastAsia" w:ascii="仿宋" w:hAnsi="仿宋" w:eastAsia="仿宋" w:cs="仿宋"/>
          <w:b w:val="0"/>
          <w:bCs w:val="0"/>
          <w:color w:val="000000"/>
          <w:sz w:val="24"/>
          <w:szCs w:val="24"/>
        </w:rPr>
        <w:t>富，提供一个RS232,一个RS485,一个USB口，用于通讯测试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（8）具有漏电检测单元，当检测到漏电时，自动断点保护。</w:t>
      </w:r>
    </w:p>
    <w:p>
      <w:pPr>
        <w:pStyle w:val="7"/>
        <w:numPr>
          <w:ilvl w:val="0"/>
          <w:numId w:val="0"/>
        </w:numPr>
        <w:spacing w:line="360" w:lineRule="auto"/>
        <w:ind w:left="210"/>
        <w:rPr>
          <w:rFonts w:hint="eastAsia" w:ascii="仿宋" w:hAnsi="仿宋" w:eastAsia="仿宋" w:cs="仿宋"/>
          <w:sz w:val="24"/>
          <w:szCs w:val="24"/>
        </w:rPr>
      </w:pPr>
      <w:bookmarkStart w:id="15" w:name="_Toc107418766"/>
    </w:p>
    <w:p>
      <w:pPr>
        <w:pStyle w:val="7"/>
        <w:numPr>
          <w:ilvl w:val="0"/>
          <w:numId w:val="0"/>
        </w:numPr>
        <w:spacing w:line="360" w:lineRule="auto"/>
        <w:ind w:left="210"/>
        <w:rPr>
          <w:rFonts w:hint="eastAsia" w:ascii="仿宋" w:hAnsi="仿宋" w:eastAsia="仿宋" w:cs="仿宋"/>
          <w:color w:val="auto"/>
          <w:sz w:val="24"/>
          <w:szCs w:val="24"/>
        </w:rPr>
      </w:pPr>
      <w:r>
        <w:rPr>
          <w:rFonts w:hint="eastAsia" w:ascii="仿宋" w:hAnsi="仿宋" w:eastAsia="仿宋" w:cs="仿宋"/>
          <w:color w:val="auto"/>
          <w:sz w:val="24"/>
          <w:szCs w:val="24"/>
        </w:rPr>
        <w:t>功能要求</w:t>
      </w:r>
      <w:bookmarkEnd w:id="15"/>
    </w:p>
    <w:p>
      <w:pPr>
        <w:numPr>
          <w:ilvl w:val="0"/>
          <w:numId w:val="14"/>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支持单点控制，手动控制，系统平台控制。</w:t>
      </w:r>
    </w:p>
    <w:p>
      <w:pPr>
        <w:numPr>
          <w:ilvl w:val="0"/>
          <w:numId w:val="14"/>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具备掉电数据保护功能:交通信号控制机可支持掉电后工作参数和时钟不丢失，且运行状态信息和故障信息保持不丢失。</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（3）图形化配置功能：信号机配置软件应能采用中文图形化配置路口渠化、检测器、信号灯连接关系、配时方案与时段信息。</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（4）检测数据上传功能：具备通过检测器方式采集交通数据并上传中心。</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相位接管功能：当交通信号控制机的主控单元发生故障时，交通信号控制机可继续执行当前的工作方式，路口放行状态不受影响；主控单元发生故障的情况下，若遇灯组故障，立即转为黄闪控制方式；当主控单元故障排除后，自动恢复自主控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拥堵控制功能：当通行车道缓行时，信号机能根据信号控制系统指令，减小上游路口绿灯放行时间，增加下游路口绿灯放行时间。当通行车道拥堵时，信号机能根据信号控制系统指令，截止上游路口当前绿灯放行时间，转为红灯信号控制，下游路口能继续增加绿灯放行时间。当通行车道机动车排队消散后，路口控制状态自动恢复正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（7）具备故障及事件采集、记录、存储功能。</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（8）运维功能：具备升级功能，支持远程、本地等多种升级方式。能够记录详细操作步骤及内容，本地可保存3个月以上。</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（9）在进行网络通信时，应能对网络数据异常“网络风暴”进行防护，并能正常运行。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（13）信号机与雷达视频检测器、微波交通流检测器等通讯可直接用于参数计算做信号自适应。</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（11）交通流参数采集功能：信号控制机的控制板支持直接采集微波/超声波、线圈、地磁、雷达等开关量检测数据；信号控制机也可采集行人过街按钮等数据。</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信号机与交通检测设备连接后，信号机可根据交通检测设备采集的实时数据进入全感应控制方式，实现相位请求、相位扩展，也可根据采集的实时数据进入协同感应控制方式，实现相位阶段请求、方案运行；系统支持自适应控制模式，可根据信号机的上传数据对交通信号进行调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（13）配时方案、相位差可设置三位数。</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（14）工作方式变化时，红绿灯信号自动平滑过渡。</w:t>
      </w:r>
    </w:p>
    <w:p>
      <w:pPr>
        <w:pStyle w:val="7"/>
        <w:numPr>
          <w:ilvl w:val="0"/>
          <w:numId w:val="0"/>
        </w:numPr>
        <w:spacing w:line="360" w:lineRule="auto"/>
        <w:ind w:left="210"/>
        <w:rPr>
          <w:rFonts w:hint="eastAsia" w:ascii="仿宋" w:hAnsi="仿宋" w:eastAsia="仿宋" w:cs="仿宋"/>
          <w:color w:val="auto"/>
          <w:sz w:val="24"/>
          <w:szCs w:val="24"/>
        </w:rPr>
      </w:pPr>
      <w:bookmarkStart w:id="16" w:name="_Toc107418767"/>
      <w:r>
        <w:rPr>
          <w:rFonts w:hint="eastAsia" w:ascii="仿宋" w:hAnsi="仿宋" w:eastAsia="仿宋" w:cs="仿宋"/>
          <w:color w:val="auto"/>
          <w:sz w:val="24"/>
          <w:szCs w:val="24"/>
        </w:rPr>
        <w:t>电气环境要求</w:t>
      </w:r>
      <w:bookmarkEnd w:id="16"/>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（1）电源适应性：电源电压在AC220V±44V、频率在50Hz±2Hz范围内变化时，信号机应能正常工作。</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（2）工作温度: -40℃～+70℃。</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（3）工作相对湿度：≤95%。</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（4）绝缘电阻：≥500MΩ。</w:t>
      </w:r>
    </w:p>
    <w:p>
      <w:pPr>
        <w:pStyle w:val="6"/>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智能机柜技术要求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号机机柜内、外表面及控制面板应光洁、平整，不应有凹痕、划伤、裂缝、变形等缺陷。机柜表面应有牢固的防锈、防腐蚀镀层或漆层，金属零件不应有锈蚀及其他机械损伤，各滑动或转动部件活动应灵活，紧固部件不松动，机柜的外部表面不应有可能导致伤害的尖锐的突起或拐角。</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信号机机柜内侧应设有存放用户手册、说明书、接线图、维修记录等资料的存储盒。</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预留照明灯接口，具备夜间开门照明功能；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柜门状态实时检测，支持拍照存储并上传的功能；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支持智能冷却功能，温度达到阈值时，风扇自动开启进行降温；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柜内环境参数实时监测上报，支持入侵时告警。</w:t>
      </w:r>
    </w:p>
    <w:p>
      <w:pPr>
        <w:pStyle w:val="6"/>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满屏信号灯技术要求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外观：每套信号灯由红、黄、绿三个几何位置分立单元组成；灯体外壳颜色按采购人要求制作，外壳、前盖、色片及密封圈表面平滑,无缺料、开裂、银丝、变形和毛刺等缺陷；表面有牢固的防锈、防腐蚀层。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外形尺寸及材质：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（1）灯面直径：φ400mm；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（2）灯体材质：铝合金压铸灯箱，与信号灯杆连接固定的安装支架是热镀锌钢结构件，热镀锌钢结构件外观颜色与信号灯杆一致；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发光单元：采用超高亮度发光二极管，红、黄绿LED管各自成4排，LED寿命&gt; 50000 小时；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显示画面：红满屏、黄满屏、绿满屏；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工作电压：AC220V±15%、50Hz±2Hz；</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视在功率：每个灯头≤25VA；</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消耗功率：&lt;15W；</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功率因数：红灯≥0.92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黄灯≥0.92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绿灯≥0.92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适应温度：-40℃～+75℃；</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适应湿度：≤ 95%；</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单套重量：＜30kg；</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内部电气装置：内部的各种电气装置应布局合理，便于安装维护，内部走线应清晰、整齐，便于零部件的更换；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外壳防护等级：≥IP53；</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绝缘电阻、介电强度、泄漏电流、耐高温、耐低温、耐湿热、耐盐雾、抗振动等性能应符合要求；</w:t>
      </w:r>
    </w:p>
    <w:p>
      <w:pPr>
        <w:pStyle w:val="6"/>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箭头信号灯技术要求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外观：每套信号灯由红、黄、绿三个几何位置分立单元组成；灯体外壳颜色按采购人要求制作，外壳、前盖、色片及密封圈表面平滑,无缺料、开裂、银丝、变形和毛刺等缺陷；表面有牢固的防锈、防腐蚀层。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外形尺寸及材质：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（1）灯面直径：φ400mm；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（2）灯体材质：铝合金压铸灯箱，与信号灯杆连接固定的安装支架是热镀锌钢结构件，热镀锌钢结构件外观颜色与信号灯杆一致；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发光单元：采用超高亮度发光二极管，红、黄绿LED管各自成4排，LED寿命&gt; 50000 小时；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显示画面：红箭头、黄箭头、绿箭头；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工作电压：AC220V±15%、50Hz±2Hz；</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消耗功率：≤15W；</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功率因数：红灯≥0.92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黄灯≥0.92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绿灯≥0.92</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适应温度：-40℃～+75℃；</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适应湿度：≤ 95%；</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单套重量：＜30kg；</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内部电气装置：内部的各种电气装置应布局合理，便于安装维护，内部走线应清晰、整齐，便于零部件的更换；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外壳防护等级：≥IP53；</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绝缘电阻、介电强度、泄漏电流、耐高温、耐低温、耐湿热、耐盐雾、抗振动等性能应符合GB14887-2011中要求；</w:t>
      </w:r>
    </w:p>
    <w:p>
      <w:pPr>
        <w:pStyle w:val="6"/>
        <w:numPr>
          <w:ilvl w:val="0"/>
          <w:numId w:val="13"/>
        </w:numPr>
        <w:spacing w:line="360" w:lineRule="auto"/>
        <w:rPr>
          <w:rFonts w:hint="eastAsia" w:ascii="仿宋" w:hAnsi="仿宋" w:eastAsia="仿宋" w:cs="仿宋"/>
          <w:sz w:val="24"/>
          <w:szCs w:val="24"/>
        </w:rPr>
      </w:pPr>
      <w:r>
        <w:rPr>
          <w:rFonts w:hint="eastAsia" w:ascii="仿宋" w:hAnsi="仿宋" w:eastAsia="仿宋" w:cs="仿宋"/>
          <w:sz w:val="24"/>
          <w:szCs w:val="24"/>
        </w:rPr>
        <w:t>人行信号灯技术要求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外观：每组信号灯由两个几何位置分立单元组成；灯体外壳颜色按采购人要求制作，外壳、前盖、遮沿、色片及密封圈表面平滑,无缺料、无开裂、无银丝、无明显变型和毛刺等缺陷；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外形尺寸及材质：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（1）灯面直径：φ300mm（误差在±2mm）；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（2）灯体材质：采用一次性铝压铸材料成型，硬度高、耐高温、阻燃并且永不变形；采用硅橡胶双重密封，防水、防尘。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（3）发光单元：发光单元采用四元素超高亮度具有寿命长、功耗低的发光二极管（LED），发光LED使用寿命大于5万小时。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发光单元：采用超高亮度发光二极管，LED寿命&gt; 50000 小时；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显示画面：国标红人、绿人，倒计时数码显示器红数字、绿数字；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额定功率：单灯头功率≤20W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额定电压：220VAC ±20%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工作频率：50HZ±2Hz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功率因数：&gt;0.9</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工作环境：－40℃～+80℃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电源启动关闭时间：小于100ms</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启动瞬间电流：小于1A</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绝缘电阻：≥500MΩ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接地电阻：小于0.5Ω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显示颜色：红、绿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倒计时工作方式：学习、脉冲、通信（可选）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内部电气装置：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（1）内部的各种电气装置应布局合理，便于安装维护，内部走线应清晰、整齐，便于零部件的更换；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（2）接线端子安装牢固、连接可靠，在进行正常拆、接线操作时不会松动。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外壳防护等级：≥IP53；</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绝缘电阻、介电强度、泄漏电流、耐高温、耐低温、耐湿热、耐盐雾、抗振动等性能符合GB14887-2011</w:t>
      </w:r>
    </w:p>
    <w:p>
      <w:pPr>
        <w:spacing w:line="360" w:lineRule="auto"/>
        <w:rPr>
          <w:rFonts w:hint="eastAsia" w:ascii="仿宋" w:hAnsi="仿宋" w:eastAsia="仿宋" w:cs="仿宋"/>
          <w:b/>
          <w:bCs/>
          <w:sz w:val="24"/>
          <w:szCs w:val="24"/>
        </w:rPr>
      </w:pPr>
    </w:p>
    <w:p>
      <w:pPr>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、防护、包装、运输</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产品内外表面应洁净。供应商在投标中须提供产品的具体防护措施供采购人认可，并对此工作负责。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所有产品应合理、有效包装，以使其有效防止各种损坏，如受潮、受热、剥落、腐蚀、变形等。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包装箱（盒）应适合于储存，储存年限应在包装上予以说明。产品的包装费应包含在供货总价中，这些包装材料应属于</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包装箱中，应附有产品合格证书、产品说明书、装箱单、易损件备件及专用工具清单，一整套完整的经批准的技术文件等资料。包装箱外面应注明数量、产品名称、编号、起吊位置、警示标志、外形尺寸、毛重等。所有文字应为中文或中、英文两种，以中文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中标供应商</w:t>
      </w:r>
      <w:r>
        <w:rPr>
          <w:rFonts w:hint="eastAsia" w:ascii="仿宋" w:hAnsi="仿宋" w:eastAsia="仿宋" w:cs="仿宋"/>
          <w:sz w:val="24"/>
          <w:szCs w:val="24"/>
        </w:rPr>
        <w:t>应对产品的整个交货过程负责，包括运输、装卸的安全等。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随包装箱携带的文件、资料应防潮密封，并放置在包装箱内明显处。</w:t>
      </w:r>
    </w:p>
    <w:p>
      <w:pPr>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、到货验收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1.中标供应商应</w:t>
      </w:r>
      <w:r>
        <w:rPr>
          <w:rFonts w:hint="eastAsia" w:ascii="仿宋" w:hAnsi="仿宋" w:eastAsia="仿宋" w:cs="仿宋"/>
          <w:sz w:val="24"/>
          <w:szCs w:val="24"/>
        </w:rPr>
        <w:t>派人员在所供产品到</w:t>
      </w:r>
      <w:r>
        <w:rPr>
          <w:rFonts w:hint="eastAsia" w:ascii="仿宋" w:hAnsi="仿宋" w:eastAsia="仿宋" w:cs="仿宋"/>
          <w:sz w:val="24"/>
          <w:szCs w:val="24"/>
          <w:lang w:eastAsia="zh-CN"/>
        </w:rPr>
        <w:t>采购人</w:t>
      </w:r>
      <w:r>
        <w:rPr>
          <w:rFonts w:hint="eastAsia" w:ascii="仿宋" w:hAnsi="仿宋" w:eastAsia="仿宋" w:cs="仿宋"/>
          <w:sz w:val="24"/>
          <w:szCs w:val="24"/>
        </w:rPr>
        <w:t>时进行到货验收。若发现任何损坏及质量问题，</w:t>
      </w:r>
      <w:r>
        <w:rPr>
          <w:rFonts w:hint="eastAsia" w:ascii="仿宋" w:hAnsi="仿宋" w:eastAsia="仿宋" w:cs="仿宋"/>
          <w:sz w:val="24"/>
          <w:szCs w:val="24"/>
          <w:lang w:val="en-US" w:eastAsia="zh-CN"/>
        </w:rPr>
        <w:t>中标供应商应</w:t>
      </w:r>
      <w:r>
        <w:rPr>
          <w:rFonts w:hint="eastAsia" w:ascii="仿宋" w:hAnsi="仿宋" w:eastAsia="仿宋" w:cs="仿宋"/>
          <w:sz w:val="24"/>
          <w:szCs w:val="24"/>
        </w:rPr>
        <w:t>负责妥善处理直至</w:t>
      </w:r>
      <w:r>
        <w:rPr>
          <w:rFonts w:hint="eastAsia" w:ascii="仿宋" w:hAnsi="仿宋" w:eastAsia="仿宋" w:cs="仿宋"/>
          <w:sz w:val="24"/>
          <w:szCs w:val="24"/>
          <w:lang w:eastAsia="zh-CN"/>
        </w:rPr>
        <w:t>采购人</w:t>
      </w:r>
      <w:r>
        <w:rPr>
          <w:rFonts w:hint="eastAsia" w:ascii="仿宋" w:hAnsi="仿宋" w:eastAsia="仿宋" w:cs="仿宋"/>
          <w:sz w:val="24"/>
          <w:szCs w:val="24"/>
        </w:rPr>
        <w:t>满意。此工作所发生的费用应由</w:t>
      </w:r>
      <w:r>
        <w:rPr>
          <w:rFonts w:hint="eastAsia" w:ascii="仿宋" w:hAnsi="仿宋" w:eastAsia="仿宋" w:cs="仿宋"/>
          <w:sz w:val="24"/>
          <w:szCs w:val="24"/>
          <w:lang w:eastAsia="zh-CN"/>
        </w:rPr>
        <w:t>中标供应商</w:t>
      </w:r>
      <w:r>
        <w:rPr>
          <w:rFonts w:hint="eastAsia" w:ascii="仿宋" w:hAnsi="仿宋" w:eastAsia="仿宋" w:cs="仿宋"/>
          <w:sz w:val="24"/>
          <w:szCs w:val="24"/>
        </w:rPr>
        <w:t>自行承担。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产品卸至</w:t>
      </w:r>
      <w:r>
        <w:rPr>
          <w:rFonts w:hint="eastAsia" w:ascii="仿宋" w:hAnsi="仿宋" w:eastAsia="仿宋" w:cs="仿宋"/>
          <w:sz w:val="24"/>
          <w:szCs w:val="24"/>
          <w:lang w:val="en-US" w:eastAsia="zh-CN"/>
        </w:rPr>
        <w:t>采购人</w:t>
      </w:r>
      <w:r>
        <w:rPr>
          <w:rFonts w:hint="eastAsia" w:ascii="仿宋" w:hAnsi="仿宋" w:eastAsia="仿宋" w:cs="仿宋"/>
          <w:sz w:val="24"/>
          <w:szCs w:val="24"/>
        </w:rPr>
        <w:t>指定地点。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在工程交付使用前</w:t>
      </w:r>
      <w:r>
        <w:rPr>
          <w:rFonts w:hint="eastAsia" w:ascii="仿宋" w:hAnsi="仿宋" w:eastAsia="仿宋" w:cs="仿宋"/>
          <w:sz w:val="24"/>
          <w:szCs w:val="24"/>
          <w:lang w:val="en-US" w:eastAsia="zh-CN"/>
        </w:rPr>
        <w:t>采购人</w:t>
      </w:r>
      <w:r>
        <w:rPr>
          <w:rFonts w:hint="eastAsia" w:ascii="仿宋" w:hAnsi="仿宋" w:eastAsia="仿宋" w:cs="仿宋"/>
          <w:sz w:val="24"/>
          <w:szCs w:val="24"/>
        </w:rPr>
        <w:t>无任何责任及义务保管</w:t>
      </w:r>
      <w:r>
        <w:rPr>
          <w:rFonts w:hint="eastAsia" w:ascii="仿宋" w:hAnsi="仿宋" w:eastAsia="仿宋" w:cs="仿宋"/>
          <w:sz w:val="24"/>
          <w:szCs w:val="24"/>
          <w:lang w:eastAsia="zh-CN"/>
        </w:rPr>
        <w:t>中标供应商</w:t>
      </w:r>
      <w:r>
        <w:rPr>
          <w:rFonts w:hint="eastAsia" w:ascii="仿宋" w:hAnsi="仿宋" w:eastAsia="仿宋" w:cs="仿宋"/>
          <w:sz w:val="24"/>
          <w:szCs w:val="24"/>
        </w:rPr>
        <w:t>产品、施工设备等其它一切货物。</w:t>
      </w:r>
    </w:p>
    <w:p>
      <w:pPr>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施工、安装调试、试运行和竣工</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施工、安装：</w:t>
      </w:r>
    </w:p>
    <w:p>
      <w:pPr>
        <w:numPr>
          <w:ilvl w:val="0"/>
          <w:numId w:val="15"/>
        </w:numPr>
        <w:autoSpaceDE w:val="0"/>
        <w:autoSpaceDN w:val="0"/>
        <w:spacing w:line="360" w:lineRule="auto"/>
        <w:ind w:left="0" w:firstLine="480" w:firstLineChars="200"/>
        <w:jc w:val="left"/>
        <w:textAlignment w:val="baseline"/>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所有施工、安装调试、试运行、验收的实施过程应服从项目监理及</w:t>
      </w:r>
      <w:r>
        <w:rPr>
          <w:rFonts w:hint="eastAsia" w:ascii="仿宋" w:hAnsi="仿宋" w:eastAsia="仿宋" w:cs="仿宋"/>
          <w:kern w:val="0"/>
          <w:sz w:val="24"/>
          <w:szCs w:val="24"/>
          <w:lang w:val="en-US" w:eastAsia="zh-CN"/>
        </w:rPr>
        <w:t>采购人</w:t>
      </w:r>
      <w:r>
        <w:rPr>
          <w:rFonts w:hint="eastAsia" w:ascii="仿宋" w:hAnsi="仿宋" w:eastAsia="仿宋" w:cs="仿宋"/>
          <w:kern w:val="0"/>
          <w:sz w:val="24"/>
          <w:szCs w:val="24"/>
          <w:lang w:val="zh-CN"/>
        </w:rPr>
        <w:t>的管理。</w:t>
      </w:r>
      <w:r>
        <w:rPr>
          <w:rFonts w:hint="eastAsia" w:ascii="仿宋" w:hAnsi="仿宋" w:eastAsia="仿宋" w:cs="仿宋"/>
          <w:sz w:val="24"/>
          <w:szCs w:val="24"/>
        </w:rPr>
        <w:t>严格按安全标准组织安装，遵守和实施安全文明管理制度,并随时接受行业安全检查人员依法实施的监督检查，采取必要的安全防护措施，消除事故隐患。由于</w:t>
      </w:r>
      <w:r>
        <w:rPr>
          <w:rFonts w:hint="eastAsia" w:ascii="仿宋" w:hAnsi="仿宋" w:eastAsia="仿宋" w:cs="仿宋"/>
          <w:sz w:val="24"/>
          <w:szCs w:val="24"/>
          <w:lang w:eastAsia="zh-CN"/>
        </w:rPr>
        <w:t>中标供应商</w:t>
      </w:r>
      <w:r>
        <w:rPr>
          <w:rFonts w:hint="eastAsia" w:ascii="仿宋" w:hAnsi="仿宋" w:eastAsia="仿宋" w:cs="仿宋"/>
          <w:sz w:val="24"/>
          <w:szCs w:val="24"/>
        </w:rPr>
        <w:t>安全文明措施不力造成事故的责任和因此发生的费用，由</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承担。</w:t>
      </w:r>
    </w:p>
    <w:p>
      <w:pPr>
        <w:numPr>
          <w:ilvl w:val="0"/>
          <w:numId w:val="15"/>
        </w:numPr>
        <w:autoSpaceDE w:val="0"/>
        <w:autoSpaceDN w:val="0"/>
        <w:spacing w:line="360" w:lineRule="auto"/>
        <w:ind w:left="0" w:firstLine="480" w:firstLineChars="200"/>
        <w:jc w:val="left"/>
        <w:textAlignment w:val="baseline"/>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按关施工规范进行施工；</w:t>
      </w:r>
    </w:p>
    <w:p>
      <w:pPr>
        <w:numPr>
          <w:ilvl w:val="0"/>
          <w:numId w:val="15"/>
        </w:numPr>
        <w:autoSpaceDE w:val="0"/>
        <w:autoSpaceDN w:val="0"/>
        <w:spacing w:line="360" w:lineRule="auto"/>
        <w:ind w:left="0" w:firstLine="480" w:firstLineChars="200"/>
        <w:jc w:val="left"/>
        <w:textAlignment w:val="baseline"/>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按施工图的技术要求进行器材、设备安装；</w:t>
      </w:r>
    </w:p>
    <w:p>
      <w:pPr>
        <w:numPr>
          <w:ilvl w:val="0"/>
          <w:numId w:val="15"/>
        </w:numPr>
        <w:autoSpaceDE w:val="0"/>
        <w:autoSpaceDN w:val="0"/>
        <w:spacing w:line="360" w:lineRule="auto"/>
        <w:ind w:left="0" w:firstLine="480" w:firstLineChars="200"/>
        <w:jc w:val="left"/>
        <w:textAlignment w:val="baseline"/>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按系统功能要求进行系统调试；</w:t>
      </w:r>
    </w:p>
    <w:p>
      <w:pPr>
        <w:numPr>
          <w:ilvl w:val="0"/>
          <w:numId w:val="15"/>
        </w:numPr>
        <w:autoSpaceDE w:val="0"/>
        <w:autoSpaceDN w:val="0"/>
        <w:spacing w:line="360" w:lineRule="auto"/>
        <w:ind w:left="0" w:firstLine="480" w:firstLineChars="200"/>
        <w:jc w:val="left"/>
        <w:textAlignment w:val="baseline"/>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配合甲供设备的安装和调试、维护；</w:t>
      </w:r>
    </w:p>
    <w:p>
      <w:pPr>
        <w:numPr>
          <w:ilvl w:val="0"/>
          <w:numId w:val="15"/>
        </w:numPr>
        <w:autoSpaceDE w:val="0"/>
        <w:autoSpaceDN w:val="0"/>
        <w:spacing w:line="360" w:lineRule="auto"/>
        <w:ind w:left="0" w:firstLine="480" w:firstLineChars="200"/>
        <w:jc w:val="left"/>
        <w:textAlignment w:val="baseline"/>
        <w:rPr>
          <w:rFonts w:hint="eastAsia" w:ascii="仿宋" w:hAnsi="仿宋" w:eastAsia="仿宋" w:cs="仿宋"/>
          <w:kern w:val="0"/>
          <w:sz w:val="24"/>
          <w:szCs w:val="24"/>
          <w:lang w:val="zh-CN"/>
        </w:rPr>
      </w:pPr>
      <w:r>
        <w:rPr>
          <w:rFonts w:hint="eastAsia" w:ascii="仿宋" w:hAnsi="仿宋" w:eastAsia="仿宋" w:cs="仿宋"/>
          <w:sz w:val="24"/>
          <w:szCs w:val="24"/>
        </w:rPr>
        <w:t>系统涉及的所有市政施工由业主协调完成，市政施工除满足自身的各项技术要求外，还应满足《市政工程施工规程》。</w:t>
      </w:r>
    </w:p>
    <w:p>
      <w:pPr>
        <w:tabs>
          <w:tab w:val="left" w:pos="2212"/>
        </w:tabs>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调试、测试：</w:t>
      </w:r>
    </w:p>
    <w:p>
      <w:pPr>
        <w:numPr>
          <w:ilvl w:val="0"/>
          <w:numId w:val="15"/>
        </w:numPr>
        <w:tabs>
          <w:tab w:val="left" w:pos="884"/>
          <w:tab w:val="left" w:pos="2212"/>
        </w:tabs>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中标供应商</w:t>
      </w:r>
      <w:r>
        <w:rPr>
          <w:rFonts w:hint="eastAsia" w:ascii="仿宋" w:hAnsi="仿宋" w:eastAsia="仿宋" w:cs="仿宋"/>
          <w:sz w:val="24"/>
          <w:szCs w:val="24"/>
        </w:rPr>
        <w:t>提交调试和测试计划及方法及记录表格给</w:t>
      </w:r>
      <w:r>
        <w:rPr>
          <w:rFonts w:hint="eastAsia" w:ascii="仿宋" w:hAnsi="仿宋" w:eastAsia="仿宋" w:cs="仿宋"/>
          <w:sz w:val="24"/>
          <w:szCs w:val="24"/>
          <w:lang w:val="en-US" w:eastAsia="zh-CN"/>
        </w:rPr>
        <w:t>采购人</w:t>
      </w:r>
      <w:r>
        <w:rPr>
          <w:rFonts w:hint="eastAsia" w:ascii="仿宋" w:hAnsi="仿宋" w:eastAsia="仿宋" w:cs="仿宋"/>
          <w:sz w:val="24"/>
          <w:szCs w:val="24"/>
        </w:rPr>
        <w:t>与监理方。</w:t>
      </w:r>
    </w:p>
    <w:p>
      <w:pPr>
        <w:numPr>
          <w:ilvl w:val="0"/>
          <w:numId w:val="15"/>
        </w:numPr>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采购人</w:t>
      </w:r>
      <w:r>
        <w:rPr>
          <w:rFonts w:hint="eastAsia" w:ascii="仿宋" w:hAnsi="仿宋" w:eastAsia="仿宋" w:cs="仿宋"/>
          <w:sz w:val="24"/>
          <w:szCs w:val="24"/>
        </w:rPr>
        <w:t>有权利全部或部分测试设备及系统的性能。</w:t>
      </w:r>
    </w:p>
    <w:p>
      <w:pPr>
        <w:numPr>
          <w:ilvl w:val="0"/>
          <w:numId w:val="15"/>
        </w:numPr>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在测试之前，应有一套测试计划，</w:t>
      </w:r>
      <w:r>
        <w:rPr>
          <w:rFonts w:hint="eastAsia" w:ascii="仿宋" w:hAnsi="仿宋" w:eastAsia="仿宋" w:cs="仿宋"/>
          <w:sz w:val="24"/>
          <w:szCs w:val="24"/>
          <w:lang w:val="en-US" w:eastAsia="zh-CN"/>
        </w:rPr>
        <w:t>采购人</w:t>
      </w:r>
      <w:r>
        <w:rPr>
          <w:rFonts w:hint="eastAsia" w:ascii="仿宋" w:hAnsi="仿宋" w:eastAsia="仿宋" w:cs="仿宋"/>
          <w:sz w:val="24"/>
          <w:szCs w:val="24"/>
        </w:rPr>
        <w:t>或其代理人保留参加测试的权利。</w:t>
      </w:r>
      <w:r>
        <w:rPr>
          <w:rFonts w:hint="eastAsia" w:ascii="仿宋" w:hAnsi="仿宋" w:eastAsia="仿宋" w:cs="仿宋"/>
          <w:sz w:val="24"/>
          <w:szCs w:val="24"/>
          <w:lang w:eastAsia="zh-CN"/>
        </w:rPr>
        <w:t>中标供应商</w:t>
      </w:r>
      <w:r>
        <w:rPr>
          <w:rFonts w:hint="eastAsia" w:ascii="仿宋" w:hAnsi="仿宋" w:eastAsia="仿宋" w:cs="仿宋"/>
          <w:sz w:val="24"/>
          <w:szCs w:val="24"/>
        </w:rPr>
        <w:t>应在开始测试之前一周内提出详细测试计划，报业主与监理审批。</w:t>
      </w:r>
    </w:p>
    <w:p>
      <w:pPr>
        <w:numPr>
          <w:ilvl w:val="0"/>
          <w:numId w:val="15"/>
        </w:numPr>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设备测试应在</w:t>
      </w:r>
      <w:r>
        <w:rPr>
          <w:rFonts w:hint="eastAsia" w:ascii="仿宋" w:hAnsi="仿宋" w:eastAsia="仿宋" w:cs="仿宋"/>
          <w:sz w:val="24"/>
          <w:szCs w:val="24"/>
          <w:lang w:eastAsia="zh-CN"/>
        </w:rPr>
        <w:t>采购人</w:t>
      </w:r>
      <w:r>
        <w:rPr>
          <w:rFonts w:hint="eastAsia" w:ascii="仿宋" w:hAnsi="仿宋" w:eastAsia="仿宋" w:cs="仿宋"/>
          <w:sz w:val="24"/>
          <w:szCs w:val="24"/>
        </w:rPr>
        <w:t>人员、监理人员的监督下进行，此类监督不免除</w:t>
      </w:r>
      <w:r>
        <w:rPr>
          <w:rFonts w:hint="eastAsia" w:ascii="仿宋" w:hAnsi="仿宋" w:eastAsia="仿宋" w:cs="仿宋"/>
          <w:sz w:val="24"/>
          <w:szCs w:val="24"/>
          <w:lang w:eastAsia="zh-CN"/>
        </w:rPr>
        <w:t>中标供应商</w:t>
      </w:r>
      <w:r>
        <w:rPr>
          <w:rFonts w:hint="eastAsia" w:ascii="仿宋" w:hAnsi="仿宋" w:eastAsia="仿宋" w:cs="仿宋"/>
          <w:sz w:val="24"/>
          <w:szCs w:val="24"/>
        </w:rPr>
        <w:t>应承担的相关责任。</w:t>
      </w:r>
    </w:p>
    <w:p>
      <w:pPr>
        <w:numPr>
          <w:ilvl w:val="0"/>
          <w:numId w:val="15"/>
        </w:numPr>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lang w:eastAsia="zh-CN"/>
        </w:rPr>
        <w:t>中标供应商</w:t>
      </w:r>
      <w:r>
        <w:rPr>
          <w:rFonts w:hint="eastAsia" w:ascii="仿宋" w:hAnsi="仿宋" w:eastAsia="仿宋" w:cs="仿宋"/>
          <w:sz w:val="24"/>
          <w:szCs w:val="24"/>
        </w:rPr>
        <w:t>应派有三年以上工作经验的工程师在现场负责测试和调试，以检测其设计、系统设备运行效果等，并提供所有测试和调试所需的工具、材料、仪器和劳务人员。</w:t>
      </w:r>
    </w:p>
    <w:p>
      <w:pPr>
        <w:pStyle w:val="1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2.1、系统调试、测试</w:t>
      </w:r>
    </w:p>
    <w:p>
      <w:pPr>
        <w:pStyle w:val="1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(1)硬件故障的处理</w:t>
      </w:r>
    </w:p>
    <w:p>
      <w:pPr>
        <w:pStyle w:val="1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在调试和测试阶段，硬件损坏都应在修复后，再重新测试7天。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(2)软件故障的处理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任何软件故障或发现软件缺陷引起系统不能正常工作，软件操作不符合规范要求等，必须在改正之后，再一次试验30天。假若没有再发现软件上的问题，工程师可以将软件试验周期缩短，但不得少于15天。决不可将总的试验周期减少到30天以内。 在此期间，若发现硬件故障，应按上条的办法处理。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(3)不明故障的处理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若故障原因无法在短期内判断查明，软件的故障须按软件故障的处理条款进行处理，重新运行30天。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(4)持续周期性故障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在试验阶段，若出现硬件、软件、通讯、控制操作或另外的一些错误不是周期性的故障，并与特定的软硬件错误无关，试验须继续进行，试验将继续直到问题发现并解决。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(5)最新技术文档</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在30天测试中，如果所提供的系统技术文档中存在错误、删节或更新等其它问题，将在系统验收结束之前纠正，并需获得业主与监理方的重新认可。</w:t>
      </w:r>
    </w:p>
    <w:p>
      <w:pPr>
        <w:pStyle w:val="11"/>
        <w:spacing w:line="360" w:lineRule="auto"/>
        <w:ind w:left="0" w:leftChars="0"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w:t>
      </w:r>
      <w:r>
        <w:rPr>
          <w:rFonts w:hint="eastAsia" w:ascii="仿宋" w:hAnsi="仿宋" w:eastAsia="仿宋" w:cs="仿宋"/>
          <w:b/>
          <w:sz w:val="24"/>
          <w:szCs w:val="24"/>
          <w:lang w:val="en-US" w:eastAsia="zh-CN"/>
        </w:rPr>
        <w:t>2</w:t>
      </w:r>
      <w:r>
        <w:rPr>
          <w:rFonts w:hint="eastAsia" w:ascii="仿宋" w:hAnsi="仿宋" w:eastAsia="仿宋" w:cs="仿宋"/>
          <w:b/>
          <w:sz w:val="24"/>
          <w:szCs w:val="24"/>
        </w:rPr>
        <w:t>系统试运行：</w:t>
      </w:r>
    </w:p>
    <w:p>
      <w:pPr>
        <w:pStyle w:val="1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(1)当所有的中心设备、户外设备、通讯以及其它的软、硬件设备安装调试和测试完成后，根据测试结果</w:t>
      </w:r>
      <w:r>
        <w:rPr>
          <w:rFonts w:hint="eastAsia" w:ascii="仿宋" w:hAnsi="仿宋" w:eastAsia="仿宋" w:cs="仿宋"/>
          <w:sz w:val="24"/>
          <w:szCs w:val="24"/>
          <w:lang w:eastAsia="zh-CN"/>
        </w:rPr>
        <w:t>采购人</w:t>
      </w:r>
      <w:r>
        <w:rPr>
          <w:rFonts w:hint="eastAsia" w:ascii="仿宋" w:hAnsi="仿宋" w:eastAsia="仿宋" w:cs="仿宋"/>
          <w:sz w:val="24"/>
          <w:szCs w:val="24"/>
        </w:rPr>
        <w:t>与监理方认为达到要求和目标，系统应按要求圆满完成30天的试运行，并做好试运行记录。目的是证明全部系统硬件、软件、材料、结构安装适当，履行本技术规范； 并且全部系统具有稳定，可靠的水平。</w:t>
      </w:r>
    </w:p>
    <w:p>
      <w:pPr>
        <w:pStyle w:val="11"/>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(2)设备试运行在</w:t>
      </w:r>
      <w:r>
        <w:rPr>
          <w:rFonts w:hint="eastAsia" w:ascii="仿宋" w:hAnsi="仿宋" w:eastAsia="仿宋" w:cs="仿宋"/>
          <w:sz w:val="24"/>
          <w:szCs w:val="24"/>
          <w:lang w:eastAsia="zh-CN"/>
        </w:rPr>
        <w:t>采购人</w:t>
      </w:r>
      <w:r>
        <w:rPr>
          <w:rFonts w:hint="eastAsia" w:ascii="仿宋" w:hAnsi="仿宋" w:eastAsia="仿宋" w:cs="仿宋"/>
          <w:sz w:val="24"/>
          <w:szCs w:val="24"/>
        </w:rPr>
        <w:t>组织和主导下进行，</w:t>
      </w:r>
      <w:r>
        <w:rPr>
          <w:rFonts w:hint="eastAsia" w:ascii="仿宋" w:hAnsi="仿宋" w:eastAsia="仿宋" w:cs="仿宋"/>
          <w:sz w:val="24"/>
          <w:szCs w:val="24"/>
          <w:lang w:eastAsia="zh-CN"/>
        </w:rPr>
        <w:t>中标供应商</w:t>
      </w:r>
      <w:r>
        <w:rPr>
          <w:rFonts w:hint="eastAsia" w:ascii="仿宋" w:hAnsi="仿宋" w:eastAsia="仿宋" w:cs="仿宋"/>
          <w:sz w:val="24"/>
          <w:szCs w:val="24"/>
        </w:rPr>
        <w:t>提供所需的使用规程、操作方法、实用经验、注意事项等一切运行和使用过程中所涉及的要素。试运行时间为连续30天，在试运行中碰到的软、硬件故障修复后，有必要的延长试运行时间，直至</w:t>
      </w:r>
      <w:r>
        <w:rPr>
          <w:rFonts w:hint="eastAsia" w:ascii="仿宋" w:hAnsi="仿宋" w:eastAsia="仿宋" w:cs="仿宋"/>
          <w:sz w:val="24"/>
          <w:szCs w:val="24"/>
          <w:lang w:eastAsia="zh-CN"/>
        </w:rPr>
        <w:t>采购人</w:t>
      </w:r>
      <w:r>
        <w:rPr>
          <w:rFonts w:hint="eastAsia" w:ascii="仿宋" w:hAnsi="仿宋" w:eastAsia="仿宋" w:cs="仿宋"/>
          <w:sz w:val="24"/>
          <w:szCs w:val="24"/>
        </w:rPr>
        <w:t>认同。</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sz w:val="24"/>
          <w:szCs w:val="24"/>
        </w:rPr>
        <w:t>(3)</w:t>
      </w:r>
      <w:r>
        <w:rPr>
          <w:rFonts w:hint="eastAsia" w:ascii="仿宋" w:hAnsi="仿宋" w:eastAsia="仿宋" w:cs="仿宋"/>
          <w:kern w:val="0"/>
          <w:sz w:val="24"/>
          <w:szCs w:val="24"/>
          <w:lang w:val="zh-CN"/>
        </w:rPr>
        <w:t>试运行报告</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建设单位依据试运行期间的记录提出试运行报告，内容包括：</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a.系统运行是否正常；</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b.系统功能是否符合设计要求；</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c.误拍照、漏拍照的次数及产生原因的分析；</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d.故障产生的次数，排除故障的时间；</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e.维修服务是否符合合同规定。</w:t>
      </w:r>
    </w:p>
    <w:p>
      <w:pPr>
        <w:tabs>
          <w:tab w:val="left" w:pos="2212"/>
        </w:tabs>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2.3</w:t>
      </w:r>
      <w:r>
        <w:rPr>
          <w:rFonts w:hint="eastAsia" w:ascii="仿宋" w:hAnsi="仿宋" w:eastAsia="仿宋" w:cs="仿宋"/>
          <w:b/>
          <w:sz w:val="24"/>
          <w:szCs w:val="24"/>
        </w:rPr>
        <w:t>竣工</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采购人</w:t>
      </w:r>
      <w:r>
        <w:rPr>
          <w:rFonts w:hint="eastAsia" w:ascii="仿宋" w:hAnsi="仿宋" w:eastAsia="仿宋" w:cs="仿宋"/>
          <w:sz w:val="24"/>
          <w:szCs w:val="24"/>
        </w:rPr>
        <w:t>经过施工质量、合同内容符合性、技术方案贯彻性等审查并在安装调试、测试和试运行工作完成后，认为系统按设计要求的规定内容全部建成，经试运行达到设计要求并为建设单位认可视为竣工。系统竣工后由设计，施工单位写出竣工报告。竣工报告内容包括：工程概况，安装的主要设备，对照设计任务书或合同所完成的质量自我评估等，</w:t>
      </w:r>
      <w:r>
        <w:rPr>
          <w:rFonts w:hint="eastAsia" w:ascii="仿宋" w:hAnsi="仿宋" w:eastAsia="仿宋" w:cs="仿宋"/>
          <w:sz w:val="24"/>
          <w:szCs w:val="24"/>
          <w:lang w:eastAsia="zh-CN"/>
        </w:rPr>
        <w:t>中标供应商</w:t>
      </w:r>
      <w:r>
        <w:rPr>
          <w:rFonts w:hint="eastAsia" w:ascii="仿宋" w:hAnsi="仿宋" w:eastAsia="仿宋" w:cs="仿宋"/>
          <w:sz w:val="24"/>
          <w:szCs w:val="24"/>
        </w:rPr>
        <w:t>提交合同规定的备品备件、调试、测试、试运行记录二份，竣工资料三份等等。至此基本可认为该工程竣工，并为下一步初验收作准备。</w:t>
      </w:r>
    </w:p>
    <w:p>
      <w:pPr>
        <w:tabs>
          <w:tab w:val="left" w:pos="2212"/>
        </w:tabs>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、验收合格的条件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验收申请提前一周报</w:t>
      </w:r>
      <w:r>
        <w:rPr>
          <w:rFonts w:hint="eastAsia" w:ascii="仿宋" w:hAnsi="仿宋" w:eastAsia="仿宋" w:cs="仿宋"/>
          <w:sz w:val="24"/>
          <w:szCs w:val="24"/>
          <w:lang w:eastAsia="zh-CN"/>
        </w:rPr>
        <w:t>采购人</w:t>
      </w:r>
      <w:r>
        <w:rPr>
          <w:rFonts w:hint="eastAsia" w:ascii="仿宋" w:hAnsi="仿宋" w:eastAsia="仿宋" w:cs="仿宋"/>
          <w:sz w:val="24"/>
          <w:szCs w:val="24"/>
        </w:rPr>
        <w:t>审批，系统的验收由</w:t>
      </w:r>
      <w:r>
        <w:rPr>
          <w:rFonts w:hint="eastAsia" w:ascii="仿宋" w:hAnsi="仿宋" w:eastAsia="仿宋" w:cs="仿宋"/>
          <w:sz w:val="24"/>
          <w:szCs w:val="24"/>
          <w:lang w:eastAsia="zh-CN"/>
        </w:rPr>
        <w:t>中标供应商</w:t>
      </w:r>
      <w:r>
        <w:rPr>
          <w:rFonts w:hint="eastAsia" w:ascii="仿宋" w:hAnsi="仿宋" w:eastAsia="仿宋" w:cs="仿宋"/>
          <w:sz w:val="24"/>
          <w:szCs w:val="24"/>
        </w:rPr>
        <w:t>、</w:t>
      </w:r>
      <w:r>
        <w:rPr>
          <w:rFonts w:hint="eastAsia" w:ascii="仿宋" w:hAnsi="仿宋" w:eastAsia="仿宋" w:cs="仿宋"/>
          <w:sz w:val="24"/>
          <w:szCs w:val="24"/>
          <w:lang w:eastAsia="zh-CN"/>
        </w:rPr>
        <w:t>采购人</w:t>
      </w:r>
      <w:r>
        <w:rPr>
          <w:rFonts w:hint="eastAsia" w:ascii="仿宋" w:hAnsi="仿宋" w:eastAsia="仿宋" w:cs="仿宋"/>
          <w:sz w:val="24"/>
          <w:szCs w:val="24"/>
        </w:rPr>
        <w:t>及相关部门人员组成验收。验收工作主要以合同、工程方案、竣工资料为基础以国家及行业标准为标准（详见本章第五条“</w:t>
      </w:r>
      <w:r>
        <w:rPr>
          <w:rFonts w:hint="eastAsia" w:ascii="仿宋" w:hAnsi="仿宋" w:eastAsia="仿宋" w:cs="仿宋"/>
          <w:b/>
          <w:sz w:val="24"/>
          <w:szCs w:val="24"/>
        </w:rPr>
        <w:t>产品标准、建设标准和规范”</w:t>
      </w:r>
      <w:r>
        <w:rPr>
          <w:rFonts w:hint="eastAsia" w:ascii="仿宋" w:hAnsi="仿宋" w:eastAsia="仿宋" w:cs="仿宋"/>
          <w:sz w:val="24"/>
          <w:szCs w:val="24"/>
        </w:rPr>
        <w:t xml:space="preserve"> ）。</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1、运行结果符合产品及系统运行的标准和本招标文件及合同文件的要求。</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2、在进行测试和验收运行过程中发生的故障已被消除并得到</w:t>
      </w:r>
      <w:r>
        <w:rPr>
          <w:rFonts w:hint="eastAsia" w:ascii="仿宋" w:hAnsi="仿宋" w:eastAsia="仿宋" w:cs="仿宋"/>
          <w:sz w:val="24"/>
          <w:szCs w:val="24"/>
          <w:lang w:eastAsia="zh-CN"/>
        </w:rPr>
        <w:t>采购人</w:t>
      </w:r>
      <w:r>
        <w:rPr>
          <w:rFonts w:hint="eastAsia" w:ascii="仿宋" w:hAnsi="仿宋" w:eastAsia="仿宋" w:cs="仿宋"/>
          <w:sz w:val="24"/>
          <w:szCs w:val="24"/>
        </w:rPr>
        <w:t>的认可。</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3、所有合同中规定的货物和材料均已提交，整套产品图纸及技术文件均已提交并得到接受。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4、工程验收分为设备验收和系统交接验收两部分。</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4.1、设备验收前，</w:t>
      </w:r>
      <w:r>
        <w:rPr>
          <w:rFonts w:hint="eastAsia" w:ascii="仿宋" w:hAnsi="仿宋" w:eastAsia="仿宋" w:cs="仿宋"/>
          <w:sz w:val="24"/>
          <w:szCs w:val="24"/>
          <w:lang w:eastAsia="zh-CN"/>
        </w:rPr>
        <w:t>中标供应商</w:t>
      </w:r>
      <w:r>
        <w:rPr>
          <w:rFonts w:hint="eastAsia" w:ascii="仿宋" w:hAnsi="仿宋" w:eastAsia="仿宋" w:cs="仿宋"/>
          <w:sz w:val="24"/>
          <w:szCs w:val="24"/>
        </w:rPr>
        <w:t>应向</w:t>
      </w:r>
      <w:r>
        <w:rPr>
          <w:rFonts w:hint="eastAsia" w:ascii="仿宋" w:hAnsi="仿宋" w:eastAsia="仿宋" w:cs="仿宋"/>
          <w:sz w:val="24"/>
          <w:szCs w:val="24"/>
          <w:lang w:eastAsia="zh-CN"/>
        </w:rPr>
        <w:t>采购人</w:t>
      </w:r>
      <w:r>
        <w:rPr>
          <w:rFonts w:hint="eastAsia" w:ascii="仿宋" w:hAnsi="仿宋" w:eastAsia="仿宋" w:cs="仿宋"/>
          <w:sz w:val="24"/>
          <w:szCs w:val="24"/>
        </w:rPr>
        <w:t>提供：</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(1)设备竣工图一套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(2)设备主要零部件的出厂合格证、说明书一套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(3)设备试运行报告一套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(4)设备测试方案及测试报告一套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(5)设备使用手册一套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(6)设备维修手册一套</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4.2、系统交接验收前，</w:t>
      </w:r>
      <w:r>
        <w:rPr>
          <w:rFonts w:hint="eastAsia" w:ascii="仿宋" w:hAnsi="仿宋" w:eastAsia="仿宋" w:cs="仿宋"/>
          <w:sz w:val="24"/>
          <w:szCs w:val="24"/>
          <w:lang w:eastAsia="zh-CN"/>
        </w:rPr>
        <w:t>中标供应商</w:t>
      </w:r>
      <w:r>
        <w:rPr>
          <w:rFonts w:hint="eastAsia" w:ascii="仿宋" w:hAnsi="仿宋" w:eastAsia="仿宋" w:cs="仿宋"/>
          <w:sz w:val="24"/>
          <w:szCs w:val="24"/>
        </w:rPr>
        <w:t>应向</w:t>
      </w:r>
      <w:r>
        <w:rPr>
          <w:rFonts w:hint="eastAsia" w:ascii="仿宋" w:hAnsi="仿宋" w:eastAsia="仿宋" w:cs="仿宋"/>
          <w:sz w:val="24"/>
          <w:szCs w:val="24"/>
          <w:lang w:eastAsia="zh-CN"/>
        </w:rPr>
        <w:t>采购人</w:t>
      </w:r>
      <w:r>
        <w:rPr>
          <w:rFonts w:hint="eastAsia" w:ascii="仿宋" w:hAnsi="仿宋" w:eastAsia="仿宋" w:cs="仿宋"/>
          <w:sz w:val="24"/>
          <w:szCs w:val="24"/>
        </w:rPr>
        <w:t>提供：</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(1)竣工图</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(2)设备和主要器材的出厂合格证、说明书</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(3)关键自制件、外协件等设备的测试报告</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(4)隐蔽工程的验收报告</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(5)系统试运行报告</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(6)系统测试方案及测试报告</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(7)系统操作手册</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(8)系统维护手册</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(9)备件产地清单</w:t>
      </w:r>
    </w:p>
    <w:p>
      <w:pPr>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5、验收内容</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系统的工程验收应包括下列内容：系统工程的施工质量、安装质量、系统测试、图纸、资料的移交。验收时应做好记录，签署验收证书，并应立卷、归档。</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6、系统的工程施工质量</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（1）系统的工程施工质量应按施工要求进行验收，检查的项目和内容应符合《施工进度表》的规定。</w:t>
      </w:r>
    </w:p>
    <w:p>
      <w:pPr>
        <w:tabs>
          <w:tab w:val="left" w:pos="1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采购人</w:t>
      </w:r>
      <w:r>
        <w:rPr>
          <w:rFonts w:hint="eastAsia" w:ascii="仿宋" w:hAnsi="仿宋" w:eastAsia="仿宋" w:cs="仿宋"/>
          <w:sz w:val="24"/>
          <w:szCs w:val="24"/>
        </w:rPr>
        <w:t>应对隐蔽工程进行随工验收，凡经过检验合格的办理验收签证，在进行竣工验收时，可不再进行检验。</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7、竣工验收文件</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在系统的工程竣工验收前，</w:t>
      </w:r>
      <w:r>
        <w:rPr>
          <w:rFonts w:hint="eastAsia" w:ascii="仿宋" w:hAnsi="仿宋" w:eastAsia="仿宋" w:cs="仿宋"/>
          <w:sz w:val="24"/>
          <w:szCs w:val="24"/>
          <w:lang w:eastAsia="zh-CN"/>
        </w:rPr>
        <w:t>中标供应商</w:t>
      </w:r>
      <w:r>
        <w:rPr>
          <w:rFonts w:hint="eastAsia" w:ascii="仿宋" w:hAnsi="仿宋" w:eastAsia="仿宋" w:cs="仿宋"/>
          <w:sz w:val="24"/>
          <w:szCs w:val="24"/>
        </w:rPr>
        <w:t>应按下列内容编制竣工验收文件一式三份交给</w:t>
      </w:r>
      <w:r>
        <w:rPr>
          <w:rFonts w:hint="eastAsia" w:ascii="仿宋" w:hAnsi="仿宋" w:eastAsia="仿宋" w:cs="仿宋"/>
          <w:sz w:val="24"/>
          <w:szCs w:val="24"/>
          <w:lang w:eastAsia="zh-CN"/>
        </w:rPr>
        <w:t>采购人</w:t>
      </w:r>
      <w:r>
        <w:rPr>
          <w:rFonts w:hint="eastAsia" w:ascii="仿宋" w:hAnsi="仿宋" w:eastAsia="仿宋" w:cs="仿宋"/>
          <w:sz w:val="24"/>
          <w:szCs w:val="24"/>
        </w:rPr>
        <w:t>，其中一份由</w:t>
      </w:r>
      <w:r>
        <w:rPr>
          <w:rFonts w:hint="eastAsia" w:ascii="仿宋" w:hAnsi="仿宋" w:eastAsia="仿宋" w:cs="仿宋"/>
          <w:sz w:val="24"/>
          <w:szCs w:val="24"/>
          <w:lang w:eastAsia="zh-CN"/>
        </w:rPr>
        <w:t>采购人</w:t>
      </w:r>
      <w:r>
        <w:rPr>
          <w:rFonts w:hint="eastAsia" w:ascii="仿宋" w:hAnsi="仿宋" w:eastAsia="仿宋" w:cs="仿宋"/>
          <w:sz w:val="24"/>
          <w:szCs w:val="24"/>
        </w:rPr>
        <w:t>签收盖章后，退还</w:t>
      </w:r>
      <w:r>
        <w:rPr>
          <w:rFonts w:hint="eastAsia" w:ascii="仿宋" w:hAnsi="仿宋" w:eastAsia="仿宋" w:cs="仿宋"/>
          <w:sz w:val="24"/>
          <w:szCs w:val="24"/>
          <w:lang w:eastAsia="zh-CN"/>
        </w:rPr>
        <w:t>中标供应商</w:t>
      </w:r>
      <w:r>
        <w:rPr>
          <w:rFonts w:hint="eastAsia" w:ascii="仿宋" w:hAnsi="仿宋" w:eastAsia="仿宋" w:cs="仿宋"/>
          <w:sz w:val="24"/>
          <w:szCs w:val="24"/>
        </w:rPr>
        <w:t>存档。</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竣工验收文件应保证质量，做到内容齐全，标记详细，编写清楚，数据准确，互相对应，至少应包括下列资料。</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工程说明</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综合系统图</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综合</w:t>
      </w:r>
      <w:r>
        <w:rPr>
          <w:rFonts w:hint="eastAsia" w:ascii="仿宋" w:hAnsi="仿宋" w:eastAsia="仿宋" w:cs="仿宋"/>
          <w:sz w:val="24"/>
          <w:szCs w:val="24"/>
        </w:rPr>
        <w:t>布线图</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设备配置图</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设备连接系统图</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设备概要说明书</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设备器材一览表</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主观评价表</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客观测试表</w:t>
      </w:r>
    </w:p>
    <w:p>
      <w:pPr>
        <w:numPr>
          <w:ilvl w:val="0"/>
          <w:numId w:val="15"/>
        </w:numPr>
        <w:tabs>
          <w:tab w:val="left" w:pos="425"/>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施工质量验收记录</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各工程项目验收合格后，方可交付使用，验收小组应签署验收证书。当验收不合格时，应由设计、施工单位返修直到合格后，再行验收。</w:t>
      </w:r>
    </w:p>
    <w:p>
      <w:pPr>
        <w:tabs>
          <w:tab w:val="left" w:pos="2212"/>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验收合格后，供需双方交验后在交接单上签章并直接交</w:t>
      </w:r>
      <w:r>
        <w:rPr>
          <w:rFonts w:hint="eastAsia" w:ascii="仿宋" w:hAnsi="仿宋" w:eastAsia="仿宋" w:cs="仿宋"/>
          <w:sz w:val="24"/>
          <w:szCs w:val="24"/>
          <w:lang w:eastAsia="zh-CN"/>
        </w:rPr>
        <w:t>采购人</w:t>
      </w:r>
      <w:r>
        <w:rPr>
          <w:rFonts w:hint="eastAsia" w:ascii="仿宋" w:hAnsi="仿宋" w:eastAsia="仿宋" w:cs="仿宋"/>
          <w:sz w:val="24"/>
          <w:szCs w:val="24"/>
        </w:rPr>
        <w:t>保管。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8、首次验收标定有武义县交警大队邀请技术监督部门进行验收标定，系统经第三方检测机构检测合格后，施工单位提出书面验收申请并与《验收文件》一同提前一周报建设单位审批。</w:t>
      </w:r>
    </w:p>
    <w:p>
      <w:pPr>
        <w:autoSpaceDE w:val="0"/>
        <w:autoSpaceDN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zh-CN"/>
        </w:rPr>
        <w:t>基本要求</w:t>
      </w:r>
      <w:r>
        <w:rPr>
          <w:rFonts w:hint="eastAsia" w:ascii="仿宋" w:hAnsi="仿宋" w:eastAsia="仿宋" w:cs="仿宋"/>
          <w:kern w:val="0"/>
          <w:sz w:val="24"/>
          <w:szCs w:val="24"/>
        </w:rPr>
        <w:t>：</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a)  验收由验收委员会指定的施工验收组负责检查验收；</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b)验收应按照设计文件及</w:t>
      </w:r>
      <w:r>
        <w:rPr>
          <w:rFonts w:hint="eastAsia" w:ascii="仿宋" w:hAnsi="仿宋" w:eastAsia="仿宋" w:cs="仿宋"/>
          <w:sz w:val="24"/>
          <w:szCs w:val="24"/>
        </w:rPr>
        <w:t>相关部分的标准</w:t>
      </w:r>
      <w:r>
        <w:rPr>
          <w:rFonts w:hint="eastAsia" w:ascii="仿宋" w:hAnsi="仿宋" w:eastAsia="仿宋" w:cs="仿宋"/>
          <w:kern w:val="0"/>
          <w:sz w:val="24"/>
          <w:szCs w:val="24"/>
          <w:lang w:val="zh-CN"/>
        </w:rPr>
        <w:t>要求进行。</w:t>
      </w:r>
    </w:p>
    <w:p>
      <w:pPr>
        <w:pStyle w:val="92"/>
        <w:widowControl w:val="0"/>
        <w:autoSpaceDE w:val="0"/>
        <w:autoSpaceDN w:val="0"/>
        <w:spacing w:beforeAutospacing="0" w:afterAutospacing="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zh-CN"/>
        </w:rPr>
        <w:t>工程移交</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工程验收通过后，设计、施工单位按要求整理、编制工程竣工图纸资料一式三份，经业主单位签收盖章后，存档备查。</w:t>
      </w:r>
    </w:p>
    <w:p>
      <w:pPr>
        <w:tabs>
          <w:tab w:val="left" w:pos="2212"/>
        </w:tabs>
        <w:spacing w:line="360" w:lineRule="auto"/>
        <w:ind w:firstLine="480" w:firstLineChars="200"/>
        <w:rPr>
          <w:rFonts w:hint="eastAsia"/>
          <w:lang w:val="zh-CN"/>
        </w:rPr>
      </w:pPr>
      <w:r>
        <w:rPr>
          <w:rFonts w:hint="eastAsia" w:ascii="仿宋" w:hAnsi="仿宋" w:eastAsia="仿宋" w:cs="仿宋"/>
          <w:sz w:val="24"/>
          <w:szCs w:val="24"/>
        </w:rPr>
        <w:t>软件知识产权和源代码归属业主，在</w:t>
      </w:r>
      <w:r>
        <w:rPr>
          <w:rFonts w:hint="eastAsia" w:ascii="仿宋" w:hAnsi="仿宋" w:eastAsia="仿宋" w:cs="仿宋"/>
          <w:color w:val="000000"/>
          <w:sz w:val="24"/>
          <w:szCs w:val="24"/>
        </w:rPr>
        <w:t>系统终验后六个月内完</w:t>
      </w:r>
      <w:r>
        <w:rPr>
          <w:rFonts w:hint="eastAsia" w:ascii="仿宋" w:hAnsi="仿宋" w:eastAsia="仿宋" w:cs="仿宋"/>
          <w:sz w:val="24"/>
          <w:szCs w:val="24"/>
        </w:rPr>
        <w:t>成软件著作权注册</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10、验收费用：首次验收费用由招标单位负责，如未合格，由招标单位邀请技术监督部门再进行标定，一切费用由中标方负责，直至验收合格。</w:t>
      </w:r>
    </w:p>
    <w:p>
      <w:pPr>
        <w:spacing w:line="360" w:lineRule="auto"/>
        <w:ind w:firstLine="482" w:firstLineChars="200"/>
        <w:rPr>
          <w:rFonts w:hint="eastAsia" w:ascii="仿宋" w:hAnsi="仿宋" w:eastAsia="仿宋" w:cs="仿宋"/>
          <w:b/>
          <w:sz w:val="24"/>
          <w:szCs w:val="24"/>
        </w:rPr>
      </w:pPr>
    </w:p>
    <w:p>
      <w:pPr>
        <w:pStyle w:val="20"/>
        <w:spacing w:line="360" w:lineRule="auto"/>
        <w:ind w:left="0" w:leftChars="0" w:firstLine="482" w:firstLineChars="200"/>
        <w:jc w:val="both"/>
        <w:rPr>
          <w:rFonts w:hint="eastAsia" w:ascii="仿宋" w:hAnsi="仿宋" w:eastAsia="仿宋" w:cs="仿宋"/>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、技术培训</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中标供应商</w:t>
      </w:r>
      <w:r>
        <w:rPr>
          <w:rFonts w:hint="eastAsia" w:ascii="仿宋" w:hAnsi="仿宋" w:eastAsia="仿宋" w:cs="仿宋"/>
          <w:sz w:val="24"/>
          <w:szCs w:val="24"/>
        </w:rPr>
        <w:t>须对</w:t>
      </w:r>
      <w:r>
        <w:rPr>
          <w:rFonts w:hint="eastAsia" w:ascii="仿宋" w:hAnsi="仿宋" w:eastAsia="仿宋" w:cs="仿宋"/>
          <w:sz w:val="24"/>
          <w:szCs w:val="24"/>
          <w:lang w:eastAsia="zh-CN"/>
        </w:rPr>
        <w:t>采购人</w:t>
      </w:r>
      <w:r>
        <w:rPr>
          <w:rFonts w:hint="eastAsia" w:ascii="仿宋" w:hAnsi="仿宋" w:eastAsia="仿宋" w:cs="仿宋"/>
          <w:sz w:val="24"/>
          <w:szCs w:val="24"/>
        </w:rPr>
        <w:t>的操作人员、技术人员进行免费培训。</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中标供应商</w:t>
      </w:r>
      <w:r>
        <w:rPr>
          <w:rFonts w:hint="eastAsia" w:ascii="仿宋" w:hAnsi="仿宋" w:eastAsia="仿宋" w:cs="仿宋"/>
          <w:sz w:val="24"/>
          <w:szCs w:val="24"/>
        </w:rPr>
        <w:t>提供的负责培训的人员应具有同类产品五年以上的维修经验。培训应在精通所有设备及软件的技术；有丰富经验的人员（这样的人员可以是多个集合）指导下进行。负责培训人员的资格应由</w:t>
      </w:r>
      <w:r>
        <w:rPr>
          <w:rFonts w:hint="eastAsia" w:ascii="仿宋" w:hAnsi="仿宋" w:eastAsia="仿宋" w:cs="仿宋"/>
          <w:sz w:val="24"/>
          <w:szCs w:val="24"/>
          <w:lang w:eastAsia="zh-CN"/>
        </w:rPr>
        <w:t>采购人</w:t>
      </w:r>
      <w:r>
        <w:rPr>
          <w:rFonts w:hint="eastAsia" w:ascii="仿宋" w:hAnsi="仿宋" w:eastAsia="仿宋" w:cs="仿宋"/>
          <w:sz w:val="24"/>
          <w:szCs w:val="24"/>
        </w:rPr>
        <w:t>批准。</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技术培训费用应包含在供货总价中。</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中标供应商</w:t>
      </w:r>
      <w:r>
        <w:rPr>
          <w:rFonts w:hint="eastAsia" w:ascii="仿宋" w:hAnsi="仿宋" w:eastAsia="仿宋" w:cs="仿宋"/>
          <w:sz w:val="24"/>
          <w:szCs w:val="24"/>
        </w:rPr>
        <w:t>负责对</w:t>
      </w:r>
      <w:r>
        <w:rPr>
          <w:rFonts w:hint="eastAsia" w:ascii="仿宋" w:hAnsi="仿宋" w:eastAsia="仿宋" w:cs="仿宋"/>
          <w:sz w:val="24"/>
          <w:szCs w:val="24"/>
          <w:lang w:eastAsia="zh-CN"/>
        </w:rPr>
        <w:t>采购人</w:t>
      </w:r>
      <w:r>
        <w:rPr>
          <w:rFonts w:hint="eastAsia" w:ascii="仿宋" w:hAnsi="仿宋" w:eastAsia="仿宋" w:cs="仿宋"/>
          <w:sz w:val="24"/>
          <w:szCs w:val="24"/>
        </w:rPr>
        <w:t>进行技术培训，包括对</w:t>
      </w:r>
      <w:r>
        <w:rPr>
          <w:rFonts w:hint="eastAsia" w:ascii="仿宋" w:hAnsi="仿宋" w:eastAsia="仿宋" w:cs="仿宋"/>
          <w:sz w:val="24"/>
          <w:szCs w:val="24"/>
          <w:lang w:eastAsia="zh-CN"/>
        </w:rPr>
        <w:t>采购人</w:t>
      </w:r>
      <w:r>
        <w:rPr>
          <w:rFonts w:hint="eastAsia" w:ascii="仿宋" w:hAnsi="仿宋" w:eastAsia="仿宋" w:cs="仿宋"/>
          <w:sz w:val="24"/>
          <w:szCs w:val="24"/>
        </w:rPr>
        <w:t>进行详尽的工作原理、操作使用、一般维护、常见故障排除等一系列的专业培训,使之能够正确操作与使用全部设备并能进行常见故障排除，并提供系统操作、维修手册及各类设备的说明书。</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培训要求</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5.1培训计划</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中标供应商</w:t>
      </w:r>
      <w:r>
        <w:rPr>
          <w:rFonts w:hint="eastAsia" w:ascii="仿宋" w:hAnsi="仿宋" w:eastAsia="仿宋" w:cs="仿宋"/>
          <w:sz w:val="24"/>
          <w:szCs w:val="24"/>
        </w:rPr>
        <w:t>应编制并实施必要的培训课程，负责对</w:t>
      </w:r>
      <w:r>
        <w:rPr>
          <w:rFonts w:hint="eastAsia" w:ascii="仿宋" w:hAnsi="仿宋" w:eastAsia="仿宋" w:cs="仿宋"/>
          <w:sz w:val="24"/>
          <w:szCs w:val="24"/>
          <w:lang w:eastAsia="zh-CN"/>
        </w:rPr>
        <w:t>采购人</w:t>
      </w:r>
      <w:r>
        <w:rPr>
          <w:rFonts w:hint="eastAsia" w:ascii="仿宋" w:hAnsi="仿宋" w:eastAsia="仿宋" w:cs="仿宋"/>
          <w:sz w:val="24"/>
          <w:szCs w:val="24"/>
        </w:rPr>
        <w:t>的雇员的技术培训，使</w:t>
      </w:r>
      <w:r>
        <w:rPr>
          <w:rFonts w:hint="eastAsia" w:ascii="仿宋" w:hAnsi="仿宋" w:eastAsia="仿宋" w:cs="仿宋"/>
          <w:sz w:val="24"/>
          <w:szCs w:val="24"/>
          <w:lang w:eastAsia="zh-CN"/>
        </w:rPr>
        <w:t>采购人</w:t>
      </w:r>
      <w:r>
        <w:rPr>
          <w:rFonts w:hint="eastAsia" w:ascii="仿宋" w:hAnsi="仿宋" w:eastAsia="仿宋" w:cs="仿宋"/>
          <w:sz w:val="24"/>
          <w:szCs w:val="24"/>
        </w:rPr>
        <w:t>的雇员能熟练地操作和维护各种系统及其设备。课程计划应区分系统人员和维护管理人员。</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中标供应商</w:t>
      </w:r>
      <w:r>
        <w:rPr>
          <w:rFonts w:hint="eastAsia" w:ascii="仿宋" w:hAnsi="仿宋" w:eastAsia="仿宋" w:cs="仿宋"/>
          <w:sz w:val="24"/>
          <w:szCs w:val="24"/>
        </w:rPr>
        <w:t>在其投标书中应规定课程的时间和地点，每门课程的最多培训人数，每门课程的计划，并在每项培训两个星期前把详细培训计划包括内容和时间安排由</w:t>
      </w:r>
      <w:r>
        <w:rPr>
          <w:rFonts w:hint="eastAsia" w:ascii="仿宋" w:hAnsi="仿宋" w:eastAsia="仿宋" w:cs="仿宋"/>
          <w:sz w:val="24"/>
          <w:szCs w:val="24"/>
          <w:lang w:eastAsia="zh-CN"/>
        </w:rPr>
        <w:t>采购人</w:t>
      </w:r>
      <w:r>
        <w:rPr>
          <w:rFonts w:hint="eastAsia" w:ascii="仿宋" w:hAnsi="仿宋" w:eastAsia="仿宋" w:cs="仿宋"/>
          <w:sz w:val="24"/>
          <w:szCs w:val="24"/>
        </w:rPr>
        <w:t>审批。</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5.2培训对象</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（1）培训人员由</w:t>
      </w:r>
      <w:r>
        <w:rPr>
          <w:rFonts w:hint="eastAsia" w:ascii="仿宋" w:hAnsi="仿宋" w:eastAsia="仿宋" w:cs="仿宋"/>
          <w:sz w:val="24"/>
          <w:szCs w:val="24"/>
          <w:lang w:eastAsia="zh-CN"/>
        </w:rPr>
        <w:t>采购人</w:t>
      </w:r>
      <w:r>
        <w:rPr>
          <w:rFonts w:hint="eastAsia" w:ascii="仿宋" w:hAnsi="仿宋" w:eastAsia="仿宋" w:cs="仿宋"/>
          <w:sz w:val="24"/>
          <w:szCs w:val="24"/>
        </w:rPr>
        <w:t>指定</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系统人员（工程师/程序员）：能较深入地了解各设备及软件的工作原理、系统组成、传输特性、验收、测试方法、验收技术标准和其它相关技术要求，能全面地掌握该设备及软件，并能指导其它技术人员的维护工作。</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（3）维护管理人员（技术员）：掌握设备及软件的详尽的工作原理、操作使用、一般维护、常见故障排除等一系列的专业培训,使之能够正确操作与使用全部设备，并能进行常见故障排除。</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5.3管理培训</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中标供应商</w:t>
      </w:r>
      <w:r>
        <w:rPr>
          <w:rFonts w:hint="eastAsia" w:ascii="仿宋" w:hAnsi="仿宋" w:eastAsia="仿宋" w:cs="仿宋"/>
          <w:sz w:val="24"/>
          <w:szCs w:val="24"/>
        </w:rPr>
        <w:t>应对管理人员进行培训，</w:t>
      </w:r>
      <w:r>
        <w:rPr>
          <w:rFonts w:hint="eastAsia" w:ascii="仿宋" w:hAnsi="仿宋" w:eastAsia="仿宋" w:cs="仿宋"/>
          <w:sz w:val="24"/>
          <w:szCs w:val="24"/>
          <w:lang w:eastAsia="zh-CN"/>
        </w:rPr>
        <w:t>中标供应商</w:t>
      </w:r>
      <w:r>
        <w:rPr>
          <w:rFonts w:hint="eastAsia" w:ascii="仿宋" w:hAnsi="仿宋" w:eastAsia="仿宋" w:cs="仿宋"/>
          <w:sz w:val="24"/>
          <w:szCs w:val="24"/>
        </w:rPr>
        <w:t>处的培训为3人一月，并应安排在收到接受书后三个月内完成。在现场地培训应在完工测试和试运转之前完成。</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5.4技术培训</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（1）包括工程师和一般技术员的培训。如果课程在</w:t>
      </w:r>
      <w:r>
        <w:rPr>
          <w:rFonts w:hint="eastAsia" w:ascii="仿宋" w:hAnsi="仿宋" w:eastAsia="仿宋" w:cs="仿宋"/>
          <w:sz w:val="24"/>
          <w:szCs w:val="24"/>
          <w:lang w:eastAsia="zh-CN"/>
        </w:rPr>
        <w:t>中标供应商</w:t>
      </w:r>
      <w:r>
        <w:rPr>
          <w:rFonts w:hint="eastAsia" w:ascii="仿宋" w:hAnsi="仿宋" w:eastAsia="仿宋" w:cs="仿宋"/>
          <w:sz w:val="24"/>
          <w:szCs w:val="24"/>
        </w:rPr>
        <w:t>处讲授，</w:t>
      </w:r>
      <w:r>
        <w:rPr>
          <w:rFonts w:hint="eastAsia" w:ascii="仿宋" w:hAnsi="仿宋" w:eastAsia="仿宋" w:cs="仿宋"/>
          <w:sz w:val="24"/>
          <w:szCs w:val="24"/>
          <w:lang w:eastAsia="zh-CN"/>
        </w:rPr>
        <w:t>中标供应商</w:t>
      </w:r>
      <w:r>
        <w:rPr>
          <w:rFonts w:hint="eastAsia" w:ascii="仿宋" w:hAnsi="仿宋" w:eastAsia="仿宋" w:cs="仿宋"/>
          <w:sz w:val="24"/>
          <w:szCs w:val="24"/>
        </w:rPr>
        <w:t>应给出每人的交通和食宿报价。</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（2）培训期为三周，并要在工程验收之前完成，技术员培训至少应在第二阶段现场测试及试运转之前完成。培训所用教材至少在培训开始前一个月提供，涉及国外设备及软件的教材应用中文和英文编写。</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（3）参加培训的工程师和技术人员还要与</w:t>
      </w:r>
      <w:r>
        <w:rPr>
          <w:rFonts w:hint="eastAsia" w:ascii="仿宋" w:hAnsi="仿宋" w:eastAsia="仿宋" w:cs="仿宋"/>
          <w:sz w:val="24"/>
          <w:szCs w:val="24"/>
          <w:lang w:eastAsia="zh-CN"/>
        </w:rPr>
        <w:t>中标供应商</w:t>
      </w:r>
      <w:r>
        <w:rPr>
          <w:rFonts w:hint="eastAsia" w:ascii="仿宋" w:hAnsi="仿宋" w:eastAsia="仿宋" w:cs="仿宋"/>
          <w:sz w:val="24"/>
          <w:szCs w:val="24"/>
        </w:rPr>
        <w:t>的工作人员一起参加方案设计、软件编制以及所有设备的安装、测试和试运转工作。使维修技术员能够充分理解所有列出设备；迅速找出故障和确定损坏的部件；更换损坏的部件并进行修复；按照制造商的规范进行例行维护；了解微型计算机程序，但不一定能修改程序。</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计算机系统工程师/程序员则应是计算机的熟练应用人员。具备专业的计算机软硬件知识。除了指导和监督技术小组的工作外，工程师/或程序员还将负责：微型计算机程序修改，工程师/程序员要掌握技术员知识和技能。</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5.5教材</w:t>
      </w:r>
    </w:p>
    <w:p>
      <w:pPr>
        <w:pStyle w:val="2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中标供应商</w:t>
      </w:r>
      <w:r>
        <w:rPr>
          <w:rFonts w:hint="eastAsia" w:ascii="仿宋" w:hAnsi="仿宋" w:eastAsia="仿宋" w:cs="仿宋"/>
          <w:sz w:val="24"/>
          <w:szCs w:val="24"/>
        </w:rPr>
        <w:t>应提供上述课程的所有书面材料（至少4份拷贝）及其声像材料，所有这些材料属</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p>
    <w:p>
      <w:pPr>
        <w:pStyle w:val="20"/>
        <w:spacing w:line="360" w:lineRule="auto"/>
        <w:ind w:left="0" w:leftChars="0" w:firstLine="482" w:firstLineChars="200"/>
        <w:jc w:val="center"/>
        <w:rPr>
          <w:rFonts w:hint="eastAsia" w:ascii="仿宋" w:hAnsi="仿宋" w:eastAsia="仿宋" w:cs="仿宋"/>
          <w:b/>
          <w:sz w:val="24"/>
          <w:szCs w:val="24"/>
        </w:rPr>
      </w:pPr>
    </w:p>
    <w:p>
      <w:pPr>
        <w:pStyle w:val="20"/>
        <w:spacing w:line="360" w:lineRule="auto"/>
        <w:ind w:left="0" w:leftChars="0"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九</w:t>
      </w:r>
      <w:r>
        <w:rPr>
          <w:rFonts w:hint="eastAsia" w:ascii="仿宋" w:hAnsi="仿宋" w:eastAsia="仿宋" w:cs="仿宋"/>
          <w:b/>
          <w:sz w:val="24"/>
          <w:szCs w:val="24"/>
        </w:rPr>
        <w:t>、售后服务</w:t>
      </w:r>
    </w:p>
    <w:p>
      <w:pPr>
        <w:spacing w:line="360" w:lineRule="auto"/>
        <w:ind w:firstLine="560"/>
        <w:rPr>
          <w:rFonts w:hint="eastAsia" w:ascii="仿宋" w:hAnsi="仿宋" w:eastAsia="仿宋" w:cs="仿宋"/>
          <w:sz w:val="24"/>
          <w:szCs w:val="24"/>
        </w:rPr>
      </w:pPr>
      <w:r>
        <w:rPr>
          <w:rFonts w:hint="eastAsia" w:ascii="仿宋" w:hAnsi="仿宋" w:eastAsia="仿宋" w:cs="仿宋"/>
          <w:sz w:val="24"/>
          <w:szCs w:val="24"/>
        </w:rPr>
        <w:t>一、本项目应用系统从项目总体验收合格之日（从双方代表终验签字之日起计算）起，需提供所开发系统免费维护12个月。在质量保证期内，为确保为本项目系统稳定正常运行，公司方需保证具有丰富的项目运维经验的技术人员，至少1人为本项目售后服务提供现场保障，且需是公司正式员工，任职一年以上。</w:t>
      </w:r>
    </w:p>
    <w:p>
      <w:pPr>
        <w:spacing w:line="360" w:lineRule="auto"/>
        <w:ind w:firstLine="560"/>
        <w:rPr>
          <w:rFonts w:hint="eastAsia" w:ascii="仿宋" w:hAnsi="仿宋" w:eastAsia="仿宋" w:cs="仿宋"/>
          <w:sz w:val="24"/>
          <w:szCs w:val="24"/>
        </w:rPr>
      </w:pPr>
      <w:r>
        <w:rPr>
          <w:rFonts w:hint="eastAsia" w:ascii="仿宋" w:hAnsi="仿宋" w:eastAsia="仿宋" w:cs="仿宋"/>
          <w:sz w:val="24"/>
          <w:szCs w:val="24"/>
        </w:rPr>
        <w:t>二、硬件设备维护，包括：铁骑车载智能**终端和移动执法抓拍设备，安装调试、设备运行维护应符合《道路交通技术监控设备运行维护规范》（GA/T1043-2013），并能安排专门团队进行设备管理维护、需求收集和后台维护升级，并至少安排一名系统集成工程师驻现场，保障设备和系统能够正常使用。每两个月需完成对前端监控点系统设备、后端系统设备和器材的至少一次维护保养（一年共6次）。对上述设备、器材经维护后确诊需维修的，要及时提出有关建议。</w:t>
      </w:r>
    </w:p>
    <w:p>
      <w:pPr>
        <w:spacing w:line="360" w:lineRule="auto"/>
        <w:ind w:firstLine="560"/>
        <w:rPr>
          <w:rFonts w:hint="eastAsia" w:ascii="仿宋" w:hAnsi="仿宋" w:eastAsia="仿宋" w:cs="仿宋"/>
          <w:sz w:val="24"/>
          <w:szCs w:val="24"/>
        </w:rPr>
      </w:pPr>
      <w:r>
        <w:rPr>
          <w:rFonts w:hint="eastAsia" w:ascii="仿宋" w:hAnsi="仿宋" w:eastAsia="仿宋" w:cs="仿宋"/>
          <w:sz w:val="24"/>
          <w:szCs w:val="24"/>
        </w:rPr>
        <w:t>三、在质量保证期内，公司方提供技术服务、升级服务并负责对运行中出现软件故障进行处理，根据实际故障情况派员负责查找故障原因并将系统恢复到正常运行状态。在质量保证期内，向建设方提供7*24小时的服务响应，保证建设方可以随时找到相应的技术人员，公司方在接到用户电话、传真通知后，30分钟内响应，一般问题一天内解决，重大问题三天内解决。特殊情况无法修复的，质保期内公司方无条件对系统软件进行更新升级；或采取使系统可正常运转的措施。若公司方未能按时处理，建设方有权自行处理，所发生的费用由公司方负责(在合同经费中扣除)。</w:t>
      </w:r>
    </w:p>
    <w:p>
      <w:pPr>
        <w:tabs>
          <w:tab w:val="left" w:pos="2212"/>
        </w:tabs>
        <w:spacing w:line="360" w:lineRule="auto"/>
        <w:ind w:firstLine="480" w:firstLineChars="200"/>
        <w:jc w:val="center"/>
        <w:rPr>
          <w:rFonts w:hint="eastAsia" w:ascii="仿宋" w:hAnsi="仿宋" w:eastAsia="仿宋" w:cs="仿宋"/>
          <w:sz w:val="24"/>
          <w:szCs w:val="24"/>
        </w:rPr>
      </w:pPr>
    </w:p>
    <w:p>
      <w:pPr>
        <w:tabs>
          <w:tab w:val="left" w:pos="2212"/>
        </w:tabs>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十、备件供应</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eastAsia="zh-CN"/>
        </w:rPr>
        <w:t>中标供应商</w:t>
      </w:r>
      <w:r>
        <w:rPr>
          <w:rFonts w:hint="eastAsia" w:ascii="仿宋" w:hAnsi="仿宋" w:eastAsia="仿宋" w:cs="仿宋"/>
          <w:sz w:val="24"/>
          <w:szCs w:val="24"/>
        </w:rPr>
        <w:t>应确保有足够的备件、附件和易损件，以满足设备正常运行的需要，相关费用包含在货物供货报价中。</w:t>
      </w:r>
    </w:p>
    <w:p>
      <w:pPr>
        <w:spacing w:line="360" w:lineRule="auto"/>
        <w:ind w:firstLine="482" w:firstLineChars="200"/>
        <w:jc w:val="center"/>
        <w:rPr>
          <w:rFonts w:hint="eastAsia" w:ascii="仿宋" w:hAnsi="仿宋" w:eastAsia="仿宋" w:cs="仿宋"/>
          <w:b/>
          <w:sz w:val="24"/>
          <w:szCs w:val="24"/>
        </w:rPr>
      </w:pPr>
    </w:p>
    <w:p>
      <w:pPr>
        <w:spacing w:line="360" w:lineRule="auto"/>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、施工质量、管理要求及规定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w:t>
      </w:r>
      <w:r>
        <w:rPr>
          <w:rFonts w:hint="eastAsia" w:ascii="仿宋" w:hAnsi="仿宋" w:eastAsia="仿宋" w:cs="仿宋"/>
          <w:sz w:val="24"/>
          <w:szCs w:val="24"/>
          <w:lang w:val="en-US" w:eastAsia="zh-CN"/>
        </w:rPr>
        <w:t>项目</w:t>
      </w:r>
      <w:r>
        <w:rPr>
          <w:rFonts w:hint="eastAsia" w:ascii="仿宋" w:hAnsi="仿宋" w:eastAsia="仿宋" w:cs="仿宋"/>
          <w:sz w:val="24"/>
          <w:szCs w:val="24"/>
        </w:rPr>
        <w:t>质量必须达到现行国家标准，请投标人在投标书的施工组织设计中阐述工程施工质量保证措施。中标人必须严格按合同条款、施工图纸及设计说明文件、施工验收规范、国家和省市的有关质量评定验收标准，精心组织施工，确保工程质量达到合格。</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2、工程管理原则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（1）本工程未经</w:t>
      </w:r>
      <w:r>
        <w:rPr>
          <w:rFonts w:hint="eastAsia" w:ascii="仿宋" w:hAnsi="仿宋" w:eastAsia="仿宋" w:cs="仿宋"/>
          <w:sz w:val="24"/>
          <w:szCs w:val="24"/>
          <w:lang w:val="en-US" w:eastAsia="zh-CN"/>
        </w:rPr>
        <w:t>采购人</w:t>
      </w:r>
      <w:r>
        <w:rPr>
          <w:rFonts w:hint="eastAsia" w:ascii="仿宋" w:hAnsi="仿宋" w:eastAsia="仿宋" w:cs="仿宋"/>
          <w:sz w:val="24"/>
          <w:szCs w:val="24"/>
        </w:rPr>
        <w:t>同意，一律不得分包，禁止转包。一经发现立即取消承包人的承包资格，并承担由此引起的一切经济损失。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（2）中标</w:t>
      </w:r>
      <w:r>
        <w:rPr>
          <w:rFonts w:hint="eastAsia" w:ascii="仿宋" w:hAnsi="仿宋" w:eastAsia="仿宋" w:cs="仿宋"/>
          <w:sz w:val="24"/>
          <w:szCs w:val="24"/>
          <w:lang w:val="en-US" w:eastAsia="zh-CN"/>
        </w:rPr>
        <w:t>供应商</w:t>
      </w:r>
      <w:r>
        <w:rPr>
          <w:rFonts w:hint="eastAsia" w:ascii="仿宋" w:hAnsi="仿宋" w:eastAsia="仿宋" w:cs="仿宋"/>
          <w:sz w:val="24"/>
          <w:szCs w:val="24"/>
        </w:rPr>
        <w:t>应严格按已确认的施工技术方案组织实施，并无条件地接受</w:t>
      </w:r>
      <w:r>
        <w:rPr>
          <w:rFonts w:hint="eastAsia" w:ascii="仿宋" w:hAnsi="仿宋" w:eastAsia="仿宋" w:cs="仿宋"/>
          <w:sz w:val="24"/>
          <w:szCs w:val="24"/>
          <w:lang w:val="en-US" w:eastAsia="zh-CN"/>
        </w:rPr>
        <w:t>采购人</w:t>
      </w:r>
      <w:r>
        <w:rPr>
          <w:rFonts w:hint="eastAsia" w:ascii="仿宋" w:hAnsi="仿宋" w:eastAsia="仿宋" w:cs="仿宋"/>
          <w:sz w:val="24"/>
          <w:szCs w:val="24"/>
        </w:rPr>
        <w:t>委托的监理单位对施工质量的监督和管理。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供应商</w:t>
      </w:r>
      <w:r>
        <w:rPr>
          <w:rFonts w:hint="eastAsia" w:ascii="仿宋" w:hAnsi="仿宋" w:eastAsia="仿宋" w:cs="仿宋"/>
          <w:sz w:val="24"/>
          <w:szCs w:val="24"/>
        </w:rPr>
        <w:t>在投标书中的承诺，经考察选定的工程项目经理及相应资质的专业技术、管理人员应按工程进度及时到位，未经</w:t>
      </w:r>
      <w:r>
        <w:rPr>
          <w:rFonts w:hint="eastAsia" w:ascii="仿宋" w:hAnsi="仿宋" w:eastAsia="仿宋" w:cs="仿宋"/>
          <w:sz w:val="24"/>
          <w:szCs w:val="24"/>
          <w:lang w:val="en-US" w:eastAsia="zh-CN"/>
        </w:rPr>
        <w:t>采购人</w:t>
      </w:r>
      <w:r>
        <w:rPr>
          <w:rFonts w:hint="eastAsia" w:ascii="仿宋" w:hAnsi="仿宋" w:eastAsia="仿宋" w:cs="仿宋"/>
          <w:sz w:val="24"/>
          <w:szCs w:val="24"/>
        </w:rPr>
        <w:t>同意，</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不得调换和撤离。</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有权要求</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撤换工作不负责任、管理不力、贻误工期和造成严重的安全事故和工程质量事故、违法乱纪的专业技术、管理人员直至项目经理，</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必须按照业主要求及时撤换到位。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3、安全施工、文明管理：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（1）本工程施工必须达到市标准化工地要求。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应与</w:t>
      </w:r>
      <w:r>
        <w:rPr>
          <w:rFonts w:hint="eastAsia" w:ascii="仿宋" w:hAnsi="仿宋" w:eastAsia="仿宋" w:cs="仿宋"/>
          <w:sz w:val="24"/>
          <w:szCs w:val="24"/>
          <w:lang w:val="en-US" w:eastAsia="zh-CN"/>
        </w:rPr>
        <w:t>采购人</w:t>
      </w:r>
      <w:r>
        <w:rPr>
          <w:rFonts w:hint="eastAsia" w:ascii="仿宋" w:hAnsi="仿宋" w:eastAsia="仿宋" w:cs="仿宋"/>
          <w:sz w:val="24"/>
          <w:szCs w:val="24"/>
        </w:rPr>
        <w:t>签订《治安责任承包协议书》，服从地方社会治安、综合治理、计划生育、交通管理、环境保护等管理规定。并设有专职人员负责上述条款的执行。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供应商</w:t>
      </w:r>
      <w:r>
        <w:rPr>
          <w:rFonts w:hint="eastAsia" w:ascii="仿宋" w:hAnsi="仿宋" w:eastAsia="仿宋" w:cs="仿宋"/>
          <w:sz w:val="24"/>
          <w:szCs w:val="24"/>
        </w:rPr>
        <w:t>应有详细的工程安全措施和安全组织及配备专职安全负责人的说明和承诺，以确保安全施工工作。工程中产生的一切责任事故由中标方承担全部责任。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在工程施工期间，必须设有专职用电管理员全面负责施工用电的管理。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中标供应商</w:t>
      </w:r>
      <w:r>
        <w:rPr>
          <w:rFonts w:hint="eastAsia" w:ascii="仿宋" w:hAnsi="仿宋" w:eastAsia="仿宋" w:cs="仿宋"/>
          <w:sz w:val="24"/>
          <w:szCs w:val="24"/>
        </w:rPr>
        <w:t>在工程施工全过程中要认真做好产品保护。因失窃或失火造成的损失均由承包人负责，凡由此而损及业主利益时，业主将向承包人索赔。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特别说明：</w:t>
      </w:r>
    </w:p>
    <w:p>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sz w:val="24"/>
          <w:szCs w:val="24"/>
        </w:rPr>
        <w:t>本技术规格只是对系统原则性的要求，并非详尽的要求，供应商有责任对提供的产品符合技术规范负责，并有责任提出在本技术规格中未阐述的但为保证今后能一次性通过验收及保证正常使用所必须的建议和要求，并落实在投标文件报价之中。</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4、施工进度要求：6个月内完工。</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5、实施地点：由采购人指定。</w:t>
      </w:r>
    </w:p>
    <w:p>
      <w:pPr>
        <w:spacing w:line="360" w:lineRule="auto"/>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十二、付款方式</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合同签订后支付合同价款的</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作为预付款</w:t>
      </w:r>
      <w:r>
        <w:rPr>
          <w:rFonts w:hint="eastAsia" w:ascii="仿宋" w:hAnsi="仿宋" w:eastAsia="仿宋" w:cs="仿宋"/>
          <w:color w:val="auto"/>
          <w:sz w:val="24"/>
          <w:szCs w:val="24"/>
        </w:rPr>
        <w:t>；完成所有功能模块的开发并验收合格正式交付使用后支付</w:t>
      </w:r>
      <w:r>
        <w:rPr>
          <w:rFonts w:hint="eastAsia" w:ascii="仿宋" w:hAnsi="仿宋" w:eastAsia="仿宋" w:cs="仿宋"/>
          <w:color w:val="auto"/>
          <w:sz w:val="24"/>
          <w:szCs w:val="24"/>
          <w:lang w:val="en-US" w:eastAsia="zh-CN"/>
        </w:rPr>
        <w:t>剩余款项</w:t>
      </w:r>
      <w:r>
        <w:rPr>
          <w:rFonts w:hint="eastAsia" w:ascii="仿宋" w:hAnsi="仿宋" w:eastAsia="仿宋" w:cs="仿宋"/>
          <w:color w:val="auto"/>
          <w:sz w:val="24"/>
          <w:szCs w:val="24"/>
        </w:rPr>
        <w:t>。</w:t>
      </w:r>
    </w:p>
    <w:p>
      <w:pPr>
        <w:spacing w:line="420" w:lineRule="exact"/>
        <w:jc w:val="center"/>
        <w:rPr>
          <w:rFonts w:hint="eastAsia" w:ascii="仿宋" w:hAnsi="仿宋" w:eastAsia="仿宋" w:cs="仿宋"/>
          <w:b/>
          <w:color w:val="auto"/>
          <w:sz w:val="36"/>
          <w:szCs w:val="36"/>
        </w:rPr>
      </w:pPr>
    </w:p>
    <w:p>
      <w:pPr>
        <w:spacing w:line="420" w:lineRule="exact"/>
        <w:jc w:val="center"/>
        <w:rPr>
          <w:rFonts w:hint="eastAsia" w:ascii="仿宋" w:hAnsi="仿宋" w:eastAsia="仿宋" w:cs="仿宋"/>
          <w:b/>
          <w:color w:val="auto"/>
          <w:sz w:val="36"/>
          <w:szCs w:val="36"/>
        </w:rPr>
      </w:pPr>
    </w:p>
    <w:p>
      <w:pPr>
        <w:spacing w:line="420" w:lineRule="exact"/>
        <w:jc w:val="center"/>
        <w:rPr>
          <w:rFonts w:hint="eastAsia" w:ascii="仿宋" w:hAnsi="仿宋" w:eastAsia="仿宋" w:cs="仿宋"/>
          <w:b/>
          <w:color w:val="auto"/>
          <w:sz w:val="36"/>
          <w:szCs w:val="36"/>
        </w:rPr>
      </w:pPr>
    </w:p>
    <w:p>
      <w:pPr>
        <w:spacing w:line="420" w:lineRule="exact"/>
        <w:jc w:val="center"/>
        <w:rPr>
          <w:rFonts w:hint="eastAsia" w:ascii="仿宋" w:hAnsi="仿宋" w:eastAsia="仿宋" w:cs="仿宋"/>
          <w:b/>
          <w:color w:val="auto"/>
          <w:sz w:val="36"/>
          <w:szCs w:val="36"/>
        </w:rPr>
      </w:pPr>
    </w:p>
    <w:p>
      <w:pPr>
        <w:spacing w:line="420" w:lineRule="exact"/>
        <w:jc w:val="center"/>
        <w:rPr>
          <w:rFonts w:hint="eastAsia" w:ascii="仿宋" w:hAnsi="仿宋" w:eastAsia="仿宋" w:cs="仿宋"/>
          <w:b/>
          <w:color w:val="auto"/>
          <w:sz w:val="36"/>
          <w:szCs w:val="36"/>
        </w:rPr>
      </w:pPr>
    </w:p>
    <w:p>
      <w:pPr>
        <w:spacing w:line="420" w:lineRule="exact"/>
        <w:jc w:val="both"/>
        <w:rPr>
          <w:rFonts w:hint="eastAsia" w:ascii="仿宋" w:hAnsi="仿宋" w:eastAsia="仿宋" w:cs="仿宋"/>
          <w:b/>
          <w:color w:val="auto"/>
          <w:sz w:val="36"/>
          <w:szCs w:val="36"/>
        </w:rPr>
      </w:pPr>
    </w:p>
    <w:p>
      <w:pPr>
        <w:pStyle w:val="2"/>
        <w:rPr>
          <w:rFonts w:hint="eastAsia" w:ascii="仿宋" w:hAnsi="仿宋" w:eastAsia="仿宋" w:cs="仿宋"/>
          <w:b/>
          <w:color w:val="auto"/>
          <w:sz w:val="36"/>
          <w:szCs w:val="36"/>
        </w:rPr>
      </w:pPr>
    </w:p>
    <w:p>
      <w:pPr>
        <w:pStyle w:val="3"/>
        <w:rPr>
          <w:rFonts w:hint="eastAsia" w:ascii="仿宋" w:hAnsi="仿宋" w:eastAsia="仿宋" w:cs="仿宋"/>
          <w:b/>
          <w:color w:val="auto"/>
          <w:sz w:val="36"/>
          <w:szCs w:val="36"/>
        </w:rPr>
      </w:pPr>
    </w:p>
    <w:p>
      <w:pPr>
        <w:rPr>
          <w:rFonts w:hint="eastAsia" w:ascii="仿宋" w:hAnsi="仿宋" w:eastAsia="仿宋" w:cs="仿宋"/>
          <w:b/>
          <w:color w:val="auto"/>
          <w:sz w:val="36"/>
          <w:szCs w:val="36"/>
        </w:rPr>
      </w:pPr>
    </w:p>
    <w:p>
      <w:pPr>
        <w:pStyle w:val="2"/>
        <w:rPr>
          <w:rFonts w:hint="eastAsia" w:ascii="仿宋" w:hAnsi="仿宋" w:eastAsia="仿宋" w:cs="仿宋"/>
          <w:b/>
          <w:color w:val="auto"/>
          <w:sz w:val="36"/>
          <w:szCs w:val="36"/>
        </w:rPr>
      </w:pPr>
    </w:p>
    <w:p>
      <w:pPr>
        <w:pStyle w:val="3"/>
        <w:rPr>
          <w:rFonts w:hint="eastAsia" w:ascii="仿宋" w:hAnsi="仿宋" w:eastAsia="仿宋" w:cs="仿宋"/>
          <w:b/>
          <w:color w:val="auto"/>
          <w:sz w:val="36"/>
          <w:szCs w:val="36"/>
        </w:rPr>
      </w:pPr>
    </w:p>
    <w:p>
      <w:pPr>
        <w:rPr>
          <w:rFonts w:hint="eastAsia" w:ascii="仿宋" w:hAnsi="仿宋" w:eastAsia="仿宋" w:cs="仿宋"/>
          <w:b/>
          <w:color w:val="auto"/>
          <w:sz w:val="36"/>
          <w:szCs w:val="36"/>
        </w:rPr>
      </w:pPr>
    </w:p>
    <w:p>
      <w:pPr>
        <w:pStyle w:val="2"/>
        <w:rPr>
          <w:rFonts w:hint="eastAsia" w:ascii="仿宋" w:hAnsi="仿宋" w:eastAsia="仿宋" w:cs="仿宋"/>
          <w:b/>
          <w:color w:val="auto"/>
          <w:sz w:val="36"/>
          <w:szCs w:val="36"/>
        </w:rPr>
      </w:pPr>
    </w:p>
    <w:p>
      <w:pPr>
        <w:pStyle w:val="3"/>
        <w:rPr>
          <w:rFonts w:hint="eastAsia" w:ascii="仿宋" w:hAnsi="仿宋" w:eastAsia="仿宋" w:cs="仿宋"/>
          <w:b/>
          <w:color w:val="auto"/>
          <w:sz w:val="36"/>
          <w:szCs w:val="36"/>
        </w:rPr>
      </w:pPr>
    </w:p>
    <w:p>
      <w:pPr>
        <w:rPr>
          <w:rFonts w:hint="eastAsia" w:ascii="仿宋" w:hAnsi="仿宋" w:eastAsia="仿宋" w:cs="仿宋"/>
          <w:b/>
          <w:color w:val="auto"/>
          <w:sz w:val="36"/>
          <w:szCs w:val="36"/>
        </w:rPr>
      </w:pPr>
    </w:p>
    <w:p>
      <w:pPr>
        <w:pStyle w:val="2"/>
        <w:rPr>
          <w:rFonts w:hint="eastAsia" w:ascii="仿宋" w:hAnsi="仿宋" w:eastAsia="仿宋" w:cs="仿宋"/>
          <w:b/>
          <w:color w:val="auto"/>
          <w:sz w:val="36"/>
          <w:szCs w:val="36"/>
        </w:rPr>
      </w:pPr>
    </w:p>
    <w:p>
      <w:pPr>
        <w:pStyle w:val="3"/>
        <w:rPr>
          <w:rFonts w:hint="eastAsia" w:ascii="仿宋" w:hAnsi="仿宋" w:eastAsia="仿宋" w:cs="仿宋"/>
          <w:b/>
          <w:color w:val="auto"/>
          <w:sz w:val="36"/>
          <w:szCs w:val="36"/>
        </w:rPr>
      </w:pPr>
    </w:p>
    <w:p>
      <w:pPr>
        <w:rPr>
          <w:rFonts w:hint="eastAsia" w:ascii="仿宋" w:hAnsi="仿宋" w:eastAsia="仿宋" w:cs="仿宋"/>
          <w:b/>
          <w:color w:val="auto"/>
          <w:sz w:val="36"/>
          <w:szCs w:val="36"/>
        </w:rPr>
      </w:pPr>
    </w:p>
    <w:p>
      <w:pPr>
        <w:pStyle w:val="2"/>
        <w:rPr>
          <w:rFonts w:hint="eastAsia" w:ascii="仿宋" w:hAnsi="仿宋" w:eastAsia="仿宋" w:cs="仿宋"/>
          <w:b/>
          <w:color w:val="auto"/>
          <w:sz w:val="36"/>
          <w:szCs w:val="36"/>
        </w:rPr>
      </w:pPr>
    </w:p>
    <w:p>
      <w:pPr>
        <w:rPr>
          <w:rFonts w:hint="eastAsia"/>
        </w:rPr>
      </w:pPr>
    </w:p>
    <w:p>
      <w:pPr>
        <w:spacing w:line="420" w:lineRule="exact"/>
        <w:jc w:val="center"/>
        <w:rPr>
          <w:rFonts w:hint="eastAsia" w:ascii="仿宋" w:hAnsi="仿宋" w:eastAsia="仿宋" w:cs="仿宋"/>
          <w:sz w:val="36"/>
          <w:szCs w:val="36"/>
        </w:rPr>
      </w:pPr>
      <w:r>
        <w:rPr>
          <w:rFonts w:hint="eastAsia" w:ascii="仿宋" w:hAnsi="仿宋" w:eastAsia="仿宋" w:cs="仿宋"/>
          <w:b/>
          <w:color w:val="auto"/>
          <w:sz w:val="36"/>
          <w:szCs w:val="36"/>
        </w:rPr>
        <w:t>第四章  评标办法及评分标准</w:t>
      </w:r>
    </w:p>
    <w:p>
      <w:pPr>
        <w:spacing w:line="420" w:lineRule="exact"/>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 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三、评分办法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（一）满分为100分。总得分=商务技术分（</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0分）+报价分（</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（二）技术得分=技术评分，技术评分=所有评委的有效评分的算术平均数。</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报价评分将在有效投标人范围内进行，最高得</w:t>
      </w:r>
      <w:r>
        <w:rPr>
          <w:rFonts w:hint="eastAsia" w:ascii="仿宋" w:hAnsi="仿宋" w:eastAsia="仿宋" w:cs="仿宋"/>
          <w:color w:val="auto"/>
          <w:kern w:val="1"/>
          <w:sz w:val="24"/>
          <w:szCs w:val="24"/>
          <w:lang w:val="en-US" w:eastAsia="zh-CN"/>
        </w:rPr>
        <w:t>30</w:t>
      </w:r>
      <w:r>
        <w:rPr>
          <w:rFonts w:hint="eastAsia" w:ascii="仿宋" w:hAnsi="仿宋" w:eastAsia="仿宋" w:cs="仿宋"/>
          <w:color w:val="auto"/>
          <w:kern w:val="1"/>
          <w:sz w:val="24"/>
          <w:szCs w:val="24"/>
        </w:rPr>
        <w:t>分，小数点后保留2位小数。满足招标文件要求且投标价格最低的投标报价为评标基准价，其报价分为满分。其他投标人的价格分按照下列公式计算：</w:t>
      </w:r>
    </w:p>
    <w:p>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ascii="仿宋" w:hAnsi="仿宋" w:eastAsia="仿宋" w:cs="仿宋"/>
          <w:color w:val="auto"/>
          <w:kern w:val="1"/>
          <w:sz w:val="24"/>
          <w:szCs w:val="24"/>
          <w:lang w:val="en-US" w:eastAsia="zh-CN"/>
        </w:rPr>
        <w:t>30</w:t>
      </w:r>
      <w:r>
        <w:rPr>
          <w:rFonts w:hint="eastAsia" w:ascii="仿宋" w:hAnsi="仿宋" w:eastAsia="仿宋" w:cs="仿宋"/>
          <w:color w:val="auto"/>
          <w:kern w:val="1"/>
          <w:sz w:val="24"/>
          <w:szCs w:val="24"/>
        </w:rPr>
        <w:t>，计算结果保留2位小数。</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（四）落实政府采购政策说明：</w:t>
      </w:r>
    </w:p>
    <w:p>
      <w:pPr>
        <w:spacing w:line="360" w:lineRule="auto"/>
        <w:ind w:firstLine="480" w:firstLineChars="200"/>
        <w:rPr>
          <w:rFonts w:hint="eastAsia" w:ascii="仿宋" w:hAnsi="仿宋" w:eastAsia="仿宋" w:cs="仿宋"/>
          <w:kern w:val="1"/>
          <w:sz w:val="24"/>
          <w:szCs w:val="24"/>
        </w:rPr>
      </w:pPr>
      <w:r>
        <w:rPr>
          <w:rFonts w:hint="eastAsia" w:ascii="仿宋" w:hAnsi="仿宋" w:eastAsia="仿宋" w:cs="仿宋"/>
          <w:kern w:val="1"/>
          <w:sz w:val="24"/>
          <w:szCs w:val="24"/>
        </w:rPr>
        <w:t>对小型或微型企业投标的扶持：</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pPr>
        <w:spacing w:line="420" w:lineRule="exact"/>
        <w:ind w:firstLine="482" w:firstLineChars="200"/>
        <w:rPr>
          <w:rFonts w:hint="eastAsia" w:ascii="仿宋" w:hAnsi="仿宋" w:eastAsia="仿宋" w:cs="仿宋"/>
          <w:b/>
          <w:bCs/>
          <w:color w:val="0000FF"/>
          <w:sz w:val="24"/>
          <w:szCs w:val="24"/>
          <w:highlight w:val="yellow"/>
          <w:lang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）技术分评分细则（</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0分）</w:t>
      </w:r>
      <w:bookmarkStart w:id="17" w:name="_Hlk36476656"/>
    </w:p>
    <w:tbl>
      <w:tblPr>
        <w:tblStyle w:val="34"/>
        <w:tblpPr w:leftFromText="180" w:rightFromText="180" w:vertAnchor="text" w:horzAnchor="page" w:tblpXSpec="center" w:tblpY="417"/>
        <w:tblOverlap w:val="never"/>
        <w:tblW w:w="54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75"/>
        <w:gridCol w:w="1094"/>
        <w:gridCol w:w="676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blHeader/>
        </w:trPr>
        <w:tc>
          <w:tcPr>
            <w:tcW w:w="288" w:type="pct"/>
            <w:tcBorders>
              <w:top w:val="single" w:color="auto" w:sz="4" w:space="0"/>
              <w:left w:val="single" w:color="auto" w:sz="4" w:space="0"/>
              <w:bottom w:val="single" w:color="auto" w:sz="4" w:space="0"/>
              <w:right w:val="single" w:color="auto" w:sz="4" w:space="0"/>
            </w:tcBorders>
            <w:shd w:val="clear" w:color="auto" w:fill="BEBEBE"/>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sz w:val="24"/>
                <w:szCs w:val="24"/>
              </w:rPr>
              <w:t>序号</w:t>
            </w:r>
          </w:p>
        </w:tc>
        <w:tc>
          <w:tcPr>
            <w:tcW w:w="902" w:type="pct"/>
            <w:gridSpan w:val="2"/>
            <w:tcBorders>
              <w:top w:val="single" w:color="auto" w:sz="4" w:space="0"/>
              <w:left w:val="single" w:color="auto" w:sz="4" w:space="0"/>
              <w:bottom w:val="single" w:color="auto" w:sz="4" w:space="0"/>
              <w:right w:val="single" w:color="auto" w:sz="4" w:space="0"/>
            </w:tcBorders>
            <w:shd w:val="clear" w:color="auto" w:fill="BEBEBE"/>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3266" w:type="pct"/>
            <w:tcBorders>
              <w:top w:val="single" w:color="auto" w:sz="4" w:space="0"/>
              <w:left w:val="single" w:color="auto" w:sz="4" w:space="0"/>
              <w:bottom w:val="single" w:color="auto" w:sz="4" w:space="0"/>
              <w:right w:val="single" w:color="auto" w:sz="4" w:space="0"/>
            </w:tcBorders>
            <w:shd w:val="clear" w:color="auto" w:fill="BEBEBE"/>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评分说明</w:t>
            </w:r>
          </w:p>
        </w:tc>
        <w:tc>
          <w:tcPr>
            <w:tcW w:w="543" w:type="pct"/>
            <w:tcBorders>
              <w:top w:val="single" w:color="auto" w:sz="4" w:space="0"/>
              <w:left w:val="single" w:color="auto" w:sz="4" w:space="0"/>
              <w:bottom w:val="single" w:color="auto" w:sz="4" w:space="0"/>
              <w:right w:val="single" w:color="auto" w:sz="4" w:space="0"/>
            </w:tcBorders>
            <w:shd w:val="clear" w:color="auto" w:fill="BEBEBE"/>
            <w:noWrap w:val="0"/>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分值</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分</w:t>
            </w:r>
            <w:r>
              <w:rPr>
                <w:rFonts w:hint="eastAsia" w:ascii="仿宋" w:hAnsi="仿宋" w:eastAsia="仿宋" w:cs="仿宋"/>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7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投标主要系统设计分</w:t>
            </w: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系统总体设计方案</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2"/>
                <w:sz w:val="24"/>
                <w:szCs w:val="24"/>
              </w:rPr>
            </w:pPr>
            <w:r>
              <w:rPr>
                <w:rFonts w:hint="eastAsia" w:ascii="仿宋" w:hAnsi="仿宋" w:eastAsia="仿宋" w:cs="仿宋"/>
                <w:sz w:val="24"/>
                <w:szCs w:val="24"/>
              </w:rPr>
              <w:t>根据投标人对本期建设项目整体熟悉程度、业务需求理解、软件整体规划等综合因素分析，提供全面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、详实</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、可行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rPr>
              <w:t>的总体软件设计方案</w:t>
            </w:r>
            <w:r>
              <w:rPr>
                <w:rFonts w:hint="eastAsia" w:ascii="仿宋" w:hAnsi="仿宋" w:eastAsia="仿宋" w:cs="仿宋"/>
                <w:sz w:val="24"/>
                <w:szCs w:val="24"/>
                <w:lang w:eastAsia="zh-CN"/>
              </w:rPr>
              <w:t>进行</w:t>
            </w:r>
            <w:r>
              <w:rPr>
                <w:rFonts w:hint="eastAsia" w:ascii="仿宋" w:hAnsi="仿宋" w:eastAsia="仿宋" w:cs="仿宋"/>
                <w:sz w:val="24"/>
                <w:szCs w:val="24"/>
              </w:rPr>
              <w:t>打分。</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系统总体</w:t>
            </w:r>
            <w:r>
              <w:rPr>
                <w:rFonts w:hint="eastAsia" w:ascii="仿宋" w:hAnsi="仿宋" w:eastAsia="仿宋" w:cs="仿宋"/>
                <w:sz w:val="24"/>
                <w:szCs w:val="24"/>
                <w:lang w:val="en-US" w:eastAsia="zh-CN"/>
              </w:rPr>
              <w:t>实施建议</w:t>
            </w:r>
            <w:r>
              <w:rPr>
                <w:rFonts w:hint="eastAsia" w:ascii="仿宋" w:hAnsi="仿宋" w:eastAsia="仿宋" w:cs="仿宋"/>
                <w:sz w:val="24"/>
                <w:szCs w:val="24"/>
              </w:rPr>
              <w:t>方案</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2"/>
                <w:sz w:val="24"/>
                <w:szCs w:val="24"/>
              </w:rPr>
            </w:pPr>
            <w:r>
              <w:rPr>
                <w:rFonts w:hint="eastAsia" w:ascii="仿宋" w:hAnsi="仿宋" w:eastAsia="仿宋" w:cs="仿宋"/>
                <w:sz w:val="24"/>
                <w:szCs w:val="24"/>
              </w:rPr>
              <w:t>根据投标人针对本期前后端整体项目提供的实施步骤、实施计划、实施资料，以及安全保证措施、质量保证措施、进度保证措施、环境保证措施等综合方案</w:t>
            </w:r>
            <w:r>
              <w:rPr>
                <w:rFonts w:hint="eastAsia" w:ascii="仿宋" w:hAnsi="仿宋" w:eastAsia="仿宋" w:cs="仿宋"/>
                <w:sz w:val="24"/>
                <w:szCs w:val="24"/>
                <w:lang w:val="en-US" w:eastAsia="zh-CN"/>
              </w:rPr>
              <w:t>是否</w:t>
            </w:r>
            <w:r>
              <w:rPr>
                <w:rFonts w:hint="eastAsia" w:ascii="仿宋" w:hAnsi="仿宋" w:eastAsia="仿宋" w:cs="仿宋"/>
                <w:sz w:val="24"/>
                <w:szCs w:val="24"/>
              </w:rPr>
              <w:t>详细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、明确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、精准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进行打分</w:t>
            </w:r>
            <w:r>
              <w:rPr>
                <w:rFonts w:hint="eastAsia" w:ascii="仿宋" w:hAnsi="仿宋" w:eastAsia="仿宋" w:cs="仿宋"/>
                <w:sz w:val="24"/>
                <w:szCs w:val="24"/>
              </w:rPr>
              <w:t>。</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扁平化系统软硬件项</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2"/>
                <w:sz w:val="24"/>
                <w:szCs w:val="24"/>
              </w:rPr>
            </w:pPr>
            <w:r>
              <w:rPr>
                <w:rFonts w:hint="eastAsia" w:ascii="仿宋" w:hAnsi="仿宋" w:eastAsia="仿宋" w:cs="仿宋"/>
                <w:sz w:val="24"/>
                <w:szCs w:val="24"/>
              </w:rPr>
              <w:t>根据投标人对本项目业务管理需求理解，提供详细的系统设计框架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以及业务数据整合实现精准治理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，精密管控的方案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0-1）进行</w:t>
            </w:r>
            <w:r>
              <w:rPr>
                <w:rFonts w:hint="eastAsia" w:ascii="仿宋" w:hAnsi="仿宋" w:eastAsia="仿宋" w:cs="仿宋"/>
                <w:sz w:val="24"/>
                <w:szCs w:val="24"/>
              </w:rPr>
              <w:t>打分。</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交通信号控制机建设项</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2"/>
                <w:sz w:val="24"/>
                <w:szCs w:val="24"/>
              </w:rPr>
            </w:pPr>
            <w:r>
              <w:rPr>
                <w:rFonts w:hint="eastAsia" w:ascii="仿宋" w:hAnsi="仿宋" w:eastAsia="仿宋" w:cs="仿宋"/>
                <w:sz w:val="24"/>
                <w:szCs w:val="24"/>
              </w:rPr>
              <w:t>根据投标人针对本期前后端整体项目提供的实施步骤、实施计划、实施资料（详细、明确、精准的勘察点位、施工图纸、地图分布、取电位置、安装选点等）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以及安全保证措施、质量保证措施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rPr>
              <w:t>进度保证措施、环境保证措施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0-1)进行打分。</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交通信号控制系统信号优化及运维项</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交通信号控制系统支持武义县公安局全域智能感知体系建设项目交警前端点位建设）的协调式联网交通信号控制机进行无缝对接，提供详尽的对接方案，包括平台及需接入的信号机的对接接口协议及开放性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，兼容性等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w:t>
            </w:r>
            <w:r>
              <w:rPr>
                <w:rFonts w:hint="eastAsia" w:ascii="仿宋" w:hAnsi="仿宋" w:eastAsia="仿宋" w:cs="仿宋"/>
                <w:sz w:val="24"/>
                <w:szCs w:val="24"/>
                <w:lang w:eastAsia="zh-CN"/>
              </w:rPr>
              <w:t>）</w:t>
            </w:r>
            <w:r>
              <w:rPr>
                <w:rFonts w:hint="eastAsia" w:ascii="仿宋" w:hAnsi="仿宋" w:eastAsia="仿宋" w:cs="仿宋"/>
                <w:sz w:val="24"/>
                <w:szCs w:val="24"/>
              </w:rPr>
              <w:t>，相关数据及证明资料，以及信号优化案例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0-1）进行打分</w:t>
            </w:r>
            <w:r>
              <w:rPr>
                <w:rFonts w:hint="eastAsia" w:ascii="仿宋" w:hAnsi="仿宋" w:eastAsia="仿宋" w:cs="仿宋"/>
                <w:sz w:val="24"/>
                <w:szCs w:val="24"/>
              </w:rPr>
              <w:t>。</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7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投标主要系统项目实施分</w:t>
            </w:r>
          </w:p>
        </w:tc>
        <w:tc>
          <w:tcPr>
            <w:tcW w:w="528"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项目实施及方案</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2"/>
                <w:sz w:val="24"/>
                <w:szCs w:val="24"/>
              </w:rPr>
            </w:pPr>
            <w:r>
              <w:rPr>
                <w:rFonts w:hint="eastAsia" w:ascii="仿宋" w:hAnsi="仿宋" w:eastAsia="仿宋" w:cs="仿宋"/>
                <w:sz w:val="24"/>
                <w:szCs w:val="24"/>
              </w:rPr>
              <w:t>实施团队人员配备齐全、充足，人员实力强，具备同类项目实施经验的，实施团队人员规模及以上，根据所提供的团队人员组成情况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学历情况（0-1）进行</w:t>
            </w:r>
            <w:r>
              <w:rPr>
                <w:rFonts w:hint="eastAsia" w:ascii="仿宋" w:hAnsi="仿宋" w:eastAsia="仿宋" w:cs="仿宋"/>
                <w:sz w:val="24"/>
                <w:szCs w:val="24"/>
              </w:rPr>
              <w:t>打分。</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color w:val="auto"/>
                <w:sz w:val="24"/>
                <w:szCs w:val="24"/>
              </w:rPr>
            </w:pPr>
            <w:r>
              <w:rPr>
                <w:rFonts w:hint="eastAsia" w:ascii="仿宋" w:hAnsi="仿宋" w:eastAsia="仿宋" w:cs="仿宋"/>
                <w:sz w:val="24"/>
                <w:szCs w:val="24"/>
              </w:rPr>
              <w:t>实施团队中具有二级建造师及以上（通信与广电工程或机电工程专业）资格证书的，或具有计算机技术与软件专业技术资格级别中级或高级（专业：系统集成项目管理工程师或信息系统项目管理师或网络工程师）证书的，或具有中级以上职称（信息技术或电子与通信或通信与信息系统）每人得0.5分，最高得1分。</w:t>
            </w:r>
            <w:r>
              <w:rPr>
                <w:rFonts w:hint="eastAsia" w:ascii="仿宋" w:hAnsi="仿宋" w:eastAsia="仿宋" w:cs="仿宋"/>
                <w:b/>
                <w:bCs/>
                <w:sz w:val="24"/>
                <w:szCs w:val="24"/>
              </w:rPr>
              <w:t>（人员需提供3个月及以上人员社保缴纳证明）</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0-1</w:t>
            </w:r>
          </w:p>
          <w:p>
            <w:pPr>
              <w:jc w:val="center"/>
              <w:rPr>
                <w:rFonts w:hint="eastAsia" w:ascii="仿宋" w:hAnsi="仿宋" w:eastAsia="仿宋" w:cs="仿宋"/>
                <w:sz w:val="24"/>
                <w:szCs w:val="24"/>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客观分</w:t>
            </w:r>
            <w:r>
              <w:rPr>
                <w:rFonts w:hint="eastAsia" w:ascii="仿宋" w:hAnsi="仿宋" w:eastAsia="仿宋" w:cs="仿宋"/>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52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rPr>
            </w:pPr>
            <w:r>
              <w:rPr>
                <w:rFonts w:hint="eastAsia" w:ascii="仿宋" w:hAnsi="仿宋" w:eastAsia="仿宋" w:cs="仿宋"/>
                <w:sz w:val="24"/>
                <w:szCs w:val="24"/>
              </w:rPr>
              <w:t>根据投标方提供的安装调试方案的可行性、预见性、合理性，对安装调试过程中可能遇到的重点、难点的理解及提出的应对预案或措施等内容</w:t>
            </w:r>
            <w:r>
              <w:rPr>
                <w:rFonts w:hint="eastAsia" w:ascii="仿宋" w:hAnsi="仿宋" w:eastAsia="仿宋" w:cs="仿宋"/>
                <w:sz w:val="24"/>
                <w:szCs w:val="24"/>
                <w:lang w:eastAsia="zh-CN"/>
              </w:rPr>
              <w:t>的</w:t>
            </w:r>
            <w:r>
              <w:rPr>
                <w:rFonts w:hint="eastAsia" w:ascii="仿宋" w:hAnsi="仿宋" w:eastAsia="仿宋" w:cs="仿宋"/>
                <w:sz w:val="24"/>
                <w:szCs w:val="24"/>
              </w:rPr>
              <w:t>合理</w:t>
            </w:r>
            <w:r>
              <w:rPr>
                <w:rFonts w:hint="eastAsia" w:ascii="仿宋" w:hAnsi="仿宋" w:eastAsia="仿宋" w:cs="仿宋"/>
                <w:sz w:val="24"/>
                <w:szCs w:val="24"/>
                <w:lang w:eastAsia="zh-CN"/>
              </w:rPr>
              <w:t>性（</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rPr>
              <w:t>、可行</w:t>
            </w:r>
            <w:r>
              <w:rPr>
                <w:rFonts w:hint="eastAsia" w:ascii="仿宋" w:hAnsi="仿宋" w:eastAsia="仿宋" w:cs="仿宋"/>
                <w:sz w:val="24"/>
                <w:szCs w:val="24"/>
                <w:lang w:eastAsia="zh-CN"/>
              </w:rPr>
              <w:t>性（</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）进行打分</w:t>
            </w:r>
            <w:r>
              <w:rPr>
                <w:rFonts w:hint="eastAsia" w:ascii="仿宋" w:hAnsi="仿宋" w:eastAsia="仿宋" w:cs="仿宋"/>
                <w:sz w:val="24"/>
                <w:szCs w:val="24"/>
              </w:rPr>
              <w:t>。</w:t>
            </w:r>
          </w:p>
        </w:tc>
        <w:tc>
          <w:tcPr>
            <w:tcW w:w="54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74"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投标所有系统技术、功能要求分</w:t>
            </w:r>
          </w:p>
        </w:tc>
        <w:tc>
          <w:tcPr>
            <w:tcW w:w="52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系统技术、功能要求</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lang w:eastAsia="zh-CN"/>
              </w:rPr>
            </w:pPr>
            <w:r>
              <w:rPr>
                <w:rFonts w:hint="eastAsia" w:ascii="仿宋" w:hAnsi="仿宋" w:eastAsia="仿宋" w:cs="仿宋"/>
                <w:sz w:val="24"/>
                <w:szCs w:val="24"/>
              </w:rPr>
              <w:t>根据投标人对招标系统技术参数、功能要求、建设要求等进行比较打分，完全满足招标文件要求的得</w:t>
            </w:r>
            <w:r>
              <w:rPr>
                <w:rFonts w:hint="eastAsia" w:ascii="仿宋" w:hAnsi="仿宋" w:eastAsia="仿宋" w:cs="仿宋"/>
                <w:sz w:val="24"/>
                <w:szCs w:val="24"/>
                <w:lang w:val="en-US" w:eastAsia="zh-CN"/>
              </w:rPr>
              <w:t>13</w:t>
            </w:r>
            <w:r>
              <w:rPr>
                <w:rFonts w:hint="eastAsia" w:ascii="仿宋" w:hAnsi="仿宋" w:eastAsia="仿宋" w:cs="仿宋"/>
                <w:sz w:val="24"/>
                <w:szCs w:val="24"/>
              </w:rPr>
              <w:t>分，带“★”核心参数不满足每一项负偏离扣1分，不带“★”参数不满足每一项负偏离扣0.5分，扣完为止（招标文件中要求提供相关权威机构产品认证、检测报告或其他证明材料的，需提供相关证明材料复印件并加盖投标单位电子签章，未能按照招标文件要求提供相关证明材料的作负偏离处理）</w:t>
            </w:r>
            <w:r>
              <w:rPr>
                <w:rFonts w:hint="eastAsia" w:ascii="仿宋" w:hAnsi="仿宋" w:eastAsia="仿宋" w:cs="仿宋"/>
                <w:sz w:val="24"/>
                <w:szCs w:val="24"/>
                <w:lang w:eastAsia="zh-CN"/>
              </w:rPr>
              <w:t>。</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13</w:t>
            </w:r>
          </w:p>
          <w:p>
            <w:pPr>
              <w:widowControl/>
              <w:textAlignment w:val="center"/>
              <w:rPr>
                <w:rFonts w:hint="eastAsia" w:ascii="仿宋" w:hAnsi="仿宋" w:eastAsia="仿宋" w:cs="仿宋"/>
                <w:sz w:val="24"/>
                <w:szCs w:val="24"/>
                <w:lang w:eastAsia="zh-CN"/>
              </w:rPr>
            </w:pPr>
            <w:r>
              <w:rPr>
                <w:rFonts w:hint="eastAsia" w:ascii="仿宋" w:hAnsi="仿宋" w:eastAsia="仿宋" w:cs="仿宋"/>
                <w:b w:val="0"/>
                <w:bCs w:val="0"/>
                <w:sz w:val="20"/>
                <w:szCs w:val="20"/>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74" w:type="pct"/>
            <w:vMerge w:val="restart"/>
            <w:tcBorders>
              <w:top w:val="single" w:color="auto" w:sz="4" w:space="0"/>
              <w:left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项目技术负责人</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rPr>
            </w:pPr>
            <w:r>
              <w:rPr>
                <w:rFonts w:hint="eastAsia" w:ascii="仿宋" w:hAnsi="仿宋" w:eastAsia="仿宋" w:cs="仿宋"/>
                <w:sz w:val="24"/>
                <w:szCs w:val="24"/>
              </w:rPr>
              <w:t>拟派软件技术负责人同时具有网络工程师认证，得1分，没有不得分；拟派硬件集成技术负责人具有信息技术（系统集成）工程师</w:t>
            </w:r>
            <w:r>
              <w:rPr>
                <w:rFonts w:hint="eastAsia" w:ascii="仿宋" w:hAnsi="仿宋" w:eastAsia="仿宋" w:cs="仿宋"/>
                <w:sz w:val="24"/>
                <w:szCs w:val="24"/>
                <w:lang w:val="en-US" w:eastAsia="zh-CN"/>
              </w:rPr>
              <w:t>中级及以上</w:t>
            </w:r>
            <w:r>
              <w:rPr>
                <w:rFonts w:hint="eastAsia" w:ascii="仿宋" w:hAnsi="仿宋" w:eastAsia="仿宋" w:cs="仿宋"/>
                <w:sz w:val="24"/>
                <w:szCs w:val="24"/>
              </w:rPr>
              <w:t>职称得1分，技术负责人同时具有电子信息采集分析、电子信息设备运维等相关的软件著作权证书的每提供一份得0.5分（软著相关度由专家组评定），最多1分；该项最高得3分。</w:t>
            </w:r>
          </w:p>
          <w:p>
            <w:pPr>
              <w:widowControl/>
              <w:spacing w:line="360" w:lineRule="auto"/>
              <w:textAlignment w:val="center"/>
              <w:rPr>
                <w:rFonts w:hint="eastAsia" w:ascii="仿宋" w:hAnsi="仿宋" w:eastAsia="仿宋" w:cs="仿宋"/>
                <w:sz w:val="24"/>
                <w:szCs w:val="24"/>
              </w:rPr>
            </w:pPr>
            <w:r>
              <w:rPr>
                <w:rFonts w:hint="eastAsia" w:ascii="仿宋" w:hAnsi="仿宋" w:eastAsia="仿宋" w:cs="仿宋"/>
                <w:b/>
                <w:bCs/>
                <w:sz w:val="24"/>
                <w:szCs w:val="24"/>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0-3</w:t>
            </w:r>
          </w:p>
          <w:p>
            <w:pPr>
              <w:pStyle w:val="2"/>
              <w:rPr>
                <w:rFonts w:hint="eastAsia"/>
              </w:rPr>
            </w:pP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客观分</w:t>
            </w:r>
            <w:r>
              <w:rPr>
                <w:rFonts w:hint="eastAsia" w:ascii="仿宋" w:hAnsi="仿宋" w:eastAsia="仿宋" w:cs="仿宋"/>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实施</w:t>
            </w:r>
          </w:p>
          <w:p>
            <w:pPr>
              <w:widowControl/>
              <w:textAlignment w:val="center"/>
              <w:rPr>
                <w:rFonts w:hint="eastAsia" w:ascii="仿宋" w:hAnsi="仿宋" w:eastAsia="仿宋" w:cs="仿宋"/>
                <w:sz w:val="24"/>
                <w:szCs w:val="24"/>
              </w:rPr>
            </w:pPr>
            <w:r>
              <w:rPr>
                <w:rFonts w:hint="eastAsia" w:ascii="仿宋" w:hAnsi="仿宋" w:eastAsia="仿宋" w:cs="仿宋"/>
                <w:sz w:val="24"/>
                <w:szCs w:val="24"/>
              </w:rPr>
              <w:t>成员</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rPr>
            </w:pPr>
            <w:r>
              <w:rPr>
                <w:rFonts w:hint="eastAsia" w:ascii="仿宋" w:hAnsi="仿宋" w:eastAsia="仿宋" w:cs="仿宋"/>
                <w:sz w:val="24"/>
                <w:szCs w:val="24"/>
              </w:rPr>
              <w:t>项目团队中（除项目经理和技术负责人外）具有软件设计师证书、软件评测师证书、数据库工程师证书的，每提供1个得0.5分，最高得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分。同一人员具备多本证书的不得重复得分。</w:t>
            </w:r>
          </w:p>
          <w:p>
            <w:pPr>
              <w:widowControl/>
              <w:spacing w:line="360" w:lineRule="auto"/>
              <w:textAlignment w:val="center"/>
              <w:rPr>
                <w:rFonts w:hint="eastAsia" w:ascii="仿宋" w:hAnsi="仿宋" w:eastAsia="仿宋" w:cs="仿宋"/>
                <w:sz w:val="24"/>
                <w:szCs w:val="24"/>
              </w:rPr>
            </w:pPr>
            <w:r>
              <w:rPr>
                <w:rFonts w:hint="eastAsia" w:ascii="仿宋" w:hAnsi="仿宋" w:eastAsia="仿宋" w:cs="仿宋"/>
                <w:b/>
                <w:bCs/>
                <w:sz w:val="24"/>
                <w:szCs w:val="24"/>
              </w:rPr>
              <w:t>注：需在商务技术响应文件中提供人员相关证书扫描件，以开标截止时间前连续3个月在投标单位缴纳的完整社保缴纳清单扫描件并加盖投标人电子签章。如中标单位新成立不足3个月的，按实际缴纳情况提供相关人员在该单位的社保缴费清单。</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p>
          <w:p>
            <w:pPr>
              <w:pStyle w:val="2"/>
              <w:rPr>
                <w:rFonts w:hint="eastAsia"/>
              </w:rPr>
            </w:pP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客观分</w:t>
            </w:r>
            <w:r>
              <w:rPr>
                <w:rFonts w:hint="eastAsia" w:ascii="仿宋" w:hAnsi="仿宋" w:eastAsia="仿宋" w:cs="仿宋"/>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2" w:type="pct"/>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系统演示情况（演示时间控制在15分钟以内）</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pStyle w:val="28"/>
              <w:spacing w:line="360" w:lineRule="auto"/>
              <w:ind w:left="0" w:leftChars="0"/>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1、提供数据统计分析、智能接处警、勤务排班等相关功能演示。按演示内容的完整性（0-2）与流畅度（0-1）打分。</w:t>
            </w:r>
          </w:p>
          <w:p>
            <w:pPr>
              <w:pStyle w:val="28"/>
              <w:spacing w:line="360" w:lineRule="auto"/>
              <w:ind w:left="0" w:leftChars="0"/>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2、提供交通类数据研判分析、交通数字驾驶舱等相关功能演示。按演示内容的完整性（0-1）与流畅度（0-1）打分。</w:t>
            </w:r>
          </w:p>
          <w:p>
            <w:pPr>
              <w:spacing w:line="360" w:lineRule="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bidi="ar-SA"/>
              </w:rPr>
              <w:t>3、提供统一信控平台录屏演示讲解，PPT演示不得分；按交通信号控制平台的实操性（0-2）、专业性（0-1）、软件功能符合度（0-2）进行打分。</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p>
          <w:p>
            <w:pPr>
              <w:widowControl/>
              <w:textAlignment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2" w:type="pct"/>
            <w:gridSpan w:val="2"/>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投标产品的著作权</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拟提供的软件产品需提供</w:t>
            </w:r>
            <w:r>
              <w:rPr>
                <w:rFonts w:hint="eastAsia" w:ascii="仿宋" w:hAnsi="仿宋" w:eastAsia="仿宋" w:cs="仿宋"/>
                <w:sz w:val="24"/>
                <w:szCs w:val="24"/>
              </w:rPr>
              <w:t>相关软件著作权证书且证书中包含以下关键词之一的大数据运维管理系统、数据安全管理系统、大数据数据质量管理、大数据精准协同管控类的软件著作权证书、 可视化智能交通管理、多维度交通数据融合、接处警可视化指挥、警情分析及应急指挥、智能交通指挥调度、交通管理大数据研判”，每个得0.5分，最高得2分。</w:t>
            </w:r>
          </w:p>
          <w:p>
            <w:pPr>
              <w:widowControl/>
              <w:spacing w:line="360" w:lineRule="auto"/>
              <w:textAlignment w:val="center"/>
              <w:rPr>
                <w:rFonts w:hint="eastAsia" w:ascii="仿宋" w:hAnsi="仿宋" w:eastAsia="仿宋" w:cs="仿宋"/>
                <w:sz w:val="24"/>
                <w:szCs w:val="24"/>
              </w:rPr>
            </w:pPr>
            <w:r>
              <w:rPr>
                <w:rFonts w:hint="eastAsia" w:ascii="仿宋" w:hAnsi="仿宋" w:eastAsia="仿宋" w:cs="仿宋"/>
                <w:b/>
                <w:bCs/>
                <w:sz w:val="24"/>
                <w:szCs w:val="24"/>
              </w:rPr>
              <w:t>（软件著作权获得日期时间需在招标公告发布日期之前）</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0-2</w:t>
            </w:r>
          </w:p>
          <w:p>
            <w:pPr>
              <w:pStyle w:val="2"/>
              <w:rPr>
                <w:rFonts w:hint="eastAsia"/>
              </w:rPr>
            </w:pP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客观分</w:t>
            </w:r>
            <w:r>
              <w:rPr>
                <w:rFonts w:hint="eastAsia" w:ascii="仿宋" w:hAnsi="仿宋" w:eastAsia="仿宋" w:cs="仿宋"/>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7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售后服务团队配备及综合能力</w:t>
            </w:r>
          </w:p>
        </w:tc>
        <w:tc>
          <w:tcPr>
            <w:tcW w:w="52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售后服务标准体系</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rPr>
            </w:pPr>
            <w:r>
              <w:rPr>
                <w:rFonts w:hint="eastAsia" w:ascii="仿宋" w:hAnsi="仿宋" w:eastAsia="仿宋" w:cs="仿宋"/>
                <w:sz w:val="24"/>
                <w:szCs w:val="24"/>
              </w:rPr>
              <w:t>根据投标人的技术服务运行维护标准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rPr>
              <w:t>、服务体系详尽程度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rPr>
              <w:t>、售后维护机构分布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进行</w:t>
            </w:r>
            <w:r>
              <w:rPr>
                <w:rFonts w:hint="eastAsia" w:ascii="仿宋" w:hAnsi="仿宋" w:eastAsia="仿宋" w:cs="仿宋"/>
                <w:sz w:val="24"/>
                <w:szCs w:val="24"/>
              </w:rPr>
              <w:t>打分。</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维护期</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bidi="ar"/>
              </w:rPr>
              <w:t>在符合招标要求的基础上，维护期限增加12个月及以上的得</w:t>
            </w:r>
            <w:r>
              <w:rPr>
                <w:rFonts w:hint="eastAsia" w:ascii="仿宋" w:hAnsi="仿宋" w:eastAsia="仿宋" w:cs="仿宋"/>
                <w:color w:val="000000"/>
                <w:sz w:val="24"/>
                <w:szCs w:val="24"/>
                <w:lang w:val="en-US" w:eastAsia="zh-CN" w:bidi="ar"/>
              </w:rPr>
              <w:t>3</w:t>
            </w:r>
            <w:r>
              <w:rPr>
                <w:rFonts w:hint="eastAsia" w:ascii="仿宋" w:hAnsi="仿宋" w:eastAsia="仿宋" w:cs="仿宋"/>
                <w:color w:val="000000"/>
                <w:sz w:val="24"/>
                <w:szCs w:val="24"/>
                <w:lang w:bidi="ar"/>
              </w:rPr>
              <w:t>分，不增加的或增加少于12个月的不得分（维护期增加，相应产生的链路费、电费、日常维护费等费用由中标方自行承担）</w:t>
            </w:r>
            <w:r>
              <w:rPr>
                <w:rFonts w:hint="eastAsia" w:ascii="仿宋" w:hAnsi="仿宋" w:eastAsia="仿宋" w:cs="仿宋"/>
                <w:color w:val="000000"/>
                <w:sz w:val="24"/>
                <w:szCs w:val="24"/>
                <w:lang w:eastAsia="zh-CN" w:bidi="ar"/>
              </w:rPr>
              <w:t>。</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0-3</w:t>
            </w:r>
          </w:p>
          <w:p>
            <w:pPr>
              <w:widowControl/>
              <w:textAlignment w:val="center"/>
              <w:rPr>
                <w:rFonts w:hint="eastAsia" w:ascii="仿宋" w:hAnsi="仿宋" w:eastAsia="仿宋" w:cs="仿宋"/>
                <w:sz w:val="24"/>
                <w:szCs w:val="24"/>
              </w:rPr>
            </w:pPr>
            <w:r>
              <w:rPr>
                <w:rFonts w:hint="eastAsia" w:ascii="仿宋" w:hAnsi="仿宋" w:eastAsia="仿宋" w:cs="仿宋"/>
                <w:b w:val="0"/>
                <w:bCs w:val="0"/>
                <w:sz w:val="18"/>
                <w:szCs w:val="18"/>
                <w:lang w:eastAsia="zh-CN"/>
              </w:rPr>
              <w:t>（</w:t>
            </w:r>
            <w:r>
              <w:rPr>
                <w:rFonts w:hint="eastAsia" w:ascii="仿宋" w:hAnsi="仿宋" w:eastAsia="仿宋" w:cs="仿宋"/>
                <w:b w:val="0"/>
                <w:bCs w:val="0"/>
                <w:sz w:val="18"/>
                <w:szCs w:val="18"/>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8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sz w:val="24"/>
                <w:szCs w:val="24"/>
              </w:rPr>
            </w:pPr>
            <w:r>
              <w:rPr>
                <w:rFonts w:hint="eastAsia" w:ascii="仿宋" w:hAnsi="仿宋" w:eastAsia="仿宋" w:cs="仿宋"/>
                <w:sz w:val="24"/>
                <w:szCs w:val="24"/>
              </w:rPr>
              <w:t>售后服务团队人员</w:t>
            </w:r>
          </w:p>
        </w:tc>
        <w:tc>
          <w:tcPr>
            <w:tcW w:w="3266"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6"/>
              </w:numPr>
              <w:spacing w:line="360" w:lineRule="auto"/>
              <w:textAlignment w:val="center"/>
              <w:rPr>
                <w:rFonts w:hint="eastAsia" w:ascii="仿宋" w:hAnsi="仿宋" w:eastAsia="仿宋" w:cs="仿宋"/>
                <w:sz w:val="24"/>
                <w:szCs w:val="24"/>
                <w:lang w:eastAsia="zh-CN"/>
              </w:rPr>
            </w:pPr>
            <w:r>
              <w:rPr>
                <w:rFonts w:hint="eastAsia" w:ascii="仿宋" w:hAnsi="仿宋" w:eastAsia="仿宋" w:cs="仿宋"/>
                <w:sz w:val="24"/>
                <w:szCs w:val="24"/>
              </w:rPr>
              <w:t>驻点人员满足招标文件要求，驻点人员需具备“信息技术/系统集成或技术开发”专业助理工程师及以上职称，每派1人得1分，最高得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widowControl/>
              <w:numPr>
                <w:ilvl w:val="0"/>
                <w:numId w:val="0"/>
              </w:num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驻点信控优化服务专车1分, 专人的各得1分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最高得2分；</w:t>
            </w:r>
          </w:p>
          <w:p>
            <w:pPr>
              <w:widowControl/>
              <w:spacing w:line="360" w:lineRule="auto"/>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驻点扁平化硬件日常运维的专人得1分</w:t>
            </w:r>
            <w:r>
              <w:rPr>
                <w:rFonts w:hint="eastAsia" w:ascii="仿宋" w:hAnsi="仿宋" w:eastAsia="仿宋" w:cs="仿宋"/>
                <w:sz w:val="24"/>
                <w:szCs w:val="24"/>
                <w:lang w:eastAsia="zh-CN"/>
              </w:rPr>
              <w:t>。</w:t>
            </w:r>
          </w:p>
          <w:p>
            <w:pPr>
              <w:widowControl/>
              <w:spacing w:line="360" w:lineRule="auto"/>
              <w:textAlignment w:val="center"/>
              <w:rPr>
                <w:rFonts w:hint="eastAsia" w:ascii="仿宋" w:hAnsi="仿宋" w:eastAsia="仿宋" w:cs="仿宋"/>
                <w:sz w:val="24"/>
                <w:szCs w:val="24"/>
              </w:rPr>
            </w:pPr>
            <w:r>
              <w:rPr>
                <w:rFonts w:hint="eastAsia" w:ascii="仿宋" w:hAnsi="仿宋" w:eastAsia="仿宋" w:cs="仿宋"/>
                <w:b/>
                <w:bCs/>
                <w:sz w:val="24"/>
                <w:szCs w:val="24"/>
              </w:rPr>
              <w:t>（驻点人员不得与项目经理、技术人员重复）（人员需提供3个月及以上社保缴纳证明）</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0-4</w:t>
            </w:r>
          </w:p>
          <w:p>
            <w:pPr>
              <w:widowControl/>
              <w:textAlignment w:val="center"/>
              <w:rPr>
                <w:rFonts w:hint="eastAsia" w:ascii="仿宋" w:hAnsi="仿宋" w:eastAsia="仿宋" w:cs="仿宋"/>
                <w:sz w:val="24"/>
                <w:szCs w:val="24"/>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客观分）</w:t>
            </w:r>
          </w:p>
        </w:tc>
      </w:tr>
    </w:tbl>
    <w:p>
      <w:pPr>
        <w:spacing w:line="420" w:lineRule="exact"/>
        <w:ind w:firstLine="482" w:firstLineChars="200"/>
        <w:rPr>
          <w:rFonts w:hint="eastAsia" w:ascii="仿宋" w:hAnsi="仿宋" w:eastAsia="仿宋" w:cs="仿宋"/>
          <w:b/>
          <w:bCs/>
          <w:color w:val="0000FF"/>
          <w:sz w:val="24"/>
          <w:szCs w:val="24"/>
          <w:highlight w:val="yellow"/>
          <w:lang w:eastAsia="zh-CN"/>
        </w:rPr>
      </w:pPr>
    </w:p>
    <w:p>
      <w:pPr>
        <w:pStyle w:val="25"/>
        <w:ind w:left="0" w:leftChars="0"/>
        <w:rPr>
          <w:rFonts w:hint="eastAsia" w:ascii="仿宋" w:hAnsi="仿宋" w:eastAsia="仿宋" w:cs="仿宋"/>
          <w:b/>
          <w:color w:val="auto"/>
          <w:kern w:val="44"/>
          <w:sz w:val="36"/>
          <w:szCs w:val="36"/>
        </w:rPr>
      </w:pPr>
      <w:r>
        <w:rPr>
          <w:rFonts w:hint="eastAsia" w:ascii="仿宋" w:hAnsi="仿宋" w:eastAsia="仿宋" w:cs="仿宋"/>
          <w:b/>
          <w:color w:val="auto"/>
          <w:sz w:val="24"/>
          <w:szCs w:val="24"/>
        </w:rPr>
        <w:t>注：本次评审通过资格审查和符合性评审的单位全部入围进行商务评审。</w:t>
      </w:r>
      <w:bookmarkEnd w:id="17"/>
    </w:p>
    <w:p>
      <w:pPr>
        <w:pStyle w:val="11"/>
        <w:ind w:left="0" w:leftChars="0"/>
        <w:jc w:val="left"/>
        <w:rPr>
          <w:rFonts w:hint="eastAsia" w:ascii="仿宋" w:hAnsi="仿宋" w:eastAsia="仿宋" w:cs="仿宋"/>
          <w:b/>
          <w:bCs/>
          <w:color w:val="0000FF"/>
          <w:sz w:val="24"/>
          <w:szCs w:val="24"/>
          <w:highlight w:val="yellow"/>
          <w:lang w:eastAsia="zh-CN"/>
        </w:rPr>
      </w:pPr>
    </w:p>
    <w:p>
      <w:pPr>
        <w:pStyle w:val="11"/>
        <w:ind w:left="0" w:leftChars="0"/>
        <w:jc w:val="both"/>
        <w:rPr>
          <w:rFonts w:hint="eastAsia" w:ascii="仿宋" w:hAnsi="仿宋" w:eastAsia="仿宋" w:cs="仿宋"/>
          <w:b/>
          <w:color w:val="auto"/>
          <w:kern w:val="44"/>
          <w:sz w:val="36"/>
          <w:szCs w:val="36"/>
        </w:rPr>
      </w:pPr>
    </w:p>
    <w:p>
      <w:pPr>
        <w:pStyle w:val="11"/>
        <w:ind w:left="0" w:leftChars="0"/>
        <w:jc w:val="center"/>
        <w:rPr>
          <w:rFonts w:hint="eastAsia" w:ascii="仿宋" w:hAnsi="仿宋" w:eastAsia="仿宋" w:cs="仿宋"/>
          <w:b/>
          <w:color w:val="auto"/>
          <w:kern w:val="44"/>
          <w:sz w:val="36"/>
          <w:szCs w:val="36"/>
        </w:rPr>
      </w:pPr>
    </w:p>
    <w:p>
      <w:pPr>
        <w:pStyle w:val="11"/>
        <w:ind w:left="0" w:leftChars="0"/>
        <w:jc w:val="center"/>
        <w:rPr>
          <w:rFonts w:hint="eastAsia" w:ascii="仿宋" w:hAnsi="仿宋" w:eastAsia="仿宋" w:cs="仿宋"/>
          <w:b/>
          <w:color w:val="auto"/>
          <w:kern w:val="44"/>
          <w:sz w:val="36"/>
          <w:szCs w:val="36"/>
        </w:rPr>
      </w:pPr>
    </w:p>
    <w:p>
      <w:pPr>
        <w:pStyle w:val="11"/>
        <w:ind w:left="0" w:leftChars="0"/>
        <w:jc w:val="center"/>
        <w:rPr>
          <w:rFonts w:hint="eastAsia" w:ascii="仿宋" w:hAnsi="仿宋" w:eastAsia="仿宋" w:cs="仿宋"/>
          <w:b/>
          <w:color w:val="auto"/>
          <w:kern w:val="44"/>
          <w:sz w:val="36"/>
          <w:szCs w:val="36"/>
        </w:rPr>
      </w:pPr>
    </w:p>
    <w:p>
      <w:pPr>
        <w:pStyle w:val="10"/>
        <w:rPr>
          <w:rFonts w:hint="eastAsia" w:ascii="仿宋" w:hAnsi="仿宋" w:eastAsia="仿宋" w:cs="仿宋"/>
          <w:b/>
          <w:color w:val="auto"/>
          <w:kern w:val="44"/>
          <w:sz w:val="36"/>
          <w:szCs w:val="36"/>
        </w:rPr>
      </w:pPr>
    </w:p>
    <w:p>
      <w:pPr>
        <w:pStyle w:val="11"/>
        <w:rPr>
          <w:rFonts w:hint="eastAsia" w:ascii="仿宋" w:hAnsi="仿宋" w:eastAsia="仿宋" w:cs="仿宋"/>
          <w:b/>
          <w:color w:val="auto"/>
          <w:kern w:val="44"/>
          <w:sz w:val="36"/>
          <w:szCs w:val="36"/>
        </w:rPr>
      </w:pPr>
    </w:p>
    <w:p>
      <w:pPr>
        <w:pStyle w:val="10"/>
        <w:rPr>
          <w:rFonts w:hint="eastAsia" w:ascii="仿宋" w:hAnsi="仿宋" w:eastAsia="仿宋" w:cs="仿宋"/>
          <w:b/>
          <w:color w:val="auto"/>
          <w:kern w:val="44"/>
          <w:sz w:val="36"/>
          <w:szCs w:val="36"/>
        </w:rPr>
      </w:pPr>
    </w:p>
    <w:p>
      <w:pPr>
        <w:pStyle w:val="11"/>
        <w:rPr>
          <w:rFonts w:hint="eastAsia"/>
        </w:rPr>
      </w:pPr>
    </w:p>
    <w:p>
      <w:pPr>
        <w:pStyle w:val="11"/>
        <w:ind w:left="0" w:leftChars="0"/>
        <w:jc w:val="center"/>
        <w:rPr>
          <w:rFonts w:hint="eastAsia" w:ascii="仿宋" w:hAnsi="仿宋" w:eastAsia="仿宋" w:cs="仿宋"/>
          <w:color w:val="auto"/>
          <w:sz w:val="44"/>
          <w:szCs w:val="44"/>
        </w:rPr>
      </w:pPr>
      <w:r>
        <w:rPr>
          <w:rFonts w:hint="eastAsia" w:ascii="仿宋" w:hAnsi="仿宋" w:eastAsia="仿宋" w:cs="仿宋"/>
          <w:b/>
          <w:color w:val="auto"/>
          <w:kern w:val="44"/>
          <w:sz w:val="36"/>
          <w:szCs w:val="36"/>
        </w:rPr>
        <w:t>第五章  武义县政府采购合同（通用条款）</w:t>
      </w:r>
    </w:p>
    <w:p>
      <w:pPr>
        <w:spacing w:line="420" w:lineRule="exact"/>
        <w:jc w:val="center"/>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根据《中华人民共和国民法典》、《中华人民共和国政府采购法》等有关规定，以及</w:t>
      </w:r>
      <w:r>
        <w:rPr>
          <w:rFonts w:hint="eastAsia" w:ascii="仿宋" w:hAnsi="仿宋" w:eastAsia="仿宋" w:cs="仿宋"/>
          <w:color w:val="auto"/>
          <w:sz w:val="24"/>
          <w:szCs w:val="24"/>
          <w:u w:val="single"/>
          <w:lang w:eastAsia="zh-CN"/>
        </w:rPr>
        <w:t>武义县公安局智慧交管项目</w:t>
      </w: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eastAsia="zh-CN"/>
        </w:rPr>
        <w:t>ZJRS2022-CG160</w:t>
      </w:r>
      <w:r>
        <w:rPr>
          <w:rFonts w:hint="eastAsia" w:ascii="仿宋" w:hAnsi="仿宋" w:eastAsia="仿宋" w:cs="仿宋"/>
          <w:color w:val="auto"/>
          <w:sz w:val="24"/>
          <w:szCs w:val="24"/>
        </w:rPr>
        <w:t>）采购文件相关要求，经法定程序采购，双方同意签订以下合同条款，以便双方共同遵守、履行合同。</w:t>
      </w:r>
    </w:p>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一、采购项目</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产品（或服务）名称</w:t>
            </w:r>
          </w:p>
        </w:tc>
        <w:tc>
          <w:tcPr>
            <w:tcW w:w="3332"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产品（或服务）内容</w:t>
            </w:r>
          </w:p>
        </w:tc>
        <w:tc>
          <w:tcPr>
            <w:tcW w:w="1388"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数量（或服务期限）</w:t>
            </w:r>
          </w:p>
        </w:tc>
        <w:tc>
          <w:tcPr>
            <w:tcW w:w="1260"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单价（元）</w:t>
            </w:r>
          </w:p>
        </w:tc>
        <w:tc>
          <w:tcPr>
            <w:tcW w:w="1440" w:type="dxa"/>
            <w:noWrap w:val="0"/>
            <w:vAlign w:val="center"/>
          </w:tcPr>
          <w:p>
            <w:pPr>
              <w:spacing w:line="4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spacing w:line="420" w:lineRule="exact"/>
              <w:rPr>
                <w:rFonts w:hint="eastAsia" w:ascii="仿宋" w:hAnsi="仿宋" w:eastAsia="仿宋" w:cs="仿宋"/>
                <w:color w:val="auto"/>
                <w:sz w:val="24"/>
                <w:szCs w:val="24"/>
              </w:rPr>
            </w:pPr>
          </w:p>
        </w:tc>
        <w:tc>
          <w:tcPr>
            <w:tcW w:w="3332" w:type="dxa"/>
            <w:noWrap w:val="0"/>
            <w:vAlign w:val="top"/>
          </w:tcPr>
          <w:p>
            <w:pPr>
              <w:spacing w:line="420" w:lineRule="exact"/>
              <w:rPr>
                <w:rFonts w:hint="eastAsia" w:ascii="仿宋" w:hAnsi="仿宋" w:eastAsia="仿宋" w:cs="仿宋"/>
                <w:color w:val="auto"/>
                <w:sz w:val="24"/>
                <w:szCs w:val="24"/>
              </w:rPr>
            </w:pPr>
          </w:p>
        </w:tc>
        <w:tc>
          <w:tcPr>
            <w:tcW w:w="1388" w:type="dxa"/>
            <w:noWrap w:val="0"/>
            <w:vAlign w:val="top"/>
          </w:tcPr>
          <w:p>
            <w:pPr>
              <w:spacing w:line="420" w:lineRule="exact"/>
              <w:rPr>
                <w:rFonts w:hint="eastAsia" w:ascii="仿宋" w:hAnsi="仿宋" w:eastAsia="仿宋" w:cs="仿宋"/>
                <w:color w:val="auto"/>
                <w:sz w:val="24"/>
                <w:szCs w:val="24"/>
              </w:rPr>
            </w:pPr>
          </w:p>
        </w:tc>
        <w:tc>
          <w:tcPr>
            <w:tcW w:w="1260" w:type="dxa"/>
            <w:noWrap w:val="0"/>
            <w:vAlign w:val="top"/>
          </w:tcPr>
          <w:p>
            <w:pPr>
              <w:spacing w:line="420" w:lineRule="exact"/>
              <w:rPr>
                <w:rFonts w:hint="eastAsia" w:ascii="仿宋" w:hAnsi="仿宋" w:eastAsia="仿宋" w:cs="仿宋"/>
                <w:color w:val="auto"/>
                <w:sz w:val="24"/>
                <w:szCs w:val="24"/>
              </w:rPr>
            </w:pPr>
          </w:p>
        </w:tc>
        <w:tc>
          <w:tcPr>
            <w:tcW w:w="1440" w:type="dxa"/>
            <w:noWrap w:val="0"/>
            <w:vAlign w:val="top"/>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spacing w:line="420" w:lineRule="exact"/>
              <w:rPr>
                <w:rFonts w:hint="eastAsia" w:ascii="仿宋" w:hAnsi="仿宋" w:eastAsia="仿宋" w:cs="仿宋"/>
                <w:color w:val="auto"/>
                <w:sz w:val="24"/>
                <w:szCs w:val="24"/>
              </w:rPr>
            </w:pPr>
          </w:p>
        </w:tc>
        <w:tc>
          <w:tcPr>
            <w:tcW w:w="3332" w:type="dxa"/>
            <w:noWrap w:val="0"/>
            <w:vAlign w:val="top"/>
          </w:tcPr>
          <w:p>
            <w:pPr>
              <w:spacing w:line="420" w:lineRule="exact"/>
              <w:rPr>
                <w:rFonts w:hint="eastAsia" w:ascii="仿宋" w:hAnsi="仿宋" w:eastAsia="仿宋" w:cs="仿宋"/>
                <w:color w:val="auto"/>
                <w:sz w:val="24"/>
                <w:szCs w:val="24"/>
              </w:rPr>
            </w:pPr>
          </w:p>
        </w:tc>
        <w:tc>
          <w:tcPr>
            <w:tcW w:w="1388" w:type="dxa"/>
            <w:noWrap w:val="0"/>
            <w:vAlign w:val="top"/>
          </w:tcPr>
          <w:p>
            <w:pPr>
              <w:spacing w:line="420" w:lineRule="exact"/>
              <w:rPr>
                <w:rFonts w:hint="eastAsia" w:ascii="仿宋" w:hAnsi="仿宋" w:eastAsia="仿宋" w:cs="仿宋"/>
                <w:color w:val="auto"/>
                <w:sz w:val="24"/>
                <w:szCs w:val="24"/>
              </w:rPr>
            </w:pPr>
          </w:p>
        </w:tc>
        <w:tc>
          <w:tcPr>
            <w:tcW w:w="1260" w:type="dxa"/>
            <w:noWrap w:val="0"/>
            <w:vAlign w:val="top"/>
          </w:tcPr>
          <w:p>
            <w:pPr>
              <w:spacing w:line="420" w:lineRule="exact"/>
              <w:rPr>
                <w:rFonts w:hint="eastAsia" w:ascii="仿宋" w:hAnsi="仿宋" w:eastAsia="仿宋" w:cs="仿宋"/>
                <w:color w:val="auto"/>
                <w:sz w:val="24"/>
                <w:szCs w:val="24"/>
              </w:rPr>
            </w:pPr>
          </w:p>
        </w:tc>
        <w:tc>
          <w:tcPr>
            <w:tcW w:w="1440" w:type="dxa"/>
            <w:noWrap w:val="0"/>
            <w:vAlign w:val="top"/>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pPr>
              <w:spacing w:line="420" w:lineRule="exact"/>
              <w:rPr>
                <w:rFonts w:hint="eastAsia" w:ascii="仿宋" w:hAnsi="仿宋" w:eastAsia="仿宋" w:cs="仿宋"/>
                <w:color w:val="auto"/>
                <w:sz w:val="24"/>
                <w:szCs w:val="24"/>
              </w:rPr>
            </w:pPr>
          </w:p>
        </w:tc>
        <w:tc>
          <w:tcPr>
            <w:tcW w:w="3332" w:type="dxa"/>
            <w:noWrap w:val="0"/>
            <w:vAlign w:val="top"/>
          </w:tcPr>
          <w:p>
            <w:pPr>
              <w:spacing w:line="420" w:lineRule="exact"/>
              <w:rPr>
                <w:rFonts w:hint="eastAsia" w:ascii="仿宋" w:hAnsi="仿宋" w:eastAsia="仿宋" w:cs="仿宋"/>
                <w:color w:val="auto"/>
                <w:sz w:val="24"/>
                <w:szCs w:val="24"/>
              </w:rPr>
            </w:pPr>
          </w:p>
        </w:tc>
        <w:tc>
          <w:tcPr>
            <w:tcW w:w="1388" w:type="dxa"/>
            <w:noWrap w:val="0"/>
            <w:vAlign w:val="top"/>
          </w:tcPr>
          <w:p>
            <w:pPr>
              <w:spacing w:line="420" w:lineRule="exact"/>
              <w:rPr>
                <w:rFonts w:hint="eastAsia" w:ascii="仿宋" w:hAnsi="仿宋" w:eastAsia="仿宋" w:cs="仿宋"/>
                <w:color w:val="auto"/>
                <w:sz w:val="24"/>
                <w:szCs w:val="24"/>
              </w:rPr>
            </w:pPr>
          </w:p>
        </w:tc>
        <w:tc>
          <w:tcPr>
            <w:tcW w:w="1260" w:type="dxa"/>
            <w:noWrap w:val="0"/>
            <w:vAlign w:val="top"/>
          </w:tcPr>
          <w:p>
            <w:pPr>
              <w:spacing w:line="420" w:lineRule="exact"/>
              <w:rPr>
                <w:rFonts w:hint="eastAsia" w:ascii="仿宋" w:hAnsi="仿宋" w:eastAsia="仿宋" w:cs="仿宋"/>
                <w:color w:val="auto"/>
                <w:sz w:val="24"/>
                <w:szCs w:val="24"/>
              </w:rPr>
            </w:pPr>
          </w:p>
        </w:tc>
        <w:tc>
          <w:tcPr>
            <w:tcW w:w="1440" w:type="dxa"/>
            <w:noWrap w:val="0"/>
            <w:vAlign w:val="top"/>
          </w:tcPr>
          <w:p>
            <w:pPr>
              <w:spacing w:line="4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合计人民币（大写）：  佰   拾   万   仟   佰   拾   元    角    分  ￥：</w:t>
            </w:r>
          </w:p>
        </w:tc>
      </w:tr>
    </w:tbl>
    <w:p>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二、产品（或服务）要求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三、产品（或服务）质量要求</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、产品数量变更</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、售后服务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、违约责任</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1、甲方无正当理由拒收产品（或服务），由甲方向乙方偿付合同总价的5%违约金。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3、乙方不能交付产品（或服务），乙方向甲方支付合同款总价5%的违约金。</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4、乙方逾期交付产品（或服务）的，每逾期1天，乙方向甲方偿付逾期部分产品（或服务）货款的0.5%的滞纳金，如乙方逾期15天，甲方有权解除合同，解除合同的通知自到达乙方时生效。</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、其他约定事项</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十、解决合同纠纷方式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u w:val="single"/>
        </w:rPr>
        <w:t>武义县</w:t>
      </w:r>
      <w:r>
        <w:rPr>
          <w:rFonts w:hint="eastAsia" w:ascii="仿宋" w:hAnsi="仿宋" w:eastAsia="仿宋" w:cs="仿宋"/>
          <w:color w:val="auto"/>
          <w:sz w:val="24"/>
          <w:szCs w:val="24"/>
        </w:rPr>
        <w:t>人民法院起诉。</w:t>
      </w:r>
    </w:p>
    <w:p>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、其它</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1、本项目的招标文件、投标文件、中标通知书作为合同的附件，具有同等法律效力。</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2、本合同自签订之日起生效。</w:t>
      </w:r>
    </w:p>
    <w:p>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3、本合同一式陆份，甲乙双方各执两份，</w:t>
      </w:r>
      <w:r>
        <w:rPr>
          <w:rFonts w:hint="eastAsia" w:ascii="仿宋" w:hAnsi="仿宋" w:eastAsia="仿宋" w:cs="仿宋"/>
          <w:color w:val="auto"/>
          <w:sz w:val="24"/>
          <w:szCs w:val="24"/>
          <w:lang w:eastAsia="zh-CN"/>
        </w:rPr>
        <w:t>采监科</w:t>
      </w:r>
      <w:r>
        <w:rPr>
          <w:rFonts w:hint="eastAsia" w:ascii="仿宋" w:hAnsi="仿宋" w:eastAsia="仿宋" w:cs="仿宋"/>
          <w:color w:val="auto"/>
          <w:sz w:val="24"/>
          <w:szCs w:val="24"/>
        </w:rPr>
        <w:t>备案一份，代理机构存档一份。</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exact"/>
          <w:jc w:val="center"/>
        </w:trPr>
        <w:tc>
          <w:tcPr>
            <w:tcW w:w="4809" w:type="dxa"/>
            <w:noWrap w:val="0"/>
            <w:vAlign w:val="top"/>
          </w:tcPr>
          <w:p>
            <w:pPr>
              <w:spacing w:line="360" w:lineRule="auto"/>
              <w:jc w:val="center"/>
              <w:rPr>
                <w:rFonts w:hint="eastAsia" w:ascii="仿宋" w:hAnsi="仿宋" w:eastAsia="仿宋" w:cs="仿宋"/>
                <w:sz w:val="24"/>
              </w:rPr>
            </w:pPr>
            <w:r>
              <w:rPr>
                <w:rFonts w:hint="eastAsia" w:ascii="仿宋" w:hAnsi="仿宋" w:eastAsia="仿宋" w:cs="仿宋"/>
                <w:sz w:val="24"/>
              </w:rPr>
              <w:t>甲  方</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单位名称（盖章）：</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单位地址：</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法定代表人（签字）：</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或项目经办人（签字）：</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电话：</w:t>
            </w:r>
          </w:p>
          <w:p>
            <w:pPr>
              <w:spacing w:line="360" w:lineRule="auto"/>
              <w:ind w:left="-88" w:leftChars="-42" w:right="-65" w:rightChars="-31"/>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pPr>
              <w:spacing w:line="360" w:lineRule="auto"/>
              <w:ind w:left="-78" w:leftChars="-37" w:right="-57" w:rightChars="-27"/>
              <w:jc w:val="center"/>
              <w:rPr>
                <w:rFonts w:hint="eastAsia" w:ascii="仿宋" w:hAnsi="仿宋" w:eastAsia="仿宋" w:cs="仿宋"/>
                <w:sz w:val="24"/>
              </w:rPr>
            </w:pPr>
            <w:r>
              <w:rPr>
                <w:rFonts w:hint="eastAsia" w:ascii="仿宋" w:hAnsi="仿宋" w:eastAsia="仿宋" w:cs="仿宋"/>
                <w:sz w:val="24"/>
              </w:rPr>
              <w:t>乙  方</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单位名称（盖章）：</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单位地址：</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法定代表人（签字）：</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或委托代理人（签字）：</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电话：</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开户银行（必填）：</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账号（必填）：</w:t>
            </w:r>
          </w:p>
          <w:p>
            <w:pPr>
              <w:spacing w:line="360" w:lineRule="auto"/>
              <w:ind w:left="-78" w:leftChars="-37" w:right="-57" w:rightChars="-27"/>
              <w:rPr>
                <w:rFonts w:hint="eastAsia" w:ascii="仿宋" w:hAnsi="仿宋" w:eastAsia="仿宋" w:cs="仿宋"/>
                <w:sz w:val="24"/>
              </w:rPr>
            </w:pPr>
            <w:r>
              <w:rPr>
                <w:rFonts w:hint="eastAsia" w:ascii="仿宋" w:hAnsi="仿宋" w:eastAsia="仿宋" w:cs="仿宋"/>
                <w:sz w:val="24"/>
              </w:rPr>
              <w:t>邮政编码：</w:t>
            </w:r>
          </w:p>
          <w:p>
            <w:pPr>
              <w:spacing w:line="360" w:lineRule="auto"/>
              <w:jc w:val="center"/>
              <w:rPr>
                <w:rFonts w:hint="eastAsia" w:ascii="仿宋" w:hAnsi="仿宋" w:eastAsia="仿宋" w:cs="仿宋"/>
                <w:sz w:val="24"/>
              </w:rPr>
            </w:pPr>
          </w:p>
          <w:p>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exact"/>
          <w:jc w:val="center"/>
        </w:trPr>
        <w:tc>
          <w:tcPr>
            <w:tcW w:w="9536" w:type="dxa"/>
            <w:gridSpan w:val="2"/>
            <w:noWrap w:val="0"/>
            <w:vAlign w:val="top"/>
          </w:tcPr>
          <w:p>
            <w:pPr>
              <w:tabs>
                <w:tab w:val="left" w:pos="760"/>
              </w:tabs>
              <w:spacing w:line="360" w:lineRule="auto"/>
              <w:jc w:val="left"/>
              <w:rPr>
                <w:rFonts w:hint="eastAsia" w:ascii="仿宋" w:hAnsi="仿宋" w:eastAsia="仿宋" w:cs="仿宋"/>
                <w:sz w:val="24"/>
              </w:rPr>
            </w:pPr>
          </w:p>
          <w:p>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见证方（盖章）：浙江日晟信息咨询有限公司</w:t>
            </w:r>
          </w:p>
          <w:p>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经办人：</w:t>
            </w:r>
          </w:p>
          <w:p>
            <w:pPr>
              <w:tabs>
                <w:tab w:val="left" w:pos="760"/>
              </w:tabs>
              <w:spacing w:line="360" w:lineRule="auto"/>
              <w:jc w:val="left"/>
              <w:rPr>
                <w:rFonts w:hint="eastAsia" w:ascii="仿宋" w:hAnsi="仿宋" w:eastAsia="仿宋" w:cs="仿宋"/>
              </w:rPr>
            </w:pPr>
            <w:r>
              <w:rPr>
                <w:rFonts w:hint="eastAsia" w:ascii="仿宋" w:hAnsi="仿宋" w:eastAsia="仿宋" w:cs="仿宋"/>
                <w:sz w:val="24"/>
              </w:rPr>
              <w:t>时  间：      年     月     日</w:t>
            </w:r>
          </w:p>
        </w:tc>
      </w:tr>
    </w:tbl>
    <w:p>
      <w:pPr>
        <w:spacing w:line="420" w:lineRule="exact"/>
        <w:rPr>
          <w:rFonts w:hint="eastAsia" w:ascii="仿宋" w:hAnsi="仿宋" w:eastAsia="仿宋" w:cs="仿宋"/>
          <w:color w:val="auto"/>
          <w:sz w:val="24"/>
          <w:szCs w:val="24"/>
        </w:rPr>
      </w:pPr>
    </w:p>
    <w:p>
      <w:pPr>
        <w:spacing w:line="420" w:lineRule="exact"/>
        <w:jc w:val="center"/>
        <w:rPr>
          <w:rFonts w:hint="eastAsia" w:ascii="仿宋" w:hAnsi="仿宋" w:eastAsia="仿宋" w:cs="仿宋"/>
          <w:color w:val="auto"/>
          <w:sz w:val="24"/>
          <w:szCs w:val="24"/>
        </w:rPr>
      </w:pPr>
    </w:p>
    <w:p>
      <w:pPr>
        <w:spacing w:line="312" w:lineRule="auto"/>
        <w:jc w:val="center"/>
        <w:rPr>
          <w:rFonts w:hint="eastAsia" w:ascii="仿宋" w:hAnsi="仿宋" w:eastAsia="仿宋" w:cs="仿宋"/>
          <w:color w:val="auto"/>
          <w:sz w:val="44"/>
          <w:szCs w:val="44"/>
        </w:rPr>
      </w:pPr>
    </w:p>
    <w:p>
      <w:pPr>
        <w:spacing w:line="312" w:lineRule="auto"/>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br w:type="page"/>
      </w:r>
      <w:r>
        <w:rPr>
          <w:rFonts w:hint="eastAsia" w:ascii="仿宋" w:hAnsi="仿宋" w:eastAsia="仿宋" w:cs="仿宋"/>
          <w:b/>
          <w:bCs/>
          <w:color w:val="auto"/>
          <w:sz w:val="36"/>
          <w:szCs w:val="36"/>
        </w:rPr>
        <w:t>第六章  应提交的有关格式范例</w:t>
      </w:r>
    </w:p>
    <w:p>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一、封面格式</w:t>
      </w: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8280"/>
        </w:tabs>
        <w:spacing w:line="312" w:lineRule="auto"/>
        <w:ind w:firstLine="48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资格文件或商务技术文件或报价文件</w:t>
      </w:r>
    </w:p>
    <w:p>
      <w:pPr>
        <w:widowControl/>
        <w:tabs>
          <w:tab w:val="left" w:pos="275"/>
          <w:tab w:val="left" w:pos="8280"/>
        </w:tabs>
        <w:spacing w:line="312" w:lineRule="auto"/>
        <w:ind w:firstLine="480"/>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27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项目名称：</w:t>
      </w:r>
      <w:r>
        <w:rPr>
          <w:rFonts w:hint="eastAsia" w:ascii="仿宋" w:hAnsi="仿宋" w:eastAsia="仿宋" w:cs="仿宋"/>
          <w:b/>
          <w:color w:val="auto"/>
          <w:sz w:val="30"/>
          <w:szCs w:val="30"/>
          <w:u w:val="single"/>
        </w:rPr>
        <w:t xml:space="preserve">                                      </w:t>
      </w:r>
    </w:p>
    <w:p>
      <w:pPr>
        <w:widowControl/>
        <w:tabs>
          <w:tab w:val="left" w:pos="275"/>
          <w:tab w:val="left" w:pos="8280"/>
        </w:tabs>
        <w:spacing w:line="312" w:lineRule="auto"/>
        <w:ind w:firstLine="443" w:firstLineChars="147"/>
        <w:jc w:val="left"/>
        <w:rPr>
          <w:rFonts w:hint="eastAsia" w:ascii="仿宋" w:hAnsi="仿宋" w:eastAsia="仿宋" w:cs="仿宋"/>
          <w:b/>
          <w:color w:val="auto"/>
          <w:sz w:val="30"/>
          <w:szCs w:val="30"/>
        </w:rPr>
      </w:pPr>
    </w:p>
    <w:p>
      <w:pPr>
        <w:widowControl/>
        <w:tabs>
          <w:tab w:val="left" w:pos="275"/>
          <w:tab w:val="left" w:pos="8280"/>
        </w:tabs>
        <w:spacing w:line="312"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项目编号：</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widowControl/>
        <w:tabs>
          <w:tab w:val="left" w:pos="765"/>
          <w:tab w:val="left" w:pos="8280"/>
        </w:tabs>
        <w:spacing w:line="312" w:lineRule="auto"/>
        <w:ind w:firstLine="480"/>
        <w:jc w:val="left"/>
        <w:rPr>
          <w:rFonts w:hint="eastAsia" w:ascii="仿宋" w:hAnsi="仿宋" w:eastAsia="仿宋" w:cs="仿宋"/>
          <w:b/>
          <w:color w:val="auto"/>
          <w:sz w:val="30"/>
          <w:szCs w:val="30"/>
        </w:rPr>
      </w:pPr>
      <w:r>
        <w:rPr>
          <w:rFonts w:hint="eastAsia" w:ascii="仿宋" w:hAnsi="仿宋" w:eastAsia="仿宋" w:cs="仿宋"/>
          <w:b/>
          <w:color w:val="auto"/>
          <w:sz w:val="30"/>
          <w:szCs w:val="30"/>
        </w:rPr>
        <w:tab/>
      </w:r>
    </w:p>
    <w:p>
      <w:pPr>
        <w:widowControl/>
        <w:tabs>
          <w:tab w:val="left" w:pos="765"/>
          <w:tab w:val="left" w:pos="8280"/>
        </w:tabs>
        <w:spacing w:line="312" w:lineRule="auto"/>
        <w:jc w:val="left"/>
        <w:rPr>
          <w:rFonts w:hint="eastAsia" w:ascii="仿宋" w:hAnsi="仿宋" w:eastAsia="仿宋" w:cs="仿宋"/>
          <w:b/>
          <w:color w:val="auto"/>
          <w:sz w:val="30"/>
          <w:szCs w:val="30"/>
          <w:u w:val="single"/>
        </w:rPr>
      </w:pPr>
      <w:r>
        <w:rPr>
          <w:rFonts w:hint="eastAsia" w:ascii="仿宋" w:hAnsi="仿宋" w:eastAsia="仿宋" w:cs="仿宋"/>
          <w:b/>
          <w:color w:val="auto"/>
          <w:sz w:val="30"/>
          <w:szCs w:val="30"/>
        </w:rPr>
        <w:t>投标人：</w:t>
      </w:r>
      <w:r>
        <w:rPr>
          <w:rFonts w:hint="eastAsia" w:ascii="仿宋" w:hAnsi="仿宋" w:eastAsia="仿宋" w:cs="仿宋"/>
          <w:b/>
          <w:color w:val="auto"/>
          <w:sz w:val="30"/>
          <w:szCs w:val="30"/>
          <w:u w:val="single"/>
        </w:rPr>
        <w:t xml:space="preserve">           （盖章）              </w:t>
      </w:r>
    </w:p>
    <w:p>
      <w:pPr>
        <w:widowControl/>
        <w:tabs>
          <w:tab w:val="left" w:pos="8280"/>
        </w:tabs>
        <w:spacing w:line="312" w:lineRule="auto"/>
        <w:ind w:firstLine="480"/>
        <w:jc w:val="center"/>
        <w:rPr>
          <w:rFonts w:hint="eastAsia" w:ascii="仿宋" w:hAnsi="仿宋" w:eastAsia="仿宋" w:cs="仿宋"/>
          <w:color w:val="auto"/>
          <w:sz w:val="24"/>
          <w:szCs w:val="24"/>
          <w:lang w:val="en-US" w:eastAsia="zh-CN"/>
        </w:rPr>
      </w:pPr>
    </w:p>
    <w:p>
      <w:pPr>
        <w:widowControl/>
        <w:tabs>
          <w:tab w:val="left" w:pos="8280"/>
        </w:tabs>
        <w:spacing w:line="312" w:lineRule="auto"/>
        <w:jc w:val="both"/>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法定代表人或授权代表（签字或盖章）：</w:t>
      </w:r>
      <w:r>
        <w:rPr>
          <w:rFonts w:hint="eastAsia" w:ascii="仿宋" w:hAnsi="仿宋" w:eastAsia="仿宋" w:cs="仿宋"/>
          <w:color w:val="auto"/>
          <w:sz w:val="24"/>
          <w:szCs w:val="24"/>
          <w:u w:val="single"/>
        </w:rPr>
        <w:t xml:space="preserve">                  </w:t>
      </w:r>
    </w:p>
    <w:p>
      <w:pPr>
        <w:widowControl/>
        <w:tabs>
          <w:tab w:val="left" w:pos="8280"/>
        </w:tabs>
        <w:spacing w:line="312" w:lineRule="auto"/>
        <w:ind w:firstLine="480"/>
        <w:jc w:val="center"/>
        <w:rPr>
          <w:rFonts w:hint="eastAsia" w:ascii="仿宋" w:hAnsi="仿宋" w:eastAsia="仿宋" w:cs="仿宋"/>
          <w:b/>
          <w:color w:val="auto"/>
          <w:sz w:val="30"/>
          <w:szCs w:val="30"/>
        </w:rPr>
      </w:pPr>
    </w:p>
    <w:p>
      <w:pPr>
        <w:widowControl/>
        <w:tabs>
          <w:tab w:val="left" w:pos="350"/>
          <w:tab w:val="left" w:pos="8280"/>
        </w:tabs>
        <w:spacing w:line="312" w:lineRule="auto"/>
        <w:jc w:val="left"/>
        <w:rPr>
          <w:rFonts w:hint="eastAsia" w:ascii="仿宋" w:hAnsi="仿宋" w:eastAsia="仿宋" w:cs="仿宋"/>
          <w:b/>
          <w:color w:val="auto"/>
          <w:sz w:val="30"/>
          <w:szCs w:val="30"/>
        </w:rPr>
      </w:pPr>
      <w:r>
        <w:rPr>
          <w:rFonts w:hint="eastAsia" w:ascii="仿宋" w:hAnsi="仿宋" w:eastAsia="仿宋" w:cs="仿宋"/>
          <w:b/>
          <w:color w:val="auto"/>
          <w:sz w:val="30"/>
          <w:szCs w:val="30"/>
        </w:rPr>
        <w:t>日期：       年     月     日</w:t>
      </w:r>
    </w:p>
    <w:p>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pPr>
        <w:pStyle w:val="5"/>
        <w:spacing w:line="312" w:lineRule="auto"/>
        <w:jc w:val="center"/>
        <w:rPr>
          <w:rFonts w:hint="eastAsia" w:ascii="仿宋" w:hAnsi="仿宋" w:eastAsia="仿宋" w:cs="仿宋"/>
          <w:b w:val="0"/>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headerReference r:id="rId8" w:type="first"/>
          <w:footerReference r:id="rId9" w:type="default"/>
          <w:pgSz w:w="11906" w:h="16838"/>
          <w:pgMar w:top="1247" w:right="1134" w:bottom="1020" w:left="1418" w:header="851" w:footer="907" w:gutter="0"/>
          <w:pgNumType w:fmt="numberInDash"/>
          <w:cols w:space="720" w:num="1"/>
          <w:titlePg/>
          <w:docGrid w:type="lines" w:linePitch="312" w:charSpace="0"/>
        </w:sectPr>
      </w:pPr>
    </w:p>
    <w:p>
      <w:pPr>
        <w:pStyle w:val="6"/>
        <w:numPr>
          <w:ilvl w:val="0"/>
          <w:numId w:val="0"/>
        </w:numPr>
        <w:tabs>
          <w:tab w:val="left" w:pos="432"/>
        </w:tabs>
        <w:ind w:leftChars="0"/>
        <w:jc w:val="center"/>
        <w:rPr>
          <w:rStyle w:val="53"/>
          <w:rFonts w:ascii="仿宋" w:hAnsi="仿宋" w:eastAsia="仿宋"/>
        </w:rPr>
      </w:pPr>
      <w:bookmarkStart w:id="18" w:name="_Toc1846857202"/>
      <w:bookmarkStart w:id="19" w:name="_Toc12500"/>
      <w:bookmarkStart w:id="20" w:name="_Toc8296"/>
      <w:bookmarkStart w:id="21" w:name="_Toc16246"/>
      <w:bookmarkStart w:id="22" w:name="_Toc2927"/>
      <w:bookmarkStart w:id="23" w:name="_Toc95313010"/>
      <w:r>
        <w:rPr>
          <w:rStyle w:val="53"/>
          <w:rFonts w:hint="eastAsia" w:ascii="仿宋" w:hAnsi="仿宋" w:eastAsia="仿宋"/>
        </w:rPr>
        <w:t>二</w:t>
      </w:r>
      <w:r>
        <w:rPr>
          <w:rStyle w:val="53"/>
          <w:rFonts w:ascii="仿宋" w:hAnsi="仿宋" w:eastAsia="仿宋"/>
        </w:rPr>
        <w:t>、符合参加政府采购活动应当具备的一般条件的承诺函</w:t>
      </w:r>
      <w:bookmarkEnd w:id="18"/>
      <w:bookmarkEnd w:id="19"/>
      <w:bookmarkEnd w:id="20"/>
      <w:bookmarkEnd w:id="21"/>
      <w:bookmarkEnd w:id="22"/>
      <w:bookmarkEnd w:id="23"/>
    </w:p>
    <w:p>
      <w:pPr>
        <w:snapToGrid w:val="0"/>
        <w:spacing w:line="360" w:lineRule="auto"/>
        <w:rPr>
          <w:rFonts w:ascii="仿宋" w:hAnsi="仿宋" w:eastAsia="仿宋" w:cs="仿宋_GB2312"/>
          <w:sz w:val="24"/>
        </w:rPr>
      </w:pPr>
      <w:r>
        <w:rPr>
          <w:rFonts w:hint="eastAsia" w:ascii="仿宋" w:hAnsi="仿宋" w:eastAsia="仿宋" w:cs="仿宋_GB2312"/>
          <w:sz w:val="24"/>
          <w:u w:val="single"/>
          <w:lang w:eastAsia="zh-CN"/>
        </w:rPr>
        <w:t>武义县公安局</w:t>
      </w:r>
      <w:r>
        <w:rPr>
          <w:rFonts w:hint="eastAsia" w:ascii="仿宋" w:hAnsi="仿宋" w:eastAsia="仿宋" w:cs="仿宋_GB2312"/>
          <w:sz w:val="24"/>
          <w:u w:val="single"/>
        </w:rPr>
        <w:t>、浙江</w:t>
      </w:r>
      <w:r>
        <w:rPr>
          <w:rFonts w:hint="eastAsia" w:ascii="仿宋" w:hAnsi="仿宋" w:eastAsia="仿宋" w:cs="仿宋_GB2312"/>
          <w:sz w:val="24"/>
          <w:u w:val="single"/>
          <w:lang w:eastAsia="zh-CN"/>
        </w:rPr>
        <w:t>日晟信息咨询</w:t>
      </w:r>
      <w:r>
        <w:rPr>
          <w:rFonts w:hint="eastAsia" w:ascii="仿宋" w:hAnsi="仿宋" w:eastAsia="仿宋" w:cs="仿宋_GB2312"/>
          <w:sz w:val="24"/>
          <w:u w:val="single"/>
        </w:rPr>
        <w:t>有限公司</w:t>
      </w:r>
      <w:r>
        <w:rPr>
          <w:rFonts w:hint="eastAsia" w:ascii="仿宋" w:hAnsi="仿宋" w:eastAsia="仿宋" w:cs="仿宋_GB2312"/>
          <w:sz w:val="24"/>
        </w:rPr>
        <w:t>：</w:t>
      </w:r>
    </w:p>
    <w:p>
      <w:pPr>
        <w:snapToGrid w:val="0"/>
        <w:spacing w:line="360" w:lineRule="auto"/>
        <w:ind w:firstLine="42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u w:val="single"/>
          <w:lang w:eastAsia="zh-CN"/>
        </w:rPr>
        <w:t>武义县公安局智慧交管项目</w:t>
      </w:r>
      <w:r>
        <w:rPr>
          <w:rFonts w:hint="eastAsia" w:ascii="仿宋" w:hAnsi="仿宋" w:eastAsia="仿宋" w:cs="仿宋_GB2312"/>
          <w:sz w:val="24"/>
        </w:rPr>
        <w:t>【</w:t>
      </w:r>
      <w:r>
        <w:rPr>
          <w:rFonts w:hint="eastAsia" w:ascii="仿宋" w:hAnsi="仿宋" w:eastAsia="仿宋" w:cs="仿宋_GB2312"/>
          <w:sz w:val="24"/>
          <w:lang w:eastAsia="zh-CN"/>
        </w:rPr>
        <w:t>项目</w:t>
      </w:r>
      <w:r>
        <w:rPr>
          <w:rFonts w:hint="eastAsia" w:ascii="仿宋" w:hAnsi="仿宋" w:eastAsia="仿宋" w:cs="仿宋_GB2312"/>
          <w:sz w:val="24"/>
        </w:rPr>
        <w:t>编号：</w:t>
      </w:r>
      <w:r>
        <w:rPr>
          <w:rFonts w:hint="eastAsia" w:ascii="仿宋" w:hAnsi="仿宋" w:eastAsia="仿宋"/>
          <w:sz w:val="24"/>
          <w:lang w:val="en-US" w:eastAsia="zh-CN"/>
        </w:rPr>
        <w:t>ZJRS2022-CG160</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pStyle w:val="11"/>
        <w:snapToGrid w:val="0"/>
        <w:spacing w:line="360" w:lineRule="auto"/>
        <w:rPr>
          <w:rFonts w:ascii="仿宋" w:hAnsi="仿宋" w:eastAsia="仿宋" w:cs="仿宋_GB2312"/>
        </w:rPr>
      </w:pPr>
    </w:p>
    <w:p>
      <w:pPr>
        <w:snapToGrid w:val="0"/>
        <w:spacing w:line="360" w:lineRule="auto"/>
        <w:rPr>
          <w:rFonts w:ascii="仿宋" w:hAnsi="仿宋" w:eastAsia="仿宋"/>
        </w:rPr>
      </w:pPr>
    </w:p>
    <w:p>
      <w:pPr>
        <w:snapToGrid w:val="0"/>
        <w:spacing w:line="360" w:lineRule="auto"/>
        <w:ind w:firstLine="3360" w:firstLineChars="1400"/>
        <w:rPr>
          <w:rFonts w:ascii="仿宋" w:hAnsi="仿宋" w:eastAsia="仿宋" w:cs="仿宋_GB2312"/>
          <w:kern w:val="0"/>
          <w:sz w:val="24"/>
          <w:u w:val="single"/>
        </w:rPr>
      </w:pPr>
      <w:r>
        <w:rPr>
          <w:rFonts w:hint="eastAsia" w:ascii="仿宋" w:hAnsi="仿宋" w:eastAsia="仿宋" w:cs="仿宋_GB2312"/>
          <w:kern w:val="0"/>
          <w:sz w:val="24"/>
          <w:lang w:val="zh-CN"/>
        </w:rPr>
        <w:t>投标人</w:t>
      </w:r>
      <w:r>
        <w:rPr>
          <w:rFonts w:ascii="仿宋" w:hAnsi="仿宋" w:eastAsia="仿宋" w:cs="仿宋_GB2312"/>
          <w:kern w:val="0"/>
          <w:sz w:val="24"/>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盖单位公章</w:t>
      </w:r>
      <w:r>
        <w:rPr>
          <w:rFonts w:hint="eastAsia" w:ascii="仿宋" w:hAnsi="仿宋" w:eastAsia="仿宋" w:cs="仿宋_GB2312"/>
          <w:kern w:val="0"/>
          <w:sz w:val="24"/>
          <w:u w:val="single"/>
          <w:lang w:val="en-US" w:eastAsia="zh-CN"/>
        </w:rPr>
        <w:t>）</w:t>
      </w:r>
    </w:p>
    <w:p>
      <w:pPr>
        <w:widowControl/>
        <w:tabs>
          <w:tab w:val="left" w:pos="8280"/>
        </w:tabs>
        <w:spacing w:line="312" w:lineRule="auto"/>
        <w:jc w:val="both"/>
        <w:rPr>
          <w:rFonts w:hint="eastAsia" w:ascii="仿宋" w:hAnsi="仿宋" w:eastAsia="仿宋" w:cs="仿宋_GB2312"/>
          <w:kern w:val="0"/>
          <w:sz w:val="24"/>
          <w:lang w:val="zh-CN"/>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en-US" w:eastAsia="zh-CN"/>
        </w:rPr>
        <w:t>法定代表人或授权代表（签字或盖章）：</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p>
      <w:pPr>
        <w:snapToGrid w:val="0"/>
        <w:spacing w:line="360" w:lineRule="auto"/>
        <w:rPr>
          <w:rFonts w:ascii="仿宋" w:hAnsi="仿宋" w:eastAsia="仿宋" w:cs="仿宋_GB2312"/>
          <w:kern w:val="0"/>
          <w:sz w:val="24"/>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三、联合体协议书（如有）</w:t>
      </w:r>
    </w:p>
    <w:p>
      <w:pPr>
        <w:snapToGrid w:val="0"/>
        <w:spacing w:line="360" w:lineRule="auto"/>
        <w:ind w:firstLine="576"/>
        <w:rPr>
          <w:rFonts w:hint="eastAsia"/>
          <w:u w:val="single"/>
        </w:rPr>
      </w:pP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u w:val="single"/>
        </w:rPr>
        <w:t>（联合体所有成员名称）</w:t>
      </w:r>
      <w:r>
        <w:rPr>
          <w:rFonts w:hint="eastAsia" w:ascii="仿宋" w:hAnsi="仿宋" w:eastAsia="仿宋" w:cs="仿宋"/>
          <w:sz w:val="24"/>
          <w:szCs w:val="24"/>
        </w:rPr>
        <w:t>自愿</w:t>
      </w:r>
      <w:r>
        <w:rPr>
          <w:rFonts w:hint="eastAsia" w:ascii="仿宋" w:hAnsi="仿宋" w:eastAsia="仿宋" w:cs="仿宋"/>
          <w:sz w:val="24"/>
          <w:szCs w:val="24"/>
          <w:lang w:val="zh-CN"/>
        </w:rPr>
        <w:t>组成一个联合体，以一个供应商的身份</w:t>
      </w:r>
      <w:r>
        <w:rPr>
          <w:rFonts w:hint="eastAsia" w:ascii="仿宋" w:hAnsi="仿宋" w:eastAsia="仿宋" w:cs="仿宋"/>
          <w:sz w:val="24"/>
          <w:szCs w:val="24"/>
        </w:rPr>
        <w:t>参加（项目名称）（项目编号：）</w:t>
      </w:r>
      <w:r>
        <w:rPr>
          <w:rFonts w:hint="eastAsia" w:ascii="仿宋" w:hAnsi="仿宋" w:eastAsia="仿宋" w:cs="仿宋"/>
          <w:sz w:val="24"/>
          <w:szCs w:val="24"/>
          <w:lang w:val="zh-CN"/>
        </w:rPr>
        <w:t xml:space="preserve">投标。 </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一、各方一致决定，</w:t>
      </w:r>
      <w:r>
        <w:rPr>
          <w:rFonts w:hint="eastAsia" w:ascii="仿宋" w:hAnsi="仿宋" w:eastAsia="仿宋" w:cs="仿宋"/>
          <w:sz w:val="24"/>
          <w:szCs w:val="24"/>
          <w:u w:val="single"/>
        </w:rPr>
        <w:t>（某联合体成员名称）</w:t>
      </w:r>
      <w:r>
        <w:rPr>
          <w:rFonts w:hint="eastAsia" w:ascii="仿宋" w:hAnsi="仿宋" w:eastAsia="仿宋" w:cs="仿宋"/>
          <w:sz w:val="24"/>
          <w:szCs w:val="24"/>
        </w:rPr>
        <w:t>为联合体</w:t>
      </w:r>
      <w:r>
        <w:rPr>
          <w:rFonts w:hint="eastAsia" w:ascii="仿宋" w:hAnsi="仿宋" w:eastAsia="仿宋" w:cs="仿宋"/>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sz w:val="24"/>
          <w:szCs w:val="24"/>
          <w:lang w:val="zh-CN"/>
        </w:rPr>
        <w:t>。</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sz w:val="24"/>
          <w:szCs w:val="24"/>
          <w:lang w:val="zh-CN"/>
        </w:rPr>
        <w:t>授权代表根据磋商文件规定及投标内容而对采购人、采购机构所作的任何合法承诺，包括书面澄清及相应等均对联合投标各方产生约束力。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三、本次联合投标中，分工如下：</w:t>
      </w:r>
      <w:r>
        <w:rPr>
          <w:rFonts w:hint="eastAsia" w:ascii="仿宋" w:hAnsi="仿宋" w:eastAsia="仿宋" w:cs="仿宋"/>
          <w:sz w:val="24"/>
          <w:szCs w:val="24"/>
          <w:u w:val="single"/>
        </w:rPr>
        <w:t>（联合体其中一方成员名称）</w:t>
      </w:r>
      <w:r>
        <w:rPr>
          <w:rFonts w:hint="eastAsia" w:ascii="仿宋" w:hAnsi="仿宋" w:eastAsia="仿宋" w:cs="仿宋"/>
          <w:sz w:val="24"/>
          <w:szCs w:val="24"/>
          <w:lang w:val="zh-CN"/>
        </w:rPr>
        <w:t>承担的工作和义务为：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w:t>
      </w:r>
      <w:r>
        <w:rPr>
          <w:rFonts w:hint="eastAsia" w:ascii="仿宋" w:hAnsi="仿宋" w:eastAsia="仿宋" w:cs="仿宋"/>
          <w:sz w:val="24"/>
          <w:szCs w:val="24"/>
          <w:u w:val="single"/>
        </w:rPr>
        <w:t>（联合体其中一方成员名称）</w:t>
      </w:r>
      <w:r>
        <w:rPr>
          <w:rFonts w:hint="eastAsia" w:ascii="仿宋" w:hAnsi="仿宋" w:eastAsia="仿宋" w:cs="仿宋"/>
          <w:sz w:val="24"/>
          <w:szCs w:val="24"/>
          <w:lang w:val="zh-CN"/>
        </w:rPr>
        <w:t>承担的工作和义务为：</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四、如果成交，</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五、有关本次联合投标的其他事宜：</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sz w:val="24"/>
          <w:szCs w:val="24"/>
          <w:lang w:val="zh-CN"/>
        </w:rPr>
      </w:pPr>
      <w:r>
        <w:rPr>
          <w:rFonts w:hint="eastAsia" w:ascii="仿宋" w:hAnsi="仿宋" w:eastAsia="仿宋" w:cs="仿宋"/>
          <w:sz w:val="24"/>
          <w:szCs w:val="24"/>
          <w:lang w:val="zh-CN"/>
        </w:rPr>
        <w:t>联合体成员名称(电子签章/公章)：</w:t>
      </w:r>
    </w:p>
    <w:p>
      <w:pPr>
        <w:snapToGrid w:val="0"/>
        <w:spacing w:line="360" w:lineRule="auto"/>
        <w:ind w:firstLine="5040" w:firstLineChars="2100"/>
        <w:rPr>
          <w:rFonts w:hint="eastAsia" w:ascii="仿宋" w:hAnsi="仿宋" w:eastAsia="仿宋" w:cs="仿宋"/>
          <w:sz w:val="24"/>
          <w:szCs w:val="24"/>
          <w:lang w:val="zh-CN"/>
        </w:rPr>
      </w:pPr>
      <w:r>
        <w:rPr>
          <w:rFonts w:hint="eastAsia" w:ascii="仿宋" w:hAnsi="仿宋" w:eastAsia="仿宋" w:cs="仿宋"/>
          <w:sz w:val="24"/>
          <w:szCs w:val="24"/>
          <w:lang w:val="zh-CN"/>
        </w:rPr>
        <w:t>联合体成员名称(电子签章/公章)：</w:t>
      </w:r>
    </w:p>
    <w:p>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sz w:val="24"/>
          <w:szCs w:val="24"/>
          <w:lang w:val="zh-CN"/>
        </w:rPr>
        <w:t>……</w:t>
      </w:r>
    </w:p>
    <w:p>
      <w:pPr>
        <w:widowControl/>
        <w:tabs>
          <w:tab w:val="left" w:pos="450"/>
          <w:tab w:val="left" w:pos="2520"/>
          <w:tab w:val="left" w:pos="8280"/>
        </w:tabs>
        <w:spacing w:line="312" w:lineRule="auto"/>
        <w:ind w:left="4968" w:leftChars="342" w:hanging="4250" w:hangingChars="1771"/>
        <w:jc w:val="both"/>
        <w:rPr>
          <w:rFonts w:hint="eastAsia" w:ascii="仿宋" w:hAnsi="仿宋" w:eastAsia="仿宋" w:cs="仿宋"/>
          <w:b/>
          <w:bCs/>
          <w:color w:val="auto"/>
          <w:sz w:val="24"/>
          <w:szCs w:val="24"/>
        </w:rPr>
      </w:pPr>
      <w:r>
        <w:rPr>
          <w:rFonts w:hint="eastAsia" w:ascii="仿宋" w:hAnsi="仿宋" w:eastAsia="仿宋" w:cs="仿宋"/>
          <w:sz w:val="24"/>
          <w:szCs w:val="24"/>
          <w:lang w:val="zh-CN"/>
        </w:rPr>
        <w:t xml:space="preserve">                                     日期：  年  月   日</w:t>
      </w:r>
    </w:p>
    <w:p>
      <w:pPr>
        <w:pStyle w:val="18"/>
        <w:widowControl w:val="0"/>
        <w:adjustRightInd w:val="0"/>
        <w:snapToGrid w:val="0"/>
        <w:spacing w:line="276" w:lineRule="auto"/>
        <w:jc w:val="both"/>
        <w:rPr>
          <w:rFonts w:hint="eastAsia"/>
          <w:b/>
          <w:color w:val="000000"/>
          <w:sz w:val="32"/>
          <w:szCs w:val="32"/>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四、分包意向协议（如有）</w:t>
      </w:r>
    </w:p>
    <w:p>
      <w:pPr>
        <w:spacing w:line="360" w:lineRule="auto"/>
        <w:ind w:firstLine="105" w:firstLineChars="50"/>
        <w:rPr>
          <w:rFonts w:hint="eastAsia"/>
        </w:rPr>
      </w:pPr>
    </w:p>
    <w:p>
      <w:pPr>
        <w:spacing w:line="360" w:lineRule="auto"/>
        <w:ind w:firstLine="120" w:firstLineChars="50"/>
        <w:rPr>
          <w:rFonts w:hint="eastAsia" w:ascii="仿宋" w:hAnsi="仿宋" w:eastAsia="仿宋" w:cs="仿宋"/>
          <w:b/>
          <w:sz w:val="24"/>
          <w:szCs w:val="24"/>
        </w:rPr>
      </w:pPr>
      <w:r>
        <w:rPr>
          <w:rFonts w:hint="eastAsia" w:ascii="仿宋" w:hAnsi="仿宋" w:eastAsia="仿宋" w:cs="仿宋"/>
          <w:b/>
          <w:sz w:val="24"/>
          <w:szCs w:val="24"/>
        </w:rPr>
        <w:t>（成交后以分包方式履行合同的，提供分包意向协议；采购人不同意分包或者供应商成交后不以分包方式履行合同的，则不需要提供）</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u w:val="single"/>
        </w:rPr>
        <w:t>（供应商名称）</w:t>
      </w:r>
      <w:r>
        <w:rPr>
          <w:rFonts w:hint="eastAsia" w:ascii="仿宋" w:hAnsi="仿宋" w:eastAsia="仿宋" w:cs="仿宋"/>
          <w:sz w:val="24"/>
          <w:szCs w:val="24"/>
          <w:lang w:val="zh-CN"/>
        </w:rPr>
        <w:t>若成为</w:t>
      </w:r>
      <w:r>
        <w:rPr>
          <w:rFonts w:hint="eastAsia" w:ascii="仿宋" w:hAnsi="仿宋" w:eastAsia="仿宋" w:cs="仿宋"/>
          <w:sz w:val="24"/>
          <w:szCs w:val="24"/>
        </w:rPr>
        <w:t>（项目名称）（采购编号）</w:t>
      </w:r>
      <w:r>
        <w:rPr>
          <w:rFonts w:hint="eastAsia" w:ascii="仿宋" w:hAnsi="仿宋" w:eastAsia="仿宋" w:cs="仿宋"/>
          <w:sz w:val="24"/>
          <w:szCs w:val="24"/>
          <w:lang w:val="zh-CN"/>
        </w:rPr>
        <w:t>的成交供应商，将依法采取分包方式履行合同。</w:t>
      </w:r>
      <w:r>
        <w:rPr>
          <w:rFonts w:hint="eastAsia" w:ascii="仿宋" w:hAnsi="仿宋" w:eastAsia="仿宋" w:cs="仿宋"/>
          <w:sz w:val="24"/>
          <w:szCs w:val="24"/>
          <w:u w:val="single"/>
        </w:rPr>
        <w:t>（供应商名称）</w:t>
      </w:r>
      <w:r>
        <w:rPr>
          <w:rFonts w:hint="eastAsia" w:ascii="仿宋" w:hAnsi="仿宋" w:eastAsia="仿宋" w:cs="仿宋"/>
          <w:sz w:val="24"/>
          <w:szCs w:val="24"/>
        </w:rPr>
        <w:t>与</w:t>
      </w:r>
      <w:r>
        <w:rPr>
          <w:rFonts w:hint="eastAsia" w:ascii="仿宋" w:hAnsi="仿宋" w:eastAsia="仿宋" w:cs="仿宋"/>
          <w:sz w:val="24"/>
          <w:szCs w:val="24"/>
          <w:u w:val="single"/>
        </w:rPr>
        <w:t>（所有分包供应商名称）</w:t>
      </w:r>
      <w:r>
        <w:rPr>
          <w:rFonts w:hint="eastAsia" w:ascii="仿宋" w:hAnsi="仿宋" w:eastAsia="仿宋" w:cs="仿宋"/>
          <w:sz w:val="24"/>
          <w:szCs w:val="24"/>
        </w:rPr>
        <w:t>达成分包意向协议</w:t>
      </w:r>
      <w:r>
        <w:rPr>
          <w:rFonts w:hint="eastAsia" w:ascii="仿宋" w:hAnsi="仿宋" w:eastAsia="仿宋" w:cs="仿宋"/>
          <w:sz w:val="24"/>
          <w:szCs w:val="24"/>
          <w:lang w:val="zh-CN"/>
        </w:rPr>
        <w:t xml:space="preserve">。 </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一、分包标的及数量</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u w:val="single"/>
        </w:rPr>
        <w:t>（供应商名称）</w:t>
      </w:r>
      <w:r>
        <w:rPr>
          <w:rFonts w:hint="eastAsia" w:ascii="仿宋" w:hAnsi="仿宋" w:eastAsia="仿宋" w:cs="仿宋"/>
          <w:sz w:val="24"/>
          <w:szCs w:val="24"/>
          <w:lang w:val="zh-CN"/>
        </w:rPr>
        <w:t>将</w:t>
      </w:r>
      <w:r>
        <w:rPr>
          <w:rFonts w:hint="eastAsia" w:ascii="仿宋" w:hAnsi="仿宋" w:eastAsia="仿宋" w:cs="仿宋"/>
          <w:sz w:val="24"/>
          <w:szCs w:val="24"/>
          <w:u w:val="single"/>
        </w:rPr>
        <w:t xml:space="preserve">   XX工作内容   </w:t>
      </w:r>
      <w:r>
        <w:rPr>
          <w:rFonts w:hint="eastAsia" w:ascii="仿宋" w:hAnsi="仿宋" w:eastAsia="仿宋" w:cs="仿宋"/>
          <w:sz w:val="24"/>
          <w:szCs w:val="24"/>
        </w:rPr>
        <w:t>分包给</w:t>
      </w:r>
      <w:r>
        <w:rPr>
          <w:rFonts w:hint="eastAsia" w:ascii="仿宋" w:hAnsi="仿宋" w:eastAsia="仿宋" w:cs="仿宋"/>
          <w:sz w:val="24"/>
          <w:szCs w:val="24"/>
          <w:u w:val="single"/>
        </w:rPr>
        <w:t>（某分包供应商名称）</w:t>
      </w:r>
      <w:r>
        <w:rPr>
          <w:rFonts w:hint="eastAsia" w:ascii="仿宋" w:hAnsi="仿宋" w:eastAsia="仿宋" w:cs="仿宋"/>
          <w:sz w:val="24"/>
          <w:szCs w:val="24"/>
          <w:lang w:val="zh-CN"/>
        </w:rPr>
        <w:t>，</w:t>
      </w:r>
      <w:r>
        <w:rPr>
          <w:rFonts w:hint="eastAsia" w:ascii="仿宋" w:hAnsi="仿宋" w:eastAsia="仿宋" w:cs="仿宋"/>
          <w:sz w:val="24"/>
          <w:szCs w:val="24"/>
          <w:u w:val="single"/>
        </w:rPr>
        <w:t>（某分包供应商名称），</w:t>
      </w:r>
      <w:r>
        <w:rPr>
          <w:rFonts w:hint="eastAsia" w:ascii="仿宋" w:hAnsi="仿宋" w:eastAsia="仿宋" w:cs="仿宋"/>
          <w:sz w:val="24"/>
          <w:szCs w:val="24"/>
          <w:lang w:val="zh-CN"/>
        </w:rPr>
        <w:t>具备承</w:t>
      </w:r>
      <w:r>
        <w:rPr>
          <w:rFonts w:hint="eastAsia" w:ascii="仿宋" w:hAnsi="仿宋" w:eastAsia="仿宋" w:cs="仿宋"/>
          <w:sz w:val="24"/>
          <w:szCs w:val="24"/>
        </w:rPr>
        <w:t>担</w:t>
      </w:r>
      <w:r>
        <w:rPr>
          <w:rFonts w:hint="eastAsia" w:ascii="仿宋" w:hAnsi="仿宋" w:eastAsia="仿宋" w:cs="仿宋"/>
          <w:sz w:val="24"/>
          <w:szCs w:val="24"/>
          <w:u w:val="single"/>
          <w:lang w:val="zh-CN"/>
        </w:rPr>
        <w:t>XX工作内容</w:t>
      </w:r>
      <w:r>
        <w:rPr>
          <w:rFonts w:hint="eastAsia" w:ascii="仿宋" w:hAnsi="仿宋" w:eastAsia="仿宋" w:cs="仿宋"/>
          <w:sz w:val="24"/>
          <w:szCs w:val="24"/>
          <w:lang w:val="zh-CN"/>
        </w:rPr>
        <w:t>相应资质条件且不得再次分包；</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二、分包工作履行期限、地点、方式</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三、质量</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四、价款或者报酬</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五、违约责任</w:t>
      </w:r>
    </w:p>
    <w:p>
      <w:pPr>
        <w:snapToGrid w:val="0"/>
        <w:spacing w:line="360" w:lineRule="auto"/>
        <w:ind w:firstLine="576"/>
        <w:rPr>
          <w:rFonts w:hint="eastAsia" w:ascii="仿宋" w:hAnsi="仿宋" w:eastAsia="仿宋" w:cs="仿宋"/>
          <w:sz w:val="24"/>
          <w:szCs w:val="24"/>
          <w:lang w:val="zh-CN"/>
        </w:rPr>
      </w:pPr>
      <w:r>
        <w:rPr>
          <w:rFonts w:hint="eastAsia" w:ascii="仿宋" w:hAnsi="仿宋" w:eastAsia="仿宋" w:cs="仿宋"/>
          <w:sz w:val="24"/>
          <w:szCs w:val="24"/>
          <w:lang w:val="zh-CN"/>
        </w:rPr>
        <w:t>六、争议解决的办法</w:t>
      </w:r>
    </w:p>
    <w:p>
      <w:pPr>
        <w:snapToGrid w:val="0"/>
        <w:spacing w:line="360" w:lineRule="auto"/>
        <w:ind w:firstLine="576"/>
        <w:rPr>
          <w:rFonts w:hint="eastAsia" w:ascii="仿宋" w:hAnsi="仿宋" w:eastAsia="仿宋" w:cs="仿宋"/>
          <w:sz w:val="24"/>
          <w:szCs w:val="24"/>
          <w:lang w:val="zh-CN"/>
        </w:rPr>
      </w:pPr>
      <w:bookmarkStart w:id="24" w:name="_Hlk99031765"/>
      <w:r>
        <w:rPr>
          <w:rFonts w:hint="eastAsia" w:ascii="仿宋" w:hAnsi="仿宋" w:eastAsia="仿宋" w:cs="仿宋"/>
          <w:sz w:val="24"/>
          <w:szCs w:val="24"/>
          <w:lang w:val="zh-CN"/>
        </w:rPr>
        <w:t>七、其他</w:t>
      </w:r>
    </w:p>
    <w:p>
      <w:pPr>
        <w:snapToGrid w:val="0"/>
        <w:spacing w:line="360" w:lineRule="auto"/>
        <w:ind w:firstLine="576"/>
        <w:rPr>
          <w:rFonts w:hint="eastAsia" w:ascii="仿宋" w:hAnsi="仿宋" w:eastAsia="仿宋" w:cs="仿宋"/>
          <w:b/>
          <w:sz w:val="24"/>
          <w:szCs w:val="24"/>
          <w:lang w:val="zh-CN"/>
        </w:rPr>
      </w:pPr>
    </w:p>
    <w:bookmarkEnd w:id="24"/>
    <w:p>
      <w:pPr>
        <w:snapToGri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p>
    <w:p>
      <w:pPr>
        <w:snapToGrid w:val="0"/>
        <w:spacing w:line="360" w:lineRule="auto"/>
        <w:ind w:left="5010" w:leftChars="100" w:hanging="4800" w:hangingChars="2000"/>
        <w:rPr>
          <w:rFonts w:hint="eastAsia" w:ascii="仿宋" w:hAnsi="仿宋" w:eastAsia="仿宋" w:cs="仿宋"/>
          <w:sz w:val="24"/>
          <w:szCs w:val="24"/>
          <w:lang w:val="zh-CN"/>
        </w:rPr>
      </w:pPr>
    </w:p>
    <w:p>
      <w:pPr>
        <w:snapToGrid w:val="0"/>
        <w:spacing w:line="360" w:lineRule="auto"/>
        <w:ind w:left="5010" w:leftChars="100" w:hanging="4800" w:hangingChars="2000"/>
        <w:rPr>
          <w:rFonts w:hint="eastAsia" w:ascii="仿宋" w:hAnsi="仿宋" w:eastAsia="仿宋" w:cs="仿宋"/>
          <w:sz w:val="24"/>
          <w:szCs w:val="24"/>
          <w:lang w:val="zh-CN"/>
        </w:rPr>
      </w:pPr>
    </w:p>
    <w:p>
      <w:pPr>
        <w:snapToGrid w:val="0"/>
        <w:spacing w:line="360" w:lineRule="auto"/>
        <w:ind w:left="4650" w:leftChars="1300" w:hanging="1920" w:hangingChars="800"/>
        <w:rPr>
          <w:rFonts w:hint="eastAsia" w:ascii="仿宋" w:hAnsi="仿宋" w:eastAsia="仿宋" w:cs="仿宋"/>
          <w:sz w:val="24"/>
          <w:szCs w:val="24"/>
          <w:lang w:val="zh-CN"/>
        </w:rPr>
      </w:pPr>
      <w:r>
        <w:rPr>
          <w:rFonts w:hint="eastAsia" w:ascii="仿宋" w:hAnsi="仿宋" w:eastAsia="仿宋" w:cs="仿宋"/>
          <w:sz w:val="24"/>
          <w:szCs w:val="24"/>
          <w:lang w:val="zh-CN"/>
        </w:rPr>
        <w:t xml:space="preserve">                        供应商名称(电子签章)：</w:t>
      </w:r>
    </w:p>
    <w:p>
      <w:pPr>
        <w:snapToGrid w:val="0"/>
        <w:spacing w:line="360" w:lineRule="auto"/>
        <w:ind w:firstLine="5640" w:firstLineChars="2350"/>
        <w:rPr>
          <w:rFonts w:hint="eastAsia" w:ascii="仿宋" w:hAnsi="仿宋" w:eastAsia="仿宋" w:cs="仿宋"/>
          <w:sz w:val="24"/>
          <w:szCs w:val="24"/>
          <w:lang w:val="zh-CN"/>
        </w:rPr>
      </w:pPr>
      <w:r>
        <w:rPr>
          <w:rFonts w:hint="eastAsia" w:ascii="仿宋" w:hAnsi="仿宋" w:eastAsia="仿宋" w:cs="仿宋"/>
          <w:sz w:val="24"/>
          <w:szCs w:val="24"/>
          <w:lang w:val="zh-CN"/>
        </w:rPr>
        <w:t>分包供应商名称：</w:t>
      </w:r>
    </w:p>
    <w:p>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sz w:val="24"/>
          <w:szCs w:val="24"/>
          <w:lang w:val="zh-CN"/>
        </w:rPr>
        <w:t>……</w:t>
      </w:r>
    </w:p>
    <w:p>
      <w:pPr>
        <w:pStyle w:val="18"/>
        <w:widowControl w:val="0"/>
        <w:adjustRightInd w:val="0"/>
        <w:snapToGrid w:val="0"/>
        <w:spacing w:line="276" w:lineRule="auto"/>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sz w:val="24"/>
          <w:szCs w:val="24"/>
          <w:lang w:val="zh-CN"/>
        </w:rPr>
        <w:t xml:space="preserve">                                    日期：  年  月   日</w:t>
      </w: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p>
    <w:p>
      <w:pPr>
        <w:widowControl/>
        <w:tabs>
          <w:tab w:val="left" w:pos="450"/>
          <w:tab w:val="left" w:pos="2520"/>
          <w:tab w:val="left" w:pos="8280"/>
        </w:tabs>
        <w:spacing w:line="312" w:lineRule="auto"/>
        <w:ind w:firstLine="480"/>
        <w:jc w:val="center"/>
        <w:rPr>
          <w:rFonts w:hint="eastAsia" w:ascii="仿宋" w:hAnsi="仿宋" w:eastAsia="仿宋" w:cs="仿宋"/>
          <w:b w:val="0"/>
          <w:bCs/>
          <w:color w:val="auto"/>
          <w:sz w:val="24"/>
          <w:szCs w:val="24"/>
        </w:rPr>
      </w:pP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、授权委托书（格式）</w:t>
      </w:r>
      <w:r>
        <w:rPr>
          <w:rFonts w:hint="eastAsia" w:ascii="仿宋" w:hAnsi="仿宋" w:eastAsia="仿宋" w:cs="仿宋_GB2312"/>
          <w:b w:val="0"/>
          <w:bCs/>
          <w:kern w:val="0"/>
          <w:sz w:val="24"/>
          <w:szCs w:val="24"/>
        </w:rPr>
        <w:t>适用于非联合体投标</w:t>
      </w:r>
    </w:p>
    <w:p>
      <w:pPr>
        <w:spacing w:line="420" w:lineRule="exact"/>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致：浙江日晟信息咨询有限公司</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我方对被授权人的签名事项负全部责任。</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附：法定代表人和被授权人身份证复印件。</w:t>
      </w:r>
    </w:p>
    <w:p>
      <w:pPr>
        <w:spacing w:line="360"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法定代表人（签字或盖章）：</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spacing w:line="360" w:lineRule="auto"/>
        <w:ind w:firstLine="4560" w:firstLineChars="19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授权代表（签字或盖章）：</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420" w:lineRule="exact"/>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spacing w:line="312" w:lineRule="auto"/>
        <w:rPr>
          <w:rFonts w:hint="eastAsia" w:ascii="仿宋" w:hAnsi="仿宋" w:eastAsia="仿宋" w:cs="仿宋"/>
          <w:color w:val="auto"/>
          <w:sz w:val="24"/>
          <w:szCs w:val="24"/>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lang w:val="en-US" w:eastAsia="zh-CN"/>
        </w:rPr>
      </w:pPr>
    </w:p>
    <w:p>
      <w:pPr>
        <w:rPr>
          <w:rFonts w:hint="eastAsia"/>
          <w:lang w:val="en-US" w:eastAsia="zh-CN"/>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或五、</w:t>
      </w:r>
      <w:r>
        <w:rPr>
          <w:rFonts w:hint="eastAsia" w:ascii="仿宋" w:hAnsi="仿宋" w:eastAsia="仿宋" w:cs="仿宋"/>
          <w:b/>
          <w:bCs/>
          <w:color w:val="auto"/>
          <w:sz w:val="30"/>
          <w:szCs w:val="30"/>
          <w:lang w:val="zh-CN"/>
        </w:rPr>
        <w:t>授权委托书（</w:t>
      </w:r>
      <w:r>
        <w:rPr>
          <w:rFonts w:hint="eastAsia" w:ascii="仿宋" w:hAnsi="仿宋" w:eastAsia="仿宋" w:cs="仿宋"/>
          <w:b/>
          <w:bCs/>
          <w:color w:val="auto"/>
          <w:sz w:val="30"/>
          <w:szCs w:val="30"/>
          <w:lang w:val="en-US" w:eastAsia="zh-CN"/>
        </w:rPr>
        <w:t>格式</w:t>
      </w:r>
      <w:r>
        <w:rPr>
          <w:rFonts w:hint="eastAsia" w:ascii="仿宋" w:hAnsi="仿宋" w:eastAsia="仿宋" w:cs="仿宋"/>
          <w:b/>
          <w:bCs/>
          <w:color w:val="auto"/>
          <w:sz w:val="30"/>
          <w:szCs w:val="30"/>
          <w:lang w:val="zh-CN"/>
        </w:rPr>
        <w:t>）</w:t>
      </w:r>
      <w:r>
        <w:rPr>
          <w:rFonts w:hint="eastAsia" w:ascii="仿宋" w:hAnsi="仿宋" w:eastAsia="仿宋" w:cs="仿宋_GB2312"/>
          <w:b w:val="0"/>
          <w:bCs/>
          <w:kern w:val="0"/>
          <w:sz w:val="24"/>
          <w:szCs w:val="24"/>
        </w:rPr>
        <w:t>适用于联合体投标</w:t>
      </w:r>
    </w:p>
    <w:p>
      <w:pPr>
        <w:snapToGrid w:val="0"/>
        <w:spacing w:line="360" w:lineRule="auto"/>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r>
        <w:rPr>
          <w:rFonts w:hint="eastAsia" w:ascii="仿宋" w:hAnsi="仿宋" w:eastAsia="仿宋" w:cs="仿宋"/>
          <w:sz w:val="24"/>
          <w:szCs w:val="24"/>
          <w:lang w:val="zh-CN"/>
        </w:rPr>
        <w:t>：</w:t>
      </w:r>
    </w:p>
    <w:p>
      <w:pPr>
        <w:snapToGrid w:val="0"/>
        <w:spacing w:line="360" w:lineRule="auto"/>
        <w:ind w:firstLine="576"/>
        <w:rPr>
          <w:rFonts w:hint="eastAsia" w:ascii="仿宋" w:hAnsi="仿宋" w:eastAsia="仿宋" w:cs="仿宋"/>
          <w:sz w:val="24"/>
          <w:szCs w:val="24"/>
        </w:rPr>
      </w:pPr>
      <w:r>
        <w:rPr>
          <w:rFonts w:hint="eastAsia" w:ascii="仿宋" w:hAnsi="仿宋" w:eastAsia="仿宋" w:cs="仿宋"/>
          <w:sz w:val="24"/>
          <w:szCs w:val="24"/>
        </w:rPr>
        <w:t>现</w:t>
      </w:r>
      <w:r>
        <w:rPr>
          <w:rFonts w:hint="eastAsia" w:ascii="仿宋" w:hAnsi="仿宋" w:eastAsia="仿宋" w:cs="仿宋"/>
          <w:sz w:val="24"/>
          <w:szCs w:val="24"/>
          <w:lang w:val="zh-CN"/>
        </w:rPr>
        <w:t>委托</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（姓名）为我方代理人（身份证号码：</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，手机：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），以我方名义处理</w:t>
      </w:r>
      <w:r>
        <w:rPr>
          <w:rFonts w:hint="eastAsia" w:ascii="仿宋" w:hAnsi="仿宋" w:eastAsia="仿宋" w:cs="仿宋"/>
          <w:sz w:val="24"/>
          <w:szCs w:val="24"/>
        </w:rPr>
        <w:t>（项目名称）（项目编号）</w:t>
      </w:r>
      <w:r>
        <w:rPr>
          <w:rFonts w:hint="eastAsia" w:ascii="仿宋" w:hAnsi="仿宋" w:eastAsia="仿宋" w:cs="仿宋"/>
          <w:sz w:val="24"/>
          <w:szCs w:val="24"/>
          <w:lang w:val="zh-CN"/>
        </w:rPr>
        <w:t>政府采购投标的一切事项，其法律后果由我方承担。</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zh-CN"/>
        </w:rPr>
        <w:t>委托期限</w:t>
      </w:r>
      <w:r>
        <w:rPr>
          <w:rFonts w:hint="eastAsia" w:ascii="仿宋" w:hAnsi="仿宋" w:eastAsia="仿宋" w:cs="仿宋"/>
          <w:sz w:val="24"/>
          <w:szCs w:val="24"/>
        </w:rPr>
        <w:t>：</w:t>
      </w:r>
      <w:r>
        <w:rPr>
          <w:rFonts w:hint="eastAsia" w:ascii="仿宋" w:hAnsi="仿宋" w:eastAsia="仿宋" w:cs="仿宋"/>
          <w:sz w:val="24"/>
          <w:szCs w:val="24"/>
          <w:lang w:val="zh-CN"/>
        </w:rPr>
        <w:t>自</w:t>
      </w:r>
      <w:r>
        <w:rPr>
          <w:rFonts w:hint="eastAsia" w:ascii="仿宋" w:hAnsi="仿宋" w:eastAsia="仿宋" w:cs="仿宋"/>
          <w:sz w:val="24"/>
          <w:szCs w:val="24"/>
        </w:rPr>
        <w:t xml:space="preserve">   </w:t>
      </w:r>
      <w:r>
        <w:rPr>
          <w:rFonts w:hint="eastAsia" w:ascii="仿宋" w:hAnsi="仿宋" w:eastAsia="仿宋" w:cs="仿宋"/>
          <w:sz w:val="24"/>
          <w:szCs w:val="24"/>
          <w:lang w:val="zh-CN"/>
        </w:rPr>
        <w:t>年</w:t>
      </w:r>
      <w:r>
        <w:rPr>
          <w:rFonts w:hint="eastAsia" w:ascii="仿宋" w:hAnsi="仿宋" w:eastAsia="仿宋" w:cs="仿宋"/>
          <w:sz w:val="24"/>
          <w:szCs w:val="24"/>
        </w:rPr>
        <w:t xml:space="preserve"> </w:t>
      </w:r>
      <w:r>
        <w:rPr>
          <w:rFonts w:hint="eastAsia" w:ascii="仿宋" w:hAnsi="仿宋" w:eastAsia="仿宋" w:cs="仿宋"/>
          <w:sz w:val="24"/>
          <w:szCs w:val="24"/>
          <w:lang w:val="zh-CN"/>
        </w:rPr>
        <w:t>月</w:t>
      </w:r>
      <w:r>
        <w:rPr>
          <w:rFonts w:hint="eastAsia" w:ascii="仿宋" w:hAnsi="仿宋" w:eastAsia="仿宋" w:cs="仿宋"/>
          <w:sz w:val="24"/>
          <w:szCs w:val="24"/>
        </w:rPr>
        <w:t xml:space="preserve">  </w:t>
      </w:r>
      <w:r>
        <w:rPr>
          <w:rFonts w:hint="eastAsia" w:ascii="仿宋" w:hAnsi="仿宋" w:eastAsia="仿宋" w:cs="仿宋"/>
          <w:sz w:val="24"/>
          <w:szCs w:val="24"/>
          <w:lang w:val="zh-CN"/>
        </w:rPr>
        <w:t>日起至</w:t>
      </w:r>
      <w:r>
        <w:rPr>
          <w:rFonts w:hint="eastAsia" w:ascii="仿宋" w:hAnsi="仿宋" w:eastAsia="仿宋" w:cs="仿宋"/>
          <w:sz w:val="24"/>
          <w:szCs w:val="24"/>
        </w:rPr>
        <w:t xml:space="preserve">  </w:t>
      </w:r>
      <w:r>
        <w:rPr>
          <w:rFonts w:hint="eastAsia" w:ascii="仿宋" w:hAnsi="仿宋" w:eastAsia="仿宋" w:cs="仿宋"/>
          <w:sz w:val="24"/>
          <w:szCs w:val="24"/>
          <w:lang w:val="zh-CN"/>
        </w:rPr>
        <w:t>年</w:t>
      </w:r>
      <w:r>
        <w:rPr>
          <w:rFonts w:hint="eastAsia" w:ascii="仿宋" w:hAnsi="仿宋" w:eastAsia="仿宋" w:cs="仿宋"/>
          <w:sz w:val="24"/>
          <w:szCs w:val="24"/>
        </w:rPr>
        <w:t xml:space="preserve">  </w:t>
      </w:r>
      <w:r>
        <w:rPr>
          <w:rFonts w:hint="eastAsia" w:ascii="仿宋" w:hAnsi="仿宋" w:eastAsia="仿宋" w:cs="仿宋"/>
          <w:sz w:val="24"/>
          <w:szCs w:val="24"/>
          <w:lang w:val="zh-CN"/>
        </w:rPr>
        <w:t>月</w:t>
      </w:r>
      <w:r>
        <w:rPr>
          <w:rFonts w:hint="eastAsia" w:ascii="仿宋" w:hAnsi="仿宋" w:eastAsia="仿宋" w:cs="仿宋"/>
          <w:sz w:val="24"/>
          <w:szCs w:val="24"/>
        </w:rPr>
        <w:t xml:space="preserve">  </w:t>
      </w:r>
      <w:r>
        <w:rPr>
          <w:rFonts w:hint="eastAsia" w:ascii="仿宋" w:hAnsi="仿宋" w:eastAsia="仿宋" w:cs="仿宋"/>
          <w:sz w:val="24"/>
          <w:szCs w:val="24"/>
          <w:lang w:val="zh-CN"/>
        </w:rPr>
        <w:t>日止。</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zh-CN"/>
        </w:rPr>
        <w:t>特此告知。</w:t>
      </w: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jc w:val="center"/>
        <w:rPr>
          <w:rFonts w:hint="eastAsia" w:ascii="仿宋" w:hAnsi="仿宋" w:eastAsia="仿宋" w:cs="仿宋"/>
          <w:b/>
          <w:sz w:val="24"/>
          <w:szCs w:val="24"/>
        </w:rPr>
      </w:pPr>
    </w:p>
    <w:p>
      <w:pPr>
        <w:spacing w:line="360" w:lineRule="auto"/>
        <w:rPr>
          <w:rFonts w:hint="eastAsia" w:ascii="仿宋" w:hAnsi="仿宋" w:eastAsia="仿宋" w:cs="仿宋"/>
          <w:sz w:val="24"/>
          <w:szCs w:val="24"/>
        </w:rPr>
      </w:pPr>
    </w:p>
    <w:p>
      <w:pPr>
        <w:snapToGrid w:val="0"/>
        <w:spacing w:line="360" w:lineRule="auto"/>
        <w:ind w:firstLine="5040" w:firstLineChars="2100"/>
        <w:rPr>
          <w:rFonts w:hint="eastAsia" w:ascii="仿宋" w:hAnsi="仿宋" w:eastAsia="仿宋" w:cs="仿宋"/>
          <w:sz w:val="24"/>
          <w:szCs w:val="24"/>
          <w:lang w:val="zh-CN"/>
        </w:rPr>
      </w:pPr>
      <w:r>
        <w:rPr>
          <w:rFonts w:hint="eastAsia" w:ascii="仿宋" w:hAnsi="仿宋" w:eastAsia="仿宋" w:cs="仿宋"/>
          <w:sz w:val="24"/>
          <w:szCs w:val="24"/>
          <w:lang w:val="zh-CN"/>
        </w:rPr>
        <w:t>联合体成员名称(电子签章/公章)：</w:t>
      </w:r>
    </w:p>
    <w:p>
      <w:pPr>
        <w:snapToGrid w:val="0"/>
        <w:spacing w:line="360" w:lineRule="auto"/>
        <w:ind w:firstLine="5040" w:firstLineChars="2100"/>
        <w:rPr>
          <w:rFonts w:hint="eastAsia" w:ascii="仿宋" w:hAnsi="仿宋" w:eastAsia="仿宋" w:cs="仿宋"/>
          <w:sz w:val="24"/>
          <w:szCs w:val="24"/>
          <w:lang w:val="zh-CN"/>
        </w:rPr>
      </w:pPr>
      <w:r>
        <w:rPr>
          <w:rFonts w:hint="eastAsia" w:ascii="仿宋" w:hAnsi="仿宋" w:eastAsia="仿宋" w:cs="仿宋"/>
          <w:sz w:val="24"/>
          <w:szCs w:val="24"/>
          <w:lang w:val="zh-CN"/>
        </w:rPr>
        <w:t>联合体成员名称(电子签章/公章)：</w:t>
      </w:r>
    </w:p>
    <w:p>
      <w:pPr>
        <w:snapToGrid w:val="0"/>
        <w:spacing w:line="360" w:lineRule="auto"/>
        <w:ind w:firstLine="5760" w:firstLineChars="2400"/>
        <w:rPr>
          <w:rFonts w:hint="eastAsia" w:ascii="仿宋" w:hAnsi="仿宋" w:eastAsia="仿宋" w:cs="仿宋"/>
          <w:color w:val="auto"/>
          <w:sz w:val="24"/>
          <w:szCs w:val="24"/>
          <w:lang w:val="en-US" w:eastAsia="zh-CN"/>
        </w:rPr>
      </w:pPr>
      <w:r>
        <w:rPr>
          <w:rFonts w:hint="eastAsia" w:ascii="仿宋" w:hAnsi="仿宋" w:eastAsia="仿宋" w:cs="仿宋"/>
          <w:sz w:val="24"/>
          <w:szCs w:val="24"/>
          <w:lang w:val="zh-CN"/>
        </w:rPr>
        <w:t>……</w:t>
      </w:r>
    </w:p>
    <w:p>
      <w:pPr>
        <w:spacing w:line="360" w:lineRule="auto"/>
        <w:ind w:firstLine="3600" w:firstLineChars="1500"/>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法定代表人（签字或盖章）：</w:t>
      </w:r>
      <w:r>
        <w:rPr>
          <w:rFonts w:hint="eastAsia" w:ascii="仿宋" w:hAnsi="仿宋" w:eastAsia="仿宋" w:cs="仿宋"/>
          <w:color w:val="auto"/>
          <w:sz w:val="24"/>
          <w:szCs w:val="24"/>
          <w:u w:val="single"/>
        </w:rPr>
        <w:t xml:space="preserve">                  </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spacing w:line="360" w:lineRule="auto"/>
        <w:ind w:firstLine="4560" w:firstLineChars="19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授权代表（签字或盖章）：</w:t>
      </w:r>
      <w:r>
        <w:rPr>
          <w:rFonts w:hint="eastAsia" w:ascii="仿宋" w:hAnsi="仿宋" w:eastAsia="仿宋" w:cs="仿宋"/>
          <w:color w:val="auto"/>
          <w:sz w:val="24"/>
          <w:szCs w:val="24"/>
          <w:u w:val="single"/>
        </w:rPr>
        <w:t xml:space="preserve">         </w:t>
      </w:r>
    </w:p>
    <w:p>
      <w:pPr>
        <w:snapToGrid w:val="0"/>
        <w:spacing w:line="360" w:lineRule="auto"/>
        <w:ind w:firstLine="5760" w:firstLineChars="2400"/>
        <w:rPr>
          <w:rFonts w:hint="eastAsia" w:ascii="仿宋" w:hAnsi="仿宋" w:eastAsia="仿宋" w:cs="仿宋"/>
          <w:sz w:val="24"/>
          <w:szCs w:val="24"/>
          <w:lang w:val="zh-CN"/>
        </w:rPr>
      </w:pPr>
    </w:p>
    <w:p>
      <w:pPr>
        <w:snapToGrid w:val="0"/>
        <w:spacing w:line="360" w:lineRule="auto"/>
        <w:ind w:left="5280" w:hanging="5280" w:hangingChars="2200"/>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日期：  年  月   日</w:t>
      </w:r>
    </w:p>
    <w:p>
      <w:pPr>
        <w:shd w:val="clear" w:color="auto" w:fill="FFFFFF"/>
        <w:spacing w:before="100" w:beforeAutospacing="1" w:after="100" w:afterAutospacing="1" w:line="480" w:lineRule="auto"/>
        <w:ind w:firstLine="482" w:firstLineChars="200"/>
        <w:jc w:val="left"/>
        <w:rPr>
          <w:rStyle w:val="53"/>
          <w:rFonts w:hint="eastAsia" w:ascii="仿宋" w:hAnsi="仿宋" w:eastAsia="仿宋"/>
          <w:lang w:val="en-US" w:eastAsia="zh-CN"/>
        </w:rPr>
      </w:pPr>
      <w:r>
        <w:rPr>
          <w:rFonts w:hint="eastAsia" w:ascii="仿宋" w:hAnsi="仿宋" w:eastAsia="仿宋" w:cs="仿宋"/>
          <w:b/>
          <w:sz w:val="24"/>
          <w:szCs w:val="24"/>
        </w:rPr>
        <w:t>法定代表人、单位负责人或自然人本人的身份证明（适用于法定代表人、单位负责人或者自然人本人代表供应商参加投标）仅提供身份证正反面即可</w:t>
      </w:r>
    </w:p>
    <w:p>
      <w:pPr>
        <w:pStyle w:val="6"/>
        <w:numPr>
          <w:ilvl w:val="0"/>
          <w:numId w:val="0"/>
        </w:numPr>
        <w:tabs>
          <w:tab w:val="left" w:pos="432"/>
        </w:tabs>
        <w:ind w:firstLine="2811" w:firstLineChars="1000"/>
        <w:jc w:val="both"/>
        <w:rPr>
          <w:rStyle w:val="53"/>
          <w:rFonts w:hint="eastAsia" w:ascii="仿宋" w:hAnsi="仿宋" w:eastAsia="仿宋"/>
          <w:lang w:val="en-US" w:eastAsia="zh-CN"/>
        </w:rPr>
      </w:pPr>
    </w:p>
    <w:p>
      <w:pPr>
        <w:pStyle w:val="6"/>
        <w:numPr>
          <w:ilvl w:val="0"/>
          <w:numId w:val="0"/>
        </w:numPr>
        <w:tabs>
          <w:tab w:val="left" w:pos="432"/>
        </w:tabs>
        <w:ind w:firstLine="2811" w:firstLineChars="1000"/>
        <w:jc w:val="both"/>
        <w:rPr>
          <w:rStyle w:val="53"/>
          <w:rFonts w:hint="eastAsia" w:ascii="仿宋" w:hAnsi="仿宋" w:eastAsia="仿宋"/>
          <w:lang w:val="en-US" w:eastAsia="zh-CN"/>
        </w:rPr>
      </w:pPr>
    </w:p>
    <w:p>
      <w:pPr>
        <w:widowControl/>
        <w:tabs>
          <w:tab w:val="left" w:pos="450"/>
          <w:tab w:val="left" w:pos="2520"/>
          <w:tab w:val="left" w:pos="8280"/>
        </w:tabs>
        <w:spacing w:line="312" w:lineRule="auto"/>
        <w:jc w:val="both"/>
        <w:rPr>
          <w:rFonts w:hint="eastAsia" w:ascii="仿宋" w:hAnsi="仿宋" w:eastAsia="仿宋" w:cs="仿宋"/>
          <w:b/>
          <w:bCs/>
          <w:color w:val="auto"/>
          <w:sz w:val="30"/>
          <w:szCs w:val="30"/>
        </w:rPr>
      </w:pPr>
    </w:p>
    <w:p>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r>
        <w:rPr>
          <w:rFonts w:hint="eastAsia" w:ascii="仿宋" w:hAnsi="仿宋" w:eastAsia="仿宋" w:cs="仿宋"/>
          <w:b/>
          <w:bCs/>
          <w:color w:val="auto"/>
          <w:sz w:val="30"/>
          <w:szCs w:val="30"/>
          <w:lang w:eastAsia="zh-CN"/>
        </w:rPr>
        <w:t>六</w:t>
      </w:r>
      <w:r>
        <w:rPr>
          <w:rFonts w:hint="eastAsia" w:ascii="仿宋" w:hAnsi="仿宋" w:eastAsia="仿宋" w:cs="仿宋"/>
          <w:b/>
          <w:bCs/>
          <w:color w:val="auto"/>
          <w:sz w:val="30"/>
          <w:szCs w:val="30"/>
        </w:rPr>
        <w:t>、投标函（格式）</w:t>
      </w:r>
    </w:p>
    <w:p>
      <w:pPr>
        <w:spacing w:line="420" w:lineRule="exact"/>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致：浙江日晟信息咨询有限公司</w:t>
      </w:r>
    </w:p>
    <w:p>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ascii="仿宋" w:hAnsi="仿宋" w:eastAsia="仿宋" w:cs="仿宋"/>
          <w:color w:val="auto"/>
          <w:spacing w:val="8"/>
          <w:sz w:val="24"/>
          <w:szCs w:val="24"/>
          <w:u w:val="single"/>
        </w:rPr>
        <w:t xml:space="preserve">                           项目的</w:t>
      </w:r>
      <w:r>
        <w:rPr>
          <w:rFonts w:hint="eastAsia" w:ascii="仿宋" w:hAnsi="仿宋" w:eastAsia="仿宋" w:cs="仿宋"/>
          <w:color w:val="auto"/>
          <w:spacing w:val="8"/>
          <w:sz w:val="24"/>
          <w:szCs w:val="24"/>
        </w:rPr>
        <w:t>招标文件（编号：</w:t>
      </w:r>
      <w:r>
        <w:rPr>
          <w:rFonts w:hint="eastAsia" w:ascii="仿宋" w:hAnsi="仿宋" w:eastAsia="仿宋" w:cs="仿宋"/>
          <w:color w:val="auto"/>
          <w:spacing w:val="8"/>
          <w:sz w:val="24"/>
          <w:szCs w:val="24"/>
          <w:lang w:eastAsia="zh-CN"/>
        </w:rPr>
        <w:t>ZJRS2022-CG160</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pPr>
        <w:snapToGrid w:val="0"/>
        <w:spacing w:line="420" w:lineRule="exact"/>
        <w:ind w:firstLine="480" w:firstLineChars="200"/>
        <w:rPr>
          <w:rFonts w:hint="eastAsia" w:ascii="仿宋" w:hAnsi="仿宋" w:eastAsia="仿宋" w:cs="仿宋"/>
          <w:bCs/>
          <w:color w:val="auto"/>
          <w:sz w:val="24"/>
          <w:szCs w:val="24"/>
        </w:rPr>
      </w:pPr>
      <w:r>
        <w:rPr>
          <w:rFonts w:hint="eastAsia" w:ascii="仿宋" w:hAnsi="仿宋" w:eastAsia="仿宋" w:cs="仿宋"/>
          <w:color w:val="auto"/>
          <w:sz w:val="24"/>
          <w:szCs w:val="24"/>
        </w:rPr>
        <w:t>1、我方已详细研读了全部招标文件，包括修改文件（如有的话）以及全部参考资料和有关附件等，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p>
    <w:p>
      <w:pPr>
        <w:tabs>
          <w:tab w:val="left" w:pos="900"/>
        </w:tabs>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2、我方承诺本投标文件在开标之日起至投标有效期满均具有约束力，并严格遵守投标文件中的承诺。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3、我方承诺已经具备《中华人民共和国政府采购法》及招标文件中规定的参加本项目的供应商资格条件。</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4、我方严格按照招标文件的规定报价，并提供招标文件规定的全部投标文件。</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5、如我方中标，投标文件将作为本项目合同的组成部分，直到合同履行完毕均保持有效，我方将按招标文件及政府采购法律、法规的规定履行合同责任和义务。</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6、我方完全理解贵方不一定接受最低价的投标。</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7、我方同意向贵方提供任何与该项投标有关的一切数据或资料。若贵方需要，我方愿意提供我方作出的一切承诺的证明材料。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8、与本次投标有关的一切正式往来通讯，请寄</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pPr>
        <w:spacing w:line="420" w:lineRule="exact"/>
        <w:ind w:firstLine="480" w:firstLineChars="200"/>
        <w:rPr>
          <w:rFonts w:hint="eastAsia" w:ascii="仿宋" w:hAnsi="仿宋" w:eastAsia="仿宋" w:cs="仿宋"/>
          <w:color w:val="auto"/>
          <w:sz w:val="24"/>
          <w:szCs w:val="24"/>
        </w:rPr>
      </w:pPr>
    </w:p>
    <w:p>
      <w:pPr>
        <w:snapToGrid w:val="0"/>
        <w:spacing w:line="360" w:lineRule="auto"/>
        <w:ind w:firstLine="480" w:firstLineChars="200"/>
        <w:jc w:val="left"/>
        <w:rPr>
          <w:rFonts w:ascii="仿宋" w:hAnsi="仿宋" w:eastAsia="仿宋" w:cs="仿宋_GB2312"/>
          <w:kern w:val="0"/>
          <w:sz w:val="24"/>
          <w:u w:val="single"/>
        </w:rPr>
      </w:pPr>
      <w:r>
        <w:rPr>
          <w:rFonts w:hint="eastAsia" w:ascii="仿宋" w:hAnsi="仿宋" w:eastAsia="仿宋" w:cs="仿宋_GB2312"/>
          <w:kern w:val="0"/>
          <w:sz w:val="24"/>
          <w:lang w:val="zh-CN"/>
        </w:rPr>
        <w:t>投标人</w:t>
      </w:r>
      <w:r>
        <w:rPr>
          <w:rFonts w:ascii="仿宋" w:hAnsi="仿宋" w:eastAsia="仿宋" w:cs="仿宋_GB2312"/>
          <w:kern w:val="0"/>
          <w:sz w:val="24"/>
          <w:lang w:val="zh-CN"/>
        </w:rPr>
        <w:t>：</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kern w:val="0"/>
          <w:sz w:val="24"/>
          <w:u w:val="single"/>
          <w:lang w:val="zh-CN"/>
        </w:rPr>
        <w:t>盖单位公章</w:t>
      </w:r>
      <w:r>
        <w:rPr>
          <w:rFonts w:hint="eastAsia" w:ascii="仿宋" w:hAnsi="仿宋" w:eastAsia="仿宋" w:cs="仿宋_GB2312"/>
          <w:kern w:val="0"/>
          <w:sz w:val="24"/>
          <w:u w:val="single"/>
          <w:lang w:val="en-US" w:eastAsia="zh-CN"/>
        </w:rPr>
        <w:t>）</w:t>
      </w:r>
    </w:p>
    <w:p>
      <w:pPr>
        <w:widowControl/>
        <w:tabs>
          <w:tab w:val="left" w:pos="8280"/>
        </w:tabs>
        <w:spacing w:line="312" w:lineRule="auto"/>
        <w:ind w:firstLine="480"/>
        <w:jc w:val="left"/>
        <w:rPr>
          <w:rFonts w:hint="eastAsia" w:ascii="仿宋" w:hAnsi="仿宋" w:eastAsia="仿宋" w:cs="仿宋_GB2312"/>
          <w:kern w:val="0"/>
          <w:sz w:val="24"/>
          <w:lang w:val="zh-CN"/>
        </w:rPr>
      </w:pPr>
      <w:r>
        <w:rPr>
          <w:rFonts w:hint="eastAsia" w:ascii="仿宋" w:hAnsi="仿宋" w:eastAsia="仿宋" w:cs="仿宋_GB2312"/>
          <w:kern w:val="0"/>
          <w:sz w:val="24"/>
          <w:lang w:val="en-US" w:eastAsia="zh-CN"/>
        </w:rPr>
        <w:t>法定代表人或授权代表（签字或盖章）：</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p>
      <w:pPr>
        <w:widowControl/>
        <w:tabs>
          <w:tab w:val="left" w:pos="8280"/>
        </w:tabs>
        <w:spacing w:line="312" w:lineRule="auto"/>
        <w:ind w:firstLine="480"/>
        <w:jc w:val="left"/>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spacing w:line="312" w:lineRule="auto"/>
        <w:ind w:firstLine="480" w:firstLineChars="200"/>
        <w:jc w:val="left"/>
        <w:rPr>
          <w:rFonts w:hint="eastAsia" w:ascii="仿宋" w:hAnsi="仿宋" w:eastAsia="仿宋" w:cs="仿宋"/>
          <w:color w:val="auto"/>
          <w:sz w:val="24"/>
          <w:szCs w:val="24"/>
        </w:rPr>
      </w:pPr>
    </w:p>
    <w:p>
      <w:pPr>
        <w:widowControl/>
        <w:tabs>
          <w:tab w:val="left" w:pos="450"/>
          <w:tab w:val="left" w:pos="2520"/>
          <w:tab w:val="left" w:pos="8280"/>
        </w:tabs>
        <w:spacing w:line="312" w:lineRule="auto"/>
        <w:ind w:firstLine="480"/>
        <w:jc w:val="center"/>
        <w:rPr>
          <w:rFonts w:hint="eastAsia" w:ascii="仿宋" w:hAnsi="仿宋" w:eastAsia="仿宋" w:cs="仿宋"/>
          <w:color w:val="auto"/>
          <w:sz w:val="32"/>
          <w:szCs w:val="32"/>
        </w:rPr>
      </w:pPr>
    </w:p>
    <w:p>
      <w:pPr>
        <w:widowControl/>
        <w:tabs>
          <w:tab w:val="left" w:pos="450"/>
          <w:tab w:val="left" w:pos="2520"/>
          <w:tab w:val="left" w:pos="8280"/>
        </w:tabs>
        <w:spacing w:line="312" w:lineRule="auto"/>
        <w:ind w:firstLine="480"/>
        <w:jc w:val="center"/>
        <w:rPr>
          <w:rFonts w:hint="eastAsia" w:ascii="仿宋" w:hAnsi="仿宋" w:eastAsia="仿宋" w:cs="仿宋"/>
          <w:color w:val="auto"/>
          <w:sz w:val="32"/>
          <w:szCs w:val="32"/>
        </w:rPr>
      </w:pPr>
    </w:p>
    <w:p>
      <w:pPr>
        <w:pStyle w:val="5"/>
        <w:spacing w:line="312" w:lineRule="auto"/>
        <w:jc w:val="center"/>
        <w:rPr>
          <w:rFonts w:hint="eastAsia" w:ascii="仿宋" w:hAnsi="仿宋" w:eastAsia="仿宋" w:cs="仿宋"/>
          <w:b w:val="0"/>
        </w:rPr>
      </w:pPr>
    </w:p>
    <w:p>
      <w:pPr>
        <w:rPr>
          <w:rFonts w:hint="eastAsia" w:ascii="仿宋" w:hAnsi="仿宋" w:eastAsia="仿宋" w:cs="仿宋"/>
          <w:color w:val="auto"/>
        </w:rPr>
      </w:pPr>
    </w:p>
    <w:p>
      <w:pPr>
        <w:spacing w:line="312" w:lineRule="auto"/>
        <w:rPr>
          <w:rFonts w:hint="eastAsia" w:ascii="仿宋" w:hAnsi="仿宋" w:eastAsia="仿宋" w:cs="仿宋"/>
          <w:color w:val="auto"/>
          <w:sz w:val="24"/>
          <w:szCs w:val="24"/>
        </w:rPr>
      </w:pPr>
    </w:p>
    <w:p>
      <w:pPr>
        <w:spacing w:line="312" w:lineRule="auto"/>
        <w:jc w:val="center"/>
        <w:rPr>
          <w:rFonts w:hint="eastAsia" w:ascii="仿宋" w:hAnsi="仿宋" w:eastAsia="仿宋" w:cs="仿宋"/>
          <w:color w:val="auto"/>
          <w:sz w:val="30"/>
          <w:szCs w:val="30"/>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0"/>
          <w:szCs w:val="30"/>
        </w:rPr>
        <w:t xml:space="preserve"> </w:t>
      </w:r>
      <w:r>
        <w:rPr>
          <w:rFonts w:hint="eastAsia" w:ascii="仿宋" w:hAnsi="仿宋" w:eastAsia="仿宋" w:cs="仿宋"/>
          <w:b/>
          <w:bCs/>
          <w:color w:val="auto"/>
          <w:sz w:val="30"/>
          <w:szCs w:val="30"/>
          <w:lang w:eastAsia="zh-CN"/>
        </w:rPr>
        <w:t>七</w:t>
      </w:r>
      <w:r>
        <w:rPr>
          <w:rFonts w:hint="eastAsia" w:ascii="仿宋" w:hAnsi="仿宋" w:eastAsia="仿宋" w:cs="仿宋"/>
          <w:b/>
          <w:bCs/>
          <w:color w:val="auto"/>
          <w:sz w:val="30"/>
          <w:szCs w:val="30"/>
        </w:rPr>
        <w:t>、</w:t>
      </w:r>
      <w:bookmarkStart w:id="25" w:name="_Toc331876394"/>
      <w:bookmarkStart w:id="26" w:name="_Toc48672384"/>
      <w:r>
        <w:rPr>
          <w:rFonts w:hint="eastAsia" w:ascii="仿宋" w:hAnsi="仿宋" w:eastAsia="仿宋" w:cs="仿宋"/>
          <w:b/>
          <w:bCs/>
          <w:color w:val="auto"/>
          <w:sz w:val="30"/>
          <w:szCs w:val="30"/>
        </w:rPr>
        <w:t>开标一览表（格式）</w:t>
      </w:r>
    </w:p>
    <w:p>
      <w:pPr>
        <w:spacing w:line="420" w:lineRule="exact"/>
        <w:rPr>
          <w:rFonts w:hint="eastAsia" w:ascii="仿宋" w:hAnsi="仿宋" w:eastAsia="仿宋" w:cs="仿宋"/>
          <w:color w:val="auto"/>
          <w:sz w:val="24"/>
          <w:szCs w:val="24"/>
        </w:rPr>
      </w:pPr>
    </w:p>
    <w:p>
      <w:pPr>
        <w:pStyle w:val="31"/>
        <w:spacing w:before="0" w:beforeAutospacing="0" w:after="0" w:afterAutospacing="0" w:line="420" w:lineRule="exact"/>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武义县公安局智慧交管项目</w:t>
      </w:r>
    </w:p>
    <w:p>
      <w:pPr>
        <w:spacing w:line="420" w:lineRule="exact"/>
        <w:rPr>
          <w:rFonts w:hint="eastAsia" w:ascii="仿宋" w:hAnsi="仿宋" w:eastAsia="仿宋" w:cs="仿宋"/>
          <w:sz w:val="28"/>
          <w:szCs w:val="28"/>
          <w:lang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ZJRS2022-CG160</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34"/>
        <w:tblpPr w:leftFromText="180" w:rightFromText="180" w:vertAnchor="text" w:horzAnchor="page" w:tblpX="1686" w:tblpY="49"/>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2500"/>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83" w:type="dxa"/>
            <w:vMerge w:val="restart"/>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5413" w:type="dxa"/>
            <w:gridSpan w:val="2"/>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投标总报价（单位：元）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783" w:type="dxa"/>
            <w:vMerge w:val="continue"/>
            <w:noWrap w:val="0"/>
            <w:vAlign w:val="center"/>
          </w:tcPr>
          <w:p>
            <w:pPr>
              <w:spacing w:line="312" w:lineRule="auto"/>
              <w:jc w:val="center"/>
              <w:rPr>
                <w:rFonts w:hint="eastAsia" w:ascii="仿宋" w:hAnsi="仿宋" w:eastAsia="仿宋" w:cs="仿宋"/>
                <w:b/>
                <w:sz w:val="28"/>
                <w:szCs w:val="28"/>
              </w:rPr>
            </w:pPr>
          </w:p>
        </w:tc>
        <w:tc>
          <w:tcPr>
            <w:tcW w:w="2500" w:type="dxa"/>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小写</w:t>
            </w:r>
          </w:p>
        </w:tc>
        <w:tc>
          <w:tcPr>
            <w:tcW w:w="2913" w:type="dxa"/>
            <w:noWrap w:val="0"/>
            <w:vAlign w:val="center"/>
          </w:tcPr>
          <w:p>
            <w:pPr>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3783" w:type="dxa"/>
            <w:noWrap w:val="0"/>
            <w:vAlign w:val="center"/>
          </w:tcPr>
          <w:p>
            <w:pPr>
              <w:spacing w:line="312" w:lineRule="auto"/>
              <w:jc w:val="center"/>
              <w:rPr>
                <w:rFonts w:hint="eastAsia" w:ascii="仿宋" w:hAnsi="仿宋" w:eastAsia="仿宋" w:cs="仿宋"/>
                <w:sz w:val="24"/>
                <w:szCs w:val="24"/>
                <w:lang w:eastAsia="zh-CN"/>
              </w:rPr>
            </w:pPr>
            <w:r>
              <w:rPr>
                <w:rFonts w:hint="eastAsia" w:ascii="仿宋" w:hAnsi="仿宋" w:eastAsia="仿宋" w:cs="仿宋"/>
                <w:color w:val="auto"/>
                <w:sz w:val="28"/>
                <w:szCs w:val="28"/>
                <w:lang w:eastAsia="zh-CN"/>
              </w:rPr>
              <w:t>武义县公安局智慧交管项目</w:t>
            </w:r>
          </w:p>
        </w:tc>
        <w:tc>
          <w:tcPr>
            <w:tcW w:w="2500" w:type="dxa"/>
            <w:noWrap w:val="0"/>
            <w:vAlign w:val="center"/>
          </w:tcPr>
          <w:p>
            <w:pPr>
              <w:spacing w:line="312" w:lineRule="auto"/>
              <w:rPr>
                <w:rFonts w:hint="eastAsia" w:ascii="仿宋" w:hAnsi="仿宋" w:eastAsia="仿宋" w:cs="仿宋"/>
                <w:sz w:val="24"/>
                <w:szCs w:val="24"/>
              </w:rPr>
            </w:pPr>
            <w:r>
              <w:rPr>
                <w:rFonts w:hint="eastAsia" w:ascii="仿宋" w:hAnsi="仿宋" w:eastAsia="仿宋" w:cs="仿宋"/>
                <w:sz w:val="24"/>
                <w:szCs w:val="24"/>
              </w:rPr>
              <w:t>￥</w:t>
            </w:r>
          </w:p>
        </w:tc>
        <w:tc>
          <w:tcPr>
            <w:tcW w:w="2913" w:type="dxa"/>
            <w:noWrap w:val="0"/>
            <w:vAlign w:val="center"/>
          </w:tcPr>
          <w:p>
            <w:pPr>
              <w:spacing w:line="312" w:lineRule="auto"/>
              <w:rPr>
                <w:rFonts w:hint="eastAsia" w:ascii="仿宋" w:hAnsi="仿宋" w:eastAsia="仿宋" w:cs="仿宋"/>
                <w:sz w:val="24"/>
                <w:szCs w:val="24"/>
              </w:rPr>
            </w:pPr>
          </w:p>
        </w:tc>
      </w:tr>
    </w:tbl>
    <w:p>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pPr>
        <w:snapToGrid w:val="0"/>
        <w:jc w:val="left"/>
        <w:rPr>
          <w:rFonts w:hint="eastAsia" w:ascii="仿宋" w:hAnsi="仿宋" w:eastAsia="仿宋" w:cs="仿宋"/>
          <w:color w:val="auto"/>
          <w:sz w:val="30"/>
          <w:szCs w:val="30"/>
        </w:rPr>
      </w:pPr>
    </w:p>
    <w:p>
      <w:pPr>
        <w:snapToGrid w:val="0"/>
        <w:jc w:val="left"/>
        <w:rPr>
          <w:rFonts w:hint="eastAsia" w:ascii="仿宋" w:hAnsi="仿宋" w:eastAsia="仿宋" w:cs="仿宋"/>
          <w:color w:val="auto"/>
          <w:sz w:val="30"/>
          <w:szCs w:val="30"/>
        </w:rPr>
      </w:pPr>
    </w:p>
    <w:p>
      <w:pPr>
        <w:snapToGrid w:val="0"/>
        <w:spacing w:line="360" w:lineRule="auto"/>
        <w:rPr>
          <w:rFonts w:hint="eastAsia" w:ascii="仿宋" w:hAnsi="仿宋" w:eastAsia="仿宋" w:cs="仿宋"/>
          <w:color w:val="auto"/>
          <w:sz w:val="28"/>
          <w:szCs w:val="28"/>
          <w:u w:val="single"/>
          <w:lang w:val="en-US" w:eastAsia="zh-CN" w:bidi="ar-SA"/>
        </w:rPr>
      </w:pPr>
      <w:r>
        <w:rPr>
          <w:rFonts w:hint="eastAsia" w:ascii="仿宋" w:hAnsi="仿宋" w:eastAsia="仿宋" w:cs="仿宋"/>
          <w:color w:val="auto"/>
          <w:sz w:val="28"/>
          <w:szCs w:val="28"/>
          <w:lang w:val="zh-CN" w:eastAsia="zh-CN" w:bidi="ar-SA"/>
        </w:rPr>
        <w:t>投标人</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u w:val="single"/>
          <w:lang w:val="en-US" w:eastAsia="zh-CN" w:bidi="ar-SA"/>
        </w:rPr>
        <w:t xml:space="preserve">   （</w:t>
      </w:r>
      <w:r>
        <w:rPr>
          <w:rFonts w:hint="eastAsia" w:ascii="仿宋" w:hAnsi="仿宋" w:eastAsia="仿宋" w:cs="仿宋"/>
          <w:color w:val="auto"/>
          <w:sz w:val="28"/>
          <w:szCs w:val="28"/>
          <w:u w:val="single"/>
          <w:lang w:val="zh-CN" w:eastAsia="zh-CN" w:bidi="ar-SA"/>
        </w:rPr>
        <w:t>盖单位公章</w:t>
      </w:r>
      <w:r>
        <w:rPr>
          <w:rFonts w:hint="eastAsia" w:ascii="仿宋" w:hAnsi="仿宋" w:eastAsia="仿宋" w:cs="仿宋"/>
          <w:color w:val="auto"/>
          <w:sz w:val="28"/>
          <w:szCs w:val="28"/>
          <w:u w:val="single"/>
          <w:lang w:val="en-US" w:eastAsia="zh-CN" w:bidi="ar-SA"/>
        </w:rPr>
        <w:t>）</w:t>
      </w:r>
    </w:p>
    <w:p>
      <w:pPr>
        <w:widowControl/>
        <w:tabs>
          <w:tab w:val="left" w:pos="8280"/>
        </w:tabs>
        <w:spacing w:line="312" w:lineRule="auto"/>
        <w:jc w:val="both"/>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法定代表人或授权代表（签字或盖章）:</w:t>
      </w:r>
      <w:r>
        <w:rPr>
          <w:rFonts w:hint="eastAsia" w:ascii="仿宋" w:hAnsi="仿宋" w:eastAsia="仿宋" w:cs="仿宋"/>
          <w:color w:val="auto"/>
          <w:sz w:val="28"/>
          <w:szCs w:val="28"/>
          <w:u w:val="single"/>
          <w:lang w:val="zh-CN" w:eastAsia="zh-CN" w:bidi="ar-SA"/>
        </w:rPr>
        <w:t xml:space="preserve">          </w:t>
      </w:r>
      <w:r>
        <w:rPr>
          <w:rFonts w:hint="eastAsia" w:ascii="仿宋" w:hAnsi="仿宋" w:eastAsia="仿宋" w:cs="仿宋"/>
          <w:color w:val="auto"/>
          <w:sz w:val="28"/>
          <w:szCs w:val="28"/>
          <w:lang w:val="zh-CN" w:eastAsia="zh-CN" w:bidi="ar-SA"/>
        </w:rPr>
        <w:t xml:space="preserve">        </w:t>
      </w:r>
    </w:p>
    <w:p>
      <w:pPr>
        <w:snapToGrid w:val="0"/>
        <w:spacing w:line="360" w:lineRule="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zh-CN" w:eastAsia="zh-CN" w:bidi="ar-SA"/>
        </w:rPr>
        <w:t>日期</w:t>
      </w:r>
      <w:r>
        <w:rPr>
          <w:rFonts w:hint="eastAsia" w:ascii="仿宋" w:hAnsi="仿宋" w:eastAsia="仿宋" w:cs="仿宋"/>
          <w:color w:val="auto"/>
          <w:sz w:val="28"/>
          <w:szCs w:val="28"/>
          <w:lang w:val="en-US" w:eastAsia="zh-CN" w:bidi="ar-SA"/>
        </w:rPr>
        <w:t xml:space="preserve">：  年  </w:t>
      </w:r>
      <w:r>
        <w:rPr>
          <w:rFonts w:hint="eastAsia" w:ascii="仿宋" w:hAnsi="仿宋" w:eastAsia="仿宋" w:cs="仿宋"/>
          <w:color w:val="auto"/>
          <w:sz w:val="28"/>
          <w:szCs w:val="28"/>
          <w:lang w:val="zh-CN" w:eastAsia="zh-CN" w:bidi="ar-SA"/>
        </w:rPr>
        <w:t>月</w:t>
      </w:r>
      <w:r>
        <w:rPr>
          <w:rFonts w:hint="eastAsia" w:ascii="仿宋" w:hAnsi="仿宋" w:eastAsia="仿宋" w:cs="仿宋"/>
          <w:color w:val="auto"/>
          <w:sz w:val="28"/>
          <w:szCs w:val="28"/>
          <w:lang w:val="en-US" w:eastAsia="zh-CN" w:bidi="ar-SA"/>
        </w:rPr>
        <w:t xml:space="preserve">   </w:t>
      </w:r>
      <w:r>
        <w:rPr>
          <w:rFonts w:hint="eastAsia" w:ascii="仿宋" w:hAnsi="仿宋" w:eastAsia="仿宋" w:cs="仿宋"/>
          <w:color w:val="auto"/>
          <w:sz w:val="28"/>
          <w:szCs w:val="28"/>
          <w:lang w:val="zh-CN" w:eastAsia="zh-CN" w:bidi="ar-SA"/>
        </w:rPr>
        <w:t>日</w:t>
      </w:r>
    </w:p>
    <w:p>
      <w:pPr>
        <w:rPr>
          <w:rFonts w:hint="eastAsia" w:ascii="仿宋" w:hAnsi="仿宋" w:eastAsia="仿宋" w:cs="仿宋"/>
        </w:rPr>
      </w:pPr>
    </w:p>
    <w:p>
      <w:pPr>
        <w:snapToGrid w:val="0"/>
        <w:spacing w:line="360" w:lineRule="auto"/>
        <w:rPr>
          <w:rFonts w:hint="eastAsia" w:ascii="仿宋" w:hAnsi="仿宋" w:eastAsia="仿宋" w:cs="仿宋"/>
          <w:b/>
          <w:bCs/>
          <w:color w:val="auto"/>
          <w:sz w:val="30"/>
          <w:szCs w:val="30"/>
          <w:lang w:eastAsia="zh-CN"/>
        </w:rPr>
      </w:pPr>
    </w:p>
    <w:p>
      <w:pPr>
        <w:pStyle w:val="2"/>
        <w:rPr>
          <w:rFonts w:hint="eastAsia" w:ascii="仿宋" w:hAnsi="仿宋" w:eastAsia="仿宋" w:cs="仿宋"/>
          <w:b/>
          <w:bCs/>
          <w:color w:val="auto"/>
          <w:sz w:val="30"/>
          <w:szCs w:val="30"/>
          <w:lang w:eastAsia="zh-CN"/>
        </w:rPr>
      </w:pPr>
    </w:p>
    <w:p>
      <w:pPr>
        <w:pStyle w:val="3"/>
        <w:rPr>
          <w:rFonts w:hint="eastAsia" w:ascii="仿宋" w:hAnsi="仿宋" w:eastAsia="仿宋" w:cs="仿宋"/>
          <w:b/>
          <w:bCs/>
          <w:color w:val="auto"/>
          <w:sz w:val="30"/>
          <w:szCs w:val="30"/>
          <w:lang w:eastAsia="zh-CN"/>
        </w:rPr>
      </w:pPr>
    </w:p>
    <w:p>
      <w:pPr>
        <w:rPr>
          <w:rFonts w:hint="eastAsia" w:ascii="仿宋" w:hAnsi="仿宋" w:eastAsia="仿宋" w:cs="仿宋"/>
          <w:b/>
          <w:bCs/>
          <w:color w:val="auto"/>
          <w:sz w:val="30"/>
          <w:szCs w:val="30"/>
          <w:lang w:eastAsia="zh-CN"/>
        </w:rPr>
      </w:pPr>
    </w:p>
    <w:p>
      <w:pPr>
        <w:pStyle w:val="2"/>
        <w:rPr>
          <w:rFonts w:hint="eastAsia" w:ascii="仿宋" w:hAnsi="仿宋" w:eastAsia="仿宋" w:cs="仿宋"/>
          <w:b/>
          <w:bCs/>
          <w:color w:val="auto"/>
          <w:sz w:val="30"/>
          <w:szCs w:val="30"/>
          <w:lang w:eastAsia="zh-CN"/>
        </w:rPr>
      </w:pPr>
    </w:p>
    <w:p>
      <w:pPr>
        <w:pStyle w:val="3"/>
        <w:rPr>
          <w:rFonts w:hint="eastAsia" w:ascii="仿宋" w:hAnsi="仿宋" w:eastAsia="仿宋" w:cs="仿宋"/>
          <w:b/>
          <w:bCs/>
          <w:color w:val="auto"/>
          <w:sz w:val="30"/>
          <w:szCs w:val="30"/>
          <w:lang w:eastAsia="zh-CN"/>
        </w:rPr>
      </w:pPr>
    </w:p>
    <w:p>
      <w:pPr>
        <w:rPr>
          <w:rFonts w:hint="eastAsia" w:ascii="仿宋" w:hAnsi="仿宋" w:eastAsia="仿宋" w:cs="仿宋"/>
          <w:b/>
          <w:bCs/>
          <w:color w:val="auto"/>
          <w:sz w:val="30"/>
          <w:szCs w:val="30"/>
          <w:lang w:eastAsia="zh-CN"/>
        </w:rPr>
      </w:pPr>
    </w:p>
    <w:p>
      <w:pPr>
        <w:pStyle w:val="2"/>
        <w:rPr>
          <w:rFonts w:hint="eastAsia"/>
          <w:lang w:eastAsia="zh-CN"/>
        </w:rPr>
      </w:pPr>
    </w:p>
    <w:p>
      <w:pPr>
        <w:numPr>
          <w:ilvl w:val="0"/>
          <w:numId w:val="0"/>
        </w:numPr>
        <w:snapToGrid w:val="0"/>
        <w:jc w:val="center"/>
        <w:rPr>
          <w:rFonts w:hint="eastAsia" w:ascii="仿宋" w:hAnsi="仿宋" w:eastAsia="仿宋" w:cs="仿宋"/>
          <w:b/>
          <w:bCs/>
          <w:color w:val="auto"/>
          <w:sz w:val="30"/>
          <w:szCs w:val="30"/>
          <w:lang w:eastAsia="zh-CN"/>
        </w:rPr>
      </w:pPr>
    </w:p>
    <w:p>
      <w:pPr>
        <w:numPr>
          <w:ilvl w:val="0"/>
          <w:numId w:val="0"/>
        </w:numPr>
        <w:snapToGrid w:val="0"/>
        <w:jc w:val="both"/>
        <w:rPr>
          <w:rFonts w:hint="eastAsia" w:ascii="仿宋" w:hAnsi="仿宋" w:eastAsia="仿宋" w:cs="仿宋"/>
          <w:b/>
          <w:bCs/>
          <w:color w:val="auto"/>
          <w:sz w:val="30"/>
          <w:szCs w:val="30"/>
          <w:lang w:eastAsia="zh-CN"/>
        </w:rPr>
      </w:pPr>
    </w:p>
    <w:p>
      <w:pPr>
        <w:numPr>
          <w:ilvl w:val="0"/>
          <w:numId w:val="0"/>
        </w:numPr>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八</w:t>
      </w:r>
      <w:r>
        <w:rPr>
          <w:rFonts w:hint="eastAsia" w:ascii="仿宋" w:hAnsi="仿宋" w:eastAsia="仿宋" w:cs="仿宋"/>
          <w:b/>
          <w:bCs/>
          <w:color w:val="auto"/>
          <w:sz w:val="30"/>
          <w:szCs w:val="30"/>
        </w:rPr>
        <w:t>、</w:t>
      </w:r>
      <w:bookmarkEnd w:id="25"/>
      <w:bookmarkEnd w:id="26"/>
      <w:r>
        <w:rPr>
          <w:rFonts w:hint="eastAsia" w:ascii="仿宋" w:hAnsi="仿宋" w:eastAsia="仿宋" w:cs="仿宋"/>
          <w:b/>
          <w:bCs/>
          <w:color w:val="auto"/>
          <w:sz w:val="30"/>
          <w:szCs w:val="30"/>
        </w:rPr>
        <w:t>投标承诺书（格式）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项目（项目编号：）招标文件，现参加该项目投标，并就有关事项作出如下承诺：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（1）已报名但无故放弃投标(开标前已有书面说明并证实的除外)一年内累计3次以上的；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（2）在招标采购过程中，与采购人进行协商谈判的；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（3）投标有效期内撤回其投标文件的；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（4）拒绝有关部门监督检查或提供虚假情况的；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（5）不积极配合采购人做好标的验收工作的；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（6）在有关部门的监督检查或考核中被通报批评或处以警告及以上处罚的；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（7）不遵守投标会场纪律，无理取闹，扰乱交易秩序的；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（8）中标后无正当理由放弃中标，或不与采购人签订政府采购合同，或在签订合同时提出附加条件或更改合同实质性内容；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（9）虚假投诉、恶意投诉或未按层级和相关程序逐级质疑、投诉而影响采购工作正常进行或造成不良影响的；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（10）不按照与采购人订立的合同履行义务（包括提供标的、售后服务、技术支持等），严重违反合同规定和廉政合同要求的；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（11）项目负责人不到位，或擅自变换项目负责人，或不认真履行职责造成采购人损失的；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（12）发生经营状况重大变化以及重要担保、重大合同纠纷或诉讼、信用等级和资质变化等可能影响履约能力的重大事项，未及时向采购人提供书面报告，因而造成采购人损失的；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（13）与采购人、其他供应商或者采购代理机构相互串通的；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（14）采取不正当手段排挤其他供应商，进行不公平竞争的；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（15）中标后与采购人另行订立背离合同实质内容的协议的；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（16）事先有承诺，而事后违反承诺内容的；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（17）将中标项目转包或违反规定进行分包的；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（18）以他人名义投标或允许他人以自己名义投标，或者以其他方式弄虚作假的；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（19）为获取自身利益，向采购人及其他有利害关系的单位或个人提供不正当利益的；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（20）擅自变更、中止、终止或解除政府采购合同的；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（21）向有关人员行贿或者提供不正当利益谋取中标的；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（22）在政府采购活动期间，对管理机构、采购人、其他投标人、评标专家、中介机构等政府采购相关机构和人员，采取诋毁、诽谤、胁迫、暴力等不正当手段的；</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1、质疑人须为投标人和其他利害关系人；</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2、投诉时，应当递交质疑书，质疑书应当包括下列内容：</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（6）质疑人是法人的，质疑书必须由其法定代表人或者授权代表签字并加盖章；其他组织或者个人质疑的，质疑书必须由其主要负责人或者质疑人本人签字，并附有效身份证明复印件。</w:t>
      </w:r>
    </w:p>
    <w:p>
      <w:pPr>
        <w:spacing w:line="420" w:lineRule="exact"/>
        <w:ind w:firstLine="964" w:firstLineChars="400"/>
        <w:rPr>
          <w:rFonts w:hint="eastAsia" w:ascii="仿宋" w:hAnsi="仿宋" w:eastAsia="仿宋" w:cs="仿宋"/>
          <w:b/>
          <w:color w:val="auto"/>
          <w:sz w:val="24"/>
          <w:szCs w:val="24"/>
        </w:rPr>
      </w:pPr>
    </w:p>
    <w:p>
      <w:pPr>
        <w:spacing w:line="420" w:lineRule="exact"/>
        <w:ind w:firstLine="960" w:firstLineChars="400"/>
        <w:rPr>
          <w:rFonts w:hint="eastAsia" w:ascii="仿宋" w:hAnsi="仿宋" w:eastAsia="仿宋" w:cs="仿宋"/>
          <w:color w:val="auto"/>
          <w:sz w:val="24"/>
          <w:szCs w:val="24"/>
        </w:rPr>
      </w:pPr>
    </w:p>
    <w:p>
      <w:pPr>
        <w:spacing w:line="420" w:lineRule="exact"/>
        <w:ind w:firstLine="960" w:firstLineChars="400"/>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z w:val="24"/>
          <w:szCs w:val="24"/>
          <w:lang w:val="zh-CN" w:eastAsia="zh-CN" w:bidi="ar-SA"/>
        </w:rPr>
        <w:t>投标人</w:t>
      </w:r>
      <w:r>
        <w:rPr>
          <w:rFonts w:hint="eastAsia" w:ascii="仿宋" w:hAnsi="仿宋" w:eastAsia="仿宋" w:cs="仿宋"/>
          <w:color w:val="auto"/>
          <w:sz w:val="24"/>
          <w:szCs w:val="24"/>
          <w:lang w:val="en-US" w:eastAsia="zh-CN" w:bidi="ar-SA"/>
        </w:rPr>
        <w:t>:</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pStyle w:val="5"/>
        <w:spacing w:before="0" w:after="0" w:line="420" w:lineRule="exact"/>
        <w:rPr>
          <w:rFonts w:hint="eastAsia" w:ascii="仿宋" w:hAnsi="仿宋" w:eastAsia="仿宋" w:cs="仿宋"/>
          <w:b w:val="0"/>
          <w:sz w:val="24"/>
          <w:szCs w:val="24"/>
        </w:rPr>
      </w:pPr>
    </w:p>
    <w:p>
      <w:pPr>
        <w:rPr>
          <w:rFonts w:hint="eastAsia" w:ascii="仿宋" w:hAnsi="仿宋" w:eastAsia="仿宋" w:cs="仿宋"/>
          <w:color w:val="auto"/>
          <w:sz w:val="44"/>
          <w:szCs w:val="44"/>
        </w:rPr>
      </w:pPr>
    </w:p>
    <w:p>
      <w:pPr>
        <w:spacing w:line="312" w:lineRule="auto"/>
        <w:rPr>
          <w:rFonts w:hint="eastAsia" w:ascii="仿宋" w:hAnsi="仿宋" w:eastAsia="仿宋" w:cs="仿宋"/>
          <w:color w:val="auto"/>
        </w:rPr>
      </w:pPr>
    </w:p>
    <w:p>
      <w:pPr>
        <w:snapToGrid w:val="0"/>
        <w:spacing w:before="50" w:after="50" w:line="312"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0"/>
          <w:szCs w:val="30"/>
          <w:lang w:eastAsia="zh-CN"/>
        </w:rPr>
        <w:t>九</w:t>
      </w:r>
      <w:r>
        <w:rPr>
          <w:rFonts w:hint="eastAsia" w:ascii="仿宋" w:hAnsi="仿宋" w:eastAsia="仿宋" w:cs="仿宋"/>
          <w:b/>
          <w:color w:val="auto"/>
          <w:sz w:val="30"/>
          <w:szCs w:val="30"/>
        </w:rPr>
        <w:t>、小微企业声明函</w:t>
      </w:r>
    </w:p>
    <w:p>
      <w:pPr>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1、中小企业声明函（货物）</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hint="eastAsia" w:ascii="仿宋" w:hAnsi="仿宋" w:eastAsia="仿宋" w:cs="仿宋"/>
          <w:color w:val="auto"/>
          <w:sz w:val="24"/>
          <w:szCs w:val="24"/>
        </w:rPr>
      </w:pPr>
    </w:p>
    <w:p>
      <w:pPr>
        <w:snapToGrid w:val="0"/>
        <w:spacing w:line="360" w:lineRule="auto"/>
        <w:ind w:firstLine="3600" w:firstLineChars="1500"/>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z w:val="24"/>
          <w:szCs w:val="24"/>
          <w:lang w:val="en-US" w:eastAsia="zh-CN" w:bidi="ar-SA"/>
        </w:rPr>
        <w:t>企业名称:</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ind w:firstLine="3600" w:firstLineChars="1500"/>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ind w:firstLine="3600" w:firstLineChars="15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spacing w:line="420" w:lineRule="exact"/>
        <w:jc w:val="center"/>
        <w:rPr>
          <w:rFonts w:hint="eastAsia" w:ascii="仿宋" w:hAnsi="仿宋" w:eastAsia="仿宋" w:cs="仿宋"/>
          <w:b/>
          <w:color w:val="auto"/>
          <w:sz w:val="24"/>
          <w:szCs w:val="24"/>
        </w:rPr>
      </w:pPr>
    </w:p>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2、中小企业声明函（工程、服务）</w:t>
      </w:r>
    </w:p>
    <w:p>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spacing w:line="4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spacing w:line="420" w:lineRule="exact"/>
        <w:ind w:right="420" w:firstLine="5880" w:firstLineChars="2450"/>
        <w:jc w:val="left"/>
        <w:rPr>
          <w:rFonts w:hint="eastAsia" w:ascii="仿宋" w:hAnsi="仿宋" w:eastAsia="仿宋" w:cs="仿宋"/>
          <w:color w:val="auto"/>
          <w:sz w:val="24"/>
          <w:szCs w:val="24"/>
        </w:rPr>
      </w:pPr>
    </w:p>
    <w:p>
      <w:pPr>
        <w:snapToGrid w:val="0"/>
        <w:spacing w:line="360" w:lineRule="auto"/>
        <w:ind w:firstLine="3600" w:firstLineChars="1500"/>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z w:val="24"/>
          <w:szCs w:val="24"/>
          <w:lang w:val="en-US" w:eastAsia="zh-CN" w:bidi="ar-SA"/>
        </w:rPr>
        <w:t>企业名称:</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ind w:firstLine="3600" w:firstLineChars="1500"/>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ind w:firstLine="3600" w:firstLineChars="15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spacing w:line="420" w:lineRule="exact"/>
        <w:ind w:right="420" w:firstLine="5520" w:firstLineChars="2300"/>
        <w:rPr>
          <w:rFonts w:hint="eastAsia" w:ascii="仿宋" w:hAnsi="仿宋" w:eastAsia="仿宋" w:cs="仿宋"/>
          <w:color w:val="auto"/>
          <w:sz w:val="24"/>
          <w:szCs w:val="24"/>
        </w:rPr>
      </w:pPr>
    </w:p>
    <w:p>
      <w:pPr>
        <w:spacing w:line="312" w:lineRule="auto"/>
        <w:jc w:val="center"/>
        <w:rPr>
          <w:rFonts w:hint="eastAsia" w:ascii="仿宋" w:hAnsi="仿宋" w:eastAsia="仿宋" w:cs="仿宋"/>
          <w:b/>
          <w:color w:val="auto"/>
          <w:sz w:val="30"/>
          <w:szCs w:val="30"/>
        </w:rPr>
      </w:pPr>
      <w:r>
        <w:rPr>
          <w:rFonts w:hint="eastAsia" w:ascii="仿宋" w:hAnsi="仿宋" w:eastAsia="仿宋" w:cs="仿宋"/>
          <w:color w:val="auto"/>
          <w:sz w:val="30"/>
          <w:szCs w:val="30"/>
        </w:rPr>
        <w:br w:type="page"/>
      </w:r>
      <w:r>
        <w:rPr>
          <w:rFonts w:hint="eastAsia" w:ascii="仿宋" w:hAnsi="仿宋" w:eastAsia="仿宋" w:cs="仿宋"/>
          <w:b/>
          <w:color w:val="auto"/>
          <w:sz w:val="30"/>
          <w:szCs w:val="30"/>
          <w:lang w:eastAsia="zh-CN"/>
        </w:rPr>
        <w:t>十</w:t>
      </w:r>
      <w:r>
        <w:rPr>
          <w:rFonts w:hint="eastAsia" w:ascii="仿宋" w:hAnsi="仿宋" w:eastAsia="仿宋" w:cs="仿宋"/>
          <w:b/>
          <w:color w:val="auto"/>
          <w:sz w:val="30"/>
          <w:szCs w:val="30"/>
        </w:rPr>
        <w:t>、残疾人福利性单位声明函</w:t>
      </w:r>
    </w:p>
    <w:p>
      <w:pPr>
        <w:snapToGrid w:val="0"/>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pPr>
        <w:snapToGrid w:val="0"/>
        <w:spacing w:line="360" w:lineRule="auto"/>
        <w:ind w:firstLine="3780" w:firstLineChars="1500"/>
        <w:rPr>
          <w:rFonts w:hint="eastAsia" w:ascii="仿宋" w:hAnsi="仿宋" w:eastAsia="仿宋" w:cs="仿宋"/>
          <w:color w:val="auto"/>
          <w:sz w:val="24"/>
          <w:szCs w:val="24"/>
          <w:u w:val="single"/>
          <w:lang w:val="en-US" w:eastAsia="zh-CN" w:bidi="ar-SA"/>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bidi="ar-SA"/>
        </w:rPr>
        <w:t>企业名称:</w:t>
      </w:r>
      <w:r>
        <w:rPr>
          <w:rFonts w:hint="eastAsia" w:ascii="仿宋" w:hAnsi="仿宋" w:eastAsia="仿宋" w:cs="仿宋"/>
          <w:color w:val="auto"/>
          <w:sz w:val="24"/>
          <w:szCs w:val="24"/>
          <w:u w:val="single"/>
          <w:lang w:val="en-US" w:eastAsia="zh-CN" w:bidi="ar-SA"/>
        </w:rPr>
        <w:t xml:space="preserve">   （</w:t>
      </w:r>
      <w:r>
        <w:rPr>
          <w:rFonts w:hint="eastAsia" w:ascii="仿宋" w:hAnsi="仿宋" w:eastAsia="仿宋" w:cs="仿宋"/>
          <w:color w:val="auto"/>
          <w:sz w:val="24"/>
          <w:szCs w:val="24"/>
          <w:u w:val="single"/>
          <w:lang w:val="zh-CN" w:eastAsia="zh-CN" w:bidi="ar-SA"/>
        </w:rPr>
        <w:t>盖单位公章</w:t>
      </w:r>
      <w:r>
        <w:rPr>
          <w:rFonts w:hint="eastAsia" w:ascii="仿宋" w:hAnsi="仿宋" w:eastAsia="仿宋" w:cs="仿宋"/>
          <w:color w:val="auto"/>
          <w:sz w:val="24"/>
          <w:szCs w:val="24"/>
          <w:u w:val="single"/>
          <w:lang w:val="en-US" w:eastAsia="zh-CN" w:bidi="ar-SA"/>
        </w:rPr>
        <w:t>）</w:t>
      </w:r>
    </w:p>
    <w:p>
      <w:pPr>
        <w:widowControl/>
        <w:tabs>
          <w:tab w:val="left" w:pos="8280"/>
        </w:tabs>
        <w:spacing w:line="312" w:lineRule="auto"/>
        <w:ind w:firstLine="3600" w:firstLineChars="1500"/>
        <w:jc w:val="both"/>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en-US" w:eastAsia="zh-CN" w:bidi="ar-SA"/>
        </w:rPr>
        <w:t>法定代表人或授权代表（签字或盖章）:</w:t>
      </w:r>
      <w:r>
        <w:rPr>
          <w:rFonts w:hint="eastAsia" w:ascii="仿宋" w:hAnsi="仿宋" w:eastAsia="仿宋" w:cs="仿宋"/>
          <w:color w:val="auto"/>
          <w:sz w:val="24"/>
          <w:szCs w:val="24"/>
          <w:u w:val="single"/>
          <w:lang w:val="zh-CN" w:eastAsia="zh-CN" w:bidi="ar-SA"/>
        </w:rPr>
        <w:t xml:space="preserve">          </w:t>
      </w:r>
      <w:r>
        <w:rPr>
          <w:rFonts w:hint="eastAsia" w:ascii="仿宋" w:hAnsi="仿宋" w:eastAsia="仿宋" w:cs="仿宋"/>
          <w:color w:val="auto"/>
          <w:sz w:val="24"/>
          <w:szCs w:val="24"/>
          <w:lang w:val="zh-CN" w:eastAsia="zh-CN" w:bidi="ar-SA"/>
        </w:rPr>
        <w:t xml:space="preserve">        </w:t>
      </w:r>
    </w:p>
    <w:p>
      <w:pPr>
        <w:snapToGrid w:val="0"/>
        <w:spacing w:line="360" w:lineRule="auto"/>
        <w:ind w:firstLine="5760" w:firstLineChars="24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zh-CN" w:eastAsia="zh-CN" w:bidi="ar-SA"/>
        </w:rPr>
        <w:t>日期</w:t>
      </w:r>
      <w:r>
        <w:rPr>
          <w:rFonts w:hint="eastAsia" w:ascii="仿宋" w:hAnsi="仿宋" w:eastAsia="仿宋" w:cs="仿宋"/>
          <w:color w:val="auto"/>
          <w:sz w:val="24"/>
          <w:szCs w:val="24"/>
          <w:lang w:val="en-US" w:eastAsia="zh-CN" w:bidi="ar-SA"/>
        </w:rPr>
        <w:t xml:space="preserve">：  年  </w:t>
      </w:r>
      <w:r>
        <w:rPr>
          <w:rFonts w:hint="eastAsia" w:ascii="仿宋" w:hAnsi="仿宋" w:eastAsia="仿宋" w:cs="仿宋"/>
          <w:color w:val="auto"/>
          <w:sz w:val="24"/>
          <w:szCs w:val="24"/>
          <w:lang w:val="zh-CN" w:eastAsia="zh-CN" w:bidi="ar-SA"/>
        </w:rPr>
        <w:t>月</w:t>
      </w:r>
      <w:r>
        <w:rPr>
          <w:rFonts w:hint="eastAsia" w:ascii="仿宋" w:hAnsi="仿宋" w:eastAsia="仿宋" w:cs="仿宋"/>
          <w:color w:val="auto"/>
          <w:sz w:val="24"/>
          <w:szCs w:val="24"/>
          <w:lang w:val="en-US" w:eastAsia="zh-CN" w:bidi="ar-SA"/>
        </w:rPr>
        <w:t xml:space="preserve">   </w:t>
      </w:r>
      <w:r>
        <w:rPr>
          <w:rFonts w:hint="eastAsia" w:ascii="仿宋" w:hAnsi="仿宋" w:eastAsia="仿宋" w:cs="仿宋"/>
          <w:color w:val="auto"/>
          <w:sz w:val="24"/>
          <w:szCs w:val="24"/>
          <w:lang w:val="zh-CN" w:eastAsia="zh-CN" w:bidi="ar-SA"/>
        </w:rPr>
        <w:t>日</w:t>
      </w:r>
    </w:p>
    <w:p>
      <w:pPr>
        <w:snapToGrid w:val="0"/>
        <w:spacing w:line="420" w:lineRule="exact"/>
        <w:ind w:firstLine="480" w:firstLineChars="200"/>
        <w:jc w:val="center"/>
        <w:rPr>
          <w:rFonts w:hint="eastAsia" w:ascii="仿宋" w:hAnsi="仿宋" w:eastAsia="仿宋" w:cs="仿宋"/>
          <w:color w:val="auto"/>
          <w:sz w:val="24"/>
          <w:szCs w:val="24"/>
        </w:rPr>
      </w:pPr>
    </w:p>
    <w:p>
      <w:pPr>
        <w:snapToGrid w:val="0"/>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注：</w:t>
      </w:r>
      <w:r>
        <w:rPr>
          <w:rFonts w:hint="eastAsia" w:ascii="仿宋" w:hAnsi="仿宋" w:eastAsia="仿宋" w:cs="仿宋"/>
          <w:b/>
          <w:color w:val="auto"/>
          <w:sz w:val="24"/>
          <w:szCs w:val="24"/>
        </w:rPr>
        <w:t>１、残疾人福利性单位视同小型、微型企业，享受价格扣除。</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２、残疾人福利性单位属于小型、微型企业的，不重复享受政策。</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３、如中标人声明为残疾人福利性单位，本声明函将随中标结果同时公告，接受社会监督。</w:t>
      </w:r>
    </w:p>
    <w:p>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4、享受政府采购支持政策的残疾人福利性单位应当同时满足以下条件：</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（一）安置的残疾人占本单位在职职工人数的比例不低于25%（含25%），并且安置的残疾人人数不少于10人（含10人）；</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（二）依法与安置的每位残疾人签订了一年以上（含一年）的劳动合同或服务协议；</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（三）为安置的每位残疾人按月足额缴纳了基本养老保险、基本医疗保险、失业保险、工伤保险和生育保险等社会保险费；</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（四）通过银行等金融机构向安置的每位残疾人，按月支付了不低于单位所在区县适用的经省级人民政府批准的月最低工资标准的工资；</w:t>
      </w:r>
    </w:p>
    <w:p>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（五）提供本单位制造的货物、承担的工程或者服务（以下简称产品），或者提供其他残疾人福利性单位制造的货物（不包括使用非残疾人福利性单位注册商标的货物）。</w:t>
      </w:r>
    </w:p>
    <w:p>
      <w:pPr>
        <w:spacing w:line="420" w:lineRule="exact"/>
        <w:rPr>
          <w:rFonts w:hint="eastAsia" w:ascii="仿宋" w:hAnsi="仿宋" w:eastAsia="仿宋" w:cs="仿宋"/>
          <w:color w:val="auto"/>
          <w:sz w:val="24"/>
          <w:szCs w:val="24"/>
        </w:rPr>
      </w:pPr>
    </w:p>
    <w:p>
      <w:pPr>
        <w:spacing w:line="420" w:lineRule="exact"/>
        <w:rPr>
          <w:rFonts w:hint="eastAsia" w:ascii="仿宋" w:hAnsi="仿宋" w:eastAsia="仿宋" w:cs="仿宋"/>
          <w:color w:val="auto"/>
          <w:sz w:val="24"/>
          <w:szCs w:val="24"/>
        </w:rPr>
      </w:pPr>
    </w:p>
    <w:p>
      <w:pPr>
        <w:pStyle w:val="11"/>
        <w:ind w:left="0" w:leftChars="0" w:firstLine="0" w:firstLineChars="0"/>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 xml:space="preserve">  </w:t>
      </w:r>
    </w:p>
    <w:p>
      <w:pPr>
        <w:pStyle w:val="11"/>
        <w:ind w:left="0" w:leftChars="0" w:firstLine="0" w:firstLineChars="0"/>
        <w:rPr>
          <w:rFonts w:hint="eastAsia" w:ascii="宋体" w:hAnsi="宋体" w:eastAsia="宋体" w:cs="宋体"/>
          <w:b/>
          <w:bCs/>
          <w:i w:val="0"/>
          <w:iCs w:val="0"/>
          <w:color w:val="000000"/>
          <w:sz w:val="21"/>
          <w:szCs w:val="21"/>
          <w:u w:val="none"/>
          <w:lang w:val="en-US" w:eastAsia="zh-CN"/>
        </w:rPr>
      </w:pPr>
    </w:p>
    <w:p>
      <w:pPr>
        <w:pStyle w:val="32"/>
        <w:ind w:left="0" w:leftChars="0" w:firstLine="0" w:firstLineChars="0"/>
        <w:jc w:val="center"/>
        <w:rPr>
          <w:rFonts w:hint="eastAsia" w:ascii="仿宋" w:hAnsi="仿宋" w:eastAsia="仿宋" w:cs="仿宋"/>
          <w:b/>
          <w:bCs/>
          <w:color w:val="auto"/>
          <w:kern w:val="0"/>
          <w:sz w:val="30"/>
          <w:szCs w:val="30"/>
          <w:lang w:val="en-US" w:eastAsia="zh-CN" w:bidi="ar-SA"/>
        </w:rPr>
      </w:pPr>
    </w:p>
    <w:p>
      <w:pPr>
        <w:pStyle w:val="32"/>
        <w:ind w:left="0" w:leftChars="0" w:firstLine="0" w:firstLineChars="0"/>
        <w:jc w:val="center"/>
        <w:rPr>
          <w:rFonts w:hint="eastAsia" w:ascii="仿宋" w:hAnsi="仿宋" w:eastAsia="仿宋" w:cs="仿宋"/>
          <w:b/>
          <w:bCs/>
          <w:color w:val="auto"/>
          <w:kern w:val="0"/>
          <w:sz w:val="30"/>
          <w:szCs w:val="30"/>
          <w:lang w:val="en-US" w:eastAsia="zh-CN" w:bidi="ar-SA"/>
        </w:rPr>
      </w:pPr>
    </w:p>
    <w:p>
      <w:pPr>
        <w:pStyle w:val="32"/>
        <w:ind w:left="0" w:leftChars="0" w:firstLine="0" w:firstLineChars="0"/>
        <w:jc w:val="center"/>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十一、</w:t>
      </w:r>
      <w:r>
        <w:rPr>
          <w:rFonts w:hint="default" w:ascii="仿宋" w:hAnsi="仿宋" w:eastAsia="仿宋" w:cs="仿宋"/>
          <w:b/>
          <w:bCs/>
          <w:color w:val="auto"/>
          <w:kern w:val="0"/>
          <w:sz w:val="30"/>
          <w:szCs w:val="30"/>
          <w:lang w:val="en-US" w:eastAsia="zh-CN" w:bidi="ar-SA"/>
        </w:rPr>
        <w:t>货物技术参数明细表</w:t>
      </w:r>
      <w:r>
        <w:rPr>
          <w:rFonts w:hint="eastAsia" w:ascii="仿宋" w:hAnsi="仿宋" w:eastAsia="仿宋" w:cs="仿宋"/>
          <w:b/>
          <w:bCs/>
          <w:color w:val="auto"/>
          <w:kern w:val="0"/>
          <w:sz w:val="30"/>
          <w:szCs w:val="30"/>
          <w:lang w:val="en-US" w:eastAsia="zh-CN" w:bidi="ar-SA"/>
        </w:rPr>
        <w:t>（格式）</w:t>
      </w:r>
    </w:p>
    <w:p>
      <w:pPr>
        <w:spacing w:line="312"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0"/>
          <w:szCs w:val="30"/>
        </w:rPr>
        <w:t xml:space="preserve"> </w:t>
      </w:r>
    </w:p>
    <w:tbl>
      <w:tblPr>
        <w:tblStyle w:val="3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527"/>
        <w:gridCol w:w="964"/>
        <w:gridCol w:w="1515"/>
        <w:gridCol w:w="1361"/>
        <w:gridCol w:w="148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527"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标的名称</w:t>
            </w:r>
          </w:p>
        </w:tc>
        <w:tc>
          <w:tcPr>
            <w:tcW w:w="964"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品牌</w:t>
            </w: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制造商全称</w:t>
            </w: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型号规格</w:t>
            </w: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数量（单位）</w:t>
            </w:r>
          </w:p>
        </w:tc>
        <w:tc>
          <w:tcPr>
            <w:tcW w:w="1250" w:type="dxa"/>
            <w:noWrap w:val="0"/>
            <w:vAlign w:val="center"/>
          </w:tcPr>
          <w:p>
            <w:pPr>
              <w:pStyle w:val="31"/>
              <w:widowControl w:val="0"/>
              <w:adjustRightInd w:val="0"/>
              <w:snapToGrid w:val="0"/>
              <w:jc w:val="center"/>
              <w:rPr>
                <w:rFonts w:hint="eastAsia" w:ascii="仿宋" w:hAnsi="仿宋" w:eastAsia="仿宋" w:cs="仿宋"/>
                <w:b/>
                <w:sz w:val="24"/>
                <w:szCs w:val="24"/>
              </w:rPr>
            </w:pPr>
            <w:r>
              <w:rPr>
                <w:rFonts w:hint="eastAsia" w:ascii="仿宋" w:hAnsi="仿宋" w:eastAsia="仿宋" w:cs="仿宋"/>
                <w:b/>
                <w:sz w:val="24"/>
                <w:szCs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2527" w:type="dxa"/>
            <w:noWrap w:val="0"/>
            <w:vAlign w:val="center"/>
          </w:tcPr>
          <w:p>
            <w:pPr>
              <w:pStyle w:val="31"/>
              <w:widowControl w:val="0"/>
              <w:adjustRightInd w:val="0"/>
              <w:snapToGrid w:val="0"/>
              <w:rPr>
                <w:rFonts w:hint="eastAsia" w:ascii="仿宋" w:hAnsi="仿宋" w:eastAsia="仿宋" w:cs="仿宋"/>
                <w:b w:val="0"/>
                <w:bCs/>
                <w:sz w:val="24"/>
                <w:szCs w:val="24"/>
              </w:rPr>
            </w:pPr>
            <w:r>
              <w:rPr>
                <w:rFonts w:hint="eastAsia" w:ascii="仿宋" w:hAnsi="仿宋" w:eastAsia="仿宋" w:cs="仿宋"/>
                <w:b w:val="0"/>
                <w:bCs/>
                <w:sz w:val="24"/>
                <w:szCs w:val="24"/>
              </w:rPr>
              <w:t xml:space="preserve"> </w:t>
            </w:r>
          </w:p>
        </w:tc>
        <w:tc>
          <w:tcPr>
            <w:tcW w:w="964"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250" w:type="dxa"/>
            <w:noWrap w:val="0"/>
            <w:vAlign w:val="center"/>
          </w:tcPr>
          <w:p>
            <w:pPr>
              <w:pStyle w:val="31"/>
              <w:widowControl w:val="0"/>
              <w:adjustRightInd w:val="0"/>
              <w:snapToGrid w:val="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2527" w:type="dxa"/>
            <w:noWrap w:val="0"/>
            <w:vAlign w:val="center"/>
          </w:tcPr>
          <w:p>
            <w:pPr>
              <w:pStyle w:val="31"/>
              <w:widowControl w:val="0"/>
              <w:adjustRightInd w:val="0"/>
              <w:snapToGrid w:val="0"/>
              <w:jc w:val="both"/>
              <w:rPr>
                <w:rFonts w:hint="eastAsia" w:ascii="仿宋" w:hAnsi="仿宋" w:eastAsia="仿宋" w:cs="仿宋"/>
                <w:b w:val="0"/>
                <w:bCs/>
                <w:sz w:val="24"/>
                <w:szCs w:val="24"/>
              </w:rPr>
            </w:pPr>
            <w:r>
              <w:rPr>
                <w:rFonts w:hint="eastAsia" w:ascii="仿宋" w:hAnsi="仿宋" w:eastAsia="仿宋" w:cs="仿宋"/>
                <w:b w:val="0"/>
                <w:bCs/>
                <w:sz w:val="24"/>
                <w:szCs w:val="24"/>
              </w:rPr>
              <w:t xml:space="preserve"> </w:t>
            </w:r>
          </w:p>
        </w:tc>
        <w:tc>
          <w:tcPr>
            <w:tcW w:w="964"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250" w:type="dxa"/>
            <w:noWrap w:val="0"/>
            <w:vAlign w:val="center"/>
          </w:tcPr>
          <w:p>
            <w:pPr>
              <w:widowControl w:val="0"/>
              <w:adjustRightInd w:val="0"/>
              <w:snapToGrid w:val="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3</w:t>
            </w:r>
          </w:p>
        </w:tc>
        <w:tc>
          <w:tcPr>
            <w:tcW w:w="2527" w:type="dxa"/>
            <w:noWrap w:val="0"/>
            <w:vAlign w:val="center"/>
          </w:tcPr>
          <w:p>
            <w:pPr>
              <w:pStyle w:val="31"/>
              <w:widowControl w:val="0"/>
              <w:adjustRightInd w:val="0"/>
              <w:snapToGrid w:val="0"/>
              <w:jc w:val="both"/>
              <w:rPr>
                <w:rFonts w:hint="eastAsia" w:ascii="仿宋" w:hAnsi="仿宋" w:eastAsia="仿宋" w:cs="仿宋"/>
                <w:b w:val="0"/>
                <w:bCs/>
                <w:sz w:val="24"/>
                <w:szCs w:val="24"/>
              </w:rPr>
            </w:pPr>
          </w:p>
        </w:tc>
        <w:tc>
          <w:tcPr>
            <w:tcW w:w="964"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250" w:type="dxa"/>
            <w:noWrap w:val="0"/>
            <w:vAlign w:val="center"/>
          </w:tcPr>
          <w:p>
            <w:pPr>
              <w:widowControl w:val="0"/>
              <w:adjustRightInd w:val="0"/>
              <w:snapToGrid w:val="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4</w:t>
            </w:r>
          </w:p>
        </w:tc>
        <w:tc>
          <w:tcPr>
            <w:tcW w:w="2527" w:type="dxa"/>
            <w:noWrap w:val="0"/>
            <w:vAlign w:val="center"/>
          </w:tcPr>
          <w:p>
            <w:pPr>
              <w:pStyle w:val="31"/>
              <w:widowControl w:val="0"/>
              <w:adjustRightInd w:val="0"/>
              <w:snapToGrid w:val="0"/>
              <w:jc w:val="both"/>
              <w:rPr>
                <w:rFonts w:hint="eastAsia" w:ascii="仿宋" w:hAnsi="仿宋" w:eastAsia="仿宋" w:cs="仿宋"/>
                <w:b w:val="0"/>
                <w:bCs/>
                <w:sz w:val="24"/>
                <w:szCs w:val="24"/>
              </w:rPr>
            </w:pPr>
          </w:p>
        </w:tc>
        <w:tc>
          <w:tcPr>
            <w:tcW w:w="964"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250" w:type="dxa"/>
            <w:noWrap w:val="0"/>
            <w:vAlign w:val="center"/>
          </w:tcPr>
          <w:p>
            <w:pPr>
              <w:widowControl w:val="0"/>
              <w:adjustRightInd w:val="0"/>
              <w:snapToGrid w:val="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val="0"/>
                <w:bCs/>
                <w:sz w:val="24"/>
                <w:szCs w:val="24"/>
              </w:rPr>
            </w:pPr>
            <w:r>
              <w:rPr>
                <w:rFonts w:hint="eastAsia" w:ascii="仿宋" w:hAnsi="仿宋" w:eastAsia="仿宋" w:cs="仿宋"/>
                <w:b w:val="0"/>
                <w:bCs/>
                <w:sz w:val="24"/>
                <w:szCs w:val="24"/>
              </w:rPr>
              <w:t>5</w:t>
            </w:r>
          </w:p>
        </w:tc>
        <w:tc>
          <w:tcPr>
            <w:tcW w:w="2527" w:type="dxa"/>
            <w:noWrap w:val="0"/>
            <w:vAlign w:val="center"/>
          </w:tcPr>
          <w:p>
            <w:pPr>
              <w:pStyle w:val="31"/>
              <w:widowControl w:val="0"/>
              <w:adjustRightInd w:val="0"/>
              <w:snapToGrid w:val="0"/>
              <w:jc w:val="both"/>
              <w:rPr>
                <w:rFonts w:hint="eastAsia" w:ascii="仿宋" w:hAnsi="仿宋" w:eastAsia="仿宋" w:cs="仿宋"/>
                <w:b w:val="0"/>
                <w:bCs/>
                <w:sz w:val="24"/>
                <w:szCs w:val="24"/>
              </w:rPr>
            </w:pPr>
            <w:r>
              <w:rPr>
                <w:rFonts w:hint="eastAsia" w:ascii="仿宋" w:hAnsi="仿宋" w:eastAsia="仿宋" w:cs="仿宋"/>
                <w:b w:val="0"/>
                <w:bCs/>
                <w:sz w:val="24"/>
                <w:szCs w:val="24"/>
              </w:rPr>
              <w:t>……</w:t>
            </w:r>
          </w:p>
        </w:tc>
        <w:tc>
          <w:tcPr>
            <w:tcW w:w="964"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250" w:type="dxa"/>
            <w:noWrap w:val="0"/>
            <w:vAlign w:val="center"/>
          </w:tcPr>
          <w:p>
            <w:pPr>
              <w:widowControl w:val="0"/>
              <w:adjustRightInd w:val="0"/>
              <w:snapToGrid w:val="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657"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2527" w:type="dxa"/>
            <w:noWrap w:val="0"/>
            <w:vAlign w:val="center"/>
          </w:tcPr>
          <w:p>
            <w:pPr>
              <w:pStyle w:val="31"/>
              <w:widowControl w:val="0"/>
              <w:adjustRightInd w:val="0"/>
              <w:snapToGrid w:val="0"/>
              <w:jc w:val="both"/>
              <w:rPr>
                <w:rFonts w:hint="eastAsia" w:ascii="仿宋" w:hAnsi="仿宋" w:eastAsia="仿宋" w:cs="仿宋"/>
                <w:sz w:val="24"/>
                <w:szCs w:val="24"/>
              </w:rPr>
            </w:pPr>
            <w:r>
              <w:rPr>
                <w:rFonts w:hint="eastAsia" w:ascii="仿宋" w:hAnsi="仿宋" w:eastAsia="仿宋" w:cs="仿宋"/>
                <w:sz w:val="24"/>
                <w:szCs w:val="24"/>
              </w:rPr>
              <w:t>（按照采购清单填写）</w:t>
            </w:r>
          </w:p>
        </w:tc>
        <w:tc>
          <w:tcPr>
            <w:tcW w:w="964"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15"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361"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482" w:type="dxa"/>
            <w:noWrap w:val="0"/>
            <w:vAlign w:val="center"/>
          </w:tcPr>
          <w:p>
            <w:pPr>
              <w:pStyle w:val="31"/>
              <w:widowControl w:val="0"/>
              <w:adjustRightInd w:val="0"/>
              <w:snapToGrid w:val="0"/>
              <w:jc w:val="center"/>
              <w:rPr>
                <w:rFonts w:hint="eastAsia" w:ascii="仿宋" w:hAnsi="仿宋" w:eastAsia="仿宋" w:cs="仿宋"/>
                <w:b/>
                <w:sz w:val="24"/>
                <w:szCs w:val="24"/>
              </w:rPr>
            </w:pPr>
          </w:p>
        </w:tc>
        <w:tc>
          <w:tcPr>
            <w:tcW w:w="1250" w:type="dxa"/>
            <w:noWrap w:val="0"/>
            <w:vAlign w:val="center"/>
          </w:tcPr>
          <w:p>
            <w:pPr>
              <w:widowControl w:val="0"/>
              <w:adjustRightInd w:val="0"/>
              <w:snapToGrid w:val="0"/>
              <w:jc w:val="center"/>
              <w:rPr>
                <w:rFonts w:hint="eastAsia" w:ascii="仿宋" w:hAnsi="仿宋" w:eastAsia="仿宋" w:cs="仿宋"/>
                <w:b/>
                <w:sz w:val="24"/>
                <w:szCs w:val="24"/>
              </w:rPr>
            </w:pPr>
          </w:p>
        </w:tc>
      </w:tr>
    </w:tbl>
    <w:p>
      <w:pPr>
        <w:spacing w:line="312" w:lineRule="auto"/>
        <w:jc w:val="center"/>
        <w:rPr>
          <w:rFonts w:hint="eastAsia" w:ascii="仿宋" w:hAnsi="仿宋" w:eastAsia="仿宋" w:cs="仿宋"/>
          <w:b/>
          <w:bCs/>
          <w:color w:val="auto"/>
          <w:sz w:val="30"/>
          <w:szCs w:val="30"/>
        </w:rPr>
      </w:pPr>
    </w:p>
    <w:p>
      <w:pPr>
        <w:spacing w:line="400" w:lineRule="exact"/>
        <w:rPr>
          <w:rFonts w:hint="eastAsia" w:ascii="仿宋" w:hAnsi="仿宋" w:eastAsia="仿宋" w:cs="仿宋"/>
          <w:w w:val="110"/>
          <w:sz w:val="24"/>
          <w:szCs w:val="24"/>
        </w:rPr>
      </w:pP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投标人：</w:t>
      </w:r>
      <w:r>
        <w:rPr>
          <w:rFonts w:hint="eastAsia" w:ascii="仿宋" w:hAnsi="仿宋" w:eastAsia="仿宋" w:cs="仿宋"/>
          <w:w w:val="110"/>
          <w:sz w:val="24"/>
          <w:szCs w:val="24"/>
          <w:u w:val="single"/>
        </w:rPr>
        <w:t xml:space="preserve">           （盖单位公章）               </w:t>
      </w:r>
      <w:r>
        <w:rPr>
          <w:rFonts w:hint="eastAsia" w:ascii="仿宋" w:hAnsi="仿宋" w:eastAsia="仿宋" w:cs="仿宋"/>
          <w:w w:val="110"/>
          <w:sz w:val="24"/>
          <w:szCs w:val="24"/>
        </w:rPr>
        <w:t xml:space="preserve">      </w:t>
      </w: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 xml:space="preserve">      </w:t>
      </w:r>
    </w:p>
    <w:p>
      <w:pPr>
        <w:spacing w:line="400" w:lineRule="exact"/>
        <w:rPr>
          <w:rFonts w:hint="eastAsia" w:ascii="仿宋" w:hAnsi="仿宋" w:eastAsia="仿宋" w:cs="仿宋"/>
          <w:w w:val="110"/>
          <w:sz w:val="24"/>
          <w:szCs w:val="24"/>
        </w:rPr>
      </w:pPr>
    </w:p>
    <w:p>
      <w:pPr>
        <w:spacing w:line="312" w:lineRule="auto"/>
        <w:jc w:val="both"/>
        <w:rPr>
          <w:rFonts w:hint="eastAsia" w:ascii="仿宋" w:hAnsi="仿宋" w:eastAsia="仿宋" w:cs="仿宋"/>
          <w:w w:val="110"/>
          <w:sz w:val="24"/>
          <w:szCs w:val="24"/>
        </w:rPr>
      </w:pPr>
      <w:r>
        <w:rPr>
          <w:rFonts w:hint="eastAsia" w:ascii="仿宋" w:hAnsi="仿宋" w:eastAsia="仿宋" w:cs="仿宋"/>
          <w:color w:val="auto"/>
          <w:sz w:val="24"/>
          <w:szCs w:val="24"/>
          <w:lang w:val="en-US" w:eastAsia="zh-CN"/>
        </w:rPr>
        <w:t>法定代表人或授权代表（签字或盖章）：</w:t>
      </w:r>
      <w:r>
        <w:rPr>
          <w:rFonts w:hint="eastAsia" w:ascii="仿宋" w:hAnsi="仿宋" w:eastAsia="仿宋" w:cs="仿宋"/>
          <w:color w:val="auto"/>
          <w:sz w:val="24"/>
          <w:szCs w:val="24"/>
          <w:u w:val="single"/>
        </w:rPr>
        <w:t xml:space="preserve">                  </w:t>
      </w:r>
    </w:p>
    <w:p>
      <w:pPr>
        <w:spacing w:line="312" w:lineRule="auto"/>
        <w:jc w:val="both"/>
        <w:rPr>
          <w:rFonts w:hint="eastAsia" w:ascii="仿宋" w:hAnsi="仿宋" w:eastAsia="仿宋" w:cs="仿宋"/>
          <w:w w:val="110"/>
          <w:sz w:val="24"/>
          <w:szCs w:val="24"/>
        </w:rPr>
      </w:pPr>
    </w:p>
    <w:p>
      <w:pPr>
        <w:spacing w:line="312" w:lineRule="auto"/>
        <w:jc w:val="both"/>
        <w:rPr>
          <w:rFonts w:hint="eastAsia" w:ascii="仿宋" w:hAnsi="仿宋" w:eastAsia="仿宋" w:cs="仿宋"/>
          <w:b/>
          <w:bCs/>
          <w:color w:val="auto"/>
          <w:sz w:val="30"/>
          <w:szCs w:val="30"/>
        </w:rPr>
      </w:pPr>
      <w:r>
        <w:rPr>
          <w:rFonts w:hint="eastAsia" w:ascii="仿宋" w:hAnsi="仿宋" w:eastAsia="仿宋" w:cs="仿宋"/>
          <w:w w:val="110"/>
          <w:sz w:val="24"/>
          <w:szCs w:val="24"/>
        </w:rPr>
        <w:t>日期：</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年</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月</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日</w:t>
      </w:r>
    </w:p>
    <w:p>
      <w:pPr>
        <w:spacing w:line="312" w:lineRule="auto"/>
        <w:jc w:val="center"/>
        <w:rPr>
          <w:rFonts w:hint="eastAsia" w:ascii="仿宋" w:hAnsi="仿宋" w:eastAsia="仿宋" w:cs="仿宋"/>
          <w:b/>
          <w:bCs/>
          <w:color w:val="auto"/>
          <w:sz w:val="30"/>
          <w:szCs w:val="30"/>
          <w:lang w:val="en-US" w:eastAsia="zh-CN"/>
        </w:rPr>
      </w:pPr>
    </w:p>
    <w:p>
      <w:pPr>
        <w:spacing w:line="312" w:lineRule="auto"/>
        <w:jc w:val="center"/>
        <w:rPr>
          <w:rFonts w:hint="eastAsia" w:ascii="仿宋" w:hAnsi="仿宋" w:eastAsia="仿宋" w:cs="仿宋"/>
          <w:b/>
          <w:bCs/>
          <w:color w:val="auto"/>
          <w:sz w:val="30"/>
          <w:szCs w:val="30"/>
          <w:lang w:val="en-US" w:eastAsia="zh-CN"/>
        </w:rPr>
      </w:pPr>
    </w:p>
    <w:p>
      <w:pPr>
        <w:spacing w:line="312" w:lineRule="auto"/>
        <w:jc w:val="center"/>
        <w:rPr>
          <w:rFonts w:hint="eastAsia" w:ascii="仿宋" w:hAnsi="仿宋" w:eastAsia="仿宋" w:cs="仿宋"/>
          <w:b/>
          <w:bCs/>
          <w:color w:val="auto"/>
          <w:sz w:val="30"/>
          <w:szCs w:val="30"/>
          <w:lang w:val="en-US" w:eastAsia="zh-CN"/>
        </w:rPr>
      </w:pPr>
    </w:p>
    <w:p>
      <w:pPr>
        <w:spacing w:line="312" w:lineRule="auto"/>
        <w:jc w:val="center"/>
        <w:rPr>
          <w:rFonts w:hint="eastAsia" w:ascii="仿宋" w:hAnsi="仿宋" w:eastAsia="仿宋" w:cs="仿宋"/>
          <w:b/>
          <w:bCs/>
          <w:color w:val="auto"/>
          <w:sz w:val="30"/>
          <w:szCs w:val="30"/>
          <w:lang w:val="en-US" w:eastAsia="zh-CN"/>
        </w:rPr>
      </w:pPr>
    </w:p>
    <w:p>
      <w:pPr>
        <w:spacing w:line="312" w:lineRule="auto"/>
        <w:jc w:val="center"/>
        <w:rPr>
          <w:rFonts w:hint="eastAsia" w:ascii="仿宋" w:hAnsi="仿宋" w:eastAsia="仿宋" w:cs="仿宋"/>
          <w:b/>
          <w:bCs/>
          <w:color w:val="auto"/>
          <w:sz w:val="30"/>
          <w:szCs w:val="30"/>
          <w:lang w:val="en-US" w:eastAsia="zh-CN"/>
        </w:rPr>
      </w:pPr>
    </w:p>
    <w:p>
      <w:pPr>
        <w:pStyle w:val="31"/>
        <w:widowControl w:val="0"/>
        <w:adjustRightInd w:val="0"/>
        <w:snapToGrid w:val="0"/>
        <w:spacing w:line="390" w:lineRule="atLeast"/>
        <w:jc w:val="both"/>
        <w:rPr>
          <w:rFonts w:hint="eastAsia" w:ascii="仿宋" w:hAnsi="仿宋" w:eastAsia="仿宋" w:cs="仿宋"/>
          <w:b/>
          <w:bCs/>
          <w:color w:val="auto"/>
          <w:kern w:val="0"/>
          <w:sz w:val="30"/>
          <w:szCs w:val="30"/>
          <w:lang w:val="en-US" w:eastAsia="zh-CN" w:bidi="ar-SA"/>
        </w:rPr>
      </w:pPr>
    </w:p>
    <w:p>
      <w:pPr>
        <w:pStyle w:val="31"/>
        <w:widowControl w:val="0"/>
        <w:adjustRightInd w:val="0"/>
        <w:snapToGrid w:val="0"/>
        <w:spacing w:line="390" w:lineRule="atLeast"/>
        <w:jc w:val="center"/>
        <w:rPr>
          <w:rFonts w:hint="default"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十二</w:t>
      </w:r>
      <w:r>
        <w:rPr>
          <w:rFonts w:hint="default" w:ascii="仿宋" w:hAnsi="仿宋" w:eastAsia="仿宋" w:cs="仿宋"/>
          <w:b/>
          <w:bCs/>
          <w:color w:val="auto"/>
          <w:kern w:val="0"/>
          <w:sz w:val="30"/>
          <w:szCs w:val="30"/>
          <w:lang w:val="en-US" w:eastAsia="zh-CN" w:bidi="ar-SA"/>
        </w:rPr>
        <w:t>、</w:t>
      </w:r>
      <w:bookmarkStart w:id="27" w:name="_Hlk93401427"/>
      <w:r>
        <w:rPr>
          <w:rFonts w:hint="default" w:ascii="仿宋" w:hAnsi="仿宋" w:eastAsia="仿宋" w:cs="仿宋"/>
          <w:b/>
          <w:bCs/>
          <w:color w:val="auto"/>
          <w:kern w:val="0"/>
          <w:sz w:val="30"/>
          <w:szCs w:val="30"/>
          <w:lang w:val="en-US" w:eastAsia="zh-CN" w:bidi="ar-SA"/>
        </w:rPr>
        <w:t>技术要求偏离表</w:t>
      </w:r>
      <w:r>
        <w:rPr>
          <w:rFonts w:hint="eastAsia" w:ascii="仿宋" w:hAnsi="仿宋" w:eastAsia="仿宋" w:cs="仿宋"/>
          <w:b/>
          <w:bCs/>
          <w:color w:val="auto"/>
          <w:kern w:val="0"/>
          <w:sz w:val="30"/>
          <w:szCs w:val="30"/>
          <w:lang w:val="en-US" w:eastAsia="zh-CN" w:bidi="ar-SA"/>
        </w:rPr>
        <w:t>（格式）</w:t>
      </w:r>
    </w:p>
    <w:p>
      <w:pPr>
        <w:pStyle w:val="31"/>
        <w:widowControl w:val="0"/>
        <w:adjustRightInd w:val="0"/>
        <w:snapToGrid w:val="0"/>
        <w:rPr>
          <w:rFonts w:hint="default"/>
        </w:rPr>
      </w:pPr>
      <w:r>
        <w:rPr>
          <w:rFonts w:hint="default"/>
        </w:rPr>
        <w:t xml:space="preserve"> </w:t>
      </w:r>
    </w:p>
    <w:tbl>
      <w:tblPr>
        <w:tblStyle w:val="34"/>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54"/>
        <w:gridCol w:w="2812"/>
        <w:gridCol w:w="152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754" w:type="dxa"/>
            <w:noWrap w:val="0"/>
            <w:vAlign w:val="center"/>
          </w:tcPr>
          <w:p>
            <w:pPr>
              <w:pStyle w:val="31"/>
              <w:widowControl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u w:val="thick" w:color="FFFFFF"/>
                <w:lang w:val="en-US" w:eastAsia="zh-CN"/>
              </w:rPr>
              <w:t>招标</w:t>
            </w:r>
            <w:r>
              <w:rPr>
                <w:rFonts w:hint="eastAsia" w:ascii="仿宋" w:hAnsi="仿宋" w:eastAsia="仿宋" w:cs="仿宋"/>
                <w:b/>
                <w:bCs/>
                <w:sz w:val="24"/>
                <w:szCs w:val="24"/>
                <w:u w:val="thick" w:color="FFFFFF"/>
              </w:rPr>
              <w:t>文件</w:t>
            </w:r>
            <w:r>
              <w:rPr>
                <w:rFonts w:hint="eastAsia" w:ascii="仿宋" w:hAnsi="仿宋" w:eastAsia="仿宋" w:cs="仿宋"/>
                <w:b/>
                <w:bCs/>
                <w:sz w:val="24"/>
                <w:szCs w:val="24"/>
              </w:rPr>
              <w:t>要求</w:t>
            </w:r>
          </w:p>
        </w:tc>
        <w:tc>
          <w:tcPr>
            <w:tcW w:w="2812" w:type="dxa"/>
            <w:noWrap w:val="0"/>
            <w:vAlign w:val="center"/>
          </w:tcPr>
          <w:p>
            <w:pPr>
              <w:pStyle w:val="31"/>
              <w:widowControl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招标</w:t>
            </w:r>
            <w:r>
              <w:rPr>
                <w:rFonts w:hint="eastAsia" w:ascii="仿宋" w:hAnsi="仿宋" w:eastAsia="仿宋" w:cs="仿宋"/>
                <w:b/>
                <w:bCs/>
                <w:sz w:val="24"/>
                <w:szCs w:val="24"/>
              </w:rPr>
              <w:t>响应参数</w:t>
            </w:r>
          </w:p>
        </w:tc>
        <w:tc>
          <w:tcPr>
            <w:tcW w:w="1522" w:type="dxa"/>
            <w:noWrap w:val="0"/>
            <w:vAlign w:val="center"/>
          </w:tcPr>
          <w:p>
            <w:pPr>
              <w:pStyle w:val="31"/>
              <w:widowControl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偏离情况</w:t>
            </w:r>
          </w:p>
        </w:tc>
        <w:tc>
          <w:tcPr>
            <w:tcW w:w="1572" w:type="dxa"/>
            <w:noWrap w:val="0"/>
            <w:vAlign w:val="center"/>
          </w:tcPr>
          <w:p>
            <w:pPr>
              <w:pStyle w:val="31"/>
              <w:widowControl w:val="0"/>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r>
              <w:rPr>
                <w:rFonts w:hint="eastAsia" w:ascii="仿宋" w:hAnsi="仿宋" w:eastAsia="仿宋" w:cs="仿宋"/>
                <w:sz w:val="24"/>
                <w:szCs w:val="24"/>
              </w:rPr>
              <w:t>……</w:t>
            </w: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r>
              <w:rPr>
                <w:rFonts w:hint="eastAsia" w:ascii="仿宋" w:hAnsi="仿宋" w:eastAsia="仿宋" w:cs="仿宋"/>
                <w:sz w:val="24"/>
                <w:szCs w:val="24"/>
              </w:rPr>
              <w:t>……</w:t>
            </w:r>
          </w:p>
        </w:tc>
        <w:tc>
          <w:tcPr>
            <w:tcW w:w="1522"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2754" w:type="dxa"/>
            <w:noWrap w:val="0"/>
            <w:vAlign w:val="center"/>
          </w:tcPr>
          <w:p>
            <w:pPr>
              <w:widowControl w:val="0"/>
              <w:adjustRightInd w:val="0"/>
              <w:snapToGrid w:val="0"/>
              <w:jc w:val="both"/>
              <w:rPr>
                <w:rFonts w:hint="eastAsia" w:ascii="仿宋" w:hAnsi="仿宋" w:eastAsia="仿宋" w:cs="仿宋"/>
                <w:sz w:val="24"/>
                <w:szCs w:val="24"/>
              </w:rPr>
            </w:pPr>
          </w:p>
        </w:tc>
        <w:tc>
          <w:tcPr>
            <w:tcW w:w="2812" w:type="dxa"/>
            <w:noWrap w:val="0"/>
            <w:vAlign w:val="center"/>
          </w:tcPr>
          <w:p>
            <w:pPr>
              <w:widowControl w:val="0"/>
              <w:adjustRightInd w:val="0"/>
              <w:snapToGrid w:val="0"/>
              <w:ind w:left="360" w:hanging="360" w:hangingChars="15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2754" w:type="dxa"/>
            <w:noWrap w:val="0"/>
            <w:vAlign w:val="center"/>
          </w:tcPr>
          <w:p>
            <w:pPr>
              <w:pStyle w:val="31"/>
              <w:widowControl w:val="0"/>
              <w:adjustRightInd w:val="0"/>
              <w:snapToGrid w:val="0"/>
              <w:ind w:firstLine="840" w:firstLineChars="350"/>
              <w:jc w:val="both"/>
              <w:rPr>
                <w:rFonts w:hint="eastAsia" w:ascii="仿宋" w:hAnsi="仿宋" w:eastAsia="仿宋" w:cs="仿宋"/>
                <w:sz w:val="24"/>
                <w:szCs w:val="24"/>
              </w:rPr>
            </w:pPr>
          </w:p>
        </w:tc>
        <w:tc>
          <w:tcPr>
            <w:tcW w:w="2812" w:type="dxa"/>
            <w:noWrap w:val="0"/>
            <w:vAlign w:val="center"/>
          </w:tcPr>
          <w:p>
            <w:pPr>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0"/>
            <w:vAlign w:val="center"/>
          </w:tcPr>
          <w:p>
            <w:pPr>
              <w:pStyle w:val="31"/>
              <w:widowControl w:val="0"/>
              <w:adjustRightInd w:val="0"/>
              <w:snapToGrid w:val="0"/>
              <w:jc w:val="center"/>
              <w:rPr>
                <w:rFonts w:hint="eastAsia" w:ascii="仿宋" w:hAnsi="仿宋" w:eastAsia="仿宋" w:cs="仿宋"/>
                <w:sz w:val="24"/>
                <w:szCs w:val="24"/>
              </w:rPr>
            </w:pPr>
          </w:p>
        </w:tc>
        <w:tc>
          <w:tcPr>
            <w:tcW w:w="2754"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281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22" w:type="dxa"/>
            <w:noWrap w:val="0"/>
            <w:vAlign w:val="center"/>
          </w:tcPr>
          <w:p>
            <w:pPr>
              <w:pStyle w:val="31"/>
              <w:widowControl w:val="0"/>
              <w:adjustRightInd w:val="0"/>
              <w:snapToGrid w:val="0"/>
              <w:jc w:val="both"/>
              <w:rPr>
                <w:rFonts w:hint="eastAsia" w:ascii="仿宋" w:hAnsi="仿宋" w:eastAsia="仿宋" w:cs="仿宋"/>
                <w:sz w:val="24"/>
                <w:szCs w:val="24"/>
              </w:rPr>
            </w:pPr>
          </w:p>
        </w:tc>
        <w:tc>
          <w:tcPr>
            <w:tcW w:w="1572" w:type="dxa"/>
            <w:noWrap w:val="0"/>
            <w:vAlign w:val="center"/>
          </w:tcPr>
          <w:p>
            <w:pPr>
              <w:pStyle w:val="31"/>
              <w:widowControl w:val="0"/>
              <w:adjustRightInd w:val="0"/>
              <w:snapToGrid w:val="0"/>
              <w:jc w:val="both"/>
              <w:rPr>
                <w:rFonts w:hint="eastAsia" w:ascii="仿宋" w:hAnsi="仿宋" w:eastAsia="仿宋" w:cs="仿宋"/>
                <w:sz w:val="24"/>
                <w:szCs w:val="24"/>
              </w:rPr>
            </w:pPr>
          </w:p>
        </w:tc>
      </w:tr>
      <w:bookmarkEnd w:id="27"/>
    </w:tbl>
    <w:p>
      <w:pPr>
        <w:spacing w:line="400" w:lineRule="exact"/>
        <w:rPr>
          <w:rFonts w:hint="eastAsia" w:ascii="仿宋" w:hAnsi="仿宋" w:eastAsia="仿宋" w:cs="仿宋"/>
          <w:b/>
          <w:bCs/>
          <w:w w:val="110"/>
          <w:sz w:val="21"/>
          <w:szCs w:val="21"/>
        </w:rPr>
      </w:pPr>
      <w:r>
        <w:rPr>
          <w:rFonts w:hint="eastAsia" w:ascii="仿宋" w:hAnsi="仿宋" w:eastAsia="仿宋" w:cs="仿宋"/>
          <w:b/>
          <w:bCs/>
          <w:w w:val="110"/>
          <w:sz w:val="21"/>
          <w:szCs w:val="21"/>
          <w:lang w:val="en-US" w:eastAsia="zh-CN"/>
        </w:rPr>
        <w:t>注</w:t>
      </w:r>
      <w:r>
        <w:rPr>
          <w:rFonts w:hint="eastAsia" w:ascii="仿宋" w:hAnsi="仿宋" w:eastAsia="仿宋" w:cs="仿宋"/>
          <w:b/>
          <w:bCs/>
          <w:w w:val="110"/>
          <w:sz w:val="21"/>
          <w:szCs w:val="21"/>
        </w:rPr>
        <w:t>：1.供应商拟投的货物与</w:t>
      </w:r>
      <w:r>
        <w:rPr>
          <w:rFonts w:hint="eastAsia" w:ascii="仿宋" w:hAnsi="仿宋" w:eastAsia="仿宋" w:cs="仿宋"/>
          <w:b/>
          <w:bCs/>
          <w:w w:val="110"/>
          <w:sz w:val="21"/>
          <w:szCs w:val="21"/>
          <w:lang w:val="en-US" w:eastAsia="zh-CN"/>
        </w:rPr>
        <w:t>招标</w:t>
      </w:r>
      <w:r>
        <w:rPr>
          <w:rFonts w:hint="eastAsia" w:ascii="仿宋" w:hAnsi="仿宋" w:eastAsia="仿宋" w:cs="仿宋"/>
          <w:b/>
          <w:bCs/>
          <w:w w:val="110"/>
          <w:sz w:val="21"/>
          <w:szCs w:val="21"/>
        </w:rPr>
        <w:t>文件中设置的技术参数不一致时，则必须在此表中予以明确。否则将视为供应商完全响应</w:t>
      </w:r>
      <w:r>
        <w:rPr>
          <w:rFonts w:hint="eastAsia" w:ascii="仿宋" w:hAnsi="仿宋" w:eastAsia="仿宋" w:cs="仿宋"/>
          <w:b/>
          <w:bCs/>
          <w:w w:val="110"/>
          <w:sz w:val="21"/>
          <w:szCs w:val="21"/>
          <w:lang w:val="en-US" w:eastAsia="zh-CN"/>
        </w:rPr>
        <w:t>招标</w:t>
      </w:r>
      <w:r>
        <w:rPr>
          <w:rFonts w:hint="eastAsia" w:ascii="仿宋" w:hAnsi="仿宋" w:eastAsia="仿宋" w:cs="仿宋"/>
          <w:b/>
          <w:bCs/>
          <w:w w:val="110"/>
          <w:sz w:val="21"/>
          <w:szCs w:val="21"/>
        </w:rPr>
        <w:t>文件的要求，并以</w:t>
      </w:r>
      <w:r>
        <w:rPr>
          <w:rFonts w:hint="eastAsia" w:ascii="仿宋" w:hAnsi="仿宋" w:eastAsia="仿宋" w:cs="仿宋"/>
          <w:b/>
          <w:bCs/>
          <w:w w:val="110"/>
          <w:sz w:val="21"/>
          <w:szCs w:val="21"/>
          <w:lang w:val="en-US" w:eastAsia="zh-CN"/>
        </w:rPr>
        <w:t>招标</w:t>
      </w:r>
      <w:r>
        <w:rPr>
          <w:rFonts w:hint="eastAsia" w:ascii="仿宋" w:hAnsi="仿宋" w:eastAsia="仿宋" w:cs="仿宋"/>
          <w:b/>
          <w:bCs/>
          <w:w w:val="110"/>
          <w:sz w:val="21"/>
          <w:szCs w:val="21"/>
        </w:rPr>
        <w:t>文件作为验收条件。</w:t>
      </w:r>
    </w:p>
    <w:p>
      <w:pPr>
        <w:spacing w:line="400" w:lineRule="exact"/>
        <w:rPr>
          <w:rFonts w:hint="eastAsia" w:ascii="仿宋" w:hAnsi="仿宋" w:eastAsia="仿宋" w:cs="仿宋"/>
          <w:b/>
          <w:bCs w:val="0"/>
          <w:color w:val="0000FF"/>
          <w:sz w:val="30"/>
          <w:szCs w:val="30"/>
          <w:lang w:val="en-US" w:eastAsia="zh-CN"/>
        </w:rPr>
      </w:pPr>
      <w:r>
        <w:rPr>
          <w:rFonts w:hint="eastAsia" w:ascii="仿宋" w:hAnsi="仿宋" w:eastAsia="仿宋" w:cs="仿宋"/>
          <w:b/>
          <w:bCs/>
          <w:w w:val="110"/>
          <w:sz w:val="21"/>
          <w:szCs w:val="21"/>
          <w:lang w:val="en-US" w:eastAsia="zh-CN"/>
        </w:rPr>
        <w:t xml:space="preserve">    </w:t>
      </w:r>
      <w:r>
        <w:rPr>
          <w:rFonts w:hint="eastAsia" w:ascii="仿宋" w:hAnsi="仿宋" w:eastAsia="仿宋" w:cs="仿宋"/>
          <w:b/>
          <w:bCs/>
          <w:w w:val="110"/>
          <w:sz w:val="21"/>
          <w:szCs w:val="21"/>
        </w:rPr>
        <w:t>2.偏离情况分别为：正偏离、无偏离或负偏离。供应商可在备注栏内就偏离原因进行简要说明。</w:t>
      </w:r>
    </w:p>
    <w:p>
      <w:pPr>
        <w:spacing w:line="400" w:lineRule="exact"/>
        <w:rPr>
          <w:rFonts w:hint="eastAsia" w:ascii="仿宋" w:hAnsi="仿宋" w:eastAsia="仿宋" w:cs="仿宋"/>
          <w:w w:val="110"/>
          <w:sz w:val="24"/>
          <w:szCs w:val="24"/>
        </w:rPr>
      </w:pPr>
    </w:p>
    <w:p>
      <w:pPr>
        <w:spacing w:line="400" w:lineRule="exact"/>
        <w:rPr>
          <w:rFonts w:hint="eastAsia" w:ascii="仿宋" w:hAnsi="仿宋" w:eastAsia="仿宋" w:cs="仿宋"/>
          <w:w w:val="110"/>
          <w:sz w:val="24"/>
          <w:szCs w:val="24"/>
        </w:rPr>
      </w:pP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投标人：</w:t>
      </w:r>
      <w:r>
        <w:rPr>
          <w:rFonts w:hint="eastAsia" w:ascii="仿宋" w:hAnsi="仿宋" w:eastAsia="仿宋" w:cs="仿宋"/>
          <w:w w:val="110"/>
          <w:sz w:val="24"/>
          <w:szCs w:val="24"/>
          <w:u w:val="single"/>
        </w:rPr>
        <w:t xml:space="preserve">           （盖单位公章）               </w:t>
      </w:r>
      <w:r>
        <w:rPr>
          <w:rFonts w:hint="eastAsia" w:ascii="仿宋" w:hAnsi="仿宋" w:eastAsia="仿宋" w:cs="仿宋"/>
          <w:w w:val="110"/>
          <w:sz w:val="24"/>
          <w:szCs w:val="24"/>
        </w:rPr>
        <w:t xml:space="preserve">      </w:t>
      </w:r>
    </w:p>
    <w:p>
      <w:pPr>
        <w:spacing w:line="400" w:lineRule="exact"/>
        <w:rPr>
          <w:rFonts w:hint="eastAsia" w:ascii="仿宋" w:hAnsi="仿宋" w:eastAsia="仿宋" w:cs="仿宋"/>
          <w:w w:val="110"/>
          <w:sz w:val="24"/>
          <w:szCs w:val="24"/>
        </w:rPr>
      </w:pPr>
      <w:r>
        <w:rPr>
          <w:rFonts w:hint="eastAsia" w:ascii="仿宋" w:hAnsi="仿宋" w:eastAsia="仿宋" w:cs="仿宋"/>
          <w:w w:val="110"/>
          <w:sz w:val="24"/>
          <w:szCs w:val="24"/>
        </w:rPr>
        <w:t xml:space="preserve">      </w:t>
      </w:r>
    </w:p>
    <w:p>
      <w:pPr>
        <w:spacing w:line="400" w:lineRule="exact"/>
        <w:rPr>
          <w:rFonts w:hint="eastAsia" w:ascii="仿宋" w:hAnsi="仿宋" w:eastAsia="仿宋" w:cs="仿宋"/>
          <w:w w:val="110"/>
          <w:sz w:val="24"/>
          <w:szCs w:val="24"/>
        </w:rPr>
      </w:pPr>
      <w:r>
        <w:rPr>
          <w:rFonts w:hint="eastAsia" w:ascii="仿宋" w:hAnsi="仿宋" w:eastAsia="仿宋" w:cs="仿宋"/>
          <w:color w:val="auto"/>
          <w:sz w:val="24"/>
          <w:szCs w:val="24"/>
          <w:lang w:val="en-US" w:eastAsia="zh-CN"/>
        </w:rPr>
        <w:t>法定代表人或授权代表（签字或盖章）：</w:t>
      </w:r>
      <w:r>
        <w:rPr>
          <w:rFonts w:hint="eastAsia" w:ascii="仿宋" w:hAnsi="仿宋" w:eastAsia="仿宋" w:cs="仿宋"/>
          <w:color w:val="auto"/>
          <w:sz w:val="24"/>
          <w:szCs w:val="24"/>
          <w:u w:val="single"/>
        </w:rPr>
        <w:t xml:space="preserve">                  </w:t>
      </w:r>
    </w:p>
    <w:p>
      <w:pPr>
        <w:spacing w:line="312" w:lineRule="auto"/>
        <w:jc w:val="both"/>
        <w:rPr>
          <w:rFonts w:hint="eastAsia" w:ascii="仿宋" w:hAnsi="仿宋" w:eastAsia="仿宋" w:cs="仿宋"/>
          <w:w w:val="110"/>
          <w:sz w:val="24"/>
          <w:szCs w:val="24"/>
        </w:rPr>
      </w:pPr>
    </w:p>
    <w:p>
      <w:pPr>
        <w:spacing w:line="312" w:lineRule="auto"/>
        <w:jc w:val="both"/>
        <w:rPr>
          <w:rStyle w:val="53"/>
          <w:rFonts w:hint="eastAsia" w:ascii="仿宋" w:hAnsi="仿宋" w:eastAsia="仿宋"/>
          <w:lang w:val="en-US" w:eastAsia="zh-CN"/>
        </w:rPr>
      </w:pPr>
      <w:r>
        <w:rPr>
          <w:rFonts w:hint="eastAsia" w:ascii="仿宋" w:hAnsi="仿宋" w:eastAsia="仿宋" w:cs="仿宋"/>
          <w:w w:val="110"/>
          <w:sz w:val="24"/>
          <w:szCs w:val="24"/>
        </w:rPr>
        <w:t>日期：</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年</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月</w:t>
      </w:r>
      <w:r>
        <w:rPr>
          <w:rFonts w:hint="eastAsia" w:ascii="仿宋" w:hAnsi="仿宋" w:eastAsia="仿宋" w:cs="仿宋"/>
          <w:w w:val="110"/>
          <w:sz w:val="24"/>
          <w:szCs w:val="24"/>
          <w:u w:val="single"/>
        </w:rPr>
        <w:t xml:space="preserve">    </w:t>
      </w:r>
      <w:r>
        <w:rPr>
          <w:rFonts w:hint="eastAsia" w:ascii="仿宋" w:hAnsi="仿宋" w:eastAsia="仿宋" w:cs="仿宋"/>
          <w:w w:val="110"/>
          <w:sz w:val="24"/>
          <w:szCs w:val="24"/>
        </w:rPr>
        <w:t>日</w:t>
      </w:r>
    </w:p>
    <w:p>
      <w:pPr>
        <w:pStyle w:val="6"/>
        <w:numPr>
          <w:ilvl w:val="0"/>
          <w:numId w:val="0"/>
        </w:numPr>
        <w:tabs>
          <w:tab w:val="left" w:pos="432"/>
        </w:tabs>
        <w:ind w:firstLine="2811" w:firstLineChars="1000"/>
        <w:jc w:val="both"/>
        <w:rPr>
          <w:rStyle w:val="53"/>
          <w:rFonts w:hint="eastAsia" w:ascii="仿宋" w:hAnsi="仿宋" w:eastAsia="仿宋"/>
          <w:lang w:val="en-US" w:eastAsia="zh-CN"/>
        </w:rPr>
      </w:pPr>
    </w:p>
    <w:p>
      <w:pPr>
        <w:pStyle w:val="33"/>
        <w:spacing w:line="312" w:lineRule="auto"/>
        <w:ind w:left="0" w:leftChars="0" w:firstLine="0" w:firstLineChars="0"/>
        <w:rPr>
          <w:rFonts w:hint="eastAsia" w:ascii="仿宋" w:hAnsi="仿宋" w:eastAsia="仿宋" w:cs="仿宋"/>
        </w:rPr>
      </w:pPr>
    </w:p>
    <w:sectPr>
      <w:pgSz w:w="11906" w:h="16838"/>
      <w:pgMar w:top="1247" w:right="1134" w:bottom="1020" w:left="1418" w:header="851" w:footer="90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rPr>
                              <w:lang/>
                            </w:rPr>
                            <w:t>- 43 -</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smDNMwBAACeAwAADgAAAGRycy9lMm9Eb2MueG1srVPNjtMwEL4j8Q6W 79RpV6AqaroCVYuQECAtPIDr2I0l/8njNukLwBtw4sKd5+pzMHaSLiyXPXBxxjPjb+b7ZrK5Hawh JxlBe9fQ5aKiRDrhW+0ODf3y+e7FmhJI3LXceCcbepZAb7fPn236UMuV77xpZSQI4qDuQ0O7lELN GIhOWg4LH6TDoPLR8oTXeGBt5D2iW8NWVfWK9T62IXohAdC7G4N0QoxPAfRKaSF3XhytdGlEjdLw hJSg0wHotnSrlBTpo1IgEzENRaapnFgE7X0+2XbD60PkodNiaoE/pYVHnCzXDoteoXY8cXKM+h8o q0X04FVaCG/ZSKQogiyW1SNt7jseZOGCUkO4ig7/D1Z8OH2KRLcNvVneUOK4xZFfvn+7/Ph1+fmV LKvVy6xRH6DG1PuAyWl44wfcnNkP6MzUBxVt/iIpgnFU+HxVWA6JiPxovVqvKwwJjM0XxGcPz0OE 9FZ6S7LR0IgjLMry03tIY+qckqs5f6eNKWM07i8HYmYPy72PPWYrDfthIrT37Rn59Dj9hjpcdkrM O4fi5kWZjTgb+9k4hqgPXdmkXA/C62PCJkpvucIIOxXGsRV204rlvfjzXrIefqvt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CeyYM0zAEAAJ4DAAAOAAAAAAAAAAEAIAAAAB4BAABkcnMvZTJv RG9jLnhtbFBLBQYAAAAABgAGAFkBAABcBQAAAAA= ">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lang/>
                      </w:rPr>
                      <w:t>- 43 -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rPr>
                              <w:lang/>
                            </w:rPr>
                            <w:t>- 35 -</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vDt7swBAACeAwAADgAAAGRycy9lMm9Eb2MueG1srVPNjtMwEL4j8Q6W 79RpQasqaroCVYuQECAtPIDr2I0l/8njNukLwBtw4sKd5+pzMHaSLiyXPXBxxjPjb+b7ZrK5Hawh JxlBe9fQ5aKiRDrhW+0ODf3y+e7FmhJI3LXceCcbepZAb7fPn236UMuV77xpZSQI4qDuQ0O7lELN GIhOWg4LH6TDoPLR8oTXeGBt5D2iW8NWVXXDeh/bEL2QAOjdjUE6IcanAHqltJA7L45WujSiRml4 QkrQ6QB0W7pVSor0USmQiZiGItNUTiyC9j6fbLvh9SHy0GkxtcCf0sIjTpZrh0WvUDueODlG/Q+U 1SJ68CothLdsJFIUQRbL6pE29x0PsnBBqSFcRYf/Bys+nD5FotuGvly+osRxiyO/fP92+fHr8vMr WVarm6xRH6DG1PuAyWl44wfcnNkP6MzUBxVt/iIpgnFU+HxVWA6JiPxovVqvKwwJjM0XxGcPz0OE 9FZ6S7LR0IgjLMry03tIY+qckqs5f6eNKWM07i8HYmYPy72PPWYrDfthIrT37Rn59Dj9hjpcdkrM O4fi5kWZjTgb+9k4hqgPXdmkXA/C62PCJkpvucIIOxXGsRV204rlvfjzXrIefqvt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M6pebnPAAAABQEAAA8AAAAAAAAAAQAgAAAAIgAAAGRycy9kb3ducmV2 LnhtbFBLAQIUABQAAAAIAIdO4kBu8O3uzAEAAJ4DAAAOAAAAAAAAAAEAIAAAAB4BAABkcnMvZTJv RG9jLnhtbFBLBQYAAAAABgAGAFkBAABcBQAAAAA= ">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lang/>
                      </w:rPr>
                      <w:t>- 35 -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fldChar w:fldCharType="begin"/>
    </w:r>
    <w:r>
      <w:rPr>
        <w:rStyle w:val="38"/>
      </w:rPr>
      <w:instrText xml:space="preserve"> PAGE </w:instrText>
    </w:r>
    <w:r>
      <w:fldChar w:fldCharType="separate"/>
    </w:r>
    <w:r>
      <w:rPr>
        <w:rStyle w:val="38"/>
      </w:rPr>
      <w:t>- 1 -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firstLine="3060" w:firstLineChars="17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9C6CE"/>
    <w:multiLevelType w:val="singleLevel"/>
    <w:tmpl w:val="D109C6CE"/>
    <w:lvl w:ilvl="0" w:tentative="0">
      <w:start w:val="1"/>
      <w:numFmt w:val="decimal"/>
      <w:suff w:val="nothing"/>
      <w:lvlText w:val="（%1）"/>
      <w:lvlJc w:val="left"/>
    </w:lvl>
  </w:abstractNum>
  <w:abstractNum w:abstractNumId="1">
    <w:nsid w:val="DE804968"/>
    <w:multiLevelType w:val="singleLevel"/>
    <w:tmpl w:val="DE804968"/>
    <w:lvl w:ilvl="0" w:tentative="0">
      <w:start w:val="2"/>
      <w:numFmt w:val="decimal"/>
      <w:suff w:val="nothing"/>
      <w:lvlText w:val="%1、"/>
      <w:lvlJc w:val="left"/>
    </w:lvl>
  </w:abstractNum>
  <w:abstractNum w:abstractNumId="2">
    <w:nsid w:val="F5958D73"/>
    <w:multiLevelType w:val="singleLevel"/>
    <w:tmpl w:val="F5958D73"/>
    <w:lvl w:ilvl="0" w:tentative="0">
      <w:start w:val="1"/>
      <w:numFmt w:val="decimal"/>
      <w:lvlText w:val="%1)"/>
      <w:lvlJc w:val="left"/>
      <w:pPr>
        <w:ind w:left="420" w:hanging="420"/>
      </w:pPr>
      <w:rPr>
        <w:rFonts w:hint="default"/>
      </w:rPr>
    </w:lvl>
  </w:abstractNum>
  <w:abstractNum w:abstractNumId="3">
    <w:nsid w:val="FDE563C7"/>
    <w:multiLevelType w:val="singleLevel"/>
    <w:tmpl w:val="FDE563C7"/>
    <w:lvl w:ilvl="0" w:tentative="0">
      <w:start w:val="1"/>
      <w:numFmt w:val="decimal"/>
      <w:suff w:val="nothing"/>
      <w:lvlText w:val="%1、"/>
      <w:lvlJc w:val="left"/>
    </w:lvl>
  </w:abstractNum>
  <w:abstractNum w:abstractNumId="4">
    <w:nsid w:val="00000007"/>
    <w:multiLevelType w:val="multilevel"/>
    <w:tmpl w:val="0000000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2F896018"/>
    <w:multiLevelType w:val="multilevel"/>
    <w:tmpl w:val="2F896018"/>
    <w:lvl w:ilvl="0" w:tentative="0">
      <w:start w:val="1"/>
      <w:numFmt w:val="upperLetter"/>
      <w:pStyle w:val="88"/>
      <w:lvlText w:val="%1."/>
      <w:lvlJc w:val="left"/>
      <w:pPr>
        <w:ind w:left="647" w:hanging="420"/>
      </w:pPr>
      <w:rPr>
        <w:rFonts w:hint="eastAsia"/>
      </w:rPr>
    </w:lvl>
    <w:lvl w:ilvl="1" w:tentative="0">
      <w:start w:val="1"/>
      <w:numFmt w:val="lowerLetter"/>
      <w:lvlText w:val="%2)"/>
      <w:lvlJc w:val="left"/>
      <w:pPr>
        <w:ind w:left="1067" w:hanging="420"/>
      </w:pPr>
    </w:lvl>
    <w:lvl w:ilvl="2" w:tentative="0">
      <w:start w:val="1"/>
      <w:numFmt w:val="lowerRoman"/>
      <w:lvlText w:val="%3."/>
      <w:lvlJc w:val="right"/>
      <w:pPr>
        <w:ind w:left="1487" w:hanging="420"/>
      </w:pPr>
    </w:lvl>
    <w:lvl w:ilvl="3" w:tentative="0">
      <w:start w:val="1"/>
      <w:numFmt w:val="decimal"/>
      <w:lvlText w:val="%4."/>
      <w:lvlJc w:val="left"/>
      <w:pPr>
        <w:ind w:left="1907" w:hanging="420"/>
      </w:pPr>
    </w:lvl>
    <w:lvl w:ilvl="4" w:tentative="0">
      <w:start w:val="1"/>
      <w:numFmt w:val="lowerLetter"/>
      <w:lvlText w:val="%5)"/>
      <w:lvlJc w:val="left"/>
      <w:pPr>
        <w:ind w:left="2327" w:hanging="420"/>
      </w:pPr>
    </w:lvl>
    <w:lvl w:ilvl="5" w:tentative="0">
      <w:start w:val="1"/>
      <w:numFmt w:val="lowerRoman"/>
      <w:lvlText w:val="%6."/>
      <w:lvlJc w:val="right"/>
      <w:pPr>
        <w:ind w:left="2747" w:hanging="420"/>
      </w:pPr>
    </w:lvl>
    <w:lvl w:ilvl="6" w:tentative="0">
      <w:start w:val="1"/>
      <w:numFmt w:val="decimal"/>
      <w:lvlText w:val="%7."/>
      <w:lvlJc w:val="left"/>
      <w:pPr>
        <w:ind w:left="3167" w:hanging="420"/>
      </w:pPr>
    </w:lvl>
    <w:lvl w:ilvl="7" w:tentative="0">
      <w:start w:val="1"/>
      <w:numFmt w:val="lowerLetter"/>
      <w:lvlText w:val="%8)"/>
      <w:lvlJc w:val="left"/>
      <w:pPr>
        <w:ind w:left="3587" w:hanging="420"/>
      </w:pPr>
    </w:lvl>
    <w:lvl w:ilvl="8" w:tentative="0">
      <w:start w:val="1"/>
      <w:numFmt w:val="lowerRoman"/>
      <w:lvlText w:val="%9."/>
      <w:lvlJc w:val="right"/>
      <w:pPr>
        <w:ind w:left="4007" w:hanging="420"/>
      </w:pPr>
    </w:lvl>
  </w:abstractNum>
  <w:abstractNum w:abstractNumId="6">
    <w:nsid w:val="3285BD41"/>
    <w:multiLevelType w:val="singleLevel"/>
    <w:tmpl w:val="3285BD41"/>
    <w:lvl w:ilvl="0" w:tentative="0">
      <w:start w:val="1"/>
      <w:numFmt w:val="decimal"/>
      <w:lvlText w:val="%1)"/>
      <w:lvlJc w:val="left"/>
      <w:pPr>
        <w:ind w:left="425" w:hanging="425"/>
      </w:pPr>
      <w:rPr>
        <w:rFonts w:hint="default"/>
      </w:rPr>
    </w:lvl>
  </w:abstractNum>
  <w:abstractNum w:abstractNumId="7">
    <w:nsid w:val="4A3C9D68"/>
    <w:multiLevelType w:val="singleLevel"/>
    <w:tmpl w:val="4A3C9D68"/>
    <w:lvl w:ilvl="0" w:tentative="0">
      <w:start w:val="1"/>
      <w:numFmt w:val="bullet"/>
      <w:lvlText w:val=""/>
      <w:lvlJc w:val="left"/>
      <w:pPr>
        <w:ind w:left="420" w:hanging="420"/>
      </w:pPr>
      <w:rPr>
        <w:rFonts w:hint="default" w:ascii="Wingdings" w:hAnsi="Wingdings"/>
      </w:rPr>
    </w:lvl>
  </w:abstractNum>
  <w:abstractNum w:abstractNumId="8">
    <w:nsid w:val="559804C3"/>
    <w:multiLevelType w:val="singleLevel"/>
    <w:tmpl w:val="559804C3"/>
    <w:lvl w:ilvl="0" w:tentative="0">
      <w:start w:val="1"/>
      <w:numFmt w:val="decimal"/>
      <w:suff w:val="nothing"/>
      <w:lvlText w:val="（%1）"/>
      <w:lvlJc w:val="left"/>
    </w:lvl>
  </w:abstractNum>
  <w:abstractNum w:abstractNumId="9">
    <w:nsid w:val="56CD4134"/>
    <w:multiLevelType w:val="multilevel"/>
    <w:tmpl w:val="56CD413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94C7A35"/>
    <w:multiLevelType w:val="singleLevel"/>
    <w:tmpl w:val="594C7A35"/>
    <w:lvl w:ilvl="0" w:tentative="0">
      <w:start w:val="1"/>
      <w:numFmt w:val="decimal"/>
      <w:suff w:val="nothing"/>
      <w:lvlText w:val="%1、"/>
      <w:lvlJc w:val="left"/>
    </w:lvl>
  </w:abstractNum>
  <w:abstractNum w:abstractNumId="11">
    <w:nsid w:val="5FA11A12"/>
    <w:multiLevelType w:val="multilevel"/>
    <w:tmpl w:val="5FA11A12"/>
    <w:lvl w:ilvl="0" w:tentative="0">
      <w:start w:val="1"/>
      <w:numFmt w:val="decimal"/>
      <w:suff w:val="nothing"/>
      <w:lvlText w:val="第%1章 "/>
      <w:lvlJc w:val="left"/>
      <w:pPr>
        <w:tabs>
          <w:tab w:val="left" w:pos="0"/>
        </w:tabs>
        <w:ind w:left="0" w:firstLine="402"/>
      </w:pPr>
      <w:rPr>
        <w:rFonts w:hint="eastAsia" w:ascii="宋体" w:hAnsi="宋体" w:eastAsia="仿宋" w:cs="仿宋"/>
        <w:sz w:val="48"/>
        <w:szCs w:val="32"/>
        <w:lang w:val="en-US"/>
      </w:rPr>
    </w:lvl>
    <w:lvl w:ilvl="1" w:tentative="0">
      <w:start w:val="1"/>
      <w:numFmt w:val="decimal"/>
      <w:suff w:val="nothing"/>
      <w:lvlText w:val="%1.%2 "/>
      <w:lvlJc w:val="left"/>
      <w:pPr>
        <w:tabs>
          <w:tab w:val="left" w:pos="0"/>
        </w:tabs>
        <w:ind w:left="0" w:firstLine="402"/>
      </w:pPr>
      <w:rPr>
        <w:rFonts w:hint="eastAsia" w:ascii="宋体" w:hAnsi="宋体" w:eastAsia="宋体" w:cs="宋体"/>
        <w:sz w:val="32"/>
        <w:szCs w:val="32"/>
      </w:rPr>
    </w:lvl>
    <w:lvl w:ilvl="2" w:tentative="0">
      <w:start w:val="1"/>
      <w:numFmt w:val="decimal"/>
      <w:suff w:val="nothing"/>
      <w:lvlText w:val="%1.%2.%3 "/>
      <w:lvlJc w:val="left"/>
      <w:pPr>
        <w:ind w:left="3284" w:firstLine="402"/>
      </w:pPr>
      <w:rPr>
        <w:rFonts w:hint="eastAsia" w:ascii="宋体" w:hAnsi="宋体" w:eastAsia="宋体" w:cs="宋体"/>
        <w:sz w:val="32"/>
        <w:szCs w:val="32"/>
      </w:rPr>
    </w:lvl>
    <w:lvl w:ilvl="3" w:tentative="0">
      <w:start w:val="1"/>
      <w:numFmt w:val="decimal"/>
      <w:pStyle w:val="7"/>
      <w:suff w:val="nothing"/>
      <w:lvlText w:val="%1.%2.%3.%4 "/>
      <w:lvlJc w:val="left"/>
      <w:pPr>
        <w:ind w:left="166" w:firstLine="402"/>
      </w:pPr>
      <w:rPr>
        <w:rFonts w:hint="eastAsia" w:ascii="宋体" w:hAnsi="宋体" w:eastAsia="宋体" w:cs="宋体"/>
        <w:sz w:val="32"/>
      </w:rPr>
    </w:lvl>
    <w:lvl w:ilvl="4" w:tentative="0">
      <w:start w:val="1"/>
      <w:numFmt w:val="decimal"/>
      <w:suff w:val="nothing"/>
      <w:lvlText w:val="%1.%2.%3.%4.%5 "/>
      <w:lvlJc w:val="left"/>
      <w:pPr>
        <w:ind w:left="0" w:firstLine="402"/>
      </w:pPr>
      <w:rPr>
        <w:rFonts w:ascii="仿宋" w:hAnsi="仿宋" w:eastAsia="仿宋"/>
        <w:color w:val="auto"/>
      </w:rPr>
    </w:lvl>
    <w:lvl w:ilvl="5" w:tentative="0">
      <w:start w:val="1"/>
      <w:numFmt w:val="chineseCounting"/>
      <w:suff w:val="nothing"/>
      <w:lvlText w:val="%6、"/>
      <w:lvlJc w:val="left"/>
      <w:pPr>
        <w:ind w:left="0" w:firstLine="402"/>
      </w:pPr>
      <w:rPr>
        <w:rFonts w:hint="eastAsia" w:ascii="宋体" w:hAnsi="宋体" w:eastAsia="宋体" w:cs="宋体"/>
        <w:sz w:val="32"/>
      </w:rPr>
    </w:lvl>
    <w:lvl w:ilvl="6" w:tentative="0">
      <w:start w:val="1"/>
      <w:numFmt w:val="chineseCounting"/>
      <w:suff w:val="nothing"/>
      <w:lvlText w:val="（%7）"/>
      <w:lvlJc w:val="left"/>
      <w:pPr>
        <w:tabs>
          <w:tab w:val="left" w:pos="0"/>
        </w:tabs>
        <w:ind w:left="0" w:firstLine="402"/>
      </w:pPr>
      <w:rPr>
        <w:rFonts w:hint="eastAsia" w:ascii="宋体" w:hAnsi="宋体" w:eastAsia="仿宋" w:cs="仿宋"/>
        <w:sz w:val="32"/>
        <w:szCs w:val="32"/>
      </w:rPr>
    </w:lvl>
    <w:lvl w:ilvl="7" w:tentative="0">
      <w:start w:val="1"/>
      <w:numFmt w:val="decimal"/>
      <w:suff w:val="nothing"/>
      <w:lvlText w:val="%8、"/>
      <w:lvlJc w:val="left"/>
      <w:pPr>
        <w:ind w:left="0" w:firstLine="402"/>
      </w:pPr>
      <w:rPr>
        <w:rFonts w:hint="eastAsia" w:ascii="宋体" w:hAnsi="宋体" w:eastAsia="仿宋" w:cs="仿宋"/>
        <w:sz w:val="32"/>
        <w:szCs w:val="32"/>
      </w:rPr>
    </w:lvl>
    <w:lvl w:ilvl="8" w:tentative="0">
      <w:start w:val="1"/>
      <w:numFmt w:val="decimal"/>
      <w:suff w:val="nothing"/>
      <w:lvlText w:val="（%9）"/>
      <w:lvlJc w:val="left"/>
      <w:pPr>
        <w:ind w:left="0" w:firstLine="402"/>
      </w:pPr>
      <w:rPr>
        <w:rFonts w:hint="eastAsia" w:ascii="宋体" w:hAnsi="宋体" w:eastAsia="仿宋" w:cs="仿宋"/>
        <w:sz w:val="32"/>
        <w:szCs w:val="30"/>
      </w:rPr>
    </w:lvl>
  </w:abstractNum>
  <w:abstractNum w:abstractNumId="12">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64CC4287"/>
    <w:multiLevelType w:val="multilevel"/>
    <w:tmpl w:val="64CC428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CE6A049"/>
    <w:multiLevelType w:val="singleLevel"/>
    <w:tmpl w:val="6CE6A049"/>
    <w:lvl w:ilvl="0" w:tentative="0">
      <w:start w:val="1"/>
      <w:numFmt w:val="decimal"/>
      <w:lvlText w:val="%1)"/>
      <w:lvlJc w:val="left"/>
      <w:pPr>
        <w:ind w:left="425" w:hanging="425"/>
      </w:pPr>
      <w:rPr>
        <w:rFonts w:hint="default"/>
      </w:rPr>
    </w:lvl>
  </w:abstractNum>
  <w:abstractNum w:abstractNumId="15">
    <w:nsid w:val="7492FF68"/>
    <w:multiLevelType w:val="singleLevel"/>
    <w:tmpl w:val="7492FF68"/>
    <w:lvl w:ilvl="0" w:tentative="0">
      <w:start w:val="1"/>
      <w:numFmt w:val="decimal"/>
      <w:lvlText w:val="%1)"/>
      <w:lvlJc w:val="left"/>
      <w:pPr>
        <w:ind w:left="425" w:hanging="425"/>
      </w:pPr>
      <w:rPr>
        <w:rFonts w:hint="default"/>
      </w:rPr>
    </w:lvl>
  </w:abstractNum>
  <w:num w:numId="1">
    <w:abstractNumId w:val="12"/>
  </w:num>
  <w:num w:numId="2">
    <w:abstractNumId w:val="11"/>
  </w:num>
  <w:num w:numId="3">
    <w:abstractNumId w:val="5"/>
  </w:num>
  <w:num w:numId="4">
    <w:abstractNumId w:val="8"/>
  </w:num>
  <w:num w:numId="5">
    <w:abstractNumId w:val="3"/>
  </w:num>
  <w:num w:numId="6">
    <w:abstractNumId w:val="1"/>
  </w:num>
  <w:num w:numId="7">
    <w:abstractNumId w:val="2"/>
  </w:num>
  <w:num w:numId="8">
    <w:abstractNumId w:val="14"/>
  </w:num>
  <w:num w:numId="9">
    <w:abstractNumId w:val="13"/>
  </w:num>
  <w:num w:numId="10">
    <w:abstractNumId w:val="6"/>
  </w:num>
  <w:num w:numId="11">
    <w:abstractNumId w:val="7"/>
  </w:num>
  <w:num w:numId="12">
    <w:abstractNumId w:val="9"/>
  </w:num>
  <w:num w:numId="13">
    <w:abstractNumId w:val="15"/>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2RjODJjYzljZDg2ZDhmY2UyZWE3NjdhZGIxZTIifQ=="/>
  </w:docVars>
  <w:rsids>
    <w:rsidRoot w:val="00000000"/>
    <w:rsid w:val="00A03EF6"/>
    <w:rsid w:val="011253ED"/>
    <w:rsid w:val="0127533C"/>
    <w:rsid w:val="014063FE"/>
    <w:rsid w:val="01743BCD"/>
    <w:rsid w:val="01E943A0"/>
    <w:rsid w:val="01F14289"/>
    <w:rsid w:val="023F1E8D"/>
    <w:rsid w:val="02987B74"/>
    <w:rsid w:val="02DE116F"/>
    <w:rsid w:val="03461044"/>
    <w:rsid w:val="03600692"/>
    <w:rsid w:val="03EE0548"/>
    <w:rsid w:val="0423282F"/>
    <w:rsid w:val="04261197"/>
    <w:rsid w:val="045F1328"/>
    <w:rsid w:val="04EF43C3"/>
    <w:rsid w:val="051A45A5"/>
    <w:rsid w:val="052676B9"/>
    <w:rsid w:val="05341DD6"/>
    <w:rsid w:val="057B7779"/>
    <w:rsid w:val="05A817C7"/>
    <w:rsid w:val="05EB3658"/>
    <w:rsid w:val="0607573C"/>
    <w:rsid w:val="06451036"/>
    <w:rsid w:val="066A07F6"/>
    <w:rsid w:val="06972CB9"/>
    <w:rsid w:val="06D063AD"/>
    <w:rsid w:val="06EC0991"/>
    <w:rsid w:val="078B414B"/>
    <w:rsid w:val="08680770"/>
    <w:rsid w:val="0878022B"/>
    <w:rsid w:val="097C0DD5"/>
    <w:rsid w:val="0992271F"/>
    <w:rsid w:val="0A0054EC"/>
    <w:rsid w:val="0A0707F3"/>
    <w:rsid w:val="0A3A0820"/>
    <w:rsid w:val="0A754F30"/>
    <w:rsid w:val="0AB061A6"/>
    <w:rsid w:val="0AFD5216"/>
    <w:rsid w:val="0B13248D"/>
    <w:rsid w:val="0BB62933"/>
    <w:rsid w:val="0D095D38"/>
    <w:rsid w:val="0D5374B9"/>
    <w:rsid w:val="0D7F3BC3"/>
    <w:rsid w:val="0DC91529"/>
    <w:rsid w:val="0DE27F59"/>
    <w:rsid w:val="0EAA4EB7"/>
    <w:rsid w:val="10090303"/>
    <w:rsid w:val="1075670C"/>
    <w:rsid w:val="10C41719"/>
    <w:rsid w:val="114F1075"/>
    <w:rsid w:val="11DA760C"/>
    <w:rsid w:val="123B70E1"/>
    <w:rsid w:val="132D7F73"/>
    <w:rsid w:val="138A236F"/>
    <w:rsid w:val="13D55A3A"/>
    <w:rsid w:val="143E6B52"/>
    <w:rsid w:val="14860885"/>
    <w:rsid w:val="152666EB"/>
    <w:rsid w:val="15B0291D"/>
    <w:rsid w:val="166234DA"/>
    <w:rsid w:val="166B1EB3"/>
    <w:rsid w:val="1672707D"/>
    <w:rsid w:val="168C26D9"/>
    <w:rsid w:val="17291641"/>
    <w:rsid w:val="17583772"/>
    <w:rsid w:val="17A35B91"/>
    <w:rsid w:val="19297FBA"/>
    <w:rsid w:val="196A1DF5"/>
    <w:rsid w:val="19A5109C"/>
    <w:rsid w:val="19D228DD"/>
    <w:rsid w:val="1A2E068D"/>
    <w:rsid w:val="1A750972"/>
    <w:rsid w:val="1AFF47DC"/>
    <w:rsid w:val="1C3E30E2"/>
    <w:rsid w:val="1D4D5CD3"/>
    <w:rsid w:val="1D697FFB"/>
    <w:rsid w:val="1DA818E9"/>
    <w:rsid w:val="1E6037E4"/>
    <w:rsid w:val="1E9F21D9"/>
    <w:rsid w:val="1EEB78D1"/>
    <w:rsid w:val="1F1D7927"/>
    <w:rsid w:val="1F517F08"/>
    <w:rsid w:val="21265A83"/>
    <w:rsid w:val="217D2C59"/>
    <w:rsid w:val="219C7A82"/>
    <w:rsid w:val="22336FD0"/>
    <w:rsid w:val="22763F86"/>
    <w:rsid w:val="2282046F"/>
    <w:rsid w:val="22A531AF"/>
    <w:rsid w:val="22AD7579"/>
    <w:rsid w:val="22FB3ADB"/>
    <w:rsid w:val="23280546"/>
    <w:rsid w:val="23CE0398"/>
    <w:rsid w:val="2435301D"/>
    <w:rsid w:val="249D28EA"/>
    <w:rsid w:val="24A217AC"/>
    <w:rsid w:val="25555692"/>
    <w:rsid w:val="261E4821"/>
    <w:rsid w:val="2657371E"/>
    <w:rsid w:val="26F24174"/>
    <w:rsid w:val="275730FB"/>
    <w:rsid w:val="27FF7BCA"/>
    <w:rsid w:val="2811215A"/>
    <w:rsid w:val="286B6747"/>
    <w:rsid w:val="28CA467C"/>
    <w:rsid w:val="2A2A100A"/>
    <w:rsid w:val="2A89210A"/>
    <w:rsid w:val="2BDF304C"/>
    <w:rsid w:val="2C781ABD"/>
    <w:rsid w:val="2C8F358A"/>
    <w:rsid w:val="2D4D13D7"/>
    <w:rsid w:val="2DC31699"/>
    <w:rsid w:val="2DD916A2"/>
    <w:rsid w:val="2DE27D71"/>
    <w:rsid w:val="2E5B1E5B"/>
    <w:rsid w:val="2E9B1008"/>
    <w:rsid w:val="2EA43279"/>
    <w:rsid w:val="2FE61DBA"/>
    <w:rsid w:val="30875B23"/>
    <w:rsid w:val="308B0C61"/>
    <w:rsid w:val="321414D9"/>
    <w:rsid w:val="336E6D90"/>
    <w:rsid w:val="33850F4D"/>
    <w:rsid w:val="33FA74A0"/>
    <w:rsid w:val="341B5D8B"/>
    <w:rsid w:val="343F13B3"/>
    <w:rsid w:val="34DD5737"/>
    <w:rsid w:val="356C0B65"/>
    <w:rsid w:val="356D4F9D"/>
    <w:rsid w:val="35D46B3A"/>
    <w:rsid w:val="36FD1E72"/>
    <w:rsid w:val="36FD5C1C"/>
    <w:rsid w:val="376E2676"/>
    <w:rsid w:val="37E17DF3"/>
    <w:rsid w:val="37E50D7B"/>
    <w:rsid w:val="38184C9F"/>
    <w:rsid w:val="381F6FED"/>
    <w:rsid w:val="38B02BEC"/>
    <w:rsid w:val="398B6A0E"/>
    <w:rsid w:val="3A107C7D"/>
    <w:rsid w:val="3A69122A"/>
    <w:rsid w:val="3AD9074E"/>
    <w:rsid w:val="3B084520"/>
    <w:rsid w:val="3B0C0B24"/>
    <w:rsid w:val="3B391B6E"/>
    <w:rsid w:val="3B8E778B"/>
    <w:rsid w:val="3BB407A9"/>
    <w:rsid w:val="3BD553B9"/>
    <w:rsid w:val="3C113CD9"/>
    <w:rsid w:val="3C4A1903"/>
    <w:rsid w:val="3C6B187A"/>
    <w:rsid w:val="3CCB40C7"/>
    <w:rsid w:val="3EB017C6"/>
    <w:rsid w:val="3ED20976"/>
    <w:rsid w:val="3F0001F0"/>
    <w:rsid w:val="3F1112EF"/>
    <w:rsid w:val="3F2C03A4"/>
    <w:rsid w:val="3F5F5F51"/>
    <w:rsid w:val="400B43A9"/>
    <w:rsid w:val="402823FA"/>
    <w:rsid w:val="406678FD"/>
    <w:rsid w:val="40B97058"/>
    <w:rsid w:val="410B1343"/>
    <w:rsid w:val="41AF7854"/>
    <w:rsid w:val="42166F21"/>
    <w:rsid w:val="42225066"/>
    <w:rsid w:val="42C615B8"/>
    <w:rsid w:val="42EE07AD"/>
    <w:rsid w:val="434B5F61"/>
    <w:rsid w:val="4382241E"/>
    <w:rsid w:val="43FD4508"/>
    <w:rsid w:val="44B168B7"/>
    <w:rsid w:val="4553354C"/>
    <w:rsid w:val="457049AA"/>
    <w:rsid w:val="45A858ED"/>
    <w:rsid w:val="45CB55A9"/>
    <w:rsid w:val="464B696B"/>
    <w:rsid w:val="46705B6E"/>
    <w:rsid w:val="46A079EF"/>
    <w:rsid w:val="46BE0E3A"/>
    <w:rsid w:val="46E155B0"/>
    <w:rsid w:val="47402F6C"/>
    <w:rsid w:val="475E5F34"/>
    <w:rsid w:val="477B0FC9"/>
    <w:rsid w:val="478F0B12"/>
    <w:rsid w:val="482F234C"/>
    <w:rsid w:val="483570C7"/>
    <w:rsid w:val="48932250"/>
    <w:rsid w:val="48CE4A08"/>
    <w:rsid w:val="48E977A7"/>
    <w:rsid w:val="48FE2827"/>
    <w:rsid w:val="49532430"/>
    <w:rsid w:val="495E7887"/>
    <w:rsid w:val="49CE0465"/>
    <w:rsid w:val="4A0818C7"/>
    <w:rsid w:val="4A1C1CCC"/>
    <w:rsid w:val="4AA27E88"/>
    <w:rsid w:val="4B0B6308"/>
    <w:rsid w:val="4B31015E"/>
    <w:rsid w:val="4B981449"/>
    <w:rsid w:val="4C95608F"/>
    <w:rsid w:val="4C9A62ED"/>
    <w:rsid w:val="4DC8350E"/>
    <w:rsid w:val="4EB26E94"/>
    <w:rsid w:val="4F29021D"/>
    <w:rsid w:val="4F937473"/>
    <w:rsid w:val="4FA24BF5"/>
    <w:rsid w:val="5034536B"/>
    <w:rsid w:val="50704D97"/>
    <w:rsid w:val="515E5522"/>
    <w:rsid w:val="51881C90"/>
    <w:rsid w:val="52FA5255"/>
    <w:rsid w:val="53E53868"/>
    <w:rsid w:val="53E775E0"/>
    <w:rsid w:val="53ED65B4"/>
    <w:rsid w:val="5431707B"/>
    <w:rsid w:val="549827A5"/>
    <w:rsid w:val="54DC110F"/>
    <w:rsid w:val="555962BC"/>
    <w:rsid w:val="568030EB"/>
    <w:rsid w:val="56B70B57"/>
    <w:rsid w:val="56C1794F"/>
    <w:rsid w:val="56E651BF"/>
    <w:rsid w:val="570729A7"/>
    <w:rsid w:val="576314C2"/>
    <w:rsid w:val="57BC514C"/>
    <w:rsid w:val="5811351D"/>
    <w:rsid w:val="5860115B"/>
    <w:rsid w:val="58FA7830"/>
    <w:rsid w:val="58FC2836"/>
    <w:rsid w:val="591E5902"/>
    <w:rsid w:val="592F4388"/>
    <w:rsid w:val="59442646"/>
    <w:rsid w:val="594768AA"/>
    <w:rsid w:val="597E7AAD"/>
    <w:rsid w:val="5AB755EA"/>
    <w:rsid w:val="5BD21AEB"/>
    <w:rsid w:val="5F401AAA"/>
    <w:rsid w:val="5F924135"/>
    <w:rsid w:val="6057789C"/>
    <w:rsid w:val="60A36B31"/>
    <w:rsid w:val="60D76B6F"/>
    <w:rsid w:val="60F2314A"/>
    <w:rsid w:val="619D1D0C"/>
    <w:rsid w:val="619F73C4"/>
    <w:rsid w:val="61E436D4"/>
    <w:rsid w:val="62682234"/>
    <w:rsid w:val="62B756D7"/>
    <w:rsid w:val="62F53E39"/>
    <w:rsid w:val="638B451E"/>
    <w:rsid w:val="6427035F"/>
    <w:rsid w:val="64B51A77"/>
    <w:rsid w:val="65242442"/>
    <w:rsid w:val="657F58CB"/>
    <w:rsid w:val="663F7B10"/>
    <w:rsid w:val="679445D1"/>
    <w:rsid w:val="679672C1"/>
    <w:rsid w:val="687946E0"/>
    <w:rsid w:val="69881D9D"/>
    <w:rsid w:val="6A9870E6"/>
    <w:rsid w:val="6ACD1262"/>
    <w:rsid w:val="6B787938"/>
    <w:rsid w:val="6BAB08DB"/>
    <w:rsid w:val="6C7A6ECC"/>
    <w:rsid w:val="6CA67BE1"/>
    <w:rsid w:val="6D5A1B29"/>
    <w:rsid w:val="6DD34202"/>
    <w:rsid w:val="6E336105"/>
    <w:rsid w:val="6E9A1CC0"/>
    <w:rsid w:val="6EC24B65"/>
    <w:rsid w:val="6EE64C0C"/>
    <w:rsid w:val="6F8200E3"/>
    <w:rsid w:val="6FCF56DC"/>
    <w:rsid w:val="6FEE53F6"/>
    <w:rsid w:val="70072EB6"/>
    <w:rsid w:val="700A4CBF"/>
    <w:rsid w:val="70377C5F"/>
    <w:rsid w:val="706349A0"/>
    <w:rsid w:val="71F879E2"/>
    <w:rsid w:val="720E4841"/>
    <w:rsid w:val="73000E9D"/>
    <w:rsid w:val="736667A4"/>
    <w:rsid w:val="7367736B"/>
    <w:rsid w:val="73816CB2"/>
    <w:rsid w:val="747B79A2"/>
    <w:rsid w:val="74972A86"/>
    <w:rsid w:val="74C121FE"/>
    <w:rsid w:val="75674340"/>
    <w:rsid w:val="75A80B7E"/>
    <w:rsid w:val="76680CF1"/>
    <w:rsid w:val="766F483B"/>
    <w:rsid w:val="769A37B6"/>
    <w:rsid w:val="76F71AE9"/>
    <w:rsid w:val="77133CA5"/>
    <w:rsid w:val="77400C32"/>
    <w:rsid w:val="77871D3A"/>
    <w:rsid w:val="77F819A6"/>
    <w:rsid w:val="78A802C7"/>
    <w:rsid w:val="78CF1B97"/>
    <w:rsid w:val="79D42231"/>
    <w:rsid w:val="7A7A0371"/>
    <w:rsid w:val="7B3D3DD4"/>
    <w:rsid w:val="7B685C34"/>
    <w:rsid w:val="7BB02821"/>
    <w:rsid w:val="7C744059"/>
    <w:rsid w:val="7C9A2630"/>
    <w:rsid w:val="7D0050EB"/>
    <w:rsid w:val="7D052701"/>
    <w:rsid w:val="7D1321CD"/>
    <w:rsid w:val="7E3016F3"/>
    <w:rsid w:val="7F4A52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color w:val="000000"/>
      <w:sz w:val="21"/>
      <w:szCs w:val="21"/>
      <w:lang w:val="en-US" w:eastAsia="zh-CN" w:bidi="ar-SA"/>
    </w:rPr>
  </w:style>
  <w:style w:type="paragraph" w:styleId="4">
    <w:name w:val="heading 1"/>
    <w:basedOn w:val="1"/>
    <w:next w:val="1"/>
    <w:link w:val="41"/>
    <w:qFormat/>
    <w:uiPriority w:val="0"/>
    <w:pPr>
      <w:keepNext/>
      <w:keepLines/>
      <w:spacing w:before="340" w:after="330" w:line="578" w:lineRule="auto"/>
      <w:outlineLvl w:val="0"/>
    </w:pPr>
    <w:rPr>
      <w:b/>
      <w:kern w:val="44"/>
      <w:sz w:val="44"/>
    </w:rPr>
  </w:style>
  <w:style w:type="paragraph" w:styleId="5">
    <w:name w:val="heading 2"/>
    <w:basedOn w:val="1"/>
    <w:next w:val="1"/>
    <w:link w:val="53"/>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paragraph" w:styleId="6">
    <w:name w:val="heading 3"/>
    <w:basedOn w:val="1"/>
    <w:next w:val="1"/>
    <w:qFormat/>
    <w:uiPriority w:val="9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1"/>
    <w:qFormat/>
    <w:uiPriority w:val="9"/>
    <w:pPr>
      <w:keepNext/>
      <w:keepLines/>
      <w:numPr>
        <w:ilvl w:val="3"/>
        <w:numId w:val="2"/>
      </w:numPr>
      <w:spacing w:before="200"/>
      <w:ind w:firstLine="0" w:firstLineChars="0"/>
      <w:outlineLvl w:val="3"/>
    </w:pPr>
    <w:rPr>
      <w:rFonts w:ascii="Arial" w:hAnsi="Arial"/>
    </w:rPr>
  </w:style>
  <w:style w:type="character" w:default="1" w:styleId="36">
    <w:name w:val="Default Paragraph Font"/>
    <w:unhideWhenUsed/>
    <w:qFormat/>
    <w:uiPriority w:val="1"/>
  </w:style>
  <w:style w:type="table" w:default="1" w:styleId="34">
    <w:name w:val="Normal Table"/>
    <w:unhideWhenUsed/>
    <w:qFormat/>
    <w:uiPriority w:val="99"/>
    <w:tblPr>
      <w:tblStyle w:val="34"/>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TOC 71"/>
    <w:next w:val="1"/>
    <w:qFormat/>
    <w:uiPriority w:val="0"/>
    <w:pPr>
      <w:wordWrap w:val="0"/>
      <w:ind w:left="2550"/>
      <w:jc w:val="both"/>
    </w:pPr>
    <w:rPr>
      <w:sz w:val="21"/>
      <w:szCs w:val="22"/>
      <w:lang w:val="en-US" w:eastAsia="zh-CN" w:bidi="ar-SA"/>
    </w:rPr>
  </w:style>
  <w:style w:type="paragraph" w:styleId="8">
    <w:name w:val="table of authorities"/>
    <w:basedOn w:val="1"/>
    <w:next w:val="1"/>
    <w:unhideWhenUsed/>
    <w:qFormat/>
    <w:uiPriority w:val="99"/>
    <w:pPr>
      <w:ind w:left="420" w:leftChars="200"/>
    </w:pPr>
  </w:style>
  <w:style w:type="paragraph" w:styleId="9">
    <w:name w:val="List Number"/>
    <w:basedOn w:val="1"/>
    <w:qFormat/>
    <w:uiPriority w:val="0"/>
    <w:pPr>
      <w:widowControl/>
      <w:tabs>
        <w:tab w:val="left" w:pos="360"/>
        <w:tab w:val="left" w:pos="720"/>
      </w:tabs>
      <w:autoSpaceDE/>
      <w:autoSpaceDN/>
      <w:adjustRightInd/>
      <w:spacing w:afterLines="50"/>
      <w:ind w:left="360" w:hanging="360"/>
      <w:jc w:val="left"/>
    </w:pPr>
    <w:rPr>
      <w:color w:val="auto"/>
      <w:sz w:val="24"/>
      <w:szCs w:val="20"/>
    </w:rPr>
  </w:style>
  <w:style w:type="paragraph" w:styleId="10">
    <w:name w:val="Normal Indent"/>
    <w:basedOn w:val="1"/>
    <w:next w:val="11"/>
    <w:link w:val="43"/>
    <w:qFormat/>
    <w:uiPriority w:val="0"/>
    <w:pPr>
      <w:autoSpaceDE/>
      <w:autoSpaceDN/>
      <w:adjustRightInd/>
      <w:ind w:firstLine="420"/>
    </w:pPr>
    <w:rPr>
      <w:color w:val="auto"/>
      <w:kern w:val="2"/>
      <w:szCs w:val="20"/>
    </w:rPr>
  </w:style>
  <w:style w:type="paragraph" w:styleId="11">
    <w:name w:val="Body Text Indent"/>
    <w:basedOn w:val="1"/>
    <w:next w:val="10"/>
    <w:link w:val="44"/>
    <w:qFormat/>
    <w:uiPriority w:val="0"/>
    <w:pPr>
      <w:spacing w:after="120"/>
      <w:ind w:left="420" w:leftChars="200"/>
    </w:pPr>
  </w:style>
  <w:style w:type="paragraph" w:styleId="12">
    <w:name w:val="index 5"/>
    <w:basedOn w:val="1"/>
    <w:next w:val="1"/>
    <w:qFormat/>
    <w:uiPriority w:val="0"/>
    <w:pPr>
      <w:ind w:left="800" w:leftChars="800"/>
    </w:pPr>
  </w:style>
  <w:style w:type="paragraph" w:styleId="13">
    <w:name w:val="annotation text"/>
    <w:basedOn w:val="1"/>
    <w:unhideWhenUsed/>
    <w:qFormat/>
    <w:uiPriority w:val="0"/>
  </w:style>
  <w:style w:type="paragraph" w:styleId="14">
    <w:name w:val="Body Text 3"/>
    <w:basedOn w:val="1"/>
    <w:unhideWhenUsed/>
    <w:qFormat/>
    <w:uiPriority w:val="99"/>
    <w:pPr>
      <w:spacing w:after="120"/>
    </w:pPr>
    <w:rPr>
      <w:sz w:val="16"/>
      <w:szCs w:val="16"/>
    </w:rPr>
  </w:style>
  <w:style w:type="paragraph" w:styleId="15">
    <w:name w:val="Body Text"/>
    <w:basedOn w:val="1"/>
    <w:next w:val="1"/>
    <w:link w:val="45"/>
    <w:qFormat/>
    <w:uiPriority w:val="0"/>
    <w:pPr>
      <w:spacing w:after="120"/>
    </w:pPr>
  </w:style>
  <w:style w:type="paragraph" w:styleId="16">
    <w:name w:val="List Number 3"/>
    <w:basedOn w:val="1"/>
    <w:qFormat/>
    <w:uiPriority w:val="0"/>
    <w:pPr>
      <w:tabs>
        <w:tab w:val="left" w:pos="1200"/>
      </w:tabs>
      <w:ind w:left="1200" w:leftChars="400" w:hanging="360" w:hangingChars="200"/>
    </w:pPr>
  </w:style>
  <w:style w:type="paragraph" w:styleId="17">
    <w:name w:val="Block Text"/>
    <w:basedOn w:val="1"/>
    <w:qFormat/>
    <w:uiPriority w:val="99"/>
    <w:pPr>
      <w:spacing w:after="120"/>
      <w:ind w:left="1440" w:leftChars="700" w:right="1440" w:rightChars="700"/>
    </w:pPr>
  </w:style>
  <w:style w:type="paragraph" w:styleId="18">
    <w:name w:val="Plain Text"/>
    <w:basedOn w:val="1"/>
    <w:next w:val="1"/>
    <w:link w:val="46"/>
    <w:qFormat/>
    <w:uiPriority w:val="0"/>
    <w:pPr>
      <w:autoSpaceDE/>
      <w:autoSpaceDN/>
      <w:adjustRightInd/>
    </w:pPr>
    <w:rPr>
      <w:color w:val="auto"/>
      <w:kern w:val="2"/>
      <w:sz w:val="24"/>
      <w:szCs w:val="20"/>
    </w:rPr>
  </w:style>
  <w:style w:type="paragraph" w:styleId="19">
    <w:name w:val="Date"/>
    <w:basedOn w:val="1"/>
    <w:next w:val="1"/>
    <w:link w:val="47"/>
    <w:qFormat/>
    <w:uiPriority w:val="0"/>
    <w:pPr>
      <w:ind w:left="100" w:leftChars="2500"/>
    </w:pPr>
  </w:style>
  <w:style w:type="paragraph" w:styleId="20">
    <w:name w:val="Body Text Indent 2"/>
    <w:basedOn w:val="1"/>
    <w:uiPriority w:val="0"/>
    <w:pPr>
      <w:spacing w:after="120" w:afterLines="0" w:line="480" w:lineRule="auto"/>
      <w:ind w:left="420" w:leftChars="200"/>
    </w:pPr>
  </w:style>
  <w:style w:type="paragraph" w:styleId="21">
    <w:name w:val="Balloon Text"/>
    <w:basedOn w:val="1"/>
    <w:link w:val="48"/>
    <w:unhideWhenUsed/>
    <w:qFormat/>
    <w:uiPriority w:val="99"/>
    <w:rPr>
      <w:sz w:val="18"/>
      <w:szCs w:val="18"/>
    </w:rPr>
  </w:style>
  <w:style w:type="paragraph" w:styleId="22">
    <w:name w:val="footer"/>
    <w:basedOn w:val="1"/>
    <w:link w:val="49"/>
    <w:qFormat/>
    <w:uiPriority w:val="0"/>
    <w:pPr>
      <w:tabs>
        <w:tab w:val="center" w:pos="4153"/>
        <w:tab w:val="right" w:pos="8306"/>
      </w:tabs>
      <w:snapToGrid w:val="0"/>
      <w:jc w:val="left"/>
    </w:pPr>
    <w:rPr>
      <w:sz w:val="18"/>
      <w:szCs w:val="18"/>
    </w:rPr>
  </w:style>
  <w:style w:type="paragraph" w:styleId="2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qFormat/>
    <w:uiPriority w:val="99"/>
    <w:pPr>
      <w:jc w:val="left"/>
    </w:pPr>
    <w:rPr>
      <w:kern w:val="1"/>
      <w:sz w:val="18"/>
    </w:rPr>
  </w:style>
  <w:style w:type="paragraph" w:styleId="25">
    <w:name w:val="toc 6"/>
    <w:basedOn w:val="1"/>
    <w:next w:val="1"/>
    <w:unhideWhenUsed/>
    <w:qFormat/>
    <w:uiPriority w:val="39"/>
    <w:pPr>
      <w:ind w:left="2100" w:leftChars="1000"/>
    </w:pPr>
    <w:rPr>
      <w:rFonts w:ascii="Calibri" w:hAnsi="Calibri" w:eastAsia="宋体" w:cs="Times New Roman"/>
      <w:szCs w:val="22"/>
    </w:rPr>
  </w:style>
  <w:style w:type="paragraph" w:styleId="26">
    <w:name w:val="Body Text Indent 3"/>
    <w:basedOn w:val="1"/>
    <w:link w:val="51"/>
    <w:qFormat/>
    <w:uiPriority w:val="0"/>
    <w:pPr>
      <w:autoSpaceDE/>
      <w:autoSpaceDN/>
      <w:adjustRightInd/>
      <w:ind w:firstLine="435"/>
    </w:pPr>
    <w:rPr>
      <w:color w:val="auto"/>
      <w:kern w:val="2"/>
      <w:szCs w:val="24"/>
    </w:rPr>
  </w:style>
  <w:style w:type="paragraph" w:styleId="27">
    <w:name w:val="index 7"/>
    <w:basedOn w:val="1"/>
    <w:next w:val="1"/>
    <w:qFormat/>
    <w:uiPriority w:val="0"/>
    <w:pPr>
      <w:autoSpaceDE/>
      <w:autoSpaceDN/>
      <w:adjustRightInd/>
      <w:ind w:left="1200" w:leftChars="1200"/>
    </w:pPr>
    <w:rPr>
      <w:rFonts w:ascii="Times New Roman" w:hAnsi="Times New Roman" w:eastAsia="宋体" w:cs="Times New Roman"/>
      <w:color w:val="auto"/>
      <w:kern w:val="2"/>
      <w:szCs w:val="24"/>
    </w:rPr>
  </w:style>
  <w:style w:type="paragraph" w:styleId="28">
    <w:name w:val="toc 2"/>
    <w:basedOn w:val="1"/>
    <w:next w:val="1"/>
    <w:unhideWhenUsed/>
    <w:qFormat/>
    <w:uiPriority w:val="0"/>
    <w:pPr>
      <w:widowControl/>
      <w:autoSpaceDE/>
      <w:autoSpaceDN/>
      <w:adjustRightInd/>
      <w:ind w:left="420" w:leftChars="200"/>
    </w:pPr>
    <w:rPr>
      <w:rFonts w:ascii="等线" w:hAnsi="宋体" w:cs="等线"/>
      <w:color w:val="auto"/>
      <w:kern w:val="2"/>
    </w:rPr>
  </w:style>
  <w:style w:type="paragraph" w:styleId="29">
    <w:name w:val="Body Text 2"/>
    <w:basedOn w:val="1"/>
    <w:link w:val="52"/>
    <w:qFormat/>
    <w:uiPriority w:val="0"/>
    <w:pPr>
      <w:spacing w:after="120" w:line="480" w:lineRule="auto"/>
    </w:pPr>
  </w:style>
  <w:style w:type="paragraph" w:styleId="30">
    <w:name w:val="HTML Preformatted"/>
    <w:basedOn w:val="1"/>
    <w:qFormat/>
    <w:uiPriority w:val="99"/>
    <w:pPr>
      <w:spacing w:line="360" w:lineRule="auto"/>
    </w:pPr>
    <w:rPr>
      <w:rFonts w:ascii="Courier New" w:hAnsi="Courier New"/>
      <w:kern w:val="0"/>
      <w:sz w:val="20"/>
      <w:szCs w:val="20"/>
    </w:rPr>
  </w:style>
  <w:style w:type="paragraph" w:styleId="31">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32">
    <w:name w:val="Body Text First Indent"/>
    <w:basedOn w:val="15"/>
    <w:next w:val="25"/>
    <w:qFormat/>
    <w:uiPriority w:val="0"/>
    <w:pPr>
      <w:autoSpaceDE/>
      <w:autoSpaceDN/>
      <w:adjustRightInd/>
      <w:ind w:firstLine="420" w:firstLineChars="100"/>
    </w:pPr>
    <w:rPr>
      <w:rFonts w:ascii="Calibri" w:hAnsi="Calibri"/>
      <w:color w:val="auto"/>
      <w:kern w:val="2"/>
      <w:szCs w:val="24"/>
      <w:lang w:val="en-US" w:eastAsia="zh-CN"/>
    </w:rPr>
  </w:style>
  <w:style w:type="paragraph" w:styleId="33">
    <w:name w:val="Body Text First Indent 2"/>
    <w:basedOn w:val="11"/>
    <w:next w:val="1"/>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35">
    <w:name w:val="Table Grid"/>
    <w:basedOn w:val="34"/>
    <w:qFormat/>
    <w:uiPriority w:val="0"/>
    <w:pPr>
      <w:widowControl w:val="0"/>
      <w:jc w:val="both"/>
    </w:pPr>
    <w:tblPr>
      <w:tblStyle w:val="3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unhideWhenUsed/>
    <w:uiPriority w:val="99"/>
    <w:rPr>
      <w:color w:val="800080"/>
      <w:u w:val="none"/>
    </w:rPr>
  </w:style>
  <w:style w:type="character" w:styleId="40">
    <w:name w:val="Hyperlink"/>
    <w:qFormat/>
    <w:uiPriority w:val="0"/>
    <w:rPr>
      <w:color w:val="0000FF"/>
      <w:u w:val="none"/>
    </w:rPr>
  </w:style>
  <w:style w:type="character" w:customStyle="1" w:styleId="41">
    <w:name w:val="标题 1 字符"/>
    <w:link w:val="4"/>
    <w:qFormat/>
    <w:uiPriority w:val="0"/>
    <w:rPr>
      <w:rFonts w:ascii="Times New Roman" w:hAnsi="Times New Roman" w:eastAsia="宋体" w:cs="Times New Roman"/>
      <w:b/>
      <w:color w:val="000000"/>
      <w:kern w:val="44"/>
      <w:sz w:val="44"/>
      <w:szCs w:val="21"/>
    </w:rPr>
  </w:style>
  <w:style w:type="character" w:customStyle="1" w:styleId="42">
    <w:name w:val="标题 2 字符"/>
    <w:link w:val="5"/>
    <w:qFormat/>
    <w:uiPriority w:val="0"/>
    <w:rPr>
      <w:rFonts w:ascii="Arial" w:hAnsi="Arial" w:eastAsia="黑体" w:cs="Times New Roman"/>
      <w:b/>
      <w:bCs/>
      <w:sz w:val="32"/>
      <w:szCs w:val="32"/>
    </w:rPr>
  </w:style>
  <w:style w:type="character" w:customStyle="1" w:styleId="43">
    <w:name w:val="正文缩进 字符"/>
    <w:link w:val="10"/>
    <w:qFormat/>
    <w:uiPriority w:val="0"/>
    <w:rPr>
      <w:rFonts w:ascii="Times New Roman" w:hAnsi="Times New Roman" w:eastAsia="宋体" w:cs="Times New Roman"/>
      <w:szCs w:val="20"/>
    </w:rPr>
  </w:style>
  <w:style w:type="character" w:customStyle="1" w:styleId="44">
    <w:name w:val="正文文本缩进 字符"/>
    <w:link w:val="11"/>
    <w:qFormat/>
    <w:uiPriority w:val="0"/>
    <w:rPr>
      <w:rFonts w:ascii="Times New Roman" w:hAnsi="Times New Roman" w:eastAsia="宋体" w:cs="Times New Roman"/>
      <w:color w:val="000000"/>
      <w:kern w:val="0"/>
      <w:szCs w:val="21"/>
    </w:rPr>
  </w:style>
  <w:style w:type="character" w:customStyle="1" w:styleId="45">
    <w:name w:val="正文文本 字符"/>
    <w:link w:val="15"/>
    <w:qFormat/>
    <w:uiPriority w:val="0"/>
    <w:rPr>
      <w:rFonts w:ascii="Times New Roman" w:hAnsi="Times New Roman" w:eastAsia="宋体" w:cs="Times New Roman"/>
      <w:color w:val="000000"/>
      <w:kern w:val="0"/>
      <w:szCs w:val="21"/>
    </w:rPr>
  </w:style>
  <w:style w:type="character" w:customStyle="1" w:styleId="46">
    <w:name w:val="纯文本 字符"/>
    <w:link w:val="18"/>
    <w:qFormat/>
    <w:locked/>
    <w:uiPriority w:val="0"/>
    <w:rPr>
      <w:rFonts w:ascii="Times New Roman" w:hAnsi="Times New Roman" w:eastAsia="宋体" w:cs="Times New Roman"/>
      <w:sz w:val="24"/>
      <w:szCs w:val="20"/>
    </w:rPr>
  </w:style>
  <w:style w:type="character" w:customStyle="1" w:styleId="47">
    <w:name w:val="日期 字符"/>
    <w:link w:val="19"/>
    <w:qFormat/>
    <w:uiPriority w:val="0"/>
    <w:rPr>
      <w:rFonts w:ascii="Times New Roman" w:hAnsi="Times New Roman" w:eastAsia="宋体" w:cs="Times New Roman"/>
      <w:color w:val="000000"/>
      <w:kern w:val="0"/>
      <w:szCs w:val="21"/>
    </w:rPr>
  </w:style>
  <w:style w:type="character" w:customStyle="1" w:styleId="48">
    <w:name w:val="批注框文本 字符"/>
    <w:link w:val="21"/>
    <w:semiHidden/>
    <w:qFormat/>
    <w:uiPriority w:val="99"/>
    <w:rPr>
      <w:rFonts w:ascii="Times New Roman" w:hAnsi="Times New Roman" w:eastAsia="宋体" w:cs="Times New Roman"/>
      <w:color w:val="000000"/>
      <w:kern w:val="0"/>
      <w:sz w:val="18"/>
      <w:szCs w:val="18"/>
    </w:rPr>
  </w:style>
  <w:style w:type="character" w:customStyle="1" w:styleId="49">
    <w:name w:val="页脚 字符"/>
    <w:link w:val="22"/>
    <w:qFormat/>
    <w:uiPriority w:val="0"/>
    <w:rPr>
      <w:rFonts w:ascii="Times New Roman" w:hAnsi="Times New Roman" w:eastAsia="宋体" w:cs="Times New Roman"/>
      <w:color w:val="000000"/>
      <w:kern w:val="0"/>
      <w:sz w:val="18"/>
      <w:szCs w:val="18"/>
    </w:rPr>
  </w:style>
  <w:style w:type="character" w:customStyle="1" w:styleId="50">
    <w:name w:val="页眉 字符"/>
    <w:link w:val="23"/>
    <w:qFormat/>
    <w:uiPriority w:val="0"/>
    <w:rPr>
      <w:rFonts w:ascii="Times New Roman" w:hAnsi="Times New Roman" w:eastAsia="宋体" w:cs="Times New Roman"/>
      <w:color w:val="000000"/>
      <w:kern w:val="0"/>
      <w:sz w:val="18"/>
      <w:szCs w:val="18"/>
    </w:rPr>
  </w:style>
  <w:style w:type="character" w:customStyle="1" w:styleId="51">
    <w:name w:val="正文文本缩进 3 字符"/>
    <w:link w:val="26"/>
    <w:qFormat/>
    <w:uiPriority w:val="0"/>
    <w:rPr>
      <w:rFonts w:ascii="Times New Roman" w:hAnsi="Times New Roman" w:eastAsia="宋体" w:cs="Times New Roman"/>
      <w:szCs w:val="24"/>
    </w:rPr>
  </w:style>
  <w:style w:type="character" w:customStyle="1" w:styleId="52">
    <w:name w:val="正文文本 2 字符"/>
    <w:link w:val="29"/>
    <w:qFormat/>
    <w:uiPriority w:val="0"/>
    <w:rPr>
      <w:rFonts w:ascii="Times New Roman" w:hAnsi="Times New Roman" w:eastAsia="宋体" w:cs="Times New Roman"/>
      <w:color w:val="000000"/>
      <w:kern w:val="0"/>
      <w:szCs w:val="21"/>
    </w:rPr>
  </w:style>
  <w:style w:type="character" w:customStyle="1" w:styleId="53">
    <w:name w:val="标题 2 字符1"/>
    <w:link w:val="5"/>
    <w:qFormat/>
    <w:uiPriority w:val="0"/>
    <w:rPr>
      <w:rFonts w:ascii="仿宋_GB2312" w:hAnsi="仿宋_GB2312" w:eastAsia="宋体"/>
      <w:sz w:val="28"/>
      <w:szCs w:val="32"/>
      <w:lang w:val="zh-CN"/>
    </w:rPr>
  </w:style>
  <w:style w:type="paragraph" w:customStyle="1" w:styleId="54">
    <w:name w:val="HTZH-正文格式"/>
    <w:basedOn w:val="1"/>
    <w:qFormat/>
    <w:uiPriority w:val="0"/>
    <w:pPr>
      <w:ind w:firstLine="560"/>
    </w:pPr>
    <w:rPr>
      <w:rFonts w:ascii="Times New Roman" w:hAnsi="Times New Roman"/>
      <w:kern w:val="0"/>
      <w:szCs w:val="20"/>
    </w:rPr>
  </w:style>
  <w:style w:type="character" w:customStyle="1" w:styleId="55">
    <w:name w:val="bookmark-item"/>
    <w:qFormat/>
    <w:uiPriority w:val="0"/>
  </w:style>
  <w:style w:type="character" w:customStyle="1" w:styleId="56">
    <w:name w:val="纯文本 Char"/>
    <w:qFormat/>
    <w:uiPriority w:val="0"/>
    <w:rPr>
      <w:rFonts w:ascii="宋体" w:hAnsi="Courier New" w:eastAsia="宋体" w:cs="Courier New"/>
      <w:color w:val="000000"/>
      <w:kern w:val="0"/>
      <w:szCs w:val="21"/>
    </w:rPr>
  </w:style>
  <w:style w:type="character" w:customStyle="1" w:styleId="57">
    <w:name w:val="正文文字2 Char"/>
    <w:link w:val="58"/>
    <w:qFormat/>
    <w:uiPriority w:val="0"/>
    <w:rPr>
      <w:rFonts w:ascii="Arial" w:hAnsi="Times New Roman" w:eastAsia="黑体" w:cs="Times New Roman"/>
      <w:kern w:val="0"/>
      <w:sz w:val="20"/>
      <w:szCs w:val="20"/>
    </w:rPr>
  </w:style>
  <w:style w:type="paragraph" w:customStyle="1" w:styleId="58">
    <w:name w:val="正文文字2"/>
    <w:basedOn w:val="15"/>
    <w:link w:val="57"/>
    <w:qFormat/>
    <w:uiPriority w:val="0"/>
    <w:pPr>
      <w:autoSpaceDE/>
      <w:autoSpaceDN/>
      <w:spacing w:after="60" w:line="360" w:lineRule="atLeast"/>
      <w:ind w:left="72" w:right="72"/>
      <w:jc w:val="center"/>
      <w:textAlignment w:val="baseline"/>
    </w:pPr>
    <w:rPr>
      <w:rFonts w:ascii="Arial" w:eastAsia="黑体"/>
      <w:color w:val="auto"/>
      <w:sz w:val="20"/>
      <w:szCs w:val="20"/>
    </w:rPr>
  </w:style>
  <w:style w:type="character" w:customStyle="1" w:styleId="59">
    <w:name w:val="font31"/>
    <w:qFormat/>
    <w:uiPriority w:val="0"/>
    <w:rPr>
      <w:rFonts w:hint="eastAsia" w:ascii="宋体" w:hAnsi="宋体" w:eastAsia="宋体" w:cs="宋体"/>
      <w:color w:val="000000"/>
      <w:sz w:val="24"/>
      <w:szCs w:val="24"/>
      <w:u w:val="none"/>
    </w:rPr>
  </w:style>
  <w:style w:type="paragraph" w:customStyle="1" w:styleId="60">
    <w:name w:val="Body Text Indent"/>
    <w:basedOn w:val="1"/>
    <w:next w:val="1"/>
    <w:qFormat/>
    <w:uiPriority w:val="0"/>
    <w:pPr>
      <w:spacing w:after="120" w:afterLines="0"/>
      <w:ind w:left="420" w:leftChars="200"/>
    </w:pPr>
    <w:rPr>
      <w:color w:val="000000"/>
      <w:sz w:val="21"/>
      <w:szCs w:val="21"/>
    </w:rPr>
  </w:style>
  <w:style w:type="paragraph" w:customStyle="1" w:styleId="61">
    <w:name w:val="国普正文"/>
    <w:basedOn w:val="1"/>
    <w:qFormat/>
    <w:uiPriority w:val="0"/>
    <w:pPr>
      <w:spacing w:line="360" w:lineRule="auto"/>
      <w:ind w:firstLine="600" w:firstLineChars="200"/>
    </w:pPr>
    <w:rPr>
      <w:rFonts w:ascii="仿宋_GB2312" w:hAnsi="Calibri" w:eastAsia="仿宋_GB2312"/>
      <w:sz w:val="30"/>
      <w:szCs w:val="30"/>
    </w:rPr>
  </w:style>
  <w:style w:type="paragraph" w:customStyle="1" w:styleId="62">
    <w:name w:val="Body Text First Indent 2"/>
    <w:basedOn w:val="6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3">
    <w:name w:val="Table Paragraph"/>
    <w:basedOn w:val="1"/>
    <w:qFormat/>
    <w:uiPriority w:val="1"/>
    <w:rPr>
      <w:rFonts w:ascii="宋体" w:hAnsi="宋体" w:eastAsia="宋体" w:cs="宋体"/>
      <w:lang w:val="zh-CN" w:eastAsia="zh-CN" w:bidi="zh-CN"/>
    </w:rPr>
  </w:style>
  <w:style w:type="paragraph" w:customStyle="1" w:styleId="64">
    <w:name w:val="索引 51"/>
    <w:basedOn w:val="1"/>
    <w:next w:val="1"/>
    <w:qFormat/>
    <w:uiPriority w:val="0"/>
    <w:pPr>
      <w:ind w:left="800" w:leftChars="800"/>
    </w:pPr>
  </w:style>
  <w:style w:type="paragraph" w:customStyle="1" w:styleId="65">
    <w:name w:val="index 5"/>
    <w:basedOn w:val="1"/>
    <w:next w:val="1"/>
    <w:qFormat/>
    <w:uiPriority w:val="0"/>
    <w:pPr>
      <w:ind w:left="800" w:leftChars="800"/>
    </w:pPr>
    <w:rPr>
      <w:rFonts w:ascii="Times New Roman" w:hAnsi="Times New Roman"/>
      <w:szCs w:val="24"/>
    </w:rPr>
  </w:style>
  <w:style w:type="paragraph" w:customStyle="1" w:styleId="66">
    <w:name w:val="1"/>
    <w:basedOn w:val="1"/>
    <w:next w:val="26"/>
    <w:uiPriority w:val="0"/>
    <w:pPr>
      <w:widowControl/>
      <w:spacing w:after="160" w:afterLines="0" w:line="240" w:lineRule="exact"/>
      <w:jc w:val="left"/>
    </w:pPr>
    <w:rPr>
      <w:rFonts w:ascii="Times New Roman" w:hAnsi="Times New Roman"/>
      <w:szCs w:val="24"/>
    </w:rPr>
  </w:style>
  <w:style w:type="paragraph" w:customStyle="1" w:styleId="67">
    <w:name w:val="标准正文"/>
    <w:basedOn w:val="1"/>
    <w:qFormat/>
    <w:uiPriority w:val="0"/>
    <w:pPr>
      <w:spacing w:afterLines="50"/>
      <w:ind w:firstLine="200" w:firstLineChars="200"/>
    </w:pPr>
    <w:rPr>
      <w:rFonts w:eastAsia="宋体"/>
      <w:sz w:val="24"/>
      <w:szCs w:val="21"/>
    </w:rPr>
  </w:style>
  <w:style w:type="paragraph" w:customStyle="1" w:styleId="68">
    <w:name w:val="font5"/>
    <w:basedOn w:val="1"/>
    <w:qFormat/>
    <w:uiPriority w:val="0"/>
    <w:pPr>
      <w:widowControl/>
      <w:spacing w:before="100" w:beforeAutospacing="1" w:after="100" w:afterAutospacing="1"/>
      <w:jc w:val="left"/>
    </w:pPr>
    <w:rPr>
      <w:rFonts w:ascii="Tahoma" w:hAnsi="Tahoma" w:eastAsia="Arial Unicode MS" w:cs="Tahoma"/>
      <w:kern w:val="0"/>
      <w:sz w:val="20"/>
      <w:szCs w:val="20"/>
    </w:rPr>
  </w:style>
  <w:style w:type="paragraph" w:customStyle="1" w:styleId="69">
    <w:name w:val="Body Text First Indent 21"/>
    <w:basedOn w:val="70"/>
    <w:qFormat/>
    <w:uiPriority w:val="0"/>
    <w:pPr>
      <w:spacing w:after="120" w:afterLines="0" w:line="240" w:lineRule="auto"/>
      <w:ind w:left="420" w:leftChars="200" w:firstLine="420"/>
    </w:pPr>
    <w:rPr>
      <w:rFonts w:cs="宋体"/>
    </w:rPr>
  </w:style>
  <w:style w:type="paragraph" w:customStyle="1" w:styleId="70">
    <w:name w:val="Body Text Indent1"/>
    <w:basedOn w:val="1"/>
    <w:next w:val="1"/>
    <w:qFormat/>
    <w:uiPriority w:val="0"/>
    <w:pPr>
      <w:spacing w:after="120" w:afterLines="0"/>
      <w:ind w:left="420" w:leftChars="200"/>
    </w:pPr>
  </w:style>
  <w:style w:type="paragraph" w:customStyle="1" w:styleId="71">
    <w:name w:val="_Style 3"/>
    <w:qFormat/>
    <w:uiPriority w:val="0"/>
    <w:pPr>
      <w:widowControl w:val="0"/>
      <w:jc w:val="both"/>
    </w:pPr>
    <w:rPr>
      <w:kern w:val="2"/>
      <w:sz w:val="21"/>
      <w:szCs w:val="22"/>
      <w:lang w:val="en-US" w:eastAsia="zh-CN" w:bidi="ar-SA"/>
    </w:rPr>
  </w:style>
  <w:style w:type="paragraph" w:customStyle="1" w:styleId="72">
    <w:name w:val="*正文"/>
    <w:basedOn w:val="1"/>
    <w:next w:val="1"/>
    <w:qFormat/>
    <w:uiPriority w:val="0"/>
    <w:pPr>
      <w:widowControl/>
      <w:autoSpaceDE/>
      <w:autoSpaceDN/>
      <w:spacing w:before="50" w:beforeLines="50" w:after="50" w:afterLines="50"/>
      <w:ind w:firstLine="200" w:firstLineChars="200"/>
    </w:pPr>
    <w:rPr>
      <w:rFonts w:ascii="Times New Roman" w:hAnsi="Times New Roman" w:cs="仿宋_GB2312"/>
      <w:szCs w:val="24"/>
      <w:lang w:eastAsia="zh-CN"/>
    </w:rPr>
  </w:style>
  <w:style w:type="paragraph" w:customStyle="1" w:styleId="73">
    <w:name w:val="投标正文"/>
    <w:basedOn w:val="1"/>
    <w:qFormat/>
    <w:uiPriority w:val="0"/>
    <w:pPr>
      <w:spacing w:line="240" w:lineRule="auto"/>
      <w:ind w:firstLine="425" w:firstLineChars="177"/>
    </w:pPr>
    <w:rPr>
      <w:rFonts w:eastAsia="宋体"/>
      <w:sz w:val="21"/>
    </w:rPr>
  </w:style>
  <w:style w:type="paragraph" w:customStyle="1" w:styleId="74">
    <w:name w:val="纯文本1"/>
    <w:basedOn w:val="1"/>
    <w:qFormat/>
    <w:uiPriority w:val="0"/>
    <w:pPr>
      <w:autoSpaceDE w:val="0"/>
      <w:autoSpaceDN w:val="0"/>
      <w:adjustRightInd w:val="0"/>
    </w:pPr>
    <w:rPr>
      <w:rFonts w:ascii="Times New Roman" w:hAnsi="Times New Roman" w:cs="Times New Roman"/>
      <w:color w:val="000000"/>
      <w:kern w:val="0"/>
      <w:sz w:val="24"/>
      <w:szCs w:val="20"/>
    </w:rPr>
  </w:style>
  <w:style w:type="paragraph" w:customStyle="1" w:styleId="75">
    <w:name w:val="正文段"/>
    <w:basedOn w:val="1"/>
    <w:next w:val="64"/>
    <w:qFormat/>
    <w:uiPriority w:val="0"/>
    <w:pPr>
      <w:widowControl/>
      <w:autoSpaceDE/>
      <w:autoSpaceDN/>
      <w:adjustRightInd/>
      <w:snapToGrid w:val="0"/>
      <w:spacing w:afterLines="50"/>
      <w:ind w:firstLine="200" w:firstLineChars="200"/>
    </w:pPr>
    <w:rPr>
      <w:color w:val="auto"/>
      <w:sz w:val="24"/>
      <w:szCs w:val="20"/>
    </w:rPr>
  </w:style>
  <w:style w:type="paragraph" w:customStyle="1" w:styleId="76">
    <w:name w:val="xl55"/>
    <w:basedOn w:val="1"/>
    <w:uiPriority w:val="0"/>
    <w:pPr>
      <w:widowControl/>
      <w:spacing w:before="100" w:beforeAutospacing="1" w:after="100" w:afterAutospacing="1"/>
      <w:jc w:val="center"/>
      <w:textAlignment w:val="center"/>
    </w:pPr>
    <w:rPr>
      <w:rFonts w:ascii="Arial Unicode MS" w:hAnsi="Arial Unicode MS" w:eastAsia="宋体"/>
      <w:color w:val="auto"/>
      <w:sz w:val="24"/>
      <w:szCs w:val="24"/>
    </w:rPr>
  </w:style>
  <w:style w:type="paragraph" w:styleId="77">
    <w:name w:val="List Paragraph"/>
    <w:basedOn w:val="1"/>
    <w:qFormat/>
    <w:uiPriority w:val="1"/>
    <w:pPr>
      <w:widowControl w:val="0"/>
    </w:pPr>
    <w:rPr>
      <w:rFonts w:ascii="Calibri" w:hAnsi="Calibri" w:eastAsia="宋体" w:cs="Times New Roman"/>
      <w:sz w:val="22"/>
      <w:szCs w:val="22"/>
      <w:lang w:eastAsia="en-US"/>
    </w:rPr>
  </w:style>
  <w:style w:type="paragraph" w:customStyle="1" w:styleId="78">
    <w:name w:val="表格文字"/>
    <w:basedOn w:val="1"/>
    <w:next w:val="15"/>
    <w:qFormat/>
    <w:uiPriority w:val="0"/>
    <w:pPr>
      <w:adjustRightInd w:val="0"/>
      <w:spacing w:line="420" w:lineRule="atLeast"/>
      <w:textAlignment w:val="baseline"/>
    </w:pPr>
    <w:rPr>
      <w:szCs w:val="24"/>
    </w:rPr>
  </w:style>
  <w:style w:type="paragraph" w:customStyle="1" w:styleId="79">
    <w:name w:val="正文_13"/>
    <w:qFormat/>
    <w:uiPriority w:val="0"/>
    <w:pPr>
      <w:widowControl w:val="0"/>
      <w:jc w:val="both"/>
    </w:pPr>
    <w:rPr>
      <w:kern w:val="2"/>
      <w:sz w:val="21"/>
      <w:szCs w:val="24"/>
      <w:lang w:val="en-US" w:eastAsia="zh-CN" w:bidi="ar-SA"/>
    </w:rPr>
  </w:style>
  <w:style w:type="paragraph" w:customStyle="1" w:styleId="80">
    <w:name w:val="Body Text 3"/>
    <w:basedOn w:val="1"/>
    <w:qFormat/>
    <w:uiPriority w:val="0"/>
    <w:pPr>
      <w:spacing w:after="120" w:afterLines="0"/>
    </w:pPr>
    <w:rPr>
      <w:sz w:val="16"/>
      <w:szCs w:val="16"/>
    </w:rPr>
  </w:style>
  <w:style w:type="paragraph" w:customStyle="1" w:styleId="81">
    <w:name w:val="正文 New New New"/>
    <w:qFormat/>
    <w:uiPriority w:val="0"/>
    <w:pPr>
      <w:widowControl w:val="0"/>
      <w:jc w:val="both"/>
    </w:pPr>
    <w:rPr>
      <w:rFonts w:ascii="Calibri" w:hAnsi="Calibri"/>
      <w:kern w:val="2"/>
      <w:sz w:val="24"/>
      <w:lang w:val="en-US" w:eastAsia="zh-CN" w:bidi="ar-SA"/>
    </w:rPr>
  </w:style>
  <w:style w:type="paragraph" w:customStyle="1" w:styleId="82">
    <w:name w:val="彩色列表 - 强调文字颜色 11"/>
    <w:basedOn w:val="1"/>
    <w:qFormat/>
    <w:uiPriority w:val="0"/>
    <w:pPr>
      <w:ind w:firstLine="420" w:firstLineChars="200"/>
    </w:pPr>
    <w:rPr>
      <w:szCs w:val="24"/>
    </w:rPr>
  </w:style>
  <w:style w:type="paragraph" w:customStyle="1" w:styleId="83">
    <w:name w:val="表内文字"/>
    <w:basedOn w:val="1"/>
    <w:qFormat/>
    <w:uiPriority w:val="0"/>
    <w:pPr>
      <w:tabs>
        <w:tab w:val="left" w:pos="1418"/>
      </w:tabs>
      <w:spacing w:after="120"/>
    </w:pPr>
    <w:rPr>
      <w:rFonts w:ascii="仿宋_GB2312" w:hAnsi="Calibri" w:eastAsia="仿宋_GB2312" w:cs="Times New Roman"/>
      <w:spacing w:val="-20"/>
      <w:kern w:val="0"/>
      <w:sz w:val="24"/>
      <w:szCs w:val="24"/>
    </w:rPr>
  </w:style>
  <w:style w:type="paragraph" w:customStyle="1" w:styleId="8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5">
    <w:name w:val="+正文"/>
    <w:basedOn w:val="1"/>
    <w:qFormat/>
    <w:uiPriority w:val="0"/>
    <w:pPr>
      <w:spacing w:line="360" w:lineRule="auto"/>
      <w:ind w:firstLine="200" w:firstLineChars="200"/>
    </w:pPr>
    <w:rPr>
      <w:szCs w:val="28"/>
    </w:rPr>
  </w:style>
  <w:style w:type="paragraph" w:customStyle="1" w:styleId="86">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character" w:customStyle="1" w:styleId="87">
    <w:name w:val="除臭4 A. 字符"/>
    <w:link w:val="88"/>
    <w:qFormat/>
    <w:uiPriority w:val="0"/>
    <w:rPr>
      <w:rFonts w:ascii="Calibri" w:hAnsi="Calibri" w:eastAsia="宋体" w:cs="Times New Roman"/>
    </w:rPr>
  </w:style>
  <w:style w:type="paragraph" w:customStyle="1" w:styleId="88">
    <w:name w:val="除臭4 A."/>
    <w:basedOn w:val="1"/>
    <w:link w:val="87"/>
    <w:qFormat/>
    <w:uiPriority w:val="0"/>
    <w:pPr>
      <w:numPr>
        <w:ilvl w:val="0"/>
        <w:numId w:val="3"/>
      </w:numPr>
      <w:tabs>
        <w:tab w:val="left" w:pos="816"/>
        <w:tab w:val="left" w:pos="1200"/>
      </w:tabs>
    </w:pPr>
    <w:rPr>
      <w:rFonts w:ascii="Calibri" w:hAnsi="Calibri" w:eastAsia="宋体" w:cs="Times New Roman"/>
    </w:rPr>
  </w:style>
  <w:style w:type="character" w:customStyle="1" w:styleId="89">
    <w:name w:val="NormalCharacter"/>
    <w:qFormat/>
    <w:uiPriority w:val="0"/>
  </w:style>
  <w:style w:type="paragraph" w:customStyle="1" w:styleId="90">
    <w:name w:val="List Paragraph1"/>
    <w:basedOn w:val="1"/>
    <w:qFormat/>
    <w:uiPriority w:val="0"/>
    <w:pPr>
      <w:ind w:firstLine="420" w:firstLineChars="200"/>
    </w:pPr>
    <w:rPr>
      <w:rFonts w:ascii="Calibri" w:hAnsi="Calibri"/>
      <w:szCs w:val="22"/>
    </w:rPr>
  </w:style>
  <w:style w:type="paragraph" w:customStyle="1" w:styleId="91">
    <w:name w:val="列出段落1"/>
    <w:basedOn w:val="1"/>
    <w:qFormat/>
    <w:uiPriority w:val="34"/>
    <w:pPr>
      <w:widowControl/>
      <w:ind w:firstLine="420" w:firstLineChars="200"/>
      <w:jc w:val="left"/>
    </w:pPr>
    <w:rPr>
      <w:kern w:val="0"/>
      <w:sz w:val="20"/>
      <w:szCs w:val="20"/>
      <w:lang w:eastAsia="en-US"/>
    </w:rPr>
  </w:style>
  <w:style w:type="paragraph" w:customStyle="1" w:styleId="92">
    <w:name w:val="普通(Web)1"/>
    <w:basedOn w:val="1"/>
    <w:next w:val="31"/>
    <w:qFormat/>
    <w:uiPriority w:val="0"/>
    <w:pPr>
      <w:widowControl/>
      <w:spacing w:before="100" w:beforeLines="0" w:beforeAutospacing="1" w:after="100" w:afterLines="0" w:afterAutospacing="1"/>
      <w:jc w:val="left"/>
    </w:pPr>
    <w:rPr>
      <w:rFonts w:ascii="宋体" w:hAnsi="宋体"/>
      <w:color w:val="000000"/>
      <w:kern w:val="0"/>
      <w:sz w:val="24"/>
    </w:rPr>
  </w:style>
  <w:style w:type="character" w:customStyle="1" w:styleId="93">
    <w:name w:val="font121"/>
    <w:basedOn w:val="36"/>
    <w:qFormat/>
    <w:uiPriority w:val="0"/>
    <w:rPr>
      <w:rFonts w:hint="eastAsia" w:ascii="宋体" w:hAnsi="宋体" w:eastAsia="宋体" w:cs="宋体"/>
      <w:color w:val="000000"/>
      <w:sz w:val="22"/>
      <w:szCs w:val="22"/>
      <w:u w:val="none"/>
    </w:rPr>
  </w:style>
  <w:style w:type="character" w:customStyle="1" w:styleId="94">
    <w:name w:val="font101"/>
    <w:basedOn w:val="36"/>
    <w:qFormat/>
    <w:uiPriority w:val="0"/>
    <w:rPr>
      <w:rFonts w:hint="eastAsia" w:ascii="宋体" w:hAnsi="宋体" w:eastAsia="宋体" w:cs="宋体"/>
      <w:color w:val="000000"/>
      <w:sz w:val="20"/>
      <w:szCs w:val="20"/>
      <w:u w:val="none"/>
    </w:rPr>
  </w:style>
  <w:style w:type="character" w:customStyle="1" w:styleId="95">
    <w:name w:val="font41"/>
    <w:basedOn w:val="36"/>
    <w:qFormat/>
    <w:uiPriority w:val="0"/>
    <w:rPr>
      <w:rFonts w:hint="default" w:ascii="Arial" w:hAnsi="Arial" w:cs="Arial"/>
      <w:color w:val="000000"/>
      <w:sz w:val="22"/>
      <w:szCs w:val="22"/>
      <w:u w:val="none"/>
    </w:rPr>
  </w:style>
  <w:style w:type="paragraph" w:customStyle="1" w:styleId="96">
    <w:name w:val="普通(网站)1"/>
    <w:basedOn w:val="1"/>
    <w:qFormat/>
    <w:uiPriority w:val="0"/>
    <w:pPr>
      <w:widowControl/>
      <w:adjustRightInd/>
      <w:snapToGrid/>
      <w:spacing w:before="46" w:after="46" w:line="240" w:lineRule="auto"/>
      <w:ind w:left="358" w:leftChars="112" w:firstLine="627" w:firstLineChars="196"/>
    </w:pPr>
    <w:rPr>
      <w:rFonts w:ascii="Times New Roman" w:hAnsi="Times New Roman" w:eastAsia="宋体" w:cs="Times New Roman"/>
      <w:kern w:val="0"/>
      <w:sz w:val="24"/>
      <w:szCs w:val="24"/>
    </w:rPr>
  </w:style>
  <w:style w:type="paragraph" w:customStyle="1" w:styleId="97">
    <w:name w:val="p0"/>
    <w:basedOn w:val="1"/>
    <w:qFormat/>
    <w:uiPriority w:val="0"/>
    <w:pPr>
      <w:widowControl/>
      <w:ind w:left="108" w:right="108" w:firstLine="200"/>
    </w:pPr>
    <w:rPr>
      <w:rFonts w:eastAsia="微软雅黑"/>
      <w:kern w:val="0"/>
      <w:szCs w:val="21"/>
    </w:rPr>
  </w:style>
  <w:style w:type="character" w:customStyle="1" w:styleId="98">
    <w:name w:val="font61"/>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media/image4.png" Type="http://schemas.openxmlformats.org/officeDocument/2006/relationships/image"/><Relationship Id="rId15" Target="media/image5.png" Type="http://schemas.openxmlformats.org/officeDocument/2006/relationships/image"/><Relationship Id="rId16" Target="media/image6.png" Type="http://schemas.openxmlformats.org/officeDocument/2006/relationships/image"/><Relationship Id="rId17" Target="media/image7.png" Type="http://schemas.openxmlformats.org/officeDocument/2006/relationships/image"/><Relationship Id="rId18" Target="media/image8.png" Type="http://schemas.openxmlformats.org/officeDocument/2006/relationships/image"/><Relationship Id="rId19" Target="media/image9.png" Type="http://schemas.openxmlformats.org/officeDocument/2006/relationships/image"/><Relationship Id="rId2" Target="settings.xml" Type="http://schemas.openxmlformats.org/officeDocument/2006/relationships/settings"/><Relationship Id="rId20" Target="media/image10.png" Type="http://schemas.openxmlformats.org/officeDocument/2006/relationships/image"/><Relationship Id="rId21" Target="media/image11.png" Type="http://schemas.openxmlformats.org/officeDocument/2006/relationships/imag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65712</Words>
  <Characters>71695</Characters>
  <Lines>202</Lines>
  <Paragraphs>56</Paragraphs>
  <TotalTime>0</TotalTime>
  <ScaleCrop>false</ScaleCrop>
  <LinksUpToDate>false</LinksUpToDate>
  <CharactersWithSpaces>75150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2022-03-17T01:27:00Z</dcterms:created>
  <dc:creator>Lenovo</dc:creator>
  <cp:lastModifiedBy>WPS_1701756769</cp:lastModifiedBy>
  <cp:lastPrinted>2022-08-12T07:53:57Z</cp:lastPrinted>
  <dcterms:modified xsi:type="dcterms:W3CDTF">2024-02-26T01:50:46Z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DAB967B72F2841BCA9B96E3A6EE00B87_13</vt:lpwstr>
  </property>
  <property fmtid="{D5CDD505-2E9C-101B-9397-08002B2CF9AE}" pid="4" name="commondata">
    <vt:lpwstr>eyJoZGlkIjoiODgzZDA5MDk4MGE4MjkzNWRjM2U1MDk1YWU5NzRjMmEifQ==</vt:lpwstr>
  </property>
</Properties>
</file>