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outlineLvl w:val="0"/>
        <w:rPr>
          <w:rFonts w:hint="eastAsia" w:ascii="宋体" w:hAnsi="宋体" w:eastAsia="宋体" w:cs="宋体"/>
          <w:b/>
          <w:bCs/>
          <w:kern w:val="36"/>
          <w:sz w:val="36"/>
          <w:szCs w:val="32"/>
        </w:rPr>
      </w:pPr>
      <w:r>
        <w:rPr>
          <w:rFonts w:hint="eastAsia" w:ascii="宋体" w:hAnsi="宋体" w:eastAsia="宋体" w:cs="宋体"/>
          <w:b/>
          <w:bCs/>
          <w:kern w:val="36"/>
          <w:sz w:val="36"/>
          <w:szCs w:val="32"/>
        </w:rPr>
        <w:t>采购需求</w:t>
      </w:r>
    </w:p>
    <w:p>
      <w:pPr>
        <w:pStyle w:val="4"/>
        <w:numPr>
          <w:ilvl w:val="0"/>
          <w:numId w:val="0"/>
        </w:numPr>
        <w:snapToGrid w:val="0"/>
        <w:spacing w:line="300" w:lineRule="exact"/>
        <w:outlineLvl w:val="0"/>
        <w:rPr>
          <w:rFonts w:hint="eastAsia" w:eastAsia="宋体"/>
          <w:b/>
          <w:bCs/>
          <w:sz w:val="30"/>
          <w:szCs w:val="30"/>
          <w:lang w:eastAsia="zh-CN"/>
        </w:rPr>
      </w:pPr>
      <w:r>
        <w:rPr>
          <w:rFonts w:hint="eastAsia"/>
          <w:b/>
          <w:bCs/>
          <w:sz w:val="30"/>
          <w:szCs w:val="30"/>
          <w:lang w:eastAsia="zh-CN"/>
        </w:rPr>
        <w:t>一、采购清单</w:t>
      </w:r>
    </w:p>
    <w:tbl>
      <w:tblPr>
        <w:tblStyle w:val="5"/>
        <w:tblpPr w:leftFromText="180" w:rightFromText="180" w:vertAnchor="text" w:horzAnchor="page" w:tblpXSpec="center" w:tblpY="507"/>
        <w:tblOverlap w:val="never"/>
        <w:tblW w:w="9510" w:type="dxa"/>
        <w:jc w:val="center"/>
        <w:tblInd w:w="0" w:type="dxa"/>
        <w:tblLayout w:type="fixed"/>
        <w:tblCellMar>
          <w:top w:w="0" w:type="dxa"/>
          <w:left w:w="0" w:type="dxa"/>
          <w:bottom w:w="0" w:type="dxa"/>
          <w:right w:w="0" w:type="dxa"/>
        </w:tblCellMar>
      </w:tblPr>
      <w:tblGrid>
        <w:gridCol w:w="573"/>
        <w:gridCol w:w="589"/>
        <w:gridCol w:w="955"/>
        <w:gridCol w:w="855"/>
        <w:gridCol w:w="825"/>
        <w:gridCol w:w="986"/>
        <w:gridCol w:w="4727"/>
      </w:tblGrid>
      <w:tr>
        <w:tblPrEx>
          <w:tblLayout w:type="fixed"/>
          <w:tblCellMar>
            <w:top w:w="0" w:type="dxa"/>
            <w:left w:w="0" w:type="dxa"/>
            <w:bottom w:w="0" w:type="dxa"/>
            <w:right w:w="0" w:type="dxa"/>
          </w:tblCellMar>
        </w:tblPrEx>
        <w:trPr>
          <w:trHeight w:val="467" w:hRule="atLeast"/>
          <w:jc w:val="center"/>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类别</w:t>
            </w: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装备名称</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单位</w:t>
            </w: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进口/国产</w:t>
            </w:r>
          </w:p>
        </w:tc>
        <w:tc>
          <w:tcPr>
            <w:tcW w:w="47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招标参数</w:t>
            </w:r>
          </w:p>
        </w:tc>
      </w:tr>
      <w:tr>
        <w:tblPrEx>
          <w:tblLayout w:type="fixed"/>
          <w:tblCellMar>
            <w:top w:w="0" w:type="dxa"/>
            <w:left w:w="0" w:type="dxa"/>
            <w:bottom w:w="0" w:type="dxa"/>
            <w:right w:w="0" w:type="dxa"/>
          </w:tblCellMar>
        </w:tblPrEx>
        <w:trPr>
          <w:trHeight w:val="3548"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个人防护</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湿式救援服</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件</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进口</w:t>
            </w:r>
          </w:p>
        </w:tc>
        <w:tc>
          <w:tcPr>
            <w:tcW w:w="47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1、连体式，厚度 3-5MM，超弹性发泡氯丁橡胶。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2、整件采用双面超弹布料，避免单面橡胶布料勾扯、破损。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3、最佳的延展性，提供最自在无拘束的肢体活动空间。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4、优质双向拉链使救援者穿、脱装备都非常的迅速和便捷。颈部可重设大小，增加保暖效果，防止体温流失。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5、臀部一片式弹性复合面料，护膝和护肘，膝盖护膝采用厚橡胶印刷耐磨印花，较一般护膝柔软舒适止滑。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6、衣袖、衣后和裤腿处设有反光带，袖口、裤口处O型氯丁橡胶光面保暖材料；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7、按需求印制标识及商品唯一性代码。</w:t>
            </w:r>
          </w:p>
        </w:tc>
      </w:tr>
      <w:tr>
        <w:tblPrEx>
          <w:tblLayout w:type="fixed"/>
          <w:tblCellMar>
            <w:top w:w="0" w:type="dxa"/>
            <w:left w:w="0" w:type="dxa"/>
            <w:bottom w:w="0" w:type="dxa"/>
            <w:right w:w="0" w:type="dxa"/>
          </w:tblCellMar>
        </w:tblPrEx>
        <w:trPr>
          <w:trHeight w:val="3023"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水域救援鞋</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双</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进口</w:t>
            </w:r>
          </w:p>
        </w:tc>
        <w:tc>
          <w:tcPr>
            <w:tcW w:w="47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1、系带或粘扣式，在水中和岸上均可使用，可适应各种地形；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2、鞋面由合成皮革和5mm厚的氯丁橡胶的加固材料制成，前帮和后帮加厚橡胶护片补强，内有弹性潜水材料内胆，为足部提供很好的保暖性和踝部支撑保护；</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3、具有良好的排水性能；后帮跟部带有止滑凸块，可与蛙鞋稳固结合；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4、鞋底防滑设计坚固结实，安全舒适，由氯丁橡胶制成，具有吸收（走路时所带来的）震动、减缓冲击的功能。</w:t>
            </w:r>
          </w:p>
        </w:tc>
      </w:tr>
      <w:tr>
        <w:tblPrEx>
          <w:tblLayout w:type="fixed"/>
          <w:tblCellMar>
            <w:top w:w="0" w:type="dxa"/>
            <w:left w:w="0" w:type="dxa"/>
            <w:bottom w:w="0" w:type="dxa"/>
            <w:right w:w="0" w:type="dxa"/>
          </w:tblCellMar>
        </w:tblPrEx>
        <w:trPr>
          <w:trHeight w:val="2395"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腰挂式水域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抛绳包</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47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1、腰包可以穿着在腰部，在使用中可快速打开使用，腰带带插扣及快速脱卸扣。                                   2、绳包置于腰包内部，采用高强度防水耐磨材料，绳包底部装配有绳环或有孔洞，顶部有手提装置并具有包口松紧带，中间带有网布，可以加速排水和晒干。包主体外带有反光设计，便于低可视条件下识别，可以漂浮在水面。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3、反光浮力绳：直径≥8mm，长度≥15m。</w:t>
            </w:r>
          </w:p>
        </w:tc>
      </w:tr>
      <w:tr>
        <w:tblPrEx>
          <w:tblLayout w:type="fixed"/>
          <w:tblCellMar>
            <w:top w:w="0" w:type="dxa"/>
            <w:left w:w="0" w:type="dxa"/>
            <w:bottom w:w="0" w:type="dxa"/>
            <w:right w:w="0" w:type="dxa"/>
          </w:tblCellMar>
        </w:tblPrEx>
        <w:trPr>
          <w:trHeight w:val="1779"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水域抛绳包</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47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1、绳包采用高强度防水耐磨材料，绳包底部装配有绳环或有孔洞，顶部有手提装置并具有包口松紧带，中间带有网布，可以加速排水和晒干。包主体外带有反光设计，便于低可视条件下识别，可以漂浮在水面。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2、反光浮力绳：直径≥8mm，长度≥30m。</w:t>
            </w:r>
          </w:p>
        </w:tc>
      </w:tr>
      <w:tr>
        <w:tblPrEx>
          <w:tblLayout w:type="fixed"/>
          <w:tblCellMar>
            <w:top w:w="0" w:type="dxa"/>
            <w:left w:w="0" w:type="dxa"/>
            <w:bottom w:w="0" w:type="dxa"/>
            <w:right w:w="0" w:type="dxa"/>
          </w:tblCellMar>
        </w:tblPrEx>
        <w:trPr>
          <w:trHeight w:val="1155"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扁带（不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成形）</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条</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47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耐磨损高强度尼龙材质，长度≥5m，宽度≥16 mm，断裂拉力≥15kN。</w:t>
            </w:r>
          </w:p>
        </w:tc>
      </w:tr>
      <w:tr>
        <w:tblPrEx>
          <w:tblLayout w:type="fixed"/>
          <w:tblCellMar>
            <w:top w:w="0" w:type="dxa"/>
            <w:left w:w="0" w:type="dxa"/>
            <w:bottom w:w="0" w:type="dxa"/>
            <w:right w:w="0" w:type="dxa"/>
          </w:tblCellMar>
        </w:tblPrEx>
        <w:trPr>
          <w:trHeight w:val="5379"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远距离多功能伸缩杆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47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1、包含伸缩杆1根，内穿安全救生绳1套（安全绳从头到尾穿过伸缩杆），快速可拆装救援工具头7件组合1套（包含浮力球1个，浮力圈1个，挂钩1个，爪钩1个，弹性捕获器1个，D形安全扣1个，弧形套勺1个）；                                  2、救生伸缩杆采用超轻碳纤维杆，可漂浮；折叠后长度≥2.6米；展开长度≥17米；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3、浮力球：增加伸缩杆的浮力，也可作独力的浮力设备使用，浮力≥7kg；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4、浮力圈：浮力圈的直径≥57cm，浮力≥7kg；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5、挂 钩：不锈钢、长≥30.5cm；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6、爪 钩：不锈钢、长≥31cm；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7、弹性捕获器：用于捕捞落水动物等；不锈钢、张开距离≥43cm；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8、D形扣：用于从水里捕捞或救回一定的重物；不锈钢、钳口长度≥5cm；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9、身体套索：铝材、从水里救回有意识或无意识受伤的人，打开宽度≥43cm。</w:t>
            </w:r>
          </w:p>
        </w:tc>
      </w:tr>
      <w:tr>
        <w:tblPrEx>
          <w:tblLayout w:type="fixed"/>
          <w:tblCellMar>
            <w:top w:w="0" w:type="dxa"/>
            <w:left w:w="0" w:type="dxa"/>
            <w:bottom w:w="0" w:type="dxa"/>
            <w:right w:w="0" w:type="dxa"/>
          </w:tblCellMar>
        </w:tblPrEx>
        <w:trPr>
          <w:trHeight w:val="1135"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携行包</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47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防水携行包，容量≥40L，耐磨防水效果出色。                                    双肩背负，带有减压腰带，肩带长度可随意调节背负舒适。                               加固挂钩提手，有弹力绳带可固定救援头盔。</w:t>
            </w:r>
          </w:p>
        </w:tc>
      </w:tr>
      <w:tr>
        <w:tblPrEx>
          <w:tblLayout w:type="fixed"/>
          <w:tblCellMar>
            <w:top w:w="0" w:type="dxa"/>
            <w:left w:w="0" w:type="dxa"/>
            <w:bottom w:w="0" w:type="dxa"/>
            <w:right w:w="0" w:type="dxa"/>
          </w:tblCellMar>
        </w:tblPrEx>
        <w:trPr>
          <w:trHeight w:val="804"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班组装备</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辅绳</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条</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47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尼龙材质，长度≥1.1米，直径≥8mm，承受拉力不小于9kN</w:t>
            </w:r>
          </w:p>
        </w:tc>
      </w:tr>
      <w:tr>
        <w:tblPrEx>
          <w:tblLayout w:type="fixed"/>
          <w:tblCellMar>
            <w:top w:w="0" w:type="dxa"/>
            <w:left w:w="0" w:type="dxa"/>
            <w:bottom w:w="0" w:type="dxa"/>
            <w:right w:w="0" w:type="dxa"/>
          </w:tblCellMar>
        </w:tblPrEx>
        <w:trPr>
          <w:trHeight w:val="834"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铝制安全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钩</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进口</w:t>
            </w:r>
          </w:p>
        </w:tc>
        <w:tc>
          <w:tcPr>
            <w:tcW w:w="47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D型铝制自动扣主锁，纵向拉力≥23KN，横向拉力≥8KN，开门拉力≥8KN。</w:t>
            </w:r>
          </w:p>
        </w:tc>
      </w:tr>
      <w:tr>
        <w:tblPrEx>
          <w:tblLayout w:type="fixed"/>
          <w:tblCellMar>
            <w:top w:w="0" w:type="dxa"/>
            <w:left w:w="0" w:type="dxa"/>
            <w:bottom w:w="0" w:type="dxa"/>
            <w:right w:w="0" w:type="dxa"/>
          </w:tblCellMar>
        </w:tblPrEx>
        <w:trPr>
          <w:trHeight w:val="2095"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下降器</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进口</w:t>
            </w:r>
          </w:p>
        </w:tc>
        <w:tc>
          <w:tcPr>
            <w:tcW w:w="47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带有防慌乱功能的自动制定下降保护器，配有改进的高强度抗腐蚀制停凸轮，可以让使用者精确控制下降速度，本产品带有自动制停功能，防慌乱制停功能只有在用户处于自由坠落情况下才会触发，正常工作时不会触发防慌乱功能。产品重量不大于605g，工作负荷不小于240kg，绳索适用范围10.5mm-11.5mm。</w:t>
            </w:r>
          </w:p>
        </w:tc>
      </w:tr>
      <w:tr>
        <w:tblPrEx>
          <w:tblLayout w:type="fixed"/>
          <w:tblCellMar>
            <w:top w:w="0" w:type="dxa"/>
            <w:left w:w="0" w:type="dxa"/>
            <w:bottom w:w="0" w:type="dxa"/>
            <w:right w:w="0" w:type="dxa"/>
          </w:tblCellMar>
        </w:tblPrEx>
        <w:trPr>
          <w:trHeight w:val="990"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模块化储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运箱</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47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内尺寸≥560*430*320mm，外尺寸≥620*490*350mm，橙色，密封防水，配有滑轮及拉杆。按需求印制标识及商品唯一性代码。</w:t>
            </w:r>
          </w:p>
        </w:tc>
      </w:tr>
      <w:tr>
        <w:tblPrEx>
          <w:tblLayout w:type="fixed"/>
          <w:tblCellMar>
            <w:top w:w="0" w:type="dxa"/>
            <w:left w:w="0" w:type="dxa"/>
            <w:bottom w:w="0" w:type="dxa"/>
            <w:right w:w="0" w:type="dxa"/>
          </w:tblCellMar>
        </w:tblPrEx>
        <w:trPr>
          <w:trHeight w:val="1310"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其他装备</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水面救生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平台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47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1、采用聚乙烯材料，由单个浮筒组成，可单层双层使用，平台总面积不小于8平方米。重量：≤56kg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2、平台承载力单层每平方米≥350kg，双层每平方米≥650kg。</w:t>
            </w:r>
          </w:p>
        </w:tc>
      </w:tr>
      <w:tr>
        <w:tblPrEx>
          <w:tblLayout w:type="fixed"/>
          <w:tblCellMar>
            <w:top w:w="0" w:type="dxa"/>
            <w:left w:w="0" w:type="dxa"/>
            <w:bottom w:w="0" w:type="dxa"/>
            <w:right w:w="0" w:type="dxa"/>
          </w:tblCellMar>
        </w:tblPrEx>
        <w:trPr>
          <w:trHeight w:val="3665"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救援浮桥</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进口</w:t>
            </w:r>
          </w:p>
        </w:tc>
        <w:tc>
          <w:tcPr>
            <w:tcW w:w="47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1、可用作通道、平台、救生筏、浮舟及驳船。产品下面具有两条船侧凸体，可增强稳定性。在水上或不平的区域都可使用，也可用于冰面的救援。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2、长度：≥5 米；宽：≥1.2 米；内庭数量：1+2；厚度：≥15+15厘米；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3、重量：≤56公斤；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4、材料：气垫布及 PVC；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5、4个提手，位于四个角处；4个D型环位于四个角处；长边每边至少3个D型环，共至少6个D型环；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6、防滑表面；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7、充气口具备快充功能。 </w:t>
            </w:r>
          </w:p>
        </w:tc>
      </w:tr>
      <w:tr>
        <w:tblPrEx>
          <w:tblLayout w:type="fixed"/>
          <w:tblCellMar>
            <w:top w:w="0" w:type="dxa"/>
            <w:left w:w="0" w:type="dxa"/>
            <w:bottom w:w="0" w:type="dxa"/>
            <w:right w:w="0" w:type="dxa"/>
          </w:tblCellMar>
        </w:tblPrEx>
        <w:trPr>
          <w:trHeight w:val="187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抛投式救</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生圈</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国产</w:t>
            </w:r>
          </w:p>
        </w:tc>
        <w:tc>
          <w:tcPr>
            <w:tcW w:w="47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1、采用聚乙烯材料。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2、产品重量≤2.5KG，浮力≥150N。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3、双面夜间反光标，系带绑扎设计，方便调整到自己舒适的位置。</w:t>
            </w:r>
          </w:p>
        </w:tc>
      </w:tr>
    </w:tbl>
    <w:p>
      <w:pPr>
        <w:pStyle w:val="4"/>
        <w:snapToGrid w:val="0"/>
        <w:spacing w:line="300" w:lineRule="exact"/>
        <w:outlineLvl w:val="0"/>
        <w:rPr>
          <w:rFonts w:hint="eastAsia"/>
          <w:szCs w:val="21"/>
          <w:lang w:eastAsia="zh-CN"/>
        </w:rPr>
      </w:pPr>
    </w:p>
    <w:p>
      <w:pPr>
        <w:pStyle w:val="4"/>
        <w:snapToGrid w:val="0"/>
        <w:spacing w:line="300" w:lineRule="exact"/>
        <w:outlineLvl w:val="0"/>
        <w:rPr>
          <w:rFonts w:hint="eastAsia" w:eastAsia="宋体"/>
          <w:b/>
          <w:bCs/>
          <w:szCs w:val="21"/>
          <w:lang w:eastAsia="zh-CN"/>
        </w:rPr>
      </w:pPr>
      <w:r>
        <w:rPr>
          <w:rFonts w:hint="eastAsia"/>
          <w:b/>
          <w:bCs/>
          <w:szCs w:val="21"/>
          <w:lang w:eastAsia="zh-CN"/>
        </w:rPr>
        <w:t>注：本项目核心产品为湿式救援服。</w:t>
      </w:r>
    </w:p>
    <w:p/>
    <w:p>
      <w:pPr>
        <w:pStyle w:val="4"/>
        <w:numPr>
          <w:ilvl w:val="0"/>
          <w:numId w:val="2"/>
        </w:numPr>
        <w:snapToGrid w:val="0"/>
        <w:spacing w:line="300" w:lineRule="exact"/>
        <w:outlineLvl w:val="0"/>
        <w:rPr>
          <w:color w:val="000000"/>
          <w:sz w:val="21"/>
          <w:szCs w:val="21"/>
        </w:rPr>
      </w:pPr>
      <w:r>
        <w:rPr>
          <w:szCs w:val="21"/>
        </w:rPr>
        <w:t>商务要求表</w:t>
      </w:r>
    </w:p>
    <w:p>
      <w:pPr>
        <w:pStyle w:val="4"/>
        <w:numPr>
          <w:ilvl w:val="0"/>
          <w:numId w:val="0"/>
        </w:numPr>
        <w:snapToGrid w:val="0"/>
        <w:spacing w:line="300" w:lineRule="exact"/>
        <w:outlineLvl w:val="0"/>
        <w:rPr>
          <w:color w:val="000000"/>
          <w:sz w:val="21"/>
          <w:szCs w:val="21"/>
        </w:rPr>
      </w:pPr>
    </w:p>
    <w:tbl>
      <w:tblPr>
        <w:tblStyle w:val="5"/>
        <w:tblW w:w="9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8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5" w:hRule="atLeast"/>
          <w:jc w:val="center"/>
        </w:trPr>
        <w:tc>
          <w:tcPr>
            <w:tcW w:w="1591" w:type="dxa"/>
            <w:noWrap w:val="0"/>
            <w:vAlign w:val="center"/>
          </w:tcPr>
          <w:p>
            <w:pPr>
              <w:snapToGrid w:val="0"/>
              <w:spacing w:line="3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保修期</w:t>
            </w:r>
            <w:r>
              <w:rPr>
                <w:rFonts w:hint="eastAsia" w:ascii="宋体" w:hAnsi="宋体" w:eastAsia="宋体" w:cs="宋体"/>
                <w:color w:val="000000"/>
                <w:sz w:val="21"/>
                <w:szCs w:val="21"/>
              </w:rPr>
              <w:t>、履约金及质保金</w:t>
            </w:r>
          </w:p>
        </w:tc>
        <w:tc>
          <w:tcPr>
            <w:tcW w:w="8022" w:type="dxa"/>
            <w:noWrap w:val="0"/>
            <w:vAlign w:val="center"/>
          </w:tcPr>
          <w:p>
            <w:pPr>
              <w:snapToGrid w:val="0"/>
              <w:spacing w:line="30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eastAsia="zh-CN"/>
              </w:rPr>
              <w:t>保修期</w:t>
            </w:r>
            <w:r>
              <w:rPr>
                <w:rFonts w:hint="eastAsia" w:ascii="宋体" w:hAnsi="宋体" w:eastAsia="宋体" w:cs="宋体"/>
                <w:color w:val="000000"/>
                <w:sz w:val="21"/>
                <w:szCs w:val="21"/>
              </w:rPr>
              <w:t>：</w:t>
            </w:r>
            <w:r>
              <w:rPr>
                <w:rFonts w:hint="eastAsia" w:ascii="宋体" w:hAnsi="宋体" w:eastAsia="宋体" w:cs="宋体"/>
                <w:color w:val="000000"/>
                <w:sz w:val="21"/>
                <w:szCs w:val="21"/>
                <w:u w:val="single"/>
                <w:lang w:val="en-US" w:eastAsia="zh-CN"/>
              </w:rPr>
              <w:t>3</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年；</w:t>
            </w:r>
          </w:p>
          <w:p>
            <w:pPr>
              <w:spacing w:line="30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（2）履约金及质保金：</w:t>
            </w:r>
          </w:p>
          <w:p>
            <w:pPr>
              <w:snapToGrid w:val="0"/>
              <w:spacing w:line="30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合同</w:t>
            </w:r>
            <w:r>
              <w:rPr>
                <w:rFonts w:hint="eastAsia" w:ascii="宋体" w:hAnsi="宋体" w:eastAsia="宋体" w:cs="宋体"/>
                <w:color w:val="000000"/>
                <w:sz w:val="21"/>
                <w:szCs w:val="21"/>
                <w:lang w:eastAsia="zh-CN"/>
              </w:rPr>
              <w:t>签订时</w:t>
            </w:r>
            <w:r>
              <w:rPr>
                <w:rFonts w:hint="eastAsia" w:ascii="宋体" w:hAnsi="宋体" w:eastAsia="宋体" w:cs="宋体"/>
                <w:color w:val="000000"/>
                <w:sz w:val="21"/>
                <w:szCs w:val="21"/>
              </w:rPr>
              <w:t>，中标人应先缴纳合同总金额5%的履约保证金，验收合格后自行转为质保金，在承诺的</w:t>
            </w:r>
            <w:r>
              <w:rPr>
                <w:rFonts w:hint="eastAsia" w:ascii="宋体" w:hAnsi="宋体" w:eastAsia="宋体" w:cs="宋体"/>
                <w:color w:val="000000"/>
                <w:sz w:val="21"/>
                <w:szCs w:val="21"/>
                <w:lang w:eastAsia="zh-CN"/>
              </w:rPr>
              <w:t>保修期</w:t>
            </w:r>
            <w:r>
              <w:rPr>
                <w:rFonts w:hint="eastAsia" w:ascii="宋体" w:hAnsi="宋体" w:eastAsia="宋体" w:cs="宋体"/>
                <w:color w:val="000000"/>
                <w:sz w:val="21"/>
                <w:szCs w:val="21"/>
              </w:rPr>
              <w:t>满后，如无质量、服务投诉和索赔，该款项无息返还。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jc w:val="center"/>
        </w:trPr>
        <w:tc>
          <w:tcPr>
            <w:tcW w:w="1591" w:type="dxa"/>
            <w:noWrap w:val="0"/>
            <w:vAlign w:val="center"/>
          </w:tcPr>
          <w:p>
            <w:pPr>
              <w:snapToGrid w:val="0"/>
              <w:spacing w:line="3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付款条件</w:t>
            </w:r>
          </w:p>
        </w:tc>
        <w:tc>
          <w:tcPr>
            <w:tcW w:w="8022" w:type="dxa"/>
            <w:noWrap w:val="0"/>
            <w:vAlign w:val="center"/>
          </w:tcPr>
          <w:p>
            <w:pPr>
              <w:spacing w:line="30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货到、安装完毕且验收合格后，在乙方票证齐全，符合甲方付款流程的前提下，甲方在10个工作日内一次性支付合同总价款。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jc w:val="center"/>
        </w:trPr>
        <w:tc>
          <w:tcPr>
            <w:tcW w:w="1591" w:type="dxa"/>
            <w:noWrap w:val="0"/>
            <w:vAlign w:val="center"/>
          </w:tcPr>
          <w:p>
            <w:pPr>
              <w:snapToGrid w:val="0"/>
              <w:spacing w:line="3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交货时间</w:t>
            </w:r>
          </w:p>
          <w:p>
            <w:pPr>
              <w:snapToGrid w:val="0"/>
              <w:spacing w:line="3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及地点</w:t>
            </w:r>
          </w:p>
        </w:tc>
        <w:tc>
          <w:tcPr>
            <w:tcW w:w="8022" w:type="dxa"/>
            <w:noWrap w:val="0"/>
            <w:vAlign w:val="center"/>
          </w:tcPr>
          <w:p>
            <w:pPr>
              <w:snapToGrid w:val="0"/>
              <w:spacing w:line="30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时间：自合同签订起</w:t>
            </w:r>
            <w:r>
              <w:rPr>
                <w:rFonts w:hint="eastAsia" w:ascii="宋体" w:hAnsi="宋体" w:eastAsia="宋体" w:cs="宋体"/>
                <w:color w:val="000000"/>
                <w:sz w:val="21"/>
                <w:szCs w:val="21"/>
                <w:lang w:val="en-US" w:eastAsia="zh-CN"/>
              </w:rPr>
              <w:t>10</w:t>
            </w:r>
            <w:r>
              <w:rPr>
                <w:rFonts w:hint="eastAsia" w:ascii="宋体" w:hAnsi="宋体" w:eastAsia="宋体" w:cs="宋体"/>
                <w:color w:val="000000"/>
                <w:sz w:val="21"/>
                <w:szCs w:val="21"/>
              </w:rPr>
              <w:t>日内</w:t>
            </w:r>
          </w:p>
          <w:p>
            <w:pPr>
              <w:snapToGrid w:val="0"/>
              <w:spacing w:line="30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3" w:hRule="atLeast"/>
          <w:jc w:val="center"/>
        </w:trPr>
        <w:tc>
          <w:tcPr>
            <w:tcW w:w="1591" w:type="dxa"/>
            <w:noWrap w:val="0"/>
            <w:vAlign w:val="center"/>
          </w:tcPr>
          <w:p>
            <w:pPr>
              <w:snapToGrid w:val="0"/>
              <w:spacing w:line="3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验收方案及要求</w:t>
            </w:r>
          </w:p>
        </w:tc>
        <w:tc>
          <w:tcPr>
            <w:tcW w:w="8022" w:type="dxa"/>
            <w:noWrap w:val="0"/>
            <w:vAlign w:val="center"/>
          </w:tcPr>
          <w:p>
            <w:pPr>
              <w:snapToGrid w:val="0"/>
              <w:spacing w:line="30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货到用户指定地点后，依照</w:t>
            </w:r>
            <w:r>
              <w:rPr>
                <w:rFonts w:hint="eastAsia" w:ascii="宋体" w:hAnsi="宋体" w:cs="宋体"/>
                <w:color w:val="000000"/>
                <w:sz w:val="21"/>
                <w:szCs w:val="21"/>
                <w:lang w:eastAsia="zh-CN"/>
              </w:rPr>
              <w:t>供应商</w:t>
            </w:r>
            <w:r>
              <w:rPr>
                <w:rFonts w:hint="eastAsia" w:ascii="宋体" w:hAnsi="宋体" w:eastAsia="宋体" w:cs="宋体"/>
                <w:color w:val="000000"/>
                <w:sz w:val="21"/>
                <w:szCs w:val="21"/>
              </w:rPr>
              <w:t>提供的验收方案组织验收。</w:t>
            </w:r>
          </w:p>
          <w:p>
            <w:pPr>
              <w:snapToGrid w:val="0"/>
              <w:spacing w:line="30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▲验收时</w:t>
            </w:r>
            <w:bookmarkStart w:id="0" w:name="_GoBack"/>
            <w:bookmarkEnd w:id="0"/>
            <w:r>
              <w:rPr>
                <w:rFonts w:hint="eastAsia" w:ascii="宋体" w:hAnsi="宋体" w:cs="宋体"/>
                <w:color w:val="000000"/>
                <w:sz w:val="21"/>
                <w:szCs w:val="21"/>
                <w:lang w:eastAsia="zh-CN"/>
              </w:rPr>
              <w:t>供应商</w:t>
            </w:r>
            <w:r>
              <w:rPr>
                <w:rFonts w:hint="eastAsia" w:ascii="宋体" w:hAnsi="宋体" w:eastAsia="宋体" w:cs="宋体"/>
                <w:color w:val="000000"/>
                <w:sz w:val="21"/>
                <w:szCs w:val="21"/>
              </w:rPr>
              <w:t>须提供以下内容，各磋商响应人须在磋商响应文件中就能在验收时提供下述材料作出相应承诺：</w:t>
            </w:r>
          </w:p>
          <w:p>
            <w:pPr>
              <w:snapToGrid w:val="0"/>
              <w:spacing w:line="30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（1）所投产品经第三方权威（即该机构通过CNAS</w:t>
            </w:r>
            <w:r>
              <w:rPr>
                <w:rFonts w:hint="eastAsia" w:ascii="宋体" w:hAnsi="宋体" w:eastAsia="宋体" w:cs="宋体"/>
                <w:color w:val="000000"/>
                <w:sz w:val="21"/>
                <w:szCs w:val="21"/>
                <w:lang w:val="en-US" w:eastAsia="zh-CN"/>
              </w:rPr>
              <w:t>或</w:t>
            </w:r>
            <w:r>
              <w:rPr>
                <w:rFonts w:hint="eastAsia" w:ascii="宋体" w:hAnsi="宋体" w:eastAsia="宋体" w:cs="宋体"/>
                <w:color w:val="000000"/>
                <w:sz w:val="21"/>
                <w:szCs w:val="21"/>
              </w:rPr>
              <w:t>CMA</w:t>
            </w:r>
            <w:r>
              <w:rPr>
                <w:rFonts w:hint="eastAsia" w:ascii="宋体" w:hAnsi="宋体" w:eastAsia="宋体" w:cs="宋体"/>
                <w:color w:val="000000"/>
                <w:sz w:val="21"/>
                <w:szCs w:val="21"/>
                <w:lang w:val="en-US" w:eastAsia="zh-CN"/>
              </w:rPr>
              <w:t>或</w:t>
            </w:r>
            <w:r>
              <w:rPr>
                <w:rFonts w:hint="eastAsia" w:ascii="宋体" w:hAnsi="宋体" w:eastAsia="宋体" w:cs="宋体"/>
                <w:color w:val="000000"/>
                <w:sz w:val="21"/>
                <w:szCs w:val="21"/>
              </w:rPr>
              <w:t>CAL认定）检测机构出具的检测报告，检测内容须包含招标要求中的主要性能参数检测（检测前可与</w:t>
            </w:r>
            <w:r>
              <w:rPr>
                <w:rFonts w:hint="eastAsia" w:ascii="宋体" w:hAnsi="宋体" w:eastAsia="宋体" w:cs="宋体"/>
                <w:color w:val="000000"/>
                <w:sz w:val="21"/>
                <w:szCs w:val="21"/>
                <w:lang w:eastAsia="zh-CN"/>
              </w:rPr>
              <w:t>采购人</w:t>
            </w:r>
            <w:r>
              <w:rPr>
                <w:rFonts w:hint="eastAsia" w:ascii="宋体" w:hAnsi="宋体" w:eastAsia="宋体" w:cs="宋体"/>
                <w:color w:val="000000"/>
                <w:sz w:val="21"/>
                <w:szCs w:val="21"/>
              </w:rPr>
              <w:t>进一步明确检测项），否则视为无效检测报告；</w:t>
            </w:r>
          </w:p>
          <w:p>
            <w:pPr>
              <w:snapToGrid w:val="0"/>
              <w:spacing w:line="30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（2）进口产品验收时还须提供相关清关材料。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B8DBF"/>
    <w:multiLevelType w:val="singleLevel"/>
    <w:tmpl w:val="E2CB8DBF"/>
    <w:lvl w:ilvl="0" w:tentative="0">
      <w:start w:val="5"/>
      <w:numFmt w:val="chineseCounting"/>
      <w:suff w:val="space"/>
      <w:lvlText w:val="第%1章"/>
      <w:lvlJc w:val="left"/>
      <w:rPr>
        <w:rFonts w:hint="eastAsia"/>
      </w:rPr>
    </w:lvl>
  </w:abstractNum>
  <w:abstractNum w:abstractNumId="1">
    <w:nsid w:val="599BDDC0"/>
    <w:multiLevelType w:val="singleLevel"/>
    <w:tmpl w:val="599BDDC0"/>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C572D"/>
    <w:rsid w:val="0AEC5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spacing w:after="120" w:line="240" w:lineRule="auto"/>
      <w:ind w:left="420" w:leftChars="200" w:firstLine="420"/>
    </w:pPr>
    <w:rPr>
      <w:rFonts w:cs="宋体"/>
      <w:sz w:val="21"/>
      <w:szCs w:val="21"/>
    </w:rPr>
  </w:style>
  <w:style w:type="paragraph" w:styleId="3">
    <w:name w:val="Body Text Indent"/>
    <w:basedOn w:val="1"/>
    <w:uiPriority w:val="0"/>
    <w:pPr>
      <w:spacing w:after="120"/>
      <w:ind w:left="420" w:leftChars="200"/>
    </w:pPr>
  </w:style>
  <w:style w:type="paragraph" w:styleId="4">
    <w:name w:val="Plain Text"/>
    <w:basedOn w:val="1"/>
    <w:uiPriority w:val="0"/>
    <w:rPr>
      <w:rFonts w:ascii="宋体" w:hAnsi="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2019-07-19T09:31:00Z</dcterms:created>
  <dc:creator>浙江欣成工程咨询有限公司</dc:creator>
  <cp:lastModifiedBy>浙江欣成工程咨询有限公司</cp:lastModifiedBy>
  <dcterms:modified xsi:type="dcterms:W3CDTF">2019-07-19T09:31:55Z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