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insoku/>
        <w:wordWrap w:val="0"/>
        <w:overflowPunct/>
        <w:topLinePunct w:val="0"/>
        <w:bidi w:val="0"/>
        <w:adjustRightInd/>
        <w:spacing w:line="360" w:lineRule="auto"/>
        <w:jc w:val="center"/>
        <w:rPr>
          <w:rFonts w:hint="eastAsia" w:ascii="隶书" w:hAnsi="隶书" w:eastAsia="隶书" w:cs="隶书"/>
          <w:b/>
          <w:bCs/>
          <w:color w:val="auto"/>
          <w:sz w:val="56"/>
          <w:szCs w:val="56"/>
          <w:highlight w:val="none"/>
          <w:lang w:eastAsia="zh-CN"/>
        </w:rPr>
      </w:pPr>
      <w:r>
        <w:rPr>
          <w:rFonts w:hint="eastAsia" w:ascii="隶书" w:hAnsi="隶书" w:eastAsia="隶书" w:cs="隶书"/>
          <w:b/>
          <w:bCs/>
          <w:color w:val="auto"/>
          <w:sz w:val="56"/>
          <w:szCs w:val="56"/>
          <w:highlight w:val="none"/>
          <w:lang w:eastAsia="zh-CN"/>
        </w:rPr>
        <w:t>绍兴市第八中学</w:t>
      </w:r>
    </w:p>
    <w:p>
      <w:pPr>
        <w:kinsoku/>
        <w:wordWrap w:val="0"/>
        <w:overflowPunct/>
        <w:topLinePunct w:val="0"/>
        <w:bidi w:val="0"/>
        <w:adjustRightInd/>
        <w:spacing w:line="360" w:lineRule="auto"/>
        <w:jc w:val="center"/>
        <w:rPr>
          <w:rFonts w:hint="eastAsia" w:ascii="隶书" w:hAnsi="隶书" w:eastAsia="隶书" w:cs="隶书"/>
          <w:b/>
          <w:bCs/>
          <w:color w:val="auto"/>
          <w:sz w:val="56"/>
          <w:szCs w:val="56"/>
          <w:highlight w:val="none"/>
          <w:lang w:eastAsia="zh-CN"/>
        </w:rPr>
      </w:pPr>
      <w:r>
        <w:rPr>
          <w:rFonts w:hint="eastAsia" w:ascii="隶书" w:hAnsi="隶书" w:eastAsia="隶书" w:cs="隶书"/>
          <w:b/>
          <w:bCs/>
          <w:color w:val="auto"/>
          <w:sz w:val="56"/>
          <w:szCs w:val="56"/>
          <w:highlight w:val="none"/>
          <w:lang w:eastAsia="zh-CN"/>
        </w:rPr>
        <w:t>物业管理服务项目</w:t>
      </w:r>
    </w:p>
    <w:p>
      <w:pPr>
        <w:kinsoku/>
        <w:wordWrap w:val="0"/>
        <w:overflowPunct/>
        <w:topLinePunct w:val="0"/>
        <w:bidi w:val="0"/>
        <w:jc w:val="center"/>
        <w:outlineLvl w:val="0"/>
        <w:rPr>
          <w:rFonts w:hint="eastAsia" w:ascii="隶书" w:hAnsi="隶书" w:eastAsia="隶书" w:cs="隶书"/>
          <w:b/>
          <w:color w:val="auto"/>
          <w:sz w:val="72"/>
          <w:szCs w:val="72"/>
          <w:highlight w:val="none"/>
        </w:rPr>
      </w:pP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公</w:t>
      </w: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开</w:t>
      </w: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招</w:t>
      </w: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标</w:t>
      </w: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文</w:t>
      </w:r>
    </w:p>
    <w:p>
      <w:pPr>
        <w:kinsoku/>
        <w:wordWrap w:val="0"/>
        <w:overflowPunct/>
        <w:topLinePunct w:val="0"/>
        <w:bidi w:val="0"/>
        <w:jc w:val="center"/>
        <w:outlineLvl w:val="0"/>
        <w:rPr>
          <w:rFonts w:hint="eastAsia" w:ascii="隶书" w:hAnsi="隶书" w:eastAsia="隶书" w:cs="隶书"/>
          <w:color w:val="auto"/>
          <w:sz w:val="44"/>
          <w:highlight w:val="none"/>
        </w:rPr>
      </w:pPr>
      <w:r>
        <w:rPr>
          <w:rFonts w:hint="eastAsia" w:ascii="隶书" w:hAnsi="隶书" w:eastAsia="隶书" w:cs="隶书"/>
          <w:b/>
          <w:color w:val="auto"/>
          <w:sz w:val="72"/>
          <w:szCs w:val="72"/>
          <w:highlight w:val="none"/>
        </w:rPr>
        <w:t>件</w:t>
      </w:r>
    </w:p>
    <w:p>
      <w:pPr>
        <w:kinsoku/>
        <w:wordWrap w:val="0"/>
        <w:overflowPunct/>
        <w:topLinePunct w:val="0"/>
        <w:bidi w:val="0"/>
        <w:adjustRightInd/>
        <w:spacing w:line="360" w:lineRule="auto"/>
        <w:jc w:val="center"/>
        <w:rPr>
          <w:rFonts w:hint="eastAsia" w:ascii="隶书" w:hAnsi="隶书" w:eastAsia="隶书" w:cs="隶书"/>
          <w:b/>
          <w:color w:val="auto"/>
          <w:sz w:val="44"/>
          <w:szCs w:val="44"/>
          <w:highlight w:val="none"/>
        </w:rPr>
      </w:pPr>
      <w:r>
        <w:rPr>
          <w:rFonts w:hint="eastAsia" w:ascii="隶书" w:hAnsi="隶书" w:eastAsia="隶书" w:cs="隶书"/>
          <w:b/>
          <w:color w:val="auto"/>
          <w:sz w:val="44"/>
          <w:szCs w:val="44"/>
          <w:highlight w:val="none"/>
        </w:rPr>
        <w:t>（电子招投标）</w:t>
      </w:r>
    </w:p>
    <w:p>
      <w:pPr>
        <w:pStyle w:val="5"/>
        <w:kinsoku/>
        <w:wordWrap w:val="0"/>
        <w:overflowPunct/>
        <w:topLinePunct w:val="0"/>
        <w:bidi w:val="0"/>
        <w:rPr>
          <w:rFonts w:hint="eastAsia" w:ascii="隶书" w:hAnsi="隶书" w:eastAsia="隶书" w:cs="隶书"/>
          <w:b/>
          <w:color w:val="auto"/>
          <w:sz w:val="44"/>
          <w:szCs w:val="44"/>
          <w:highlight w:val="none"/>
        </w:rPr>
      </w:pPr>
    </w:p>
    <w:p>
      <w:pPr>
        <w:kinsoku/>
        <w:wordWrap w:val="0"/>
        <w:overflowPunct/>
        <w:topLinePunct w:val="0"/>
        <w:bidi w:val="0"/>
        <w:rPr>
          <w:rFonts w:hint="eastAsia"/>
          <w:color w:val="auto"/>
          <w:highlight w:val="none"/>
        </w:rPr>
      </w:pPr>
    </w:p>
    <w:p>
      <w:pPr>
        <w:kinsoku/>
        <w:wordWrap w:val="0"/>
        <w:overflowPunct/>
        <w:topLinePunct w:val="0"/>
        <w:bidi w:val="0"/>
        <w:jc w:val="center"/>
        <w:rPr>
          <w:rFonts w:hint="eastAsia" w:ascii="隶书" w:hAnsi="隶书" w:eastAsia="隶书" w:cs="隶书"/>
          <w:b w:val="0"/>
          <w:bCs/>
          <w:color w:val="auto"/>
          <w:sz w:val="28"/>
          <w:szCs w:val="28"/>
          <w:highlight w:val="none"/>
          <w:lang w:eastAsia="zh-CN"/>
        </w:rPr>
      </w:pPr>
      <w:r>
        <w:rPr>
          <w:rFonts w:hint="eastAsia" w:ascii="隶书" w:hAnsi="隶书" w:eastAsia="隶书" w:cs="隶书"/>
          <w:b/>
          <w:color w:val="auto"/>
          <w:sz w:val="44"/>
          <w:szCs w:val="44"/>
          <w:highlight w:val="none"/>
        </w:rPr>
        <w:t xml:space="preserve"> </w:t>
      </w:r>
      <w:r>
        <w:rPr>
          <w:rFonts w:hint="eastAsia" w:ascii="隶书" w:hAnsi="隶书" w:eastAsia="隶书" w:cs="隶书"/>
          <w:b w:val="0"/>
          <w:bCs/>
          <w:color w:val="auto"/>
          <w:sz w:val="28"/>
          <w:szCs w:val="28"/>
          <w:highlight w:val="none"/>
          <w:lang w:eastAsia="zh-CN"/>
        </w:rPr>
        <w:t>招标编号:</w:t>
      </w:r>
      <w:r>
        <w:rPr>
          <w:rFonts w:hint="eastAsia" w:ascii="隶书" w:hAnsi="隶书" w:eastAsia="隶书" w:cs="隶书"/>
          <w:b/>
          <w:bCs w:val="0"/>
          <w:color w:val="auto"/>
          <w:sz w:val="28"/>
          <w:szCs w:val="28"/>
          <w:highlight w:val="none"/>
          <w:lang w:eastAsia="zh-CN"/>
        </w:rPr>
        <w:t>2025-07-0056</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隶书" w:eastAsia="隶书" w:cs="隶书"/>
                <w:color w:val="auto"/>
                <w:spacing w:val="93"/>
                <w:kern w:val="0"/>
                <w:sz w:val="28"/>
                <w:szCs w:val="28"/>
                <w:highlight w:val="none"/>
              </w:rPr>
              <w:t>采购单</w:t>
            </w:r>
            <w:r>
              <w:rPr>
                <w:rFonts w:hint="eastAsia" w:ascii="隶书" w:hAnsi="隶书" w:eastAsia="隶书" w:cs="隶书"/>
                <w:color w:val="auto"/>
                <w:spacing w:val="1"/>
                <w:kern w:val="0"/>
                <w:sz w:val="28"/>
                <w:szCs w:val="28"/>
                <w:highlight w:val="none"/>
              </w:rPr>
              <w:t>位</w:t>
            </w:r>
            <w:r>
              <w:rPr>
                <w:rFonts w:hint="eastAsia" w:ascii="隶书" w:hAnsi="隶书" w:eastAsia="隶书" w:cs="隶书"/>
                <w:color w:val="auto"/>
                <w:sz w:val="28"/>
                <w:szCs w:val="28"/>
                <w:highlight w:val="none"/>
              </w:rPr>
              <w:t>：</w:t>
            </w:r>
          </w:p>
        </w:tc>
        <w:tc>
          <w:tcPr>
            <w:tcW w:w="5445" w:type="dxa"/>
            <w:vAlign w:val="center"/>
          </w:tcPr>
          <w:p>
            <w:pPr>
              <w:kinsoku/>
              <w:wordWrap w:val="0"/>
              <w:overflowPunct/>
              <w:topLinePunct w:val="0"/>
              <w:bidi w:val="0"/>
              <w:spacing w:line="320" w:lineRule="exact"/>
              <w:outlineLvl w:val="0"/>
              <w:rPr>
                <w:rFonts w:hint="eastAsia" w:ascii="隶书" w:hAnsi="隶书" w:eastAsia="隶书" w:cs="隶书"/>
                <w:color w:val="auto"/>
                <w:sz w:val="28"/>
                <w:szCs w:val="28"/>
                <w:highlight w:val="none"/>
                <w:lang w:eastAsia="zh-CN"/>
              </w:rPr>
            </w:pPr>
            <w:r>
              <w:rPr>
                <w:rFonts w:hint="eastAsia" w:ascii="隶书" w:hAnsi="隶书" w:eastAsia="隶书" w:cs="隶书"/>
                <w:color w:val="auto"/>
                <w:sz w:val="28"/>
                <w:szCs w:val="28"/>
                <w:highlight w:val="none"/>
                <w:lang w:eastAsia="zh-CN"/>
              </w:rPr>
              <w:t>绍兴市第八中学</w:t>
            </w:r>
          </w:p>
        </w:tc>
      </w:tr>
      <w:tr>
        <w:tblPrEx>
          <w:tblCellMar>
            <w:top w:w="0" w:type="dxa"/>
            <w:left w:w="108" w:type="dxa"/>
            <w:bottom w:w="0" w:type="dxa"/>
            <w:right w:w="108" w:type="dxa"/>
          </w:tblCellMar>
        </w:tblPrEx>
        <w:trPr>
          <w:trHeight w:val="494" w:hRule="atLeast"/>
          <w:jc w:val="center"/>
        </w:trPr>
        <w:tc>
          <w:tcPr>
            <w:tcW w:w="2356" w:type="dxa"/>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隶书" w:eastAsia="隶书" w:cs="隶书"/>
                <w:color w:val="auto"/>
                <w:spacing w:val="0"/>
                <w:w w:val="100"/>
                <w:kern w:val="0"/>
                <w:sz w:val="28"/>
                <w:szCs w:val="28"/>
                <w:highlight w:val="none"/>
                <w:fitText w:val="1680" w:id="1811156363"/>
              </w:rPr>
              <w:t>采购代理机构</w:t>
            </w:r>
            <w:r>
              <w:rPr>
                <w:rFonts w:hint="eastAsia" w:ascii="隶书" w:hAnsi="隶书" w:eastAsia="隶书" w:cs="隶书"/>
                <w:color w:val="auto"/>
                <w:sz w:val="28"/>
                <w:szCs w:val="28"/>
                <w:highlight w:val="none"/>
              </w:rPr>
              <w:t>：</w:t>
            </w:r>
          </w:p>
        </w:tc>
        <w:tc>
          <w:tcPr>
            <w:tcW w:w="5445" w:type="dxa"/>
            <w:vAlign w:val="top"/>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宋体" w:eastAsia="隶书"/>
                <w:color w:val="auto"/>
                <w:sz w:val="28"/>
                <w:szCs w:val="28"/>
                <w:highlight w:val="none"/>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隶书" w:eastAsia="隶书" w:cs="隶书"/>
                <w:color w:val="auto"/>
                <w:spacing w:val="93"/>
                <w:kern w:val="0"/>
                <w:sz w:val="28"/>
                <w:szCs w:val="28"/>
                <w:highlight w:val="none"/>
                <w:fitText w:val="1680" w:id="652623389"/>
              </w:rPr>
              <w:t>监督单</w:t>
            </w:r>
            <w:r>
              <w:rPr>
                <w:rFonts w:hint="eastAsia" w:ascii="隶书" w:hAnsi="隶书" w:eastAsia="隶书" w:cs="隶书"/>
                <w:color w:val="auto"/>
                <w:spacing w:val="1"/>
                <w:kern w:val="0"/>
                <w:sz w:val="28"/>
                <w:szCs w:val="28"/>
                <w:highlight w:val="none"/>
                <w:fitText w:val="1680" w:id="652623389"/>
              </w:rPr>
              <w:t>位</w:t>
            </w:r>
            <w:r>
              <w:rPr>
                <w:rFonts w:hint="eastAsia" w:ascii="隶书" w:hAnsi="隶书" w:eastAsia="隶书" w:cs="隶书"/>
                <w:color w:val="auto"/>
                <w:sz w:val="28"/>
                <w:szCs w:val="28"/>
                <w:highlight w:val="none"/>
              </w:rPr>
              <w:t>：</w:t>
            </w:r>
          </w:p>
        </w:tc>
        <w:tc>
          <w:tcPr>
            <w:tcW w:w="5445" w:type="dxa"/>
            <w:vAlign w:val="top"/>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宋体" w:eastAsia="隶书"/>
                <w:color w:val="auto"/>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vAlign w:val="center"/>
          </w:tcPr>
          <w:p>
            <w:pPr>
              <w:kinsoku/>
              <w:wordWrap w:val="0"/>
              <w:overflowPunct/>
              <w:topLinePunct w:val="0"/>
              <w:bidi w:val="0"/>
              <w:spacing w:after="100" w:afterAutospacing="1" w:line="440" w:lineRule="exact"/>
              <w:rPr>
                <w:rFonts w:hint="eastAsia" w:ascii="隶书" w:hAnsi="隶书" w:eastAsia="隶书" w:cs="隶书"/>
                <w:color w:val="auto"/>
                <w:spacing w:val="1400"/>
                <w:kern w:val="0"/>
                <w:sz w:val="28"/>
                <w:szCs w:val="28"/>
                <w:highlight w:val="none"/>
                <w:fitText w:val="1680" w:id="1"/>
              </w:rPr>
            </w:pPr>
          </w:p>
        </w:tc>
        <w:tc>
          <w:tcPr>
            <w:tcW w:w="5445" w:type="dxa"/>
            <w:vAlign w:val="top"/>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宋体" w:eastAsia="隶书"/>
                <w:color w:val="auto"/>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kinsoku/>
              <w:wordWrap w:val="0"/>
              <w:overflowPunct/>
              <w:topLinePunct w:val="0"/>
              <w:bidi w:val="0"/>
              <w:spacing w:after="100" w:afterAutospacing="1" w:line="440" w:lineRule="exact"/>
              <w:jc w:val="center"/>
              <w:rPr>
                <w:rFonts w:hint="eastAsia" w:ascii="隶书" w:hAnsi="隶书" w:eastAsia="隶书" w:cs="隶书"/>
                <w:color w:val="auto"/>
                <w:sz w:val="28"/>
                <w:szCs w:val="28"/>
                <w:highlight w:val="none"/>
              </w:rPr>
            </w:pPr>
            <w:r>
              <w:rPr>
                <w:rFonts w:hint="eastAsia" w:ascii="隶书" w:hAnsi="隶书" w:eastAsia="隶书" w:cs="隶书"/>
                <w:color w:val="auto"/>
                <w:sz w:val="28"/>
                <w:szCs w:val="28"/>
                <w:highlight w:val="none"/>
              </w:rPr>
              <w:t>二○二</w:t>
            </w:r>
            <w:r>
              <w:rPr>
                <w:rFonts w:hint="eastAsia" w:ascii="隶书" w:hAnsi="隶书" w:eastAsia="隶书" w:cs="隶书"/>
                <w:color w:val="auto"/>
                <w:sz w:val="28"/>
                <w:szCs w:val="28"/>
                <w:highlight w:val="none"/>
                <w:lang w:val="en-US" w:eastAsia="zh-CN"/>
              </w:rPr>
              <w:t>五</w:t>
            </w:r>
            <w:r>
              <w:rPr>
                <w:rFonts w:hint="eastAsia" w:ascii="隶书" w:hAnsi="隶书" w:eastAsia="隶书" w:cs="隶书"/>
                <w:color w:val="auto"/>
                <w:sz w:val="28"/>
                <w:szCs w:val="28"/>
                <w:highlight w:val="none"/>
              </w:rPr>
              <w:t>年</w:t>
            </w:r>
            <w:r>
              <w:rPr>
                <w:rFonts w:hint="eastAsia" w:ascii="隶书" w:hAnsi="隶书" w:eastAsia="隶书" w:cs="隶书"/>
                <w:color w:val="auto"/>
                <w:sz w:val="28"/>
                <w:szCs w:val="28"/>
                <w:highlight w:val="none"/>
                <w:lang w:val="en-US" w:eastAsia="zh-CN"/>
              </w:rPr>
              <w:t>七</w:t>
            </w:r>
            <w:r>
              <w:rPr>
                <w:rFonts w:hint="eastAsia" w:ascii="隶书" w:hAnsi="隶书" w:eastAsia="隶书" w:cs="隶书"/>
                <w:color w:val="auto"/>
                <w:sz w:val="28"/>
                <w:szCs w:val="28"/>
                <w:highlight w:val="none"/>
              </w:rPr>
              <w:t>月</w:t>
            </w:r>
          </w:p>
        </w:tc>
      </w:tr>
    </w:tbl>
    <w:p>
      <w:pPr>
        <w:pStyle w:val="635"/>
        <w:kinsoku/>
        <w:wordWrap w:val="0"/>
        <w:overflowPunct/>
        <w:topLinePunct w:val="0"/>
        <w:bidi w:val="0"/>
        <w:rPr>
          <w:rFonts w:hint="eastAsia" w:ascii="仿宋" w:hAnsi="仿宋" w:eastAsia="仿宋" w:cs="仿宋"/>
          <w:color w:val="auto"/>
          <w:highlight w:val="none"/>
        </w:rPr>
        <w:sectPr>
          <w:headerReference r:id="rId4" w:type="first"/>
          <w:headerReference r:id="rId3" w:type="default"/>
          <w:footerReference r:id="rId5" w:type="default"/>
          <w:footerReference r:id="rId6" w:type="even"/>
          <w:pgSz w:w="11906" w:h="16838"/>
          <w:pgMar w:top="1474" w:right="1814" w:bottom="1474" w:left="1814" w:header="851" w:footer="992" w:gutter="0"/>
          <w:pgNumType w:fmt="decimal" w:start="1"/>
          <w:cols w:space="720" w:num="1"/>
          <w:titlePg/>
          <w:docGrid w:linePitch="312" w:charSpace="0"/>
        </w:sectPr>
      </w:pPr>
    </w:p>
    <w:p>
      <w:pPr>
        <w:pStyle w:val="635"/>
        <w:pageBreakBefore w:val="0"/>
        <w:widowControl w:val="0"/>
        <w:kinsoku/>
        <w:wordWrap w:val="0"/>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rPr>
          <w:rFonts w:hint="eastAsia" w:ascii="仿宋" w:hAnsi="仿宋" w:eastAsia="仿宋" w:cs="仿宋"/>
          <w:color w:val="auto"/>
          <w:sz w:val="24"/>
          <w:highlight w:val="none"/>
        </w:rPr>
      </w:pPr>
    </w:p>
    <w:bookmarkEnd w:id="1"/>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headerReference r:id="rId8" w:type="first"/>
          <w:footerReference r:id="rId10" w:type="first"/>
          <w:headerReference r:id="rId7" w:type="default"/>
          <w:footerReference r:id="rId9" w:type="default"/>
          <w:pgSz w:w="11906" w:h="16838"/>
          <w:pgMar w:top="1474" w:right="1814" w:bottom="1474" w:left="1814" w:header="851" w:footer="992" w:gutter="0"/>
          <w:pgNumType w:fmt="decimal"/>
          <w:cols w:space="720" w:num="1"/>
          <w:titlePg/>
          <w:docGrid w:linePitch="312" w:charSpace="0"/>
        </w:sectPr>
      </w:pPr>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项目概况</w:t>
      </w:r>
      <w:r>
        <w:rPr>
          <w:rFonts w:hint="eastAsia" w:ascii="仿宋_GB2312" w:hAnsi="仿宋_GB2312" w:eastAsia="仿宋_GB2312" w:cs="仿宋_GB2312"/>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u w:val="single"/>
          <w:lang w:val="en-US" w:eastAsia="zh-CN"/>
        </w:rPr>
        <w:t xml:space="preserve"> 绍兴市第八中学物业管理服务项目</w:t>
      </w:r>
      <w:r>
        <w:rPr>
          <w:rFonts w:hint="eastAsia" w:ascii="仿宋_GB2312" w:hAnsi="仿宋_GB2312" w:eastAsia="仿宋_GB2312" w:cs="仿宋_GB2312"/>
          <w:color w:val="auto"/>
          <w:sz w:val="24"/>
          <w:highlight w:val="none"/>
        </w:rPr>
        <w:t>招标项目的潜在投标人应在政采云平台（</w:t>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HYPERLINK "https://www.zcygov.cn/）获取（下载）招标文件，并于202%20年%20月%20日%20点%20分00秒" </w:instrText>
      </w:r>
      <w:r>
        <w:rPr>
          <w:rFonts w:hint="eastAsia" w:ascii="仿宋_GB2312" w:hAnsi="仿宋_GB2312" w:eastAsia="仿宋_GB2312" w:cs="仿宋_GB2312"/>
          <w:color w:val="auto"/>
          <w:highlight w:val="none"/>
        </w:rPr>
        <w:fldChar w:fldCharType="separate"/>
      </w:r>
      <w:r>
        <w:rPr>
          <w:rStyle w:val="76"/>
          <w:rFonts w:hint="eastAsia" w:ascii="仿宋_GB2312" w:hAnsi="仿宋_GB2312" w:eastAsia="仿宋_GB2312" w:cs="仿宋_GB2312"/>
          <w:snapToGrid/>
          <w:color w:val="auto"/>
          <w:kern w:val="2"/>
          <w:sz w:val="24"/>
          <w:szCs w:val="24"/>
          <w:highlight w:val="none"/>
        </w:rPr>
        <w:t>https://www.zcygov.cn/）获取（下载）招标文件，并于202</w:t>
      </w:r>
      <w:r>
        <w:rPr>
          <w:rStyle w:val="76"/>
          <w:rFonts w:hint="eastAsia" w:ascii="仿宋_GB2312" w:hAnsi="仿宋_GB2312" w:eastAsia="仿宋_GB2312" w:cs="仿宋_GB2312"/>
          <w:snapToGrid/>
          <w:color w:val="auto"/>
          <w:kern w:val="2"/>
          <w:sz w:val="24"/>
          <w:szCs w:val="24"/>
          <w:highlight w:val="none"/>
          <w:lang w:val="en-US" w:eastAsia="zh-CN"/>
        </w:rPr>
        <w:t>5</w:t>
      </w:r>
      <w:r>
        <w:rPr>
          <w:rStyle w:val="76"/>
          <w:rFonts w:hint="eastAsia" w:ascii="仿宋_GB2312" w:hAnsi="仿宋_GB2312" w:eastAsia="仿宋_GB2312" w:cs="仿宋_GB2312"/>
          <w:snapToGrid/>
          <w:color w:val="auto"/>
          <w:kern w:val="2"/>
          <w:sz w:val="24"/>
          <w:szCs w:val="24"/>
          <w:highlight w:val="none"/>
        </w:rPr>
        <w:t>年</w:t>
      </w:r>
      <w:r>
        <w:rPr>
          <w:rStyle w:val="76"/>
          <w:rFonts w:hint="eastAsia" w:ascii="仿宋_GB2312" w:hAnsi="仿宋_GB2312" w:eastAsia="仿宋_GB2312" w:cs="仿宋_GB2312"/>
          <w:snapToGrid/>
          <w:color w:val="auto"/>
          <w:kern w:val="2"/>
          <w:sz w:val="24"/>
          <w:szCs w:val="24"/>
          <w:highlight w:val="none"/>
          <w:lang w:val="en-US" w:eastAsia="zh-CN"/>
        </w:rPr>
        <w:t xml:space="preserve">  </w:t>
      </w:r>
      <w:r>
        <w:rPr>
          <w:rStyle w:val="76"/>
          <w:rFonts w:hint="eastAsia" w:ascii="仿宋_GB2312" w:hAnsi="仿宋_GB2312" w:eastAsia="仿宋_GB2312" w:cs="仿宋_GB2312"/>
          <w:snapToGrid/>
          <w:color w:val="auto"/>
          <w:kern w:val="2"/>
          <w:sz w:val="24"/>
          <w:szCs w:val="24"/>
          <w:highlight w:val="none"/>
        </w:rPr>
        <w:t>月</w:t>
      </w:r>
      <w:r>
        <w:rPr>
          <w:rStyle w:val="76"/>
          <w:rFonts w:hint="eastAsia" w:ascii="仿宋_GB2312" w:hAnsi="仿宋_GB2312" w:eastAsia="仿宋_GB2312" w:cs="仿宋_GB2312"/>
          <w:snapToGrid/>
          <w:color w:val="auto"/>
          <w:kern w:val="2"/>
          <w:sz w:val="24"/>
          <w:szCs w:val="24"/>
          <w:highlight w:val="none"/>
          <w:lang w:val="en-US" w:eastAsia="zh-CN"/>
        </w:rPr>
        <w:t xml:space="preserve">  </w:t>
      </w:r>
      <w:r>
        <w:rPr>
          <w:rStyle w:val="76"/>
          <w:rFonts w:hint="eastAsia" w:ascii="仿宋_GB2312" w:hAnsi="仿宋_GB2312" w:eastAsia="仿宋_GB2312" w:cs="仿宋_GB2312"/>
          <w:snapToGrid/>
          <w:color w:val="auto"/>
          <w:kern w:val="2"/>
          <w:sz w:val="24"/>
          <w:szCs w:val="24"/>
          <w:highlight w:val="none"/>
        </w:rPr>
        <w:t>日</w:t>
      </w:r>
      <w:r>
        <w:rPr>
          <w:rStyle w:val="76"/>
          <w:rFonts w:hint="eastAsia" w:ascii="仿宋_GB2312" w:hAnsi="仿宋_GB2312" w:eastAsia="仿宋_GB2312" w:cs="仿宋_GB2312"/>
          <w:snapToGrid/>
          <w:color w:val="auto"/>
          <w:kern w:val="2"/>
          <w:sz w:val="24"/>
          <w:szCs w:val="24"/>
          <w:highlight w:val="none"/>
          <w:lang w:val="en-US" w:eastAsia="zh-CN"/>
        </w:rPr>
        <w:t>9</w:t>
      </w:r>
      <w:r>
        <w:rPr>
          <w:rStyle w:val="76"/>
          <w:rFonts w:hint="eastAsia" w:ascii="仿宋_GB2312" w:hAnsi="仿宋_GB2312" w:eastAsia="仿宋_GB2312" w:cs="仿宋_GB2312"/>
          <w:snapToGrid/>
          <w:color w:val="auto"/>
          <w:kern w:val="2"/>
          <w:sz w:val="24"/>
          <w:szCs w:val="24"/>
          <w:highlight w:val="none"/>
        </w:rPr>
        <w:t>点</w:t>
      </w:r>
      <w:r>
        <w:rPr>
          <w:rStyle w:val="76"/>
          <w:rFonts w:hint="eastAsia" w:ascii="仿宋_GB2312" w:hAnsi="仿宋_GB2312" w:eastAsia="仿宋_GB2312" w:cs="仿宋_GB2312"/>
          <w:snapToGrid/>
          <w:color w:val="auto"/>
          <w:kern w:val="2"/>
          <w:sz w:val="24"/>
          <w:szCs w:val="24"/>
          <w:highlight w:val="none"/>
          <w:lang w:val="en-US" w:eastAsia="zh-CN"/>
        </w:rPr>
        <w:t>00</w:t>
      </w:r>
      <w:r>
        <w:rPr>
          <w:rStyle w:val="76"/>
          <w:rFonts w:hint="eastAsia" w:ascii="仿宋_GB2312" w:hAnsi="仿宋_GB2312" w:eastAsia="仿宋_GB2312" w:cs="仿宋_GB2312"/>
          <w:snapToGrid/>
          <w:color w:val="auto"/>
          <w:kern w:val="2"/>
          <w:sz w:val="24"/>
          <w:szCs w:val="24"/>
          <w:highlight w:val="none"/>
        </w:rPr>
        <w:t>分</w:t>
      </w:r>
      <w:r>
        <w:rPr>
          <w:rStyle w:val="76"/>
          <w:rFonts w:hint="eastAsia" w:ascii="仿宋_GB2312" w:hAnsi="仿宋_GB2312" w:eastAsia="仿宋_GB2312" w:cs="仿宋_GB2312"/>
          <w:bCs/>
          <w:snapToGrid/>
          <w:color w:val="auto"/>
          <w:kern w:val="2"/>
          <w:sz w:val="24"/>
          <w:szCs w:val="24"/>
          <w:highlight w:val="none"/>
        </w:rPr>
        <w:t>00秒</w:t>
      </w:r>
      <w:r>
        <w:rPr>
          <w:rStyle w:val="76"/>
          <w:rFonts w:hint="eastAsia" w:ascii="仿宋_GB2312" w:hAnsi="仿宋_GB2312" w:eastAsia="仿宋_GB2312" w:cs="仿宋_GB2312"/>
          <w:bCs/>
          <w:snapToGrid/>
          <w:color w:val="auto"/>
          <w:kern w:val="2"/>
          <w:sz w:val="24"/>
          <w:szCs w:val="24"/>
          <w:highlight w:val="none"/>
        </w:rPr>
        <w:fldChar w:fldCharType="end"/>
      </w:r>
      <w:r>
        <w:rPr>
          <w:rFonts w:hint="eastAsia" w:ascii="仿宋_GB2312" w:hAnsi="仿宋_GB2312" w:eastAsia="仿宋_GB2312" w:cs="仿宋_GB2312"/>
          <w:bCs/>
          <w:color w:val="auto"/>
          <w:sz w:val="24"/>
          <w:highlight w:val="none"/>
        </w:rPr>
        <w:t>（北京时间）前</w:t>
      </w:r>
      <w:r>
        <w:rPr>
          <w:rFonts w:hint="eastAsia" w:ascii="仿宋_GB2312" w:hAnsi="仿宋_GB2312" w:eastAsia="仿宋_GB2312" w:cs="仿宋_GB2312"/>
          <w:color w:val="auto"/>
          <w:sz w:val="24"/>
          <w:highlight w:val="none"/>
        </w:rPr>
        <w:t>递交（上传）投标文件。</w:t>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val="0"/>
          <w:bCs/>
          <w:color w:val="auto"/>
          <w:sz w:val="24"/>
          <w:highlight w:val="none"/>
        </w:rPr>
        <w:t xml:space="preserve">一、项目基本情况  </w:t>
      </w:r>
      <w:r>
        <w:rPr>
          <w:rFonts w:hint="eastAsia" w:ascii="仿宋_GB2312" w:hAnsi="仿宋_GB2312" w:eastAsia="仿宋_GB2312" w:cs="仿宋_GB2312"/>
          <w:b/>
          <w:color w:val="auto"/>
          <w:sz w:val="24"/>
          <w:highlight w:val="none"/>
        </w:rPr>
        <w:t xml:space="preserve">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项目编号：</w:t>
      </w:r>
      <w:r>
        <w:rPr>
          <w:rFonts w:hint="eastAsia" w:ascii="仿宋_GB2312" w:hAnsi="仿宋_GB2312" w:eastAsia="仿宋_GB2312" w:cs="仿宋_GB2312"/>
          <w:color w:val="auto"/>
          <w:sz w:val="24"/>
          <w:highlight w:val="none"/>
          <w:lang w:eastAsia="zh-CN"/>
        </w:rPr>
        <w:t>2025-07-0056</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项目名称：</w:t>
      </w:r>
      <w:r>
        <w:rPr>
          <w:rFonts w:hint="eastAsia" w:ascii="仿宋_GB2312" w:hAnsi="仿宋_GB2312" w:eastAsia="仿宋_GB2312" w:cs="仿宋_GB2312"/>
          <w:bCs/>
          <w:color w:val="auto"/>
          <w:sz w:val="24"/>
          <w:highlight w:val="none"/>
          <w:lang w:eastAsia="zh-CN"/>
        </w:rPr>
        <w:t>绍兴市第八中学物业管理服务项目</w:t>
      </w:r>
      <w:r>
        <w:rPr>
          <w:rFonts w:hint="eastAsia" w:ascii="仿宋_GB2312" w:hAnsi="仿宋_GB2312" w:eastAsia="仿宋_GB2312" w:cs="仿宋_GB2312"/>
          <w:color w:val="auto"/>
          <w:sz w:val="24"/>
          <w:highlight w:val="none"/>
          <w:lang w:val="en-US" w:eastAsia="zh-CN"/>
        </w:rPr>
        <w:t xml:space="preserve">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预算金额（元）：</w:t>
      </w:r>
      <w:r>
        <w:rPr>
          <w:rFonts w:hint="eastAsia" w:ascii="仿宋_GB2312" w:hAnsi="仿宋_GB2312" w:eastAsia="仿宋_GB2312" w:cs="仿宋_GB2312"/>
          <w:b w:val="0"/>
          <w:bCs/>
          <w:color w:val="auto"/>
          <w:sz w:val="24"/>
          <w:highlight w:val="none"/>
          <w:lang w:val="en-US" w:eastAsia="zh-CN"/>
        </w:rPr>
        <w:t>939900</w:t>
      </w:r>
      <w:r>
        <w:rPr>
          <w:rFonts w:hint="eastAsia" w:ascii="仿宋_GB2312" w:hAnsi="仿宋_GB2312" w:eastAsia="仿宋_GB2312" w:cs="仿宋_GB2312"/>
          <w:b/>
          <w:color w:val="auto"/>
          <w:sz w:val="24"/>
          <w:highlight w:val="none"/>
        </w:rPr>
        <w:t xml:space="preserve">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最高限价（元）：</w:t>
      </w:r>
      <w:r>
        <w:rPr>
          <w:rFonts w:hint="eastAsia" w:ascii="仿宋_GB2312" w:hAnsi="仿宋_GB2312" w:eastAsia="仿宋_GB2312" w:cs="仿宋_GB2312"/>
          <w:b w:val="0"/>
          <w:bCs/>
          <w:color w:val="auto"/>
          <w:sz w:val="24"/>
          <w:highlight w:val="none"/>
          <w:lang w:val="en-US" w:eastAsia="zh-CN"/>
        </w:rPr>
        <w:t>939900</w:t>
      </w:r>
      <w:r>
        <w:rPr>
          <w:rFonts w:hint="eastAsia" w:ascii="仿宋_GB2312" w:hAnsi="仿宋_GB2312" w:eastAsia="仿宋_GB2312" w:cs="仿宋_GB2312"/>
          <w:b/>
          <w:color w:val="auto"/>
          <w:sz w:val="24"/>
          <w:highlight w:val="none"/>
        </w:rPr>
        <w:t xml:space="preserve">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采购需求：</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标项一：</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标项名称：</w:t>
      </w:r>
      <w:r>
        <w:rPr>
          <w:rFonts w:hint="eastAsia" w:ascii="仿宋_GB2312" w:hAnsi="仿宋_GB2312" w:eastAsia="仿宋_GB2312" w:cs="仿宋_GB2312"/>
          <w:bCs/>
          <w:color w:val="auto"/>
          <w:sz w:val="24"/>
          <w:highlight w:val="none"/>
          <w:lang w:eastAsia="zh-CN"/>
        </w:rPr>
        <w:t>物业管理服务项目</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数量：1</w:t>
      </w:r>
    </w:p>
    <w:p>
      <w:pPr>
        <w:pageBreakBefore w:val="0"/>
        <w:widowControl w:val="0"/>
        <w:kinsoku/>
        <w:wordWrap w:val="0"/>
        <w:overflowPunct/>
        <w:topLinePunct w:val="0"/>
        <w:autoSpaceDE/>
        <w:autoSpaceDN/>
        <w:bidi w:val="0"/>
        <w:spacing w:line="360" w:lineRule="auto"/>
        <w:ind w:left="0" w:firstLine="480" w:firstLineChars="200"/>
        <w:textAlignment w:val="auto"/>
        <w:rPr>
          <w:rFonts w:hint="default"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预算金额：</w:t>
      </w:r>
      <w:r>
        <w:rPr>
          <w:rFonts w:hint="eastAsia" w:ascii="仿宋_GB2312" w:hAnsi="仿宋_GB2312" w:eastAsia="仿宋_GB2312" w:cs="仿宋_GB2312"/>
          <w:b w:val="0"/>
          <w:bCs/>
          <w:color w:val="auto"/>
          <w:sz w:val="24"/>
          <w:highlight w:val="none"/>
          <w:lang w:val="en-US" w:eastAsia="zh-CN"/>
        </w:rPr>
        <w:t>939900</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Cs/>
          <w:color w:val="auto"/>
          <w:sz w:val="24"/>
          <w:highlight w:val="none"/>
        </w:rPr>
        <w:t>主要内容： 简要规格描述或项目基本概况介绍、用途，详见采购文件</w:t>
      </w:r>
      <w:r>
        <w:rPr>
          <w:rFonts w:hint="eastAsia" w:ascii="仿宋_GB2312" w:hAnsi="仿宋_GB2312" w:eastAsia="仿宋_GB2312" w:cs="仿宋_GB2312"/>
          <w:b w:val="0"/>
          <w:bCs/>
          <w:color w:val="auto"/>
          <w:sz w:val="24"/>
          <w:highlight w:val="none"/>
        </w:rPr>
        <w:t>。</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合同履行期限</w:t>
      </w:r>
      <w:r>
        <w:rPr>
          <w:rFonts w:hint="eastAsia" w:ascii="仿宋_GB2312" w:hAnsi="仿宋_GB2312" w:eastAsia="仿宋_GB2312" w:cs="仿宋_GB2312"/>
          <w:color w:val="auto"/>
          <w:sz w:val="24"/>
          <w:highlight w:val="none"/>
        </w:rPr>
        <w:t>：按双方合同约定条款执行。</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sz w:val="24"/>
          <w:highlight w:val="none"/>
        </w:rPr>
        <w:t>本项目接受联合体投标：</w:t>
      </w:r>
      <w:sdt>
        <w:sdtPr>
          <w:rPr>
            <w:rFonts w:hint="eastAsia" w:ascii="仿宋_GB2312" w:hAnsi="仿宋_GB2312" w:eastAsia="仿宋_GB2312" w:cs="仿宋_GB2312"/>
            <w:kern w:val="0"/>
            <w:sz w:val="24"/>
            <w:highlight w:val="none"/>
          </w:rPr>
          <w:id w:val="253497051"/>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b/>
          <w:color w:val="auto"/>
          <w:sz w:val="24"/>
          <w:highlight w:val="none"/>
        </w:rPr>
        <w:t>是，☐否。</w:t>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二、申请人的资格要求</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_GB2312" w:hAnsi="仿宋_GB2312" w:eastAsia="仿宋_GB2312" w:cs="仿宋_GB2312"/>
          <w:snapToGrid w:val="0"/>
          <w:color w:val="auto"/>
          <w:kern w:val="28"/>
          <w:sz w:val="24"/>
          <w:szCs w:val="20"/>
          <w:highlight w:val="none"/>
          <w:lang w:val="en-US" w:eastAsia="zh-CN"/>
        </w:rPr>
        <w:t>重大税收违法失信主体</w:t>
      </w:r>
      <w:r>
        <w:rPr>
          <w:rFonts w:hint="eastAsia" w:ascii="仿宋_GB2312" w:hAnsi="仿宋_GB2312" w:eastAsia="仿宋_GB2312" w:cs="仿宋_GB2312"/>
          <w:snapToGrid w:val="0"/>
          <w:color w:val="auto"/>
          <w:kern w:val="28"/>
          <w:sz w:val="24"/>
          <w:szCs w:val="20"/>
          <w:highlight w:val="none"/>
        </w:rPr>
        <w:t>、政府采购严重违法失信行为记录名单；</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2.</w:t>
      </w: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snapToGrid w:val="0"/>
          <w:color w:val="auto"/>
          <w:kern w:val="28"/>
          <w:sz w:val="24"/>
          <w:szCs w:val="20"/>
          <w:highlight w:val="none"/>
        </w:rPr>
        <w:t>以联合体形式投标的，提供联合协议(本项目不接受联合体投标或者投标人不以联合体形式投标的，则不需要提供)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3.落实政府采购政策需满足的资格要求：</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kern w:val="0"/>
          <w:sz w:val="24"/>
          <w:szCs w:val="24"/>
          <w:highlight w:val="none"/>
          <w:lang w:val="en-US" w:eastAsia="zh-CN" w:bidi="ar-SA"/>
        </w:rPr>
        <w:t>☐</w:t>
      </w:r>
      <w:r>
        <w:rPr>
          <w:rFonts w:hint="eastAsia" w:ascii="仿宋_GB2312" w:hAnsi="仿宋_GB2312" w:eastAsia="仿宋_GB2312" w:cs="仿宋_GB2312"/>
          <w:color w:val="auto"/>
          <w:sz w:val="24"/>
          <w:highlight w:val="none"/>
        </w:rPr>
        <w:t>无</w:t>
      </w:r>
      <w:r>
        <w:rPr>
          <w:rFonts w:hint="eastAsia" w:ascii="仿宋_GB2312" w:hAnsi="仿宋_GB2312" w:eastAsia="仿宋_GB2312" w:cs="仿宋_GB2312"/>
          <w:color w:val="auto"/>
          <w:sz w:val="24"/>
          <w:highlight w:val="none"/>
          <w:lang w:eastAsia="zh-CN"/>
        </w:rPr>
        <w:t>；</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kern w:val="0"/>
            <w:sz w:val="24"/>
            <w:highlight w:val="none"/>
          </w:rPr>
          <w:id w:val="147452300"/>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color w:val="auto"/>
          <w:kern w:val="0"/>
          <w:sz w:val="24"/>
          <w:highlight w:val="none"/>
        </w:rPr>
        <w:t>专</w:t>
      </w:r>
      <w:r>
        <w:rPr>
          <w:rFonts w:hint="eastAsia" w:ascii="仿宋_GB2312" w:hAnsi="仿宋_GB2312" w:eastAsia="仿宋_GB2312" w:cs="仿宋_GB2312"/>
          <w:color w:val="auto"/>
          <w:sz w:val="24"/>
          <w:highlight w:val="none"/>
        </w:rPr>
        <w:t>门面向中小企业</w:t>
      </w:r>
    </w:p>
    <w:p>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kern w:val="0"/>
            <w:sz w:val="24"/>
            <w:highlight w:val="none"/>
          </w:rPr>
          <w:id w:val="147462191"/>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color w:val="auto"/>
          <w:sz w:val="24"/>
          <w:highlight w:val="none"/>
        </w:rPr>
        <w:t>服务全部由符合政策要求的中小企业承接，提供中小企业声明函；</w:t>
      </w:r>
    </w:p>
    <w:p>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szCs w:val="24"/>
          <w:highlight w:val="none"/>
          <w:lang w:val="en-US" w:eastAsia="zh-CN" w:bidi="ar-SA"/>
        </w:rPr>
        <w:t>☐</w:t>
      </w:r>
      <w:r>
        <w:rPr>
          <w:rFonts w:hint="eastAsia" w:ascii="仿宋_GB2312" w:hAnsi="仿宋_GB2312" w:eastAsia="仿宋_GB2312" w:cs="仿宋_GB2312"/>
          <w:color w:val="auto"/>
          <w:sz w:val="24"/>
          <w:highlight w:val="none"/>
        </w:rPr>
        <w:t>服务全部由符合政策要求的小微企业承接，提供中小企业声明函；</w:t>
      </w:r>
    </w:p>
    <w:p>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要求以联合体形式参加，提供联合协议和中小企业声明函，联合协议中中小企业合同金额应当达到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要求合同分包，提供分包意向协议和中小企业声明函，分包意向协议中中小企业合同金额应当达到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_GB2312" w:hAnsi="仿宋_GB2312" w:eastAsia="仿宋_GB2312" w:cs="仿宋_GB2312"/>
          <w:color w:val="auto"/>
          <w:sz w:val="24"/>
          <w:highlight w:val="none"/>
        </w:rPr>
        <w:t>；</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4.本项目的特定资格要求：</w:t>
      </w:r>
      <w:r>
        <w:rPr>
          <w:rFonts w:hint="eastAsia" w:ascii="仿宋_GB2312" w:hAnsi="仿宋_GB2312" w:eastAsia="仿宋_GB2312" w:cs="仿宋_GB2312"/>
          <w:color w:val="auto"/>
          <w:sz w:val="24"/>
          <w:highlight w:val="none"/>
          <w:lang w:val="en-US" w:eastAsia="zh-CN"/>
        </w:rPr>
        <w:t>无</w:t>
      </w:r>
      <w:r>
        <w:rPr>
          <w:rFonts w:hint="eastAsia" w:ascii="仿宋_GB2312" w:hAnsi="仿宋_GB2312" w:eastAsia="仿宋_GB2312" w:cs="仿宋_GB2312"/>
          <w:color w:val="auto"/>
          <w:sz w:val="24"/>
          <w:highlight w:val="none"/>
        </w:rPr>
        <w:t>；</w:t>
      </w:r>
    </w:p>
    <w:p>
      <w:pPr>
        <w:pageBreakBefore w:val="0"/>
        <w:widowControl w:val="0"/>
        <w:kinsoku/>
        <w:wordWrap w:val="0"/>
        <w:overflowPunct/>
        <w:topLinePunct w:val="0"/>
        <w:autoSpaceDE/>
        <w:autoSpaceDN/>
        <w:bidi w:val="0"/>
        <w:snapToGrid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 xml:space="preserve">三、获取招标文件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时间：</w:t>
      </w:r>
      <w:r>
        <w:rPr>
          <w:rFonts w:hint="eastAsia" w:ascii="仿宋_GB2312" w:hAnsi="仿宋_GB2312" w:eastAsia="仿宋_GB2312" w:cs="仿宋_GB2312"/>
          <w:color w:val="auto"/>
          <w:sz w:val="24"/>
          <w:highlight w:val="none"/>
        </w:rPr>
        <w:t>/至</w:t>
      </w:r>
      <w:r>
        <w:rPr>
          <w:rFonts w:hint="eastAsia" w:ascii="仿宋_GB2312" w:hAnsi="仿宋_GB2312" w:eastAsia="仿宋_GB2312" w:cs="仿宋_GB2312"/>
          <w:color w:val="auto"/>
          <w:sz w:val="24"/>
          <w:highlight w:val="none"/>
          <w:u w:val="single"/>
        </w:rPr>
        <w:t>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 xml:space="preserve"> 年</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月</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日</w:t>
      </w:r>
      <w:r>
        <w:rPr>
          <w:rFonts w:hint="eastAsia" w:ascii="仿宋_GB2312" w:hAnsi="仿宋_GB2312" w:eastAsia="仿宋_GB2312" w:cs="仿宋_GB2312"/>
          <w:color w:val="auto"/>
          <w:sz w:val="24"/>
          <w:highlight w:val="none"/>
        </w:rPr>
        <w:t>，每天上午00:00至12:00 ，下午12:00至23:59（北京时间，线上获取法定节假日均可，线下获取文件法定节假日除外）</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地点（网址）：</w:t>
      </w:r>
      <w:r>
        <w:rPr>
          <w:rFonts w:hint="eastAsia" w:ascii="仿宋_GB2312" w:hAnsi="仿宋_GB2312" w:eastAsia="仿宋_GB2312" w:cs="仿宋_GB2312"/>
          <w:color w:val="auto"/>
          <w:sz w:val="24"/>
          <w:highlight w:val="none"/>
        </w:rPr>
        <w:t xml:space="preserve">政采云平台（https://www.zcygov.cn/）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方式：</w:t>
      </w:r>
      <w:r>
        <w:rPr>
          <w:rFonts w:hint="eastAsia" w:ascii="仿宋_GB2312" w:hAnsi="仿宋_GB2312" w:eastAsia="仿宋_GB2312" w:cs="仿宋_GB2312"/>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售价（元）：</w:t>
      </w:r>
      <w:r>
        <w:rPr>
          <w:rFonts w:hint="eastAsia" w:ascii="仿宋_GB2312" w:hAnsi="仿宋_GB2312" w:eastAsia="仿宋_GB2312" w:cs="仿宋_GB2312"/>
          <w:color w:val="auto"/>
          <w:sz w:val="24"/>
          <w:highlight w:val="none"/>
        </w:rPr>
        <w:t xml:space="preserve">0 </w:t>
      </w:r>
      <w:r>
        <w:rPr>
          <w:rFonts w:hint="eastAsia" w:ascii="仿宋_GB2312" w:hAnsi="仿宋_GB2312" w:eastAsia="仿宋_GB2312" w:cs="仿宋_GB2312"/>
          <w:color w:val="auto"/>
          <w:sz w:val="24"/>
          <w:highlight w:val="none"/>
        </w:rPr>
        <w:tab/>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四、提交投标文件截止时间、开标时间和地点</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提交投标文件截止时间：</w:t>
      </w:r>
      <w:r>
        <w:rPr>
          <w:rFonts w:hint="eastAsia" w:ascii="仿宋_GB2312" w:hAnsi="仿宋_GB2312" w:eastAsia="仿宋_GB2312" w:cs="仿宋_GB2312"/>
          <w:color w:val="auto"/>
          <w:sz w:val="24"/>
          <w:highlight w:val="none"/>
          <w:u w:val="single"/>
        </w:rPr>
        <w:t xml:space="preserve"> 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 xml:space="preserve"> 年</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月</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日</w:t>
      </w:r>
      <w:r>
        <w:rPr>
          <w:rFonts w:hint="eastAsia" w:ascii="仿宋_GB2312" w:hAnsi="仿宋_GB2312" w:eastAsia="仿宋_GB2312" w:cs="仿宋_GB2312"/>
          <w:color w:val="auto"/>
          <w:sz w:val="24"/>
          <w:highlight w:val="none"/>
          <w:u w:val="single"/>
          <w:lang w:val="en-US" w:eastAsia="zh-CN"/>
        </w:rPr>
        <w:t>9</w:t>
      </w:r>
      <w:r>
        <w:rPr>
          <w:rFonts w:hint="eastAsia" w:ascii="仿宋_GB2312" w:hAnsi="仿宋_GB2312" w:eastAsia="仿宋_GB2312" w:cs="仿宋_GB2312"/>
          <w:color w:val="auto"/>
          <w:sz w:val="24"/>
          <w:highlight w:val="none"/>
          <w:u w:val="single"/>
        </w:rPr>
        <w:t>点</w:t>
      </w:r>
      <w:r>
        <w:rPr>
          <w:rFonts w:hint="eastAsia" w:ascii="仿宋_GB2312" w:hAnsi="仿宋_GB2312" w:eastAsia="仿宋_GB2312" w:cs="仿宋_GB2312"/>
          <w:color w:val="auto"/>
          <w:sz w:val="24"/>
          <w:highlight w:val="none"/>
          <w:u w:val="single"/>
          <w:lang w:val="en-US" w:eastAsia="zh-CN"/>
        </w:rPr>
        <w:t>00</w:t>
      </w:r>
      <w:r>
        <w:rPr>
          <w:rFonts w:hint="eastAsia" w:ascii="仿宋_GB2312" w:hAnsi="仿宋_GB2312" w:eastAsia="仿宋_GB2312" w:cs="仿宋_GB2312"/>
          <w:color w:val="auto"/>
          <w:sz w:val="24"/>
          <w:highlight w:val="none"/>
          <w:u w:val="single"/>
        </w:rPr>
        <w:t>分00秒</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（北京时间）</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投标地点（网址）：</w:t>
      </w:r>
      <w:r>
        <w:rPr>
          <w:rFonts w:hint="eastAsia" w:ascii="仿宋_GB2312" w:hAnsi="仿宋_GB2312" w:eastAsia="仿宋_GB2312" w:cs="仿宋_GB2312"/>
          <w:color w:val="auto"/>
          <w:sz w:val="24"/>
          <w:highlight w:val="none"/>
        </w:rPr>
        <w:t xml:space="preserve">政采云平台（https://www.zcygov.cn/）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Cs/>
          <w:color w:val="auto"/>
          <w:sz w:val="24"/>
          <w:highlight w:val="none"/>
          <w:u w:val="single"/>
        </w:rPr>
      </w:pPr>
      <w:r>
        <w:rPr>
          <w:rFonts w:hint="eastAsia" w:ascii="仿宋_GB2312" w:hAnsi="仿宋_GB2312" w:eastAsia="仿宋_GB2312" w:cs="仿宋_GB2312"/>
          <w:b/>
          <w:color w:val="auto"/>
          <w:sz w:val="24"/>
          <w:highlight w:val="none"/>
        </w:rPr>
        <w:t>开标时间：</w:t>
      </w:r>
      <w:r>
        <w:rPr>
          <w:rFonts w:hint="eastAsia" w:ascii="仿宋_GB2312" w:hAnsi="仿宋_GB2312" w:eastAsia="仿宋_GB2312" w:cs="仿宋_GB2312"/>
          <w:color w:val="auto"/>
          <w:sz w:val="24"/>
          <w:highlight w:val="none"/>
          <w:u w:val="single"/>
        </w:rPr>
        <w:t>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 xml:space="preserve"> 年</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月</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日</w:t>
      </w:r>
      <w:r>
        <w:rPr>
          <w:rFonts w:hint="eastAsia" w:ascii="仿宋_GB2312" w:hAnsi="仿宋_GB2312" w:eastAsia="仿宋_GB2312" w:cs="仿宋_GB2312"/>
          <w:color w:val="auto"/>
          <w:sz w:val="24"/>
          <w:highlight w:val="none"/>
          <w:u w:val="single"/>
          <w:lang w:val="en-US" w:eastAsia="zh-CN"/>
        </w:rPr>
        <w:t>9</w:t>
      </w:r>
      <w:r>
        <w:rPr>
          <w:rFonts w:hint="eastAsia" w:ascii="仿宋_GB2312" w:hAnsi="仿宋_GB2312" w:eastAsia="仿宋_GB2312" w:cs="仿宋_GB2312"/>
          <w:color w:val="auto"/>
          <w:sz w:val="24"/>
          <w:highlight w:val="none"/>
          <w:u w:val="single"/>
        </w:rPr>
        <w:t>点</w:t>
      </w:r>
      <w:r>
        <w:rPr>
          <w:rFonts w:hint="eastAsia" w:ascii="仿宋_GB2312" w:hAnsi="仿宋_GB2312" w:eastAsia="仿宋_GB2312" w:cs="仿宋_GB2312"/>
          <w:color w:val="auto"/>
          <w:sz w:val="24"/>
          <w:highlight w:val="none"/>
          <w:u w:val="single"/>
          <w:lang w:val="en-US" w:eastAsia="zh-CN"/>
        </w:rPr>
        <w:t>00</w:t>
      </w:r>
      <w:r>
        <w:rPr>
          <w:rFonts w:hint="eastAsia" w:ascii="仿宋_GB2312" w:hAnsi="仿宋_GB2312" w:eastAsia="仿宋_GB2312" w:cs="仿宋_GB2312"/>
          <w:color w:val="auto"/>
          <w:sz w:val="24"/>
          <w:highlight w:val="none"/>
          <w:u w:val="single"/>
        </w:rPr>
        <w:t>分00秒</w:t>
      </w:r>
      <w:r>
        <w:rPr>
          <w:rFonts w:hint="eastAsia" w:ascii="仿宋_GB2312" w:hAnsi="仿宋_GB2312" w:eastAsia="仿宋_GB2312" w:cs="仿宋_GB2312"/>
          <w:bCs/>
          <w:color w:val="auto"/>
          <w:sz w:val="24"/>
          <w:highlight w:val="none"/>
          <w:u w:val="single"/>
        </w:rPr>
        <w:t xml:space="preserve">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开标地点（网址）：</w:t>
      </w:r>
      <w:r>
        <w:rPr>
          <w:rFonts w:hint="eastAsia" w:ascii="仿宋_GB2312" w:hAnsi="仿宋_GB2312" w:eastAsia="仿宋_GB2312" w:cs="仿宋_GB2312"/>
          <w:color w:val="auto"/>
          <w:sz w:val="24"/>
          <w:highlight w:val="none"/>
        </w:rPr>
        <w:t>政采云平台（https://www.zcygov.cn/）</w:t>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 xml:space="preserve">五、公告期限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自本公告发布之日起5个工作日。</w:t>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六、其他补充事宜</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1.《浙江省财政厅关于进一步发挥政府采购政策功能全力推动经济稳进提质的通知》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3号）、《浙江省财政厅关于进一步促进政府采购公平竞争打造最优营商环境的通知》（浙财采监〔2021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22号））、《浙江省财政厅关于进一步加大政府采购支持中小企业力度助力扎实稳住经济的通知》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8号）已分别于2022年1月29日、2022年2月1日和2022年7月1日开始实施，此前有关规定与上述文件内容不一致的，按上述文件要求执行。</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2.根据《浙江省财政厅关于进一步促进政府采购公平竞争打造最优营商环境的通知》（浙财采监〔2021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_GB2312" w:hAnsi="仿宋_GB2312" w:eastAsia="仿宋_GB2312" w:cs="仿宋_GB2312"/>
          <w:color w:val="auto"/>
          <w:sz w:val="24"/>
          <w:highlight w:val="none"/>
          <w:lang w:eastAsia="zh-CN"/>
        </w:rPr>
        <w:t>政务</w:t>
      </w:r>
      <w:r>
        <w:rPr>
          <w:rFonts w:hint="eastAsia" w:ascii="仿宋_GB2312" w:hAnsi="仿宋_GB2312" w:eastAsia="仿宋_GB2312" w:cs="仿宋_GB2312"/>
          <w:color w:val="auto"/>
          <w:sz w:val="24"/>
          <w:highlight w:val="none"/>
        </w:rPr>
        <w:t>服务网-政府采购投诉处理-在线办理。</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七、对本次采购提出询问、质疑、投诉，请按以下方式联系</w:t>
      </w:r>
    </w:p>
    <w:p>
      <w:pPr>
        <w:pStyle w:val="5"/>
        <w:pageBreakBefore w:val="0"/>
        <w:widowControl w:val="0"/>
        <w:numPr>
          <w:ilvl w:val="0"/>
          <w:numId w:val="0"/>
        </w:numPr>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szCs w:val="24"/>
          <w:highlight w:val="none"/>
        </w:rPr>
      </w:pPr>
      <w:bookmarkStart w:id="5" w:name="_Toc28359019"/>
      <w:bookmarkStart w:id="6" w:name="_Toc28359096"/>
      <w:bookmarkStart w:id="7" w:name="_Toc35393806"/>
      <w:bookmarkStart w:id="8" w:name="_Toc35393637"/>
      <w:r>
        <w:rPr>
          <w:rFonts w:hint="eastAsia" w:ascii="仿宋_GB2312" w:hAnsi="仿宋_GB2312" w:eastAsia="仿宋_GB2312" w:cs="仿宋_GB2312"/>
          <w:color w:val="auto"/>
          <w:sz w:val="24"/>
          <w:szCs w:val="24"/>
          <w:highlight w:val="none"/>
        </w:rPr>
        <w:t>1.采购人信息</w:t>
      </w:r>
      <w:bookmarkEnd w:id="5"/>
      <w:bookmarkEnd w:id="6"/>
      <w:bookmarkEnd w:id="7"/>
      <w:bookmarkEnd w:id="8"/>
      <w:r>
        <w:rPr>
          <w:rFonts w:hint="eastAsia" w:ascii="仿宋_GB2312" w:hAnsi="仿宋_GB2312" w:eastAsia="仿宋_GB2312" w:cs="仿宋_GB2312"/>
          <w:color w:val="auto"/>
          <w:sz w:val="24"/>
          <w:szCs w:val="24"/>
          <w:highlight w:val="none"/>
        </w:rPr>
        <w:t>：</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名    称：</w:t>
      </w:r>
      <w:r>
        <w:rPr>
          <w:rFonts w:hint="eastAsia" w:ascii="仿宋_GB2312" w:hAnsi="仿宋_GB2312" w:eastAsia="仿宋_GB2312" w:cs="仿宋_GB2312"/>
          <w:color w:val="auto"/>
          <w:sz w:val="24"/>
          <w:highlight w:val="none"/>
          <w:lang w:eastAsia="zh-CN"/>
        </w:rPr>
        <w:t>绍兴市第八中学</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    址：诸暨市东白湖镇西岩村</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传    真：</w:t>
      </w:r>
      <w:r>
        <w:rPr>
          <w:rFonts w:hint="eastAsia" w:ascii="仿宋_GB2312" w:hAnsi="仿宋_GB2312" w:eastAsia="仿宋_GB2312" w:cs="仿宋_GB2312"/>
          <w:color w:val="auto"/>
          <w:sz w:val="24"/>
          <w:highlight w:val="none"/>
          <w:lang w:val="en-US" w:eastAsia="zh-CN"/>
        </w:rPr>
        <w:t>/</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项目联系人（询问）： 何淼</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项目联系方式（询问）：13867527782</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质疑联系人：施永明  </w:t>
      </w:r>
    </w:p>
    <w:p>
      <w:pPr>
        <w:pageBreakBefore w:val="0"/>
        <w:widowControl w:val="0"/>
        <w:kinsoku/>
        <w:wordWrap w:val="0"/>
        <w:overflowPunct/>
        <w:topLinePunct w:val="0"/>
        <w:autoSpaceDE/>
        <w:autoSpaceDN/>
        <w:bidi w:val="0"/>
        <w:spacing w:line="360" w:lineRule="auto"/>
        <w:ind w:left="0" w:firstLine="480" w:firstLineChars="200"/>
        <w:textAlignment w:val="auto"/>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质疑联系方式：13867550986</w:t>
      </w:r>
    </w:p>
    <w:p>
      <w:pPr>
        <w:pStyle w:val="5"/>
        <w:pageBreakBefore w:val="0"/>
        <w:widowControl w:val="0"/>
        <w:numPr>
          <w:ilvl w:val="0"/>
          <w:numId w:val="0"/>
        </w:numPr>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bookmarkStart w:id="9" w:name="_Toc28359097"/>
      <w:bookmarkStart w:id="10" w:name="_Toc28359020"/>
      <w:bookmarkStart w:id="11" w:name="_Toc35393807"/>
      <w:bookmarkStart w:id="12" w:name="_Toc35393638"/>
      <w:r>
        <w:rPr>
          <w:rFonts w:hint="eastAsia" w:ascii="仿宋_GB2312" w:hAnsi="仿宋_GB2312" w:eastAsia="仿宋_GB2312" w:cs="仿宋_GB2312"/>
          <w:color w:val="auto"/>
          <w:sz w:val="24"/>
          <w:szCs w:val="24"/>
          <w:highlight w:val="none"/>
        </w:rPr>
        <w:t>2.采购代理机构信息</w:t>
      </w:r>
      <w:bookmarkEnd w:id="9"/>
      <w:bookmarkEnd w:id="10"/>
      <w:bookmarkEnd w:id="11"/>
      <w:bookmarkEnd w:id="12"/>
      <w:r>
        <w:rPr>
          <w:rFonts w:hint="eastAsia" w:ascii="仿宋_GB2312" w:hAnsi="仿宋_GB2312" w:eastAsia="仿宋_GB2312" w:cs="仿宋_GB2312"/>
          <w:color w:val="auto"/>
          <w:sz w:val="24"/>
          <w:szCs w:val="24"/>
          <w:highlight w:val="none"/>
        </w:rPr>
        <w:t>：</w:t>
      </w:r>
      <w:bookmarkStart w:id="158" w:name="_GoBack"/>
      <w:bookmarkEnd w:id="158"/>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bookmarkStart w:id="13" w:name="_Toc28359021"/>
      <w:bookmarkStart w:id="14" w:name="_Toc35393639"/>
      <w:bookmarkStart w:id="15" w:name="_Toc28359098"/>
      <w:bookmarkStart w:id="16" w:name="_Toc35393808"/>
      <w:r>
        <w:rPr>
          <w:rFonts w:hint="eastAsia" w:ascii="仿宋_GB2312" w:hAnsi="仿宋_GB2312" w:eastAsia="仿宋_GB2312" w:cs="仿宋_GB2312"/>
          <w:b w:val="0"/>
          <w:bCs w:val="0"/>
          <w:color w:val="auto"/>
          <w:sz w:val="24"/>
          <w:highlight w:val="none"/>
        </w:rPr>
        <w:t>名</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b w:val="0"/>
          <w:bCs w:val="0"/>
          <w:color w:val="auto"/>
          <w:sz w:val="24"/>
          <w:highlight w:val="none"/>
        </w:rPr>
        <w:t>称：绍兴市公共资源交易中心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地</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b w:val="0"/>
          <w:bCs w:val="0"/>
          <w:color w:val="auto"/>
          <w:sz w:val="24"/>
          <w:highlight w:val="none"/>
        </w:rPr>
        <w:t>址：绍兴市越城区洋江西路699号</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传</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b w:val="0"/>
          <w:bCs w:val="0"/>
          <w:color w:val="auto"/>
          <w:sz w:val="24"/>
          <w:highlight w:val="none"/>
        </w:rPr>
        <w:t>真：</w:t>
      </w:r>
      <w:r>
        <w:rPr>
          <w:rFonts w:hint="eastAsia" w:ascii="仿宋_GB2312" w:hAnsi="仿宋_GB2312" w:eastAsia="仿宋_GB2312" w:cs="仿宋_GB2312"/>
          <w:b w:val="0"/>
          <w:bCs w:val="0"/>
          <w:color w:val="auto"/>
          <w:sz w:val="24"/>
          <w:highlight w:val="none"/>
          <w:lang w:val="en-US" w:eastAsia="zh-CN"/>
        </w:rPr>
        <w:t>/</w:t>
      </w:r>
      <w:r>
        <w:rPr>
          <w:rFonts w:hint="eastAsia" w:ascii="仿宋_GB2312" w:hAnsi="仿宋_GB2312" w:eastAsia="仿宋_GB2312" w:cs="仿宋_GB2312"/>
          <w:b w:val="0"/>
          <w:bCs w:val="0"/>
          <w:color w:val="auto"/>
          <w:sz w:val="24"/>
          <w:highlight w:val="none"/>
        </w:rPr>
        <w:t>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项目联系人（询问）：黄世杰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项目联系方式（询问）：0575-88307028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质疑联系人：顾梁杰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质疑联系方式：0575-88307026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bCs/>
          <w:color w:val="auto"/>
          <w:sz w:val="24"/>
          <w:highlight w:val="none"/>
        </w:rPr>
        <w:t>3.同级政府采购监督管理部门：</w:t>
      </w:r>
      <w:r>
        <w:rPr>
          <w:rFonts w:hint="eastAsia" w:ascii="仿宋_GB2312" w:hAnsi="仿宋_GB2312" w:eastAsia="仿宋_GB2312" w:cs="仿宋_GB2312"/>
          <w:b w:val="0"/>
          <w:bCs w:val="0"/>
          <w:color w:val="auto"/>
          <w:sz w:val="24"/>
          <w:highlight w:val="none"/>
        </w:rPr>
        <w:t xml:space="preserve">            </w:t>
      </w:r>
    </w:p>
    <w:bookmarkEnd w:id="13"/>
    <w:bookmarkEnd w:id="14"/>
    <w:bookmarkEnd w:id="15"/>
    <w:bookmarkEnd w:id="16"/>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lang w:val="en-US" w:eastAsia="zh-CN"/>
        </w:rPr>
      </w:pPr>
      <w:r>
        <w:rPr>
          <w:rFonts w:hint="eastAsia" w:ascii="仿宋_GB2312" w:hAnsi="仿宋_GB2312" w:eastAsia="仿宋_GB2312" w:cs="仿宋_GB2312"/>
          <w:b w:val="0"/>
          <w:bCs w:val="0"/>
          <w:color w:val="auto"/>
          <w:sz w:val="24"/>
          <w:highlight w:val="none"/>
          <w:lang w:val="en-US" w:eastAsia="zh-CN"/>
        </w:rPr>
        <w:t>名</w:t>
      </w:r>
      <w:r>
        <w:rPr>
          <w:rFonts w:hint="eastAsia" w:ascii="仿宋_GB2312" w:hAnsi="仿宋_GB2312" w:eastAsia="仿宋_GB2312" w:cs="仿宋_GB2312"/>
          <w:b w:val="0"/>
          <w:bCs w:val="0"/>
          <w:color w:val="auto"/>
          <w:sz w:val="24"/>
          <w:highlight w:val="none"/>
        </w:rPr>
        <w:t xml:space="preserve">    </w:t>
      </w:r>
      <w:r>
        <w:rPr>
          <w:rFonts w:hint="eastAsia" w:ascii="仿宋_GB2312" w:hAnsi="仿宋_GB2312" w:eastAsia="仿宋_GB2312" w:cs="仿宋_GB2312"/>
          <w:b w:val="0"/>
          <w:bCs w:val="0"/>
          <w:color w:val="auto"/>
          <w:sz w:val="24"/>
          <w:highlight w:val="none"/>
          <w:lang w:val="en-US" w:eastAsia="zh-CN"/>
        </w:rPr>
        <w:t>称：绍兴市财政局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lang w:val="en-US" w:eastAsia="zh-CN"/>
        </w:rPr>
      </w:pPr>
      <w:r>
        <w:rPr>
          <w:rFonts w:hint="eastAsia" w:ascii="仿宋_GB2312" w:hAnsi="仿宋_GB2312" w:eastAsia="仿宋_GB2312" w:cs="仿宋_GB2312"/>
          <w:b w:val="0"/>
          <w:bCs w:val="0"/>
          <w:color w:val="auto"/>
          <w:sz w:val="24"/>
          <w:highlight w:val="none"/>
          <w:lang w:val="en-US" w:eastAsia="zh-CN"/>
        </w:rPr>
        <w:t>地</w:t>
      </w:r>
      <w:r>
        <w:rPr>
          <w:rFonts w:hint="eastAsia" w:ascii="仿宋_GB2312" w:hAnsi="仿宋_GB2312" w:eastAsia="仿宋_GB2312" w:cs="仿宋_GB2312"/>
          <w:b w:val="0"/>
          <w:bCs w:val="0"/>
          <w:color w:val="auto"/>
          <w:sz w:val="24"/>
          <w:highlight w:val="none"/>
        </w:rPr>
        <w:t xml:space="preserve">    </w:t>
      </w:r>
      <w:r>
        <w:rPr>
          <w:rFonts w:hint="eastAsia" w:ascii="仿宋_GB2312" w:hAnsi="仿宋_GB2312" w:eastAsia="仿宋_GB2312" w:cs="仿宋_GB2312"/>
          <w:b w:val="0"/>
          <w:bCs w:val="0"/>
          <w:color w:val="auto"/>
          <w:sz w:val="24"/>
          <w:highlight w:val="none"/>
          <w:lang w:val="en-US" w:eastAsia="zh-CN"/>
        </w:rPr>
        <w:t>址：绍兴市越城区凤林西路151号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lang w:val="en-US" w:eastAsia="zh-CN"/>
        </w:rPr>
      </w:pPr>
      <w:r>
        <w:rPr>
          <w:rFonts w:hint="eastAsia" w:ascii="仿宋_GB2312" w:hAnsi="仿宋_GB2312" w:eastAsia="仿宋_GB2312" w:cs="仿宋_GB2312"/>
          <w:b w:val="0"/>
          <w:bCs w:val="0"/>
          <w:color w:val="auto"/>
          <w:sz w:val="24"/>
          <w:highlight w:val="none"/>
          <w:lang w:val="en-US" w:eastAsia="zh-CN"/>
        </w:rPr>
        <w:t>传</w:t>
      </w:r>
      <w:r>
        <w:rPr>
          <w:rFonts w:hint="eastAsia" w:ascii="仿宋_GB2312" w:hAnsi="仿宋_GB2312" w:eastAsia="仿宋_GB2312" w:cs="仿宋_GB2312"/>
          <w:b w:val="0"/>
          <w:bCs w:val="0"/>
          <w:color w:val="auto"/>
          <w:sz w:val="24"/>
          <w:highlight w:val="none"/>
        </w:rPr>
        <w:t xml:space="preserve">    </w:t>
      </w:r>
      <w:r>
        <w:rPr>
          <w:rFonts w:hint="eastAsia" w:ascii="仿宋_GB2312" w:hAnsi="仿宋_GB2312" w:eastAsia="仿宋_GB2312" w:cs="仿宋_GB2312"/>
          <w:b w:val="0"/>
          <w:bCs w:val="0"/>
          <w:color w:val="auto"/>
          <w:sz w:val="24"/>
          <w:highlight w:val="none"/>
          <w:lang w:val="en-US" w:eastAsia="zh-CN"/>
        </w:rPr>
        <w:t>真：0575-85209697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lang w:val="en-US" w:eastAsia="zh-CN"/>
        </w:rPr>
      </w:pPr>
      <w:r>
        <w:rPr>
          <w:rFonts w:hint="eastAsia" w:ascii="仿宋_GB2312" w:hAnsi="仿宋_GB2312" w:eastAsia="仿宋_GB2312" w:cs="仿宋_GB2312"/>
          <w:b w:val="0"/>
          <w:bCs w:val="0"/>
          <w:color w:val="auto"/>
          <w:sz w:val="24"/>
          <w:highlight w:val="none"/>
          <w:lang w:val="en-US" w:eastAsia="zh-CN"/>
        </w:rPr>
        <w:t xml:space="preserve">联 系 人 ：张婷婷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lang w:val="en-US" w:eastAsia="zh-CN"/>
        </w:rPr>
        <w:t xml:space="preserve">监督投诉电话：0575-85209697 </w:t>
      </w:r>
      <w:r>
        <w:rPr>
          <w:rFonts w:hint="eastAsia" w:ascii="仿宋_GB2312" w:hAnsi="仿宋_GB2312" w:eastAsia="仿宋_GB2312" w:cs="仿宋_GB2312"/>
          <w:b w:val="0"/>
          <w:bCs w:val="0"/>
          <w:color w:val="auto"/>
          <w:sz w:val="24"/>
          <w:highlight w:val="none"/>
        </w:rPr>
        <w:t xml:space="preserve">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CA问题联系电话（人工）：汇信CA 400-888-4636；天谷CA 400-087-8198。</w:t>
      </w:r>
    </w:p>
    <w:p>
      <w:pPr>
        <w:widowControl/>
        <w:kinsoku/>
        <w:wordWrap w:val="0"/>
        <w:overflowPunct/>
        <w:topLinePunct w:val="0"/>
        <w:bidi w:val="0"/>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pPr>
        <w:kinsoku/>
        <w:wordWrap w:val="0"/>
        <w:overflowPunct/>
        <w:topLinePunct w:val="0"/>
        <w:bidi w:val="0"/>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pPr>
              <w:keepNext w:val="0"/>
              <w:keepLines w:val="0"/>
              <w:pageBreakBefore w:val="0"/>
              <w:widowControl w:val="0"/>
              <w:kinsoku/>
              <w:wordWrap w:val="0"/>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keepNext w:val="0"/>
              <w:keepLines w:val="0"/>
              <w:pageBreakBefore w:val="0"/>
              <w:widowControl w:val="0"/>
              <w:kinsoku/>
              <w:wordWrap w:val="0"/>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sdt>
              <w:sdtPr>
                <w:rPr>
                  <w:rFonts w:hint="eastAsia" w:ascii="仿宋_GB2312" w:hAnsi="仿宋_GB2312" w:eastAsia="仿宋_GB2312" w:cs="仿宋_GB2312"/>
                  <w:kern w:val="0"/>
                  <w:sz w:val="24"/>
                  <w:highlight w:val="none"/>
                </w:rPr>
                <w:id w:val="147465157"/>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sdt>
              <w:sdtPr>
                <w:rPr>
                  <w:rFonts w:hint="eastAsia" w:ascii="仿宋_GB2312" w:hAnsi="仿宋_GB2312" w:eastAsia="仿宋_GB2312" w:cs="仿宋_GB2312"/>
                  <w:kern w:val="0"/>
                  <w:sz w:val="24"/>
                  <w:highlight w:val="none"/>
                </w:rPr>
                <w:id w:val="147476693"/>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sdt>
              <w:sdtPr>
                <w:rPr>
                  <w:rFonts w:hint="eastAsia" w:ascii="仿宋_GB2312" w:hAnsi="仿宋_GB2312" w:eastAsia="仿宋_GB2312" w:cs="仿宋_GB2312"/>
                  <w:kern w:val="0"/>
                  <w:sz w:val="24"/>
                  <w:highlight w:val="none"/>
                </w:rPr>
                <w:id w:val="147468096"/>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default"/>
                <w:color w:val="auto"/>
                <w:highlight w:val="none"/>
                <w:lang w:val="en-US"/>
              </w:rPr>
            </w:pPr>
            <w:r>
              <w:rPr>
                <w:rFonts w:hint="eastAsia" w:ascii="仿宋" w:hAnsi="仿宋" w:eastAsia="仿宋" w:cs="仿宋"/>
                <w:b w:val="0"/>
                <w:bCs w:val="0"/>
                <w:color w:val="auto"/>
                <w:sz w:val="24"/>
                <w:highlight w:val="none"/>
              </w:rPr>
              <w:t>（</w:t>
            </w:r>
            <w:r>
              <w:rPr>
                <w:rFonts w:hint="default"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kinsoku/>
              <w:wordWrap w:val="0"/>
              <w:overflowPunct/>
              <w:topLinePunct w:val="0"/>
              <w:bidi w:val="0"/>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pPr>
              <w:kinsoku/>
              <w:wordWrap w:val="0"/>
              <w:overflowPunct/>
              <w:topLinePunct w:val="0"/>
              <w:bidi w:val="0"/>
              <w:spacing w:beforeLines="0" w:afterLines="0" w:line="440" w:lineRule="exact"/>
              <w:rPr>
                <w:rFonts w:hint="eastAsia" w:ascii="仿宋" w:hAnsi="仿宋" w:eastAsia="仿宋" w:cs="仿宋"/>
                <w:color w:val="auto"/>
                <w:sz w:val="24"/>
                <w:szCs w:val="24"/>
                <w:highlight w:val="none"/>
              </w:rPr>
            </w:pPr>
            <w:sdt>
              <w:sdtPr>
                <w:rPr>
                  <w:rFonts w:hint="eastAsia" w:ascii="仿宋_GB2312" w:hAnsi="仿宋_GB2312" w:eastAsia="仿宋_GB2312" w:cs="仿宋_GB2312"/>
                  <w:kern w:val="0"/>
                  <w:sz w:val="24"/>
                  <w:highlight w:val="none"/>
                </w:rPr>
                <w:id w:val="147465216"/>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 w:hAnsi="仿宋" w:eastAsia="仿宋" w:cs="仿宋"/>
                <w:color w:val="auto"/>
                <w:sz w:val="24"/>
                <w:szCs w:val="24"/>
                <w:highlight w:val="none"/>
              </w:rPr>
              <w:t>A无方案讲解演示。</w:t>
            </w:r>
          </w:p>
          <w:p>
            <w:pPr>
              <w:kinsoku/>
              <w:wordWrap w:val="0"/>
              <w:overflowPunct/>
              <w:topLinePunct w:val="0"/>
              <w:bidi w:val="0"/>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pPr>
              <w:kinsoku/>
              <w:wordWrap w:val="0"/>
              <w:overflowPunct/>
              <w:topLinePunct w:val="0"/>
              <w:bidi w:val="0"/>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20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pPr>
              <w:kinsoku/>
              <w:wordWrap w:val="0"/>
              <w:overflowPunct/>
              <w:topLinePunct w:val="0"/>
              <w:bidi w:val="0"/>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pPr>
              <w:kinsoku/>
              <w:wordWrap w:val="0"/>
              <w:overflowPunct/>
              <w:topLinePunct w:val="0"/>
              <w:bidi w:val="0"/>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pPr>
              <w:kinsoku/>
              <w:wordWrap w:val="0"/>
              <w:overflowPunct/>
              <w:topLinePunct w:val="0"/>
              <w:bidi w:val="0"/>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sdt>
              <w:sdtPr>
                <w:rPr>
                  <w:rFonts w:hint="eastAsia" w:ascii="仿宋_GB2312" w:hAnsi="仿宋_GB2312" w:eastAsia="仿宋_GB2312" w:cs="仿宋_GB2312"/>
                  <w:kern w:val="0"/>
                  <w:sz w:val="24"/>
                  <w:highlight w:val="none"/>
                </w:rPr>
                <w:id w:val="147460936"/>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 w:hAnsi="仿宋" w:eastAsia="仿宋" w:cs="仿宋"/>
                <w:color w:val="auto"/>
                <w:kern w:val="0"/>
                <w:sz w:val="24"/>
                <w:highlight w:val="none"/>
              </w:rPr>
              <w:t>本项目不允许采购进口产品。</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sdt>
              <w:sdtPr>
                <w:rPr>
                  <w:rFonts w:hint="eastAsia" w:ascii="仿宋_GB2312" w:hAnsi="仿宋_GB2312" w:eastAsia="仿宋_GB2312" w:cs="仿宋_GB2312"/>
                  <w:kern w:val="0"/>
                  <w:sz w:val="24"/>
                  <w:highlight w:val="none"/>
                </w:rPr>
                <w:id w:val="147465252"/>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01标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物业管理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经查询列入失信被执行人名单、重大税收违法失信主体、政府采购严重违法失信行为记录名单的投标人将被拒绝参与政府采购活动。</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4</w:t>
            </w:r>
          </w:p>
        </w:tc>
        <w:tc>
          <w:tcPr>
            <w:tcW w:w="8370"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5</w:t>
            </w:r>
          </w:p>
        </w:tc>
        <w:tc>
          <w:tcPr>
            <w:tcW w:w="8370"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w:t>
            </w:r>
          </w:p>
        </w:tc>
        <w:tc>
          <w:tcPr>
            <w:tcW w:w="8370"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7</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sdt>
              <w:sdtPr>
                <w:rPr>
                  <w:rFonts w:hint="eastAsia" w:ascii="仿宋_GB2312" w:hAnsi="仿宋_GB2312" w:eastAsia="仿宋_GB2312" w:cs="仿宋_GB2312"/>
                  <w:kern w:val="0"/>
                  <w:sz w:val="24"/>
                  <w:highlight w:val="none"/>
                </w:rPr>
                <w:id w:val="147472263"/>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kinsoku/>
              <w:wordWrap w:val="0"/>
              <w:overflowPunct/>
              <w:topLinePunct w:val="0"/>
              <w:bidi w:val="0"/>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p>
        </w:tc>
        <w:tc>
          <w:tcPr>
            <w:tcW w:w="8370" w:type="dxa"/>
            <w:gridSpan w:val="2"/>
            <w:vAlign w:val="center"/>
          </w:tcPr>
          <w:p>
            <w:pPr>
              <w:kinsoku/>
              <w:wordWrap w:val="0"/>
              <w:overflowPunct/>
              <w:topLinePunct w:val="0"/>
              <w:bidi w:val="0"/>
              <w:spacing w:line="336" w:lineRule="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b/>
                <w:color w:val="auto"/>
                <w:sz w:val="24"/>
                <w:highlight w:val="none"/>
              </w:rPr>
              <w:t>采购代理服务费：</w:t>
            </w:r>
            <w:r>
              <w:rPr>
                <w:rFonts w:hint="eastAsia" w:ascii="仿宋" w:hAnsi="仿宋" w:eastAsia="仿宋" w:cs="仿宋"/>
                <w:b/>
                <w:color w:val="auto"/>
                <w:sz w:val="24"/>
                <w:highlight w:val="no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pPr>
        <w:keepNext w:val="0"/>
        <w:keepLines w:val="0"/>
        <w:pageBreakBefore w:val="0"/>
        <w:widowControl w:val="0"/>
        <w:kinsoku/>
        <w:wordWrap w:val="0"/>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_Toc164416483"/>
      <w:bookmarkStart w:id="18" w:name="第三部分"/>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pPr>
        <w:keepNext w:val="0"/>
        <w:keepLines w:val="0"/>
        <w:pageBreakBefore w:val="0"/>
        <w:kinsoku/>
        <w:wordWrap w:val="0"/>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1.适用范围</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val="0"/>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2.定义</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 “采购人”系指招标公告中载明的本项目的采购人。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 “</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”系指招标公告中载明的本项目的</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 “投标人”“供应商”系指是指响应招标、参加投标竞争的法人、其他组织或者自然人。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2.4</w:t>
      </w:r>
      <w:r>
        <w:rPr>
          <w:rFonts w:hint="eastAsia" w:ascii="仿宋_GB2312" w:hAnsi="仿宋_GB2312" w:eastAsia="仿宋_GB2312" w:cs="仿宋_GB2312"/>
          <w:color w:val="auto"/>
          <w:sz w:val="24"/>
          <w:highlight w:val="none"/>
        </w:rPr>
        <w:t>“监督单位”系指政府采购法定义监督管理部门</w:t>
      </w:r>
      <w:r>
        <w:rPr>
          <w:rFonts w:hint="eastAsia" w:ascii="仿宋_GB2312" w:hAnsi="仿宋_GB2312" w:eastAsia="仿宋_GB2312" w:cs="仿宋_GB2312"/>
          <w:color w:val="auto"/>
          <w:sz w:val="24"/>
          <w:highlight w:val="none"/>
          <w:lang w:val="en-US" w:eastAsia="zh-CN"/>
        </w:rPr>
        <w:t>。</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6</w:t>
      </w:r>
      <w:r>
        <w:rPr>
          <w:rFonts w:hint="eastAsia" w:ascii="仿宋_GB2312" w:hAnsi="仿宋_GB2312" w:eastAsia="仿宋_GB2312" w:cs="仿宋_GB2312"/>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“电子交易平台”</w:t>
      </w:r>
      <w:r>
        <w:rPr>
          <w:rFonts w:hint="eastAsia" w:ascii="仿宋_GB2312" w:hAnsi="仿宋_GB2312" w:eastAsia="仿宋_GB2312" w:cs="仿宋_GB2312"/>
          <w:color w:val="auto"/>
          <w:sz w:val="24"/>
          <w:highlight w:val="none"/>
          <w:lang w:val="en-US" w:eastAsia="zh-CN"/>
        </w:rPr>
        <w:t>系</w:t>
      </w:r>
      <w:r>
        <w:rPr>
          <w:rFonts w:hint="eastAsia" w:ascii="仿宋_GB2312" w:hAnsi="仿宋_GB2312" w:eastAsia="仿宋_GB2312" w:cs="仿宋_GB2312"/>
          <w:color w:val="auto"/>
          <w:sz w:val="24"/>
          <w:highlight w:val="none"/>
        </w:rPr>
        <w:t>指本项目政府采购活动所依托的政府采购云平台（https://www.zcygov.cn/）。</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sz w:val="24"/>
          <w:highlight w:val="none"/>
        </w:rPr>
        <w:t>”系指适用本项目的要求，“☐”系指不适用本项目的要求。</w:t>
      </w:r>
    </w:p>
    <w:p>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3.采购项目需要落实的政府采购政策</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 支持绿色发展</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kinsoku/>
        <w:wordWrap w:val="0"/>
        <w:overflowPunct/>
        <w:topLinePunct w:val="0"/>
        <w:bidi w:val="0"/>
        <w:spacing w:line="440" w:lineRule="exact"/>
        <w:ind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★3.2.2</w:t>
      </w:r>
      <w:r>
        <w:rPr>
          <w:rFonts w:hint="eastAsia" w:ascii="仿宋_GB2312" w:hAnsi="仿宋_GB2312" w:eastAsia="仿宋_GB2312" w:cs="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3.2.3 纳入政府采购管理的修缮、装修类项目采购建材的，采购单位</w:t>
      </w:r>
      <w:r>
        <w:rPr>
          <w:rFonts w:hint="eastAsia" w:ascii="仿宋_GB2312" w:hAnsi="仿宋_GB2312" w:eastAsia="仿宋_GB2312" w:cs="仿宋_GB2312"/>
          <w:color w:val="auto"/>
          <w:sz w:val="24"/>
          <w:highlight w:val="none"/>
          <w:lang w:eastAsia="zh-CN"/>
        </w:rPr>
        <w:t>应</w:t>
      </w:r>
      <w:r>
        <w:rPr>
          <w:rFonts w:hint="eastAsia" w:ascii="仿宋_GB2312" w:hAnsi="仿宋_GB2312" w:eastAsia="仿宋_GB2312" w:cs="仿宋_GB2312"/>
          <w:color w:val="auto"/>
          <w:sz w:val="24"/>
          <w:highlight w:val="none"/>
        </w:rPr>
        <w:t>将绿色建材性能、指标等作为实质性条件纳入采购文件和合同，具体性能指标要求</w:t>
      </w:r>
      <w:r>
        <w:rPr>
          <w:rFonts w:hint="eastAsia" w:ascii="仿宋_GB2312" w:hAnsi="仿宋_GB2312" w:eastAsia="仿宋_GB2312" w:cs="仿宋_GB2312"/>
          <w:color w:val="auto"/>
          <w:sz w:val="24"/>
          <w:highlight w:val="none"/>
          <w:lang w:eastAsia="zh-CN"/>
        </w:rPr>
        <w:t>按照</w:t>
      </w:r>
      <w:r>
        <w:rPr>
          <w:rFonts w:hint="eastAsia" w:ascii="仿宋_GB2312" w:hAnsi="仿宋_GB2312" w:eastAsia="仿宋_GB2312" w:cs="仿宋_GB2312"/>
          <w:color w:val="auto"/>
          <w:sz w:val="24"/>
          <w:highlight w:val="none"/>
        </w:rPr>
        <w:t>相关绿色建材政府采购需求标准</w:t>
      </w:r>
      <w:r>
        <w:rPr>
          <w:rFonts w:hint="eastAsia" w:ascii="仿宋_GB2312" w:hAnsi="仿宋_GB2312" w:eastAsia="仿宋_GB2312" w:cs="仿宋_GB2312"/>
          <w:color w:val="auto"/>
          <w:sz w:val="24"/>
          <w:highlight w:val="none"/>
          <w:lang w:eastAsia="zh-CN"/>
        </w:rPr>
        <w:t>执行</w:t>
      </w:r>
      <w:r>
        <w:rPr>
          <w:rFonts w:hint="eastAsia" w:ascii="仿宋_GB2312" w:hAnsi="仿宋_GB2312" w:eastAsia="仿宋_GB2312" w:cs="仿宋_GB2312"/>
          <w:color w:val="auto"/>
          <w:sz w:val="24"/>
          <w:highlight w:val="none"/>
        </w:rPr>
        <w:t>。</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3.2.5</w:t>
      </w:r>
      <w:r>
        <w:rPr>
          <w:rFonts w:hint="eastAsia" w:ascii="仿宋_GB2312" w:hAnsi="仿宋_GB2312" w:eastAsia="仿宋_GB2312" w:cs="仿宋_GB2312"/>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_GB2312" w:hAnsi="仿宋_GB2312" w:eastAsia="仿宋_GB2312" w:cs="仿宋_GB2312"/>
          <w:color w:val="auto"/>
          <w:sz w:val="24"/>
          <w:highlight w:val="none"/>
          <w:lang w:eastAsia="zh-CN"/>
        </w:rPr>
        <w:t>采购人</w:t>
      </w:r>
      <w:r>
        <w:rPr>
          <w:rFonts w:hint="eastAsia" w:ascii="仿宋_GB2312" w:hAnsi="仿宋_GB2312" w:eastAsia="仿宋_GB2312" w:cs="仿宋_GB2312"/>
          <w:color w:val="auto"/>
          <w:sz w:val="24"/>
          <w:highlight w:val="none"/>
        </w:rPr>
        <w:t>登记报备绿色编码，未申领绿色编码的柴油动力移动源不得进入作业现场施工。</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w:t>
      </w:r>
      <w:r>
        <w:rPr>
          <w:rFonts w:hint="eastAsia" w:ascii="仿宋_GB2312" w:hAnsi="仿宋_GB2312" w:eastAsia="仿宋_GB2312" w:cs="仿宋_GB2312"/>
          <w:bCs/>
          <w:color w:val="auto"/>
          <w:sz w:val="24"/>
          <w:highlight w:val="none"/>
        </w:rPr>
        <w:t>小微</w:t>
      </w:r>
      <w:r>
        <w:rPr>
          <w:rFonts w:hint="eastAsia" w:ascii="仿宋_GB2312" w:hAnsi="仿宋_GB2312" w:eastAsia="仿宋_GB2312" w:cs="仿宋_GB2312"/>
          <w:color w:val="auto"/>
          <w:sz w:val="24"/>
          <w:highlight w:val="none"/>
        </w:rPr>
        <w:t>企业价格扣除</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color w:val="auto"/>
          <w:sz w:val="24"/>
          <w:highlight w:val="none"/>
        </w:rPr>
        <w:t>3.3.1小微企业是指</w:t>
      </w:r>
      <w:r>
        <w:rPr>
          <w:rFonts w:hint="eastAsia" w:ascii="仿宋_GB2312" w:hAnsi="仿宋_GB2312" w:eastAsia="仿宋_GB2312" w:cs="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符合中小企业划分标准的个体工商户，在政府采购活动中视同中小企业。</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3.3.2在货物采购项目中，货物由小微企业制造，即货物由小微企业生产且使用该小微企业商号或者注册商标。</w:t>
      </w:r>
      <w:r>
        <w:rPr>
          <w:rFonts w:hint="eastAsia" w:ascii="仿宋_GB2312" w:hAnsi="仿宋_GB2312" w:eastAsia="仿宋_GB2312" w:cs="仿宋_GB2312"/>
          <w:b/>
          <w:bCs/>
          <w:color w:val="auto"/>
          <w:sz w:val="24"/>
          <w:highlight w:val="none"/>
        </w:rPr>
        <w:t>供应商提供的货物既有中小企业制造货物，也有大型企业制造货物的，不享受中小企业扶持政策。</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3.3.3在服务采购项目中，服务由小微企业承接，即提供服务的人员为小微企业依照《中华人民共和国劳动合同法》订立劳动合同的从业人员。</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3.3.4小微企业应按照招标文件格式要求提供《中小企业声明函》。</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以联合体形式参加政府采购活动， 联合体各方均为中小企业的，联合体视同中小企业。其中，联合体各方均为小微企业的，联合体视同小微企业。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3.3.7符合《关于促进残疾人就业政府采购政策的通知》（财库〔2017〕141号）规定的条件并提供《残疾人福利性单位声明函》的残疾人福利性单位视同小微企业；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3.4</w:t>
      </w:r>
      <w:r>
        <w:rPr>
          <w:rFonts w:hint="eastAsia" w:ascii="仿宋_GB2312" w:hAnsi="仿宋_GB2312" w:eastAsia="仿宋_GB2312" w:cs="仿宋_GB2312"/>
          <w:bCs/>
          <w:color w:val="auto"/>
          <w:sz w:val="24"/>
          <w:highlight w:val="none"/>
        </w:rPr>
        <w:t>支持科技创新发展</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对省级以上主管部门认定的首台套产品，自纳入《省推广应用指导目录》起三年内参加政府采购活动，视同已具备相应销售业绩，业绩分为满分。</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3.5平等对待内外资企业和符合条件的破产重整企业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平等对待内外资企业和符合条件的破产重整企业，切实保障企业公平竞争，平等维护企业的合法利益。</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★4.特别说明：</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4.1供应商投标所使用的资格、信誉、荣誉与企业认证必须为投标单位所拥有。供应商投标所使用的采购项目实施人员必须为投标单位正式员工。</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4.2供应商应仔细阅读招标文件的所有内容，按照招标文件的要求提交投标文件，并对所提供的全部资料的真实性承担法律责任。</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rPr>
      </w:pPr>
    </w:p>
    <w:p>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二、招标文件</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1．招标方式</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 本次招标采用公开招标方式进行。</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本次招标设定限价，即招标公告中公布的各标项预算金额或最高限价（各标项之间的预算金额不能互相调整）。</w:t>
      </w:r>
    </w:p>
    <w:p>
      <w:pPr>
        <w:pStyle w:val="25"/>
        <w:keepNext w:val="0"/>
        <w:keepLines w:val="0"/>
        <w:pageBreakBefore w:val="0"/>
        <w:kinsoku/>
        <w:wordWrap w:val="0"/>
        <w:overflowPunct/>
        <w:topLinePunct w:val="0"/>
        <w:autoSpaceDE/>
        <w:autoSpaceDN/>
        <w:bidi w:val="0"/>
        <w:snapToGrid w:val="0"/>
        <w:spacing w:line="440" w:lineRule="exact"/>
        <w:ind w:left="0" w:leftChars="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2.授权委托</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3.投标费用</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4.招标文件的修改</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4.2招标文件的澄清 </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4.3招标文件的修改</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5.参考品牌</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3"/>
        <w:keepNext w:val="0"/>
        <w:keepLines w:val="0"/>
        <w:pageBreakBefore w:val="0"/>
        <w:widowControl w:val="0"/>
        <w:kinsoku/>
        <w:wordWrap w:val="0"/>
        <w:overflowPunct/>
        <w:topLinePunct w:val="0"/>
        <w:bidi w:val="0"/>
        <w:snapToGrid/>
        <w:spacing w:beforeAutospacing="0" w:line="360" w:lineRule="auto"/>
        <w:ind w:left="0" w:leftChars="0"/>
        <w:textAlignment w:val="auto"/>
        <w:rPr>
          <w:rFonts w:hint="eastAsia" w:ascii="仿宋_GB2312" w:hAnsi="仿宋_GB2312" w:eastAsia="仿宋_GB2312" w:cs="仿宋_GB2312"/>
          <w:color w:val="auto"/>
          <w:sz w:val="32"/>
          <w:szCs w:val="32"/>
          <w:highlight w:val="none"/>
          <w:lang w:val="en-US"/>
        </w:rPr>
      </w:pPr>
      <w:r>
        <w:rPr>
          <w:rFonts w:hint="eastAsia" w:ascii="仿宋_GB2312" w:hAnsi="仿宋_GB2312" w:eastAsia="仿宋_GB2312" w:cs="仿宋_GB2312"/>
          <w:color w:val="auto"/>
          <w:szCs w:val="24"/>
          <w:highlight w:val="none"/>
          <w:lang w:val="en-US"/>
        </w:rPr>
        <w:t xml:space="preserve">  </w:t>
      </w:r>
      <w:r>
        <w:rPr>
          <w:rFonts w:hint="eastAsia" w:ascii="仿宋_GB2312" w:hAnsi="仿宋_GB2312" w:eastAsia="仿宋_GB2312" w:cs="仿宋_GB2312"/>
          <w:color w:val="auto"/>
          <w:sz w:val="32"/>
          <w:szCs w:val="32"/>
          <w:highlight w:val="none"/>
          <w:lang w:val="en-US"/>
        </w:rPr>
        <w:t xml:space="preserve">  </w:t>
      </w:r>
    </w:p>
    <w:p>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lang w:eastAsia="zh-CN"/>
        </w:rPr>
      </w:pPr>
      <w:r>
        <w:rPr>
          <w:rFonts w:hint="eastAsia" w:ascii="仿宋_GB2312" w:hAnsi="仿宋_GB2312" w:eastAsia="仿宋_GB2312" w:cs="仿宋_GB2312"/>
          <w:b/>
          <w:color w:val="auto"/>
          <w:sz w:val="32"/>
          <w:szCs w:val="32"/>
          <w:highlight w:val="none"/>
        </w:rPr>
        <w:t>三、投标</w:t>
      </w:r>
      <w:r>
        <w:rPr>
          <w:rFonts w:hint="eastAsia" w:ascii="仿宋_GB2312" w:hAnsi="仿宋_GB2312" w:eastAsia="仿宋_GB2312" w:cs="仿宋_GB2312"/>
          <w:b/>
          <w:color w:val="auto"/>
          <w:sz w:val="32"/>
          <w:szCs w:val="32"/>
          <w:highlight w:val="none"/>
          <w:lang w:eastAsia="zh-CN"/>
        </w:rPr>
        <w:t>文件</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eastAsia="zh-CN"/>
        </w:rPr>
        <w:t>1.</w:t>
      </w:r>
      <w:r>
        <w:rPr>
          <w:rFonts w:hint="eastAsia" w:ascii="仿宋_GB2312" w:hAnsi="仿宋_GB2312" w:eastAsia="仿宋_GB2312" w:cs="仿宋_GB2312"/>
          <w:b/>
          <w:bCs/>
          <w:color w:val="auto"/>
          <w:sz w:val="24"/>
          <w:highlight w:val="none"/>
        </w:rPr>
        <w:t>投标文件的语言、计量单位、形式及效力</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投标文件以及投标方与招标方就有关投标事宜的所有来往函电，均应以中文书写（技术术语除外）。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1.4不按招标文件的要求提供的投标文件可能导致被拒绝。</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1.5投标文件的形式和效力</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1.5.2投标文件的效力：</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投标文件未在投标截止时间前完成传输的，视为投标文件撤回；投标文件未按时解密，亦视为投标文件撤回。</w:t>
      </w:r>
    </w:p>
    <w:p>
      <w:pPr>
        <w:pStyle w:val="33"/>
        <w:keepNext w:val="0"/>
        <w:keepLines w:val="0"/>
        <w:pageBreakBefore w:val="0"/>
        <w:widowControl w:val="0"/>
        <w:kinsoku/>
        <w:wordWrap w:val="0"/>
        <w:overflowPunct/>
        <w:topLinePunct w:val="0"/>
        <w:autoSpaceDE/>
        <w:autoSpaceDN/>
        <w:bidi w:val="0"/>
        <w:adjustRightInd w:val="0"/>
        <w:spacing w:beforeAutospacing="0" w:line="440" w:lineRule="exact"/>
        <w:ind w:firstLine="482" w:firstLineChars="200"/>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2</w:t>
      </w:r>
      <w:r>
        <w:rPr>
          <w:rFonts w:hint="eastAsia" w:ascii="仿宋_GB2312" w:hAnsi="仿宋_GB2312" w:eastAsia="仿宋_GB2312" w:cs="仿宋_GB2312"/>
          <w:b/>
          <w:color w:val="auto"/>
          <w:sz w:val="24"/>
          <w:szCs w:val="24"/>
          <w:highlight w:val="none"/>
        </w:rPr>
        <w:t>.投标文件的组成</w:t>
      </w:r>
    </w:p>
    <w:p>
      <w:pPr>
        <w:kinsoku/>
        <w:wordWrap w:val="0"/>
        <w:overflowPunct/>
        <w:topLinePunct w:val="0"/>
        <w:bidi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投标文件由</w:t>
      </w:r>
      <w:r>
        <w:rPr>
          <w:rFonts w:hint="eastAsia" w:ascii="仿宋_GB2312" w:hAnsi="仿宋_GB2312" w:eastAsia="仿宋_GB2312" w:cs="仿宋_GB2312"/>
          <w:color w:val="auto"/>
          <w:sz w:val="24"/>
          <w:highlight w:val="none"/>
          <w:lang w:eastAsia="zh-CN"/>
        </w:rPr>
        <w:t>“资格文件”、“商务技术文件资料”、</w:t>
      </w:r>
      <w:r>
        <w:rPr>
          <w:rFonts w:hint="eastAsia" w:ascii="仿宋_GB2312" w:hAnsi="仿宋_GB2312" w:eastAsia="仿宋_GB2312" w:cs="仿宋_GB2312"/>
          <w:color w:val="auto"/>
          <w:sz w:val="24"/>
          <w:highlight w:val="none"/>
        </w:rPr>
        <w:t>“报价文件资料”</w:t>
      </w:r>
      <w:r>
        <w:rPr>
          <w:rFonts w:hint="eastAsia" w:ascii="仿宋_GB2312" w:hAnsi="仿宋_GB2312" w:eastAsia="仿宋_GB2312" w:cs="仿宋_GB2312"/>
          <w:color w:val="auto"/>
          <w:sz w:val="24"/>
          <w:highlight w:val="none"/>
          <w:lang w:eastAsia="zh-CN"/>
        </w:rPr>
        <w:t>三</w:t>
      </w:r>
      <w:r>
        <w:rPr>
          <w:rFonts w:hint="eastAsia" w:ascii="仿宋_GB2312" w:hAnsi="仿宋_GB2312" w:eastAsia="仿宋_GB2312" w:cs="仿宋_GB2312"/>
          <w:color w:val="auto"/>
          <w:sz w:val="24"/>
          <w:highlight w:val="none"/>
        </w:rPr>
        <w:t>部分组成，其中</w:t>
      </w:r>
      <w:r>
        <w:rPr>
          <w:rFonts w:hint="eastAsia" w:ascii="仿宋_GB2312" w:hAnsi="仿宋_GB2312" w:eastAsia="仿宋_GB2312" w:cs="仿宋_GB2312"/>
          <w:b/>
          <w:color w:val="auto"/>
          <w:sz w:val="24"/>
          <w:highlight w:val="none"/>
        </w:rPr>
        <w:t>电子投标文件中所须加盖公章部分均应采用电子签章。</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en-US" w:eastAsia="zh-CN"/>
        </w:rPr>
        <w:t>2</w:t>
      </w:r>
      <w:r>
        <w:rPr>
          <w:rFonts w:hint="eastAsia" w:ascii="仿宋_GB2312" w:hAnsi="仿宋_GB2312" w:eastAsia="仿宋_GB2312" w:cs="仿宋_GB2312"/>
          <w:b/>
          <w:color w:val="auto"/>
          <w:sz w:val="24"/>
          <w:highlight w:val="none"/>
          <w:lang w:val="zh-CN"/>
        </w:rPr>
        <w:t>.1资格文件：</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lang w:eastAsia="zh-CN"/>
        </w:rPr>
        <w:t>.1.1符合参加政府采购活动应当具备的一般条件的承诺函；</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2.1.2联合协议（如果有)；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分包意向协议</w:t>
      </w:r>
      <w:r>
        <w:rPr>
          <w:rFonts w:hint="eastAsia" w:ascii="仿宋_GB2312" w:hAnsi="仿宋_GB2312" w:eastAsia="仿宋_GB2312" w:cs="仿宋_GB2312"/>
          <w:snapToGrid w:val="0"/>
          <w:color w:val="auto"/>
          <w:kern w:val="28"/>
          <w:sz w:val="24"/>
          <w:szCs w:val="20"/>
          <w:highlight w:val="none"/>
        </w:rPr>
        <w:t>（如果有)</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lang w:eastAsia="zh-CN"/>
        </w:rPr>
        <w:t>落实政府采购政策需满足的资格要求（如果有)；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lang w:eastAsia="zh-CN"/>
        </w:rPr>
        <w:t>本项目的特定资格要求（如果有)。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eastAsia="zh-CN"/>
        </w:rPr>
      </w:pPr>
      <w:r>
        <w:rPr>
          <w:rFonts w:hint="eastAsia" w:ascii="仿宋_GB2312" w:hAnsi="仿宋_GB2312" w:eastAsia="仿宋_GB2312" w:cs="仿宋_GB2312"/>
          <w:b/>
          <w:color w:val="auto"/>
          <w:sz w:val="24"/>
          <w:highlight w:val="none"/>
          <w:lang w:val="zh-CN" w:eastAsia="zh-CN"/>
        </w:rPr>
        <w:t>2.</w:t>
      </w:r>
      <w:r>
        <w:rPr>
          <w:rFonts w:hint="eastAsia" w:ascii="仿宋_GB2312" w:hAnsi="仿宋_GB2312" w:eastAsia="仿宋_GB2312" w:cs="仿宋_GB2312"/>
          <w:b/>
          <w:color w:val="auto"/>
          <w:sz w:val="24"/>
          <w:highlight w:val="none"/>
          <w:lang w:val="en-US" w:eastAsia="zh-CN"/>
        </w:rPr>
        <w:t>2商务技术</w:t>
      </w:r>
      <w:r>
        <w:rPr>
          <w:rFonts w:hint="eastAsia" w:ascii="仿宋_GB2312" w:hAnsi="仿宋_GB2312" w:eastAsia="仿宋_GB2312" w:cs="仿宋_GB2312"/>
          <w:b/>
          <w:color w:val="auto"/>
          <w:sz w:val="24"/>
          <w:highlight w:val="none"/>
          <w:lang w:val="zh-CN" w:eastAsia="zh-CN"/>
        </w:rPr>
        <w:t>文件：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2.2.1投标函；</w:t>
      </w:r>
      <w:r>
        <w:rPr>
          <w:rFonts w:hint="eastAsia" w:ascii="仿宋_GB2312" w:hAnsi="仿宋_GB2312" w:eastAsia="仿宋_GB2312" w:cs="仿宋_GB2312"/>
          <w:color w:val="auto"/>
          <w:sz w:val="24"/>
          <w:highlight w:val="none"/>
          <w:lang w:val="zh-CN" w:eastAsia="zh-CN"/>
        </w:rPr>
        <w:t xml:space="preserve"> </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2.2.2法定代表人授权委托书；</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2.2.3法定代表人及其授权代表身份证复印件；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2.2.4授权代表社保证明；</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2.2.5法定代表人身份证明书；</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2.2.7廉政承诺书（格式见第六部分附件）；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2.2.9供应商应提供针对项目的完整技术解决方案：</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2.2.12供应商售后服务证明材料：由供应商根据本项目要求提供相应的售后服务证明材料或售后服务承诺；</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2.2.16培训计划（如有）；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2.2.17验收方案；</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18</w:t>
      </w:r>
      <w:r>
        <w:rPr>
          <w:rFonts w:hint="eastAsia" w:ascii="仿宋_GB2312" w:hAnsi="仿宋_GB2312" w:eastAsia="仿宋_GB2312" w:cs="仿宋_GB2312"/>
          <w:color w:val="auto"/>
          <w:sz w:val="24"/>
          <w:highlight w:val="none"/>
          <w:u w:val="wave"/>
        </w:rPr>
        <w:t>未尽事宜请各投标单位按评分标准和相对应标项相关要求制作；</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highlight w:val="none"/>
          <w:lang w:val="zh-CN" w:eastAsia="zh-CN"/>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19</w:t>
      </w:r>
      <w:r>
        <w:rPr>
          <w:rFonts w:hint="eastAsia" w:ascii="仿宋_GB2312" w:hAnsi="仿宋_GB2312" w:eastAsia="仿宋_GB2312" w:cs="仿宋_GB2312"/>
          <w:color w:val="auto"/>
          <w:sz w:val="24"/>
          <w:highlight w:val="none"/>
        </w:rPr>
        <w:t>投标人需要说明的其他文件和说明（格式自拟）。</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 xml:space="preserve">2.3报价文件： </w:t>
      </w:r>
    </w:p>
    <w:p>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2.3.1开标一览表（报价表）；</w:t>
      </w:r>
    </w:p>
    <w:p>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2.3.2中小企业声明函（如有）；</w:t>
      </w:r>
    </w:p>
    <w:p>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2.3.3 残疾人福利性单位声明函（如有）。</w:t>
      </w:r>
    </w:p>
    <w:p>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2" w:firstLineChars="200"/>
        <w:textAlignment w:val="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rPr>
        <w:t>3.</w:t>
      </w:r>
      <w:r>
        <w:rPr>
          <w:rFonts w:hint="eastAsia" w:ascii="仿宋_GB2312" w:hAnsi="仿宋_GB2312" w:eastAsia="仿宋_GB2312" w:cs="仿宋_GB2312"/>
          <w:b/>
          <w:bCs/>
          <w:color w:val="auto"/>
          <w:sz w:val="24"/>
          <w:highlight w:val="none"/>
          <w:lang w:val="en-US" w:eastAsia="zh-CN"/>
        </w:rPr>
        <w:t>投标报价</w:t>
      </w:r>
    </w:p>
    <w:p>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3.1供应商应按招标文件中《开标一览表》等附表要求填写。</w:t>
      </w:r>
    </w:p>
    <w:p>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3.2报价为采购人可以合格使用产品的价格，包括货款、包装、运输、保险、货到就位以及安装、调试、培训、保修及产品知识产权等一切费用。</w:t>
      </w:r>
    </w:p>
    <w:p>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3.3招标文件未列明，而供应商认为必需的费用也需列入报价。</w:t>
      </w:r>
    </w:p>
    <w:p>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left="479" w:leftChars="228" w:firstLine="0" w:firstLineChars="0"/>
        <w:textAlignment w:val="auto"/>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bCs/>
          <w:color w:val="auto"/>
          <w:sz w:val="24"/>
          <w:highlight w:val="none"/>
          <w:lang w:val="en-US" w:eastAsia="zh-CN"/>
        </w:rPr>
        <w:t>3.4投标报价只允许有一个报价，有选择的报价将不予接受（除指定外）</w:t>
      </w:r>
      <w:r>
        <w:rPr>
          <w:rFonts w:hint="eastAsia" w:ascii="仿宋_GB2312" w:hAnsi="仿宋_GB2312" w:eastAsia="仿宋_GB2312" w:cs="仿宋_GB2312"/>
          <w:b/>
          <w:bCs/>
          <w:color w:val="auto"/>
          <w:sz w:val="24"/>
          <w:highlight w:val="none"/>
          <w:lang w:val="en-US"/>
        </w:rPr>
        <w:t>。</w:t>
      </w:r>
      <w:r>
        <w:rPr>
          <w:rFonts w:hint="eastAsia" w:ascii="仿宋_GB2312" w:hAnsi="仿宋_GB2312" w:eastAsia="仿宋_GB2312" w:cs="仿宋_GB2312"/>
          <w:b/>
          <w:color w:val="auto"/>
          <w:kern w:val="0"/>
          <w:szCs w:val="24"/>
          <w:highlight w:val="none"/>
        </w:rPr>
        <w:t>4.</w:t>
      </w:r>
      <w:r>
        <w:rPr>
          <w:rFonts w:hint="eastAsia" w:ascii="仿宋_GB2312" w:hAnsi="仿宋_GB2312" w:eastAsia="仿宋_GB2312" w:cs="仿宋_GB2312"/>
          <w:b/>
          <w:color w:val="auto"/>
          <w:szCs w:val="24"/>
          <w:highlight w:val="none"/>
        </w:rPr>
        <w:t>投标文件的编制</w:t>
      </w:r>
      <w:r>
        <w:rPr>
          <w:rFonts w:hint="eastAsia" w:ascii="仿宋_GB2312" w:hAnsi="仿宋_GB2312" w:eastAsia="仿宋_GB2312" w:cs="仿宋_GB2312"/>
          <w:b/>
          <w:color w:val="auto"/>
          <w:szCs w:val="24"/>
          <w:highlight w:val="none"/>
          <w:lang w:eastAsia="zh-CN"/>
        </w:rPr>
        <w:t>和</w:t>
      </w:r>
      <w:r>
        <w:rPr>
          <w:rFonts w:hint="eastAsia" w:ascii="仿宋_GB2312" w:hAnsi="仿宋_GB2312" w:eastAsia="仿宋_GB2312" w:cs="仿宋_GB2312"/>
          <w:b/>
          <w:color w:val="auto"/>
          <w:sz w:val="24"/>
          <w:highlight w:val="none"/>
        </w:rPr>
        <w:t>签署</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.3使用“政采云电子交易客户端”需要提前申领CA数字证书，申领流程请自行前往“浙江政府采购网-下载专区-电子交易客户端-CA驱动和申领流程”进行查阅。</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4.4</w:t>
      </w:r>
      <w:r>
        <w:rPr>
          <w:rFonts w:hint="eastAsia" w:ascii="仿宋_GB2312" w:hAnsi="仿宋_GB2312" w:eastAsia="仿宋_GB2312" w:cs="仿宋_GB2312"/>
          <w:color w:val="auto"/>
          <w:sz w:val="24"/>
          <w:highlight w:val="none"/>
          <w:lang w:val="zh-CN"/>
        </w:rPr>
        <w:t>投标文件按照招标文件第六部分格式要求进行签署、盖章。投标人的投标文件未按照招标文件要求签署、盖章的，其投标无效。</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4.5</w:t>
      </w:r>
      <w:r>
        <w:rPr>
          <w:rFonts w:hint="eastAsia" w:ascii="仿宋_GB2312" w:hAnsi="仿宋_GB2312" w:eastAsia="仿宋_GB2312" w:cs="仿宋_GB2312"/>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4.6</w:t>
      </w:r>
      <w:r>
        <w:rPr>
          <w:rFonts w:hint="eastAsia" w:ascii="仿宋_GB2312" w:hAnsi="仿宋_GB2312" w:eastAsia="仿宋_GB2312" w:cs="仿宋_GB2312"/>
          <w:color w:val="auto"/>
          <w:sz w:val="24"/>
          <w:highlight w:val="none"/>
          <w:lang w:val="zh-CN"/>
        </w:rPr>
        <w:t>招标文件对投标文件签署、盖章的要求适用于电子签名。</w:t>
      </w:r>
    </w:p>
    <w:p>
      <w:pPr>
        <w:pStyle w:val="130"/>
        <w:kinsoku/>
        <w:wordWrap w:val="0"/>
        <w:overflowPunct/>
        <w:topLinePunct w:val="0"/>
        <w:bidi w:val="0"/>
        <w:spacing w:before="0" w:line="440" w:lineRule="exact"/>
        <w:ind w:firstLine="482" w:firstLineChars="20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lang w:val="en-US" w:eastAsia="zh-CN"/>
        </w:rPr>
        <w:t>5</w:t>
      </w:r>
      <w:r>
        <w:rPr>
          <w:rFonts w:hint="eastAsia" w:ascii="仿宋_GB2312" w:hAnsi="仿宋_GB2312" w:eastAsia="仿宋_GB2312" w:cs="仿宋_GB2312"/>
          <w:b/>
          <w:color w:val="auto"/>
          <w:szCs w:val="24"/>
          <w:highlight w:val="none"/>
        </w:rPr>
        <w:t>.投标文件的提交、补充、修改、撤回</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kinsoku/>
        <w:wordWrap w:val="0"/>
        <w:overflowPunct/>
        <w:topLinePunct w:val="0"/>
        <w:bidi w:val="0"/>
        <w:adjustRightInd w:val="0"/>
        <w:spacing w:line="440" w:lineRule="exact"/>
        <w:ind w:left="0" w:leftChars="0" w:firstLine="482"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6.投标有效期</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6.2投标文件合格投递后，自投标截止日期起，在投标有效期内有效。在投标截止时间起至投标有效期届满，供应商投标文件不可撤销。</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pPr>
        <w:pStyle w:val="130"/>
        <w:keepNext w:val="0"/>
        <w:keepLines w:val="0"/>
        <w:pageBreakBefore w:val="0"/>
        <w:widowControl w:val="0"/>
        <w:kinsoku/>
        <w:wordWrap w:val="0"/>
        <w:overflowPunct/>
        <w:topLinePunct w:val="0"/>
        <w:autoSpaceDE/>
        <w:autoSpaceDN/>
        <w:bidi w:val="0"/>
        <w:adjustRightInd w:val="0"/>
        <w:snapToGrid/>
        <w:spacing w:before="0" w:beforeAutospacing="0" w:line="360" w:lineRule="auto"/>
        <w:ind w:left="0" w:leftChars="0" w:firstLine="643"/>
        <w:textAlignment w:val="auto"/>
        <w:rPr>
          <w:rFonts w:hint="eastAsia" w:ascii="仿宋_GB2312" w:hAnsi="仿宋_GB2312" w:eastAsia="仿宋_GB2312" w:cs="仿宋_GB2312"/>
          <w:b/>
          <w:color w:val="auto"/>
          <w:sz w:val="32"/>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2"/>
          <w:szCs w:val="32"/>
          <w:highlight w:val="none"/>
        </w:rPr>
      </w:pPr>
      <w:bookmarkStart w:id="19" w:name="_Toc91899903"/>
      <w:r>
        <w:rPr>
          <w:rFonts w:hint="eastAsia" w:ascii="仿宋_GB2312" w:hAnsi="仿宋_GB2312" w:eastAsia="仿宋_GB2312" w:cs="仿宋_GB2312"/>
          <w:b/>
          <w:color w:val="auto"/>
          <w:sz w:val="32"/>
          <w:szCs w:val="32"/>
          <w:highlight w:val="none"/>
        </w:rPr>
        <w:t>四、开标和评标</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1．电子招投标开标及评审程序</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1.1投标截止时间后，主持人宣布开标会开始。</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1.3评标委员会对资格和商务技术响应文件进行评审。</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1.7主持人公布评标结果。</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特别说明：政采云公司如对电子化开标及评审程序有调整的，按调整后的程序操作。</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2.1电子交易平台发生故障而无法登录访问的；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2.2电子交易平台应用或数据库出现错误，不能进行正常操作的；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2.3电子交易平台发现严重安全漏洞，有潜在泄密危险的；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2.4病毒发作导致不能进行正常操作的；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2.5其他无法保证电子交易的公平、公正和安全的情况。</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3．评标</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3.2评标委员会由采购人代表和有关方面的专家组成，成员人数为五人以上单数。</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3.3评标委员会负责对投标人资格的最终审定。</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供应商通过政采云平台交换的数据电文必须进行电子签章。</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val="en-US" w:eastAsia="zh-CN"/>
        </w:rPr>
        <w:t>3.7评标委员会不向落标方解释落标的原因。</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4．投标文件的初审鉴定</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4.1资格性审查</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4.2符合性审查</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 xml:space="preserve">5. </w:t>
      </w:r>
      <w:r>
        <w:rPr>
          <w:rFonts w:hint="eastAsia" w:ascii="仿宋_GB2312" w:hAnsi="仿宋_GB2312" w:eastAsia="仿宋_GB2312" w:cs="仿宋_GB2312"/>
          <w:b/>
          <w:color w:val="auto"/>
          <w:sz w:val="24"/>
          <w:highlight w:val="none"/>
        </w:rPr>
        <w:t>投标文件报价出现前后不一致的，按照下列规定修正：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5.2大写金额和小写金额不一致的，以大写金额为准；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5.4总价金额与按单价汇总金额不一致的，以单价金额计算结果为准。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6.投标文件的评审、比较和否决</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6.1评标委员会将对在实质上响应招标文件要求的投标文件进行评估和比较。</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6.6汇总（商务技术得分情况）。评标委员会各成员应当独立对每个投标人的商务技术文件进行评价，并汇总商务技术得分情况。</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6.7.3如需投标价格修正，按财政部87号令第五十九条的规定对投标价格进行修正。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5"/>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7.投标文件的澄清</w:t>
      </w:r>
    </w:p>
    <w:p>
      <w:pPr>
        <w:pStyle w:val="15"/>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8.无效投标的情形</w:t>
      </w:r>
    </w:p>
    <w:p>
      <w:pPr>
        <w:keepNext w:val="0"/>
        <w:keepLines w:val="0"/>
        <w:pageBreakBefore w:val="0"/>
        <w:tabs>
          <w:tab w:val="left" w:pos="4085"/>
        </w:tabs>
        <w:kinsoku/>
        <w:wordWrap w:val="0"/>
        <w:overflowPunct/>
        <w:topLinePunct w:val="0"/>
        <w:autoSpaceDE/>
        <w:autoSpaceDN/>
        <w:bidi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投标文件有下列情形之一的作无效投标处理：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8.1未按照招标文件规定要求电子签章、签字或盖章的；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8.8投标文件中的投标函无投标人的电子签章或填写不全的；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8.9报价一经涂改，未在涂改处加盖投标单位公章或者未经法定代表人或其授权代表签字或盖章的；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8.12《技术偏离说明表》不真实填写或弄虚作假的；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8.13投标文件含有采购人不能接受的附加条件；</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8.15报价超过招标文件中规定的预算金额或最高限价的；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8.16投标文件“商务技术文件资料”部分中出现《开标一览表》相关内容的；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8.18《开标一览表》填写不完整或字迹不能辨认或有漏项的，经评标委员会认定属于重大偏差的；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8.19投标人对根据修正原则修正后的报价不确认的；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8.20投标人提供虚假材料投标的（包括但不限于以下情节）；</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8.20.1使用伪造、变造的许可证件；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8.20.2提供虚假的财务状况或者业绩；</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8.20.4提供虚假的信用状况；</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8.20.5其他弄虚作假的行为。</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8.21下列情形之一的，视为投标人串通投标，其投标无效：</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8.21.1不同投标人的投标文件由同一单位或者个人编制；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8.21.2不同投标人委托同一单位或者个人办理投标事宜；</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8.21.5不同投标人的投标文件相互混装；</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8.22有下列情形之一的，属于恶意串通，其投标无效：</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8.22.5供应商之间事先约定由某一特定供应商中标、成交；</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8.23评标委员会认定有重大偏差或实质性不响应招标文件要求的；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8.24投标文件出现不是唯一的、有选择性投标报价的；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bCs/>
          <w:color w:val="auto"/>
          <w:sz w:val="24"/>
          <w:highlight w:val="none"/>
          <w:lang w:val="en-US" w:eastAsia="zh-CN"/>
        </w:rPr>
      </w:pPr>
      <w:r>
        <w:rPr>
          <w:rFonts w:hint="eastAsia" w:ascii="仿宋_GB2312" w:hAnsi="仿宋_GB2312" w:eastAsia="仿宋_GB2312" w:cs="仿宋_GB2312"/>
          <w:b/>
          <w:bCs/>
          <w:color w:val="auto"/>
          <w:sz w:val="24"/>
          <w:highlight w:val="none"/>
          <w:lang w:val="en-US" w:eastAsia="zh-CN"/>
        </w:rPr>
        <w:t>8.25 未按招标文件要求提供样品或提供样品不满足采购需求实质性条件的；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bCs/>
          <w:color w:val="auto"/>
          <w:sz w:val="24"/>
          <w:highlight w:val="none"/>
          <w:lang w:val="en-US"/>
        </w:rPr>
      </w:pPr>
      <w:r>
        <w:rPr>
          <w:rFonts w:hint="eastAsia" w:ascii="仿宋_GB2312" w:hAnsi="仿宋_GB2312" w:eastAsia="仿宋_GB2312" w:cs="仿宋_GB2312"/>
          <w:b/>
          <w:bCs/>
          <w:color w:val="auto"/>
          <w:sz w:val="24"/>
          <w:highlight w:val="none"/>
        </w:rPr>
        <w:t>8.2</w:t>
      </w:r>
      <w:r>
        <w:rPr>
          <w:rFonts w:hint="eastAsia" w:ascii="仿宋_GB2312" w:hAnsi="仿宋_GB2312" w:eastAsia="仿宋_GB2312" w:cs="仿宋_GB2312"/>
          <w:b/>
          <w:bCs/>
          <w:color w:val="auto"/>
          <w:sz w:val="24"/>
          <w:highlight w:val="none"/>
          <w:lang w:val="en-US"/>
        </w:rPr>
        <w:t>6参与同一个采购包(标段)的供应商存在下列情形之一的其投标(响应)文件无效:</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8.26.1</w:t>
      </w:r>
      <w:r>
        <w:rPr>
          <w:rFonts w:hint="eastAsia" w:ascii="仿宋_GB2312" w:hAnsi="仿宋_GB2312" w:eastAsia="仿宋_GB2312" w:cs="仿宋_GB2312"/>
          <w:b w:val="0"/>
          <w:bCs w:val="0"/>
          <w:color w:val="auto"/>
          <w:sz w:val="24"/>
          <w:highlight w:val="none"/>
          <w:lang w:val="en-US"/>
        </w:rPr>
        <w:t>不同供应商的电子投标(响应)文件上传计算机的网卡MAC地址、CPU序列号和硬盘序列号等硬件信息相同的;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8.26.2</w:t>
      </w:r>
      <w:r>
        <w:rPr>
          <w:rFonts w:hint="eastAsia" w:ascii="仿宋_GB2312" w:hAnsi="仿宋_GB2312" w:eastAsia="仿宋_GB2312" w:cs="仿宋_GB2312"/>
          <w:b w:val="0"/>
          <w:bCs w:val="0"/>
          <w:color w:val="auto"/>
          <w:sz w:val="24"/>
          <w:highlight w:val="none"/>
          <w:lang w:val="en-US"/>
        </w:rPr>
        <w:t>上传的电子投标(响应)文件若出现使用本项目其他投标(响应)供应商的数字证书加密的，或者加盖本项目其他投标(响应)供应商的电子印章的;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8.26.3</w:t>
      </w:r>
      <w:r>
        <w:rPr>
          <w:rFonts w:hint="eastAsia" w:ascii="仿宋_GB2312" w:hAnsi="仿宋_GB2312" w:eastAsia="仿宋_GB2312" w:cs="仿宋_GB2312"/>
          <w:b w:val="0"/>
          <w:bCs w:val="0"/>
          <w:color w:val="auto"/>
          <w:sz w:val="24"/>
          <w:highlight w:val="none"/>
          <w:lang w:val="en-US"/>
        </w:rPr>
        <w:t>不同供应商的投标(响应)文件的内容存在三处(含)以上错误一致，且无法合理解释的;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bCs/>
          <w:color w:val="auto"/>
          <w:sz w:val="24"/>
          <w:highlight w:val="none"/>
          <w:lang w:val="en-US" w:eastAsia="zh-CN"/>
        </w:rPr>
      </w:pPr>
      <w:r>
        <w:rPr>
          <w:rFonts w:hint="eastAsia" w:ascii="仿宋_GB2312" w:hAnsi="仿宋_GB2312" w:eastAsia="仿宋_GB2312" w:cs="仿宋_GB2312"/>
          <w:b w:val="0"/>
          <w:bCs w:val="0"/>
          <w:color w:val="auto"/>
          <w:sz w:val="24"/>
          <w:highlight w:val="none"/>
          <w:lang w:val="en-US" w:eastAsia="zh-CN"/>
        </w:rPr>
        <w:t>8.26.4</w:t>
      </w:r>
      <w:r>
        <w:rPr>
          <w:rFonts w:hint="eastAsia" w:ascii="仿宋_GB2312" w:hAnsi="仿宋_GB2312" w:eastAsia="仿宋_GB2312" w:cs="仿宋_GB2312"/>
          <w:b w:val="0"/>
          <w:bCs w:val="0"/>
          <w:color w:val="auto"/>
          <w:sz w:val="24"/>
          <w:highlight w:val="none"/>
          <w:lang w:val="en-US"/>
        </w:rPr>
        <w:t>不同供应商联系人为同一人或不同联系人的联系电话一致，且无法合理解释的。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color w:val="auto"/>
          <w:sz w:val="24"/>
          <w:highlight w:val="none"/>
        </w:rPr>
        <w:t>8.2</w:t>
      </w:r>
      <w:r>
        <w:rPr>
          <w:rFonts w:hint="eastAsia" w:ascii="仿宋_GB2312" w:hAnsi="仿宋_GB2312" w:eastAsia="仿宋_GB2312" w:cs="仿宋_GB2312"/>
          <w:b/>
          <w:color w:val="auto"/>
          <w:sz w:val="24"/>
          <w:highlight w:val="none"/>
          <w:lang w:val="en-US"/>
        </w:rPr>
        <w:t>7</w:t>
      </w:r>
      <w:r>
        <w:rPr>
          <w:rFonts w:hint="eastAsia" w:ascii="仿宋_GB2312" w:hAnsi="仿宋_GB2312" w:eastAsia="仿宋_GB2312" w:cs="仿宋_GB2312"/>
          <w:b/>
          <w:color w:val="auto"/>
          <w:sz w:val="24"/>
          <w:highlight w:val="none"/>
        </w:rPr>
        <w:t>其他违反法律、法规的情形。</w:t>
      </w:r>
    </w:p>
    <w:p>
      <w:pPr>
        <w:keepNext w:val="0"/>
        <w:keepLines w:val="0"/>
        <w:pageBreakBefore w:val="0"/>
        <w:kinsoku/>
        <w:wordWrap w:val="0"/>
        <w:overflowPunct/>
        <w:topLinePunct w:val="0"/>
        <w:autoSpaceDE/>
        <w:autoSpaceDN/>
        <w:bidi w:val="0"/>
        <w:snapToGrid w:val="0"/>
        <w:spacing w:line="440" w:lineRule="exact"/>
        <w:ind w:firstLine="482" w:firstLineChars="200"/>
        <w:textAlignment w:val="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t>9.评标过程保密</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9.1</w:t>
      </w:r>
      <w:r>
        <w:rPr>
          <w:rFonts w:hint="eastAsia" w:ascii="仿宋_GB2312" w:hAnsi="仿宋_GB2312" w:eastAsia="仿宋_GB2312" w:cs="仿宋_GB2312"/>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9.2 在评标期间，投标人企图影响招标人或</w:t>
      </w:r>
      <w:r>
        <w:rPr>
          <w:rFonts w:hint="eastAsia" w:ascii="仿宋_GB2312" w:hAnsi="仿宋_GB2312" w:eastAsia="仿宋_GB2312" w:cs="仿宋_GB2312"/>
          <w:color w:val="auto"/>
          <w:sz w:val="24"/>
          <w:highlight w:val="none"/>
        </w:rPr>
        <w:t>评标委员会</w:t>
      </w:r>
      <w:r>
        <w:rPr>
          <w:rFonts w:hint="eastAsia" w:ascii="仿宋_GB2312" w:hAnsi="仿宋_GB2312" w:eastAsia="仿宋_GB2312" w:cs="仿宋_GB2312"/>
          <w:color w:val="auto"/>
          <w:kern w:val="0"/>
          <w:sz w:val="24"/>
          <w:highlight w:val="none"/>
        </w:rPr>
        <w:t>的任何活动，都将导致投标被拒绝，并由其承担相应的法律责任。</w:t>
      </w:r>
    </w:p>
    <w:p>
      <w:pPr>
        <w:keepNext w:val="0"/>
        <w:keepLines w:val="0"/>
        <w:pageBreakBefore w:val="0"/>
        <w:widowControl w:val="0"/>
        <w:kinsoku/>
        <w:wordWrap w:val="0"/>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_GB2312" w:hAnsi="仿宋_GB2312" w:eastAsia="仿宋_GB2312" w:cs="仿宋_GB2312"/>
          <w:b/>
          <w:color w:val="auto"/>
          <w:sz w:val="32"/>
          <w:highlight w:val="none"/>
        </w:rPr>
      </w:pPr>
    </w:p>
    <w:bookmarkEnd w:id="19"/>
    <w:p>
      <w:pPr>
        <w:pStyle w:val="33"/>
        <w:keepNext w:val="0"/>
        <w:keepLines w:val="0"/>
        <w:pageBreakBefore w:val="0"/>
        <w:widowControl w:val="0"/>
        <w:kinsoku/>
        <w:wordWrap w:val="0"/>
        <w:overflowPunct/>
        <w:topLinePunct w:val="0"/>
        <w:autoSpaceDE/>
        <w:autoSpaceDN/>
        <w:bidi w:val="0"/>
        <w:adjustRightInd w:val="0"/>
        <w:spacing w:line="360" w:lineRule="auto"/>
        <w:ind w:firstLine="726"/>
        <w:jc w:val="center"/>
        <w:textAlignment w:val="auto"/>
        <w:rPr>
          <w:rFonts w:hint="eastAsia" w:ascii="仿宋_GB2312" w:hAnsi="仿宋_GB2312" w:eastAsia="仿宋_GB2312" w:cs="仿宋_GB2312"/>
          <w:b/>
          <w:color w:val="auto"/>
          <w:sz w:val="32"/>
          <w:szCs w:val="32"/>
          <w:highlight w:val="none"/>
        </w:rPr>
      </w:pPr>
      <w:bookmarkStart w:id="20" w:name="_Hlt68072990"/>
      <w:bookmarkEnd w:id="20"/>
      <w:bookmarkStart w:id="21" w:name="_Hlt75236290"/>
      <w:bookmarkEnd w:id="21"/>
      <w:bookmarkStart w:id="22" w:name="_Hlt74730295"/>
      <w:bookmarkEnd w:id="22"/>
      <w:bookmarkStart w:id="23" w:name="_Hlt75236011"/>
      <w:bookmarkEnd w:id="23"/>
      <w:bookmarkStart w:id="24" w:name="_Hlt68403820"/>
      <w:bookmarkEnd w:id="24"/>
      <w:bookmarkStart w:id="25" w:name="_Hlt74714665"/>
      <w:bookmarkEnd w:id="25"/>
      <w:bookmarkStart w:id="26" w:name="_Hlt68057669"/>
      <w:bookmarkEnd w:id="26"/>
      <w:bookmarkStart w:id="27" w:name="_Hlt75236101"/>
      <w:bookmarkEnd w:id="27"/>
      <w:bookmarkStart w:id="28" w:name="_Hlt68073093"/>
      <w:bookmarkEnd w:id="28"/>
      <w:bookmarkStart w:id="29" w:name="_Hlt68072998"/>
      <w:bookmarkEnd w:id="29"/>
      <w:bookmarkStart w:id="30" w:name="_Hlt74707468"/>
      <w:bookmarkEnd w:id="30"/>
      <w:bookmarkStart w:id="31" w:name="_Hlt74729768"/>
      <w:bookmarkEnd w:id="31"/>
      <w:bookmarkStart w:id="32" w:name="_Toc81372953"/>
      <w:bookmarkStart w:id="33" w:name="_Toc84325929"/>
      <w:bookmarkStart w:id="34" w:name="_Toc81372776"/>
      <w:r>
        <w:rPr>
          <w:rFonts w:hint="eastAsia" w:ascii="仿宋_GB2312" w:hAnsi="仿宋_GB2312" w:eastAsia="仿宋_GB2312" w:cs="仿宋_GB2312"/>
          <w:b/>
          <w:color w:val="auto"/>
          <w:sz w:val="32"/>
          <w:szCs w:val="32"/>
          <w:highlight w:val="none"/>
        </w:rPr>
        <w:t>五、授予合同</w:t>
      </w:r>
    </w:p>
    <w:bookmarkEnd w:id="32"/>
    <w:bookmarkEnd w:id="33"/>
    <w:bookmarkEnd w:id="34"/>
    <w:p>
      <w:pPr>
        <w:pStyle w:val="15"/>
        <w:keepNext w:val="0"/>
        <w:keepLines w:val="0"/>
        <w:pageBreakBefore w:val="0"/>
        <w:tabs>
          <w:tab w:val="clear" w:pos="390"/>
          <w:tab w:val="clear" w:pos="454"/>
        </w:tabs>
        <w:kinsoku/>
        <w:wordWrap w:val="0"/>
        <w:overflowPunct/>
        <w:topLinePunct w:val="0"/>
        <w:autoSpaceDE/>
        <w:autoSpaceDN/>
        <w:bidi w:val="0"/>
        <w:snapToGrid/>
        <w:spacing w:after="0" w:line="440" w:lineRule="exact"/>
        <w:ind w:left="0" w:firstLine="482" w:firstLineChars="200"/>
        <w:textAlignment w:val="auto"/>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1.中标条件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1.1投标文件基本符合招标文件要求；</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1.2投标人有很好的执行合同的能力；</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1.3实施方案最合理并对招标人最为有利，最大限度满足招标文件的要求；</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1.4投标人能够提供质量技术、商务经济占综合优势的系统及服务。</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1.5招标人将把中标通知书授予最佳投标者，但最低价不是中标的绝对保证。</w:t>
      </w:r>
    </w:p>
    <w:p>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2.中标确认</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2.3采购人应在确认中标人前再次对资格条件和相关证件材料进一步查验核实。</w:t>
      </w:r>
    </w:p>
    <w:p>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3．中标通知</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3.1采购代理机构对中标结果在指定媒体（浙江政府采购网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"http://www.zjzfcg.gov.cn"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http://zfcg.czt.zj.gov.cn/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、绍兴公共资源交易网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"http://ggb.sx.gov.cn"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http://ggb.sx.gov.cn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）发布中标公告，中标公告期限为1个工作日。</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_GB2312" w:eastAsia="仿宋_GB2312" w:cs="仿宋_GB2312"/>
          <w:color w:val="auto"/>
          <w:sz w:val="24"/>
          <w:highlight w:val="none"/>
          <w:lang w:val="zh-CN"/>
        </w:rPr>
        <w:t>。</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3.3采购代理机构对中标结果不作任何说明和解释，也不回答任何提问。</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4</w:t>
      </w:r>
      <w:r>
        <w:rPr>
          <w:rFonts w:hint="eastAsia" w:ascii="仿宋_GB2312" w:hAnsi="仿宋_GB2312" w:eastAsia="仿宋_GB2312" w:cs="仿宋_GB2312"/>
          <w:b/>
          <w:color w:val="auto"/>
          <w:sz w:val="24"/>
          <w:highlight w:val="none"/>
        </w:rPr>
        <w:t>．履约保证金</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4.2项目验收结束后，采购人应及时退还履约保证金。</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4.3供应商以银行、保险公司出具保函形式提交履约保证金的，采购人不得拒收。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4.4政府采购货物和服务项目不得收取质量保证金。</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5</w:t>
      </w:r>
      <w:r>
        <w:rPr>
          <w:rFonts w:hint="eastAsia" w:ascii="仿宋_GB2312" w:hAnsi="仿宋_GB2312" w:eastAsia="仿宋_GB2312" w:cs="仿宋_GB2312"/>
          <w:b/>
          <w:color w:val="auto"/>
          <w:sz w:val="24"/>
          <w:highlight w:val="none"/>
        </w:rPr>
        <w:t>．合同签订及备案</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5.1中标人应当在中标通知书发出之日起30天内与采购人签订合同，自采购合同签订之日起2个工作日内，通过电子交易平台进行备案。</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5.2如中标人为联合体的，由联合体成员各方法定代表人或其授权代表与采购人代表签订合同。</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6</w:t>
      </w:r>
      <w:r>
        <w:rPr>
          <w:rFonts w:hint="eastAsia" w:ascii="仿宋_GB2312" w:hAnsi="仿宋_GB2312" w:eastAsia="仿宋_GB2312" w:cs="仿宋_GB2312"/>
          <w:b/>
          <w:color w:val="auto"/>
          <w:sz w:val="24"/>
          <w:highlight w:val="none"/>
        </w:rPr>
        <w:t>.验收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7</w:t>
      </w:r>
      <w:r>
        <w:rPr>
          <w:rFonts w:hint="eastAsia" w:ascii="仿宋_GB2312" w:hAnsi="仿宋_GB2312" w:eastAsia="仿宋_GB2312" w:cs="仿宋_GB2312"/>
          <w:b/>
          <w:color w:val="auto"/>
          <w:sz w:val="24"/>
          <w:highlight w:val="none"/>
        </w:rPr>
        <w:t>.售后服务考核</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pPr>
        <w:keepNext w:val="0"/>
        <w:keepLines w:val="0"/>
        <w:pageBreakBefore w:val="0"/>
        <w:widowControl w:val="0"/>
        <w:tabs>
          <w:tab w:val="left" w:pos="0"/>
        </w:tabs>
        <w:kinsoku/>
        <w:wordWrap w:val="0"/>
        <w:overflowPunct/>
        <w:topLinePunct w:val="0"/>
        <w:autoSpaceDE/>
        <w:autoSpaceDN/>
        <w:bidi w:val="0"/>
        <w:adjustRightInd w:val="0"/>
        <w:spacing w:line="360" w:lineRule="auto"/>
        <w:ind w:firstLine="480"/>
        <w:textAlignment w:val="auto"/>
        <w:rPr>
          <w:rFonts w:hint="eastAsia" w:ascii="仿宋_GB2312" w:hAnsi="仿宋_GB2312" w:eastAsia="仿宋_GB2312" w:cs="仿宋_GB2312"/>
          <w:color w:val="auto"/>
          <w:kern w:val="0"/>
          <w:sz w:val="24"/>
          <w:highlight w:val="none"/>
        </w:rPr>
      </w:pPr>
    </w:p>
    <w:p>
      <w:pPr>
        <w:kinsoku/>
        <w:wordWrap w:val="0"/>
        <w:overflowPunct/>
        <w:topLinePunct w:val="0"/>
        <w:bidi w:val="0"/>
        <w:adjustRightInd/>
        <w:spacing w:line="336" w:lineRule="auto"/>
        <w:jc w:val="center"/>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六、</w:t>
      </w:r>
      <w:r>
        <w:rPr>
          <w:rFonts w:hint="eastAsia" w:ascii="仿宋_GB2312" w:hAnsi="仿宋_GB2312" w:eastAsia="仿宋_GB2312" w:cs="仿宋_GB2312"/>
          <w:b/>
          <w:bCs/>
          <w:i w:val="0"/>
          <w:iCs w:val="0"/>
          <w:color w:val="auto"/>
          <w:kern w:val="2"/>
          <w:sz w:val="32"/>
          <w:szCs w:val="20"/>
          <w:highlight w:val="none"/>
          <w:vertAlign w:val="baseline"/>
          <w:lang w:val="en-US" w:eastAsia="zh-CN" w:bidi="ar-SA"/>
        </w:rPr>
        <w:t>询问、质疑与投诉</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1.在线询问、质疑、投诉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_GB2312" w:hAnsi="仿宋_GB2312" w:eastAsia="仿宋_GB2312" w:cs="仿宋_GB2312"/>
          <w:color w:val="auto"/>
          <w:sz w:val="24"/>
          <w:highlight w:val="none"/>
        </w:rPr>
        <w:t>〔2021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2. 供应商询问</w:t>
      </w:r>
    </w:p>
    <w:p>
      <w:pPr>
        <w:kinsoku/>
        <w:wordWrap w:val="0"/>
        <w:overflowPunct/>
        <w:topLinePunct w:val="0"/>
        <w:autoSpaceDE w:val="0"/>
        <w:autoSpaceDN w:val="0"/>
        <w:bidi w:val="0"/>
        <w:adjustRightInd w:val="0"/>
        <w:spacing w:line="336" w:lineRule="auto"/>
        <w:ind w:firstLine="480" w:firstLineChars="200"/>
        <w:jc w:val="left"/>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_GB2312" w:hAnsi="仿宋_GB2312" w:eastAsia="仿宋_GB2312" w:cs="仿宋_GB2312"/>
          <w:b w:val="0"/>
          <w:bCs w:val="0"/>
          <w:i w:val="0"/>
          <w:iCs w:val="0"/>
          <w:color w:val="auto"/>
          <w:kern w:val="0"/>
          <w:sz w:val="24"/>
          <w:szCs w:val="24"/>
          <w:highlight w:val="none"/>
          <w:vertAlign w:val="baseline"/>
          <w:lang w:val="en-US" w:eastAsia="zh-CN" w:bidi="ar-SA"/>
        </w:rPr>
        <w:t xml:space="preserve"> </w:t>
      </w:r>
      <w:r>
        <w:rPr>
          <w:rFonts w:hint="eastAsia" w:ascii="仿宋_GB2312" w:hAnsi="仿宋_GB2312" w:eastAsia="仿宋_GB2312" w:cs="仿宋_GB2312"/>
          <w:b w:val="0"/>
          <w:bCs w:val="0"/>
          <w:i w:val="0"/>
          <w:iCs w:val="0"/>
          <w:color w:val="auto"/>
          <w:kern w:val="0"/>
          <w:sz w:val="24"/>
          <w:szCs w:val="24"/>
          <w:highlight w:val="none"/>
          <w:vertAlign w:val="baseline"/>
          <w:lang w:val="zh-CN" w:eastAsia="zh-CN" w:bidi="ar-SA"/>
        </w:rPr>
        <w:t>的，采购代理机构应当告知供应商向采购人提出。</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3. 供应商质疑</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.1质疑提出时效</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kinsoku/>
        <w:wordWrap w:val="0"/>
        <w:overflowPunct/>
        <w:topLinePunct w:val="0"/>
        <w:bidi w:val="0"/>
        <w:adjustRightInd w:val="0"/>
        <w:snapToGrid w:val="0"/>
        <w:spacing w:line="336" w:lineRule="auto"/>
        <w:ind w:firstLine="434" w:firstLineChars="181"/>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3.1.2.4对同一采购程序环节的质疑，供应商须一次性提出。</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0"/>
          <w:sz w:val="24"/>
          <w:szCs w:val="20"/>
          <w:highlight w:val="none"/>
          <w:vertAlign w:val="baseline"/>
          <w:lang w:val="en-US" w:eastAsia="zh-CN" w:bidi="ar-SA"/>
        </w:rPr>
        <w:t>2</w:t>
      </w: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质疑函</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供应商的姓名或者名称、地址、邮编、联系人及联系电话；</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质疑项目的名称、编号；</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具体、明确的质疑事项和与质疑事项相关的请求；</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事实依据；</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必要的法律依据；</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提出质疑的日期。</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质疑函范本及制作说明详见附件1。</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4.供应商投诉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4.3供应商投诉应当有明确的请求和必要的证明材料。</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left"/>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投诉书范本及制作说明详见附件2。</w:t>
      </w:r>
    </w:p>
    <w:p>
      <w:pPr>
        <w:pStyle w:val="23"/>
        <w:keepNext w:val="0"/>
        <w:keepLines w:val="0"/>
        <w:pageBreakBefore w:val="0"/>
        <w:widowControl w:val="0"/>
        <w:kinsoku/>
        <w:wordWrap w:val="0"/>
        <w:overflowPunct/>
        <w:topLinePunct w:val="0"/>
        <w:bidi w:val="0"/>
        <w:adjustRightInd w:val="0"/>
        <w:snapToGrid/>
        <w:spacing w:line="440" w:lineRule="exact"/>
        <w:ind w:firstLine="480" w:firstLineChars="200"/>
        <w:textAlignment w:val="auto"/>
        <w:rPr>
          <w:rFonts w:hint="eastAsia" w:ascii="仿宋_GB2312" w:hAnsi="仿宋_GB2312" w:eastAsia="仿宋_GB2312" w:cs="仿宋_GB2312"/>
          <w:color w:val="auto"/>
          <w:highlight w:val="none"/>
        </w:rPr>
        <w:sectPr>
          <w:footerReference r:id="rId11" w:type="default"/>
          <w:pgSz w:w="11906" w:h="16838"/>
          <w:pgMar w:top="1474" w:right="1814" w:bottom="1474" w:left="1814" w:header="851" w:footer="992" w:gutter="0"/>
          <w:pgNumType w:fmt="decimal"/>
          <w:cols w:space="720" w:num="1"/>
          <w:docGrid w:linePitch="312" w:charSpace="0"/>
        </w:sectPr>
      </w:pPr>
    </w:p>
    <w:bookmarkEnd w:id="17"/>
    <w:bookmarkEnd w:id="18"/>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pPr>
        <w:keepNext w:val="0"/>
        <w:keepLines w:val="0"/>
        <w:pageBreakBefore w:val="0"/>
        <w:widowControl w:val="0"/>
        <w:kinsoku/>
        <w:wordWrap/>
        <w:overflowPunct/>
        <w:topLinePunct w:val="0"/>
        <w:autoSpaceDE/>
        <w:autoSpaceDN/>
        <w:bidi w:val="0"/>
        <w:adjustRightInd w:val="0"/>
        <w:snapToGrid/>
        <w:spacing w:line="360" w:lineRule="auto"/>
        <w:ind w:left="0" w:leftChars="0" w:firstLine="0" w:firstLineChars="0"/>
        <w:jc w:val="left"/>
        <w:textAlignment w:val="auto"/>
        <w:outlineLvl w:val="0"/>
        <w:rPr>
          <w:rFonts w:hint="eastAsia" w:ascii="仿宋_GB2312" w:hAnsi="新宋体" w:eastAsia="仿宋_GB2312" w:cs="Arial"/>
          <w:b/>
          <w:bCs/>
          <w:color w:val="auto"/>
          <w:sz w:val="24"/>
          <w:highlight w:val="none"/>
          <w:lang w:eastAsia="zh-CN"/>
        </w:rPr>
      </w:pPr>
      <w:bookmarkStart w:id="36" w:name="第五部分"/>
      <w:bookmarkStart w:id="37" w:name="_Toc86217003"/>
      <w:r>
        <w:rPr>
          <w:rFonts w:hint="eastAsia" w:ascii="仿宋_GB2312" w:hAnsi="新宋体" w:eastAsia="仿宋_GB2312" w:cs="Arial"/>
          <w:b/>
          <w:bCs/>
          <w:color w:val="auto"/>
          <w:sz w:val="24"/>
          <w:highlight w:val="none"/>
          <w:bdr w:val="single" w:color="auto" w:sz="4" w:space="0"/>
        </w:rPr>
        <w:t>01标</w:t>
      </w:r>
      <w:r>
        <w:rPr>
          <w:rFonts w:hint="eastAsia" w:ascii="仿宋_GB2312" w:hAnsi="新宋体" w:eastAsia="仿宋_GB2312" w:cs="Arial"/>
          <w:b/>
          <w:bCs/>
          <w:color w:val="auto"/>
          <w:sz w:val="24"/>
          <w:highlight w:val="none"/>
          <w:lang w:eastAsia="zh-CN"/>
        </w:rPr>
        <w:t>物业管理服务项目</w:t>
      </w:r>
    </w:p>
    <w:p>
      <w:pPr>
        <w:spacing w:line="288" w:lineRule="auto"/>
        <w:ind w:firstLine="482" w:firstLineChars="200"/>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color w:val="auto"/>
          <w:sz w:val="24"/>
          <w:szCs w:val="24"/>
        </w:rPr>
        <w:t>本项目总预算金额为93.99万元，</w:t>
      </w:r>
      <w:r>
        <w:rPr>
          <w:rFonts w:hint="eastAsia" w:ascii="仿宋_GB2312" w:hAnsi="仿宋_GB2312" w:eastAsia="仿宋_GB2312" w:cs="仿宋_GB2312"/>
          <w:color w:val="auto"/>
          <w:sz w:val="24"/>
          <w:szCs w:val="24"/>
        </w:rPr>
        <w:t>具体为校园运行维护、清卫保洁、安全保卫、消控高配管理、垃圾处理、绿化养护、绿植租摆服务等。</w:t>
      </w:r>
    </w:p>
    <w:p>
      <w:pPr>
        <w:spacing w:line="288" w:lineRule="auto"/>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一、运行维护部分需求</w:t>
      </w:r>
    </w:p>
    <w:p>
      <w:pPr>
        <w:spacing w:line="288"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1.运行维护人员配置</w:t>
      </w:r>
    </w:p>
    <w:p>
      <w:pPr>
        <w:spacing w:line="288"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综合维修工1人。</w:t>
      </w:r>
    </w:p>
    <w:p>
      <w:pPr>
        <w:spacing w:line="288"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2.工作要求</w:t>
      </w:r>
    </w:p>
    <w:p>
      <w:pPr>
        <w:spacing w:line="288"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bCs/>
          <w:color w:val="auto"/>
          <w:sz w:val="24"/>
          <w:szCs w:val="24"/>
        </w:rPr>
        <w:t>（1）</w:t>
      </w:r>
      <w:r>
        <w:rPr>
          <w:rFonts w:hint="eastAsia" w:ascii="仿宋_GB2312" w:hAnsi="仿宋_GB2312" w:eastAsia="仿宋_GB2312" w:cs="仿宋_GB2312"/>
          <w:color w:val="auto"/>
          <w:sz w:val="24"/>
          <w:szCs w:val="24"/>
        </w:rPr>
        <w:t>要求年龄在55周岁以下，具有中专及以上学历，热爱学校，热爱本职工作，思想端正，身体健康，踏实若干，具有较强的工作责任心。</w:t>
      </w:r>
    </w:p>
    <w:p>
      <w:pPr>
        <w:spacing w:line="288"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（2）持有应急管理部门颁发或监制的特种作业操作证（高压电工作业），具有良好的综合维修工能力。</w:t>
      </w:r>
    </w:p>
    <w:p>
      <w:pPr>
        <w:spacing w:line="288"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bCs/>
          <w:color w:val="auto"/>
          <w:sz w:val="24"/>
          <w:szCs w:val="24"/>
        </w:rPr>
        <w:t>（3）</w:t>
      </w:r>
      <w:r>
        <w:rPr>
          <w:rFonts w:hint="eastAsia" w:ascii="仿宋_GB2312" w:hAnsi="仿宋_GB2312" w:eastAsia="仿宋_GB2312" w:cs="仿宋_GB2312"/>
          <w:color w:val="auto"/>
          <w:sz w:val="24"/>
          <w:szCs w:val="24"/>
        </w:rPr>
        <w:t>鉴于学校的工作特点，校园运行维护工作不得因节假日和双休日而中断，每天上班时间内必须确保服务人员在岗。</w:t>
      </w:r>
    </w:p>
    <w:p>
      <w:pPr>
        <w:spacing w:line="288"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bCs/>
          <w:color w:val="auto"/>
          <w:sz w:val="24"/>
          <w:szCs w:val="24"/>
        </w:rPr>
        <w:t>（4）</w:t>
      </w:r>
      <w:r>
        <w:rPr>
          <w:rFonts w:hint="eastAsia" w:ascii="仿宋_GB2312" w:hAnsi="仿宋_GB2312" w:eastAsia="仿宋_GB2312" w:cs="仿宋_GB2312"/>
          <w:color w:val="auto"/>
          <w:sz w:val="24"/>
          <w:szCs w:val="24"/>
        </w:rPr>
        <w:t>学校各部门因有临时任务需加班，运行维护人员应予主动配合，并处理好各项突击性工作。</w:t>
      </w:r>
    </w:p>
    <w:p>
      <w:pPr>
        <w:spacing w:line="288"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（5）运行维护期为全年，投标人需根据采购人要求及时配备足额人员。</w:t>
      </w:r>
    </w:p>
    <w:p>
      <w:pPr>
        <w:spacing w:line="288" w:lineRule="auto"/>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二、保安和消控管理</w:t>
      </w:r>
    </w:p>
    <w:p>
      <w:pPr>
        <w:spacing w:line="288" w:lineRule="auto"/>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 xml:space="preserve">1.保安人员要求： </w:t>
      </w:r>
    </w:p>
    <w:p>
      <w:pPr>
        <w:spacing w:line="288" w:lineRule="auto"/>
        <w:ind w:firstLine="480" w:firstLineChars="200"/>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年龄55周岁及以下，形象礼仪好，身体健康；统一着装，佩带胸牌。保安人员均需具有大专及以上学历，持有人社部门颁发的保安员二级及以上证书，有工作经验。</w:t>
      </w:r>
      <w:r>
        <w:rPr>
          <w:rFonts w:hint="eastAsia" w:ascii="仿宋_GB2312" w:hAnsi="仿宋_GB2312" w:eastAsia="仿宋_GB2312" w:cs="仿宋_GB2312"/>
          <w:color w:val="auto"/>
          <w:sz w:val="24"/>
          <w:szCs w:val="24"/>
        </w:rPr>
        <w:t>保安人员</w:t>
      </w:r>
      <w:r>
        <w:rPr>
          <w:rFonts w:hint="eastAsia" w:ascii="仿宋_GB2312" w:hAnsi="仿宋_GB2312" w:eastAsia="仿宋_GB2312" w:cs="仿宋_GB2312"/>
          <w:bCs/>
          <w:color w:val="auto"/>
          <w:sz w:val="24"/>
          <w:szCs w:val="24"/>
        </w:rPr>
        <w:t>人数不少于6人，其中1人为保安主管</w:t>
      </w:r>
      <w:r>
        <w:rPr>
          <w:rFonts w:hint="eastAsia" w:ascii="仿宋_GB2312" w:hAnsi="仿宋_GB2312" w:eastAsia="仿宋_GB2312" w:cs="仿宋_GB2312"/>
          <w:color w:val="auto"/>
          <w:sz w:val="24"/>
          <w:szCs w:val="24"/>
        </w:rPr>
        <w:t>。所选派的保安主管还应当</w:t>
      </w:r>
      <w:r>
        <w:rPr>
          <w:rFonts w:hint="eastAsia" w:ascii="仿宋_GB2312" w:hAnsi="仿宋_GB2312" w:eastAsia="仿宋_GB2312" w:cs="仿宋_GB2312"/>
          <w:bCs/>
          <w:color w:val="auto"/>
          <w:sz w:val="24"/>
          <w:szCs w:val="24"/>
        </w:rPr>
        <w:t>持有人社部门颁发的建（构）筑物消防员中级及以上证书或消防设施操作员证书。</w:t>
      </w:r>
    </w:p>
    <w:p>
      <w:pPr>
        <w:spacing w:line="288" w:lineRule="auto"/>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2.保安工作内容和要求</w:t>
      </w:r>
    </w:p>
    <w:p>
      <w:pPr>
        <w:spacing w:line="288" w:lineRule="auto"/>
        <w:ind w:firstLine="420"/>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保安人员工作内容和要求</w:t>
      </w:r>
    </w:p>
    <w:p>
      <w:pPr>
        <w:spacing w:line="288" w:lineRule="auto"/>
        <w:ind w:firstLine="420"/>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（1）人员安排：学校两个门卫室全年24小时需要保安值岗。</w:t>
      </w:r>
    </w:p>
    <w:p>
      <w:pPr>
        <w:spacing w:line="288" w:lineRule="auto"/>
        <w:ind w:firstLine="420"/>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2）做好门卫工作。严格办理校外人员入校的信息核对和登记手续，检查出入校门的人员、车辆和物资，按采购人要求做好验证登记工作，严禁危险物品带入校园。维护好校门口周围交通秩序，引导车辆有序停放。搞好校门口内外区域的环境卫生，保持校门区域清洁。</w:t>
      </w:r>
    </w:p>
    <w:p>
      <w:pPr>
        <w:spacing w:line="288" w:lineRule="auto"/>
        <w:ind w:firstLine="420"/>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（3）做好规定区域的安全巡逻工作。校内巡逻时发现和处置安全隐患，做好节能节电节水和门窗关闭工作，对可疑人员进行盘查。对可能发生的刑事、治安案件及治安灾害事故要及时采取应急措施。</w:t>
      </w:r>
    </w:p>
    <w:p>
      <w:pPr>
        <w:spacing w:line="288" w:lineRule="auto"/>
        <w:ind w:firstLine="420"/>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4）其他：做好日常巡查记录、门卫记录、人员进出登记、车辆管理、校内巡视巡更等台帐的记录工作，协助采购人做好相关考勤登记工作等；接受采购人临时性工作安排；协助采购人做好会议、大型活动等时段的安全保卫工作；通过安全检查及时发现不安全隐患提请采购人及时整改；协助总务后勤科做好其他工作。</w:t>
      </w:r>
    </w:p>
    <w:p>
      <w:pPr>
        <w:spacing w:line="288" w:lineRule="auto"/>
        <w:ind w:firstLine="420"/>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收发室人员工作内容和要求（由保安兼）</w:t>
      </w:r>
    </w:p>
    <w:p>
      <w:pPr>
        <w:spacing w:line="288" w:lineRule="auto"/>
        <w:ind w:firstLine="420"/>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（1）学校收发室设在正大门门卫室，是全校公用各种报刊、杂志收发的总窗口，非本室工作人员一律不准随意进入收发室工作间。</w:t>
      </w:r>
      <w:r>
        <w:rPr>
          <w:rFonts w:hint="eastAsia" w:ascii="仿宋_GB2312" w:hAnsi="仿宋_GB2312" w:eastAsia="仿宋_GB2312" w:cs="仿宋_GB2312"/>
          <w:color w:val="auto"/>
          <w:sz w:val="24"/>
          <w:szCs w:val="24"/>
        </w:rPr>
        <w:t>收发人员</w:t>
      </w:r>
      <w:r>
        <w:rPr>
          <w:rFonts w:hint="eastAsia" w:ascii="仿宋_GB2312" w:hAnsi="仿宋_GB2312" w:eastAsia="仿宋_GB2312" w:cs="仿宋_GB2312"/>
          <w:bCs/>
          <w:color w:val="auto"/>
          <w:sz w:val="24"/>
          <w:szCs w:val="24"/>
        </w:rPr>
        <w:t>必须品行端正，责任性强，认真细致地做好收发工作，避免出现差错。</w:t>
      </w:r>
    </w:p>
    <w:p>
      <w:pPr>
        <w:spacing w:line="288" w:lineRule="auto"/>
        <w:ind w:firstLine="420"/>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2）各处室所订报刊、杂志和教职工个人信件，由收发人员按时派送；对投递地址不详无法分发的个人信件，投入专用“地址不详”信箱，供教职工个人查询。凡60天内无人认领的，联系总务后勤科处置，或交邮递员按邮政部门有关规定处理。</w:t>
      </w:r>
    </w:p>
    <w:p>
      <w:pPr>
        <w:spacing w:line="288" w:lineRule="auto"/>
        <w:ind w:firstLine="420"/>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3）对于教职工的挂号信、汇款单、包裹单等，收发人员在接收此类邮件时，必须认真核对，详细登记、签收，并对签收后的邮件负责。教职工领取上述邮件时，必须按要求携带有效证件方可领取。无有效证件的，收发人员可拒绝发放。对地址不详的挂号邮件，收发人员应立即帮助查阅，尽快核对后发给收件人；对无法查实的应尽早退回邮政部门处理。对因证件不全、地址不详等原因不予发放的邮件，教职工不得强行要求领取。</w:t>
      </w:r>
    </w:p>
    <w:p>
      <w:pPr>
        <w:spacing w:line="288" w:lineRule="auto"/>
        <w:ind w:firstLine="420"/>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（4）收发室要协助各处室做好对公邮件快递的寄发。</w:t>
      </w:r>
    </w:p>
    <w:p>
      <w:pPr>
        <w:spacing w:line="288"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b/>
          <w:color w:val="auto"/>
          <w:sz w:val="24"/>
          <w:szCs w:val="24"/>
        </w:rPr>
        <w:t>3.消控管理人员要求（可由保安人员兼任）</w:t>
      </w:r>
    </w:p>
    <w:p>
      <w:pPr>
        <w:spacing w:line="288" w:lineRule="auto"/>
        <w:ind w:firstLine="480" w:firstLineChars="200"/>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人数不少于1人，年龄55周岁及以下，要求消控管理人员持有人社部门颁发的建（构）筑物消防员初级及以上证书或消防设施操作员证书，持有应急管理部门颁</w:t>
      </w:r>
      <w:r>
        <w:rPr>
          <w:rFonts w:hint="eastAsia" w:ascii="仿宋_GB2312" w:hAnsi="仿宋_GB2312" w:eastAsia="仿宋_GB2312" w:cs="仿宋_GB2312"/>
          <w:color w:val="auto"/>
          <w:sz w:val="24"/>
          <w:szCs w:val="24"/>
        </w:rPr>
        <w:t>发或监制</w:t>
      </w:r>
      <w:r>
        <w:rPr>
          <w:rFonts w:hint="eastAsia" w:ascii="仿宋_GB2312" w:hAnsi="仿宋_GB2312" w:eastAsia="仿宋_GB2312" w:cs="仿宋_GB2312"/>
          <w:bCs/>
          <w:color w:val="auto"/>
          <w:sz w:val="24"/>
          <w:szCs w:val="24"/>
        </w:rPr>
        <w:t>的特种作业操作证（低压电工作业）。可以整合保安人员和消控人员的功能。</w:t>
      </w:r>
    </w:p>
    <w:p>
      <w:pPr>
        <w:spacing w:line="288" w:lineRule="auto"/>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4.消控管理人员工作内容和要求</w:t>
      </w:r>
    </w:p>
    <w:p>
      <w:pPr>
        <w:spacing w:line="288" w:lineRule="auto"/>
        <w:ind w:firstLine="420"/>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负责学校消控室设备管理，巡视检查全校消防安全设施设备及校园安防，并及时做好各类登记，确保消控室24小时有人员值班。同时能配合做好采购人其他交办的工作。</w:t>
      </w:r>
    </w:p>
    <w:p>
      <w:pPr>
        <w:spacing w:line="288" w:lineRule="auto"/>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5.安保和消控管理物资和人员着装</w:t>
      </w:r>
    </w:p>
    <w:p>
      <w:pPr>
        <w:spacing w:line="288" w:lineRule="auto"/>
        <w:ind w:firstLine="420"/>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（1）采购人为派驻的保安、消控人员提供必备的工作条件，包括值班室、办公桌椅、通讯联络方式等。安保物资如服装、手电筒等由投标人承担，采购人不另行追加经费。</w:t>
      </w:r>
    </w:p>
    <w:p>
      <w:pPr>
        <w:spacing w:line="288" w:lineRule="auto"/>
        <w:ind w:firstLine="420"/>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（2）人员着装要求：员工持证上岗，着装统一（费用由投标人承担），标识鲜明，礼仪规范，提供高规格的服务。</w:t>
      </w:r>
    </w:p>
    <w:p>
      <w:pPr>
        <w:spacing w:line="288" w:lineRule="auto"/>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6.安全责任：</w:t>
      </w:r>
    </w:p>
    <w:p>
      <w:pPr>
        <w:spacing w:line="288" w:lineRule="auto"/>
        <w:ind w:firstLine="420"/>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投标人必须重视安全生产和安全教育，工作过程中发现校园安全隐患，在其工作职责范围内及时处置并向学校反映，由于操作不规范等因素造成的安全责任事故，由</w:t>
      </w:r>
      <w:r>
        <w:rPr>
          <w:rFonts w:hint="eastAsia" w:ascii="仿宋_GB2312" w:hAnsi="仿宋_GB2312" w:eastAsia="仿宋_GB2312" w:cs="仿宋_GB2312"/>
          <w:bCs/>
          <w:color w:val="auto"/>
          <w:sz w:val="24"/>
          <w:szCs w:val="24"/>
          <w:lang w:eastAsia="zh-CN"/>
        </w:rPr>
        <w:t>投标人</w:t>
      </w:r>
      <w:r>
        <w:rPr>
          <w:rFonts w:hint="eastAsia" w:ascii="仿宋_GB2312" w:hAnsi="仿宋_GB2312" w:eastAsia="仿宋_GB2312" w:cs="仿宋_GB2312"/>
          <w:bCs/>
          <w:color w:val="auto"/>
          <w:sz w:val="24"/>
          <w:szCs w:val="24"/>
        </w:rPr>
        <w:t>承担一切责任及损失。</w:t>
      </w:r>
    </w:p>
    <w:p>
      <w:pPr>
        <w:spacing w:line="288" w:lineRule="auto"/>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三、保洁部分需求</w:t>
      </w:r>
    </w:p>
    <w:p>
      <w:pPr>
        <w:spacing w:line="288"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1.保洁人员配置</w:t>
      </w:r>
    </w:p>
    <w:p>
      <w:pPr>
        <w:spacing w:line="288"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人员要求60周岁以下，身体健康。人数不得少于4人，其中1人担任保洁主管。保洁主管需具有大专及以上学历。</w:t>
      </w:r>
    </w:p>
    <w:p>
      <w:pPr>
        <w:spacing w:line="288"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2.服务内容及要求</w:t>
      </w:r>
    </w:p>
    <w:p>
      <w:pPr>
        <w:spacing w:line="288"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fldChar w:fldCharType="begin"/>
      </w:r>
      <w:r>
        <w:rPr>
          <w:rFonts w:hint="eastAsia" w:ascii="仿宋_GB2312" w:hAnsi="仿宋_GB2312" w:eastAsia="仿宋_GB2312" w:cs="仿宋_GB2312"/>
          <w:color w:val="auto"/>
          <w:sz w:val="24"/>
          <w:szCs w:val="24"/>
        </w:rPr>
        <w:instrText xml:space="preserve"> = 1 \* GB3 \* MERGEFORMAT </w:instrText>
      </w:r>
      <w:r>
        <w:rPr>
          <w:rFonts w:hint="eastAsia" w:ascii="仿宋_GB2312" w:hAnsi="仿宋_GB2312" w:eastAsia="仿宋_GB2312" w:cs="仿宋_GB2312"/>
          <w:color w:val="auto"/>
          <w:sz w:val="24"/>
          <w:szCs w:val="24"/>
        </w:rPr>
        <w:fldChar w:fldCharType="separate"/>
      </w: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rPr>
        <w:fldChar w:fldCharType="end"/>
      </w:r>
      <w:r>
        <w:rPr>
          <w:rFonts w:hint="eastAsia" w:ascii="仿宋_GB2312" w:hAnsi="仿宋_GB2312" w:eastAsia="仿宋_GB2312" w:cs="仿宋_GB2312"/>
          <w:color w:val="auto"/>
          <w:sz w:val="24"/>
          <w:szCs w:val="24"/>
        </w:rPr>
        <w:t>工作范围：“主要为校内教学楼、行政办公楼、田径场、校园内马路与草地以及相关的通道、走廊、台阶、门窗、天花板、柱面、墙壁、玻璃、扶手、宣传栏、公共厕所、楼顶、消防栓、挂画、垃圾桶的保洁工作及张贴的通知、公告清除；清运学校产生的除餐厨垃圾外的垃圾至垃圾回收站。</w:t>
      </w:r>
    </w:p>
    <w:p>
      <w:pPr>
        <w:spacing w:line="288"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fldChar w:fldCharType="begin"/>
      </w:r>
      <w:r>
        <w:rPr>
          <w:rFonts w:hint="eastAsia" w:ascii="仿宋_GB2312" w:hAnsi="仿宋_GB2312" w:eastAsia="仿宋_GB2312" w:cs="仿宋_GB2312"/>
          <w:color w:val="auto"/>
          <w:sz w:val="24"/>
          <w:szCs w:val="24"/>
        </w:rPr>
        <w:instrText xml:space="preserve"> = 2 \* GB3 \* MERGEFORMAT </w:instrText>
      </w:r>
      <w:r>
        <w:rPr>
          <w:rFonts w:hint="eastAsia" w:ascii="仿宋_GB2312" w:hAnsi="仿宋_GB2312" w:eastAsia="仿宋_GB2312" w:cs="仿宋_GB2312"/>
          <w:color w:val="auto"/>
          <w:sz w:val="24"/>
          <w:szCs w:val="24"/>
        </w:rPr>
        <w:fldChar w:fldCharType="separate"/>
      </w:r>
      <w:r>
        <w:rPr>
          <w:rFonts w:hint="eastAsia" w:ascii="仿宋_GB2312" w:hAnsi="仿宋_GB2312" w:eastAsia="仿宋_GB2312" w:cs="仿宋_GB2312"/>
          <w:color w:val="auto"/>
          <w:sz w:val="24"/>
          <w:szCs w:val="24"/>
        </w:rPr>
        <w:t>（2）</w:t>
      </w:r>
      <w:r>
        <w:rPr>
          <w:rFonts w:hint="eastAsia" w:ascii="仿宋_GB2312" w:hAnsi="仿宋_GB2312" w:eastAsia="仿宋_GB2312" w:cs="仿宋_GB2312"/>
          <w:color w:val="auto"/>
          <w:sz w:val="24"/>
          <w:szCs w:val="24"/>
        </w:rPr>
        <w:fldChar w:fldCharType="end"/>
      </w:r>
      <w:r>
        <w:rPr>
          <w:rFonts w:hint="eastAsia" w:ascii="仿宋_GB2312" w:hAnsi="仿宋_GB2312" w:eastAsia="仿宋_GB2312" w:cs="仿宋_GB2312"/>
          <w:color w:val="auto"/>
          <w:sz w:val="24"/>
          <w:szCs w:val="24"/>
        </w:rPr>
        <w:t>保洁要求：做好教学楼、行政办公楼、保洁工作，所有走廊、楼梯每天至少清扫、水拖一遍，扶栏擦拭一遍，及时清除走廊垃圾；做好厕所冲洗、清理工作，上下午至少各一遍，及时做好课间休息过后的维护保洁工作；做好田径场，校园内马路、通道与草地的保洁工作，每天至少一扫一捡；做好篮球场及室外垃圾桶的清洁工作，每月至少清洗一遍；做好各会议室的保洁工作，保证随时都可以开会和接待。</w:t>
      </w:r>
    </w:p>
    <w:p>
      <w:pPr>
        <w:spacing w:line="288"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fldChar w:fldCharType="begin"/>
      </w:r>
      <w:r>
        <w:rPr>
          <w:rFonts w:hint="eastAsia" w:ascii="仿宋_GB2312" w:hAnsi="仿宋_GB2312" w:eastAsia="仿宋_GB2312" w:cs="仿宋_GB2312"/>
          <w:color w:val="auto"/>
          <w:sz w:val="24"/>
          <w:szCs w:val="24"/>
        </w:rPr>
        <w:instrText xml:space="preserve"> = 3 \* GB3 \* MERGEFORMAT </w:instrText>
      </w:r>
      <w:r>
        <w:rPr>
          <w:rFonts w:hint="eastAsia" w:ascii="仿宋_GB2312" w:hAnsi="仿宋_GB2312" w:eastAsia="仿宋_GB2312" w:cs="仿宋_GB2312"/>
          <w:color w:val="auto"/>
          <w:sz w:val="24"/>
          <w:szCs w:val="24"/>
        </w:rPr>
        <w:fldChar w:fldCharType="separate"/>
      </w:r>
      <w:r>
        <w:rPr>
          <w:rFonts w:hint="eastAsia" w:ascii="仿宋_GB2312" w:hAnsi="仿宋_GB2312" w:eastAsia="仿宋_GB2312" w:cs="仿宋_GB2312"/>
          <w:color w:val="auto"/>
          <w:sz w:val="24"/>
          <w:szCs w:val="24"/>
        </w:rPr>
        <w:t>（3）</w:t>
      </w:r>
      <w:r>
        <w:rPr>
          <w:rFonts w:hint="eastAsia" w:ascii="仿宋_GB2312" w:hAnsi="仿宋_GB2312" w:eastAsia="仿宋_GB2312" w:cs="仿宋_GB2312"/>
          <w:color w:val="auto"/>
          <w:sz w:val="24"/>
          <w:szCs w:val="24"/>
        </w:rPr>
        <w:fldChar w:fldCharType="end"/>
      </w:r>
      <w:r>
        <w:rPr>
          <w:rFonts w:hint="eastAsia" w:ascii="仿宋_GB2312" w:hAnsi="仿宋_GB2312" w:eastAsia="仿宋_GB2312" w:cs="仿宋_GB2312"/>
          <w:color w:val="auto"/>
          <w:sz w:val="24"/>
          <w:szCs w:val="24"/>
        </w:rPr>
        <w:t>保洁目标：做到房顶、墙角无积尘、蛛网；地面无积尘、无碎纸、无垃圾、无烟头、无积水；窗台整洁，无积尘、无积渍，窗内侧玻璃保持干净；走廊和楼梯扶手、栏杆无积尘、立面无积渍；家具、设施设备（直饮水机）无尘灰、无污渍；厕所无尿迹（黄迹）、无污垢、无异味；厕所内不随便放置物品，墙砖及分隔门时常擦洗、无污渍；洗手台面(台盆)、拖把池干净，下水通畅，镜子干净；绿化带内无垃圾杂物；如有物品损坏，及时报告总务后勤科。</w:t>
      </w:r>
    </w:p>
    <w:p>
      <w:pPr>
        <w:spacing w:line="288"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fldChar w:fldCharType="begin"/>
      </w:r>
      <w:r>
        <w:rPr>
          <w:rFonts w:hint="eastAsia" w:ascii="仿宋_GB2312" w:hAnsi="仿宋_GB2312" w:eastAsia="仿宋_GB2312" w:cs="仿宋_GB2312"/>
          <w:color w:val="auto"/>
          <w:sz w:val="24"/>
          <w:szCs w:val="24"/>
        </w:rPr>
        <w:instrText xml:space="preserve"> = 4 \* GB3 \* MERGEFORMAT </w:instrText>
      </w:r>
      <w:r>
        <w:rPr>
          <w:rFonts w:hint="eastAsia" w:ascii="仿宋_GB2312" w:hAnsi="仿宋_GB2312" w:eastAsia="仿宋_GB2312" w:cs="仿宋_GB2312"/>
          <w:color w:val="auto"/>
          <w:sz w:val="24"/>
          <w:szCs w:val="24"/>
        </w:rPr>
        <w:fldChar w:fldCharType="separate"/>
      </w:r>
      <w:r>
        <w:rPr>
          <w:rFonts w:hint="eastAsia" w:ascii="仿宋_GB2312" w:hAnsi="仿宋_GB2312" w:eastAsia="仿宋_GB2312" w:cs="仿宋_GB2312"/>
          <w:color w:val="auto"/>
          <w:sz w:val="24"/>
          <w:szCs w:val="24"/>
        </w:rPr>
        <w:t>（4）</w:t>
      </w:r>
      <w:r>
        <w:rPr>
          <w:rFonts w:hint="eastAsia" w:ascii="仿宋_GB2312" w:hAnsi="仿宋_GB2312" w:eastAsia="仿宋_GB2312" w:cs="仿宋_GB2312"/>
          <w:color w:val="auto"/>
          <w:sz w:val="24"/>
          <w:szCs w:val="24"/>
        </w:rPr>
        <w:fldChar w:fldCharType="end"/>
      </w:r>
      <w:r>
        <w:rPr>
          <w:rFonts w:hint="eastAsia" w:ascii="仿宋_GB2312" w:hAnsi="仿宋_GB2312" w:eastAsia="仿宋_GB2312" w:cs="仿宋_GB2312"/>
          <w:color w:val="auto"/>
          <w:sz w:val="24"/>
          <w:szCs w:val="24"/>
        </w:rPr>
        <w:t>其他补充：学校如有上级领导和重要嘉宾参观、检查或教研活动，可根据需要提前通知投标人，投标人根据采购人要求进行突击性服务；如遇火警、水管爆裂、台风袭击、突发性、重要接待、节会活动等特殊情况，投标人要组织突击小组配合采购人搞好特殊保洁工作；维护承包范围内校容、校貌的整洁，协助采购人完成临时性的课桌椅的调配工作及其他卫生保洁工作。未经同意，保洁人员不得在校内做兼职工作，不得捡废旧物品（纸板、塑料瓶等）。</w:t>
      </w:r>
    </w:p>
    <w:p>
      <w:pPr>
        <w:spacing w:line="288"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3.垃圾分类、垃圾车、垃圾桶（箱）及垃圾清运要求</w:t>
      </w:r>
    </w:p>
    <w:p>
      <w:pPr>
        <w:spacing w:line="288"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fldChar w:fldCharType="begin"/>
      </w:r>
      <w:r>
        <w:rPr>
          <w:rFonts w:hint="eastAsia" w:ascii="仿宋_GB2312" w:hAnsi="仿宋_GB2312" w:eastAsia="仿宋_GB2312" w:cs="仿宋_GB2312"/>
          <w:color w:val="auto"/>
          <w:sz w:val="24"/>
          <w:szCs w:val="24"/>
        </w:rPr>
        <w:instrText xml:space="preserve"> = 1 \* GB3 \* MERGEFORMAT </w:instrText>
      </w:r>
      <w:r>
        <w:rPr>
          <w:rFonts w:hint="eastAsia" w:ascii="仿宋_GB2312" w:hAnsi="仿宋_GB2312" w:eastAsia="仿宋_GB2312" w:cs="仿宋_GB2312"/>
          <w:color w:val="auto"/>
          <w:sz w:val="24"/>
          <w:szCs w:val="24"/>
        </w:rPr>
        <w:fldChar w:fldCharType="separate"/>
      </w: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rPr>
        <w:fldChar w:fldCharType="end"/>
      </w:r>
      <w:r>
        <w:rPr>
          <w:rFonts w:hint="eastAsia" w:ascii="仿宋_GB2312" w:hAnsi="仿宋_GB2312" w:eastAsia="仿宋_GB2312" w:cs="仿宋_GB2312"/>
          <w:color w:val="auto"/>
          <w:sz w:val="24"/>
          <w:szCs w:val="24"/>
        </w:rPr>
        <w:t>做好垃圾清运前的分类工作，垃圾房周边无卫生死角，每日完成垃圾清运工作，封闭式垃圾运输的环卫专用车辆由投标人提供，运输车的修理费及在运输过程中发生事故等费用均由投标人负责。要求清运物须运到市环境卫生管理部门指定的处置点进行专业处理。</w:t>
      </w:r>
    </w:p>
    <w:p>
      <w:pPr>
        <w:spacing w:line="288"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fldChar w:fldCharType="begin"/>
      </w:r>
      <w:r>
        <w:rPr>
          <w:rFonts w:hint="eastAsia" w:ascii="仿宋_GB2312" w:hAnsi="仿宋_GB2312" w:eastAsia="仿宋_GB2312" w:cs="仿宋_GB2312"/>
          <w:color w:val="auto"/>
          <w:sz w:val="24"/>
          <w:szCs w:val="24"/>
        </w:rPr>
        <w:instrText xml:space="preserve"> = 2 \* GB3 \* MERGEFORMAT </w:instrText>
      </w:r>
      <w:r>
        <w:rPr>
          <w:rFonts w:hint="eastAsia" w:ascii="仿宋_GB2312" w:hAnsi="仿宋_GB2312" w:eastAsia="仿宋_GB2312" w:cs="仿宋_GB2312"/>
          <w:color w:val="auto"/>
          <w:sz w:val="24"/>
          <w:szCs w:val="24"/>
        </w:rPr>
        <w:fldChar w:fldCharType="separate"/>
      </w:r>
      <w:r>
        <w:rPr>
          <w:rFonts w:hint="eastAsia" w:ascii="仿宋_GB2312" w:hAnsi="仿宋_GB2312" w:eastAsia="仿宋_GB2312" w:cs="仿宋_GB2312"/>
          <w:color w:val="auto"/>
          <w:sz w:val="24"/>
          <w:szCs w:val="24"/>
        </w:rPr>
        <w:t>（2）</w:t>
      </w:r>
      <w:r>
        <w:rPr>
          <w:rFonts w:hint="eastAsia" w:ascii="仿宋_GB2312" w:hAnsi="仿宋_GB2312" w:eastAsia="仿宋_GB2312" w:cs="仿宋_GB2312"/>
          <w:color w:val="auto"/>
          <w:sz w:val="24"/>
          <w:szCs w:val="24"/>
        </w:rPr>
        <w:fldChar w:fldCharType="end"/>
      </w:r>
      <w:r>
        <w:rPr>
          <w:rFonts w:hint="eastAsia" w:ascii="仿宋_GB2312" w:hAnsi="仿宋_GB2312" w:eastAsia="仿宋_GB2312" w:cs="仿宋_GB2312"/>
          <w:color w:val="auto"/>
          <w:sz w:val="24"/>
          <w:szCs w:val="24"/>
        </w:rPr>
        <w:t>垃圾桶由专人管理、合理设置。垃圾桶无满溢、无异味、无污迹；每年四季定期做好除“四害”。</w:t>
      </w:r>
    </w:p>
    <w:p>
      <w:pPr>
        <w:spacing w:line="288"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fldChar w:fldCharType="begin"/>
      </w:r>
      <w:r>
        <w:rPr>
          <w:rFonts w:hint="eastAsia" w:ascii="仿宋_GB2312" w:hAnsi="仿宋_GB2312" w:eastAsia="仿宋_GB2312" w:cs="仿宋_GB2312"/>
          <w:color w:val="auto"/>
          <w:sz w:val="24"/>
          <w:szCs w:val="24"/>
        </w:rPr>
        <w:instrText xml:space="preserve"> = 3 \* GB3 \* MERGEFORMAT </w:instrText>
      </w:r>
      <w:r>
        <w:rPr>
          <w:rFonts w:hint="eastAsia" w:ascii="仿宋_GB2312" w:hAnsi="仿宋_GB2312" w:eastAsia="仿宋_GB2312" w:cs="仿宋_GB2312"/>
          <w:color w:val="auto"/>
          <w:sz w:val="24"/>
          <w:szCs w:val="24"/>
        </w:rPr>
        <w:fldChar w:fldCharType="separate"/>
      </w:r>
      <w:r>
        <w:rPr>
          <w:rFonts w:hint="eastAsia" w:ascii="仿宋_GB2312" w:hAnsi="仿宋_GB2312" w:eastAsia="仿宋_GB2312" w:cs="仿宋_GB2312"/>
          <w:color w:val="auto"/>
          <w:sz w:val="24"/>
          <w:szCs w:val="24"/>
        </w:rPr>
        <w:t>（3）</w:t>
      </w:r>
      <w:r>
        <w:rPr>
          <w:rFonts w:hint="eastAsia" w:ascii="仿宋_GB2312" w:hAnsi="仿宋_GB2312" w:eastAsia="仿宋_GB2312" w:cs="仿宋_GB2312"/>
          <w:color w:val="auto"/>
          <w:sz w:val="24"/>
          <w:szCs w:val="24"/>
        </w:rPr>
        <w:fldChar w:fldCharType="end"/>
      </w:r>
      <w:r>
        <w:rPr>
          <w:rFonts w:hint="eastAsia" w:ascii="仿宋_GB2312" w:hAnsi="仿宋_GB2312" w:eastAsia="仿宋_GB2312" w:cs="仿宋_GB2312"/>
          <w:color w:val="auto"/>
          <w:sz w:val="24"/>
          <w:szCs w:val="24"/>
        </w:rPr>
        <w:t>校园内垃圾日产日销，包括生活垃圾、非生活垃圾。</w:t>
      </w:r>
    </w:p>
    <w:p>
      <w:pPr>
        <w:spacing w:line="288"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4.工作时间</w:t>
      </w:r>
    </w:p>
    <w:p>
      <w:pPr>
        <w:spacing w:line="288"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fldChar w:fldCharType="begin"/>
      </w:r>
      <w:r>
        <w:rPr>
          <w:rFonts w:hint="eastAsia" w:ascii="仿宋_GB2312" w:hAnsi="仿宋_GB2312" w:eastAsia="仿宋_GB2312" w:cs="仿宋_GB2312"/>
          <w:color w:val="auto"/>
          <w:sz w:val="24"/>
          <w:szCs w:val="24"/>
        </w:rPr>
        <w:instrText xml:space="preserve"> = 1 \* GB3 \* MERGEFORMAT </w:instrText>
      </w:r>
      <w:r>
        <w:rPr>
          <w:rFonts w:hint="eastAsia" w:ascii="仿宋_GB2312" w:hAnsi="仿宋_GB2312" w:eastAsia="仿宋_GB2312" w:cs="仿宋_GB2312"/>
          <w:color w:val="auto"/>
          <w:sz w:val="24"/>
          <w:szCs w:val="24"/>
        </w:rPr>
        <w:fldChar w:fldCharType="separate"/>
      </w: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rPr>
        <w:fldChar w:fldCharType="end"/>
      </w:r>
      <w:r>
        <w:rPr>
          <w:rFonts w:hint="eastAsia" w:ascii="仿宋_GB2312" w:hAnsi="仿宋_GB2312" w:eastAsia="仿宋_GB2312" w:cs="仿宋_GB2312"/>
          <w:color w:val="auto"/>
          <w:sz w:val="24"/>
          <w:szCs w:val="24"/>
        </w:rPr>
        <w:t>鉴于学校的工作特点，要求投标人拟定相关的作业计划，校园卫生保洁工作不得因节假日和双休日而中断，每天上班时间内必须确保服务人员在岗，并有专职人员随时巡逻保洁。</w:t>
      </w:r>
    </w:p>
    <w:p>
      <w:pPr>
        <w:spacing w:line="288"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fldChar w:fldCharType="begin"/>
      </w:r>
      <w:r>
        <w:rPr>
          <w:rFonts w:hint="eastAsia" w:ascii="仿宋_GB2312" w:hAnsi="仿宋_GB2312" w:eastAsia="仿宋_GB2312" w:cs="仿宋_GB2312"/>
          <w:color w:val="auto"/>
          <w:sz w:val="24"/>
          <w:szCs w:val="24"/>
        </w:rPr>
        <w:instrText xml:space="preserve"> = 2 \* GB3 \* MERGEFORMAT </w:instrText>
      </w:r>
      <w:r>
        <w:rPr>
          <w:rFonts w:hint="eastAsia" w:ascii="仿宋_GB2312" w:hAnsi="仿宋_GB2312" w:eastAsia="仿宋_GB2312" w:cs="仿宋_GB2312"/>
          <w:color w:val="auto"/>
          <w:sz w:val="24"/>
          <w:szCs w:val="24"/>
        </w:rPr>
        <w:fldChar w:fldCharType="separate"/>
      </w:r>
      <w:r>
        <w:rPr>
          <w:rFonts w:hint="eastAsia" w:ascii="仿宋_GB2312" w:hAnsi="仿宋_GB2312" w:eastAsia="仿宋_GB2312" w:cs="仿宋_GB2312"/>
          <w:color w:val="auto"/>
          <w:sz w:val="24"/>
          <w:szCs w:val="24"/>
        </w:rPr>
        <w:t>（2）</w:t>
      </w:r>
      <w:r>
        <w:rPr>
          <w:rFonts w:hint="eastAsia" w:ascii="仿宋_GB2312" w:hAnsi="仿宋_GB2312" w:eastAsia="仿宋_GB2312" w:cs="仿宋_GB2312"/>
          <w:color w:val="auto"/>
          <w:sz w:val="24"/>
          <w:szCs w:val="24"/>
        </w:rPr>
        <w:fldChar w:fldCharType="end"/>
      </w:r>
      <w:r>
        <w:rPr>
          <w:rFonts w:hint="eastAsia" w:ascii="仿宋_GB2312" w:hAnsi="仿宋_GB2312" w:eastAsia="仿宋_GB2312" w:cs="仿宋_GB2312"/>
          <w:color w:val="auto"/>
          <w:sz w:val="24"/>
          <w:szCs w:val="24"/>
        </w:rPr>
        <w:t>学校各部门因有临时任务需加班，保洁人员应予主动配合，并处理好各项突击性工作。</w:t>
      </w:r>
    </w:p>
    <w:p>
      <w:pPr>
        <w:spacing w:line="288"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fldChar w:fldCharType="begin"/>
      </w:r>
      <w:r>
        <w:rPr>
          <w:rFonts w:hint="eastAsia" w:ascii="仿宋_GB2312" w:hAnsi="仿宋_GB2312" w:eastAsia="仿宋_GB2312" w:cs="仿宋_GB2312"/>
          <w:color w:val="auto"/>
          <w:sz w:val="24"/>
          <w:szCs w:val="24"/>
        </w:rPr>
        <w:instrText xml:space="preserve"> = 3 \* GB3 \* MERGEFORMAT </w:instrText>
      </w:r>
      <w:r>
        <w:rPr>
          <w:rFonts w:hint="eastAsia" w:ascii="仿宋_GB2312" w:hAnsi="仿宋_GB2312" w:eastAsia="仿宋_GB2312" w:cs="仿宋_GB2312"/>
          <w:color w:val="auto"/>
          <w:sz w:val="24"/>
          <w:szCs w:val="24"/>
        </w:rPr>
        <w:fldChar w:fldCharType="separate"/>
      </w:r>
      <w:r>
        <w:rPr>
          <w:rFonts w:hint="eastAsia" w:ascii="仿宋_GB2312" w:hAnsi="仿宋_GB2312" w:eastAsia="仿宋_GB2312" w:cs="仿宋_GB2312"/>
          <w:color w:val="auto"/>
          <w:sz w:val="24"/>
          <w:szCs w:val="24"/>
        </w:rPr>
        <w:t>（3）</w:t>
      </w:r>
      <w:r>
        <w:rPr>
          <w:rFonts w:hint="eastAsia" w:ascii="仿宋_GB2312" w:hAnsi="仿宋_GB2312" w:eastAsia="仿宋_GB2312" w:cs="仿宋_GB2312"/>
          <w:color w:val="auto"/>
          <w:sz w:val="24"/>
          <w:szCs w:val="24"/>
        </w:rPr>
        <w:fldChar w:fldCharType="end"/>
      </w:r>
      <w:r>
        <w:rPr>
          <w:rFonts w:hint="eastAsia" w:ascii="仿宋_GB2312" w:hAnsi="仿宋_GB2312" w:eastAsia="仿宋_GB2312" w:cs="仿宋_GB2312"/>
          <w:color w:val="auto"/>
          <w:sz w:val="24"/>
          <w:szCs w:val="24"/>
        </w:rPr>
        <w:t>保洁期为全年，完成相对应的卫生保洁。假期如遇校方各类活动，投标人需根据采购人要求及时配备足额人员,不作为加班。</w:t>
      </w:r>
    </w:p>
    <w:p>
      <w:pPr>
        <w:spacing w:line="288"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fldChar w:fldCharType="begin"/>
      </w:r>
      <w:r>
        <w:rPr>
          <w:rFonts w:hint="eastAsia" w:ascii="仿宋_GB2312" w:hAnsi="仿宋_GB2312" w:eastAsia="仿宋_GB2312" w:cs="仿宋_GB2312"/>
          <w:color w:val="auto"/>
          <w:sz w:val="24"/>
          <w:szCs w:val="24"/>
        </w:rPr>
        <w:instrText xml:space="preserve"> = 4 \* GB3 \* MERGEFORMAT </w:instrText>
      </w:r>
      <w:r>
        <w:rPr>
          <w:rFonts w:hint="eastAsia" w:ascii="仿宋_GB2312" w:hAnsi="仿宋_GB2312" w:eastAsia="仿宋_GB2312" w:cs="仿宋_GB2312"/>
          <w:color w:val="auto"/>
          <w:sz w:val="24"/>
          <w:szCs w:val="24"/>
        </w:rPr>
        <w:fldChar w:fldCharType="separate"/>
      </w:r>
      <w:r>
        <w:rPr>
          <w:rFonts w:hint="eastAsia" w:ascii="仿宋_GB2312" w:hAnsi="仿宋_GB2312" w:eastAsia="仿宋_GB2312" w:cs="仿宋_GB2312"/>
          <w:color w:val="auto"/>
          <w:sz w:val="24"/>
          <w:szCs w:val="24"/>
        </w:rPr>
        <w:t>（4）</w:t>
      </w:r>
      <w:r>
        <w:rPr>
          <w:rFonts w:hint="eastAsia" w:ascii="仿宋_GB2312" w:hAnsi="仿宋_GB2312" w:eastAsia="仿宋_GB2312" w:cs="仿宋_GB2312"/>
          <w:color w:val="auto"/>
          <w:sz w:val="24"/>
          <w:szCs w:val="24"/>
        </w:rPr>
        <w:fldChar w:fldCharType="end"/>
      </w:r>
      <w:r>
        <w:rPr>
          <w:rFonts w:hint="eastAsia" w:ascii="仿宋_GB2312" w:hAnsi="仿宋_GB2312" w:eastAsia="仿宋_GB2312" w:cs="仿宋_GB2312"/>
          <w:color w:val="auto"/>
          <w:sz w:val="24"/>
          <w:szCs w:val="24"/>
        </w:rPr>
        <w:t>无特殊情况，在学校正式开学前一周，保洁人员与学校各部门配合进行开学大清扫，若有人员调整，应及时通知总务后勤科。</w:t>
      </w:r>
    </w:p>
    <w:p>
      <w:pPr>
        <w:spacing w:line="288"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5.卫生保洁监督机制及考核、验收</w:t>
      </w:r>
    </w:p>
    <w:p>
      <w:pPr>
        <w:spacing w:line="288"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fldChar w:fldCharType="begin"/>
      </w:r>
      <w:r>
        <w:rPr>
          <w:rFonts w:hint="eastAsia" w:ascii="仿宋_GB2312" w:hAnsi="仿宋_GB2312" w:eastAsia="仿宋_GB2312" w:cs="仿宋_GB2312"/>
          <w:color w:val="auto"/>
          <w:sz w:val="24"/>
          <w:szCs w:val="24"/>
        </w:rPr>
        <w:instrText xml:space="preserve"> = 1 \* GB3 \* MERGEFORMAT </w:instrText>
      </w:r>
      <w:r>
        <w:rPr>
          <w:rFonts w:hint="eastAsia" w:ascii="仿宋_GB2312" w:hAnsi="仿宋_GB2312" w:eastAsia="仿宋_GB2312" w:cs="仿宋_GB2312"/>
          <w:color w:val="auto"/>
          <w:sz w:val="24"/>
          <w:szCs w:val="24"/>
        </w:rPr>
        <w:fldChar w:fldCharType="separate"/>
      </w: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rPr>
        <w:fldChar w:fldCharType="end"/>
      </w:r>
      <w:r>
        <w:rPr>
          <w:rFonts w:hint="eastAsia" w:ascii="仿宋_GB2312" w:hAnsi="仿宋_GB2312" w:eastAsia="仿宋_GB2312" w:cs="仿宋_GB2312"/>
          <w:color w:val="auto"/>
          <w:sz w:val="24"/>
          <w:szCs w:val="24"/>
        </w:rPr>
        <w:t>检查考核：由采购人后勤分管人员（1名）与投标人的管理人员（1名）组成，对校园卫生进行检查，不合格（卫生合格80分及以上）扣除当月服务费2%。累计月考评得分有二次在80分及以下，扣除当月服务费5%。</w:t>
      </w:r>
    </w:p>
    <w:p>
      <w:pPr>
        <w:spacing w:line="288"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fldChar w:fldCharType="begin"/>
      </w:r>
      <w:r>
        <w:rPr>
          <w:rFonts w:hint="eastAsia" w:ascii="仿宋_GB2312" w:hAnsi="仿宋_GB2312" w:eastAsia="仿宋_GB2312" w:cs="仿宋_GB2312"/>
          <w:color w:val="auto"/>
          <w:sz w:val="24"/>
          <w:szCs w:val="24"/>
        </w:rPr>
        <w:instrText xml:space="preserve"> = 2 \* GB3 \* MERGEFORMAT </w:instrText>
      </w:r>
      <w:r>
        <w:rPr>
          <w:rFonts w:hint="eastAsia" w:ascii="仿宋_GB2312" w:hAnsi="仿宋_GB2312" w:eastAsia="仿宋_GB2312" w:cs="仿宋_GB2312"/>
          <w:color w:val="auto"/>
          <w:sz w:val="24"/>
          <w:szCs w:val="24"/>
        </w:rPr>
        <w:fldChar w:fldCharType="separate"/>
      </w:r>
      <w:r>
        <w:rPr>
          <w:rFonts w:hint="eastAsia" w:ascii="仿宋_GB2312" w:hAnsi="仿宋_GB2312" w:eastAsia="仿宋_GB2312" w:cs="仿宋_GB2312"/>
          <w:color w:val="auto"/>
          <w:sz w:val="24"/>
          <w:szCs w:val="24"/>
        </w:rPr>
        <w:t>（2）</w:t>
      </w:r>
      <w:r>
        <w:rPr>
          <w:rFonts w:hint="eastAsia" w:ascii="仿宋_GB2312" w:hAnsi="仿宋_GB2312" w:eastAsia="仿宋_GB2312" w:cs="仿宋_GB2312"/>
          <w:color w:val="auto"/>
          <w:sz w:val="24"/>
          <w:szCs w:val="24"/>
        </w:rPr>
        <w:fldChar w:fldCharType="end"/>
      </w:r>
      <w:r>
        <w:rPr>
          <w:rFonts w:hint="eastAsia" w:ascii="仿宋_GB2312" w:hAnsi="仿宋_GB2312" w:eastAsia="仿宋_GB2312" w:cs="仿宋_GB2312"/>
          <w:color w:val="auto"/>
          <w:sz w:val="24"/>
          <w:szCs w:val="24"/>
        </w:rPr>
        <w:t>若投标人管理不善（管理失误），整改不力，给采购人造成重大经济损失，经市政府物业管理主管部门认定，采购人有权终止合同并由投标人赔偿相关损失。</w:t>
      </w:r>
    </w:p>
    <w:p>
      <w:pPr>
        <w:autoSpaceDE w:val="0"/>
        <w:autoSpaceDN w:val="0"/>
        <w:spacing w:line="288" w:lineRule="auto"/>
        <w:ind w:firstLine="472" w:firstLineChars="197"/>
        <w:textAlignment w:val="bottom"/>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fldChar w:fldCharType="begin"/>
      </w:r>
      <w:r>
        <w:rPr>
          <w:rFonts w:hint="eastAsia" w:ascii="仿宋_GB2312" w:hAnsi="仿宋_GB2312" w:eastAsia="仿宋_GB2312" w:cs="仿宋_GB2312"/>
          <w:color w:val="auto"/>
          <w:sz w:val="24"/>
          <w:szCs w:val="24"/>
        </w:rPr>
        <w:instrText xml:space="preserve"> = 3 \* GB3 \* MERGEFORMAT </w:instrText>
      </w:r>
      <w:r>
        <w:rPr>
          <w:rFonts w:hint="eastAsia" w:ascii="仿宋_GB2312" w:hAnsi="仿宋_GB2312" w:eastAsia="仿宋_GB2312" w:cs="仿宋_GB2312"/>
          <w:color w:val="auto"/>
          <w:sz w:val="24"/>
          <w:szCs w:val="24"/>
        </w:rPr>
        <w:fldChar w:fldCharType="separate"/>
      </w:r>
      <w:r>
        <w:rPr>
          <w:rFonts w:hint="eastAsia" w:ascii="仿宋_GB2312" w:hAnsi="仿宋_GB2312" w:eastAsia="仿宋_GB2312" w:cs="仿宋_GB2312"/>
          <w:color w:val="auto"/>
          <w:sz w:val="24"/>
          <w:szCs w:val="24"/>
        </w:rPr>
        <w:t>（3）</w:t>
      </w:r>
      <w:r>
        <w:rPr>
          <w:rFonts w:hint="eastAsia" w:ascii="仿宋_GB2312" w:hAnsi="仿宋_GB2312" w:eastAsia="仿宋_GB2312" w:cs="仿宋_GB2312"/>
          <w:color w:val="auto"/>
          <w:sz w:val="24"/>
          <w:szCs w:val="24"/>
        </w:rPr>
        <w:fldChar w:fldCharType="end"/>
      </w:r>
      <w:r>
        <w:rPr>
          <w:rFonts w:hint="eastAsia" w:ascii="仿宋_GB2312" w:hAnsi="仿宋_GB2312" w:eastAsia="仿宋_GB2312" w:cs="仿宋_GB2312"/>
          <w:color w:val="auto"/>
          <w:sz w:val="24"/>
          <w:szCs w:val="24"/>
        </w:rPr>
        <w:t>考核表</w:t>
      </w:r>
    </w:p>
    <w:p>
      <w:pPr>
        <w:spacing w:line="288" w:lineRule="auto"/>
        <w:jc w:val="center"/>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卫生考核表</w:t>
      </w:r>
    </w:p>
    <w:tbl>
      <w:tblPr>
        <w:tblStyle w:val="6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91"/>
        <w:gridCol w:w="6225"/>
        <w:gridCol w:w="780"/>
        <w:gridCol w:w="75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91" w:type="dxa"/>
            <w:tcBorders>
              <w:top w:val="single" w:color="auto" w:sz="8" w:space="0"/>
              <w:left w:val="single" w:color="auto" w:sz="8" w:space="0"/>
              <w:bottom w:val="single" w:color="auto" w:sz="4" w:space="0"/>
              <w:right w:val="single" w:color="auto" w:sz="4" w:space="0"/>
            </w:tcBorders>
            <w:noWrap w:val="0"/>
            <w:vAlign w:val="center"/>
          </w:tcPr>
          <w:p>
            <w:pPr>
              <w:spacing w:line="288"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评分项目</w:t>
            </w:r>
          </w:p>
        </w:tc>
        <w:tc>
          <w:tcPr>
            <w:tcW w:w="6225" w:type="dxa"/>
            <w:tcBorders>
              <w:top w:val="single" w:color="auto" w:sz="8" w:space="0"/>
              <w:left w:val="single" w:color="auto" w:sz="4" w:space="0"/>
              <w:bottom w:val="single" w:color="auto" w:sz="4" w:space="0"/>
              <w:right w:val="single" w:color="auto" w:sz="4" w:space="0"/>
            </w:tcBorders>
            <w:noWrap w:val="0"/>
            <w:vAlign w:val="center"/>
          </w:tcPr>
          <w:p>
            <w:pPr>
              <w:spacing w:line="288"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评  分  标  准</w:t>
            </w:r>
          </w:p>
        </w:tc>
        <w:tc>
          <w:tcPr>
            <w:tcW w:w="780" w:type="dxa"/>
            <w:tcBorders>
              <w:top w:val="single" w:color="auto" w:sz="8" w:space="0"/>
              <w:left w:val="single" w:color="auto" w:sz="4" w:space="0"/>
              <w:bottom w:val="single" w:color="auto" w:sz="4" w:space="0"/>
              <w:right w:val="single" w:color="auto" w:sz="4" w:space="0"/>
            </w:tcBorders>
            <w:noWrap w:val="0"/>
            <w:vAlign w:val="center"/>
          </w:tcPr>
          <w:p>
            <w:pPr>
              <w:spacing w:line="288"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分值</w:t>
            </w:r>
          </w:p>
        </w:tc>
        <w:tc>
          <w:tcPr>
            <w:tcW w:w="750" w:type="dxa"/>
            <w:tcBorders>
              <w:top w:val="single" w:color="auto" w:sz="8" w:space="0"/>
              <w:left w:val="single" w:color="auto" w:sz="4" w:space="0"/>
              <w:bottom w:val="single" w:color="auto" w:sz="4" w:space="0"/>
              <w:right w:val="single" w:color="auto" w:sz="8" w:space="0"/>
            </w:tcBorders>
            <w:noWrap w:val="0"/>
            <w:vAlign w:val="center"/>
          </w:tcPr>
          <w:p>
            <w:pPr>
              <w:spacing w:line="288"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得分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01" w:hRule="atLeast"/>
          <w:jc w:val="center"/>
        </w:trPr>
        <w:tc>
          <w:tcPr>
            <w:tcW w:w="1491" w:type="dxa"/>
            <w:tcBorders>
              <w:top w:val="single" w:color="auto" w:sz="4" w:space="0"/>
              <w:left w:val="single" w:color="auto" w:sz="8" w:space="0"/>
              <w:bottom w:val="single" w:color="auto" w:sz="4" w:space="0"/>
              <w:right w:val="single" w:color="auto" w:sz="4" w:space="0"/>
            </w:tcBorders>
            <w:noWrap w:val="0"/>
            <w:vAlign w:val="center"/>
          </w:tcPr>
          <w:p>
            <w:pPr>
              <w:spacing w:line="288"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行政楼、教学楼、警务室等场内区域</w:t>
            </w:r>
          </w:p>
        </w:tc>
        <w:tc>
          <w:tcPr>
            <w:tcW w:w="6225" w:type="dxa"/>
            <w:tcBorders>
              <w:top w:val="single" w:color="auto" w:sz="4" w:space="0"/>
              <w:left w:val="single" w:color="auto" w:sz="4" w:space="0"/>
              <w:bottom w:val="single" w:color="auto" w:sz="4" w:space="0"/>
              <w:right w:val="single" w:color="auto" w:sz="4" w:space="0"/>
            </w:tcBorders>
            <w:noWrap w:val="0"/>
            <w:vAlign w:val="center"/>
          </w:tcPr>
          <w:p>
            <w:pPr>
              <w:spacing w:line="288"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房顶、墙角无积尘、蛛网；地面无积尘、无碎纸、无垃圾、无烟头、无积水；窗台整洁，无积尘、无积渍，窗内侧玻璃保持干净；走廊和楼梯扶手、栏杆无积尘、立面无积渍；家具、设施设备（直饮水机）无尘灰、无污渍。</w:t>
            </w:r>
          </w:p>
        </w:tc>
        <w:tc>
          <w:tcPr>
            <w:tcW w:w="780"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20</w:t>
            </w:r>
          </w:p>
        </w:tc>
        <w:tc>
          <w:tcPr>
            <w:tcW w:w="750" w:type="dxa"/>
            <w:tcBorders>
              <w:top w:val="single" w:color="auto" w:sz="4" w:space="0"/>
              <w:left w:val="single" w:color="auto" w:sz="4" w:space="0"/>
              <w:bottom w:val="single" w:color="auto" w:sz="4" w:space="0"/>
              <w:right w:val="single" w:color="auto" w:sz="8" w:space="0"/>
            </w:tcBorders>
            <w:noWrap w:val="0"/>
            <w:vAlign w:val="center"/>
          </w:tcPr>
          <w:p>
            <w:pPr>
              <w:spacing w:line="288" w:lineRule="auto"/>
              <w:jc w:val="center"/>
              <w:rPr>
                <w:rFonts w:hint="eastAsia" w:ascii="仿宋_GB2312" w:hAnsi="仿宋_GB2312" w:eastAsia="仿宋_GB2312" w:cs="仿宋_GB2312"/>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91" w:type="dxa"/>
            <w:tcBorders>
              <w:top w:val="single" w:color="auto" w:sz="4" w:space="0"/>
              <w:left w:val="single" w:color="auto" w:sz="8" w:space="0"/>
              <w:bottom w:val="single" w:color="auto" w:sz="4" w:space="0"/>
              <w:right w:val="single" w:color="auto" w:sz="4" w:space="0"/>
            </w:tcBorders>
            <w:noWrap w:val="0"/>
            <w:vAlign w:val="center"/>
          </w:tcPr>
          <w:p>
            <w:pPr>
              <w:spacing w:line="288"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厕所区域</w:t>
            </w:r>
          </w:p>
        </w:tc>
        <w:tc>
          <w:tcPr>
            <w:tcW w:w="6225" w:type="dxa"/>
            <w:tcBorders>
              <w:top w:val="single" w:color="auto" w:sz="4" w:space="0"/>
              <w:left w:val="single" w:color="auto" w:sz="4" w:space="0"/>
              <w:bottom w:val="single" w:color="auto" w:sz="4" w:space="0"/>
              <w:right w:val="single" w:color="auto" w:sz="4" w:space="0"/>
            </w:tcBorders>
            <w:noWrap w:val="0"/>
            <w:vAlign w:val="center"/>
          </w:tcPr>
          <w:p>
            <w:pPr>
              <w:spacing w:line="288"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厕所无尿迹（黄迹）、无污垢、无异味；厕所内不随便放置物品，墙砖及分隔门时常擦洗、无污渍；洗手台面(台盆)、拖把池干净，下水通畅，镜子干净。</w:t>
            </w:r>
          </w:p>
        </w:tc>
        <w:tc>
          <w:tcPr>
            <w:tcW w:w="780"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20</w:t>
            </w:r>
          </w:p>
        </w:tc>
        <w:tc>
          <w:tcPr>
            <w:tcW w:w="750" w:type="dxa"/>
            <w:tcBorders>
              <w:top w:val="single" w:color="auto" w:sz="4" w:space="0"/>
              <w:left w:val="single" w:color="auto" w:sz="4" w:space="0"/>
              <w:bottom w:val="single" w:color="auto" w:sz="4" w:space="0"/>
              <w:right w:val="single" w:color="auto" w:sz="8" w:space="0"/>
            </w:tcBorders>
            <w:noWrap w:val="0"/>
            <w:vAlign w:val="center"/>
          </w:tcPr>
          <w:p>
            <w:pPr>
              <w:spacing w:line="288" w:lineRule="auto"/>
              <w:jc w:val="center"/>
              <w:rPr>
                <w:rFonts w:hint="eastAsia" w:ascii="仿宋_GB2312" w:hAnsi="仿宋_GB2312" w:eastAsia="仿宋_GB2312" w:cs="仿宋_GB2312"/>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491" w:type="dxa"/>
            <w:tcBorders>
              <w:top w:val="single" w:color="auto" w:sz="4" w:space="0"/>
              <w:left w:val="single" w:color="auto" w:sz="8" w:space="0"/>
              <w:bottom w:val="single" w:color="auto" w:sz="4" w:space="0"/>
              <w:right w:val="single" w:color="auto" w:sz="4" w:space="0"/>
            </w:tcBorders>
            <w:noWrap w:val="0"/>
            <w:vAlign w:val="center"/>
          </w:tcPr>
          <w:p>
            <w:pPr>
              <w:spacing w:line="288"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道路及绿化带区域</w:t>
            </w:r>
          </w:p>
        </w:tc>
        <w:tc>
          <w:tcPr>
            <w:tcW w:w="6225" w:type="dxa"/>
            <w:tcBorders>
              <w:top w:val="single" w:color="auto" w:sz="4" w:space="0"/>
              <w:left w:val="single" w:color="auto" w:sz="4" w:space="0"/>
              <w:bottom w:val="single" w:color="auto" w:sz="4" w:space="0"/>
              <w:right w:val="single" w:color="auto" w:sz="4" w:space="0"/>
            </w:tcBorders>
            <w:noWrap w:val="0"/>
            <w:vAlign w:val="center"/>
          </w:tcPr>
          <w:p>
            <w:pPr>
              <w:spacing w:line="288"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道路及绿化带无纸屑、果皮、烟头、塑料袋等杂物；道路无大量落叶。</w:t>
            </w:r>
          </w:p>
        </w:tc>
        <w:tc>
          <w:tcPr>
            <w:tcW w:w="780"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20</w:t>
            </w:r>
          </w:p>
        </w:tc>
        <w:tc>
          <w:tcPr>
            <w:tcW w:w="750" w:type="dxa"/>
            <w:tcBorders>
              <w:top w:val="single" w:color="auto" w:sz="4" w:space="0"/>
              <w:left w:val="single" w:color="auto" w:sz="4" w:space="0"/>
              <w:bottom w:val="single" w:color="auto" w:sz="4" w:space="0"/>
              <w:right w:val="single" w:color="auto" w:sz="8" w:space="0"/>
            </w:tcBorders>
            <w:noWrap w:val="0"/>
            <w:vAlign w:val="center"/>
          </w:tcPr>
          <w:p>
            <w:pPr>
              <w:spacing w:line="288" w:lineRule="auto"/>
              <w:jc w:val="center"/>
              <w:rPr>
                <w:rFonts w:hint="eastAsia" w:ascii="仿宋_GB2312" w:hAnsi="仿宋_GB2312" w:eastAsia="仿宋_GB2312" w:cs="仿宋_GB2312"/>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1491" w:type="dxa"/>
            <w:tcBorders>
              <w:top w:val="single" w:color="auto" w:sz="4" w:space="0"/>
              <w:left w:val="single" w:color="auto" w:sz="8" w:space="0"/>
              <w:bottom w:val="single" w:color="auto" w:sz="4" w:space="0"/>
              <w:right w:val="single" w:color="auto" w:sz="4" w:space="0"/>
            </w:tcBorders>
            <w:noWrap w:val="0"/>
            <w:vAlign w:val="center"/>
          </w:tcPr>
          <w:p>
            <w:pPr>
              <w:spacing w:line="288"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垃圾清运</w:t>
            </w:r>
          </w:p>
        </w:tc>
        <w:tc>
          <w:tcPr>
            <w:tcW w:w="6225" w:type="dxa"/>
            <w:tcBorders>
              <w:top w:val="single" w:color="auto" w:sz="4" w:space="0"/>
              <w:left w:val="single" w:color="auto" w:sz="4" w:space="0"/>
              <w:bottom w:val="single" w:color="auto" w:sz="4" w:space="0"/>
              <w:right w:val="single" w:color="auto" w:sz="4" w:space="0"/>
            </w:tcBorders>
            <w:noWrap w:val="0"/>
            <w:vAlign w:val="center"/>
          </w:tcPr>
          <w:p>
            <w:pPr>
              <w:spacing w:line="288"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垃圾清运及时；垃圾桶及时清洗；垃圾放置点及周边清洁，垃圾桶盖全部盖好。</w:t>
            </w:r>
          </w:p>
        </w:tc>
        <w:tc>
          <w:tcPr>
            <w:tcW w:w="780"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15</w:t>
            </w:r>
          </w:p>
        </w:tc>
        <w:tc>
          <w:tcPr>
            <w:tcW w:w="750" w:type="dxa"/>
            <w:tcBorders>
              <w:top w:val="single" w:color="auto" w:sz="4" w:space="0"/>
              <w:left w:val="single" w:color="auto" w:sz="4" w:space="0"/>
              <w:bottom w:val="single" w:color="auto" w:sz="4" w:space="0"/>
              <w:right w:val="single" w:color="auto" w:sz="8" w:space="0"/>
            </w:tcBorders>
            <w:noWrap w:val="0"/>
            <w:vAlign w:val="center"/>
          </w:tcPr>
          <w:p>
            <w:pPr>
              <w:spacing w:line="288" w:lineRule="auto"/>
              <w:jc w:val="center"/>
              <w:rPr>
                <w:rFonts w:hint="eastAsia" w:ascii="仿宋_GB2312" w:hAnsi="仿宋_GB2312" w:eastAsia="仿宋_GB2312" w:cs="仿宋_GB2312"/>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1491" w:type="dxa"/>
            <w:tcBorders>
              <w:top w:val="single" w:color="auto" w:sz="4" w:space="0"/>
              <w:left w:val="single" w:color="auto" w:sz="8" w:space="0"/>
              <w:bottom w:val="single" w:color="auto" w:sz="4" w:space="0"/>
              <w:right w:val="single" w:color="auto" w:sz="4" w:space="0"/>
            </w:tcBorders>
            <w:noWrap w:val="0"/>
            <w:vAlign w:val="center"/>
          </w:tcPr>
          <w:p>
            <w:pPr>
              <w:spacing w:line="288"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会议室区域</w:t>
            </w:r>
          </w:p>
        </w:tc>
        <w:tc>
          <w:tcPr>
            <w:tcW w:w="6225" w:type="dxa"/>
            <w:tcBorders>
              <w:top w:val="single" w:color="auto" w:sz="4" w:space="0"/>
              <w:left w:val="single" w:color="auto" w:sz="4" w:space="0"/>
              <w:bottom w:val="single" w:color="auto" w:sz="4" w:space="0"/>
              <w:right w:val="single" w:color="auto" w:sz="4" w:space="0"/>
            </w:tcBorders>
            <w:noWrap w:val="0"/>
            <w:vAlign w:val="center"/>
          </w:tcPr>
          <w:p>
            <w:pPr>
              <w:spacing w:line="288"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保证随时可以开会和接待。</w:t>
            </w:r>
          </w:p>
        </w:tc>
        <w:tc>
          <w:tcPr>
            <w:tcW w:w="780"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w:t>
            </w:r>
          </w:p>
        </w:tc>
        <w:tc>
          <w:tcPr>
            <w:tcW w:w="750" w:type="dxa"/>
            <w:tcBorders>
              <w:top w:val="single" w:color="auto" w:sz="4" w:space="0"/>
              <w:left w:val="single" w:color="auto" w:sz="4" w:space="0"/>
              <w:bottom w:val="single" w:color="auto" w:sz="4" w:space="0"/>
              <w:right w:val="single" w:color="auto" w:sz="8" w:space="0"/>
            </w:tcBorders>
            <w:noWrap w:val="0"/>
            <w:vAlign w:val="center"/>
          </w:tcPr>
          <w:p>
            <w:pPr>
              <w:spacing w:line="288" w:lineRule="auto"/>
              <w:jc w:val="center"/>
              <w:rPr>
                <w:rFonts w:hint="eastAsia" w:ascii="仿宋_GB2312" w:hAnsi="仿宋_GB2312" w:eastAsia="仿宋_GB2312" w:cs="仿宋_GB2312"/>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91" w:type="dxa"/>
            <w:tcBorders>
              <w:top w:val="single" w:color="auto" w:sz="4" w:space="0"/>
              <w:left w:val="single" w:color="auto" w:sz="8" w:space="0"/>
              <w:bottom w:val="single" w:color="auto" w:sz="4" w:space="0"/>
              <w:right w:val="single" w:color="auto" w:sz="4" w:space="0"/>
            </w:tcBorders>
            <w:noWrap w:val="0"/>
            <w:vAlign w:val="center"/>
          </w:tcPr>
          <w:p>
            <w:pPr>
              <w:spacing w:line="288"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保洁人员</w:t>
            </w:r>
          </w:p>
        </w:tc>
        <w:tc>
          <w:tcPr>
            <w:tcW w:w="6225" w:type="dxa"/>
            <w:tcBorders>
              <w:top w:val="single" w:color="auto" w:sz="4" w:space="0"/>
              <w:left w:val="single" w:color="auto" w:sz="4" w:space="0"/>
              <w:bottom w:val="single" w:color="auto" w:sz="4" w:space="0"/>
              <w:right w:val="single" w:color="auto" w:sz="4" w:space="0"/>
            </w:tcBorders>
            <w:noWrap w:val="0"/>
            <w:vAlign w:val="center"/>
          </w:tcPr>
          <w:p>
            <w:pPr>
              <w:spacing w:line="288"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上班时间内保洁人员到岗情况、着装整齐、不在公共场所内大声喧哗、举止文明，保洁工具摆放整齐，老师、学生无卫生问题投诉。</w:t>
            </w:r>
          </w:p>
        </w:tc>
        <w:tc>
          <w:tcPr>
            <w:tcW w:w="780"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w:t>
            </w:r>
          </w:p>
        </w:tc>
        <w:tc>
          <w:tcPr>
            <w:tcW w:w="750" w:type="dxa"/>
            <w:tcBorders>
              <w:top w:val="single" w:color="auto" w:sz="4" w:space="0"/>
              <w:left w:val="single" w:color="auto" w:sz="4" w:space="0"/>
              <w:bottom w:val="single" w:color="auto" w:sz="4" w:space="0"/>
              <w:right w:val="single" w:color="auto" w:sz="8" w:space="0"/>
            </w:tcBorders>
            <w:noWrap w:val="0"/>
            <w:vAlign w:val="center"/>
          </w:tcPr>
          <w:p>
            <w:pPr>
              <w:spacing w:line="288" w:lineRule="auto"/>
              <w:jc w:val="center"/>
              <w:rPr>
                <w:rFonts w:hint="eastAsia" w:ascii="仿宋_GB2312" w:hAnsi="仿宋_GB2312" w:eastAsia="仿宋_GB2312" w:cs="仿宋_GB2312"/>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1491" w:type="dxa"/>
            <w:tcBorders>
              <w:top w:val="single" w:color="auto" w:sz="4" w:space="0"/>
              <w:left w:val="single" w:color="auto" w:sz="8" w:space="0"/>
              <w:bottom w:val="single" w:color="auto" w:sz="4" w:space="0"/>
              <w:right w:val="single" w:color="auto" w:sz="4" w:space="0"/>
            </w:tcBorders>
            <w:noWrap w:val="0"/>
            <w:vAlign w:val="center"/>
          </w:tcPr>
          <w:p>
            <w:pPr>
              <w:spacing w:line="288"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基本项目</w:t>
            </w:r>
          </w:p>
        </w:tc>
        <w:tc>
          <w:tcPr>
            <w:tcW w:w="6225" w:type="dxa"/>
            <w:tcBorders>
              <w:top w:val="single" w:color="auto" w:sz="4" w:space="0"/>
              <w:left w:val="single" w:color="auto" w:sz="4" w:space="0"/>
              <w:bottom w:val="single" w:color="auto" w:sz="4" w:space="0"/>
              <w:right w:val="single" w:color="auto" w:sz="4" w:space="0"/>
            </w:tcBorders>
            <w:noWrap w:val="0"/>
            <w:vAlign w:val="center"/>
          </w:tcPr>
          <w:p>
            <w:pPr>
              <w:spacing w:line="288"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保洁人员配额、人员培训</w:t>
            </w:r>
          </w:p>
        </w:tc>
        <w:tc>
          <w:tcPr>
            <w:tcW w:w="780"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w:t>
            </w:r>
          </w:p>
        </w:tc>
        <w:tc>
          <w:tcPr>
            <w:tcW w:w="750" w:type="dxa"/>
            <w:tcBorders>
              <w:top w:val="single" w:color="auto" w:sz="4" w:space="0"/>
              <w:left w:val="single" w:color="auto" w:sz="4" w:space="0"/>
              <w:bottom w:val="single" w:color="auto" w:sz="4" w:space="0"/>
              <w:right w:val="single" w:color="auto" w:sz="8" w:space="0"/>
            </w:tcBorders>
            <w:noWrap w:val="0"/>
            <w:vAlign w:val="center"/>
          </w:tcPr>
          <w:p>
            <w:pPr>
              <w:spacing w:line="288" w:lineRule="auto"/>
              <w:jc w:val="center"/>
              <w:rPr>
                <w:rFonts w:hint="eastAsia" w:ascii="仿宋_GB2312" w:hAnsi="仿宋_GB2312" w:eastAsia="仿宋_GB2312" w:cs="仿宋_GB2312"/>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7716" w:type="dxa"/>
            <w:gridSpan w:val="2"/>
            <w:tcBorders>
              <w:top w:val="single" w:color="auto" w:sz="4" w:space="0"/>
              <w:left w:val="single" w:color="auto" w:sz="8" w:space="0"/>
              <w:bottom w:val="single" w:color="auto" w:sz="8" w:space="0"/>
              <w:right w:val="single" w:color="auto" w:sz="4" w:space="0"/>
            </w:tcBorders>
            <w:noWrap w:val="0"/>
            <w:vAlign w:val="center"/>
          </w:tcPr>
          <w:p>
            <w:pPr>
              <w:spacing w:line="288"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合计</w:t>
            </w:r>
          </w:p>
        </w:tc>
        <w:tc>
          <w:tcPr>
            <w:tcW w:w="780" w:type="dxa"/>
            <w:tcBorders>
              <w:top w:val="single" w:color="auto" w:sz="4" w:space="0"/>
              <w:left w:val="single" w:color="auto" w:sz="4" w:space="0"/>
              <w:bottom w:val="single" w:color="auto" w:sz="8" w:space="0"/>
              <w:right w:val="single" w:color="auto" w:sz="4" w:space="0"/>
            </w:tcBorders>
            <w:noWrap w:val="0"/>
            <w:vAlign w:val="center"/>
          </w:tcPr>
          <w:p>
            <w:pPr>
              <w:spacing w:line="288"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100</w:t>
            </w:r>
          </w:p>
        </w:tc>
        <w:tc>
          <w:tcPr>
            <w:tcW w:w="750" w:type="dxa"/>
            <w:tcBorders>
              <w:top w:val="single" w:color="auto" w:sz="4" w:space="0"/>
              <w:left w:val="single" w:color="auto" w:sz="4" w:space="0"/>
              <w:bottom w:val="single" w:color="auto" w:sz="8" w:space="0"/>
              <w:right w:val="single" w:color="auto" w:sz="8" w:space="0"/>
            </w:tcBorders>
            <w:noWrap w:val="0"/>
            <w:vAlign w:val="center"/>
          </w:tcPr>
          <w:p>
            <w:pPr>
              <w:spacing w:line="288" w:lineRule="auto"/>
              <w:jc w:val="center"/>
              <w:rPr>
                <w:rFonts w:hint="eastAsia" w:ascii="仿宋_GB2312" w:hAnsi="仿宋_GB2312" w:eastAsia="仿宋_GB2312" w:cs="仿宋_GB2312"/>
                <w:color w:val="auto"/>
                <w:sz w:val="24"/>
                <w:szCs w:val="24"/>
              </w:rPr>
            </w:pPr>
          </w:p>
        </w:tc>
      </w:tr>
    </w:tbl>
    <w:p>
      <w:pPr>
        <w:spacing w:line="288" w:lineRule="auto"/>
        <w:ind w:right="480" w:firstLine="5520" w:firstLineChars="23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检查人员（签名）：</w:t>
      </w:r>
    </w:p>
    <w:p>
      <w:pPr>
        <w:spacing w:line="288" w:lineRule="auto"/>
        <w:jc w:val="righ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   检查日期：     年   月   日</w:t>
      </w:r>
    </w:p>
    <w:p>
      <w:pPr>
        <w:spacing w:line="288"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6.保洁人员素质要求</w:t>
      </w:r>
    </w:p>
    <w:p>
      <w:pPr>
        <w:spacing w:line="288"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fldChar w:fldCharType="begin"/>
      </w:r>
      <w:r>
        <w:rPr>
          <w:rFonts w:hint="eastAsia" w:ascii="仿宋_GB2312" w:hAnsi="仿宋_GB2312" w:eastAsia="仿宋_GB2312" w:cs="仿宋_GB2312"/>
          <w:color w:val="auto"/>
          <w:sz w:val="24"/>
          <w:szCs w:val="24"/>
        </w:rPr>
        <w:instrText xml:space="preserve"> = 1 \* GB3 \* MERGEFORMAT </w:instrText>
      </w:r>
      <w:r>
        <w:rPr>
          <w:rFonts w:hint="eastAsia" w:ascii="仿宋_GB2312" w:hAnsi="仿宋_GB2312" w:eastAsia="仿宋_GB2312" w:cs="仿宋_GB2312"/>
          <w:color w:val="auto"/>
          <w:sz w:val="24"/>
          <w:szCs w:val="24"/>
        </w:rPr>
        <w:fldChar w:fldCharType="separate"/>
      </w: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rPr>
        <w:fldChar w:fldCharType="end"/>
      </w:r>
      <w:r>
        <w:rPr>
          <w:rFonts w:hint="eastAsia" w:ascii="仿宋_GB2312" w:hAnsi="仿宋_GB2312" w:eastAsia="仿宋_GB2312" w:cs="仿宋_GB2312"/>
          <w:color w:val="auto"/>
          <w:sz w:val="24"/>
          <w:szCs w:val="24"/>
        </w:rPr>
        <w:t>要求保洁人员热爱学校，热爱本职工作，思想端正，身体健康，踏实若干，具有较强的工作责任心。</w:t>
      </w:r>
    </w:p>
    <w:p>
      <w:pPr>
        <w:spacing w:line="288"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fldChar w:fldCharType="begin"/>
      </w:r>
      <w:r>
        <w:rPr>
          <w:rFonts w:hint="eastAsia" w:ascii="仿宋_GB2312" w:hAnsi="仿宋_GB2312" w:eastAsia="仿宋_GB2312" w:cs="仿宋_GB2312"/>
          <w:color w:val="auto"/>
          <w:sz w:val="24"/>
          <w:szCs w:val="24"/>
        </w:rPr>
        <w:instrText xml:space="preserve"> = 2 \* GB3 \* MERGEFORMAT </w:instrText>
      </w:r>
      <w:r>
        <w:rPr>
          <w:rFonts w:hint="eastAsia" w:ascii="仿宋_GB2312" w:hAnsi="仿宋_GB2312" w:eastAsia="仿宋_GB2312" w:cs="仿宋_GB2312"/>
          <w:color w:val="auto"/>
          <w:sz w:val="24"/>
          <w:szCs w:val="24"/>
        </w:rPr>
        <w:fldChar w:fldCharType="separate"/>
      </w:r>
      <w:r>
        <w:rPr>
          <w:rFonts w:hint="eastAsia" w:ascii="仿宋_GB2312" w:hAnsi="仿宋_GB2312" w:eastAsia="仿宋_GB2312" w:cs="仿宋_GB2312"/>
          <w:color w:val="auto"/>
          <w:sz w:val="24"/>
          <w:szCs w:val="24"/>
        </w:rPr>
        <w:t>（2）</w:t>
      </w:r>
      <w:r>
        <w:rPr>
          <w:rFonts w:hint="eastAsia" w:ascii="仿宋_GB2312" w:hAnsi="仿宋_GB2312" w:eastAsia="仿宋_GB2312" w:cs="仿宋_GB2312"/>
          <w:color w:val="auto"/>
          <w:sz w:val="24"/>
          <w:szCs w:val="24"/>
        </w:rPr>
        <w:fldChar w:fldCharType="end"/>
      </w:r>
      <w:r>
        <w:rPr>
          <w:rFonts w:hint="eastAsia" w:ascii="仿宋_GB2312" w:hAnsi="仿宋_GB2312" w:eastAsia="仿宋_GB2312" w:cs="仿宋_GB2312"/>
          <w:color w:val="auto"/>
          <w:sz w:val="24"/>
          <w:szCs w:val="24"/>
        </w:rPr>
        <w:t>全部从业人员受过专业培训，业务熟练，统一着装，标识鲜明，礼仪规范。</w:t>
      </w:r>
    </w:p>
    <w:p>
      <w:pPr>
        <w:spacing w:line="288"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fldChar w:fldCharType="begin"/>
      </w:r>
      <w:r>
        <w:rPr>
          <w:rFonts w:hint="eastAsia" w:ascii="仿宋_GB2312" w:hAnsi="仿宋_GB2312" w:eastAsia="仿宋_GB2312" w:cs="仿宋_GB2312"/>
          <w:color w:val="auto"/>
          <w:sz w:val="24"/>
          <w:szCs w:val="24"/>
        </w:rPr>
        <w:instrText xml:space="preserve"> = 3 \* GB3 \* MERGEFORMAT </w:instrText>
      </w:r>
      <w:r>
        <w:rPr>
          <w:rFonts w:hint="eastAsia" w:ascii="仿宋_GB2312" w:hAnsi="仿宋_GB2312" w:eastAsia="仿宋_GB2312" w:cs="仿宋_GB2312"/>
          <w:color w:val="auto"/>
          <w:sz w:val="24"/>
          <w:szCs w:val="24"/>
        </w:rPr>
        <w:fldChar w:fldCharType="separate"/>
      </w:r>
      <w:r>
        <w:rPr>
          <w:rFonts w:hint="eastAsia" w:ascii="仿宋_GB2312" w:hAnsi="仿宋_GB2312" w:eastAsia="仿宋_GB2312" w:cs="仿宋_GB2312"/>
          <w:color w:val="auto"/>
          <w:sz w:val="24"/>
          <w:szCs w:val="24"/>
        </w:rPr>
        <w:t>（3）</w:t>
      </w:r>
      <w:r>
        <w:rPr>
          <w:rFonts w:hint="eastAsia" w:ascii="仿宋_GB2312" w:hAnsi="仿宋_GB2312" w:eastAsia="仿宋_GB2312" w:cs="仿宋_GB2312"/>
          <w:color w:val="auto"/>
          <w:sz w:val="24"/>
          <w:szCs w:val="24"/>
        </w:rPr>
        <w:fldChar w:fldCharType="end"/>
      </w:r>
      <w:r>
        <w:rPr>
          <w:rFonts w:hint="eastAsia" w:ascii="仿宋_GB2312" w:hAnsi="仿宋_GB2312" w:eastAsia="仿宋_GB2312" w:cs="仿宋_GB2312"/>
          <w:color w:val="auto"/>
          <w:sz w:val="24"/>
          <w:szCs w:val="24"/>
        </w:rPr>
        <w:t>保洁、养护服务人员与采购人发生纠纷时，首先应服从采购人相关职能部门的安排，积极主动与采购人相关职能部门配合，化解矛盾、解决纠纷。</w:t>
      </w:r>
    </w:p>
    <w:p>
      <w:pPr>
        <w:spacing w:line="288"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fldChar w:fldCharType="begin"/>
      </w:r>
      <w:r>
        <w:rPr>
          <w:rFonts w:hint="eastAsia" w:ascii="仿宋_GB2312" w:hAnsi="仿宋_GB2312" w:eastAsia="仿宋_GB2312" w:cs="仿宋_GB2312"/>
          <w:color w:val="auto"/>
          <w:sz w:val="24"/>
          <w:szCs w:val="24"/>
        </w:rPr>
        <w:instrText xml:space="preserve"> = 4 \* GB3 \* MERGEFORMAT </w:instrText>
      </w:r>
      <w:r>
        <w:rPr>
          <w:rFonts w:hint="eastAsia" w:ascii="仿宋_GB2312" w:hAnsi="仿宋_GB2312" w:eastAsia="仿宋_GB2312" w:cs="仿宋_GB2312"/>
          <w:color w:val="auto"/>
          <w:sz w:val="24"/>
          <w:szCs w:val="24"/>
        </w:rPr>
        <w:fldChar w:fldCharType="separate"/>
      </w:r>
      <w:r>
        <w:rPr>
          <w:rFonts w:hint="eastAsia" w:ascii="仿宋_GB2312" w:hAnsi="仿宋_GB2312" w:eastAsia="仿宋_GB2312" w:cs="仿宋_GB2312"/>
          <w:color w:val="auto"/>
          <w:sz w:val="24"/>
          <w:szCs w:val="24"/>
        </w:rPr>
        <w:t>（4）</w:t>
      </w:r>
      <w:r>
        <w:rPr>
          <w:rFonts w:hint="eastAsia" w:ascii="仿宋_GB2312" w:hAnsi="仿宋_GB2312" w:eastAsia="仿宋_GB2312" w:cs="仿宋_GB2312"/>
          <w:color w:val="auto"/>
          <w:sz w:val="24"/>
          <w:szCs w:val="24"/>
        </w:rPr>
        <w:fldChar w:fldCharType="end"/>
      </w:r>
      <w:r>
        <w:rPr>
          <w:rFonts w:hint="eastAsia" w:ascii="仿宋_GB2312" w:hAnsi="仿宋_GB2312" w:eastAsia="仿宋_GB2312" w:cs="仿宋_GB2312"/>
          <w:color w:val="auto"/>
          <w:sz w:val="24"/>
          <w:szCs w:val="24"/>
        </w:rPr>
        <w:t>保洁人员不得私自处理学校财物，杜绝财物外流，并在中标合同之外，与校方签订废弃物管理责任协议书；不得私自将校方物品拿出校外（含报纸、纸板、塑料瓶、易拉罐等），如发现每次罚款50元。</w:t>
      </w:r>
    </w:p>
    <w:p>
      <w:pPr>
        <w:spacing w:line="288"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fldChar w:fldCharType="begin"/>
      </w:r>
      <w:r>
        <w:rPr>
          <w:rFonts w:hint="eastAsia" w:ascii="仿宋_GB2312" w:hAnsi="仿宋_GB2312" w:eastAsia="仿宋_GB2312" w:cs="仿宋_GB2312"/>
          <w:color w:val="auto"/>
          <w:sz w:val="24"/>
          <w:szCs w:val="24"/>
        </w:rPr>
        <w:instrText xml:space="preserve"> = 5 \* GB3 \* MERGEFORMAT </w:instrText>
      </w:r>
      <w:r>
        <w:rPr>
          <w:rFonts w:hint="eastAsia" w:ascii="仿宋_GB2312" w:hAnsi="仿宋_GB2312" w:eastAsia="仿宋_GB2312" w:cs="仿宋_GB2312"/>
          <w:color w:val="auto"/>
          <w:sz w:val="24"/>
          <w:szCs w:val="24"/>
        </w:rPr>
        <w:fldChar w:fldCharType="separate"/>
      </w:r>
      <w:r>
        <w:rPr>
          <w:rFonts w:hint="eastAsia" w:ascii="仿宋_GB2312" w:hAnsi="仿宋_GB2312" w:eastAsia="仿宋_GB2312" w:cs="仿宋_GB2312"/>
          <w:color w:val="auto"/>
          <w:sz w:val="24"/>
          <w:szCs w:val="24"/>
        </w:rPr>
        <w:t>（5）</w:t>
      </w:r>
      <w:r>
        <w:rPr>
          <w:rFonts w:hint="eastAsia" w:ascii="仿宋_GB2312" w:hAnsi="仿宋_GB2312" w:eastAsia="仿宋_GB2312" w:cs="仿宋_GB2312"/>
          <w:color w:val="auto"/>
          <w:sz w:val="24"/>
          <w:szCs w:val="24"/>
        </w:rPr>
        <w:fldChar w:fldCharType="end"/>
      </w:r>
      <w:r>
        <w:rPr>
          <w:rFonts w:hint="eastAsia" w:ascii="仿宋_GB2312" w:hAnsi="仿宋_GB2312" w:eastAsia="仿宋_GB2312" w:cs="仿宋_GB2312"/>
          <w:color w:val="auto"/>
          <w:sz w:val="24"/>
          <w:szCs w:val="24"/>
        </w:rPr>
        <w:t>保洁人员在保洁过程中发现遗留物品，应及时上交并做登记。如私自截留，不及时上交，采购人将按物品价值大小，要求投标人作出赔偿、通报批评、辞退等处理。</w:t>
      </w:r>
    </w:p>
    <w:p>
      <w:pPr>
        <w:spacing w:line="288"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fldChar w:fldCharType="begin"/>
      </w:r>
      <w:r>
        <w:rPr>
          <w:rFonts w:hint="eastAsia" w:ascii="仿宋_GB2312" w:hAnsi="仿宋_GB2312" w:eastAsia="仿宋_GB2312" w:cs="仿宋_GB2312"/>
          <w:color w:val="auto"/>
          <w:sz w:val="24"/>
          <w:szCs w:val="24"/>
        </w:rPr>
        <w:instrText xml:space="preserve"> = 6 \* GB3 \* MERGEFORMAT </w:instrText>
      </w:r>
      <w:r>
        <w:rPr>
          <w:rFonts w:hint="eastAsia" w:ascii="仿宋_GB2312" w:hAnsi="仿宋_GB2312" w:eastAsia="仿宋_GB2312" w:cs="仿宋_GB2312"/>
          <w:color w:val="auto"/>
          <w:sz w:val="24"/>
          <w:szCs w:val="24"/>
        </w:rPr>
        <w:fldChar w:fldCharType="separate"/>
      </w:r>
      <w:r>
        <w:rPr>
          <w:rFonts w:hint="eastAsia" w:ascii="仿宋_GB2312" w:hAnsi="仿宋_GB2312" w:eastAsia="仿宋_GB2312" w:cs="仿宋_GB2312"/>
          <w:color w:val="auto"/>
          <w:sz w:val="24"/>
          <w:szCs w:val="24"/>
        </w:rPr>
        <w:t>（6）</w:t>
      </w:r>
      <w:r>
        <w:rPr>
          <w:rFonts w:hint="eastAsia" w:ascii="仿宋_GB2312" w:hAnsi="仿宋_GB2312" w:eastAsia="仿宋_GB2312" w:cs="仿宋_GB2312"/>
          <w:color w:val="auto"/>
          <w:sz w:val="24"/>
          <w:szCs w:val="24"/>
        </w:rPr>
        <w:fldChar w:fldCharType="end"/>
      </w:r>
      <w:r>
        <w:rPr>
          <w:rFonts w:hint="eastAsia" w:ascii="仿宋_GB2312" w:hAnsi="仿宋_GB2312" w:eastAsia="仿宋_GB2312" w:cs="仿宋_GB2312"/>
          <w:color w:val="auto"/>
          <w:sz w:val="24"/>
          <w:szCs w:val="24"/>
        </w:rPr>
        <w:t>采购人负责提供日常物业工作中所需要的电源、水源，保洁人员应义务为学校做好节电、节水、节能工作，如服务过程中发现校方设施设备损坏应及时向校方水电维修人员或物业管理人员保修。</w:t>
      </w:r>
    </w:p>
    <w:p>
      <w:pPr>
        <w:spacing w:line="288"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7.其他说明</w:t>
      </w:r>
    </w:p>
    <w:p>
      <w:pPr>
        <w:spacing w:line="288" w:lineRule="auto"/>
        <w:ind w:firstLine="470" w:firstLineChars="196"/>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服务方管理用房</w:t>
      </w:r>
    </w:p>
    <w:p>
      <w:pPr>
        <w:spacing w:line="288"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原则上保洁人员的办公及住宿不在学校内，由投标人负责解决；但鉴于学校的工作特点，采购人免费提供服务方管理用房（工具用房）1间，不得用于住宿。</w:t>
      </w:r>
    </w:p>
    <w:p>
      <w:pPr>
        <w:spacing w:line="288" w:lineRule="auto"/>
        <w:ind w:firstLine="470" w:firstLineChars="196"/>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承包方式及报价要求</w:t>
      </w:r>
    </w:p>
    <w:p>
      <w:pPr>
        <w:spacing w:line="288"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（1）本服务项目采用包质量、材料、安全的“三包”形式，服务总价含材料、税金、人工、管理等费用，根据中标价一次性包干，合同履行期间服务方保洁人员的工资调整与校方无关。</w:t>
      </w:r>
    </w:p>
    <w:p>
      <w:pPr>
        <w:spacing w:line="288"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（2）本服务项目由投标人进行总承包，不得转包，一旦发现转包，采购人（校方）有权终止承包合同。</w:t>
      </w:r>
    </w:p>
    <w:p>
      <w:pPr>
        <w:spacing w:line="288"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（3）投标人负责保洁人员的招聘、使用、管理、调配和辞退。若有违反校纪校规，对工作不负责的保洁人员，采购人有权进行辞退处理。</w:t>
      </w:r>
    </w:p>
    <w:p>
      <w:pPr>
        <w:spacing w:line="288" w:lineRule="auto"/>
        <w:ind w:firstLine="420"/>
        <w:rPr>
          <w:rFonts w:hint="eastAsia" w:ascii="仿宋_GB2312" w:hAnsi="仿宋_GB2312" w:eastAsia="仿宋_GB2312" w:cs="仿宋_GB2312"/>
          <w:bCs/>
          <w:color w:val="auto"/>
          <w:sz w:val="24"/>
          <w:szCs w:val="24"/>
        </w:rPr>
      </w:pPr>
      <w:r>
        <w:rPr>
          <w:rFonts w:hint="eastAsia" w:ascii="仿宋_GB2312" w:hAnsi="仿宋_GB2312" w:eastAsia="仿宋_GB2312" w:cs="仿宋_GB2312"/>
          <w:color w:val="auto"/>
          <w:sz w:val="24"/>
          <w:szCs w:val="24"/>
        </w:rPr>
        <w:t>（4）保洁人员的安全、健康由投标人全权负责（包括操作不规范等因素造成的安全责任事故）全部费用由投标人承担，采购人不承担任何责任；投标人必须根据</w:t>
      </w:r>
      <w:r>
        <w:rPr>
          <w:rFonts w:hint="eastAsia" w:ascii="仿宋_GB2312" w:hAnsi="仿宋_GB2312" w:eastAsia="仿宋_GB2312" w:cs="仿宋_GB2312"/>
          <w:bCs/>
          <w:color w:val="auto"/>
          <w:sz w:val="24"/>
          <w:szCs w:val="24"/>
        </w:rPr>
        <w:t>国家《劳动合同法》合法用工，依法为每位员工支付各类社会保险；如用工不当，给采购人造成损失由投标人承担。</w:t>
      </w:r>
    </w:p>
    <w:p>
      <w:pPr>
        <w:spacing w:line="288" w:lineRule="auto"/>
        <w:ind w:firstLine="420"/>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（5）投标人在承包期间内与外界发生的一切债权、债务等纠纷均与采购人无关。</w:t>
      </w:r>
    </w:p>
    <w:p>
      <w:pPr>
        <w:spacing w:line="288" w:lineRule="auto"/>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四、校园绿化养护及花草苗木培育美化</w:t>
      </w:r>
    </w:p>
    <w:p>
      <w:pPr>
        <w:spacing w:line="288"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bCs/>
          <w:color w:val="auto"/>
          <w:sz w:val="24"/>
          <w:szCs w:val="24"/>
        </w:rPr>
        <w:t>1.范围及内容：校园内现有的所有绿化场地上的绿化养</w:t>
      </w:r>
      <w:r>
        <w:rPr>
          <w:rFonts w:hint="eastAsia" w:ascii="仿宋_GB2312" w:hAnsi="仿宋_GB2312" w:eastAsia="仿宋_GB2312" w:cs="仿宋_GB2312"/>
          <w:color w:val="auto"/>
          <w:sz w:val="24"/>
          <w:szCs w:val="24"/>
        </w:rPr>
        <w:t>护及根据景观布局要求的苗木的迁种和补种，包括淋水、开窝培土、修剪、施肥、除草、修剪抹芽、病虫害防治、扶正、补迁苗(苗木费另计)等整套过程。完成学校迎宾、迎检、迎新的突击性任务，投标人应无条件、无报酬地为学校服务。</w:t>
      </w:r>
    </w:p>
    <w:p>
      <w:pPr>
        <w:spacing w:line="288"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2.质量等级要求：符合《城市园林绿化养护管理标准》，达到绿化养护二级养护标准。</w:t>
      </w:r>
    </w:p>
    <w:p>
      <w:pPr>
        <w:spacing w:line="288"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3.养护期限内，投标人应按照园林绿化养护操作规程及园林绿化养护质量标准，合理组织，精心养护，保质保量完成养护管理任务。</w:t>
      </w:r>
    </w:p>
    <w:p>
      <w:pPr>
        <w:spacing w:line="288"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4.绿化设施及主要养护内容：</w:t>
      </w:r>
    </w:p>
    <w:p>
      <w:pPr>
        <w:widowControl/>
        <w:spacing w:line="288" w:lineRule="auto"/>
        <w:ind w:firstLine="435"/>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（1）修剪：根据各类植物的生长特点、地理环境、景观要求，按照操作规程适时进行。中标后须进行一次大规模树木修剪工作，服务期内大规模树木修剪工作不少于四次。</w:t>
      </w:r>
    </w:p>
    <w:p>
      <w:pPr>
        <w:widowControl/>
        <w:spacing w:line="288" w:lineRule="auto"/>
        <w:ind w:firstLine="435"/>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2）施肥：根据各类植物的生长特点及植物对肥料的需要，要求年施肥不得少于4次，新种植物视生长情况，适时适量进行施肥，以保持各类植物的生长旺盛达到一定景观效果。（投标人一年中要对学校化粪池清理一次，用于植物对有机肥的需求）。 </w:t>
      </w:r>
    </w:p>
    <w:p>
      <w:pPr>
        <w:widowControl/>
        <w:spacing w:line="288" w:lineRule="auto"/>
        <w:ind w:firstLine="435"/>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（3）除草：各类绿地、树穴、绿带要结合松土及时清理各类杂草。秋、冬两季要做到全校区无杂草，春、夏两季做到全区绿地内不可有超过10公分的杂草。 </w:t>
      </w:r>
    </w:p>
    <w:p>
      <w:pPr>
        <w:widowControl/>
        <w:spacing w:line="288" w:lineRule="auto"/>
        <w:ind w:firstLine="435"/>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（4）抹芽：主要用于乔木、大型灌木，对不定芽要及时清除，以保持树木骨架清晰，促使生长形态美观，营养集中。 </w:t>
      </w:r>
    </w:p>
    <w:p>
      <w:pPr>
        <w:widowControl/>
        <w:spacing w:line="288" w:lineRule="auto"/>
        <w:ind w:firstLine="435"/>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（5）病虫害防治：病虫害防治是园林植物养护中较为重要的手段和内容，要根据各类植物的寄生对象及时做好预测预报，及时采取措施防治。 </w:t>
      </w:r>
    </w:p>
    <w:p>
      <w:pPr>
        <w:widowControl/>
        <w:spacing w:line="288" w:lineRule="auto"/>
        <w:ind w:firstLine="435"/>
        <w:jc w:val="left"/>
        <w:rPr>
          <w:rStyle w:val="964"/>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fldChar w:fldCharType="begin"/>
      </w:r>
      <w:r>
        <w:rPr>
          <w:rFonts w:hint="eastAsia" w:ascii="仿宋_GB2312" w:hAnsi="仿宋_GB2312" w:eastAsia="仿宋_GB2312" w:cs="仿宋_GB2312"/>
          <w:color w:val="auto"/>
          <w:sz w:val="24"/>
          <w:szCs w:val="24"/>
        </w:rPr>
        <w:instrText xml:space="preserve"> = 6 \* GB3 \* MERGEFORMAT </w:instrText>
      </w:r>
      <w:r>
        <w:rPr>
          <w:rFonts w:hint="eastAsia" w:ascii="仿宋_GB2312" w:hAnsi="仿宋_GB2312" w:eastAsia="仿宋_GB2312" w:cs="仿宋_GB2312"/>
          <w:color w:val="auto"/>
          <w:sz w:val="24"/>
          <w:szCs w:val="24"/>
        </w:rPr>
        <w:fldChar w:fldCharType="separate"/>
      </w:r>
      <w:r>
        <w:rPr>
          <w:rFonts w:hint="eastAsia" w:ascii="仿宋_GB2312" w:hAnsi="仿宋_GB2312" w:eastAsia="仿宋_GB2312" w:cs="仿宋_GB2312"/>
          <w:color w:val="auto"/>
          <w:sz w:val="24"/>
          <w:szCs w:val="24"/>
        </w:rPr>
        <w:t>（6）</w:t>
      </w:r>
      <w:r>
        <w:rPr>
          <w:rFonts w:hint="eastAsia" w:ascii="仿宋_GB2312" w:hAnsi="仿宋_GB2312" w:eastAsia="仿宋_GB2312" w:cs="仿宋_GB2312"/>
          <w:color w:val="auto"/>
          <w:sz w:val="24"/>
          <w:szCs w:val="24"/>
        </w:rPr>
        <w:fldChar w:fldCharType="end"/>
      </w:r>
      <w:r>
        <w:rPr>
          <w:rStyle w:val="964"/>
          <w:rFonts w:hint="eastAsia" w:ascii="仿宋_GB2312" w:hAnsi="仿宋_GB2312" w:eastAsia="仿宋_GB2312" w:cs="仿宋_GB2312"/>
          <w:color w:val="auto"/>
          <w:sz w:val="24"/>
          <w:szCs w:val="24"/>
        </w:rPr>
        <w:t>清洁。养护产生的垃圾（如：树枝、树叶、草屑等）做到随产随清，做到每天保洁，绿地整洁，无砖石瓦块等废弃物，无生活垃圾和枯叶枯枝。</w:t>
      </w:r>
    </w:p>
    <w:p>
      <w:pPr>
        <w:spacing w:line="288"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5.服务要求</w:t>
      </w:r>
    </w:p>
    <w:p>
      <w:pPr>
        <w:spacing w:line="288"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实施养护管理所用的一切劳动力和服务由投标人自行组织，由此产生的一切费用由投标人承担。所需用的材料设备如：劳动工具、运输工具、农药、草绳、泥土、支架、遮阳膜、铁丝、绳索等费用也由投标人供应，采购人只提供水源和电源，养护人员的休息室、工具室也需要自行解决。</w:t>
      </w:r>
    </w:p>
    <w:p>
      <w:pPr>
        <w:spacing w:line="288"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2）服务期限内，造成树木枯死及毁损的，投标人应在两周补齐或修复（乔木补种需同品种、同规格，免费保活一年），并自行承担所需费用。投标人养护不到位的，采购人通知整改时，投标人应无条件地立即整改。合同期限届满时，投标人应保证本绿化养护项目设施量完好无损。未完好的，由投标人负责补齐或修复。届时，未补齐或修复的，采购人可自行或委托他人补齐或修复，费用由投标人负责。    </w:t>
      </w:r>
    </w:p>
    <w:p>
      <w:pPr>
        <w:spacing w:line="288"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（3）投标人应每月向采购人汇报详细的养护管理计划及有关措施。做好详细的养护台账，建立养护档案。供采购人检查及评分。投标人应接受并主动配合采购人及有关管理部门的检查。</w:t>
      </w:r>
    </w:p>
    <w:p>
      <w:pPr>
        <w:spacing w:line="288"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投标人必须重视安全生产，确保全年不出安全责任事故。养护期间，养护工人由于操作不规范等因素造成的安全责任事故，由投标人承担一切责任及损失。投标人在校区绿化养护期间应确保学校设备、设施和师生人员安全。</w:t>
      </w:r>
    </w:p>
    <w:p>
      <w:pPr>
        <w:spacing w:line="288"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学校如遇突击栽树、移树，投标人应无条件地为学校栽树，新栽的所需苗木、泥土、支架、遮阳膜、铁丝、绳索及机械等相关费用由采购人负担。养护范围之外的突击性、突发性工作，投标人须服从采购人的安排，不得无故拖延。</w:t>
      </w:r>
    </w:p>
    <w:p>
      <w:pPr>
        <w:spacing w:line="288"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6.花草苗木培育美化要求</w:t>
      </w:r>
    </w:p>
    <w:p>
      <w:pPr>
        <w:spacing w:line="288"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范围及内容：始终保证校内有300盆以上的季节性草花（100盆以上用于造型）供应校园摆设。租摆盆栽室内、室外绿色植物(含盆)专业设计、专车绿植配送、绿植定期养护保持生机、美观，大型120cm以上每月5盆，中型50-120cm每月10盆，小型50cm以下每月10盆。</w:t>
      </w:r>
    </w:p>
    <w:p>
      <w:pPr>
        <w:spacing w:line="288"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每年应根据学校需要，制作一定量的盆景（不少于10盆），具体由采购人指定。</w:t>
      </w:r>
    </w:p>
    <w:p>
      <w:pPr>
        <w:spacing w:line="288"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负责所培育花草的日常水肥养护，并确保盆花长势健康；如因自然因素造成植株叶色枯黄、萎缩等情况出现，投标人应及时更换（原则上一年内大批量更换不少于五次）并加强管理，并保持较好的观赏效果，一切保养费用由投标人承担。投标人工作人员在摆放植物及日常维护时应注意安全，不得损坏校方设施，保持现场清洁卫生，做到人走场净。</w:t>
      </w:r>
    </w:p>
    <w:p>
      <w:pPr>
        <w:spacing w:line="288"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（3）完成学校迎宾、迎检、迎新的突击性花草摆设任务，投标人应无条件、无报酬地为学校服务。</w:t>
      </w:r>
    </w:p>
    <w:p>
      <w:pPr>
        <w:pStyle w:val="7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7.绿化养护其他说明</w:t>
      </w:r>
    </w:p>
    <w:p>
      <w:pPr>
        <w:widowControl/>
        <w:spacing w:line="288" w:lineRule="auto"/>
        <w:ind w:firstLine="480" w:firstLineChars="200"/>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（1）投标总价一次报定，包括绿化养护和花草苗木培育美化。同时提供一年园林绿化详细养护工作计划、花草培育方案等，投标报价时注意物价风险。</w:t>
      </w:r>
    </w:p>
    <w:p>
      <w:pPr>
        <w:widowControl/>
        <w:spacing w:line="288" w:lineRule="auto"/>
        <w:ind w:firstLine="480" w:firstLineChars="200"/>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保证始终至少有1人定期在校园实施草地、树木、绿植的养护工作。不得派年迈、弱智、童工、残疾、有劣迹人员在校园内工作，对有不良行为的养护人员，采购人有权提出调换人员，一经提出投标人必须在一周内予以调换。</w:t>
      </w:r>
    </w:p>
    <w:p>
      <w:pPr>
        <w:widowControl/>
        <w:spacing w:line="288" w:lineRule="auto"/>
        <w:ind w:firstLine="480" w:firstLineChars="200"/>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（3）投标报价：本次投标报价为综合报价，报价中包含项目的人力成本、社会保险、安全保险、劳保福利、材料、管理费、培训费、养护用品消耗、税费、临时任务与突发事件等一切费用。</w:t>
      </w:r>
      <w:r>
        <w:rPr>
          <w:rFonts w:hint="eastAsia" w:ascii="仿宋_GB2312" w:hAnsi="仿宋_GB2312" w:eastAsia="仿宋_GB2312" w:cs="仿宋_GB2312"/>
          <w:bCs/>
          <w:color w:val="auto"/>
          <w:sz w:val="24"/>
          <w:szCs w:val="24"/>
        </w:rPr>
        <w:t>投标人必须保证用于学校苗木更新的</w:t>
      </w:r>
      <w:bookmarkStart w:id="38" w:name="_Hlk44675953"/>
      <w:r>
        <w:rPr>
          <w:rFonts w:hint="eastAsia" w:ascii="仿宋_GB2312" w:hAnsi="仿宋_GB2312" w:eastAsia="仿宋_GB2312" w:cs="仿宋_GB2312"/>
          <w:bCs/>
          <w:color w:val="auto"/>
          <w:sz w:val="24"/>
          <w:szCs w:val="24"/>
        </w:rPr>
        <w:t>苗木购买不少于0.5万元和确保苗木长势所需的肥料、农药、种子、工具费用</w:t>
      </w:r>
      <w:bookmarkEnd w:id="38"/>
      <w:r>
        <w:rPr>
          <w:rFonts w:hint="eastAsia" w:ascii="仿宋_GB2312" w:hAnsi="仿宋_GB2312" w:eastAsia="仿宋_GB2312" w:cs="仿宋_GB2312"/>
          <w:bCs/>
          <w:color w:val="auto"/>
          <w:sz w:val="24"/>
          <w:szCs w:val="24"/>
        </w:rPr>
        <w:t>不少于1万元</w:t>
      </w:r>
      <w:r>
        <w:rPr>
          <w:rFonts w:hint="eastAsia" w:ascii="仿宋_GB2312" w:hAnsi="仿宋_GB2312" w:eastAsia="仿宋_GB2312" w:cs="仿宋_GB2312"/>
          <w:color w:val="auto"/>
          <w:sz w:val="24"/>
          <w:szCs w:val="24"/>
        </w:rPr>
        <w:t>，新购苗木由投标人负责种植并必须保证成活一年。</w:t>
      </w:r>
    </w:p>
    <w:p>
      <w:pPr>
        <w:widowControl/>
        <w:spacing w:line="288" w:lineRule="auto"/>
        <w:ind w:right="105" w:rightChars="50"/>
        <w:jc w:val="center"/>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附：</w:t>
      </w:r>
      <w:r>
        <w:rPr>
          <w:rStyle w:val="964"/>
          <w:rFonts w:hint="eastAsia" w:ascii="仿宋_GB2312" w:hAnsi="仿宋_GB2312" w:eastAsia="仿宋_GB2312" w:cs="仿宋_GB2312"/>
          <w:b/>
          <w:bCs/>
          <w:color w:val="auto"/>
          <w:sz w:val="24"/>
          <w:szCs w:val="24"/>
        </w:rPr>
        <w:t>绿化养护二级养护标准</w:t>
      </w:r>
    </w:p>
    <w:p>
      <w:pPr>
        <w:spacing w:line="288"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1.植物配置基本合理。乔灌花草齐全。绿化较充分，基本无裸露土地。</w:t>
      </w:r>
    </w:p>
    <w:p>
      <w:pPr>
        <w:spacing w:line="288"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树木生长正常，生长达到该树种该规格的平均生长量。树冠基本完整，内膛不乱，通风透光，修剪及时，无死树和明显枯枝死权；在正常条件下，无明显黄叶、焦叶、卷叶、落叶，被啃咬的叶片最严重的每株在10％以下；有蛀干害虫的株数在2％以下；介壳虫为害较轻树木缺株在4％以下；树木基本无钉栓、捆绑现象。</w:t>
      </w:r>
    </w:p>
    <w:p>
      <w:pPr>
        <w:spacing w:line="288"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3.绿篱生长造型正常，叶色正常，修剪及时，基本无死株和干死枝，有虫株率在10％以下，草坪覆盖率达到90％以上，修剪及时，叶色正常，无明显杂草；宿根花卉管理基本及时，花期正常，缺株率在5％以下。</w:t>
      </w:r>
    </w:p>
    <w:p>
      <w:pPr>
        <w:spacing w:line="288"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4.绿地整洁，无杂树，无堆物堆料、搭棚、侵占等现象；设施基本完好，无明显人为损坏，对违法行为能及时发现和处理；绿化生产垃圾能及时清运。</w:t>
      </w:r>
    </w:p>
    <w:p>
      <w:pPr>
        <w:spacing w:line="288" w:lineRule="auto"/>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5.按二级养护技术措施要求认真地进行养护。</w:t>
      </w:r>
    </w:p>
    <w:p>
      <w:pPr>
        <w:widowControl/>
        <w:spacing w:line="288" w:lineRule="auto"/>
        <w:ind w:left="239" w:leftChars="114" w:right="105" w:rightChars="50"/>
        <w:rPr>
          <w:rFonts w:hint="eastAsia" w:ascii="仿宋_GB2312" w:hAnsi="仿宋_GB2312" w:eastAsia="仿宋_GB2312" w:cs="仿宋_GB2312"/>
          <w:color w:val="auto"/>
          <w:sz w:val="24"/>
          <w:szCs w:val="24"/>
        </w:rPr>
      </w:pPr>
      <w:r>
        <w:rPr>
          <w:rFonts w:hint="eastAsia" w:ascii="仿宋_GB2312" w:hAnsi="仿宋_GB2312" w:eastAsia="仿宋_GB2312" w:cs="仿宋_GB2312"/>
          <w:b/>
          <w:bCs/>
          <w:color w:val="auto"/>
          <w:sz w:val="24"/>
          <w:szCs w:val="24"/>
        </w:rPr>
        <w:t>一年园林养护工作具体安排：</w:t>
      </w:r>
      <w:r>
        <w:rPr>
          <w:rFonts w:hint="eastAsia" w:ascii="仿宋_GB2312" w:hAnsi="仿宋_GB2312" w:eastAsia="仿宋_GB2312" w:cs="仿宋_GB2312"/>
          <w:color w:val="auto"/>
          <w:sz w:val="24"/>
          <w:szCs w:val="24"/>
        </w:rPr>
        <w:t xml:space="preserve"> </w:t>
      </w:r>
    </w:p>
    <w:p>
      <w:pPr>
        <w:widowControl/>
        <w:spacing w:line="288" w:lineRule="auto"/>
        <w:ind w:left="239" w:leftChars="114" w:right="105" w:rightChars="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一月份：全年中气温最低的月份，露地树木处于休眠状态。</w:t>
      </w:r>
    </w:p>
    <w:p>
      <w:pPr>
        <w:widowControl/>
        <w:numPr>
          <w:ilvl w:val="0"/>
          <w:numId w:val="1"/>
        </w:numPr>
        <w:spacing w:line="288" w:lineRule="auto"/>
        <w:ind w:left="240" w:right="105" w:rightChars="50" w:firstLine="18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冬季修剪：全面展开对落叶树木的整形修剪作业；大小乔木上的枯枝、伤残枝、病虫枝及妨碍架空线和建筑物的枝杈进行修剪。</w:t>
      </w:r>
    </w:p>
    <w:p>
      <w:pPr>
        <w:widowControl/>
        <w:numPr>
          <w:ilvl w:val="0"/>
          <w:numId w:val="1"/>
        </w:numPr>
        <w:spacing w:line="288" w:lineRule="auto"/>
        <w:ind w:left="240" w:right="105" w:rightChars="50" w:firstLine="18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行道树检查：及时检查行道树绑扎、立桩情况，发现松绑、铅丝嵌皮、摇桩等情况时立即整改。</w:t>
      </w:r>
    </w:p>
    <w:p>
      <w:pPr>
        <w:widowControl/>
        <w:numPr>
          <w:ilvl w:val="0"/>
          <w:numId w:val="1"/>
        </w:numPr>
        <w:spacing w:line="288" w:lineRule="auto"/>
        <w:ind w:left="240" w:right="105" w:rightChars="50" w:firstLine="18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防治害虫：冬季是消灭园林害虫的有利季节。可在树下疏松的土中挖集刺蛾的虫蛹、虫茧，集中烧死。1月中旬的时候，蚧壳虫类开始活动，但这时候行动迟缓，我们可以采取刮除树干上的幼虫的方法。在冬季防治害虫，往往有事半功倍的效果。</w:t>
      </w:r>
    </w:p>
    <w:p>
      <w:pPr>
        <w:widowControl/>
        <w:numPr>
          <w:ilvl w:val="0"/>
          <w:numId w:val="1"/>
        </w:numPr>
        <w:spacing w:line="288" w:lineRule="auto"/>
        <w:ind w:left="240" w:right="105" w:rightChars="50" w:firstLine="18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绿地养护：绿地、花坛等地要注意挑除大型野草；草坪要及时挑草、切边；绿地内要注意防冻浇水。</w:t>
      </w:r>
    </w:p>
    <w:p>
      <w:pPr>
        <w:widowControl/>
        <w:spacing w:line="288" w:lineRule="auto"/>
        <w:ind w:left="240" w:right="105" w:rightChars="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二月份：气温较上月有所回升,树木仍处于休眠状态。 </w:t>
      </w:r>
    </w:p>
    <w:p>
      <w:pPr>
        <w:widowControl/>
        <w:numPr>
          <w:ilvl w:val="0"/>
          <w:numId w:val="2"/>
        </w:numPr>
        <w:spacing w:line="288" w:lineRule="auto"/>
        <w:ind w:right="105" w:rightChars="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养护基本与1月份相同。</w:t>
      </w:r>
    </w:p>
    <w:p>
      <w:pPr>
        <w:widowControl/>
        <w:numPr>
          <w:ilvl w:val="0"/>
          <w:numId w:val="2"/>
        </w:numPr>
        <w:spacing w:line="288" w:lineRule="auto"/>
        <w:ind w:right="105" w:rightChars="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修剪：继续对大小乔木的枯枝、病枝进行修剪。月底以前，把各种树木修剪完。</w:t>
      </w:r>
    </w:p>
    <w:p>
      <w:pPr>
        <w:widowControl/>
        <w:numPr>
          <w:ilvl w:val="0"/>
          <w:numId w:val="2"/>
        </w:numPr>
        <w:spacing w:line="288" w:lineRule="auto"/>
        <w:ind w:right="105" w:rightChars="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防治害虫：继续以防刺蛾和蚧壳虫为主。</w:t>
      </w:r>
    </w:p>
    <w:p>
      <w:pPr>
        <w:widowControl/>
        <w:spacing w:line="288" w:lineRule="auto"/>
        <w:ind w:right="105" w:rightChars="50" w:firstLine="240" w:firstLineChars="1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三月份：气温继续上升，中旬以后，树木开始萌芽，下旬有些树木(如山茶)开花。</w:t>
      </w:r>
    </w:p>
    <w:p>
      <w:pPr>
        <w:widowControl/>
        <w:numPr>
          <w:ilvl w:val="0"/>
          <w:numId w:val="3"/>
        </w:numPr>
        <w:spacing w:line="288" w:lineRule="auto"/>
        <w:ind w:right="105" w:rightChars="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植树：春季是植树的有利时机。土壤解冻后，应立即抓紧时机植树。植大小乔木前作好规划设计，事先挖(刨)好树坑，要做到随挖、随运、随种、随浇水。种植灌木时也应做到随挖、随运、随种，并充分浇水，以提高苗木存活率。 </w:t>
      </w:r>
    </w:p>
    <w:p>
      <w:pPr>
        <w:widowControl/>
        <w:numPr>
          <w:ilvl w:val="0"/>
          <w:numId w:val="3"/>
        </w:numPr>
        <w:spacing w:line="288" w:lineRule="auto"/>
        <w:ind w:right="105" w:rightChars="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春灌：因春季干旱多风，蒸发量大，为防止春旱，对绿地等应及时浇水。</w:t>
      </w:r>
    </w:p>
    <w:p>
      <w:pPr>
        <w:widowControl/>
        <w:numPr>
          <w:ilvl w:val="0"/>
          <w:numId w:val="3"/>
        </w:numPr>
        <w:spacing w:line="288" w:lineRule="auto"/>
        <w:ind w:right="105" w:rightChars="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施肥：土壤解冻后，对植物施用基肥并灌水。</w:t>
      </w:r>
    </w:p>
    <w:p>
      <w:pPr>
        <w:widowControl/>
        <w:numPr>
          <w:ilvl w:val="0"/>
          <w:numId w:val="3"/>
        </w:numPr>
        <w:spacing w:line="288" w:lineRule="auto"/>
        <w:ind w:right="105" w:rightChars="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防治病虫害：本月是防治病虫害的关键时刻。一些苗木出现了煤污病，瓜子黄杨卷叶螟也出现了(采用喷洒杀螟松等农药进行防治)。防治刺蛾可以继续采用挖蛹方法。</w:t>
      </w:r>
    </w:p>
    <w:p>
      <w:pPr>
        <w:widowControl/>
        <w:spacing w:line="288" w:lineRule="auto"/>
        <w:ind w:right="105" w:rightChars="50" w:firstLine="240" w:firstLineChars="1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四月份：气温继续上升，树木均萌芽开花或展叶开始进入生长旺盛期。</w:t>
      </w:r>
    </w:p>
    <w:p>
      <w:pPr>
        <w:widowControl/>
        <w:numPr>
          <w:ilvl w:val="0"/>
          <w:numId w:val="4"/>
        </w:numPr>
        <w:spacing w:line="288" w:lineRule="auto"/>
        <w:ind w:right="105" w:rightChars="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继续植树：四月上旬应抓紧时间种植萌芽晚的树木，对冬季死亡的灌木(杜鹃、红花继木等)应及时拔除补种，对新种树木要充分浇水。</w:t>
      </w:r>
    </w:p>
    <w:p>
      <w:pPr>
        <w:widowControl/>
        <w:numPr>
          <w:ilvl w:val="0"/>
          <w:numId w:val="4"/>
        </w:numPr>
        <w:spacing w:line="288" w:lineRule="auto"/>
        <w:ind w:right="105" w:rightChars="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灌水：继续对养护绿地进行及时的浇水。</w:t>
      </w:r>
    </w:p>
    <w:p>
      <w:pPr>
        <w:widowControl/>
        <w:numPr>
          <w:ilvl w:val="0"/>
          <w:numId w:val="4"/>
        </w:numPr>
        <w:spacing w:line="288" w:lineRule="auto"/>
        <w:ind w:right="105" w:rightChars="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施肥：对草坪、灌木结合灌水，追施速效氮肥，或者根据需要进行叶面喷施。</w:t>
      </w:r>
    </w:p>
    <w:p>
      <w:pPr>
        <w:widowControl/>
        <w:numPr>
          <w:ilvl w:val="0"/>
          <w:numId w:val="4"/>
        </w:numPr>
        <w:spacing w:line="288" w:lineRule="auto"/>
        <w:ind w:right="105" w:rightChars="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修剪：剪除冬、春季干枯的枝条，可以修剪常绿绿篱。 </w:t>
      </w:r>
    </w:p>
    <w:p>
      <w:pPr>
        <w:widowControl/>
        <w:numPr>
          <w:ilvl w:val="0"/>
          <w:numId w:val="4"/>
        </w:numPr>
        <w:spacing w:line="288" w:lineRule="auto"/>
        <w:ind w:right="105" w:rightChars="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防治病虫害：(1)蚧壳虫在第二次蜕皮后陆续转移到树皮裂缝内、树洞、树干基部、墙角等处分泌白色蜡质薄茧化蛹。可以用硬竹扫帚扫除，然后集中深埋或浸泡。或者采用喷洒杀螟松等农药的方法。(2)天牛开始活动了，可以采用嫁接刀或自制钢丝挑除幼虫，但是伤口要做到越小越好。(3)其它病虫害的防治工作。</w:t>
      </w:r>
    </w:p>
    <w:p>
      <w:pPr>
        <w:widowControl/>
        <w:numPr>
          <w:ilvl w:val="0"/>
          <w:numId w:val="4"/>
        </w:numPr>
        <w:spacing w:line="288" w:lineRule="auto"/>
        <w:ind w:right="105" w:rightChars="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绿地内养护：注意大型绿地内的杂草及攀援植物的挑除。对草坪也要进行挑草及切边工作。</w:t>
      </w:r>
    </w:p>
    <w:p>
      <w:pPr>
        <w:widowControl/>
        <w:numPr>
          <w:ilvl w:val="0"/>
          <w:numId w:val="4"/>
        </w:numPr>
        <w:spacing w:line="288" w:lineRule="auto"/>
        <w:ind w:right="105" w:rightChars="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草花：迎五一替换冬季草花，注意做好浇水工作。</w:t>
      </w:r>
    </w:p>
    <w:p>
      <w:pPr>
        <w:widowControl/>
        <w:spacing w:line="288" w:lineRule="auto"/>
        <w:ind w:right="105" w:rightChars="50" w:firstLine="240" w:firstLineChars="1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五月份：气温急骤上升，树木生长迅速。 </w:t>
      </w:r>
    </w:p>
    <w:p>
      <w:pPr>
        <w:widowControl/>
        <w:numPr>
          <w:ilvl w:val="0"/>
          <w:numId w:val="5"/>
        </w:numPr>
        <w:spacing w:line="288" w:lineRule="auto"/>
        <w:ind w:right="105" w:rightChars="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浇水：树木展叶盛期，需水量很大，应适时浇水。</w:t>
      </w:r>
    </w:p>
    <w:p>
      <w:pPr>
        <w:widowControl/>
        <w:numPr>
          <w:ilvl w:val="0"/>
          <w:numId w:val="5"/>
        </w:numPr>
        <w:spacing w:line="288" w:lineRule="auto"/>
        <w:ind w:right="105" w:rightChars="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修剪：修剪残花。行道树进行第一次的剥芽修剪</w:t>
      </w:r>
    </w:p>
    <w:p>
      <w:pPr>
        <w:widowControl/>
        <w:numPr>
          <w:ilvl w:val="0"/>
          <w:numId w:val="5"/>
        </w:numPr>
        <w:spacing w:line="288" w:lineRule="auto"/>
        <w:ind w:right="105" w:rightChars="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防治病虫害：继续以捕捉天牛为主。刺蛾第一代孵化，但尚未达到危害程度，根据养护区内的实际情况做出相应措施。由蚧壳虫、蚜虫等引起的煤污病也进入了盛发期(在紫薇、海桐、夹竹桃等上)，在5月中、下旬喷洒10-20倍的松脂合剂及50%三硫磷乳剂1500-2000倍液以防治病害及杀死虫害。(其它可用杀虫素、花保等农药)</w:t>
      </w:r>
    </w:p>
    <w:p>
      <w:pPr>
        <w:widowControl/>
        <w:spacing w:line="288" w:lineRule="auto"/>
        <w:ind w:right="105" w:rightChars="50" w:firstLine="240" w:firstLineChars="1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六月份：气温高。 </w:t>
      </w:r>
    </w:p>
    <w:p>
      <w:pPr>
        <w:widowControl/>
        <w:numPr>
          <w:ilvl w:val="0"/>
          <w:numId w:val="6"/>
        </w:numPr>
        <w:spacing w:line="288" w:lineRule="auto"/>
        <w:ind w:right="105" w:rightChars="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浇水：植物需水量大，要及时浇水，不能“看天吃饭”。 </w:t>
      </w:r>
    </w:p>
    <w:p>
      <w:pPr>
        <w:widowControl/>
        <w:numPr>
          <w:ilvl w:val="0"/>
          <w:numId w:val="6"/>
        </w:numPr>
        <w:spacing w:line="288" w:lineRule="auto"/>
        <w:ind w:right="105" w:rightChars="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施肥：结合松土除草、施肥、浇水以达到最好的效果。 </w:t>
      </w:r>
    </w:p>
    <w:p>
      <w:pPr>
        <w:widowControl/>
        <w:numPr>
          <w:ilvl w:val="0"/>
          <w:numId w:val="6"/>
        </w:numPr>
        <w:spacing w:line="288" w:lineRule="auto"/>
        <w:ind w:right="105" w:rightChars="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修剪：继续对行道树进行剥芽除蘖工作。对绿篱、球类及部分花灌木实施修剪。</w:t>
      </w:r>
    </w:p>
    <w:p>
      <w:pPr>
        <w:widowControl/>
        <w:numPr>
          <w:ilvl w:val="0"/>
          <w:numId w:val="6"/>
        </w:numPr>
        <w:spacing w:line="288" w:lineRule="auto"/>
        <w:ind w:right="105" w:rightChars="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排水工作：有大雨天气时要注意低洼处的排水工作。</w:t>
      </w:r>
    </w:p>
    <w:p>
      <w:pPr>
        <w:widowControl/>
        <w:numPr>
          <w:ilvl w:val="0"/>
          <w:numId w:val="6"/>
        </w:numPr>
        <w:spacing w:line="288" w:lineRule="auto"/>
        <w:ind w:right="105" w:rightChars="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防治病虫害：六月中、下旬刺蛾进入孵化盛期，应及时采取措施，现基本采用50%杀螟松乳剂500－800倍液喷洒。(或用复合BT乳剂进行喷施)继续对天牛进行人工捕捉。</w:t>
      </w:r>
    </w:p>
    <w:p>
      <w:pPr>
        <w:widowControl/>
        <w:numPr>
          <w:ilvl w:val="0"/>
          <w:numId w:val="6"/>
        </w:numPr>
        <w:spacing w:line="288" w:lineRule="auto"/>
        <w:ind w:right="105" w:rightChars="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做好树木防汛防台前的检查工作，对松动、倾斜的树木进行扶正、加固及重新绑扎。</w:t>
      </w:r>
    </w:p>
    <w:p>
      <w:pPr>
        <w:widowControl/>
        <w:spacing w:line="288" w:lineRule="auto"/>
        <w:ind w:right="105" w:rightChars="50" w:firstLine="240" w:firstLineChars="1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七月份：气温最高，中旬以后会出现大风大雨情况。 </w:t>
      </w:r>
    </w:p>
    <w:p>
      <w:pPr>
        <w:widowControl/>
        <w:numPr>
          <w:ilvl w:val="0"/>
          <w:numId w:val="7"/>
        </w:numPr>
        <w:spacing w:line="288" w:lineRule="auto"/>
        <w:ind w:right="105" w:rightChars="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移植常绿树：雨季期间，水分充足，可以移植针叶树和竹类，但要注意天气变化，一旦碰到高温要及时浇水。</w:t>
      </w:r>
    </w:p>
    <w:p>
      <w:pPr>
        <w:widowControl/>
        <w:numPr>
          <w:ilvl w:val="0"/>
          <w:numId w:val="7"/>
        </w:numPr>
        <w:spacing w:line="288" w:lineRule="auto"/>
        <w:ind w:right="105" w:rightChars="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排涝：大雨过后要及时排涝。</w:t>
      </w:r>
    </w:p>
    <w:p>
      <w:pPr>
        <w:widowControl/>
        <w:numPr>
          <w:ilvl w:val="0"/>
          <w:numId w:val="7"/>
        </w:numPr>
        <w:spacing w:line="288" w:lineRule="auto"/>
        <w:ind w:right="105" w:rightChars="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施追肥：在下雨前干施氮肥等速效肥。</w:t>
      </w:r>
    </w:p>
    <w:p>
      <w:pPr>
        <w:widowControl/>
        <w:numPr>
          <w:ilvl w:val="0"/>
          <w:numId w:val="7"/>
        </w:numPr>
        <w:spacing w:line="288" w:lineRule="auto"/>
        <w:ind w:right="105" w:rightChars="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行道树：进行防台剥芽修剪，对与电线有矛盾的树枝一律修剪，并对树桩逐个检查，发现松垮、不稳立即扶正绑紧。事先做好劳力组织、物资材料、工具设备等方面的准备，并随时派人检查，发现险情及时处理。</w:t>
      </w:r>
    </w:p>
    <w:p>
      <w:pPr>
        <w:widowControl/>
        <w:numPr>
          <w:ilvl w:val="0"/>
          <w:numId w:val="7"/>
        </w:numPr>
        <w:spacing w:line="288" w:lineRule="auto"/>
        <w:ind w:right="105" w:rightChars="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防治病虫害：继续对天牛及刺蛾进行防治。防治天牛可以采用50%杀螟松1：50倍液注射，(或果树宝、或园科三号)然后封住洞口，也可达到很好的效果。香樟樟巢螟要及时的剪除，并销毁虫巢，以免再次危害。</w:t>
      </w:r>
    </w:p>
    <w:p>
      <w:pPr>
        <w:widowControl/>
        <w:spacing w:line="288" w:lineRule="auto"/>
        <w:ind w:right="105" w:rightChars="50" w:firstLine="240" w:firstLineChars="1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八月份：仍为雨季。</w:t>
      </w:r>
    </w:p>
    <w:p>
      <w:pPr>
        <w:widowControl/>
        <w:numPr>
          <w:ilvl w:val="0"/>
          <w:numId w:val="8"/>
        </w:numPr>
        <w:spacing w:line="288" w:lineRule="auto"/>
        <w:ind w:right="105" w:rightChars="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排涝：大雨过后，对低洼积水处要及时排涝。</w:t>
      </w:r>
    </w:p>
    <w:p>
      <w:pPr>
        <w:widowControl/>
        <w:numPr>
          <w:ilvl w:val="0"/>
          <w:numId w:val="8"/>
        </w:numPr>
        <w:spacing w:line="288" w:lineRule="auto"/>
        <w:ind w:right="105" w:rightChars="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行道树防台工作：继续做好行道树的防台工作。</w:t>
      </w:r>
    </w:p>
    <w:p>
      <w:pPr>
        <w:widowControl/>
        <w:numPr>
          <w:ilvl w:val="0"/>
          <w:numId w:val="8"/>
        </w:numPr>
        <w:spacing w:line="288" w:lineRule="auto"/>
        <w:ind w:right="105" w:rightChars="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修剪：除一般树木夏修外，要对绿篱进行造型修剪。</w:t>
      </w:r>
    </w:p>
    <w:p>
      <w:pPr>
        <w:widowControl/>
        <w:numPr>
          <w:ilvl w:val="0"/>
          <w:numId w:val="8"/>
        </w:numPr>
        <w:spacing w:line="288" w:lineRule="auto"/>
        <w:ind w:right="105" w:rightChars="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中耕除草：杂草生长也旺盛，要及时的除草，并可结合除草进行施肥。</w:t>
      </w:r>
    </w:p>
    <w:p>
      <w:pPr>
        <w:widowControl/>
        <w:numPr>
          <w:ilvl w:val="0"/>
          <w:numId w:val="8"/>
        </w:numPr>
        <w:spacing w:line="288" w:lineRule="auto"/>
        <w:ind w:right="105" w:rightChars="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防治病虫害：捕捉天牛为主，注意根部的天牛捕捉。蚜虫危害、香樟樟巢螟要及时防治。潮湿天气要注意白粉病及腐烂病，要及时采取措施。</w:t>
      </w:r>
    </w:p>
    <w:p>
      <w:pPr>
        <w:widowControl/>
        <w:spacing w:line="288" w:lineRule="auto"/>
        <w:ind w:right="105" w:rightChars="50" w:firstLine="240" w:firstLineChars="1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九月份：气温有所下降，迎国庆做好相关工作。</w:t>
      </w:r>
    </w:p>
    <w:p>
      <w:pPr>
        <w:widowControl/>
        <w:numPr>
          <w:ilvl w:val="0"/>
          <w:numId w:val="9"/>
        </w:numPr>
        <w:spacing w:line="288" w:lineRule="auto"/>
        <w:ind w:right="105" w:rightChars="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修剪：迎接国庆工作，行道树三级分叉以下剥芽。绿篱造型修剪。绿地内除草，草坪切边，及时清理死树，做到树木青枝绿叶，绿地干净整齐。</w:t>
      </w:r>
    </w:p>
    <w:p>
      <w:pPr>
        <w:widowControl/>
        <w:numPr>
          <w:ilvl w:val="0"/>
          <w:numId w:val="9"/>
        </w:numPr>
        <w:spacing w:line="288" w:lineRule="auto"/>
        <w:ind w:right="105" w:rightChars="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施肥：对一些生长较弱，枝条不够充实的树木，应追施一些磷、钾肥。</w:t>
      </w:r>
    </w:p>
    <w:p>
      <w:pPr>
        <w:widowControl/>
        <w:numPr>
          <w:ilvl w:val="0"/>
          <w:numId w:val="9"/>
        </w:numPr>
        <w:spacing w:line="288" w:lineRule="auto"/>
        <w:ind w:right="105" w:rightChars="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草花：迎国庆，草花更换，选择颜色鲜艳的草花品种，注意浇水要充足。</w:t>
      </w:r>
    </w:p>
    <w:p>
      <w:pPr>
        <w:widowControl/>
        <w:numPr>
          <w:ilvl w:val="0"/>
          <w:numId w:val="9"/>
        </w:numPr>
        <w:spacing w:line="288" w:lineRule="auto"/>
        <w:ind w:right="105" w:rightChars="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防治病虫害：穿孔病为发病高峰，采用500%多菌灵1000倍液防止侵染。天牛开始转向根部危害，注意根部天牛的捕捉。对杨、柳上的木蠹蛾也要及时防治。做好其它病虫害的防治工作。</w:t>
      </w:r>
    </w:p>
    <w:p>
      <w:pPr>
        <w:widowControl/>
        <w:numPr>
          <w:ilvl w:val="0"/>
          <w:numId w:val="9"/>
        </w:numPr>
        <w:spacing w:line="288" w:lineRule="auto"/>
        <w:ind w:right="105" w:rightChars="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节前做好各类绿化设施的检查工作。</w:t>
      </w:r>
    </w:p>
    <w:p>
      <w:pPr>
        <w:widowControl/>
        <w:spacing w:line="288" w:lineRule="auto"/>
        <w:ind w:right="105" w:rightChars="50" w:firstLine="240" w:firstLineChars="1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十月份：气温下降，十月下旬进入初冬，树木开始落叶，陆续进入休眠期。</w:t>
      </w:r>
    </w:p>
    <w:p>
      <w:pPr>
        <w:widowControl/>
        <w:numPr>
          <w:ilvl w:val="0"/>
          <w:numId w:val="10"/>
        </w:numPr>
        <w:spacing w:line="288" w:lineRule="auto"/>
        <w:ind w:right="105" w:rightChars="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做好秋季植树的准备，下旬耐寒树木一落叶，就可以开始栽植。</w:t>
      </w:r>
    </w:p>
    <w:p>
      <w:pPr>
        <w:widowControl/>
        <w:numPr>
          <w:ilvl w:val="0"/>
          <w:numId w:val="10"/>
        </w:numPr>
        <w:spacing w:line="288" w:lineRule="auto"/>
        <w:ind w:right="105" w:rightChars="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绿地养护：及时去除死树，及时浇水。绿地、草坪挑草切边工作要做好。草花生长不良的要施肥。</w:t>
      </w:r>
    </w:p>
    <w:p>
      <w:pPr>
        <w:widowControl/>
        <w:numPr>
          <w:ilvl w:val="0"/>
          <w:numId w:val="10"/>
        </w:numPr>
        <w:spacing w:line="288" w:lineRule="auto"/>
        <w:ind w:right="105" w:rightChars="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防治病虫害：继续捕捉根部天牛。香樟樟巢螟也要注意观察防治。</w:t>
      </w:r>
    </w:p>
    <w:p>
      <w:pPr>
        <w:widowControl/>
        <w:spacing w:line="288" w:lineRule="auto"/>
        <w:ind w:right="105" w:rightChars="50" w:firstLine="240" w:firstLineChars="1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十一月份：土壤开始夜冻日化，进入隆冬季节。</w:t>
      </w:r>
    </w:p>
    <w:p>
      <w:pPr>
        <w:widowControl/>
        <w:numPr>
          <w:ilvl w:val="0"/>
          <w:numId w:val="11"/>
        </w:numPr>
        <w:spacing w:line="288" w:lineRule="auto"/>
        <w:ind w:right="105" w:rightChars="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植树：继续栽植耐寒植物，土壤冻结前完成。</w:t>
      </w:r>
    </w:p>
    <w:p>
      <w:pPr>
        <w:widowControl/>
        <w:numPr>
          <w:ilvl w:val="0"/>
          <w:numId w:val="11"/>
        </w:numPr>
        <w:spacing w:line="288" w:lineRule="auto"/>
        <w:ind w:right="105" w:rightChars="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翻土：对绿地土壤翻土，暴露准备越冬的害虫。</w:t>
      </w:r>
    </w:p>
    <w:p>
      <w:pPr>
        <w:widowControl/>
        <w:numPr>
          <w:ilvl w:val="0"/>
          <w:numId w:val="11"/>
        </w:numPr>
        <w:spacing w:line="288" w:lineRule="auto"/>
        <w:ind w:right="105" w:rightChars="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浇水：对干、板结的土壤浇水，要在封冻前完成。</w:t>
      </w:r>
    </w:p>
    <w:p>
      <w:pPr>
        <w:widowControl/>
        <w:numPr>
          <w:ilvl w:val="0"/>
          <w:numId w:val="11"/>
        </w:numPr>
        <w:spacing w:line="288" w:lineRule="auto"/>
        <w:ind w:right="105" w:rightChars="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病虫害防治各种害虫在下旬准备过冬，防治任务相对较轻。</w:t>
      </w:r>
    </w:p>
    <w:p>
      <w:pPr>
        <w:widowControl/>
        <w:spacing w:line="288" w:lineRule="auto"/>
        <w:ind w:right="105" w:rightChars="50" w:firstLine="240" w:firstLineChars="1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十二月份：低气温，开始冬季养护工作。</w:t>
      </w:r>
    </w:p>
    <w:p>
      <w:pPr>
        <w:widowControl/>
        <w:numPr>
          <w:ilvl w:val="0"/>
          <w:numId w:val="12"/>
        </w:numPr>
        <w:spacing w:line="288" w:lineRule="auto"/>
        <w:ind w:right="105" w:rightChars="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冬季修剪：对些常绿乔木、灌木进行修剪。</w:t>
      </w:r>
    </w:p>
    <w:p>
      <w:pPr>
        <w:widowControl/>
        <w:numPr>
          <w:ilvl w:val="0"/>
          <w:numId w:val="12"/>
        </w:numPr>
        <w:spacing w:line="288" w:lineRule="auto"/>
        <w:ind w:right="105" w:rightChars="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消灭越冬病虫害。</w:t>
      </w:r>
    </w:p>
    <w:p>
      <w:pPr>
        <w:widowControl/>
        <w:numPr>
          <w:ilvl w:val="0"/>
          <w:numId w:val="12"/>
        </w:numPr>
        <w:spacing w:line="288" w:lineRule="auto"/>
        <w:ind w:right="105" w:rightChars="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做好明年调整工作准备：待落叶植物落叶以后，对养护区进行观察，绘制要调整的方位。</w:t>
      </w:r>
    </w:p>
    <w:p>
      <w:pPr>
        <w:spacing w:line="360" w:lineRule="auto"/>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lang w:eastAsia="zh-CN"/>
        </w:rPr>
        <w:t>五</w:t>
      </w:r>
      <w:r>
        <w:rPr>
          <w:rFonts w:hint="eastAsia" w:ascii="仿宋_GB2312" w:hAnsi="仿宋_GB2312" w:eastAsia="仿宋_GB2312" w:cs="仿宋_GB2312"/>
          <w:b/>
          <w:bCs/>
          <w:color w:val="auto"/>
          <w:sz w:val="24"/>
          <w:szCs w:val="24"/>
        </w:rPr>
        <w:t>、服务期限：</w:t>
      </w:r>
    </w:p>
    <w:p>
      <w:pPr>
        <w:autoSpaceDE w:val="0"/>
        <w:autoSpaceDN w:val="0"/>
        <w:adjustRightInd w:val="0"/>
        <w:spacing w:line="360" w:lineRule="auto"/>
        <w:ind w:firstLine="480" w:firstLineChars="200"/>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1.服务期限为自合同生效之日起18个月（具体起止时间以合同签订为准）。如发生重大责任事故，采购人有权终止合同。</w:t>
      </w:r>
    </w:p>
    <w:p>
      <w:pPr>
        <w:autoSpaceDE w:val="0"/>
        <w:autoSpaceDN w:val="0"/>
        <w:adjustRightInd w:val="0"/>
        <w:spacing w:line="360" w:lineRule="auto"/>
        <w:ind w:firstLine="480" w:firstLineChars="200"/>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2.投标人在签署合同后的5个工作日内进场，不得延误，进场当日各岗位工作人员须到岗齐全。</w:t>
      </w:r>
    </w:p>
    <w:p>
      <w:pPr>
        <w:pStyle w:val="789"/>
        <w:spacing w:line="360" w:lineRule="auto"/>
        <w:ind w:left="0" w:leftChars="0" w:firstLine="0" w:firstLineChars="0"/>
        <w:rPr>
          <w:rFonts w:hint="eastAsia" w:ascii="仿宋_GB2312" w:hAnsi="仿宋_GB2312" w:eastAsia="仿宋_GB2312" w:cs="仿宋_GB2312"/>
          <w:bCs/>
          <w:color w:val="auto"/>
          <w:sz w:val="24"/>
          <w:szCs w:val="24"/>
        </w:rPr>
      </w:pPr>
      <w:r>
        <w:rPr>
          <w:rFonts w:hint="eastAsia" w:ascii="仿宋_GB2312" w:hAnsi="仿宋_GB2312" w:eastAsia="仿宋_GB2312" w:cs="仿宋_GB2312"/>
          <w:b/>
          <w:color w:val="auto"/>
          <w:sz w:val="24"/>
          <w:szCs w:val="24"/>
        </w:rPr>
        <w:t>六、付款方式：</w:t>
      </w:r>
    </w:p>
    <w:p>
      <w:pPr>
        <w:spacing w:line="360" w:lineRule="auto"/>
        <w:jc w:val="left"/>
        <w:rPr>
          <w:rFonts w:hint="eastAsia" w:ascii="仿宋_GB2312" w:hAnsi="仿宋_GB2312" w:eastAsia="仿宋_GB2312" w:cs="仿宋_GB2312"/>
          <w:b/>
          <w:color w:val="auto"/>
          <w:sz w:val="24"/>
          <w:szCs w:val="24"/>
        </w:rPr>
      </w:pPr>
      <w:r>
        <w:rPr>
          <w:rFonts w:hint="eastAsia" w:ascii="仿宋_GB2312" w:hAnsi="仿宋_GB2312" w:eastAsia="仿宋_GB2312" w:cs="仿宋_GB2312"/>
          <w:bCs/>
          <w:color w:val="auto"/>
          <w:sz w:val="24"/>
          <w:szCs w:val="24"/>
        </w:rPr>
        <w:t xml:space="preserve">   </w:t>
      </w:r>
      <w:r>
        <w:rPr>
          <w:rFonts w:hint="eastAsia" w:ascii="仿宋_GB2312" w:hAnsi="仿宋_GB2312" w:eastAsia="仿宋_GB2312" w:cs="仿宋_GB2312"/>
          <w:color w:val="auto"/>
          <w:sz w:val="24"/>
          <w:szCs w:val="24"/>
        </w:rPr>
        <w:t>按《浙江省财政厅关于进一步发挥政府采购政策功能全力推动经济稳进提质的通知》（浙财采监〔2022〕3号）文件要求执行，具体付款方式由双方协商后在合同中明确。</w:t>
      </w:r>
    </w:p>
    <w:p>
      <w:pPr>
        <w:bidi w:val="0"/>
        <w:ind w:firstLine="299" w:firstLineChars="0"/>
        <w:jc w:val="left"/>
        <w:rPr>
          <w:rFonts w:hint="eastAsia" w:ascii="Times New Roman" w:hAnsi="Times New Roman" w:eastAsia="宋体" w:cs="Times New Roman"/>
          <w:kern w:val="2"/>
          <w:sz w:val="21"/>
          <w:szCs w:val="24"/>
          <w:lang w:val="en-US" w:eastAsia="zh-CN" w:bidi="ar-SA"/>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pPr>
        <w:kinsoku/>
        <w:wordWrap w:val="0"/>
        <w:overflowPunct/>
        <w:topLinePunct w:val="0"/>
        <w:bidi w:val="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kinsoku/>
        <w:wordWrap w:val="0"/>
        <w:overflowPunct/>
        <w:topLinePunct w:val="0"/>
        <w:bidi w:val="0"/>
        <w:spacing w:line="480" w:lineRule="auto"/>
        <w:jc w:val="center"/>
        <w:rPr>
          <w:rFonts w:hint="eastAsia" w:ascii="仿宋" w:hAnsi="仿宋" w:eastAsia="仿宋" w:cs="仿宋"/>
          <w:b/>
          <w:color w:val="auto"/>
          <w:sz w:val="28"/>
          <w:szCs w:val="28"/>
          <w:highlight w:val="none"/>
        </w:rPr>
      </w:pPr>
    </w:p>
    <w:p>
      <w:pPr>
        <w:kinsoku/>
        <w:wordWrap w:val="0"/>
        <w:overflowPunct/>
        <w:topLinePunct w:val="0"/>
        <w:bidi w:val="0"/>
        <w:spacing w:line="480" w:lineRule="auto"/>
        <w:jc w:val="center"/>
        <w:rPr>
          <w:rFonts w:hint="eastAsia" w:ascii="仿宋" w:hAnsi="仿宋" w:eastAsia="仿宋" w:cs="仿宋"/>
          <w:b/>
          <w:color w:val="auto"/>
          <w:sz w:val="24"/>
          <w:highlight w:val="none"/>
        </w:rPr>
      </w:pPr>
    </w:p>
    <w:p>
      <w:pPr>
        <w:kinsoku/>
        <w:wordWrap w:val="0"/>
        <w:overflowPunct/>
        <w:topLinePunct w:val="0"/>
        <w:bidi w:val="0"/>
        <w:spacing w:line="480" w:lineRule="auto"/>
        <w:jc w:val="center"/>
        <w:rPr>
          <w:rFonts w:hint="eastAsia" w:ascii="仿宋" w:hAnsi="仿宋" w:eastAsia="仿宋" w:cs="仿宋"/>
          <w:b/>
          <w:color w:val="auto"/>
          <w:sz w:val="24"/>
          <w:highlight w:val="none"/>
        </w:rPr>
      </w:pPr>
    </w:p>
    <w:p>
      <w:pPr>
        <w:kinsoku/>
        <w:wordWrap w:val="0"/>
        <w:overflowPunct/>
        <w:topLinePunct w:val="0"/>
        <w:bidi w:val="0"/>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kinsoku/>
        <w:wordWrap w:val="0"/>
        <w:overflowPunct/>
        <w:topLinePunct w:val="0"/>
        <w:bidi w:val="0"/>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pPr>
        <w:pStyle w:val="700"/>
        <w:kinsoku/>
        <w:wordWrap w:val="0"/>
        <w:overflowPunct/>
        <w:topLinePunct w:val="0"/>
        <w:bidi w:val="0"/>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pPr>
        <w:kinsoku/>
        <w:wordWrap w:val="0"/>
        <w:overflowPunct/>
        <w:topLinePunct w:val="0"/>
        <w:bidi w:val="0"/>
        <w:spacing w:before="120" w:line="22" w:lineRule="atLeast"/>
        <w:rPr>
          <w:rFonts w:hint="eastAsia" w:ascii="仿宋" w:hAnsi="仿宋" w:eastAsia="仿宋" w:cs="仿宋"/>
          <w:color w:val="auto"/>
          <w:sz w:val="24"/>
          <w:highlight w:val="none"/>
        </w:rPr>
      </w:pPr>
    </w:p>
    <w:p>
      <w:pPr>
        <w:pStyle w:val="5"/>
        <w:kinsoku/>
        <w:wordWrap w:val="0"/>
        <w:overflowPunct/>
        <w:topLinePunct w:val="0"/>
        <w:bidi w:val="0"/>
        <w:rPr>
          <w:rFonts w:hint="eastAsia" w:ascii="仿宋" w:hAnsi="仿宋" w:eastAsia="仿宋" w:cs="仿宋"/>
          <w:color w:val="auto"/>
          <w:highlight w:val="none"/>
        </w:rPr>
      </w:pPr>
    </w:p>
    <w:p>
      <w:pPr>
        <w:kinsoku/>
        <w:wordWrap w:val="0"/>
        <w:overflowPunct/>
        <w:topLinePunct w:val="0"/>
        <w:bidi w:val="0"/>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pPr>
        <w:pStyle w:val="597"/>
        <w:kinsoku/>
        <w:wordWrap w:val="0"/>
        <w:overflowPunct/>
        <w:topLinePunct w:val="0"/>
        <w:bidi w:val="0"/>
        <w:spacing w:before="120" w:line="22" w:lineRule="atLeast"/>
        <w:rPr>
          <w:rFonts w:hint="eastAsia" w:ascii="仿宋" w:hAnsi="仿宋" w:eastAsia="仿宋" w:cs="仿宋"/>
          <w:color w:val="auto"/>
          <w:szCs w:val="24"/>
          <w:highlight w:val="none"/>
        </w:rPr>
      </w:pPr>
    </w:p>
    <w:p>
      <w:pPr>
        <w:pStyle w:val="597"/>
        <w:kinsoku/>
        <w:wordWrap w:val="0"/>
        <w:overflowPunct/>
        <w:topLinePunct w:val="0"/>
        <w:bidi w:val="0"/>
        <w:spacing w:before="120" w:line="22" w:lineRule="atLeast"/>
        <w:rPr>
          <w:rFonts w:hint="eastAsia" w:ascii="仿宋" w:hAnsi="仿宋" w:eastAsia="仿宋" w:cs="仿宋"/>
          <w:color w:val="auto"/>
          <w:szCs w:val="24"/>
          <w:highlight w:val="none"/>
        </w:rPr>
      </w:pPr>
    </w:p>
    <w:p>
      <w:pPr>
        <w:kinsoku/>
        <w:wordWrap w:val="0"/>
        <w:overflowPunct/>
        <w:topLinePunct w:val="0"/>
        <w:bidi w:val="0"/>
        <w:rPr>
          <w:rFonts w:hint="eastAsia" w:ascii="仿宋" w:hAnsi="仿宋" w:eastAsia="仿宋" w:cs="仿宋"/>
          <w:color w:val="auto"/>
          <w:sz w:val="24"/>
          <w:highlight w:val="none"/>
        </w:rPr>
      </w:pPr>
    </w:p>
    <w:p>
      <w:pPr>
        <w:kinsoku/>
        <w:wordWrap w:val="0"/>
        <w:overflowPunct/>
        <w:topLinePunct w:val="0"/>
        <w:bidi w:val="0"/>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pPr>
        <w:kinsoku/>
        <w:wordWrap w:val="0"/>
        <w:overflowPunct/>
        <w:topLinePunct w:val="0"/>
        <w:bidi w:val="0"/>
        <w:spacing w:before="120" w:line="22" w:lineRule="atLeast"/>
        <w:rPr>
          <w:rFonts w:hint="eastAsia" w:ascii="仿宋" w:hAnsi="仿宋" w:eastAsia="仿宋" w:cs="仿宋"/>
          <w:color w:val="auto"/>
          <w:sz w:val="24"/>
          <w:highlight w:val="none"/>
        </w:rPr>
      </w:pPr>
    </w:p>
    <w:p>
      <w:pPr>
        <w:kinsoku/>
        <w:wordWrap w:val="0"/>
        <w:overflowPunct/>
        <w:topLinePunct w:val="0"/>
        <w:bidi w:val="0"/>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kinsoku/>
        <w:wordWrap w:val="0"/>
        <w:overflowPunct/>
        <w:topLinePunct w:val="0"/>
        <w:bidi w:val="0"/>
        <w:spacing w:before="120" w:line="22" w:lineRule="atLeast"/>
        <w:rPr>
          <w:rFonts w:hint="eastAsia" w:ascii="仿宋" w:hAnsi="仿宋" w:eastAsia="仿宋" w:cs="仿宋"/>
          <w:color w:val="auto"/>
          <w:sz w:val="24"/>
          <w:highlight w:val="none"/>
        </w:rPr>
      </w:pPr>
    </w:p>
    <w:p>
      <w:pPr>
        <w:kinsoku/>
        <w:wordWrap w:val="0"/>
        <w:overflowPunct/>
        <w:topLinePunct w:val="0"/>
        <w:bidi w:val="0"/>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kinsoku/>
        <w:wordWrap w:val="0"/>
        <w:overflowPunct/>
        <w:topLinePunct w:val="0"/>
        <w:bidi w:val="0"/>
        <w:spacing w:before="120" w:line="22" w:lineRule="atLeast"/>
        <w:rPr>
          <w:rFonts w:hint="eastAsia" w:ascii="仿宋" w:hAnsi="仿宋" w:eastAsia="仿宋" w:cs="仿宋"/>
          <w:color w:val="auto"/>
          <w:sz w:val="24"/>
          <w:highlight w:val="none"/>
        </w:rPr>
      </w:pPr>
    </w:p>
    <w:p>
      <w:pPr>
        <w:kinsoku/>
        <w:wordWrap w:val="0"/>
        <w:overflowPunct/>
        <w:topLinePunct w:val="0"/>
        <w:bidi w:val="0"/>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kinsoku/>
        <w:wordWrap w:val="0"/>
        <w:overflowPunct/>
        <w:topLinePunct w:val="0"/>
        <w:bidi w:val="0"/>
        <w:jc w:val="left"/>
        <w:rPr>
          <w:rFonts w:hint="eastAsia" w:ascii="仿宋" w:hAnsi="仿宋" w:eastAsia="仿宋" w:cs="仿宋"/>
          <w:color w:val="auto"/>
          <w:kern w:val="0"/>
          <w:sz w:val="24"/>
          <w:highlight w:val="none"/>
        </w:rPr>
        <w:sectPr>
          <w:pgSz w:w="11907" w:h="16840"/>
          <w:pgMar w:top="1474" w:right="1814" w:bottom="1474" w:left="1814" w:header="851" w:footer="851" w:gutter="0"/>
          <w:pgNumType w:fmt="decimal"/>
          <w:cols w:space="720" w:num="1"/>
        </w:sectPr>
      </w:pPr>
    </w:p>
    <w:p>
      <w:pPr>
        <w:kinsoku/>
        <w:wordWrap w:val="0"/>
        <w:overflowPunct/>
        <w:topLinePunct w:val="0"/>
        <w:bidi w:val="0"/>
        <w:rPr>
          <w:rFonts w:hint="eastAsia" w:ascii="仿宋" w:hAnsi="仿宋" w:eastAsia="仿宋" w:cs="仿宋"/>
          <w:b/>
          <w:color w:val="auto"/>
          <w:sz w:val="24"/>
          <w:highlight w:val="none"/>
        </w:rPr>
      </w:pP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绍兴市第八中学</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绍兴市第八中学物业管理服务项目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绍兴市第八中学</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39" w:name="_Toc28855"/>
      <w:bookmarkStart w:id="40" w:name="_Toc22967"/>
      <w:bookmarkStart w:id="41" w:name="_Toc15367"/>
      <w:bookmarkStart w:id="42" w:name="_Toc19273"/>
      <w:bookmarkStart w:id="43" w:name="_Toc20421"/>
      <w:r>
        <w:rPr>
          <w:rFonts w:hint="eastAsia" w:ascii="仿宋" w:hAnsi="仿宋" w:eastAsia="仿宋" w:cs="仿宋"/>
          <w:b/>
          <w:color w:val="auto"/>
          <w:sz w:val="24"/>
          <w:highlight w:val="none"/>
        </w:rPr>
        <w:t>1.1 合同组成部分</w:t>
      </w:r>
      <w:bookmarkEnd w:id="39"/>
      <w:bookmarkEnd w:id="40"/>
      <w:bookmarkEnd w:id="41"/>
      <w:bookmarkEnd w:id="42"/>
      <w:bookmarkEnd w:id="43"/>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4" w:name="_Toc18585"/>
      <w:bookmarkStart w:id="45" w:name="_Toc6311"/>
      <w:bookmarkStart w:id="46" w:name="_Toc22185"/>
      <w:bookmarkStart w:id="47" w:name="_Toc2918"/>
      <w:bookmarkStart w:id="48" w:name="_Toc6773"/>
      <w:r>
        <w:rPr>
          <w:rFonts w:hint="eastAsia" w:ascii="仿宋" w:hAnsi="仿宋" w:eastAsia="仿宋" w:cs="仿宋"/>
          <w:b/>
          <w:color w:val="auto"/>
          <w:sz w:val="24"/>
          <w:highlight w:val="none"/>
        </w:rPr>
        <w:t>1.2 标的</w:t>
      </w:r>
      <w:bookmarkEnd w:id="44"/>
      <w:bookmarkEnd w:id="45"/>
      <w:bookmarkEnd w:id="46"/>
      <w:bookmarkEnd w:id="47"/>
      <w:bookmarkEnd w:id="48"/>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pPr>
        <w:pageBreakBefore w:val="0"/>
        <w:kinsoku/>
        <w:wordWrap w:val="0"/>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49" w:name="_Toc21124"/>
      <w:bookmarkStart w:id="50" w:name="_Toc1386"/>
      <w:bookmarkStart w:id="51" w:name="_Toc5635"/>
      <w:bookmarkStart w:id="52" w:name="_Toc13918"/>
      <w:bookmarkStart w:id="53" w:name="_Toc4929"/>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9"/>
      <w:bookmarkEnd w:id="50"/>
      <w:bookmarkEnd w:id="51"/>
      <w:bookmarkEnd w:id="52"/>
      <w:bookmarkEnd w:id="53"/>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4" w:name="_Toc14993"/>
      <w:bookmarkStart w:id="55" w:name="_Toc3654"/>
      <w:bookmarkStart w:id="56" w:name="_Toc30506"/>
      <w:bookmarkStart w:id="57" w:name="_Toc30158"/>
      <w:bookmarkStart w:id="58" w:name="_Toc2691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pStyle w:val="5"/>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4"/>
    <w:bookmarkEnd w:id="55"/>
    <w:bookmarkEnd w:id="56"/>
    <w:bookmarkEnd w:id="57"/>
    <w:bookmarkEnd w:id="58"/>
    <w:p>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59" w:name="_Toc1814"/>
      <w:bookmarkStart w:id="60" w:name="_Toc10340"/>
      <w:bookmarkStart w:id="61" w:name="_Toc22618"/>
      <w:bookmarkStart w:id="62" w:name="_Toc11108"/>
      <w:bookmarkStart w:id="63" w:name="_Toc3625"/>
      <w:bookmarkStart w:id="64" w:name="_Toc8772"/>
      <w:bookmarkStart w:id="65" w:name="_Toc4760"/>
      <w:bookmarkStart w:id="66" w:name="_Toc31421"/>
      <w:r>
        <w:rPr>
          <w:rFonts w:hint="eastAsia" w:ascii="仿宋" w:hAnsi="仿宋" w:eastAsia="仿宋" w:cs="仿宋"/>
          <w:b/>
          <w:color w:val="auto"/>
          <w:highlight w:val="none"/>
        </w:rPr>
        <w:t>1.4履约保证金</w:t>
      </w:r>
    </w:p>
    <w:p>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5"/>
        <w:pageBreakBefore w:val="0"/>
        <w:tabs>
          <w:tab w:val="left" w:pos="0"/>
        </w:tabs>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9"/>
      <w:bookmarkEnd w:id="60"/>
      <w:bookmarkEnd w:id="61"/>
      <w:r>
        <w:rPr>
          <w:rFonts w:hint="eastAsia" w:ascii="仿宋" w:hAnsi="仿宋" w:eastAsia="仿宋" w:cs="仿宋"/>
          <w:b/>
          <w:color w:val="auto"/>
          <w:sz w:val="24"/>
          <w:highlight w:val="none"/>
        </w:rPr>
        <w:t>预付款</w:t>
      </w:r>
    </w:p>
    <w:p>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2"/>
      <w:bookmarkEnd w:id="63"/>
      <w:bookmarkEnd w:id="64"/>
      <w:bookmarkEnd w:id="65"/>
      <w:bookmarkEnd w:id="66"/>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7" w:name="_Toc2375"/>
      <w:bookmarkStart w:id="68" w:name="_Toc3079"/>
      <w:bookmarkStart w:id="69" w:name="_Toc5698"/>
      <w:bookmarkStart w:id="70" w:name="_Toc24662"/>
      <w:bookmarkStart w:id="71" w:name="_Toc8586"/>
      <w:r>
        <w:rPr>
          <w:rFonts w:hint="eastAsia" w:ascii="仿宋" w:hAnsi="仿宋" w:eastAsia="仿宋" w:cs="仿宋"/>
          <w:bCs/>
          <w:color w:val="auto"/>
          <w:sz w:val="24"/>
          <w:highlight w:val="none"/>
        </w:rPr>
        <w:t>1.7.4若服务涉及货物的，则货物的：</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7"/>
      <w:bookmarkEnd w:id="68"/>
      <w:bookmarkEnd w:id="69"/>
      <w:bookmarkEnd w:id="70"/>
      <w:bookmarkEnd w:id="71"/>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pPr>
        <w:pStyle w:val="5"/>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2" w:name="_Toc26807"/>
      <w:bookmarkStart w:id="73" w:name="_Toc32454"/>
      <w:bookmarkStart w:id="74" w:name="_Toc9497"/>
      <w:bookmarkStart w:id="75" w:name="_Toc30329"/>
      <w:bookmarkStart w:id="76" w:name="_Toc18683"/>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2"/>
    <w:bookmarkEnd w:id="73"/>
    <w:bookmarkEnd w:id="74"/>
    <w:bookmarkEnd w:id="75"/>
    <w:bookmarkEnd w:id="76"/>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7" w:name="_Toc15583"/>
      <w:bookmarkStart w:id="78" w:name="_Toc28375"/>
      <w:bookmarkStart w:id="79" w:name="_Toc16021"/>
      <w:r>
        <w:rPr>
          <w:rFonts w:hint="eastAsia" w:ascii="仿宋" w:hAnsi="仿宋" w:eastAsia="仿宋" w:cs="仿宋"/>
          <w:b/>
          <w:color w:val="auto"/>
          <w:sz w:val="24"/>
          <w:highlight w:val="none"/>
        </w:rPr>
        <w:t>1.9合同争议的解决</w:t>
      </w:r>
      <w:bookmarkEnd w:id="77"/>
      <w:bookmarkEnd w:id="78"/>
      <w:bookmarkEnd w:id="79"/>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0" w:name="_Toc7245"/>
      <w:bookmarkStart w:id="81" w:name="_Toc15322"/>
      <w:bookmarkStart w:id="82" w:name="_Toc11173"/>
      <w:r>
        <w:rPr>
          <w:rFonts w:hint="eastAsia" w:ascii="仿宋" w:hAnsi="仿宋" w:eastAsia="仿宋" w:cs="仿宋"/>
          <w:b/>
          <w:color w:val="auto"/>
          <w:sz w:val="24"/>
          <w:highlight w:val="none"/>
        </w:rPr>
        <w:t>2.0 合同生效</w:t>
      </w:r>
      <w:bookmarkEnd w:id="80"/>
      <w:bookmarkEnd w:id="81"/>
      <w:bookmarkEnd w:id="82"/>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pPr>
        <w:widowControl/>
        <w:kinsoku/>
        <w:wordWrap w:val="0"/>
        <w:overflowPunct/>
        <w:topLinePunct w:val="0"/>
        <w:bidi w:val="0"/>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pPr>
        <w:pStyle w:val="700"/>
        <w:kinsoku/>
        <w:wordWrap w:val="0"/>
        <w:overflowPunct/>
        <w:topLinePunct w:val="0"/>
        <w:bidi w:val="0"/>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83" w:name="_Toc5228"/>
      <w:bookmarkStart w:id="84" w:name="_Toc25079"/>
      <w:bookmarkStart w:id="85" w:name="_Toc14021"/>
      <w:bookmarkStart w:id="86" w:name="_Toc31297"/>
      <w:bookmarkStart w:id="87" w:name="_Toc19680"/>
      <w:r>
        <w:rPr>
          <w:rFonts w:hint="eastAsia" w:ascii="仿宋" w:hAnsi="仿宋" w:eastAsia="仿宋" w:cs="仿宋"/>
          <w:b/>
          <w:color w:val="auto"/>
          <w:sz w:val="24"/>
          <w:highlight w:val="none"/>
        </w:rPr>
        <w:t>2.1 定义</w:t>
      </w:r>
      <w:bookmarkEnd w:id="83"/>
      <w:bookmarkEnd w:id="84"/>
      <w:bookmarkEnd w:id="85"/>
      <w:bookmarkEnd w:id="86"/>
      <w:bookmarkEnd w:id="87"/>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88" w:name="_Toc3769"/>
      <w:bookmarkStart w:id="89" w:name="_Toc31402"/>
      <w:bookmarkStart w:id="90" w:name="_Toc23289"/>
      <w:bookmarkStart w:id="91" w:name="_Toc16752"/>
      <w:bookmarkStart w:id="92" w:name="_Toc19539"/>
      <w:r>
        <w:rPr>
          <w:rFonts w:hint="eastAsia" w:ascii="仿宋" w:hAnsi="仿宋" w:eastAsia="仿宋" w:cs="仿宋"/>
          <w:b/>
          <w:color w:val="auto"/>
          <w:sz w:val="24"/>
          <w:highlight w:val="none"/>
        </w:rPr>
        <w:t>2.2 技术规范</w:t>
      </w:r>
      <w:bookmarkEnd w:id="88"/>
      <w:bookmarkEnd w:id="89"/>
      <w:bookmarkEnd w:id="90"/>
      <w:bookmarkEnd w:id="91"/>
      <w:bookmarkEnd w:id="92"/>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93" w:name="_Toc27945"/>
      <w:bookmarkStart w:id="94" w:name="_Toc4133"/>
      <w:bookmarkStart w:id="95" w:name="_Toc9161"/>
      <w:bookmarkStart w:id="96" w:name="_Toc13673"/>
      <w:bookmarkStart w:id="97" w:name="_Toc12412"/>
      <w:r>
        <w:rPr>
          <w:rFonts w:hint="eastAsia" w:ascii="仿宋" w:hAnsi="仿宋" w:eastAsia="仿宋" w:cs="仿宋"/>
          <w:b/>
          <w:color w:val="auto"/>
          <w:sz w:val="24"/>
          <w:highlight w:val="none"/>
        </w:rPr>
        <w:t>2.3 知识产权</w:t>
      </w:r>
      <w:bookmarkEnd w:id="93"/>
      <w:bookmarkEnd w:id="94"/>
      <w:bookmarkEnd w:id="95"/>
      <w:bookmarkEnd w:id="96"/>
      <w:bookmarkEnd w:id="97"/>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kinsoku/>
        <w:wordWrap w:val="0"/>
        <w:overflowPunct/>
        <w:topLinePunct w:val="0"/>
        <w:bidi w:val="0"/>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98" w:name="_Toc32670"/>
      <w:bookmarkStart w:id="99" w:name="_Toc15447"/>
      <w:bookmarkStart w:id="100" w:name="_Toc26555"/>
      <w:bookmarkStart w:id="101" w:name="_Toc22011"/>
      <w:bookmarkStart w:id="102" w:name="_Toc31233"/>
      <w:r>
        <w:rPr>
          <w:rFonts w:hint="eastAsia" w:ascii="仿宋" w:hAnsi="仿宋" w:eastAsia="仿宋" w:cs="仿宋"/>
          <w:b/>
          <w:color w:val="auto"/>
          <w:sz w:val="24"/>
          <w:highlight w:val="none"/>
        </w:rPr>
        <w:t>2.5 结算方式和付款条件</w:t>
      </w:r>
      <w:bookmarkEnd w:id="98"/>
      <w:bookmarkEnd w:id="99"/>
      <w:bookmarkEnd w:id="100"/>
      <w:bookmarkEnd w:id="101"/>
      <w:bookmarkEnd w:id="102"/>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03" w:name="_Toc13467"/>
      <w:bookmarkStart w:id="104" w:name="_Toc16163"/>
      <w:bookmarkStart w:id="105" w:name="_Toc18990"/>
      <w:bookmarkStart w:id="106" w:name="_Toc30507"/>
      <w:bookmarkStart w:id="107" w:name="_Toc13154"/>
      <w:r>
        <w:rPr>
          <w:rFonts w:hint="eastAsia" w:ascii="仿宋" w:hAnsi="仿宋" w:eastAsia="仿宋" w:cs="仿宋"/>
          <w:b/>
          <w:color w:val="auto"/>
          <w:sz w:val="24"/>
          <w:highlight w:val="none"/>
        </w:rPr>
        <w:t>2.6 技术资料和保密义务</w:t>
      </w:r>
      <w:bookmarkEnd w:id="103"/>
      <w:bookmarkEnd w:id="104"/>
      <w:bookmarkEnd w:id="105"/>
      <w:bookmarkEnd w:id="106"/>
      <w:bookmarkEnd w:id="107"/>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08" w:name="_Toc19069"/>
      <w:r>
        <w:rPr>
          <w:rFonts w:hint="eastAsia" w:ascii="仿宋" w:hAnsi="仿宋" w:eastAsia="仿宋" w:cs="仿宋"/>
          <w:b/>
          <w:color w:val="auto"/>
          <w:sz w:val="24"/>
          <w:highlight w:val="none"/>
        </w:rPr>
        <w:t>2.7 质量保证</w:t>
      </w:r>
      <w:bookmarkEnd w:id="108"/>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09" w:name="_Toc22267"/>
      <w:r>
        <w:rPr>
          <w:rFonts w:hint="eastAsia" w:ascii="仿宋" w:hAnsi="仿宋" w:eastAsia="仿宋" w:cs="仿宋"/>
          <w:b/>
          <w:color w:val="auto"/>
          <w:sz w:val="24"/>
          <w:highlight w:val="none"/>
        </w:rPr>
        <w:t>2.8 延迟履行</w:t>
      </w:r>
      <w:bookmarkEnd w:id="109"/>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10" w:name="_Toc10611"/>
      <w:r>
        <w:rPr>
          <w:rFonts w:hint="eastAsia" w:ascii="仿宋" w:hAnsi="仿宋" w:eastAsia="仿宋" w:cs="仿宋"/>
          <w:b/>
          <w:color w:val="auto"/>
          <w:sz w:val="24"/>
          <w:highlight w:val="none"/>
        </w:rPr>
        <w:t>2.9 合同变更</w:t>
      </w:r>
      <w:bookmarkEnd w:id="110"/>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11" w:name="_Toc42"/>
      <w:bookmarkStart w:id="112" w:name="_Toc10663"/>
      <w:bookmarkStart w:id="113" w:name="_Toc26689"/>
      <w:bookmarkStart w:id="114" w:name="_Toc23368"/>
      <w:bookmarkStart w:id="115" w:name="_Toc21830"/>
      <w:r>
        <w:rPr>
          <w:rFonts w:hint="eastAsia" w:ascii="仿宋" w:hAnsi="仿宋" w:eastAsia="仿宋" w:cs="仿宋"/>
          <w:b/>
          <w:color w:val="auto"/>
          <w:sz w:val="24"/>
          <w:highlight w:val="none"/>
        </w:rPr>
        <w:t>2.10 合同转让和分包</w:t>
      </w:r>
      <w:bookmarkEnd w:id="111"/>
      <w:bookmarkEnd w:id="112"/>
      <w:bookmarkEnd w:id="113"/>
      <w:bookmarkEnd w:id="114"/>
      <w:bookmarkEnd w:id="115"/>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16" w:name="_Toc32494"/>
      <w:bookmarkStart w:id="117" w:name="_Toc4720"/>
      <w:bookmarkStart w:id="118" w:name="_Toc25571"/>
      <w:bookmarkStart w:id="119" w:name="_Toc14371"/>
      <w:bookmarkStart w:id="120" w:name="_Toc26633"/>
      <w:r>
        <w:rPr>
          <w:rFonts w:hint="eastAsia" w:ascii="仿宋" w:hAnsi="仿宋" w:eastAsia="仿宋" w:cs="仿宋"/>
          <w:b/>
          <w:color w:val="auto"/>
          <w:sz w:val="24"/>
          <w:highlight w:val="none"/>
        </w:rPr>
        <w:t>2.11 不可抗力</w:t>
      </w:r>
      <w:bookmarkEnd w:id="116"/>
      <w:bookmarkEnd w:id="117"/>
      <w:bookmarkEnd w:id="118"/>
      <w:bookmarkEnd w:id="119"/>
      <w:bookmarkEnd w:id="120"/>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21" w:name="_Toc24465"/>
      <w:bookmarkStart w:id="122" w:name="_Toc25783"/>
      <w:bookmarkStart w:id="123" w:name="_Toc3638"/>
      <w:bookmarkStart w:id="124" w:name="_Toc14115"/>
      <w:bookmarkStart w:id="125" w:name="_Toc23854"/>
      <w:r>
        <w:rPr>
          <w:rFonts w:hint="eastAsia" w:ascii="仿宋" w:hAnsi="仿宋" w:eastAsia="仿宋" w:cs="仿宋"/>
          <w:b/>
          <w:color w:val="auto"/>
          <w:sz w:val="24"/>
          <w:highlight w:val="none"/>
        </w:rPr>
        <w:t>2.12 税费</w:t>
      </w:r>
      <w:bookmarkEnd w:id="121"/>
      <w:bookmarkEnd w:id="122"/>
      <w:bookmarkEnd w:id="123"/>
      <w:bookmarkEnd w:id="124"/>
      <w:bookmarkEnd w:id="125"/>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26" w:name="_Toc26883"/>
      <w:bookmarkStart w:id="127" w:name="_Toc25525"/>
      <w:bookmarkStart w:id="128" w:name="_Toc7315"/>
      <w:bookmarkStart w:id="129" w:name="_Toc30105"/>
      <w:bookmarkStart w:id="130" w:name="_Toc14814"/>
      <w:r>
        <w:rPr>
          <w:rFonts w:hint="eastAsia" w:ascii="仿宋" w:hAnsi="仿宋" w:eastAsia="仿宋" w:cs="仿宋"/>
          <w:b/>
          <w:color w:val="auto"/>
          <w:sz w:val="24"/>
          <w:highlight w:val="none"/>
        </w:rPr>
        <w:t>2.13 乙方破产</w:t>
      </w:r>
      <w:bookmarkEnd w:id="126"/>
      <w:bookmarkEnd w:id="127"/>
      <w:bookmarkEnd w:id="128"/>
      <w:bookmarkEnd w:id="129"/>
      <w:bookmarkEnd w:id="130"/>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31" w:name="_Toc1123"/>
      <w:bookmarkStart w:id="132" w:name="_Toc23323"/>
      <w:bookmarkStart w:id="133" w:name="_Toc2016"/>
      <w:r>
        <w:rPr>
          <w:rFonts w:hint="eastAsia" w:ascii="仿宋" w:hAnsi="仿宋" w:eastAsia="仿宋" w:cs="仿宋"/>
          <w:b/>
          <w:color w:val="auto"/>
          <w:sz w:val="24"/>
          <w:highlight w:val="none"/>
        </w:rPr>
        <w:t>2.14 合同中止、终止</w:t>
      </w:r>
      <w:bookmarkEnd w:id="131"/>
      <w:bookmarkEnd w:id="132"/>
      <w:bookmarkEnd w:id="133"/>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34" w:name="_Toc1969"/>
      <w:bookmarkStart w:id="135" w:name="_Toc14525"/>
      <w:bookmarkStart w:id="136" w:name="_Toc17363"/>
      <w:r>
        <w:rPr>
          <w:rFonts w:hint="eastAsia" w:ascii="仿宋" w:hAnsi="仿宋" w:eastAsia="仿宋" w:cs="仿宋"/>
          <w:b/>
          <w:color w:val="auto"/>
          <w:sz w:val="24"/>
          <w:highlight w:val="none"/>
        </w:rPr>
        <w:t>2.15 检验和验收</w:t>
      </w:r>
      <w:bookmarkEnd w:id="134"/>
      <w:bookmarkEnd w:id="135"/>
      <w:bookmarkEnd w:id="136"/>
    </w:p>
    <w:p>
      <w:pPr>
        <w:tabs>
          <w:tab w:val="left" w:pos="360"/>
          <w:tab w:val="left" w:pos="540"/>
          <w:tab w:val="left" w:pos="1080"/>
        </w:tabs>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pPr>
        <w:tabs>
          <w:tab w:val="left" w:pos="360"/>
          <w:tab w:val="left" w:pos="540"/>
          <w:tab w:val="left" w:pos="1080"/>
        </w:tabs>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37" w:name="_Toc9808"/>
      <w:bookmarkStart w:id="138" w:name="_Toc2308"/>
      <w:bookmarkStart w:id="139" w:name="_Toc25198"/>
      <w:bookmarkStart w:id="140" w:name="_Toc31892"/>
      <w:bookmarkStart w:id="141" w:name="_Toc12666"/>
      <w:r>
        <w:rPr>
          <w:rFonts w:hint="eastAsia" w:ascii="仿宋" w:hAnsi="仿宋" w:eastAsia="仿宋" w:cs="仿宋"/>
          <w:b/>
          <w:color w:val="auto"/>
          <w:sz w:val="24"/>
          <w:highlight w:val="none"/>
        </w:rPr>
        <w:t>2.16 通知和送达</w:t>
      </w:r>
      <w:bookmarkEnd w:id="137"/>
      <w:bookmarkEnd w:id="138"/>
      <w:bookmarkEnd w:id="139"/>
      <w:bookmarkEnd w:id="140"/>
      <w:bookmarkEnd w:id="141"/>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bookmarkStart w:id="142" w:name="_Toc18401"/>
      <w:bookmarkStart w:id="143" w:name="_Toc27674"/>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2"/>
      <w:bookmarkEnd w:id="143"/>
    </w:p>
    <w:p>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44" w:name="_Toc28906"/>
      <w:bookmarkStart w:id="145" w:name="_Toc5063"/>
      <w:bookmarkStart w:id="146" w:name="_Toc12254"/>
      <w:bookmarkStart w:id="147" w:name="_Toc20808"/>
      <w:bookmarkStart w:id="148" w:name="_Toc27644"/>
      <w:r>
        <w:rPr>
          <w:rFonts w:hint="eastAsia" w:ascii="仿宋" w:hAnsi="仿宋" w:eastAsia="仿宋" w:cs="仿宋"/>
          <w:b/>
          <w:color w:val="auto"/>
          <w:sz w:val="24"/>
          <w:highlight w:val="none"/>
        </w:rPr>
        <w:t>2.17 合同使用的文字和适用的法律</w:t>
      </w:r>
      <w:bookmarkEnd w:id="144"/>
      <w:bookmarkEnd w:id="145"/>
      <w:bookmarkEnd w:id="146"/>
      <w:bookmarkEnd w:id="147"/>
      <w:bookmarkEnd w:id="148"/>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49" w:name="_Toc30599"/>
      <w:bookmarkStart w:id="150" w:name="_Toc4355"/>
      <w:bookmarkStart w:id="151" w:name="_Toc18540"/>
      <w:r>
        <w:rPr>
          <w:rFonts w:hint="eastAsia" w:ascii="仿宋" w:hAnsi="仿宋" w:eastAsia="仿宋" w:cs="仿宋"/>
          <w:b/>
          <w:color w:val="auto"/>
          <w:sz w:val="24"/>
          <w:highlight w:val="none"/>
        </w:rPr>
        <w:t>2.18 计量单位</w:t>
      </w:r>
      <w:bookmarkEnd w:id="149"/>
      <w:bookmarkEnd w:id="150"/>
      <w:bookmarkEnd w:id="151"/>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kinsoku/>
        <w:wordWrap w:val="0"/>
        <w:overflowPunct/>
        <w:topLinePunct w:val="0"/>
        <w:bidi w:val="0"/>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19</w:t>
      </w:r>
      <w:r>
        <w:rPr>
          <w:rFonts w:hint="eastAsia" w:ascii="仿宋" w:hAnsi="仿宋" w:eastAsia="仿宋" w:cs="仿宋"/>
          <w:b/>
          <w:color w:val="auto"/>
          <w:sz w:val="24"/>
          <w:highlight w:val="none"/>
        </w:rPr>
        <w:t>合同份数</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keepNext w:val="0"/>
        <w:keepLines w:val="0"/>
        <w:pageBreakBefore w:val="0"/>
        <w:widowControl w:val="0"/>
        <w:kinsoku/>
        <w:wordWrap w:val="0"/>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2" w:name="_Toc331685784"/>
      <w:r>
        <w:rPr>
          <w:rFonts w:hint="eastAsia" w:ascii="仿宋" w:hAnsi="仿宋" w:eastAsia="仿宋" w:cs="仿宋"/>
          <w:b/>
          <w:color w:val="auto"/>
          <w:sz w:val="24"/>
          <w:highlight w:val="none"/>
        </w:rPr>
        <w:t xml:space="preserve"> </w:t>
      </w:r>
      <w:bookmarkEnd w:id="152"/>
      <w:r>
        <w:rPr>
          <w:rFonts w:hint="eastAsia" w:ascii="仿宋" w:hAnsi="仿宋" w:eastAsia="仿宋" w:cs="仿宋"/>
          <w:b/>
          <w:color w:val="auto"/>
          <w:kern w:val="2"/>
          <w:sz w:val="24"/>
          <w:szCs w:val="24"/>
          <w:highlight w:val="none"/>
          <w:lang w:val="en-US" w:eastAsia="zh-CN" w:bidi="ar-SA"/>
        </w:rPr>
        <w:t>第三部分  合同专用条款</w:t>
      </w:r>
    </w:p>
    <w:p>
      <w:pPr>
        <w:keepNext w:val="0"/>
        <w:keepLines w:val="0"/>
        <w:pageBreakBefore w:val="0"/>
        <w:widowControl w:val="0"/>
        <w:kinsoku/>
        <w:wordWrap w:val="0"/>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pPr>
              <w:kinsoku/>
              <w:wordWrap w:val="0"/>
              <w:overflowPunct/>
              <w:topLinePunct w:val="0"/>
              <w:bidi w:val="0"/>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pPr>
              <w:kinsoku/>
              <w:wordWrap w:val="0"/>
              <w:overflowPunct/>
              <w:topLinePunct w:val="0"/>
              <w:bidi w:val="0"/>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pPr>
              <w:kinsoku/>
              <w:wordWrap w:val="0"/>
              <w:overflowPunct/>
              <w:topLinePunct w:val="0"/>
              <w:bidi w:val="0"/>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pPr>
              <w:kinsoku/>
              <w:wordWrap w:val="0"/>
              <w:overflowPunct/>
              <w:topLinePunct w:val="0"/>
              <w:bidi w:val="0"/>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pPr>
              <w:kinsoku/>
              <w:wordWrap w:val="0"/>
              <w:overflowPunct/>
              <w:topLinePunct w:val="0"/>
              <w:bidi w:val="0"/>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pPr>
              <w:kinsoku/>
              <w:wordWrap w:val="0"/>
              <w:overflowPunct/>
              <w:topLinePunct w:val="0"/>
              <w:bidi w:val="0"/>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pPr>
              <w:kinsoku/>
              <w:wordWrap w:val="0"/>
              <w:overflowPunct/>
              <w:topLinePunct w:val="0"/>
              <w:bidi w:val="0"/>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pPr>
              <w:kinsoku/>
              <w:wordWrap w:val="0"/>
              <w:overflowPunct/>
              <w:topLinePunct w:val="0"/>
              <w:bidi w:val="0"/>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pPr>
              <w:kinsoku/>
              <w:wordWrap w:val="0"/>
              <w:overflowPunct/>
              <w:topLinePunct w:val="0"/>
              <w:bidi w:val="0"/>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pPr>
              <w:kinsoku/>
              <w:wordWrap w:val="0"/>
              <w:overflowPunct/>
              <w:topLinePunct w:val="0"/>
              <w:bidi w:val="0"/>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pPr>
              <w:kinsoku/>
              <w:wordWrap w:val="0"/>
              <w:overflowPunct/>
              <w:topLinePunct w:val="0"/>
              <w:bidi w:val="0"/>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pPr>
              <w:kinsoku/>
              <w:wordWrap w:val="0"/>
              <w:overflowPunct/>
              <w:topLinePunct w:val="0"/>
              <w:bidi w:val="0"/>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pPr>
              <w:kinsoku/>
              <w:wordWrap w:val="0"/>
              <w:overflowPunct/>
              <w:topLinePunct w:val="0"/>
              <w:bidi w:val="0"/>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pPr>
              <w:kinsoku/>
              <w:wordWrap w:val="0"/>
              <w:overflowPunct/>
              <w:topLinePunct w:val="0"/>
              <w:bidi w:val="0"/>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pPr>
              <w:kinsoku/>
              <w:wordWrap w:val="0"/>
              <w:overflowPunct/>
              <w:topLinePunct w:val="0"/>
              <w:bidi w:val="0"/>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pPr>
              <w:kinsoku/>
              <w:wordWrap w:val="0"/>
              <w:overflowPunct/>
              <w:topLinePunct w:val="0"/>
              <w:bidi w:val="0"/>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pPr>
              <w:kinsoku/>
              <w:wordWrap w:val="0"/>
              <w:overflowPunct/>
              <w:topLinePunct w:val="0"/>
              <w:bidi w:val="0"/>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pPr>
              <w:kinsoku/>
              <w:wordWrap w:val="0"/>
              <w:overflowPunct/>
              <w:topLinePunct w:val="0"/>
              <w:bidi w:val="0"/>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pPr>
              <w:kinsoku/>
              <w:wordWrap w:val="0"/>
              <w:overflowPunct/>
              <w:topLinePunct w:val="0"/>
              <w:bidi w:val="0"/>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kinsoku/>
              <w:wordWrap w:val="0"/>
              <w:overflowPunct/>
              <w:topLinePunct w:val="0"/>
              <w:bidi w:val="0"/>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19</w:t>
            </w:r>
          </w:p>
        </w:tc>
        <w:tc>
          <w:tcPr>
            <w:tcW w:w="8149" w:type="dxa"/>
          </w:tcPr>
          <w:p>
            <w:pPr>
              <w:kinsoku/>
              <w:wordWrap w:val="0"/>
              <w:overflowPunct/>
              <w:topLinePunct w:val="0"/>
              <w:bidi w:val="0"/>
              <w:spacing w:line="360" w:lineRule="auto"/>
              <w:rPr>
                <w:rFonts w:hint="eastAsia" w:ascii="仿宋" w:hAnsi="仿宋" w:eastAsia="仿宋" w:cs="仿宋"/>
                <w:color w:val="auto"/>
                <w:sz w:val="24"/>
                <w:highlight w:val="none"/>
              </w:rPr>
            </w:pPr>
          </w:p>
        </w:tc>
      </w:tr>
    </w:tbl>
    <w:p>
      <w:pPr>
        <w:kinsoku/>
        <w:wordWrap w:val="0"/>
        <w:overflowPunct/>
        <w:topLinePunct w:val="0"/>
        <w:bidi w:val="0"/>
        <w:spacing w:line="360" w:lineRule="auto"/>
        <w:ind w:left="-420" w:leftChars="-200" w:right="-420" w:rightChars="-200" w:firstLine="480" w:firstLineChars="200"/>
        <w:rPr>
          <w:rFonts w:hint="eastAsia" w:ascii="仿宋" w:hAnsi="仿宋" w:eastAsia="仿宋" w:cs="仿宋"/>
          <w:color w:val="auto"/>
          <w:sz w:val="24"/>
          <w:highlight w:val="none"/>
        </w:rPr>
      </w:pPr>
    </w:p>
    <w:p>
      <w:pPr>
        <w:kinsoku/>
        <w:wordWrap w:val="0"/>
        <w:overflowPunct/>
        <w:topLinePunct w:val="0"/>
        <w:bidi w:val="0"/>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val="0"/>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60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40 </w:t>
      </w:r>
      <w:r>
        <w:rPr>
          <w:rFonts w:hint="eastAsia" w:ascii="仿宋" w:hAnsi="仿宋" w:eastAsia="仿宋" w:cs="仿宋"/>
          <w:color w:val="auto"/>
          <w:sz w:val="24"/>
          <w:highlight w:val="none"/>
        </w:rPr>
        <w:t>分。评分依下述所列为评标打分依据，分值如下（计算分值时，按其算术平均值保留小数2位）。</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60 </w:t>
      </w:r>
      <w:r>
        <w:rPr>
          <w:rFonts w:hint="eastAsia" w:ascii="仿宋" w:hAnsi="仿宋" w:eastAsia="仿宋" w:cs="仿宋"/>
          <w:b/>
          <w:bCs/>
          <w:iCs/>
          <w:color w:val="auto"/>
          <w:sz w:val="24"/>
          <w:highlight w:val="none"/>
        </w:rPr>
        <w:t>分）</w:t>
      </w:r>
    </w:p>
    <w:tbl>
      <w:tblPr>
        <w:tblStyle w:val="62"/>
        <w:tblW w:w="9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413"/>
        <w:gridCol w:w="6416"/>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11" w:type="dxa"/>
            <w:noWrap w:val="0"/>
            <w:vAlign w:val="center"/>
          </w:tcPr>
          <w:p>
            <w:pPr>
              <w:autoSpaceDE w:val="0"/>
              <w:spacing w:line="288" w:lineRule="auto"/>
              <w:jc w:val="center"/>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sz w:val="24"/>
                <w:szCs w:val="24"/>
              </w:rPr>
              <w:t>序号</w:t>
            </w:r>
          </w:p>
        </w:tc>
        <w:tc>
          <w:tcPr>
            <w:tcW w:w="1413" w:type="dxa"/>
            <w:noWrap w:val="0"/>
            <w:vAlign w:val="center"/>
          </w:tcPr>
          <w:p>
            <w:pPr>
              <w:autoSpaceDE w:val="0"/>
              <w:spacing w:line="288" w:lineRule="auto"/>
              <w:jc w:val="center"/>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sz w:val="24"/>
                <w:szCs w:val="24"/>
              </w:rPr>
              <w:t>评分</w:t>
            </w:r>
            <w:r>
              <w:rPr>
                <w:rFonts w:hint="eastAsia" w:ascii="仿宋_GB2312" w:hAnsi="仿宋_GB2312" w:eastAsia="仿宋_GB2312" w:cs="仿宋_GB2312"/>
                <w:b/>
                <w:bCs/>
                <w:sz w:val="24"/>
                <w:szCs w:val="24"/>
                <w:lang w:eastAsia="zh-CN"/>
              </w:rPr>
              <w:t>项</w:t>
            </w:r>
          </w:p>
        </w:tc>
        <w:tc>
          <w:tcPr>
            <w:tcW w:w="6416" w:type="dxa"/>
            <w:noWrap w:val="0"/>
            <w:vAlign w:val="center"/>
          </w:tcPr>
          <w:p>
            <w:pPr>
              <w:autoSpaceDE w:val="0"/>
              <w:spacing w:line="288" w:lineRule="auto"/>
              <w:jc w:val="center"/>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val="0"/>
                <w:color w:val="auto"/>
                <w:sz w:val="24"/>
                <w:szCs w:val="24"/>
                <w:highlight w:val="none"/>
                <w:lang w:val="en-US" w:eastAsia="zh-CN"/>
              </w:rPr>
              <w:t>评审依据及标准</w:t>
            </w:r>
          </w:p>
        </w:tc>
        <w:tc>
          <w:tcPr>
            <w:tcW w:w="786" w:type="dxa"/>
            <w:noWrap w:val="0"/>
            <w:vAlign w:val="center"/>
          </w:tcPr>
          <w:p>
            <w:pPr>
              <w:spacing w:line="440" w:lineRule="exact"/>
              <w:jc w:val="center"/>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811" w:type="dxa"/>
            <w:noWrap w:val="0"/>
            <w:vAlign w:val="center"/>
          </w:tcPr>
          <w:p>
            <w:pPr>
              <w:autoSpaceDE w:val="0"/>
              <w:spacing w:line="288" w:lineRule="auto"/>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auto"/>
                <w:sz w:val="24"/>
                <w:szCs w:val="24"/>
              </w:rPr>
              <w:t>1</w:t>
            </w:r>
          </w:p>
        </w:tc>
        <w:tc>
          <w:tcPr>
            <w:tcW w:w="1413" w:type="dxa"/>
            <w:noWrap w:val="0"/>
            <w:vAlign w:val="center"/>
          </w:tcPr>
          <w:p>
            <w:pPr>
              <w:autoSpaceDE w:val="0"/>
              <w:spacing w:line="288" w:lineRule="auto"/>
              <w:jc w:val="center"/>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color w:val="auto"/>
                <w:sz w:val="24"/>
                <w:szCs w:val="24"/>
              </w:rPr>
              <w:t>企业</w:t>
            </w:r>
            <w:r>
              <w:rPr>
                <w:rFonts w:hint="eastAsia" w:ascii="仿宋_GB2312" w:hAnsi="仿宋_GB2312" w:eastAsia="仿宋_GB2312" w:cs="仿宋_GB2312"/>
                <w:color w:val="auto"/>
                <w:sz w:val="24"/>
                <w:szCs w:val="24"/>
                <w:lang w:eastAsia="zh-CN"/>
              </w:rPr>
              <w:t>证书</w:t>
            </w:r>
          </w:p>
        </w:tc>
        <w:tc>
          <w:tcPr>
            <w:tcW w:w="6416" w:type="dxa"/>
            <w:noWrap w:val="0"/>
            <w:vAlign w:val="center"/>
          </w:tcPr>
          <w:p>
            <w:pPr>
              <w:autoSpaceDE w:val="0"/>
              <w:spacing w:line="288"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根据投标人企业证书情况进行打分，包括但不限于安全保障能力、环保节能、履约能力等方面，提供相关证书并加盖投标人公章（本项分值设置为3,2,1,0.5,0分）</w:t>
            </w:r>
          </w:p>
        </w:tc>
        <w:tc>
          <w:tcPr>
            <w:tcW w:w="786" w:type="dxa"/>
            <w:noWrap w:val="0"/>
            <w:vAlign w:val="center"/>
          </w:tcPr>
          <w:p>
            <w:pPr>
              <w:autoSpaceDE w:val="0"/>
              <w:spacing w:line="288" w:lineRule="auto"/>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auto"/>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 w:hRule="atLeast"/>
          <w:jc w:val="center"/>
        </w:trPr>
        <w:tc>
          <w:tcPr>
            <w:tcW w:w="811" w:type="dxa"/>
            <w:noWrap w:val="0"/>
            <w:vAlign w:val="center"/>
          </w:tcPr>
          <w:p>
            <w:pPr>
              <w:autoSpaceDE w:val="0"/>
              <w:spacing w:line="288" w:lineRule="auto"/>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auto"/>
                <w:sz w:val="24"/>
                <w:szCs w:val="24"/>
              </w:rPr>
              <w:t>2</w:t>
            </w:r>
          </w:p>
        </w:tc>
        <w:tc>
          <w:tcPr>
            <w:tcW w:w="1413" w:type="dxa"/>
            <w:noWrap w:val="0"/>
            <w:vAlign w:val="center"/>
          </w:tcPr>
          <w:p>
            <w:pPr>
              <w:autoSpaceDE w:val="0"/>
              <w:spacing w:line="288" w:lineRule="auto"/>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auto"/>
                <w:sz w:val="24"/>
                <w:szCs w:val="24"/>
                <w:highlight w:val="none"/>
                <w:lang w:val="en-US" w:eastAsia="zh-CN"/>
              </w:rPr>
              <w:t>业绩案例</w:t>
            </w:r>
          </w:p>
        </w:tc>
        <w:tc>
          <w:tcPr>
            <w:tcW w:w="6416" w:type="dxa"/>
            <w:noWrap w:val="0"/>
            <w:vAlign w:val="center"/>
          </w:tcPr>
          <w:p>
            <w:pPr>
              <w:autoSpaceDE w:val="0"/>
              <w:spacing w:line="288" w:lineRule="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投标人自202</w:t>
            </w:r>
            <w:r>
              <w:rPr>
                <w:rFonts w:hint="eastAsia" w:ascii="仿宋_GB2312" w:hAnsi="仿宋_GB2312" w:eastAsia="仿宋_GB2312" w:cs="仿宋_GB2312"/>
                <w:color w:val="auto"/>
                <w:sz w:val="24"/>
                <w:szCs w:val="24"/>
                <w:lang w:val="en-US" w:eastAsia="zh-CN"/>
              </w:rPr>
              <w:t>2</w:t>
            </w:r>
            <w:r>
              <w:rPr>
                <w:rFonts w:hint="eastAsia" w:ascii="仿宋_GB2312" w:hAnsi="仿宋_GB2312" w:eastAsia="仿宋_GB2312" w:cs="仿宋_GB2312"/>
                <w:color w:val="auto"/>
                <w:sz w:val="24"/>
                <w:szCs w:val="24"/>
              </w:rPr>
              <w:t>年1月1日</w:t>
            </w:r>
            <w:r>
              <w:rPr>
                <w:rFonts w:hint="eastAsia" w:ascii="仿宋_GB2312" w:hAnsi="仿宋_GB2312" w:eastAsia="仿宋_GB2312" w:cs="仿宋_GB2312"/>
                <w:color w:val="auto"/>
                <w:sz w:val="24"/>
                <w:szCs w:val="24"/>
                <w:lang w:eastAsia="zh-CN"/>
              </w:rPr>
              <w:t>以来（以合同签订时间为准）完成的同类案例</w:t>
            </w:r>
            <w:r>
              <w:rPr>
                <w:rFonts w:hint="eastAsia" w:ascii="仿宋_GB2312" w:hAnsi="仿宋_GB2312" w:eastAsia="仿宋_GB2312" w:cs="仿宋_GB2312"/>
                <w:color w:val="auto"/>
                <w:sz w:val="24"/>
                <w:szCs w:val="24"/>
              </w:rPr>
              <w:t>，每有1个得</w:t>
            </w: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color w:val="auto"/>
                <w:sz w:val="24"/>
                <w:szCs w:val="24"/>
              </w:rPr>
              <w:t>分，满分</w:t>
            </w:r>
            <w:r>
              <w:rPr>
                <w:rFonts w:hint="eastAsia" w:ascii="仿宋_GB2312" w:hAnsi="仿宋_GB2312" w:eastAsia="仿宋_GB2312" w:cs="仿宋_GB2312"/>
                <w:color w:val="auto"/>
                <w:sz w:val="24"/>
                <w:szCs w:val="24"/>
                <w:lang w:val="en-US" w:eastAsia="zh-CN"/>
              </w:rPr>
              <w:t>3</w:t>
            </w:r>
            <w:r>
              <w:rPr>
                <w:rFonts w:hint="eastAsia" w:ascii="仿宋_GB2312" w:hAnsi="仿宋_GB2312" w:eastAsia="仿宋_GB2312" w:cs="仿宋_GB2312"/>
                <w:color w:val="auto"/>
                <w:sz w:val="24"/>
                <w:szCs w:val="24"/>
              </w:rPr>
              <w:t>分。</w:t>
            </w:r>
          </w:p>
          <w:p>
            <w:pPr>
              <w:autoSpaceDE w:val="0"/>
              <w:spacing w:line="288" w:lineRule="auto"/>
              <w:rPr>
                <w:rFonts w:hint="eastAsia" w:ascii="仿宋_GB2312" w:hAnsi="仿宋_GB2312" w:eastAsia="仿宋_GB2312" w:cs="仿宋_GB2312"/>
                <w:sz w:val="24"/>
                <w:szCs w:val="24"/>
              </w:rPr>
            </w:pPr>
            <w:r>
              <w:rPr>
                <w:rFonts w:hint="eastAsia" w:ascii="仿宋_GB2312" w:hAnsi="仿宋_GB2312" w:eastAsia="仿宋_GB2312" w:cs="仿宋_GB2312"/>
                <w:b/>
                <w:bCs/>
                <w:color w:val="auto"/>
                <w:sz w:val="24"/>
                <w:szCs w:val="24"/>
              </w:rPr>
              <w:t>注：每个案例提供合同和验收报告复印件，并加盖投标人公章。</w:t>
            </w:r>
          </w:p>
        </w:tc>
        <w:tc>
          <w:tcPr>
            <w:tcW w:w="786" w:type="dxa"/>
            <w:noWrap w:val="0"/>
            <w:vAlign w:val="center"/>
          </w:tcPr>
          <w:p>
            <w:pPr>
              <w:autoSpaceDE w:val="0"/>
              <w:spacing w:line="288" w:lineRule="auto"/>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auto"/>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noWrap w:val="0"/>
            <w:vAlign w:val="center"/>
          </w:tcPr>
          <w:p>
            <w:pPr>
              <w:autoSpaceDE w:val="0"/>
              <w:spacing w:line="288" w:lineRule="auto"/>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auto"/>
                <w:sz w:val="24"/>
                <w:szCs w:val="24"/>
              </w:rPr>
              <w:t>3</w:t>
            </w:r>
          </w:p>
        </w:tc>
        <w:tc>
          <w:tcPr>
            <w:tcW w:w="1413" w:type="dxa"/>
            <w:noWrap w:val="0"/>
            <w:vAlign w:val="center"/>
          </w:tcPr>
          <w:p>
            <w:pPr>
              <w:autoSpaceDE w:val="0"/>
              <w:spacing w:line="288" w:lineRule="auto"/>
              <w:jc w:val="center"/>
              <w:rPr>
                <w:rFonts w:hint="eastAsia" w:ascii="仿宋_GB2312" w:hAnsi="仿宋_GB2312" w:eastAsia="仿宋_GB2312" w:cs="仿宋_GB2312"/>
                <w:bCs/>
                <w:iCs/>
                <w:sz w:val="24"/>
                <w:szCs w:val="24"/>
              </w:rPr>
            </w:pPr>
            <w:r>
              <w:rPr>
                <w:rFonts w:hint="eastAsia" w:ascii="仿宋_GB2312" w:hAnsi="仿宋_GB2312" w:eastAsia="仿宋_GB2312" w:cs="仿宋_GB2312"/>
                <w:color w:val="auto"/>
                <w:sz w:val="24"/>
                <w:szCs w:val="24"/>
              </w:rPr>
              <w:t>整体方案</w:t>
            </w:r>
          </w:p>
        </w:tc>
        <w:tc>
          <w:tcPr>
            <w:tcW w:w="6416" w:type="dxa"/>
            <w:noWrap w:val="0"/>
            <w:vAlign w:val="center"/>
          </w:tcPr>
          <w:p>
            <w:pPr>
              <w:pStyle w:val="79"/>
              <w:adjustRightInd/>
              <w:spacing w:line="288" w:lineRule="auto"/>
              <w:jc w:val="both"/>
              <w:rPr>
                <w:rFonts w:hint="eastAsia" w:ascii="仿宋_GB2312" w:hAnsi="仿宋_GB2312" w:eastAsia="仿宋_GB2312" w:cs="仿宋_GB2312"/>
                <w:bCs/>
                <w:iCs/>
                <w:sz w:val="24"/>
                <w:szCs w:val="24"/>
              </w:rPr>
            </w:pPr>
            <w:r>
              <w:rPr>
                <w:rFonts w:hint="eastAsia" w:ascii="仿宋_GB2312" w:hAnsi="仿宋_GB2312" w:eastAsia="仿宋_GB2312" w:cs="仿宋_GB2312"/>
                <w:color w:val="auto"/>
                <w:sz w:val="24"/>
                <w:szCs w:val="24"/>
              </w:rPr>
              <w:t>根据投标人提供的综合管理方案进行打分，包括但不限于：物业现状分析、总体管理、服务指标及措施等。(本项分值设置为5,4,3,2,1,0.5,0分)</w:t>
            </w:r>
          </w:p>
        </w:tc>
        <w:tc>
          <w:tcPr>
            <w:tcW w:w="786" w:type="dxa"/>
            <w:noWrap w:val="0"/>
            <w:vAlign w:val="center"/>
          </w:tcPr>
          <w:p>
            <w:pPr>
              <w:autoSpaceDE w:val="0"/>
              <w:spacing w:line="288" w:lineRule="auto"/>
              <w:jc w:val="center"/>
              <w:rPr>
                <w:rFonts w:hint="eastAsia" w:ascii="仿宋_GB2312" w:hAnsi="仿宋_GB2312" w:eastAsia="仿宋_GB2312" w:cs="仿宋_GB2312"/>
                <w:bCs/>
                <w:iCs/>
                <w:sz w:val="24"/>
                <w:szCs w:val="24"/>
              </w:rPr>
            </w:pPr>
            <w:r>
              <w:rPr>
                <w:rFonts w:hint="eastAsia" w:ascii="仿宋_GB2312" w:hAnsi="仿宋_GB2312" w:eastAsia="仿宋_GB2312" w:cs="仿宋_GB2312"/>
                <w:color w:val="auto"/>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811" w:type="dxa"/>
            <w:noWrap w:val="0"/>
            <w:vAlign w:val="center"/>
          </w:tcPr>
          <w:p>
            <w:pPr>
              <w:autoSpaceDE w:val="0"/>
              <w:spacing w:line="288" w:lineRule="auto"/>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auto"/>
                <w:sz w:val="24"/>
                <w:szCs w:val="24"/>
              </w:rPr>
              <w:t>4</w:t>
            </w:r>
          </w:p>
        </w:tc>
        <w:tc>
          <w:tcPr>
            <w:tcW w:w="1413" w:type="dxa"/>
            <w:noWrap w:val="0"/>
            <w:vAlign w:val="center"/>
          </w:tcPr>
          <w:p>
            <w:pPr>
              <w:autoSpaceDE w:val="0"/>
              <w:spacing w:line="288" w:lineRule="auto"/>
              <w:jc w:val="center"/>
              <w:rPr>
                <w:rFonts w:hint="eastAsia" w:ascii="仿宋_GB2312" w:hAnsi="仿宋_GB2312" w:eastAsia="仿宋_GB2312" w:cs="仿宋_GB2312"/>
                <w:bCs/>
                <w:iCs/>
                <w:sz w:val="24"/>
                <w:szCs w:val="24"/>
              </w:rPr>
            </w:pPr>
            <w:r>
              <w:rPr>
                <w:rFonts w:hint="eastAsia" w:ascii="仿宋_GB2312" w:hAnsi="仿宋_GB2312" w:eastAsia="仿宋_GB2312" w:cs="仿宋_GB2312"/>
                <w:color w:val="auto"/>
                <w:sz w:val="24"/>
                <w:szCs w:val="24"/>
              </w:rPr>
              <w:t>应急预案</w:t>
            </w:r>
          </w:p>
        </w:tc>
        <w:tc>
          <w:tcPr>
            <w:tcW w:w="6416" w:type="dxa"/>
            <w:noWrap w:val="0"/>
            <w:vAlign w:val="center"/>
          </w:tcPr>
          <w:p>
            <w:pPr>
              <w:autoSpaceDE w:val="0"/>
              <w:spacing w:line="288" w:lineRule="auto"/>
              <w:rPr>
                <w:rFonts w:hint="eastAsia" w:ascii="仿宋_GB2312" w:hAnsi="仿宋_GB2312" w:eastAsia="仿宋_GB2312" w:cs="仿宋_GB2312"/>
                <w:bCs/>
                <w:iCs/>
                <w:sz w:val="24"/>
                <w:szCs w:val="24"/>
              </w:rPr>
            </w:pPr>
            <w:r>
              <w:rPr>
                <w:rFonts w:hint="eastAsia" w:ascii="仿宋_GB2312" w:hAnsi="仿宋_GB2312" w:eastAsia="仿宋_GB2312" w:cs="仿宋_GB2312"/>
                <w:color w:val="auto"/>
                <w:sz w:val="24"/>
                <w:szCs w:val="24"/>
              </w:rPr>
              <w:t>根据投标人提供的应急预案进行打分，包括但不限于</w:t>
            </w:r>
            <w:r>
              <w:rPr>
                <w:rFonts w:hint="eastAsia" w:ascii="仿宋_GB2312" w:hAnsi="仿宋_GB2312" w:eastAsia="仿宋_GB2312" w:cs="仿宋_GB2312"/>
                <w:color w:val="auto"/>
                <w:sz w:val="24"/>
                <w:szCs w:val="24"/>
                <w:lang w:eastAsia="zh-CN"/>
              </w:rPr>
              <w:t>突发会议、</w:t>
            </w:r>
            <w:r>
              <w:rPr>
                <w:rFonts w:hint="eastAsia" w:ascii="仿宋_GB2312" w:hAnsi="仿宋_GB2312" w:eastAsia="仿宋_GB2312" w:cs="仿宋_GB2312"/>
                <w:color w:val="auto"/>
                <w:sz w:val="24"/>
                <w:szCs w:val="24"/>
              </w:rPr>
              <w:t>台风、</w:t>
            </w:r>
            <w:r>
              <w:rPr>
                <w:rFonts w:hint="eastAsia" w:ascii="仿宋_GB2312" w:hAnsi="仿宋_GB2312" w:eastAsia="仿宋_GB2312" w:cs="仿宋_GB2312"/>
                <w:color w:val="auto"/>
                <w:sz w:val="24"/>
                <w:szCs w:val="24"/>
                <w:lang w:eastAsia="zh-CN"/>
              </w:rPr>
              <w:t>停水停电</w:t>
            </w: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lang w:eastAsia="zh-CN"/>
              </w:rPr>
              <w:t>强降雪</w:t>
            </w:r>
            <w:r>
              <w:rPr>
                <w:rFonts w:hint="eastAsia" w:ascii="仿宋_GB2312" w:hAnsi="仿宋_GB2312" w:eastAsia="仿宋_GB2312" w:cs="仿宋_GB2312"/>
                <w:color w:val="auto"/>
                <w:sz w:val="24"/>
                <w:szCs w:val="24"/>
              </w:rPr>
              <w:t>、强对流等自然灾害以及物业管理服务过程中不可预见的应急预案。(本项分值设置为5,4,3,2,1,0.5,0分)</w:t>
            </w:r>
          </w:p>
        </w:tc>
        <w:tc>
          <w:tcPr>
            <w:tcW w:w="786" w:type="dxa"/>
            <w:noWrap w:val="0"/>
            <w:vAlign w:val="center"/>
          </w:tcPr>
          <w:p>
            <w:pPr>
              <w:autoSpaceDE w:val="0"/>
              <w:spacing w:line="288" w:lineRule="auto"/>
              <w:jc w:val="center"/>
              <w:rPr>
                <w:rFonts w:hint="eastAsia" w:ascii="仿宋_GB2312" w:hAnsi="仿宋_GB2312" w:eastAsia="仿宋_GB2312" w:cs="仿宋_GB2312"/>
                <w:bCs/>
                <w:iCs/>
                <w:sz w:val="24"/>
                <w:szCs w:val="24"/>
                <w:lang w:eastAsia="zh-CN"/>
              </w:rPr>
            </w:pPr>
            <w:r>
              <w:rPr>
                <w:rFonts w:hint="eastAsia" w:ascii="仿宋_GB2312" w:hAnsi="仿宋_GB2312" w:eastAsia="仿宋_GB2312" w:cs="仿宋_GB2312"/>
                <w:color w:val="auto"/>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noWrap w:val="0"/>
            <w:vAlign w:val="center"/>
          </w:tcPr>
          <w:p>
            <w:pPr>
              <w:autoSpaceDE w:val="0"/>
              <w:spacing w:line="288" w:lineRule="auto"/>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auto"/>
                <w:sz w:val="24"/>
                <w:szCs w:val="24"/>
              </w:rPr>
              <w:t>5</w:t>
            </w:r>
          </w:p>
        </w:tc>
        <w:tc>
          <w:tcPr>
            <w:tcW w:w="1413" w:type="dxa"/>
            <w:noWrap w:val="0"/>
            <w:vAlign w:val="center"/>
          </w:tcPr>
          <w:p>
            <w:pPr>
              <w:widowControl/>
              <w:snapToGrid w:val="0"/>
              <w:spacing w:line="360" w:lineRule="exact"/>
              <w:jc w:val="center"/>
              <w:rPr>
                <w:rFonts w:hint="eastAsia" w:ascii="仿宋_GB2312" w:hAnsi="仿宋_GB2312" w:eastAsia="仿宋_GB2312" w:cs="仿宋_GB2312"/>
                <w:bCs/>
                <w:iCs/>
                <w:sz w:val="24"/>
                <w:szCs w:val="24"/>
              </w:rPr>
            </w:pPr>
            <w:r>
              <w:rPr>
                <w:rFonts w:hint="eastAsia" w:ascii="仿宋_GB2312" w:hAnsi="仿宋_GB2312" w:eastAsia="仿宋_GB2312" w:cs="仿宋_GB2312"/>
                <w:color w:val="auto"/>
                <w:sz w:val="24"/>
                <w:szCs w:val="24"/>
              </w:rPr>
              <w:t>拟派项目组人员情况</w:t>
            </w:r>
          </w:p>
        </w:tc>
        <w:tc>
          <w:tcPr>
            <w:tcW w:w="6416" w:type="dxa"/>
            <w:noWrap w:val="0"/>
            <w:vAlign w:val="center"/>
          </w:tcPr>
          <w:p>
            <w:pPr>
              <w:spacing w:line="360" w:lineRule="exact"/>
              <w:jc w:val="left"/>
              <w:rPr>
                <w:rFonts w:hint="eastAsia" w:ascii="仿宋_GB2312" w:hAnsi="仿宋_GB2312" w:eastAsia="仿宋_GB2312" w:cs="仿宋_GB2312"/>
                <w:bCs/>
                <w:iCs/>
                <w:color w:val="auto"/>
                <w:sz w:val="24"/>
                <w:szCs w:val="24"/>
              </w:rPr>
            </w:pPr>
            <w:r>
              <w:rPr>
                <w:rFonts w:hint="eastAsia" w:ascii="仿宋_GB2312" w:hAnsi="仿宋_GB2312" w:eastAsia="仿宋_GB2312" w:cs="仿宋_GB2312"/>
                <w:bCs/>
                <w:iCs/>
                <w:color w:val="auto"/>
                <w:sz w:val="24"/>
                <w:szCs w:val="24"/>
              </w:rPr>
              <w:t>一、拟派项目主管具有大专及以上学历的得1分；</w:t>
            </w:r>
          </w:p>
          <w:p>
            <w:pPr>
              <w:spacing w:line="360" w:lineRule="exact"/>
              <w:jc w:val="left"/>
              <w:rPr>
                <w:rFonts w:hint="eastAsia" w:ascii="仿宋_GB2312" w:hAnsi="仿宋_GB2312" w:eastAsia="仿宋_GB2312" w:cs="仿宋_GB2312"/>
                <w:bCs/>
                <w:iCs/>
                <w:color w:val="auto"/>
                <w:sz w:val="24"/>
                <w:szCs w:val="24"/>
              </w:rPr>
            </w:pPr>
            <w:r>
              <w:rPr>
                <w:rFonts w:hint="eastAsia" w:ascii="仿宋_GB2312" w:hAnsi="仿宋_GB2312" w:eastAsia="仿宋_GB2312" w:cs="仿宋_GB2312"/>
                <w:bCs/>
                <w:iCs/>
                <w:color w:val="auto"/>
                <w:sz w:val="24"/>
                <w:szCs w:val="24"/>
              </w:rPr>
              <w:t>二、拟派保安主管：</w:t>
            </w:r>
          </w:p>
          <w:p>
            <w:pPr>
              <w:spacing w:line="360" w:lineRule="exact"/>
              <w:jc w:val="left"/>
              <w:rPr>
                <w:rFonts w:hint="eastAsia" w:ascii="仿宋_GB2312" w:hAnsi="仿宋_GB2312" w:eastAsia="仿宋_GB2312" w:cs="仿宋_GB2312"/>
                <w:bCs/>
                <w:iCs/>
                <w:color w:val="auto"/>
                <w:sz w:val="24"/>
                <w:szCs w:val="24"/>
              </w:rPr>
            </w:pPr>
            <w:r>
              <w:rPr>
                <w:rFonts w:hint="eastAsia" w:ascii="仿宋_GB2312" w:hAnsi="仿宋_GB2312" w:eastAsia="仿宋_GB2312" w:cs="仿宋_GB2312"/>
                <w:bCs/>
                <w:iCs/>
                <w:color w:val="auto"/>
                <w:sz w:val="24"/>
                <w:szCs w:val="24"/>
              </w:rPr>
              <w:t>1.具有大专及以上学历的得1分；</w:t>
            </w:r>
          </w:p>
          <w:p>
            <w:pPr>
              <w:spacing w:line="360" w:lineRule="exact"/>
              <w:jc w:val="left"/>
              <w:rPr>
                <w:rFonts w:hint="eastAsia" w:ascii="仿宋_GB2312" w:hAnsi="仿宋_GB2312" w:eastAsia="仿宋_GB2312" w:cs="仿宋_GB2312"/>
                <w:bCs/>
                <w:iCs/>
                <w:color w:val="auto"/>
                <w:sz w:val="24"/>
                <w:szCs w:val="24"/>
              </w:rPr>
            </w:pPr>
            <w:r>
              <w:rPr>
                <w:rFonts w:hint="eastAsia" w:ascii="仿宋_GB2312" w:hAnsi="仿宋_GB2312" w:eastAsia="仿宋_GB2312" w:cs="仿宋_GB2312"/>
                <w:bCs/>
                <w:iCs/>
                <w:color w:val="auto"/>
                <w:sz w:val="24"/>
                <w:szCs w:val="24"/>
              </w:rPr>
              <w:t>2.持有人社部门颁发的保安员二级及以上证书的得1分；</w:t>
            </w:r>
          </w:p>
          <w:p>
            <w:pPr>
              <w:spacing w:line="360" w:lineRule="exact"/>
              <w:jc w:val="left"/>
              <w:rPr>
                <w:rFonts w:hint="eastAsia" w:ascii="仿宋_GB2312" w:hAnsi="仿宋_GB2312" w:eastAsia="仿宋_GB2312" w:cs="仿宋_GB2312"/>
                <w:bCs/>
                <w:iCs/>
                <w:color w:val="auto"/>
                <w:sz w:val="24"/>
                <w:szCs w:val="24"/>
              </w:rPr>
            </w:pPr>
            <w:r>
              <w:rPr>
                <w:rFonts w:hint="eastAsia" w:ascii="仿宋_GB2312" w:hAnsi="仿宋_GB2312" w:eastAsia="仿宋_GB2312" w:cs="仿宋_GB2312"/>
                <w:bCs/>
                <w:iCs/>
                <w:color w:val="auto"/>
                <w:sz w:val="24"/>
                <w:szCs w:val="24"/>
              </w:rPr>
              <w:t>3.持有人社部门颁发的建（构）筑物消防员中级及以上证书或消防设施操作员证书的得1分。</w:t>
            </w:r>
          </w:p>
          <w:p>
            <w:pPr>
              <w:spacing w:line="360" w:lineRule="exact"/>
              <w:jc w:val="left"/>
              <w:rPr>
                <w:rFonts w:hint="eastAsia" w:ascii="仿宋_GB2312" w:hAnsi="仿宋_GB2312" w:eastAsia="仿宋_GB2312" w:cs="仿宋_GB2312"/>
                <w:bCs/>
                <w:iCs/>
                <w:color w:val="auto"/>
                <w:sz w:val="24"/>
                <w:szCs w:val="24"/>
              </w:rPr>
            </w:pPr>
            <w:r>
              <w:rPr>
                <w:rFonts w:hint="eastAsia" w:ascii="仿宋_GB2312" w:hAnsi="仿宋_GB2312" w:eastAsia="仿宋_GB2312" w:cs="仿宋_GB2312"/>
                <w:bCs/>
                <w:iCs/>
                <w:color w:val="auto"/>
                <w:sz w:val="24"/>
                <w:szCs w:val="24"/>
              </w:rPr>
              <w:t>三、拟派</w:t>
            </w:r>
            <w:r>
              <w:rPr>
                <w:rFonts w:hint="eastAsia" w:ascii="仿宋_GB2312" w:hAnsi="仿宋_GB2312" w:eastAsia="仿宋_GB2312" w:cs="仿宋_GB2312"/>
                <w:bCs/>
                <w:iCs/>
                <w:color w:val="auto"/>
                <w:sz w:val="24"/>
                <w:szCs w:val="24"/>
                <w:lang w:eastAsia="zh-CN"/>
              </w:rPr>
              <w:t>综合</w:t>
            </w:r>
            <w:r>
              <w:rPr>
                <w:rFonts w:hint="eastAsia" w:ascii="仿宋_GB2312" w:hAnsi="仿宋_GB2312" w:eastAsia="仿宋_GB2312" w:cs="仿宋_GB2312"/>
                <w:bCs/>
                <w:iCs/>
                <w:color w:val="auto"/>
                <w:sz w:val="24"/>
                <w:szCs w:val="24"/>
              </w:rPr>
              <w:t>维修工：</w:t>
            </w:r>
          </w:p>
          <w:p>
            <w:pPr>
              <w:spacing w:line="360" w:lineRule="exact"/>
              <w:jc w:val="left"/>
              <w:rPr>
                <w:rFonts w:hint="eastAsia" w:ascii="仿宋_GB2312" w:hAnsi="仿宋_GB2312" w:eastAsia="仿宋_GB2312" w:cs="仿宋_GB2312"/>
                <w:bCs/>
                <w:iCs/>
                <w:color w:val="auto"/>
                <w:sz w:val="24"/>
                <w:szCs w:val="24"/>
              </w:rPr>
            </w:pPr>
            <w:r>
              <w:rPr>
                <w:rFonts w:hint="eastAsia" w:ascii="仿宋_GB2312" w:hAnsi="仿宋_GB2312" w:eastAsia="仿宋_GB2312" w:cs="仿宋_GB2312"/>
                <w:bCs/>
                <w:iCs/>
                <w:color w:val="auto"/>
                <w:sz w:val="24"/>
                <w:szCs w:val="24"/>
              </w:rPr>
              <w:t>1.具有中专及以上学历</w:t>
            </w:r>
            <w:r>
              <w:rPr>
                <w:rFonts w:hint="eastAsia" w:ascii="仿宋_GB2312" w:hAnsi="仿宋_GB2312" w:eastAsia="仿宋_GB2312" w:cs="仿宋_GB2312"/>
                <w:bCs/>
                <w:iCs/>
                <w:color w:val="auto"/>
                <w:sz w:val="24"/>
                <w:szCs w:val="24"/>
                <w:lang w:eastAsia="zh-CN"/>
              </w:rPr>
              <w:t>的</w:t>
            </w:r>
            <w:r>
              <w:rPr>
                <w:rFonts w:hint="eastAsia" w:ascii="仿宋_GB2312" w:hAnsi="仿宋_GB2312" w:eastAsia="仿宋_GB2312" w:cs="仿宋_GB2312"/>
                <w:bCs/>
                <w:iCs/>
                <w:color w:val="auto"/>
                <w:sz w:val="24"/>
                <w:szCs w:val="24"/>
              </w:rPr>
              <w:t>得1分；</w:t>
            </w:r>
          </w:p>
          <w:p>
            <w:pPr>
              <w:spacing w:line="360" w:lineRule="exact"/>
              <w:jc w:val="left"/>
              <w:rPr>
                <w:rFonts w:hint="eastAsia" w:ascii="仿宋_GB2312" w:hAnsi="仿宋_GB2312" w:eastAsia="仿宋_GB2312" w:cs="仿宋_GB2312"/>
                <w:bCs/>
                <w:iCs/>
                <w:color w:val="auto"/>
                <w:sz w:val="24"/>
                <w:szCs w:val="24"/>
              </w:rPr>
            </w:pPr>
            <w:r>
              <w:rPr>
                <w:rFonts w:hint="eastAsia" w:ascii="仿宋_GB2312" w:hAnsi="仿宋_GB2312" w:eastAsia="仿宋_GB2312" w:cs="仿宋_GB2312"/>
                <w:bCs/>
                <w:iCs/>
                <w:color w:val="auto"/>
                <w:sz w:val="24"/>
                <w:szCs w:val="24"/>
              </w:rPr>
              <w:t>2.持有应急管理部门颁发或监制的特种作业操作证（</w:t>
            </w:r>
            <w:r>
              <w:rPr>
                <w:rFonts w:hint="eastAsia" w:ascii="仿宋_GB2312" w:hAnsi="仿宋_GB2312" w:eastAsia="仿宋_GB2312" w:cs="仿宋_GB2312"/>
                <w:bCs/>
                <w:iCs/>
                <w:color w:val="auto"/>
                <w:sz w:val="24"/>
                <w:szCs w:val="24"/>
                <w:lang w:eastAsia="zh-CN"/>
              </w:rPr>
              <w:t>高</w:t>
            </w:r>
            <w:r>
              <w:rPr>
                <w:rFonts w:hint="eastAsia" w:ascii="仿宋_GB2312" w:hAnsi="仿宋_GB2312" w:eastAsia="仿宋_GB2312" w:cs="仿宋_GB2312"/>
                <w:bCs/>
                <w:iCs/>
                <w:color w:val="auto"/>
                <w:sz w:val="24"/>
                <w:szCs w:val="24"/>
              </w:rPr>
              <w:t>压电工作业）的得1分。</w:t>
            </w:r>
          </w:p>
          <w:p>
            <w:pPr>
              <w:spacing w:line="360" w:lineRule="exact"/>
              <w:jc w:val="left"/>
              <w:rPr>
                <w:rFonts w:hint="eastAsia" w:ascii="仿宋_GB2312" w:hAnsi="仿宋_GB2312" w:eastAsia="仿宋_GB2312" w:cs="仿宋_GB2312"/>
                <w:bCs/>
                <w:iCs/>
                <w:color w:val="auto"/>
                <w:sz w:val="24"/>
                <w:szCs w:val="24"/>
              </w:rPr>
            </w:pPr>
            <w:r>
              <w:rPr>
                <w:rFonts w:hint="eastAsia" w:ascii="仿宋_GB2312" w:hAnsi="仿宋_GB2312" w:eastAsia="仿宋_GB2312" w:cs="仿宋_GB2312"/>
                <w:bCs/>
                <w:iCs/>
                <w:color w:val="auto"/>
                <w:sz w:val="24"/>
                <w:szCs w:val="24"/>
              </w:rPr>
              <w:t>四、拟派保洁主管具有大专及以上学历的得1分。</w:t>
            </w:r>
          </w:p>
          <w:p>
            <w:pPr>
              <w:spacing w:line="360" w:lineRule="exact"/>
              <w:jc w:val="left"/>
              <w:rPr>
                <w:rFonts w:hint="eastAsia" w:ascii="仿宋_GB2312" w:hAnsi="仿宋_GB2312" w:eastAsia="仿宋_GB2312" w:cs="仿宋_GB2312"/>
                <w:bCs/>
                <w:iCs/>
                <w:sz w:val="24"/>
                <w:szCs w:val="24"/>
              </w:rPr>
            </w:pPr>
            <w:r>
              <w:rPr>
                <w:rFonts w:hint="eastAsia" w:ascii="仿宋_GB2312" w:hAnsi="仿宋_GB2312" w:eastAsia="仿宋_GB2312" w:cs="仿宋_GB2312"/>
                <w:b/>
                <w:bCs w:val="0"/>
                <w:iCs/>
                <w:color w:val="auto"/>
                <w:sz w:val="24"/>
                <w:szCs w:val="24"/>
              </w:rPr>
              <w:t>注：以上人员不得兼任，提供以上相关人员本单位的社保证明材料及相关证书材料复印件并加盖投标人公章,否则不得分。</w:t>
            </w:r>
          </w:p>
        </w:tc>
        <w:tc>
          <w:tcPr>
            <w:tcW w:w="786" w:type="dxa"/>
            <w:noWrap w:val="0"/>
            <w:vAlign w:val="center"/>
          </w:tcPr>
          <w:p>
            <w:pPr>
              <w:autoSpaceDE w:val="0"/>
              <w:spacing w:line="288" w:lineRule="auto"/>
              <w:jc w:val="center"/>
              <w:rPr>
                <w:rFonts w:hint="eastAsia" w:ascii="仿宋_GB2312" w:hAnsi="仿宋_GB2312" w:eastAsia="仿宋_GB2312" w:cs="仿宋_GB2312"/>
                <w:bCs/>
                <w:iCs/>
                <w:sz w:val="24"/>
                <w:szCs w:val="24"/>
              </w:rPr>
            </w:pPr>
            <w:r>
              <w:rPr>
                <w:rFonts w:hint="eastAsia" w:ascii="仿宋_GB2312" w:hAnsi="仿宋_GB2312" w:eastAsia="仿宋_GB2312" w:cs="仿宋_GB2312"/>
                <w:color w:val="auto"/>
                <w:sz w:val="24"/>
                <w:szCs w:val="24"/>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noWrap w:val="0"/>
            <w:vAlign w:val="center"/>
          </w:tcPr>
          <w:p>
            <w:pPr>
              <w:autoSpaceDE w:val="0"/>
              <w:spacing w:line="288" w:lineRule="auto"/>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6</w:t>
            </w:r>
          </w:p>
        </w:tc>
        <w:tc>
          <w:tcPr>
            <w:tcW w:w="1413" w:type="dxa"/>
            <w:noWrap w:val="0"/>
            <w:vAlign w:val="center"/>
          </w:tcPr>
          <w:p>
            <w:pPr>
              <w:widowControl/>
              <w:snapToGrid w:val="0"/>
              <w:spacing w:line="36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bCs/>
                <w:iCs/>
                <w:color w:val="auto"/>
                <w:sz w:val="24"/>
                <w:szCs w:val="24"/>
              </w:rPr>
              <w:t>综合管理方案</w:t>
            </w:r>
          </w:p>
        </w:tc>
        <w:tc>
          <w:tcPr>
            <w:tcW w:w="6416" w:type="dxa"/>
            <w:noWrap w:val="0"/>
            <w:vAlign w:val="center"/>
          </w:tcPr>
          <w:p>
            <w:pPr>
              <w:widowControl/>
              <w:snapToGrid w:val="0"/>
              <w:spacing w:line="360" w:lineRule="exact"/>
              <w:jc w:val="left"/>
              <w:rPr>
                <w:rFonts w:hint="eastAsia" w:ascii="仿宋_GB2312" w:hAnsi="仿宋_GB2312" w:eastAsia="仿宋_GB2312" w:cs="仿宋_GB2312"/>
                <w:b/>
                <w:bCs w:val="0"/>
                <w:iCs/>
                <w:color w:val="auto"/>
                <w:sz w:val="24"/>
                <w:szCs w:val="24"/>
              </w:rPr>
            </w:pPr>
            <w:r>
              <w:rPr>
                <w:rFonts w:hint="eastAsia" w:ascii="仿宋_GB2312" w:hAnsi="仿宋_GB2312" w:eastAsia="仿宋_GB2312" w:cs="仿宋_GB2312"/>
                <w:bCs/>
                <w:iCs/>
                <w:color w:val="auto"/>
                <w:sz w:val="24"/>
                <w:szCs w:val="24"/>
              </w:rPr>
              <w:t>针对</w:t>
            </w:r>
            <w:r>
              <w:rPr>
                <w:rFonts w:hint="eastAsia" w:ascii="仿宋_GB2312" w:hAnsi="仿宋_GB2312" w:eastAsia="仿宋_GB2312" w:cs="仿宋_GB2312"/>
                <w:bCs/>
                <w:iCs/>
                <w:color w:val="auto"/>
                <w:sz w:val="24"/>
                <w:szCs w:val="24"/>
                <w:lang w:eastAsia="zh-CN"/>
              </w:rPr>
              <w:t>学校办学</w:t>
            </w:r>
            <w:r>
              <w:rPr>
                <w:rFonts w:hint="eastAsia" w:ascii="仿宋_GB2312" w:hAnsi="仿宋_GB2312" w:eastAsia="仿宋_GB2312" w:cs="仿宋_GB2312"/>
                <w:bCs/>
                <w:iCs/>
                <w:color w:val="auto"/>
                <w:sz w:val="24"/>
                <w:szCs w:val="24"/>
              </w:rPr>
              <w:t>特点，根据投标人提供的员工综合管理方案进行打分，</w:t>
            </w:r>
            <w:r>
              <w:rPr>
                <w:rFonts w:hint="eastAsia" w:ascii="仿宋_GB2312" w:hAnsi="仿宋_GB2312" w:eastAsia="仿宋_GB2312" w:cs="仿宋_GB2312"/>
                <w:bCs/>
                <w:iCs/>
                <w:color w:val="auto"/>
                <w:sz w:val="24"/>
                <w:szCs w:val="24"/>
                <w:lang w:eastAsia="zh-CN"/>
              </w:rPr>
              <w:t>包括但不限于</w:t>
            </w:r>
            <w:r>
              <w:rPr>
                <w:rFonts w:hint="eastAsia" w:ascii="仿宋_GB2312" w:hAnsi="仿宋_GB2312" w:eastAsia="仿宋_GB2312" w:cs="仿宋_GB2312"/>
                <w:bCs/>
                <w:iCs/>
                <w:color w:val="auto"/>
                <w:sz w:val="24"/>
                <w:szCs w:val="24"/>
              </w:rPr>
              <w:t>体现各块业务的梳理对接和协同管理</w:t>
            </w:r>
            <w:r>
              <w:rPr>
                <w:rFonts w:hint="eastAsia" w:ascii="仿宋_GB2312" w:hAnsi="仿宋_GB2312" w:eastAsia="仿宋_GB2312" w:cs="仿宋_GB2312"/>
                <w:bCs/>
                <w:iCs/>
                <w:color w:val="auto"/>
                <w:sz w:val="24"/>
                <w:szCs w:val="24"/>
                <w:lang w:eastAsia="zh-CN"/>
              </w:rPr>
              <w:t>、</w:t>
            </w:r>
            <w:r>
              <w:rPr>
                <w:rFonts w:hint="eastAsia" w:ascii="仿宋_GB2312" w:hAnsi="仿宋_GB2312" w:eastAsia="仿宋_GB2312" w:cs="仿宋_GB2312"/>
                <w:bCs/>
                <w:iCs/>
                <w:color w:val="auto"/>
                <w:sz w:val="24"/>
                <w:szCs w:val="24"/>
              </w:rPr>
              <w:t>提升校园智能化管理等方面。(本项分值设置为2,1,0.5,0分)</w:t>
            </w:r>
          </w:p>
        </w:tc>
        <w:tc>
          <w:tcPr>
            <w:tcW w:w="786" w:type="dxa"/>
            <w:noWrap w:val="0"/>
            <w:vAlign w:val="center"/>
          </w:tcPr>
          <w:p>
            <w:pPr>
              <w:autoSpaceDE w:val="0"/>
              <w:spacing w:line="288" w:lineRule="auto"/>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noWrap w:val="0"/>
            <w:vAlign w:val="center"/>
          </w:tcPr>
          <w:p>
            <w:pPr>
              <w:autoSpaceDE w:val="0"/>
              <w:spacing w:line="288" w:lineRule="auto"/>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7</w:t>
            </w:r>
          </w:p>
        </w:tc>
        <w:tc>
          <w:tcPr>
            <w:tcW w:w="1413" w:type="dxa"/>
            <w:noWrap w:val="0"/>
            <w:vAlign w:val="center"/>
          </w:tcPr>
          <w:p>
            <w:pPr>
              <w:widowControl/>
              <w:snapToGrid w:val="0"/>
              <w:spacing w:line="36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bCs/>
                <w:iCs/>
                <w:color w:val="auto"/>
                <w:sz w:val="24"/>
                <w:szCs w:val="24"/>
              </w:rPr>
              <w:t>安全保卫方案</w:t>
            </w:r>
          </w:p>
        </w:tc>
        <w:tc>
          <w:tcPr>
            <w:tcW w:w="6416" w:type="dxa"/>
            <w:noWrap w:val="0"/>
            <w:vAlign w:val="center"/>
          </w:tcPr>
          <w:p>
            <w:pPr>
              <w:widowControl/>
              <w:snapToGrid w:val="0"/>
              <w:spacing w:line="360" w:lineRule="exact"/>
              <w:jc w:val="left"/>
              <w:rPr>
                <w:rFonts w:hint="eastAsia" w:ascii="仿宋_GB2312" w:hAnsi="仿宋_GB2312" w:eastAsia="仿宋_GB2312" w:cs="仿宋_GB2312"/>
                <w:b/>
                <w:bCs w:val="0"/>
                <w:iCs/>
                <w:color w:val="auto"/>
                <w:sz w:val="24"/>
                <w:szCs w:val="24"/>
              </w:rPr>
            </w:pPr>
            <w:r>
              <w:rPr>
                <w:rFonts w:hint="eastAsia" w:ascii="仿宋_GB2312" w:hAnsi="仿宋_GB2312" w:eastAsia="仿宋_GB2312" w:cs="仿宋_GB2312"/>
                <w:bCs/>
                <w:iCs/>
                <w:color w:val="auto"/>
                <w:sz w:val="24"/>
                <w:szCs w:val="24"/>
              </w:rPr>
              <w:t>结合</w:t>
            </w:r>
            <w:r>
              <w:rPr>
                <w:rFonts w:hint="eastAsia" w:ascii="仿宋_GB2312" w:hAnsi="仿宋_GB2312" w:eastAsia="仿宋_GB2312" w:cs="仿宋_GB2312"/>
                <w:bCs/>
                <w:iCs/>
                <w:color w:val="auto"/>
                <w:sz w:val="24"/>
                <w:szCs w:val="24"/>
                <w:lang w:eastAsia="zh-CN"/>
              </w:rPr>
              <w:t>专门</w:t>
            </w:r>
            <w:r>
              <w:rPr>
                <w:rFonts w:hint="eastAsia" w:ascii="仿宋_GB2312" w:hAnsi="仿宋_GB2312" w:eastAsia="仿宋_GB2312" w:cs="仿宋_GB2312"/>
                <w:bCs/>
                <w:iCs/>
                <w:color w:val="auto"/>
                <w:sz w:val="24"/>
                <w:szCs w:val="24"/>
              </w:rPr>
              <w:t>学校</w:t>
            </w:r>
            <w:r>
              <w:rPr>
                <w:rFonts w:hint="eastAsia" w:ascii="仿宋_GB2312" w:hAnsi="仿宋_GB2312" w:eastAsia="仿宋_GB2312" w:cs="仿宋_GB2312"/>
                <w:bCs/>
                <w:iCs/>
                <w:color w:val="auto"/>
                <w:sz w:val="24"/>
                <w:szCs w:val="24"/>
                <w:lang w:eastAsia="zh-CN"/>
              </w:rPr>
              <w:t>办学</w:t>
            </w:r>
            <w:r>
              <w:rPr>
                <w:rFonts w:hint="eastAsia" w:ascii="仿宋_GB2312" w:hAnsi="仿宋_GB2312" w:eastAsia="仿宋_GB2312" w:cs="仿宋_GB2312"/>
                <w:bCs/>
                <w:iCs/>
                <w:color w:val="auto"/>
                <w:sz w:val="24"/>
                <w:szCs w:val="24"/>
              </w:rPr>
              <w:t>特点、要求，根据投标人提供的安全保卫方案</w:t>
            </w:r>
            <w:r>
              <w:rPr>
                <w:rFonts w:hint="eastAsia" w:ascii="仿宋_GB2312" w:hAnsi="仿宋_GB2312" w:eastAsia="仿宋_GB2312" w:cs="仿宋_GB2312"/>
                <w:bCs/>
                <w:iCs/>
                <w:color w:val="auto"/>
                <w:sz w:val="24"/>
                <w:szCs w:val="24"/>
                <w:lang w:eastAsia="zh-CN"/>
              </w:rPr>
              <w:t>进行打分</w:t>
            </w:r>
            <w:r>
              <w:rPr>
                <w:rFonts w:hint="eastAsia" w:ascii="仿宋_GB2312" w:hAnsi="仿宋_GB2312" w:eastAsia="仿宋_GB2312" w:cs="仿宋_GB2312"/>
                <w:bCs/>
                <w:iCs/>
                <w:color w:val="auto"/>
                <w:sz w:val="24"/>
                <w:szCs w:val="24"/>
              </w:rPr>
              <w:t>，包括但不限于门岗、巡逻、消防、车辆管理、快递及外卖管控、重大活动保障、各类突发事件处置流程等方面。(本项分值设置为2,1,0.5,0分)</w:t>
            </w:r>
          </w:p>
        </w:tc>
        <w:tc>
          <w:tcPr>
            <w:tcW w:w="786" w:type="dxa"/>
            <w:noWrap w:val="0"/>
            <w:vAlign w:val="center"/>
          </w:tcPr>
          <w:p>
            <w:pPr>
              <w:autoSpaceDE w:val="0"/>
              <w:spacing w:line="288" w:lineRule="auto"/>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noWrap w:val="0"/>
            <w:vAlign w:val="center"/>
          </w:tcPr>
          <w:p>
            <w:pPr>
              <w:autoSpaceDE w:val="0"/>
              <w:spacing w:line="288" w:lineRule="auto"/>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w:t>
            </w:r>
          </w:p>
        </w:tc>
        <w:tc>
          <w:tcPr>
            <w:tcW w:w="1413" w:type="dxa"/>
            <w:noWrap w:val="0"/>
            <w:vAlign w:val="center"/>
          </w:tcPr>
          <w:p>
            <w:pPr>
              <w:widowControl/>
              <w:snapToGrid w:val="0"/>
              <w:spacing w:line="36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bCs/>
                <w:iCs/>
                <w:color w:val="auto"/>
                <w:sz w:val="24"/>
                <w:szCs w:val="24"/>
              </w:rPr>
              <w:t>卫生保洁方案</w:t>
            </w:r>
          </w:p>
        </w:tc>
        <w:tc>
          <w:tcPr>
            <w:tcW w:w="6416" w:type="dxa"/>
            <w:noWrap w:val="0"/>
            <w:vAlign w:val="center"/>
          </w:tcPr>
          <w:p>
            <w:pPr>
              <w:widowControl/>
              <w:snapToGrid w:val="0"/>
              <w:spacing w:line="360" w:lineRule="exact"/>
              <w:jc w:val="left"/>
              <w:rPr>
                <w:rFonts w:hint="eastAsia" w:ascii="仿宋_GB2312" w:hAnsi="仿宋_GB2312" w:eastAsia="仿宋_GB2312" w:cs="仿宋_GB2312"/>
                <w:b/>
                <w:bCs w:val="0"/>
                <w:iCs/>
                <w:color w:val="auto"/>
                <w:sz w:val="24"/>
                <w:szCs w:val="24"/>
              </w:rPr>
            </w:pPr>
            <w:r>
              <w:rPr>
                <w:rFonts w:hint="eastAsia" w:ascii="仿宋_GB2312" w:hAnsi="仿宋_GB2312" w:eastAsia="仿宋_GB2312" w:cs="仿宋_GB2312"/>
                <w:bCs/>
                <w:iCs/>
                <w:color w:val="auto"/>
                <w:sz w:val="24"/>
                <w:szCs w:val="24"/>
              </w:rPr>
              <w:t>结合</w:t>
            </w:r>
            <w:r>
              <w:rPr>
                <w:rFonts w:hint="eastAsia" w:ascii="仿宋_GB2312" w:hAnsi="仿宋_GB2312" w:eastAsia="仿宋_GB2312" w:cs="仿宋_GB2312"/>
                <w:bCs/>
                <w:iCs/>
                <w:color w:val="auto"/>
                <w:sz w:val="24"/>
                <w:szCs w:val="24"/>
                <w:lang w:eastAsia="zh-CN"/>
              </w:rPr>
              <w:t>专门</w:t>
            </w:r>
            <w:r>
              <w:rPr>
                <w:rFonts w:hint="eastAsia" w:ascii="仿宋_GB2312" w:hAnsi="仿宋_GB2312" w:eastAsia="仿宋_GB2312" w:cs="仿宋_GB2312"/>
                <w:bCs/>
                <w:iCs/>
                <w:color w:val="auto"/>
                <w:sz w:val="24"/>
                <w:szCs w:val="24"/>
              </w:rPr>
              <w:t>学校</w:t>
            </w:r>
            <w:r>
              <w:rPr>
                <w:rFonts w:hint="eastAsia" w:ascii="仿宋_GB2312" w:hAnsi="仿宋_GB2312" w:eastAsia="仿宋_GB2312" w:cs="仿宋_GB2312"/>
                <w:bCs/>
                <w:iCs/>
                <w:color w:val="auto"/>
                <w:sz w:val="24"/>
                <w:szCs w:val="24"/>
                <w:lang w:eastAsia="zh-CN"/>
              </w:rPr>
              <w:t>办学</w:t>
            </w:r>
            <w:r>
              <w:rPr>
                <w:rFonts w:hint="eastAsia" w:ascii="仿宋_GB2312" w:hAnsi="仿宋_GB2312" w:eastAsia="仿宋_GB2312" w:cs="仿宋_GB2312"/>
                <w:bCs/>
                <w:iCs/>
                <w:color w:val="auto"/>
                <w:sz w:val="24"/>
                <w:szCs w:val="24"/>
              </w:rPr>
              <w:t>特点，根据投标人提供的各类场景下的卫生保洁方案</w:t>
            </w:r>
            <w:r>
              <w:rPr>
                <w:rFonts w:hint="eastAsia" w:ascii="仿宋_GB2312" w:hAnsi="仿宋_GB2312" w:eastAsia="仿宋_GB2312" w:cs="仿宋_GB2312"/>
                <w:bCs/>
                <w:iCs/>
                <w:color w:val="auto"/>
                <w:sz w:val="24"/>
                <w:szCs w:val="24"/>
                <w:lang w:eastAsia="zh-CN"/>
              </w:rPr>
              <w:t>进行打分</w:t>
            </w:r>
            <w:r>
              <w:rPr>
                <w:rFonts w:hint="eastAsia" w:ascii="仿宋_GB2312" w:hAnsi="仿宋_GB2312" w:eastAsia="仿宋_GB2312" w:cs="仿宋_GB2312"/>
                <w:bCs/>
                <w:iCs/>
                <w:color w:val="auto"/>
                <w:sz w:val="24"/>
                <w:szCs w:val="24"/>
              </w:rPr>
              <w:t>，具备详细的人员分工和质量要求等方面。(本项分值设置为2,1,0.5,0分)</w:t>
            </w:r>
          </w:p>
        </w:tc>
        <w:tc>
          <w:tcPr>
            <w:tcW w:w="786" w:type="dxa"/>
            <w:noWrap w:val="0"/>
            <w:vAlign w:val="center"/>
          </w:tcPr>
          <w:p>
            <w:pPr>
              <w:autoSpaceDE w:val="0"/>
              <w:spacing w:line="288" w:lineRule="auto"/>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noWrap w:val="0"/>
            <w:vAlign w:val="center"/>
          </w:tcPr>
          <w:p>
            <w:pPr>
              <w:autoSpaceDE w:val="0"/>
              <w:spacing w:line="288" w:lineRule="auto"/>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9</w:t>
            </w:r>
          </w:p>
        </w:tc>
        <w:tc>
          <w:tcPr>
            <w:tcW w:w="1413" w:type="dxa"/>
            <w:noWrap w:val="0"/>
            <w:vAlign w:val="center"/>
          </w:tcPr>
          <w:p>
            <w:pPr>
              <w:widowControl/>
              <w:snapToGrid w:val="0"/>
              <w:spacing w:line="36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bCs/>
                <w:iCs/>
                <w:color w:val="auto"/>
                <w:sz w:val="24"/>
                <w:szCs w:val="24"/>
                <w:lang w:eastAsia="zh-CN"/>
              </w:rPr>
              <w:t>水电</w:t>
            </w:r>
            <w:r>
              <w:rPr>
                <w:rFonts w:hint="eastAsia" w:ascii="仿宋_GB2312" w:hAnsi="仿宋_GB2312" w:eastAsia="仿宋_GB2312" w:cs="仿宋_GB2312"/>
                <w:bCs/>
                <w:iCs/>
                <w:color w:val="auto"/>
                <w:sz w:val="24"/>
                <w:szCs w:val="24"/>
              </w:rPr>
              <w:t>设施设备维修维护方案</w:t>
            </w:r>
          </w:p>
        </w:tc>
        <w:tc>
          <w:tcPr>
            <w:tcW w:w="6416" w:type="dxa"/>
            <w:noWrap w:val="0"/>
            <w:vAlign w:val="center"/>
          </w:tcPr>
          <w:p>
            <w:pPr>
              <w:widowControl/>
              <w:snapToGrid w:val="0"/>
              <w:spacing w:line="360" w:lineRule="exact"/>
              <w:jc w:val="left"/>
              <w:rPr>
                <w:rFonts w:hint="eastAsia" w:ascii="仿宋_GB2312" w:hAnsi="仿宋_GB2312" w:eastAsia="仿宋_GB2312" w:cs="仿宋_GB2312"/>
                <w:b/>
                <w:bCs w:val="0"/>
                <w:iCs/>
                <w:color w:val="auto"/>
                <w:sz w:val="24"/>
                <w:szCs w:val="24"/>
              </w:rPr>
            </w:pPr>
            <w:r>
              <w:rPr>
                <w:rFonts w:hint="eastAsia" w:ascii="仿宋_GB2312" w:hAnsi="仿宋_GB2312" w:eastAsia="仿宋_GB2312" w:cs="仿宋_GB2312"/>
                <w:bCs/>
                <w:iCs/>
                <w:color w:val="auto"/>
                <w:sz w:val="24"/>
                <w:szCs w:val="24"/>
              </w:rPr>
              <w:t>针对本校园各类设备设施提供专业的维护、保养方案和校园零星维修服务方案</w:t>
            </w:r>
            <w:r>
              <w:rPr>
                <w:rFonts w:hint="eastAsia" w:ascii="仿宋_GB2312" w:hAnsi="仿宋_GB2312" w:eastAsia="仿宋_GB2312" w:cs="仿宋_GB2312"/>
                <w:bCs/>
                <w:iCs/>
                <w:color w:val="auto"/>
                <w:sz w:val="24"/>
                <w:szCs w:val="24"/>
                <w:lang w:eastAsia="zh-CN"/>
              </w:rPr>
              <w:t>进行打分</w:t>
            </w:r>
            <w:r>
              <w:rPr>
                <w:rFonts w:hint="eastAsia" w:ascii="仿宋_GB2312" w:hAnsi="仿宋_GB2312" w:eastAsia="仿宋_GB2312" w:cs="仿宋_GB2312"/>
                <w:bCs/>
                <w:iCs/>
                <w:color w:val="auto"/>
                <w:sz w:val="24"/>
                <w:szCs w:val="24"/>
              </w:rPr>
              <w:t>。包括</w:t>
            </w:r>
            <w:r>
              <w:rPr>
                <w:rFonts w:hint="eastAsia" w:ascii="仿宋_GB2312" w:hAnsi="仿宋_GB2312" w:eastAsia="仿宋_GB2312" w:cs="仿宋_GB2312"/>
                <w:bCs/>
                <w:iCs/>
                <w:color w:val="auto"/>
                <w:sz w:val="24"/>
                <w:szCs w:val="24"/>
                <w:lang w:eastAsia="zh-CN"/>
              </w:rPr>
              <w:t>但不限于</w:t>
            </w:r>
            <w:r>
              <w:rPr>
                <w:rFonts w:hint="eastAsia" w:ascii="仿宋_GB2312" w:hAnsi="仿宋_GB2312" w:eastAsia="仿宋_GB2312" w:cs="仿宋_GB2312"/>
                <w:bCs/>
                <w:iCs/>
                <w:color w:val="auto"/>
                <w:sz w:val="24"/>
                <w:szCs w:val="24"/>
              </w:rPr>
              <w:t>发生临时断水断电等紧急抢修的应急处置人员、材料、机具的安排；维修的及时率和沟通回访等方面。(本项分值设置为2,1,0.5,0分)</w:t>
            </w:r>
          </w:p>
        </w:tc>
        <w:tc>
          <w:tcPr>
            <w:tcW w:w="786" w:type="dxa"/>
            <w:noWrap w:val="0"/>
            <w:vAlign w:val="center"/>
          </w:tcPr>
          <w:p>
            <w:pPr>
              <w:autoSpaceDE w:val="0"/>
              <w:spacing w:line="288" w:lineRule="auto"/>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noWrap w:val="0"/>
            <w:vAlign w:val="center"/>
          </w:tcPr>
          <w:p>
            <w:pPr>
              <w:autoSpaceDE w:val="0"/>
              <w:spacing w:line="288" w:lineRule="auto"/>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10</w:t>
            </w:r>
          </w:p>
        </w:tc>
        <w:tc>
          <w:tcPr>
            <w:tcW w:w="1413" w:type="dxa"/>
            <w:noWrap w:val="0"/>
            <w:vAlign w:val="center"/>
          </w:tcPr>
          <w:p>
            <w:pPr>
              <w:widowControl/>
              <w:snapToGrid w:val="0"/>
              <w:spacing w:line="36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bCs/>
                <w:iCs/>
                <w:color w:val="auto"/>
                <w:sz w:val="24"/>
                <w:szCs w:val="24"/>
              </w:rPr>
              <w:t>楼宇管理方案</w:t>
            </w:r>
          </w:p>
        </w:tc>
        <w:tc>
          <w:tcPr>
            <w:tcW w:w="6416" w:type="dxa"/>
            <w:noWrap w:val="0"/>
            <w:vAlign w:val="center"/>
          </w:tcPr>
          <w:p>
            <w:pPr>
              <w:widowControl/>
              <w:snapToGrid w:val="0"/>
              <w:spacing w:line="360" w:lineRule="exact"/>
              <w:jc w:val="left"/>
              <w:rPr>
                <w:rFonts w:hint="eastAsia" w:ascii="仿宋_GB2312" w:hAnsi="仿宋_GB2312" w:eastAsia="仿宋_GB2312" w:cs="仿宋_GB2312"/>
                <w:b/>
                <w:bCs w:val="0"/>
                <w:iCs/>
                <w:color w:val="auto"/>
                <w:sz w:val="24"/>
                <w:szCs w:val="24"/>
              </w:rPr>
            </w:pPr>
            <w:r>
              <w:rPr>
                <w:rFonts w:hint="eastAsia" w:ascii="仿宋_GB2312" w:hAnsi="仿宋_GB2312" w:eastAsia="仿宋_GB2312" w:cs="仿宋_GB2312"/>
                <w:bCs/>
                <w:iCs/>
                <w:color w:val="auto"/>
                <w:sz w:val="24"/>
                <w:szCs w:val="24"/>
                <w:lang w:eastAsia="zh-CN"/>
              </w:rPr>
              <w:t>根据投标人</w:t>
            </w:r>
            <w:r>
              <w:rPr>
                <w:rFonts w:hint="eastAsia" w:ascii="仿宋_GB2312" w:hAnsi="仿宋_GB2312" w:eastAsia="仿宋_GB2312" w:cs="仿宋_GB2312"/>
                <w:bCs/>
                <w:iCs/>
                <w:color w:val="auto"/>
                <w:sz w:val="24"/>
                <w:szCs w:val="24"/>
              </w:rPr>
              <w:t>提供的各项楼宇管理制度、服务方案</w:t>
            </w:r>
            <w:r>
              <w:rPr>
                <w:rFonts w:hint="eastAsia" w:ascii="仿宋_GB2312" w:hAnsi="仿宋_GB2312" w:eastAsia="仿宋_GB2312" w:cs="仿宋_GB2312"/>
                <w:bCs/>
                <w:iCs/>
                <w:color w:val="auto"/>
                <w:sz w:val="24"/>
                <w:szCs w:val="24"/>
                <w:lang w:eastAsia="zh-CN"/>
              </w:rPr>
              <w:t>进行打分</w:t>
            </w:r>
            <w:r>
              <w:rPr>
                <w:rFonts w:hint="eastAsia" w:ascii="仿宋_GB2312" w:hAnsi="仿宋_GB2312" w:eastAsia="仿宋_GB2312" w:cs="仿宋_GB2312"/>
                <w:bCs/>
                <w:iCs/>
                <w:color w:val="auto"/>
                <w:sz w:val="24"/>
                <w:szCs w:val="24"/>
              </w:rPr>
              <w:t>，包括楼宇安全管理、节能降耗实施措施或建议、检查方案等方面。(本项分值设置为2,1,0.5,0分)</w:t>
            </w:r>
          </w:p>
        </w:tc>
        <w:tc>
          <w:tcPr>
            <w:tcW w:w="786" w:type="dxa"/>
            <w:noWrap w:val="0"/>
            <w:vAlign w:val="center"/>
          </w:tcPr>
          <w:p>
            <w:pPr>
              <w:autoSpaceDE w:val="0"/>
              <w:spacing w:line="288" w:lineRule="auto"/>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noWrap w:val="0"/>
            <w:vAlign w:val="center"/>
          </w:tcPr>
          <w:p>
            <w:pPr>
              <w:autoSpaceDE w:val="0"/>
              <w:spacing w:line="288" w:lineRule="auto"/>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11</w:t>
            </w:r>
          </w:p>
        </w:tc>
        <w:tc>
          <w:tcPr>
            <w:tcW w:w="1413" w:type="dxa"/>
            <w:noWrap w:val="0"/>
            <w:vAlign w:val="center"/>
          </w:tcPr>
          <w:p>
            <w:pPr>
              <w:widowControl/>
              <w:snapToGrid w:val="0"/>
              <w:spacing w:line="36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bCs/>
                <w:iCs/>
                <w:color w:val="auto"/>
                <w:sz w:val="24"/>
                <w:szCs w:val="24"/>
              </w:rPr>
              <w:t>绿化养护方案</w:t>
            </w:r>
          </w:p>
        </w:tc>
        <w:tc>
          <w:tcPr>
            <w:tcW w:w="6416" w:type="dxa"/>
            <w:noWrap w:val="0"/>
            <w:vAlign w:val="center"/>
          </w:tcPr>
          <w:p>
            <w:pPr>
              <w:widowControl/>
              <w:snapToGrid w:val="0"/>
              <w:spacing w:line="360" w:lineRule="exact"/>
              <w:jc w:val="left"/>
              <w:rPr>
                <w:rFonts w:hint="eastAsia" w:ascii="仿宋_GB2312" w:hAnsi="仿宋_GB2312" w:eastAsia="仿宋_GB2312" w:cs="仿宋_GB2312"/>
                <w:b/>
                <w:bCs w:val="0"/>
                <w:iCs/>
                <w:color w:val="auto"/>
                <w:sz w:val="24"/>
                <w:szCs w:val="24"/>
              </w:rPr>
            </w:pPr>
            <w:r>
              <w:rPr>
                <w:rFonts w:hint="eastAsia" w:ascii="仿宋_GB2312" w:hAnsi="仿宋_GB2312" w:eastAsia="仿宋_GB2312" w:cs="仿宋_GB2312"/>
                <w:bCs/>
                <w:iCs/>
                <w:color w:val="auto"/>
                <w:sz w:val="24"/>
                <w:szCs w:val="24"/>
              </w:rPr>
              <w:t>根据</w:t>
            </w:r>
            <w:r>
              <w:rPr>
                <w:rFonts w:hint="eastAsia" w:ascii="仿宋_GB2312" w:hAnsi="仿宋_GB2312" w:eastAsia="仿宋_GB2312" w:cs="仿宋_GB2312"/>
                <w:bCs/>
                <w:iCs/>
                <w:color w:val="auto"/>
                <w:sz w:val="24"/>
                <w:szCs w:val="24"/>
                <w:lang w:eastAsia="zh-CN"/>
              </w:rPr>
              <w:t>投标人</w:t>
            </w:r>
            <w:r>
              <w:rPr>
                <w:rFonts w:hint="eastAsia" w:ascii="仿宋_GB2312" w:hAnsi="仿宋_GB2312" w:eastAsia="仿宋_GB2312" w:cs="仿宋_GB2312"/>
                <w:bCs/>
                <w:iCs/>
                <w:color w:val="auto"/>
                <w:sz w:val="24"/>
                <w:szCs w:val="24"/>
              </w:rPr>
              <w:t>提供</w:t>
            </w:r>
            <w:r>
              <w:rPr>
                <w:rFonts w:hint="eastAsia" w:ascii="仿宋_GB2312" w:hAnsi="仿宋_GB2312" w:eastAsia="仿宋_GB2312" w:cs="仿宋_GB2312"/>
                <w:bCs/>
                <w:iCs/>
                <w:color w:val="auto"/>
                <w:sz w:val="24"/>
                <w:szCs w:val="24"/>
                <w:lang w:eastAsia="zh-CN"/>
              </w:rPr>
              <w:t>的</w:t>
            </w:r>
            <w:r>
              <w:rPr>
                <w:rFonts w:hint="eastAsia" w:ascii="仿宋_GB2312" w:hAnsi="仿宋_GB2312" w:eastAsia="仿宋_GB2312" w:cs="仿宋_GB2312"/>
                <w:bCs/>
                <w:iCs/>
                <w:color w:val="auto"/>
                <w:sz w:val="24"/>
                <w:szCs w:val="24"/>
              </w:rPr>
              <w:t>绿化养护方案</w:t>
            </w:r>
            <w:r>
              <w:rPr>
                <w:rFonts w:hint="eastAsia" w:ascii="仿宋_GB2312" w:hAnsi="仿宋_GB2312" w:eastAsia="仿宋_GB2312" w:cs="仿宋_GB2312"/>
                <w:bCs/>
                <w:iCs/>
                <w:color w:val="auto"/>
                <w:sz w:val="24"/>
                <w:szCs w:val="24"/>
                <w:lang w:eastAsia="zh-CN"/>
              </w:rPr>
              <w:t>进行打分，包括但不限于</w:t>
            </w:r>
            <w:r>
              <w:rPr>
                <w:rFonts w:hint="eastAsia" w:ascii="仿宋_GB2312" w:hAnsi="仿宋_GB2312" w:eastAsia="仿宋_GB2312" w:cs="仿宋_GB2312"/>
                <w:bCs/>
                <w:iCs/>
                <w:color w:val="auto"/>
                <w:sz w:val="24"/>
                <w:szCs w:val="24"/>
              </w:rPr>
              <w:t>公共绿地的修剪、施肥、浇水养护、病虫害防治、灾害预防措施等。(本项分值设置为2,1,0.5,0分)</w:t>
            </w:r>
          </w:p>
        </w:tc>
        <w:tc>
          <w:tcPr>
            <w:tcW w:w="786" w:type="dxa"/>
            <w:noWrap w:val="0"/>
            <w:vAlign w:val="center"/>
          </w:tcPr>
          <w:p>
            <w:pPr>
              <w:autoSpaceDE w:val="0"/>
              <w:spacing w:line="288" w:lineRule="auto"/>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811" w:type="dxa"/>
            <w:noWrap w:val="0"/>
            <w:vAlign w:val="center"/>
          </w:tcPr>
          <w:p>
            <w:pPr>
              <w:autoSpaceDE w:val="0"/>
              <w:spacing w:line="288" w:lineRule="auto"/>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12</w:t>
            </w:r>
          </w:p>
        </w:tc>
        <w:tc>
          <w:tcPr>
            <w:tcW w:w="1413" w:type="dxa"/>
            <w:noWrap w:val="0"/>
            <w:vAlign w:val="center"/>
          </w:tcPr>
          <w:p>
            <w:pPr>
              <w:widowControl/>
              <w:snapToGrid w:val="0"/>
              <w:spacing w:line="36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bCs/>
                <w:iCs/>
                <w:color w:val="auto"/>
                <w:sz w:val="24"/>
                <w:szCs w:val="24"/>
              </w:rPr>
              <w:t>场馆会务方案</w:t>
            </w:r>
          </w:p>
        </w:tc>
        <w:tc>
          <w:tcPr>
            <w:tcW w:w="6416" w:type="dxa"/>
            <w:noWrap w:val="0"/>
            <w:vAlign w:val="center"/>
          </w:tcPr>
          <w:p>
            <w:pPr>
              <w:widowControl/>
              <w:snapToGrid w:val="0"/>
              <w:spacing w:line="360" w:lineRule="exact"/>
              <w:jc w:val="left"/>
              <w:rPr>
                <w:rFonts w:hint="eastAsia" w:ascii="仿宋_GB2312" w:hAnsi="仿宋_GB2312" w:eastAsia="仿宋_GB2312" w:cs="仿宋_GB2312"/>
                <w:b/>
                <w:bCs w:val="0"/>
                <w:iCs/>
                <w:color w:val="auto"/>
                <w:sz w:val="24"/>
                <w:szCs w:val="24"/>
              </w:rPr>
            </w:pPr>
            <w:r>
              <w:rPr>
                <w:rFonts w:hint="eastAsia" w:ascii="仿宋_GB2312" w:hAnsi="仿宋_GB2312" w:eastAsia="仿宋_GB2312" w:cs="仿宋_GB2312"/>
                <w:bCs/>
                <w:iCs/>
                <w:color w:val="auto"/>
                <w:sz w:val="24"/>
                <w:szCs w:val="24"/>
                <w:lang w:eastAsia="zh-CN"/>
              </w:rPr>
              <w:t>根据投标人</w:t>
            </w:r>
            <w:r>
              <w:rPr>
                <w:rFonts w:hint="eastAsia" w:ascii="仿宋_GB2312" w:hAnsi="仿宋_GB2312" w:eastAsia="仿宋_GB2312" w:cs="仿宋_GB2312"/>
                <w:bCs/>
                <w:iCs/>
                <w:color w:val="auto"/>
                <w:sz w:val="24"/>
                <w:szCs w:val="24"/>
              </w:rPr>
              <w:t>提供的场馆会务方案</w:t>
            </w:r>
            <w:r>
              <w:rPr>
                <w:rFonts w:hint="eastAsia" w:ascii="仿宋_GB2312" w:hAnsi="仿宋_GB2312" w:eastAsia="仿宋_GB2312" w:cs="仿宋_GB2312"/>
                <w:bCs/>
                <w:iCs/>
                <w:color w:val="auto"/>
                <w:sz w:val="24"/>
                <w:szCs w:val="24"/>
                <w:lang w:eastAsia="zh-CN"/>
              </w:rPr>
              <w:t>进行打分，包括但不限于</w:t>
            </w:r>
            <w:r>
              <w:rPr>
                <w:rFonts w:hint="eastAsia" w:ascii="仿宋_GB2312" w:hAnsi="仿宋_GB2312" w:eastAsia="仿宋_GB2312" w:cs="仿宋_GB2312"/>
                <w:bCs/>
                <w:iCs/>
                <w:color w:val="auto"/>
                <w:sz w:val="24"/>
                <w:szCs w:val="24"/>
              </w:rPr>
              <w:t>学校教学活动和会议安排</w:t>
            </w:r>
            <w:r>
              <w:rPr>
                <w:rFonts w:hint="eastAsia" w:ascii="仿宋_GB2312" w:hAnsi="仿宋_GB2312" w:eastAsia="仿宋_GB2312" w:cs="仿宋_GB2312"/>
                <w:bCs/>
                <w:iCs/>
                <w:color w:val="auto"/>
                <w:sz w:val="24"/>
                <w:szCs w:val="24"/>
                <w:lang w:eastAsia="zh-CN"/>
              </w:rPr>
              <w:t>时</w:t>
            </w:r>
            <w:r>
              <w:rPr>
                <w:rFonts w:hint="eastAsia" w:ascii="仿宋_GB2312" w:hAnsi="仿宋_GB2312" w:eastAsia="仿宋_GB2312" w:cs="仿宋_GB2312"/>
                <w:bCs/>
                <w:iCs/>
                <w:color w:val="auto"/>
                <w:sz w:val="24"/>
                <w:szCs w:val="24"/>
              </w:rPr>
              <w:t>场馆的安全保障</w:t>
            </w:r>
            <w:r>
              <w:rPr>
                <w:rFonts w:hint="eastAsia" w:ascii="仿宋_GB2312" w:hAnsi="仿宋_GB2312" w:eastAsia="仿宋_GB2312" w:cs="仿宋_GB2312"/>
                <w:bCs/>
                <w:iCs/>
                <w:color w:val="auto"/>
                <w:sz w:val="24"/>
                <w:szCs w:val="24"/>
                <w:lang w:eastAsia="zh-CN"/>
              </w:rPr>
              <w:t>、</w:t>
            </w:r>
            <w:r>
              <w:rPr>
                <w:rFonts w:hint="eastAsia" w:ascii="仿宋_GB2312" w:hAnsi="仿宋_GB2312" w:eastAsia="仿宋_GB2312" w:cs="仿宋_GB2312"/>
                <w:bCs/>
                <w:iCs/>
                <w:color w:val="auto"/>
                <w:sz w:val="24"/>
                <w:szCs w:val="24"/>
              </w:rPr>
              <w:t>场馆日常及重大活动</w:t>
            </w:r>
            <w:r>
              <w:rPr>
                <w:rFonts w:hint="eastAsia" w:ascii="仿宋_GB2312" w:hAnsi="仿宋_GB2312" w:eastAsia="仿宋_GB2312" w:cs="仿宋_GB2312"/>
                <w:bCs/>
                <w:iCs/>
                <w:color w:val="auto"/>
                <w:sz w:val="24"/>
                <w:szCs w:val="24"/>
                <w:lang w:eastAsia="zh-CN"/>
              </w:rPr>
              <w:t>的</w:t>
            </w:r>
            <w:r>
              <w:rPr>
                <w:rFonts w:hint="eastAsia" w:ascii="仿宋_GB2312" w:hAnsi="仿宋_GB2312" w:eastAsia="仿宋_GB2312" w:cs="仿宋_GB2312"/>
                <w:bCs/>
                <w:iCs/>
                <w:color w:val="auto"/>
                <w:sz w:val="24"/>
                <w:szCs w:val="24"/>
              </w:rPr>
              <w:t>保障服务等方面。(本项分值设置为2,1,0.5,0分)</w:t>
            </w:r>
          </w:p>
        </w:tc>
        <w:tc>
          <w:tcPr>
            <w:tcW w:w="786" w:type="dxa"/>
            <w:noWrap w:val="0"/>
            <w:vAlign w:val="center"/>
          </w:tcPr>
          <w:p>
            <w:pPr>
              <w:autoSpaceDE w:val="0"/>
              <w:spacing w:line="288" w:lineRule="auto"/>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noWrap w:val="0"/>
            <w:vAlign w:val="center"/>
          </w:tcPr>
          <w:p>
            <w:pPr>
              <w:autoSpaceDE w:val="0"/>
              <w:spacing w:line="288" w:lineRule="auto"/>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w:t>
            </w:r>
          </w:p>
        </w:tc>
        <w:tc>
          <w:tcPr>
            <w:tcW w:w="1413" w:type="dxa"/>
            <w:noWrap w:val="0"/>
            <w:vAlign w:val="center"/>
          </w:tcPr>
          <w:p>
            <w:pPr>
              <w:widowControl/>
              <w:snapToGrid w:val="0"/>
              <w:spacing w:line="36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bCs/>
                <w:iCs/>
                <w:color w:val="auto"/>
                <w:sz w:val="24"/>
                <w:szCs w:val="24"/>
              </w:rPr>
              <w:t>节能、环保方案</w:t>
            </w:r>
          </w:p>
        </w:tc>
        <w:tc>
          <w:tcPr>
            <w:tcW w:w="6416" w:type="dxa"/>
            <w:noWrap w:val="0"/>
            <w:vAlign w:val="center"/>
          </w:tcPr>
          <w:p>
            <w:pPr>
              <w:spacing w:line="360" w:lineRule="exact"/>
              <w:jc w:val="left"/>
              <w:rPr>
                <w:rFonts w:hint="eastAsia" w:ascii="仿宋_GB2312" w:hAnsi="仿宋_GB2312" w:eastAsia="仿宋_GB2312" w:cs="仿宋_GB2312"/>
                <w:b/>
                <w:bCs w:val="0"/>
                <w:iCs/>
                <w:color w:val="auto"/>
                <w:sz w:val="24"/>
                <w:szCs w:val="24"/>
              </w:rPr>
            </w:pPr>
            <w:r>
              <w:rPr>
                <w:rFonts w:hint="eastAsia" w:ascii="仿宋_GB2312" w:hAnsi="仿宋_GB2312" w:eastAsia="仿宋_GB2312" w:cs="仿宋_GB2312"/>
                <w:sz w:val="24"/>
                <w:szCs w:val="24"/>
              </w:rPr>
              <w:t>根据投标人提供的</w:t>
            </w:r>
            <w:r>
              <w:rPr>
                <w:rFonts w:hint="eastAsia" w:ascii="仿宋_GB2312" w:hAnsi="仿宋_GB2312" w:eastAsia="仿宋_GB2312" w:cs="仿宋_GB2312"/>
                <w:bCs/>
                <w:iCs/>
                <w:color w:val="auto"/>
                <w:sz w:val="24"/>
                <w:szCs w:val="24"/>
              </w:rPr>
              <w:t>节能降耗制度，对水、电等能源资源利用，落实环境保护，节能降耗创新举措等</w:t>
            </w:r>
            <w:r>
              <w:rPr>
                <w:rFonts w:hint="eastAsia" w:ascii="仿宋_GB2312" w:hAnsi="仿宋_GB2312" w:eastAsia="仿宋_GB2312" w:cs="仿宋_GB2312"/>
                <w:sz w:val="24"/>
                <w:szCs w:val="24"/>
              </w:rPr>
              <w:t>方面进行打分。</w:t>
            </w:r>
            <w:r>
              <w:rPr>
                <w:rFonts w:hint="eastAsia" w:ascii="仿宋_GB2312" w:hAnsi="仿宋_GB2312" w:eastAsia="仿宋_GB2312" w:cs="仿宋_GB2312"/>
                <w:bCs/>
                <w:iCs/>
                <w:color w:val="auto"/>
                <w:sz w:val="24"/>
                <w:szCs w:val="24"/>
              </w:rPr>
              <w:t>。(本项分值设置为2,1,0.5,0分)</w:t>
            </w:r>
          </w:p>
        </w:tc>
        <w:tc>
          <w:tcPr>
            <w:tcW w:w="786" w:type="dxa"/>
            <w:noWrap w:val="0"/>
            <w:vAlign w:val="center"/>
          </w:tcPr>
          <w:p>
            <w:pPr>
              <w:autoSpaceDE w:val="0"/>
              <w:spacing w:line="288" w:lineRule="auto"/>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noWrap w:val="0"/>
            <w:vAlign w:val="center"/>
          </w:tcPr>
          <w:p>
            <w:pPr>
              <w:autoSpaceDE w:val="0"/>
              <w:spacing w:line="288" w:lineRule="auto"/>
              <w:jc w:val="center"/>
              <w:rPr>
                <w:rFonts w:hint="eastAsia" w:ascii="仿宋_GB2312" w:hAnsi="仿宋_GB2312" w:eastAsia="仿宋_GB2312" w:cs="仿宋_GB2312"/>
                <w:kern w:val="0"/>
                <w:sz w:val="24"/>
                <w:szCs w:val="24"/>
                <w:lang w:val="en-US"/>
              </w:rPr>
            </w:pPr>
            <w:r>
              <w:rPr>
                <w:rFonts w:hint="eastAsia" w:ascii="仿宋_GB2312" w:hAnsi="仿宋_GB2312" w:eastAsia="仿宋_GB2312" w:cs="仿宋_GB2312"/>
                <w:color w:val="auto"/>
                <w:sz w:val="24"/>
                <w:szCs w:val="24"/>
                <w:lang w:val="en-US" w:eastAsia="zh-CN"/>
              </w:rPr>
              <w:t>14</w:t>
            </w:r>
          </w:p>
        </w:tc>
        <w:tc>
          <w:tcPr>
            <w:tcW w:w="1413" w:type="dxa"/>
            <w:noWrap w:val="0"/>
            <w:vAlign w:val="center"/>
          </w:tcPr>
          <w:p>
            <w:pPr>
              <w:spacing w:line="360" w:lineRule="exact"/>
              <w:jc w:val="center"/>
              <w:rPr>
                <w:rFonts w:hint="eastAsia" w:ascii="仿宋_GB2312" w:hAnsi="仿宋_GB2312" w:eastAsia="仿宋_GB2312" w:cs="仿宋_GB2312"/>
                <w:bCs/>
                <w:iCs/>
                <w:sz w:val="24"/>
                <w:szCs w:val="24"/>
              </w:rPr>
            </w:pPr>
            <w:r>
              <w:rPr>
                <w:rFonts w:hint="eastAsia" w:ascii="仿宋_GB2312" w:hAnsi="仿宋_GB2312" w:eastAsia="仿宋_GB2312" w:cs="仿宋_GB2312"/>
                <w:bCs/>
                <w:iCs/>
                <w:color w:val="auto"/>
                <w:sz w:val="24"/>
                <w:szCs w:val="24"/>
              </w:rPr>
              <w:t>垃圾分类管理</w:t>
            </w:r>
          </w:p>
        </w:tc>
        <w:tc>
          <w:tcPr>
            <w:tcW w:w="6416" w:type="dxa"/>
            <w:noWrap w:val="0"/>
            <w:vAlign w:val="center"/>
          </w:tcPr>
          <w:p>
            <w:pPr>
              <w:spacing w:line="360" w:lineRule="exact"/>
              <w:jc w:val="left"/>
              <w:rPr>
                <w:rFonts w:hint="eastAsia" w:ascii="仿宋_GB2312" w:hAnsi="仿宋_GB2312" w:eastAsia="仿宋_GB2312" w:cs="仿宋_GB2312"/>
                <w:bCs/>
                <w:iCs/>
                <w:sz w:val="24"/>
                <w:szCs w:val="24"/>
              </w:rPr>
            </w:pPr>
            <w:r>
              <w:rPr>
                <w:rFonts w:hint="eastAsia" w:ascii="仿宋_GB2312" w:hAnsi="仿宋_GB2312" w:eastAsia="仿宋_GB2312" w:cs="仿宋_GB2312"/>
                <w:bCs/>
                <w:iCs/>
                <w:color w:val="auto"/>
                <w:sz w:val="24"/>
                <w:szCs w:val="24"/>
              </w:rPr>
              <w:t>根据投标人提供的垃圾分类服务方案进行打分，包括但不限于垃圾、废弃物清理；垃圾分类；垃圾运输处置等。</w:t>
            </w:r>
            <w:r>
              <w:rPr>
                <w:rFonts w:hint="eastAsia" w:ascii="仿宋_GB2312" w:hAnsi="仿宋_GB2312" w:eastAsia="仿宋_GB2312" w:cs="仿宋_GB2312"/>
                <w:color w:val="auto"/>
                <w:sz w:val="24"/>
                <w:szCs w:val="24"/>
              </w:rPr>
              <w:t>(本项分值设置为5,4,3,2,1,0.5,0分)</w:t>
            </w:r>
          </w:p>
        </w:tc>
        <w:tc>
          <w:tcPr>
            <w:tcW w:w="786" w:type="dxa"/>
            <w:noWrap w:val="0"/>
            <w:vAlign w:val="center"/>
          </w:tcPr>
          <w:p>
            <w:pPr>
              <w:autoSpaceDE w:val="0"/>
              <w:spacing w:line="288" w:lineRule="auto"/>
              <w:jc w:val="center"/>
              <w:rPr>
                <w:rFonts w:hint="eastAsia" w:ascii="仿宋_GB2312" w:hAnsi="仿宋_GB2312" w:eastAsia="仿宋_GB2312" w:cs="仿宋_GB2312"/>
                <w:bCs/>
                <w:iCs/>
                <w:sz w:val="24"/>
                <w:szCs w:val="24"/>
              </w:rPr>
            </w:pPr>
            <w:r>
              <w:rPr>
                <w:rFonts w:hint="eastAsia" w:ascii="仿宋_GB2312" w:hAnsi="仿宋_GB2312" w:eastAsia="仿宋_GB2312" w:cs="仿宋_GB2312"/>
                <w:color w:val="auto"/>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811" w:type="dxa"/>
            <w:noWrap w:val="0"/>
            <w:vAlign w:val="center"/>
          </w:tcPr>
          <w:p>
            <w:pPr>
              <w:autoSpaceDE w:val="0"/>
              <w:spacing w:line="288" w:lineRule="auto"/>
              <w:jc w:val="center"/>
              <w:rPr>
                <w:rFonts w:hint="eastAsia" w:ascii="仿宋_GB2312" w:hAnsi="仿宋_GB2312" w:eastAsia="仿宋_GB2312" w:cs="仿宋_GB2312"/>
                <w:kern w:val="0"/>
                <w:sz w:val="24"/>
                <w:szCs w:val="24"/>
                <w:lang w:val="en-US"/>
              </w:rPr>
            </w:pPr>
            <w:r>
              <w:rPr>
                <w:rFonts w:hint="eastAsia" w:ascii="仿宋_GB2312" w:hAnsi="仿宋_GB2312" w:eastAsia="仿宋_GB2312" w:cs="仿宋_GB2312"/>
                <w:color w:val="auto"/>
                <w:sz w:val="24"/>
                <w:szCs w:val="24"/>
                <w:lang w:val="en-US" w:eastAsia="zh-CN"/>
              </w:rPr>
              <w:t>15</w:t>
            </w:r>
          </w:p>
        </w:tc>
        <w:tc>
          <w:tcPr>
            <w:tcW w:w="1413" w:type="dxa"/>
            <w:noWrap w:val="0"/>
            <w:vAlign w:val="center"/>
          </w:tcPr>
          <w:p>
            <w:pPr>
              <w:spacing w:line="360" w:lineRule="exact"/>
              <w:jc w:val="center"/>
              <w:rPr>
                <w:rFonts w:hint="eastAsia" w:ascii="仿宋_GB2312" w:hAnsi="仿宋_GB2312" w:eastAsia="仿宋_GB2312" w:cs="仿宋_GB2312"/>
                <w:bCs/>
                <w:iCs/>
                <w:sz w:val="24"/>
                <w:szCs w:val="24"/>
              </w:rPr>
            </w:pPr>
            <w:r>
              <w:rPr>
                <w:rFonts w:hint="eastAsia" w:ascii="仿宋_GB2312" w:hAnsi="仿宋_GB2312" w:eastAsia="仿宋_GB2312" w:cs="仿宋_GB2312"/>
                <w:bCs/>
                <w:iCs/>
                <w:color w:val="auto"/>
                <w:sz w:val="24"/>
                <w:szCs w:val="24"/>
              </w:rPr>
              <w:t>培训和考核方案</w:t>
            </w:r>
          </w:p>
        </w:tc>
        <w:tc>
          <w:tcPr>
            <w:tcW w:w="6416" w:type="dxa"/>
            <w:noWrap w:val="0"/>
            <w:vAlign w:val="center"/>
          </w:tcPr>
          <w:p>
            <w:pPr>
              <w:spacing w:line="360" w:lineRule="exact"/>
              <w:jc w:val="left"/>
              <w:rPr>
                <w:rFonts w:hint="eastAsia" w:ascii="仿宋_GB2312" w:hAnsi="仿宋_GB2312" w:eastAsia="仿宋_GB2312" w:cs="仿宋_GB2312"/>
                <w:bCs/>
                <w:iCs/>
                <w:sz w:val="24"/>
                <w:szCs w:val="24"/>
              </w:rPr>
            </w:pPr>
            <w:r>
              <w:rPr>
                <w:rFonts w:hint="eastAsia" w:ascii="仿宋_GB2312" w:hAnsi="仿宋_GB2312" w:eastAsia="仿宋_GB2312" w:cs="仿宋_GB2312"/>
                <w:bCs/>
                <w:iCs/>
                <w:color w:val="auto"/>
                <w:sz w:val="24"/>
                <w:szCs w:val="24"/>
              </w:rPr>
              <w:t>根据投标人提供的员工培训方案进行打分，包括但不限于人员录用与考核有标准，有奖惩淘汰机制；各类人员上岗仪表、行为、态度，标准统一、规范等。(本项分值设置为4.3,2,1,0.5,0分)</w:t>
            </w:r>
          </w:p>
        </w:tc>
        <w:tc>
          <w:tcPr>
            <w:tcW w:w="786" w:type="dxa"/>
            <w:noWrap w:val="0"/>
            <w:vAlign w:val="center"/>
          </w:tcPr>
          <w:p>
            <w:pPr>
              <w:autoSpaceDE w:val="0"/>
              <w:spacing w:line="288" w:lineRule="auto"/>
              <w:jc w:val="center"/>
              <w:rPr>
                <w:rFonts w:hint="eastAsia" w:ascii="仿宋_GB2312" w:hAnsi="仿宋_GB2312" w:eastAsia="仿宋_GB2312" w:cs="仿宋_GB2312"/>
                <w:bCs/>
                <w:iCs/>
                <w:sz w:val="24"/>
                <w:szCs w:val="24"/>
                <w:lang w:val="en-US"/>
              </w:rPr>
            </w:pPr>
            <w:r>
              <w:rPr>
                <w:rFonts w:hint="eastAsia" w:ascii="仿宋_GB2312" w:hAnsi="仿宋_GB2312" w:eastAsia="仿宋_GB2312" w:cs="仿宋_GB2312"/>
                <w:color w:val="auto"/>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noWrap w:val="0"/>
            <w:vAlign w:val="center"/>
          </w:tcPr>
          <w:p>
            <w:pPr>
              <w:autoSpaceDE w:val="0"/>
              <w:spacing w:line="288" w:lineRule="auto"/>
              <w:jc w:val="center"/>
              <w:rPr>
                <w:rFonts w:hint="eastAsia" w:ascii="仿宋_GB2312" w:hAnsi="仿宋_GB2312" w:eastAsia="仿宋_GB2312" w:cs="仿宋_GB2312"/>
                <w:kern w:val="0"/>
                <w:sz w:val="24"/>
                <w:szCs w:val="24"/>
                <w:lang w:val="en-US"/>
              </w:rPr>
            </w:pPr>
            <w:r>
              <w:rPr>
                <w:rFonts w:hint="eastAsia" w:ascii="仿宋_GB2312" w:hAnsi="仿宋_GB2312" w:eastAsia="仿宋_GB2312" w:cs="仿宋_GB2312"/>
                <w:color w:val="auto"/>
                <w:sz w:val="24"/>
                <w:szCs w:val="24"/>
                <w:lang w:val="en-US" w:eastAsia="zh-CN"/>
              </w:rPr>
              <w:t>16</w:t>
            </w:r>
          </w:p>
        </w:tc>
        <w:tc>
          <w:tcPr>
            <w:tcW w:w="1413" w:type="dxa"/>
            <w:noWrap w:val="0"/>
            <w:vAlign w:val="center"/>
          </w:tcPr>
          <w:p>
            <w:pPr>
              <w:spacing w:line="360" w:lineRule="exact"/>
              <w:jc w:val="center"/>
              <w:rPr>
                <w:rFonts w:hint="eastAsia" w:ascii="仿宋_GB2312" w:hAnsi="仿宋_GB2312" w:eastAsia="仿宋_GB2312" w:cs="仿宋_GB2312"/>
                <w:bCs/>
                <w:iCs/>
                <w:sz w:val="24"/>
                <w:szCs w:val="24"/>
              </w:rPr>
            </w:pPr>
            <w:r>
              <w:rPr>
                <w:rFonts w:hint="eastAsia" w:ascii="仿宋_GB2312" w:hAnsi="仿宋_GB2312" w:eastAsia="仿宋_GB2312" w:cs="仿宋_GB2312"/>
                <w:color w:val="auto"/>
                <w:sz w:val="24"/>
                <w:szCs w:val="24"/>
              </w:rPr>
              <w:t>稳定员工队伍的</w:t>
            </w:r>
            <w:r>
              <w:rPr>
                <w:rFonts w:hint="eastAsia" w:ascii="仿宋_GB2312" w:hAnsi="仿宋_GB2312" w:eastAsia="仿宋_GB2312" w:cs="仿宋_GB2312"/>
                <w:bCs/>
                <w:iCs/>
                <w:color w:val="auto"/>
                <w:sz w:val="24"/>
                <w:szCs w:val="24"/>
              </w:rPr>
              <w:t>方案</w:t>
            </w:r>
          </w:p>
        </w:tc>
        <w:tc>
          <w:tcPr>
            <w:tcW w:w="6416" w:type="dxa"/>
            <w:noWrap w:val="0"/>
            <w:vAlign w:val="center"/>
          </w:tcPr>
          <w:p>
            <w:pPr>
              <w:spacing w:line="360" w:lineRule="exact"/>
              <w:jc w:val="left"/>
              <w:rPr>
                <w:rFonts w:hint="eastAsia" w:ascii="仿宋_GB2312" w:hAnsi="仿宋_GB2312" w:eastAsia="仿宋_GB2312" w:cs="仿宋_GB2312"/>
                <w:bCs/>
                <w:iCs/>
                <w:sz w:val="24"/>
                <w:szCs w:val="24"/>
              </w:rPr>
            </w:pPr>
            <w:r>
              <w:rPr>
                <w:rFonts w:hint="eastAsia" w:ascii="仿宋_GB2312" w:hAnsi="仿宋_GB2312" w:eastAsia="仿宋_GB2312" w:cs="仿宋_GB2312"/>
                <w:bCs/>
                <w:iCs/>
                <w:color w:val="auto"/>
                <w:sz w:val="24"/>
                <w:szCs w:val="24"/>
              </w:rPr>
              <w:t>根据投标人提供</w:t>
            </w:r>
            <w:r>
              <w:rPr>
                <w:rFonts w:hint="eastAsia" w:ascii="仿宋_GB2312" w:hAnsi="仿宋_GB2312" w:eastAsia="仿宋_GB2312" w:cs="仿宋_GB2312"/>
                <w:bCs/>
                <w:iCs/>
                <w:color w:val="auto"/>
                <w:sz w:val="24"/>
                <w:szCs w:val="24"/>
                <w:lang w:eastAsia="zh-CN"/>
              </w:rPr>
              <w:t>的</w:t>
            </w:r>
            <w:r>
              <w:rPr>
                <w:rFonts w:hint="eastAsia" w:ascii="仿宋_GB2312" w:hAnsi="仿宋_GB2312" w:eastAsia="仿宋_GB2312" w:cs="仿宋_GB2312"/>
                <w:bCs/>
                <w:iCs/>
                <w:color w:val="auto"/>
                <w:sz w:val="24"/>
                <w:szCs w:val="24"/>
              </w:rPr>
              <w:t>稳定员工队伍的可行性措施及方案进行打分，包括但不限于员工福利待遇，工会福利等。</w:t>
            </w:r>
            <w:r>
              <w:rPr>
                <w:rFonts w:hint="eastAsia" w:ascii="仿宋_GB2312" w:hAnsi="仿宋_GB2312" w:eastAsia="仿宋_GB2312" w:cs="仿宋_GB2312"/>
                <w:color w:val="auto"/>
                <w:sz w:val="24"/>
                <w:szCs w:val="24"/>
              </w:rPr>
              <w:t>(本项分值设置为5,4,3,2,1,0.5,0分)</w:t>
            </w:r>
          </w:p>
        </w:tc>
        <w:tc>
          <w:tcPr>
            <w:tcW w:w="786" w:type="dxa"/>
            <w:noWrap w:val="0"/>
            <w:vAlign w:val="center"/>
          </w:tcPr>
          <w:p>
            <w:pPr>
              <w:autoSpaceDE w:val="0"/>
              <w:spacing w:line="288" w:lineRule="auto"/>
              <w:jc w:val="center"/>
              <w:rPr>
                <w:rFonts w:hint="eastAsia" w:ascii="仿宋_GB2312" w:hAnsi="仿宋_GB2312" w:eastAsia="仿宋_GB2312" w:cs="仿宋_GB2312"/>
                <w:bCs/>
                <w:iCs/>
                <w:sz w:val="24"/>
                <w:szCs w:val="24"/>
              </w:rPr>
            </w:pPr>
            <w:r>
              <w:rPr>
                <w:rFonts w:hint="eastAsia" w:ascii="仿宋_GB2312" w:hAnsi="仿宋_GB2312" w:eastAsia="仿宋_GB2312" w:cs="仿宋_GB2312"/>
                <w:color w:val="auto"/>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noWrap w:val="0"/>
            <w:vAlign w:val="center"/>
          </w:tcPr>
          <w:p>
            <w:pPr>
              <w:autoSpaceDE w:val="0"/>
              <w:spacing w:line="288" w:lineRule="auto"/>
              <w:jc w:val="center"/>
              <w:rPr>
                <w:rFonts w:hint="eastAsia" w:ascii="仿宋_GB2312" w:hAnsi="仿宋_GB2312" w:eastAsia="仿宋_GB2312" w:cs="仿宋_GB2312"/>
                <w:kern w:val="0"/>
                <w:sz w:val="24"/>
                <w:szCs w:val="24"/>
                <w:lang w:val="en-US"/>
              </w:rPr>
            </w:pPr>
            <w:r>
              <w:rPr>
                <w:rFonts w:hint="eastAsia" w:ascii="仿宋_GB2312" w:hAnsi="仿宋_GB2312" w:eastAsia="仿宋_GB2312" w:cs="仿宋_GB2312"/>
                <w:color w:val="auto"/>
                <w:sz w:val="24"/>
                <w:szCs w:val="24"/>
                <w:lang w:val="en-US" w:eastAsia="zh-CN"/>
              </w:rPr>
              <w:t>17</w:t>
            </w:r>
          </w:p>
        </w:tc>
        <w:tc>
          <w:tcPr>
            <w:tcW w:w="1413" w:type="dxa"/>
            <w:noWrap w:val="0"/>
            <w:vAlign w:val="center"/>
          </w:tcPr>
          <w:p>
            <w:pPr>
              <w:spacing w:line="360" w:lineRule="exact"/>
              <w:jc w:val="center"/>
              <w:rPr>
                <w:rFonts w:hint="eastAsia" w:ascii="仿宋_GB2312" w:hAnsi="仿宋_GB2312" w:eastAsia="仿宋_GB2312" w:cs="仿宋_GB2312"/>
                <w:bCs/>
                <w:iCs/>
                <w:sz w:val="24"/>
                <w:szCs w:val="24"/>
              </w:rPr>
            </w:pPr>
            <w:r>
              <w:rPr>
                <w:rFonts w:hint="eastAsia" w:ascii="仿宋_GB2312" w:hAnsi="仿宋_GB2312" w:eastAsia="仿宋_GB2312" w:cs="仿宋_GB2312"/>
                <w:color w:val="auto"/>
                <w:sz w:val="24"/>
                <w:szCs w:val="24"/>
              </w:rPr>
              <w:t>物资设备保障方案</w:t>
            </w:r>
          </w:p>
        </w:tc>
        <w:tc>
          <w:tcPr>
            <w:tcW w:w="6416" w:type="dxa"/>
            <w:noWrap w:val="0"/>
            <w:vAlign w:val="center"/>
          </w:tcPr>
          <w:p>
            <w:pPr>
              <w:spacing w:line="360" w:lineRule="exact"/>
              <w:jc w:val="left"/>
              <w:rPr>
                <w:rFonts w:hint="eastAsia" w:ascii="仿宋_GB2312" w:hAnsi="仿宋_GB2312" w:eastAsia="仿宋_GB2312" w:cs="仿宋_GB2312"/>
                <w:bCs/>
                <w:iCs/>
                <w:sz w:val="24"/>
                <w:szCs w:val="24"/>
              </w:rPr>
            </w:pPr>
            <w:r>
              <w:rPr>
                <w:rFonts w:hint="eastAsia" w:ascii="仿宋_GB2312" w:hAnsi="仿宋_GB2312" w:eastAsia="仿宋_GB2312" w:cs="仿宋_GB2312"/>
                <w:bCs/>
                <w:iCs/>
                <w:color w:val="auto"/>
                <w:sz w:val="24"/>
                <w:szCs w:val="24"/>
              </w:rPr>
              <w:t>根据投标人提供的物资设备保障方案进行打分</w:t>
            </w:r>
            <w:r>
              <w:rPr>
                <w:rFonts w:hint="eastAsia" w:ascii="仿宋_GB2312" w:hAnsi="仿宋_GB2312" w:eastAsia="仿宋_GB2312" w:cs="仿宋_GB2312"/>
                <w:bCs/>
                <w:iCs/>
                <w:color w:val="auto"/>
                <w:sz w:val="24"/>
                <w:szCs w:val="24"/>
                <w:lang w:eastAsia="zh-CN"/>
              </w:rPr>
              <w:t>，</w:t>
            </w:r>
            <w:r>
              <w:rPr>
                <w:rFonts w:hint="eastAsia" w:ascii="仿宋_GB2312" w:hAnsi="仿宋_GB2312" w:eastAsia="仿宋_GB2312" w:cs="仿宋_GB2312"/>
                <w:bCs/>
                <w:iCs/>
                <w:color w:val="auto"/>
                <w:sz w:val="24"/>
                <w:szCs w:val="24"/>
              </w:rPr>
              <w:t>包</w:t>
            </w:r>
            <w:r>
              <w:rPr>
                <w:rFonts w:hint="eastAsia" w:ascii="仿宋_GB2312" w:hAnsi="仿宋_GB2312" w:eastAsia="仿宋_GB2312" w:cs="仿宋_GB2312"/>
                <w:bCs/>
                <w:iCs/>
                <w:color w:val="auto"/>
                <w:sz w:val="24"/>
                <w:szCs w:val="24"/>
                <w:lang w:eastAsia="zh-CN"/>
              </w:rPr>
              <w:t>括</w:t>
            </w:r>
            <w:r>
              <w:rPr>
                <w:rFonts w:hint="eastAsia" w:ascii="仿宋_GB2312" w:hAnsi="仿宋_GB2312" w:eastAsia="仿宋_GB2312" w:cs="仿宋_GB2312"/>
                <w:bCs/>
                <w:iCs/>
                <w:color w:val="auto"/>
                <w:sz w:val="24"/>
                <w:szCs w:val="24"/>
              </w:rPr>
              <w:t>但不限于技术装备、物资清单等方面。(本项分值设置为5,4,3,2,1,0.5,0分)</w:t>
            </w:r>
          </w:p>
        </w:tc>
        <w:tc>
          <w:tcPr>
            <w:tcW w:w="786" w:type="dxa"/>
            <w:noWrap w:val="0"/>
            <w:vAlign w:val="center"/>
          </w:tcPr>
          <w:p>
            <w:pPr>
              <w:autoSpaceDE w:val="0"/>
              <w:spacing w:line="288" w:lineRule="auto"/>
              <w:jc w:val="center"/>
              <w:rPr>
                <w:rFonts w:hint="eastAsia" w:ascii="仿宋_GB2312" w:hAnsi="仿宋_GB2312" w:eastAsia="仿宋_GB2312" w:cs="仿宋_GB2312"/>
                <w:bCs/>
                <w:iCs/>
                <w:sz w:val="24"/>
                <w:szCs w:val="24"/>
              </w:rPr>
            </w:pPr>
            <w:r>
              <w:rPr>
                <w:rFonts w:hint="eastAsia" w:ascii="仿宋_GB2312" w:hAnsi="仿宋_GB2312" w:eastAsia="仿宋_GB2312" w:cs="仿宋_GB2312"/>
                <w:color w:val="auto"/>
                <w:sz w:val="24"/>
                <w:szCs w:val="24"/>
                <w:lang w:val="en-US" w:eastAsia="zh-CN"/>
              </w:rPr>
              <w:t>5</w:t>
            </w:r>
          </w:p>
        </w:tc>
      </w:tr>
    </w:tbl>
    <w:p>
      <w:pPr>
        <w:keepNext w:val="0"/>
        <w:keepLines w:val="0"/>
        <w:pageBreakBefore w:val="0"/>
        <w:kinsoku/>
        <w:wordWrap w:val="0"/>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pPr>
        <w:keepNext w:val="0"/>
        <w:keepLines w:val="0"/>
        <w:pageBreakBefore w:val="0"/>
        <w:kinsoku/>
        <w:wordWrap w:val="0"/>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 xml:space="preserve"> 40 </w:t>
      </w:r>
      <w:r>
        <w:rPr>
          <w:rFonts w:hint="eastAsia" w:ascii="仿宋" w:hAnsi="仿宋" w:eastAsia="仿宋" w:cs="仿宋"/>
          <w:b/>
          <w:bCs/>
          <w:iCs/>
          <w:color w:val="auto"/>
          <w:sz w:val="24"/>
          <w:highlight w:val="none"/>
        </w:rPr>
        <w:t>分）</w:t>
      </w:r>
    </w:p>
    <w:p>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 xml:space="preserve"> 40 </w:t>
      </w:r>
    </w:p>
    <w:p>
      <w:pPr>
        <w:pStyle w:val="25"/>
        <w:kinsoku/>
        <w:wordWrap w:val="0"/>
        <w:overflowPunct/>
        <w:topLinePunct w:val="0"/>
        <w:bidi w:val="0"/>
        <w:snapToGrid w:val="0"/>
        <w:spacing w:line="360" w:lineRule="auto"/>
        <w:ind w:firstLine="0" w:firstLineChars="0"/>
        <w:rPr>
          <w:rFonts w:hint="eastAsia" w:ascii="仿宋" w:hAnsi="仿宋" w:eastAsia="仿宋" w:cs="仿宋"/>
          <w:color w:val="auto"/>
          <w:highlight w:val="none"/>
        </w:rPr>
      </w:pPr>
    </w:p>
    <w:p>
      <w:pPr>
        <w:widowControl/>
        <w:kinsoku/>
        <w:wordWrap w:val="0"/>
        <w:overflowPunct/>
        <w:topLinePunct w:val="0"/>
        <w:bidi w:val="0"/>
        <w:adjustRightInd/>
        <w:jc w:val="center"/>
        <w:rPr>
          <w:rFonts w:hint="eastAsia" w:ascii="仿宋" w:hAnsi="仿宋" w:eastAsia="仿宋" w:cs="仿宋"/>
          <w:b/>
          <w:color w:val="auto"/>
          <w:sz w:val="36"/>
          <w:szCs w:val="20"/>
          <w:highlight w:val="none"/>
        </w:rPr>
      </w:pPr>
    </w:p>
    <w:p>
      <w:pPr>
        <w:pStyle w:val="23"/>
        <w:kinsoku/>
        <w:wordWrap w:val="0"/>
        <w:overflowPunct/>
        <w:topLinePunct w:val="0"/>
        <w:bidi w:val="0"/>
        <w:rPr>
          <w:rFonts w:hint="eastAsia" w:ascii="仿宋" w:hAnsi="仿宋" w:eastAsia="仿宋" w:cs="仿宋"/>
          <w:b/>
          <w:color w:val="auto"/>
          <w:sz w:val="36"/>
          <w:szCs w:val="20"/>
          <w:highlight w:val="none"/>
        </w:rPr>
      </w:pPr>
    </w:p>
    <w:p>
      <w:pPr>
        <w:pStyle w:val="24"/>
        <w:kinsoku/>
        <w:wordWrap w:val="0"/>
        <w:overflowPunct/>
        <w:topLinePunct w:val="0"/>
        <w:bidi w:val="0"/>
        <w:rPr>
          <w:rFonts w:hint="eastAsia" w:ascii="仿宋" w:hAnsi="仿宋" w:eastAsia="仿宋" w:cs="仿宋"/>
          <w:b/>
          <w:color w:val="auto"/>
          <w:sz w:val="36"/>
          <w:szCs w:val="20"/>
          <w:highlight w:val="none"/>
        </w:rPr>
      </w:pPr>
    </w:p>
    <w:p>
      <w:pPr>
        <w:keepNext w:val="0"/>
        <w:keepLines w:val="0"/>
        <w:pageBreakBefore/>
        <w:widowControl/>
        <w:kinsoku/>
        <w:wordWrap w:val="0"/>
        <w:overflowPunct/>
        <w:topLinePunct w:val="0"/>
        <w:autoSpaceDE/>
        <w:autoSpaceDN/>
        <w:bidi w:val="0"/>
        <w:adjustRightInd/>
        <w:snapToGrid/>
        <w:jc w:val="center"/>
        <w:textAlignment w:val="auto"/>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23"/>
        <w:kinsoku/>
        <w:wordWrap w:val="0"/>
        <w:overflowPunct/>
        <w:topLinePunct w:val="0"/>
        <w:bidi w:val="0"/>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绍兴市第八中学</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绍兴市公共资源交易中心</w:t>
      </w:r>
      <w:r>
        <w:rPr>
          <w:rFonts w:hint="eastAsia" w:ascii="仿宋" w:hAnsi="仿宋" w:eastAsia="仿宋" w:cs="仿宋"/>
          <w:color w:val="auto"/>
          <w:sz w:val="24"/>
          <w:highlight w:val="none"/>
        </w:rPr>
        <w:t>：</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绍兴市第八中学物业管理服务项目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2025-07-0056</w:t>
      </w:r>
      <w:r>
        <w:rPr>
          <w:rFonts w:hint="eastAsia" w:ascii="仿宋" w:hAnsi="仿宋" w:eastAsia="仿宋" w:cs="仿宋"/>
          <w:color w:val="auto"/>
          <w:sz w:val="24"/>
          <w:highlight w:val="none"/>
        </w:rPr>
        <w:t>】政府采购活动，郑重承诺：</w:t>
      </w:r>
    </w:p>
    <w:p>
      <w:pPr>
        <w:kinsoku/>
        <w:wordWrap w:val="0"/>
        <w:overflowPunct/>
        <w:topLinePunct w:val="0"/>
        <w:bidi w:val="0"/>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（二）未被信用中国（www.creditchina.gov.cn)、中国政府采购网（www.ccgp.gov.cn）列入失信被执行人、重大税收违法失信主体、政府采购严重违法失信行为记录名单。</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kinsoku/>
        <w:wordWrap w:val="0"/>
        <w:overflowPunct/>
        <w:topLinePunct w:val="0"/>
        <w:bidi w:val="0"/>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kinsoku/>
        <w:wordWrap w:val="0"/>
        <w:overflowPunct/>
        <w:topLinePunct w:val="0"/>
        <w:bidi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widowControl/>
        <w:kinsoku/>
        <w:wordWrap w:val="0"/>
        <w:overflowPunct/>
        <w:topLinePunct w:val="0"/>
        <w:bidi w:val="0"/>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widowControl/>
        <w:kinsoku/>
        <w:wordWrap w:val="0"/>
        <w:overflowPunct/>
        <w:topLinePunct w:val="0"/>
        <w:bidi w:val="0"/>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pPr>
        <w:widowControl/>
        <w:kinsoku/>
        <w:wordWrap w:val="0"/>
        <w:overflowPunct/>
        <w:topLinePunct w:val="0"/>
        <w:bidi w:val="0"/>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pPr>
        <w:widowControl/>
        <w:kinsoku/>
        <w:wordWrap w:val="0"/>
        <w:overflowPunct/>
        <w:topLinePunct w:val="0"/>
        <w:bidi w:val="0"/>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kinsoku/>
        <w:wordWrap w:val="0"/>
        <w:overflowPunct/>
        <w:topLinePunct w:val="0"/>
        <w:bidi w:val="0"/>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pPr>
        <w:widowControl/>
        <w:kinsoku/>
        <w:wordWrap w:val="0"/>
        <w:overflowPunct/>
        <w:topLinePunct w:val="0"/>
        <w:bidi w:val="0"/>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kinsoku/>
        <w:wordWrap w:val="0"/>
        <w:overflowPunct/>
        <w:topLinePunct w:val="0"/>
        <w:bidi w:val="0"/>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kinsoku/>
        <w:wordWrap w:val="0"/>
        <w:overflowPunct/>
        <w:topLinePunct w:val="0"/>
        <w:bidi w:val="0"/>
        <w:spacing w:line="360" w:lineRule="auto"/>
        <w:ind w:left="150"/>
        <w:jc w:val="center"/>
        <w:rPr>
          <w:rFonts w:hint="eastAsia" w:ascii="仿宋" w:hAnsi="仿宋" w:eastAsia="仿宋" w:cs="仿宋"/>
          <w:b/>
          <w:color w:val="auto"/>
          <w:kern w:val="0"/>
          <w:sz w:val="32"/>
          <w:szCs w:val="32"/>
          <w:highlight w:val="none"/>
        </w:rPr>
      </w:pPr>
    </w:p>
    <w:p>
      <w:pPr>
        <w:widowControl/>
        <w:kinsoku/>
        <w:wordWrap w:val="0"/>
        <w:overflowPunct/>
        <w:topLinePunct w:val="0"/>
        <w:bidi w:val="0"/>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kinsoku/>
        <w:wordWrap w:val="0"/>
        <w:overflowPunct/>
        <w:topLinePunct w:val="0"/>
        <w:bidi w:val="0"/>
        <w:spacing w:line="360" w:lineRule="auto"/>
        <w:jc w:val="center"/>
        <w:outlineLvl w:val="0"/>
        <w:rPr>
          <w:rFonts w:hint="eastAsia" w:ascii="仿宋" w:hAnsi="仿宋" w:eastAsia="仿宋" w:cs="仿宋"/>
          <w:b/>
          <w:color w:val="auto"/>
          <w:kern w:val="0"/>
          <w:sz w:val="24"/>
          <w:highlight w:val="none"/>
        </w:rPr>
      </w:pPr>
    </w:p>
    <w:p>
      <w:pPr>
        <w:keepNext w:val="0"/>
        <w:keepLines w:val="0"/>
        <w:pageBreakBefore/>
        <w:widowControl w:val="0"/>
        <w:kinsoku/>
        <w:wordWrap w:val="0"/>
        <w:overflowPunct/>
        <w:topLinePunct w:val="0"/>
        <w:autoSpaceDE/>
        <w:autoSpaceDN/>
        <w:bidi w:val="0"/>
        <w:adjustRightInd w:val="0"/>
        <w:snapToGrid/>
        <w:spacing w:line="336" w:lineRule="auto"/>
        <w:jc w:val="center"/>
        <w:textAlignment w:val="auto"/>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kinsoku/>
        <w:wordWrap w:val="0"/>
        <w:overflowPunct/>
        <w:topLinePunct w:val="0"/>
        <w:bidi w:val="0"/>
        <w:spacing w:line="336" w:lineRule="auto"/>
        <w:jc w:val="center"/>
        <w:outlineLvl w:val="0"/>
        <w:rPr>
          <w:rFonts w:ascii="仿宋" w:hAnsi="仿宋" w:eastAsia="仿宋" w:cs="仿宋"/>
          <w:b/>
          <w:color w:val="auto"/>
          <w:kern w:val="0"/>
          <w:sz w:val="24"/>
          <w:highlight w:val="none"/>
        </w:rPr>
      </w:pPr>
    </w:p>
    <w:p>
      <w:pPr>
        <w:kinsoku/>
        <w:wordWrap w:val="0"/>
        <w:overflowPunct/>
        <w:topLinePunct w:val="0"/>
        <w:bidi w:val="0"/>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4"/>
        <w:numPr>
          <w:ilvl w:val="0"/>
          <w:numId w:val="13"/>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pPr>
        <w:pStyle w:val="904"/>
        <w:numPr>
          <w:ilvl w:val="0"/>
          <w:numId w:val="13"/>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pPr>
        <w:pStyle w:val="904"/>
        <w:numPr>
          <w:ilvl w:val="0"/>
          <w:numId w:val="13"/>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pPr>
        <w:pStyle w:val="904"/>
        <w:numPr>
          <w:ilvl w:val="0"/>
          <w:numId w:val="13"/>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pPr>
        <w:pStyle w:val="904"/>
        <w:numPr>
          <w:ilvl w:val="0"/>
          <w:numId w:val="13"/>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pPr>
        <w:pStyle w:val="904"/>
        <w:numPr>
          <w:ilvl w:val="0"/>
          <w:numId w:val="13"/>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pPr>
        <w:pStyle w:val="904"/>
        <w:numPr>
          <w:ilvl w:val="0"/>
          <w:numId w:val="13"/>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pPr>
        <w:kinsoku/>
        <w:wordWrap w:val="0"/>
        <w:overflowPunct/>
        <w:topLinePunct w:val="0"/>
        <w:bidi w:val="0"/>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pPr>
        <w:kinsoku/>
        <w:wordWrap w:val="0"/>
        <w:overflowPunct/>
        <w:topLinePunct w:val="0"/>
        <w:bidi w:val="0"/>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pPr>
        <w:kinsoku/>
        <w:wordWrap w:val="0"/>
        <w:overflowPunct/>
        <w:topLinePunct w:val="0"/>
        <w:bidi w:val="0"/>
        <w:snapToGrid w:val="0"/>
        <w:spacing w:line="360" w:lineRule="auto"/>
        <w:jc w:val="both"/>
        <w:rPr>
          <w:rFonts w:hint="eastAsia" w:ascii="仿宋" w:hAnsi="仿宋" w:eastAsia="仿宋" w:cs="仿宋"/>
          <w:b/>
          <w:color w:val="auto"/>
          <w:kern w:val="0"/>
          <w:sz w:val="32"/>
          <w:szCs w:val="32"/>
          <w:highlight w:val="none"/>
          <w:lang w:val="zh-CN"/>
        </w:rPr>
      </w:pPr>
    </w:p>
    <w:p>
      <w:pPr>
        <w:widowControl/>
        <w:kinsoku/>
        <w:wordWrap w:val="0"/>
        <w:overflowPunct/>
        <w:topLinePunct w:val="0"/>
        <w:bidi w:val="0"/>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kinsoku/>
        <w:wordWrap w:val="0"/>
        <w:overflowPunct/>
        <w:topLinePunct w:val="0"/>
        <w:bidi w:val="0"/>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_GB2312" w:hAnsi="仿宋" w:eastAsia="仿宋_GB2312" w:cs="仿宋"/>
          <w:color w:val="auto"/>
          <w:szCs w:val="24"/>
          <w:highlight w:val="none"/>
          <w:u w:val="single"/>
          <w:lang w:eastAsia="zh-CN"/>
        </w:rPr>
        <w:t>绍兴市第八中学</w:t>
      </w:r>
      <w:r>
        <w:rPr>
          <w:rFonts w:hint="eastAsia" w:ascii="仿宋_GB2312" w:hAnsi="仿宋" w:eastAsia="仿宋_GB2312" w:cs="仿宋"/>
          <w:color w:val="auto"/>
          <w:szCs w:val="24"/>
          <w:highlight w:val="none"/>
          <w:u w:val="single"/>
        </w:rPr>
        <w:t>、绍兴市公共资源交易中心</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pPr>
        <w:pStyle w:val="13"/>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pPr>
        <w:pStyle w:val="13"/>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pPr>
        <w:pageBreakBefore/>
        <w:kinsoku/>
        <w:wordWrap w:val="0"/>
        <w:overflowPunct/>
        <w:topLinePunct w:val="0"/>
        <w:bidi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pPr>
        <w:kinsoku/>
        <w:wordWrap w:val="0"/>
        <w:overflowPunct/>
        <w:topLinePunct w:val="0"/>
        <w:bidi w:val="0"/>
        <w:jc w:val="center"/>
        <w:rPr>
          <w:rFonts w:hint="eastAsia" w:ascii="仿宋" w:hAnsi="仿宋" w:eastAsia="仿宋" w:cs="仿宋"/>
          <w:b/>
          <w:color w:val="auto"/>
          <w:sz w:val="24"/>
          <w:highlight w:val="none"/>
        </w:rPr>
      </w:pPr>
    </w:p>
    <w:p>
      <w:pPr>
        <w:kinsoku/>
        <w:wordWrap w:val="0"/>
        <w:overflowPunct/>
        <w:topLinePunct w:val="0"/>
        <w:bidi w:val="0"/>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绍兴市第八中学、绍兴市公共资源交易中心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绍兴市第八中学物业管理服务项目（招标编号:2025-07-0056）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kinsoku/>
        <w:wordWrap w:val="0"/>
        <w:overflowPunct/>
        <w:topLinePunct w:val="0"/>
        <w:bidi w:val="0"/>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kinsoku/>
        <w:wordWrap w:val="0"/>
        <w:overflowPunct/>
        <w:topLinePunct w:val="0"/>
        <w:bidi w:val="0"/>
        <w:snapToGrid w:val="0"/>
        <w:spacing w:line="600" w:lineRule="exact"/>
        <w:jc w:val="lef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kinsoku/>
        <w:wordWrap w:val="0"/>
        <w:overflowPunct/>
        <w:topLinePunct w:val="0"/>
        <w:bidi w:val="0"/>
        <w:spacing w:line="360" w:lineRule="exact"/>
        <w:rPr>
          <w:rFonts w:hint="eastAsia" w:ascii="仿宋" w:hAnsi="仿宋" w:eastAsia="仿宋" w:cs="仿宋"/>
          <w:color w:val="auto"/>
          <w:sz w:val="24"/>
          <w:highlight w:val="none"/>
        </w:rPr>
      </w:pPr>
    </w:p>
    <w:p>
      <w:pPr>
        <w:widowControl/>
        <w:kinsoku/>
        <w:wordWrap w:val="0"/>
        <w:overflowPunct/>
        <w:topLinePunct w:val="0"/>
        <w:bidi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kinsoku/>
        <w:wordWrap w:val="0"/>
        <w:overflowPunct/>
        <w:topLinePunct w:val="0"/>
        <w:bidi w:val="0"/>
        <w:ind w:firstLine="4920" w:firstLineChars="2050"/>
        <w:jc w:val="left"/>
        <w:rPr>
          <w:rFonts w:hint="eastAsia" w:ascii="仿宋" w:hAnsi="仿宋" w:eastAsia="仿宋" w:cs="仿宋"/>
          <w:color w:val="auto"/>
          <w:sz w:val="24"/>
          <w:highlight w:val="none"/>
        </w:rPr>
      </w:pPr>
    </w:p>
    <w:p>
      <w:pPr>
        <w:kinsoku/>
        <w:wordWrap w:val="0"/>
        <w:overflowPunct/>
        <w:topLinePunct w:val="0"/>
        <w:bidi w:val="0"/>
        <w:spacing w:line="800" w:lineRule="exact"/>
        <w:rPr>
          <w:rFonts w:hint="eastAsia" w:ascii="仿宋" w:hAnsi="仿宋" w:eastAsia="仿宋" w:cs="仿宋"/>
          <w:b/>
          <w:color w:val="auto"/>
          <w:sz w:val="24"/>
          <w:highlight w:val="none"/>
        </w:rPr>
      </w:pPr>
    </w:p>
    <w:p>
      <w:pPr>
        <w:pageBreakBefore/>
        <w:kinsoku/>
        <w:wordWrap w:val="0"/>
        <w:overflowPunct/>
        <w:topLinePunct w:val="0"/>
        <w:bidi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kinsoku/>
        <w:wordWrap w:val="0"/>
        <w:overflowPunct/>
        <w:topLinePunct w:val="0"/>
        <w:bidi w:val="0"/>
        <w:jc w:val="center"/>
        <w:rPr>
          <w:rFonts w:hint="eastAsia" w:ascii="仿宋" w:hAnsi="仿宋" w:eastAsia="仿宋" w:cs="仿宋"/>
          <w:b/>
          <w:color w:val="auto"/>
          <w:sz w:val="24"/>
          <w:highlight w:val="none"/>
        </w:rPr>
      </w:pPr>
    </w:p>
    <w:p>
      <w:pPr>
        <w:kinsoku/>
        <w:wordWrap w:val="0"/>
        <w:overflowPunct/>
        <w:topLinePunct w:val="0"/>
        <w:bidi w:val="0"/>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kinsoku/>
        <w:wordWrap w:val="0"/>
        <w:overflowPunct/>
        <w:topLinePunct w:val="0"/>
        <w:bidi w:val="0"/>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绍兴市第八中学、绍兴市公共资源交易中心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绍兴市第八中学物业管理服务项目（招标编号:2025-07-0056）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kinsoku/>
        <w:wordWrap w:val="0"/>
        <w:overflowPunct/>
        <w:topLinePunct w:val="0"/>
        <w:bidi w:val="0"/>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kinsoku/>
        <w:wordWrap w:val="0"/>
        <w:overflowPunct/>
        <w:topLinePunct w:val="0"/>
        <w:bidi w:val="0"/>
        <w:snapToGrid w:val="0"/>
        <w:spacing w:line="600" w:lineRule="exact"/>
        <w:jc w:val="lef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kinsoku/>
        <w:wordWrap w:val="0"/>
        <w:overflowPunct/>
        <w:topLinePunct w:val="0"/>
        <w:bidi w:val="0"/>
        <w:spacing w:line="360" w:lineRule="exact"/>
        <w:rPr>
          <w:rFonts w:hint="eastAsia" w:ascii="仿宋" w:hAnsi="仿宋" w:eastAsia="仿宋" w:cs="仿宋"/>
          <w:color w:val="auto"/>
          <w:sz w:val="24"/>
          <w:highlight w:val="none"/>
        </w:rPr>
      </w:pPr>
    </w:p>
    <w:p>
      <w:pPr>
        <w:widowControl/>
        <w:kinsoku/>
        <w:wordWrap w:val="0"/>
        <w:overflowPunct/>
        <w:topLinePunct w:val="0"/>
        <w:bidi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rPr>
          <w:rFonts w:hint="eastAsia" w:ascii="仿宋" w:hAnsi="仿宋" w:eastAsia="仿宋" w:cs="仿宋"/>
          <w:color w:val="auto"/>
          <w:highlight w:val="none"/>
        </w:rPr>
      </w:pPr>
    </w:p>
    <w:p>
      <w:pPr>
        <w:kinsoku/>
        <w:wordWrap w:val="0"/>
        <w:overflowPunct/>
        <w:topLinePunct w:val="0"/>
        <w:bidi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insoku/>
        <w:wordWrap w:val="0"/>
        <w:overflowPunct/>
        <w:topLinePunct w:val="0"/>
        <w:bidi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insoku/>
        <w:wordWrap w:val="0"/>
        <w:overflowPunct/>
        <w:topLinePunct w:val="0"/>
        <w:bidi w:val="0"/>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kinsoku/>
        <w:wordWrap w:val="0"/>
        <w:overflowPunct/>
        <w:topLinePunct w:val="0"/>
        <w:bidi w:val="0"/>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kinsoku/>
        <w:wordWrap w:val="0"/>
        <w:overflowPunct/>
        <w:topLinePunct w:val="0"/>
        <w:autoSpaceDE w:val="0"/>
        <w:autoSpaceDN w:val="0"/>
        <w:bidi w:val="0"/>
        <w:spacing w:line="360" w:lineRule="auto"/>
        <w:jc w:val="center"/>
        <w:rPr>
          <w:rFonts w:hint="eastAsia" w:ascii="仿宋" w:hAnsi="仿宋" w:eastAsia="仿宋" w:cs="仿宋"/>
          <w:b/>
          <w:color w:val="auto"/>
          <w:kern w:val="0"/>
          <w:sz w:val="32"/>
          <w:szCs w:val="32"/>
          <w:highlight w:val="none"/>
          <w:lang w:val="zh-CN"/>
        </w:rPr>
      </w:pPr>
    </w:p>
    <w:p>
      <w:pPr>
        <w:kinsoku/>
        <w:wordWrap w:val="0"/>
        <w:overflowPunct/>
        <w:topLinePunct w:val="0"/>
        <w:autoSpaceDE w:val="0"/>
        <w:autoSpaceDN w:val="0"/>
        <w:bidi w:val="0"/>
        <w:spacing w:line="360" w:lineRule="auto"/>
        <w:jc w:val="center"/>
        <w:rPr>
          <w:rFonts w:hint="eastAsia" w:ascii="仿宋" w:hAnsi="仿宋" w:eastAsia="仿宋" w:cs="仿宋"/>
          <w:b/>
          <w:color w:val="auto"/>
          <w:kern w:val="0"/>
          <w:sz w:val="32"/>
          <w:szCs w:val="32"/>
          <w:highlight w:val="none"/>
          <w:lang w:val="zh-CN"/>
        </w:rPr>
      </w:pPr>
    </w:p>
    <w:p>
      <w:pPr>
        <w:kinsoku/>
        <w:wordWrap w:val="0"/>
        <w:overflowPunct/>
        <w:topLinePunct w:val="0"/>
        <w:autoSpaceDE w:val="0"/>
        <w:autoSpaceDN w:val="0"/>
        <w:bidi w:val="0"/>
        <w:spacing w:line="360" w:lineRule="auto"/>
        <w:jc w:val="center"/>
        <w:rPr>
          <w:rFonts w:hint="eastAsia" w:ascii="仿宋" w:hAnsi="仿宋" w:eastAsia="仿宋" w:cs="仿宋"/>
          <w:b/>
          <w:color w:val="auto"/>
          <w:kern w:val="0"/>
          <w:sz w:val="32"/>
          <w:szCs w:val="32"/>
          <w:highlight w:val="none"/>
          <w:lang w:val="zh-CN"/>
        </w:rPr>
      </w:pPr>
    </w:p>
    <w:p>
      <w:pPr>
        <w:pageBreakBefore/>
        <w:kinsoku/>
        <w:wordWrap w:val="0"/>
        <w:overflowPunct/>
        <w:topLinePunct w:val="0"/>
        <w:bidi w:val="0"/>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pPr>
        <w:kinsoku/>
        <w:wordWrap w:val="0"/>
        <w:overflowPunct/>
        <w:topLinePunct w:val="0"/>
        <w:bidi w:val="0"/>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kinsoku/>
        <w:wordWrap w:val="0"/>
        <w:overflowPunct/>
        <w:topLinePunct w:val="0"/>
        <w:bidi w:val="0"/>
        <w:spacing w:line="800" w:lineRule="exact"/>
        <w:rPr>
          <w:rFonts w:hint="eastAsia" w:ascii="仿宋" w:hAnsi="仿宋" w:eastAsia="仿宋" w:cs="仿宋"/>
          <w:b/>
          <w:color w:val="auto"/>
          <w:sz w:val="24"/>
          <w:highlight w:val="none"/>
        </w:rPr>
      </w:pPr>
    </w:p>
    <w:p>
      <w:pPr>
        <w:kinsoku/>
        <w:wordWrap w:val="0"/>
        <w:overflowPunct/>
        <w:topLinePunct w:val="0"/>
        <w:bidi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pPr>
        <w:kinsoku/>
        <w:wordWrap w:val="0"/>
        <w:overflowPunct/>
        <w:topLinePunct w:val="0"/>
        <w:bidi w:val="0"/>
        <w:spacing w:line="800" w:lineRule="exact"/>
        <w:rPr>
          <w:rFonts w:hint="eastAsia" w:ascii="仿宋" w:hAnsi="仿宋" w:eastAsia="仿宋" w:cs="仿宋"/>
          <w:b/>
          <w:color w:val="auto"/>
          <w:sz w:val="24"/>
          <w:highlight w:val="none"/>
        </w:rPr>
      </w:pPr>
    </w:p>
    <w:p>
      <w:pPr>
        <w:kinsoku/>
        <w:wordWrap w:val="0"/>
        <w:overflowPunct/>
        <w:topLinePunct w:val="0"/>
        <w:bidi w:val="0"/>
        <w:spacing w:line="800" w:lineRule="exact"/>
        <w:rPr>
          <w:rFonts w:hint="eastAsia" w:ascii="仿宋" w:hAnsi="仿宋" w:eastAsia="仿宋" w:cs="仿宋"/>
          <w:b/>
          <w:color w:val="auto"/>
          <w:sz w:val="24"/>
          <w:highlight w:val="none"/>
        </w:rPr>
      </w:pPr>
    </w:p>
    <w:p>
      <w:pPr>
        <w:kinsoku/>
        <w:wordWrap w:val="0"/>
        <w:overflowPunct/>
        <w:topLinePunct w:val="0"/>
        <w:bidi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kinsoku/>
        <w:wordWrap w:val="0"/>
        <w:overflowPunct/>
        <w:topLinePunct w:val="0"/>
        <w:bidi w:val="0"/>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kinsoku/>
        <w:wordWrap w:val="0"/>
        <w:overflowPunct/>
        <w:topLinePunct w:val="0"/>
        <w:bidi w:val="0"/>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kinsoku/>
        <w:wordWrap w:val="0"/>
        <w:overflowPunct/>
        <w:topLinePunct w:val="0"/>
        <w:bidi w:val="0"/>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kinsoku/>
        <w:wordWrap w:val="0"/>
        <w:overflowPunct/>
        <w:topLinePunct w:val="0"/>
        <w:bidi w:val="0"/>
        <w:spacing w:line="440" w:lineRule="exact"/>
        <w:rPr>
          <w:rFonts w:hint="eastAsia" w:ascii="仿宋" w:hAnsi="仿宋" w:eastAsia="仿宋" w:cs="仿宋"/>
          <w:color w:val="auto"/>
          <w:sz w:val="24"/>
          <w:highlight w:val="none"/>
        </w:rPr>
      </w:pPr>
    </w:p>
    <w:p>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pPr>
        <w:kinsoku/>
        <w:wordWrap w:val="0"/>
        <w:overflowPunct/>
        <w:topLinePunct w:val="0"/>
        <w:bidi w:val="0"/>
        <w:spacing w:line="440" w:lineRule="exact"/>
        <w:ind w:right="480"/>
        <w:rPr>
          <w:rFonts w:hint="eastAsia" w:ascii="仿宋" w:hAnsi="仿宋" w:eastAsia="仿宋" w:cs="仿宋"/>
          <w:color w:val="auto"/>
          <w:sz w:val="24"/>
          <w:highlight w:val="none"/>
        </w:rPr>
      </w:pPr>
    </w:p>
    <w:p>
      <w:pPr>
        <w:kinsoku/>
        <w:wordWrap w:val="0"/>
        <w:overflowPunct/>
        <w:topLinePunct w:val="0"/>
        <w:bidi w:val="0"/>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both"/>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354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127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354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127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354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127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r>
    </w:tbl>
    <w:p>
      <w:pPr>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pPr>
        <w:widowControl/>
        <w:kinsoku/>
        <w:wordWrap w:val="0"/>
        <w:overflowPunct/>
        <w:topLinePunct w:val="0"/>
        <w:bidi w:val="0"/>
        <w:adjustRightInd/>
        <w:jc w:val="left"/>
        <w:rPr>
          <w:rFonts w:hint="eastAsia" w:ascii="仿宋" w:hAnsi="仿宋" w:eastAsia="仿宋" w:cs="仿宋"/>
          <w:b/>
          <w:bCs/>
          <w:color w:val="auto"/>
          <w:sz w:val="32"/>
          <w:szCs w:val="32"/>
          <w:highlight w:val="none"/>
          <w:lang w:eastAsia="zh-CN"/>
        </w:rPr>
      </w:pPr>
    </w:p>
    <w:p>
      <w:pPr>
        <w:keepNext w:val="0"/>
        <w:keepLines w:val="0"/>
        <w:pageBreakBefore/>
        <w:widowControl/>
        <w:kinsoku/>
        <w:wordWrap w:val="0"/>
        <w:overflowPunct/>
        <w:topLinePunct w:val="0"/>
        <w:autoSpaceDE/>
        <w:autoSpaceDN/>
        <w:bidi w:val="0"/>
        <w:adjustRightInd/>
        <w:snapToGrid/>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kinsoku/>
        <w:wordWrap w:val="0"/>
        <w:overflowPunct/>
        <w:topLinePunct w:val="0"/>
        <w:bidi w:val="0"/>
        <w:snapToGrid w:val="0"/>
        <w:spacing w:line="360" w:lineRule="auto"/>
        <w:rPr>
          <w:rFonts w:hint="eastAsia" w:ascii="仿宋" w:hAnsi="仿宋" w:eastAsia="仿宋" w:cs="仿宋"/>
          <w:color w:val="auto"/>
          <w:sz w:val="24"/>
          <w:highlight w:val="none"/>
        </w:rPr>
      </w:pPr>
    </w:p>
    <w:p>
      <w:pPr>
        <w:kinsoku/>
        <w:wordWrap w:val="0"/>
        <w:overflowPunct/>
        <w:topLinePunct w:val="0"/>
        <w:bidi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绍兴市第八中学</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绍兴市公共资源交易中心</w:t>
      </w:r>
      <w:r>
        <w:rPr>
          <w:rFonts w:hint="eastAsia" w:ascii="仿宋" w:hAnsi="仿宋" w:eastAsia="仿宋" w:cs="仿宋"/>
          <w:color w:val="auto"/>
          <w:kern w:val="0"/>
          <w:sz w:val="24"/>
          <w:highlight w:val="none"/>
          <w:lang w:val="zh-CN"/>
        </w:rPr>
        <w:t>：</w:t>
      </w:r>
    </w:p>
    <w:p>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kinsoku/>
        <w:wordWrap w:val="0"/>
        <w:overflowPunct/>
        <w:topLinePunct w:val="0"/>
        <w:autoSpaceDE w:val="0"/>
        <w:autoSpaceDN w:val="0"/>
        <w:bidi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kinsoku/>
        <w:wordWrap w:val="0"/>
        <w:overflowPunct/>
        <w:topLinePunct w:val="0"/>
        <w:autoSpaceDE w:val="0"/>
        <w:autoSpaceDN w:val="0"/>
        <w:bidi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kinsoku/>
        <w:wordWrap w:val="0"/>
        <w:overflowPunct/>
        <w:topLinePunct w:val="0"/>
        <w:autoSpaceDE w:val="0"/>
        <w:autoSpaceDN w:val="0"/>
        <w:bidi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kinsoku/>
        <w:wordWrap w:val="0"/>
        <w:overflowPunct/>
        <w:topLinePunct w:val="0"/>
        <w:autoSpaceDE w:val="0"/>
        <w:autoSpaceDN w:val="0"/>
        <w:bidi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kinsoku/>
        <w:wordWrap w:val="0"/>
        <w:overflowPunct/>
        <w:topLinePunct w:val="0"/>
        <w:autoSpaceDE w:val="0"/>
        <w:autoSpaceDN w:val="0"/>
        <w:bidi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kinsoku/>
        <w:wordWrap w:val="0"/>
        <w:overflowPunct/>
        <w:topLinePunct w:val="0"/>
        <w:autoSpaceDE w:val="0"/>
        <w:autoSpaceDN w:val="0"/>
        <w:bidi w:val="0"/>
        <w:spacing w:line="360" w:lineRule="auto"/>
        <w:ind w:left="2"/>
        <w:jc w:val="left"/>
        <w:rPr>
          <w:rFonts w:hint="eastAsia" w:ascii="仿宋" w:hAnsi="仿宋" w:eastAsia="仿宋" w:cs="仿宋"/>
          <w:color w:val="auto"/>
          <w:kern w:val="0"/>
          <w:sz w:val="24"/>
          <w:highlight w:val="none"/>
          <w:lang w:val="zh-CN"/>
        </w:rPr>
      </w:pPr>
    </w:p>
    <w:p>
      <w:pPr>
        <w:kinsoku/>
        <w:wordWrap w:val="0"/>
        <w:overflowPunct/>
        <w:topLinePunct w:val="0"/>
        <w:autoSpaceDE w:val="0"/>
        <w:autoSpaceDN w:val="0"/>
        <w:bidi w:val="0"/>
        <w:spacing w:line="360" w:lineRule="auto"/>
        <w:ind w:left="2"/>
        <w:jc w:val="left"/>
        <w:rPr>
          <w:rFonts w:hint="eastAsia" w:ascii="仿宋" w:hAnsi="仿宋" w:eastAsia="仿宋" w:cs="仿宋"/>
          <w:color w:val="auto"/>
          <w:kern w:val="0"/>
          <w:sz w:val="24"/>
          <w:highlight w:val="none"/>
          <w:lang w:val="zh-CN"/>
        </w:rPr>
      </w:pPr>
    </w:p>
    <w:p>
      <w:pPr>
        <w:kinsoku/>
        <w:wordWrap w:val="0"/>
        <w:overflowPunct/>
        <w:topLinePunct w:val="0"/>
        <w:autoSpaceDE w:val="0"/>
        <w:autoSpaceDN w:val="0"/>
        <w:bidi w:val="0"/>
        <w:spacing w:line="360" w:lineRule="auto"/>
        <w:ind w:left="2"/>
        <w:jc w:val="left"/>
        <w:rPr>
          <w:rFonts w:hint="eastAsia" w:ascii="仿宋" w:hAnsi="仿宋" w:eastAsia="仿宋" w:cs="仿宋"/>
          <w:color w:val="auto"/>
          <w:kern w:val="0"/>
          <w:sz w:val="24"/>
          <w:highlight w:val="none"/>
          <w:lang w:val="zh-CN"/>
        </w:rPr>
      </w:pPr>
    </w:p>
    <w:p>
      <w:pPr>
        <w:kinsoku/>
        <w:wordWrap w:val="0"/>
        <w:overflowPunct/>
        <w:topLinePunct w:val="0"/>
        <w:autoSpaceDE w:val="0"/>
        <w:autoSpaceDN w:val="0"/>
        <w:bidi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kinsoku/>
        <w:wordWrap w:val="0"/>
        <w:overflowPunct/>
        <w:topLinePunct w:val="0"/>
        <w:bidi w:val="0"/>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kinsoku/>
        <w:wordWrap w:val="0"/>
        <w:overflowPunct/>
        <w:topLinePunct w:val="0"/>
        <w:bidi w:val="0"/>
        <w:spacing w:line="360" w:lineRule="auto"/>
        <w:jc w:val="center"/>
        <w:rPr>
          <w:rFonts w:hint="eastAsia" w:ascii="仿宋" w:hAnsi="仿宋" w:eastAsia="仿宋" w:cs="仿宋"/>
          <w:b/>
          <w:bCs/>
          <w:color w:val="auto"/>
          <w:sz w:val="24"/>
          <w:highlight w:val="none"/>
        </w:rPr>
      </w:pPr>
    </w:p>
    <w:p>
      <w:pPr>
        <w:kinsoku/>
        <w:wordWrap w:val="0"/>
        <w:overflowPunct/>
        <w:topLinePunct w:val="0"/>
        <w:bidi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kinsoku/>
        <w:wordWrap w:val="0"/>
        <w:overflowPunct/>
        <w:topLinePunct w:val="0"/>
        <w:bidi w:val="0"/>
        <w:spacing w:line="360" w:lineRule="auto"/>
        <w:jc w:val="center"/>
        <w:rPr>
          <w:rFonts w:hint="eastAsia" w:ascii="仿宋" w:hAnsi="仿宋" w:eastAsia="仿宋" w:cs="仿宋"/>
          <w:b/>
          <w:bCs/>
          <w:color w:val="auto"/>
          <w:sz w:val="24"/>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pPr>
        <w:kinsoku/>
        <w:wordWrap w:val="0"/>
        <w:overflowPunct/>
        <w:topLinePunct w:val="0"/>
        <w:autoSpaceDE w:val="0"/>
        <w:autoSpaceDN w:val="0"/>
        <w:bidi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p>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47"/>
        <w:kinsoku/>
        <w:wordWrap w:val="0"/>
        <w:overflowPunct/>
        <w:topLinePunct w:val="0"/>
        <w:bidi w:val="0"/>
        <w:ind w:firstLine="0"/>
        <w:jc w:val="both"/>
        <w:rPr>
          <w:rFonts w:hAnsi="仿宋_GB2312" w:cs="仿宋_GB2312"/>
          <w:color w:val="auto"/>
          <w:highlight w:val="none"/>
        </w:rPr>
      </w:pPr>
    </w:p>
    <w:p>
      <w:pPr>
        <w:pageBreakBefore/>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p>
      <w:pPr>
        <w:kinsoku/>
        <w:wordWrap w:val="0"/>
        <w:overflowPunct/>
        <w:topLinePunct w:val="0"/>
        <w:bidi w:val="0"/>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kinsoku/>
        <w:wordWrap w:val="0"/>
        <w:overflowPunct/>
        <w:topLinePunct w:val="0"/>
        <w:autoSpaceDE w:val="0"/>
        <w:autoSpaceDN w:val="0"/>
        <w:bidi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kinsoku/>
        <w:wordWrap w:val="0"/>
        <w:overflowPunct/>
        <w:topLinePunct w:val="0"/>
        <w:autoSpaceDE w:val="0"/>
        <w:autoSpaceDN w:val="0"/>
        <w:bidi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pPr>
        <w:kinsoku/>
        <w:wordWrap w:val="0"/>
        <w:overflowPunct/>
        <w:topLinePunct w:val="0"/>
        <w:autoSpaceDE w:val="0"/>
        <w:autoSpaceDN w:val="0"/>
        <w:bidi w:val="0"/>
        <w:spacing w:line="360" w:lineRule="auto"/>
        <w:ind w:firstLine="4560" w:firstLineChars="1900"/>
        <w:rPr>
          <w:rFonts w:ascii="仿宋_GB2312" w:hAnsi="仿宋_GB2312" w:eastAsia="仿宋_GB2312" w:cs="仿宋_GB2312"/>
          <w:color w:val="auto"/>
          <w:kern w:val="0"/>
          <w:sz w:val="24"/>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kinsoku/>
        <w:wordWrap w:val="0"/>
        <w:overflowPunct/>
        <w:topLinePunct w:val="0"/>
        <w:autoSpaceDE w:val="0"/>
        <w:autoSpaceDN w:val="0"/>
        <w:bidi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kinsoku/>
        <w:wordWrap w:val="0"/>
        <w:overflowPunct/>
        <w:topLinePunct w:val="0"/>
        <w:autoSpaceDE w:val="0"/>
        <w:autoSpaceDN w:val="0"/>
        <w:bidi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kinsoku/>
        <w:wordWrap w:val="0"/>
        <w:overflowPunct/>
        <w:topLinePunct w:val="0"/>
        <w:autoSpaceDE w:val="0"/>
        <w:autoSpaceDN w:val="0"/>
        <w:bidi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tabs>
          <w:tab w:val="left" w:pos="2790"/>
          <w:tab w:val="left" w:pos="4230"/>
        </w:tabs>
        <w:kinsoku/>
        <w:wordWrap w:val="0"/>
        <w:overflowPunct/>
        <w:topLinePunct w:val="0"/>
        <w:autoSpaceDE w:val="0"/>
        <w:autoSpaceDN w:val="0"/>
        <w:bidi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bl>
    <w:p>
      <w:pPr>
        <w:kinsoku/>
        <w:wordWrap w:val="0"/>
        <w:overflowPunct/>
        <w:topLinePunct w:val="0"/>
        <w:autoSpaceDE w:val="0"/>
        <w:autoSpaceDN w:val="0"/>
        <w:bidi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kinsoku/>
        <w:wordWrap w:val="0"/>
        <w:overflowPunct/>
        <w:topLinePunct w:val="0"/>
        <w:autoSpaceDE w:val="0"/>
        <w:autoSpaceDN w:val="0"/>
        <w:bidi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r>
    </w:tbl>
    <w:p>
      <w:pPr>
        <w:kinsoku/>
        <w:wordWrap w:val="0"/>
        <w:overflowPunct/>
        <w:topLinePunct w:val="0"/>
        <w:bidi w:val="0"/>
        <w:spacing w:line="360" w:lineRule="auto"/>
        <w:ind w:firstLine="480" w:firstLineChars="200"/>
        <w:jc w:val="right"/>
        <w:rPr>
          <w:rFonts w:ascii="仿宋_GB2312" w:hAnsi="仿宋_GB2312" w:eastAsia="仿宋_GB2312" w:cs="仿宋_GB2312"/>
          <w:color w:val="auto"/>
          <w:sz w:val="24"/>
          <w:szCs w:val="20"/>
          <w:highlight w:val="none"/>
        </w:rPr>
      </w:pPr>
    </w:p>
    <w:p>
      <w:pPr>
        <w:kinsoku/>
        <w:wordWrap w:val="0"/>
        <w:overflowPunct/>
        <w:topLinePunct w:val="0"/>
        <w:bidi w:val="0"/>
        <w:spacing w:line="336" w:lineRule="auto"/>
        <w:ind w:firstLine="3600" w:firstLineChars="1500"/>
        <w:jc w:val="right"/>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pacing w:line="360" w:lineRule="auto"/>
        <w:rPr>
          <w:rFonts w:hint="eastAsia" w:ascii="仿宋_GB2312" w:hAnsi="仿宋_GB2312" w:eastAsia="仿宋_GB2312" w:cs="仿宋_GB2312"/>
          <w:b/>
          <w:color w:val="auto"/>
          <w:sz w:val="30"/>
          <w:szCs w:val="30"/>
          <w:highlight w:val="none"/>
          <w:lang w:eastAsia="zh-CN"/>
        </w:rPr>
      </w:pPr>
    </w:p>
    <w:p>
      <w:pPr>
        <w:pStyle w:val="79"/>
        <w:kinsoku/>
        <w:wordWrap w:val="0"/>
        <w:overflowPunct/>
        <w:topLinePunct w:val="0"/>
        <w:bidi w:val="0"/>
        <w:rPr>
          <w:rFonts w:hint="eastAsia"/>
          <w:color w:val="auto"/>
          <w:highlight w:val="none"/>
          <w:lang w:eastAsia="zh-CN"/>
        </w:rPr>
      </w:pPr>
    </w:p>
    <w:p>
      <w:pPr>
        <w:kinsoku/>
        <w:wordWrap w:val="0"/>
        <w:overflowPunct/>
        <w:topLinePunct w:val="0"/>
        <w:bidi w:val="0"/>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pPr>
        <w:kinsoku/>
        <w:wordWrap w:val="0"/>
        <w:overflowPunct/>
        <w:topLinePunct w:val="0"/>
        <w:bidi w:val="0"/>
        <w:spacing w:line="336" w:lineRule="auto"/>
        <w:ind w:firstLine="3600" w:firstLineChars="1500"/>
        <w:rPr>
          <w:rFonts w:hint="eastAsia" w:ascii="仿宋" w:hAnsi="仿宋" w:eastAsia="仿宋" w:cs="仿宋"/>
          <w:color w:val="auto"/>
          <w:sz w:val="24"/>
          <w:highlight w:val="none"/>
        </w:rPr>
      </w:pPr>
    </w:p>
    <w:p>
      <w:pPr>
        <w:pStyle w:val="79"/>
        <w:kinsoku/>
        <w:wordWrap w:val="0"/>
        <w:overflowPunct/>
        <w:topLinePunct w:val="0"/>
        <w:bidi w:val="0"/>
        <w:rPr>
          <w:rFonts w:hint="eastAsia"/>
          <w:color w:val="auto"/>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79"/>
        <w:kinsoku/>
        <w:wordWrap w:val="0"/>
        <w:overflowPunct/>
        <w:topLinePunct w:val="0"/>
        <w:bidi w:val="0"/>
        <w:rPr>
          <w:color w:val="auto"/>
          <w:highlight w:val="none"/>
        </w:rPr>
      </w:pPr>
    </w:p>
    <w:p>
      <w:pPr>
        <w:pageBreakBefore/>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pPr>
        <w:kinsoku/>
        <w:wordWrap w:val="0"/>
        <w:overflowPunct/>
        <w:topLinePunct w:val="0"/>
        <w:bidi w:val="0"/>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kinsoku/>
        <w:wordWrap w:val="0"/>
        <w:overflowPunct/>
        <w:topLinePunct w:val="0"/>
        <w:autoSpaceDE w:val="0"/>
        <w:autoSpaceDN w:val="0"/>
        <w:bidi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bl>
    <w:p>
      <w:pPr>
        <w:kinsoku/>
        <w:wordWrap w:val="0"/>
        <w:overflowPunct/>
        <w:topLinePunct w:val="0"/>
        <w:bidi w:val="0"/>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kinsoku/>
        <w:wordWrap w:val="0"/>
        <w:overflowPunct/>
        <w:topLinePunct w:val="0"/>
        <w:bidi w:val="0"/>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kinsoku/>
        <w:wordWrap w:val="0"/>
        <w:overflowPunct/>
        <w:topLinePunct w:val="0"/>
        <w:bidi w:val="0"/>
        <w:spacing w:line="360" w:lineRule="auto"/>
        <w:ind w:firstLine="480" w:firstLineChars="200"/>
        <w:rPr>
          <w:rFonts w:ascii="仿宋_GB2312" w:hAnsi="仿宋_GB2312" w:eastAsia="仿宋_GB2312" w:cs="仿宋_GB2312"/>
          <w:color w:val="auto"/>
          <w:sz w:val="24"/>
          <w:szCs w:val="20"/>
          <w:highlight w:val="none"/>
        </w:rPr>
      </w:pP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napToGrid w:val="0"/>
        <w:spacing w:line="360" w:lineRule="auto"/>
        <w:ind w:firstLine="6907" w:firstLineChars="2150"/>
        <w:rPr>
          <w:rFonts w:ascii="仿宋_GB2312" w:hAnsi="仿宋_GB2312" w:eastAsia="仿宋_GB2312" w:cs="仿宋_GB2312"/>
          <w:b/>
          <w:bCs/>
          <w:color w:val="auto"/>
          <w:sz w:val="32"/>
          <w:szCs w:val="32"/>
          <w:highlight w:val="none"/>
        </w:rPr>
      </w:pPr>
    </w:p>
    <w:p>
      <w:pPr>
        <w:kinsoku/>
        <w:wordWrap w:val="0"/>
        <w:overflowPunct/>
        <w:topLinePunct w:val="0"/>
        <w:bidi w:val="0"/>
        <w:snapToGrid w:val="0"/>
        <w:spacing w:line="360" w:lineRule="auto"/>
        <w:ind w:right="960"/>
        <w:jc w:val="both"/>
        <w:rPr>
          <w:rFonts w:hint="eastAsia" w:ascii="仿宋_GB2312" w:hAnsi="仿宋_GB2312" w:eastAsia="仿宋_GB2312" w:cs="仿宋_GB2312"/>
          <w:color w:val="auto"/>
          <w:kern w:val="0"/>
          <w:sz w:val="24"/>
          <w:highlight w:val="none"/>
          <w:lang w:val="zh-CN"/>
        </w:rPr>
      </w:pPr>
    </w:p>
    <w:p>
      <w:pPr>
        <w:kinsoku/>
        <w:wordWrap w:val="0"/>
        <w:overflowPunct/>
        <w:topLinePunct w:val="0"/>
        <w:bidi w:val="0"/>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rPr>
          <w:rFonts w:ascii="仿宋_GB2312" w:hAnsi="仿宋_GB2312" w:eastAsia="仿宋_GB2312" w:cs="仿宋_GB2312"/>
          <w:color w:val="auto"/>
          <w:sz w:val="18"/>
          <w:szCs w:val="18"/>
          <w:highlight w:val="none"/>
        </w:rPr>
      </w:pPr>
    </w:p>
    <w:p>
      <w:pPr>
        <w:pStyle w:val="79"/>
        <w:kinsoku/>
        <w:wordWrap w:val="0"/>
        <w:overflowPunct/>
        <w:topLinePunct w:val="0"/>
        <w:bidi w:val="0"/>
        <w:rPr>
          <w:color w:val="auto"/>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pacing w:line="360" w:lineRule="auto"/>
        <w:rPr>
          <w:rFonts w:ascii="仿宋_GB2312" w:hAnsi="仿宋_GB2312" w:eastAsia="仿宋_GB2312" w:cs="仿宋_GB2312"/>
          <w:b/>
          <w:bCs/>
          <w:color w:val="auto"/>
          <w:sz w:val="18"/>
          <w:szCs w:val="18"/>
          <w:highlight w:val="none"/>
        </w:rPr>
      </w:pPr>
    </w:p>
    <w:p>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pPr>
        <w:kinsoku/>
        <w:wordWrap w:val="0"/>
        <w:overflowPunct/>
        <w:topLinePunct w:val="0"/>
        <w:bidi w:val="0"/>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napToGrid w:val="0"/>
        <w:spacing w:line="360" w:lineRule="auto"/>
        <w:ind w:right="960"/>
        <w:jc w:val="right"/>
        <w:rPr>
          <w:rFonts w:ascii="仿宋_GB2312" w:hAnsi="仿宋_GB2312" w:eastAsia="仿宋_GB2312" w:cs="仿宋_GB2312"/>
          <w:color w:val="auto"/>
          <w:kern w:val="0"/>
          <w:sz w:val="24"/>
          <w:highlight w:val="none"/>
          <w:lang w:val="zh-CN"/>
        </w:rPr>
      </w:pPr>
    </w:p>
    <w:p>
      <w:pPr>
        <w:kinsoku/>
        <w:wordWrap w:val="0"/>
        <w:overflowPunct/>
        <w:topLinePunct w:val="0"/>
        <w:bidi w:val="0"/>
        <w:snapToGrid w:val="0"/>
        <w:spacing w:line="360" w:lineRule="auto"/>
        <w:ind w:right="960"/>
        <w:jc w:val="right"/>
        <w:rPr>
          <w:rFonts w:ascii="仿宋_GB2312" w:hAnsi="仿宋_GB2312" w:eastAsia="仿宋_GB2312" w:cs="仿宋_GB2312"/>
          <w:color w:val="auto"/>
          <w:kern w:val="0"/>
          <w:sz w:val="24"/>
          <w:highlight w:val="none"/>
          <w:lang w:val="zh-CN"/>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kinsoku/>
        <w:wordWrap w:val="0"/>
        <w:overflowPunct/>
        <w:topLinePunct w:val="0"/>
        <w:autoSpaceDE w:val="0"/>
        <w:autoSpaceDN w:val="0"/>
        <w:bidi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1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1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1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1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1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kinsoku/>
        <w:wordWrap w:val="0"/>
        <w:overflowPunct/>
        <w:topLinePunct w:val="0"/>
        <w:bidi w:val="0"/>
        <w:spacing w:line="360" w:lineRule="auto"/>
        <w:ind w:firstLine="480" w:firstLineChars="200"/>
        <w:rPr>
          <w:rFonts w:ascii="仿宋_GB2312" w:hAnsi="仿宋_GB2312" w:eastAsia="仿宋_GB2312" w:cs="仿宋_GB2312"/>
          <w:color w:val="auto"/>
          <w:sz w:val="24"/>
          <w:szCs w:val="20"/>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pacing w:line="360" w:lineRule="auto"/>
        <w:jc w:val="center"/>
        <w:rPr>
          <w:rFonts w:ascii="仿宋_GB2312" w:hAnsi="仿宋_GB2312" w:eastAsia="仿宋_GB2312" w:cs="仿宋_GB2312"/>
          <w:b/>
          <w:bCs/>
          <w:color w:val="auto"/>
          <w:sz w:val="30"/>
          <w:szCs w:val="30"/>
          <w:highlight w:val="none"/>
        </w:rPr>
      </w:pPr>
    </w:p>
    <w:p>
      <w:pPr>
        <w:kinsoku/>
        <w:wordWrap w:val="0"/>
        <w:overflowPunct/>
        <w:topLinePunct w:val="0"/>
        <w:bidi w:val="0"/>
        <w:spacing w:line="360" w:lineRule="auto"/>
        <w:jc w:val="center"/>
        <w:rPr>
          <w:rFonts w:ascii="仿宋_GB2312" w:hAnsi="仿宋_GB2312" w:eastAsia="仿宋_GB2312" w:cs="仿宋_GB2312"/>
          <w:b/>
          <w:bCs/>
          <w:color w:val="auto"/>
          <w:sz w:val="30"/>
          <w:szCs w:val="30"/>
          <w:highlight w:val="none"/>
        </w:rPr>
      </w:pPr>
    </w:p>
    <w:p>
      <w:pPr>
        <w:kinsoku/>
        <w:wordWrap w:val="0"/>
        <w:overflowPunct/>
        <w:topLinePunct w:val="0"/>
        <w:bidi w:val="0"/>
        <w:spacing w:line="360" w:lineRule="auto"/>
        <w:jc w:val="center"/>
        <w:rPr>
          <w:rFonts w:ascii="仿宋_GB2312" w:hAnsi="仿宋_GB2312" w:eastAsia="仿宋_GB2312" w:cs="仿宋_GB2312"/>
          <w:b/>
          <w:bCs/>
          <w:color w:val="auto"/>
          <w:sz w:val="24"/>
          <w:highlight w:val="none"/>
        </w:rPr>
      </w:pPr>
    </w:p>
    <w:p>
      <w:pPr>
        <w:kinsoku/>
        <w:wordWrap w:val="0"/>
        <w:overflowPunct/>
        <w:topLinePunct w:val="0"/>
        <w:bidi w:val="0"/>
        <w:spacing w:line="360" w:lineRule="auto"/>
        <w:jc w:val="center"/>
        <w:rPr>
          <w:rFonts w:ascii="仿宋_GB2312" w:hAnsi="仿宋_GB2312" w:eastAsia="仿宋_GB2312" w:cs="仿宋_GB2312"/>
          <w:b/>
          <w:bCs/>
          <w:color w:val="auto"/>
          <w:sz w:val="24"/>
          <w:highlight w:val="none"/>
        </w:rPr>
      </w:pPr>
    </w:p>
    <w:p>
      <w:pPr>
        <w:kinsoku/>
        <w:wordWrap w:val="0"/>
        <w:overflowPunct/>
        <w:topLinePunct w:val="0"/>
        <w:bidi w:val="0"/>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rPr>
          <w:rFonts w:ascii="仿宋_GB2312" w:hAnsi="仿宋_GB2312" w:eastAsia="仿宋_GB2312" w:cs="仿宋_GB2312"/>
          <w:color w:val="auto"/>
          <w:sz w:val="24"/>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0"/>
        <w:kinsoku/>
        <w:wordWrap w:val="0"/>
        <w:overflowPunct/>
        <w:topLinePunct w:val="0"/>
        <w:bidi w:val="0"/>
        <w:rPr>
          <w:rFonts w:hint="eastAsia"/>
          <w:color w:val="auto"/>
          <w:highlight w:val="none"/>
        </w:rPr>
        <w:sectPr>
          <w:headerReference r:id="rId12" w:type="first"/>
          <w:footerReference r:id="rId14" w:type="first"/>
          <w:footerReference r:id="rId13" w:type="default"/>
          <w:pgSz w:w="11906" w:h="16838"/>
          <w:pgMar w:top="1276" w:right="1418" w:bottom="1247" w:left="1418" w:header="851" w:footer="992" w:gutter="0"/>
          <w:pgNumType w:fmt="decimal"/>
          <w:cols w:space="720" w:num="1"/>
          <w:titlePg/>
          <w:docGrid w:linePitch="312" w:charSpace="0"/>
        </w:sectPr>
      </w:pP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pPr>
        <w:pStyle w:val="23"/>
        <w:numPr>
          <w:ilvl w:val="0"/>
          <w:numId w:val="0"/>
        </w:num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both"/>
        <w:rPr>
          <w:rFonts w:hint="eastAsia" w:ascii="仿宋" w:hAnsi="仿宋" w:eastAsia="仿宋" w:cs="仿宋"/>
          <w:b/>
          <w:color w:val="auto"/>
          <w:kern w:val="0"/>
          <w:sz w:val="32"/>
          <w:szCs w:val="32"/>
          <w:highlight w:val="none"/>
        </w:rPr>
      </w:pPr>
    </w:p>
    <w:p>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sectPr>
          <w:footerReference r:id="rId17" w:type="first"/>
          <w:headerReference r:id="rId15" w:type="default"/>
          <w:footerReference r:id="rId16" w:type="default"/>
          <w:pgSz w:w="11906" w:h="16838"/>
          <w:pgMar w:top="1276" w:right="1418" w:bottom="1247" w:left="1418" w:header="851" w:footer="992" w:gutter="0"/>
          <w:pgNumType w:fmt="decimal"/>
          <w:cols w:space="720" w:num="1"/>
          <w:titlePg/>
          <w:docGrid w:linePitch="312" w:charSpace="0"/>
        </w:sectPr>
      </w:pPr>
    </w:p>
    <w:p>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kinsoku/>
        <w:wordWrap w:val="0"/>
        <w:overflowPunct/>
        <w:topLinePunct w:val="0"/>
        <w:bidi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绍兴市第八中学</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绍兴市公共资源交易中心</w:t>
      </w:r>
      <w:r>
        <w:rPr>
          <w:rFonts w:hint="eastAsia" w:ascii="仿宋" w:hAnsi="仿宋" w:eastAsia="仿宋" w:cs="仿宋"/>
          <w:color w:val="auto"/>
          <w:kern w:val="0"/>
          <w:sz w:val="24"/>
          <w:highlight w:val="none"/>
          <w:lang w:val="zh-CN"/>
        </w:rPr>
        <w:t>：</w:t>
      </w:r>
    </w:p>
    <w:p>
      <w:pPr>
        <w:kinsoku/>
        <w:wordWrap w:val="0"/>
        <w:overflowPunct/>
        <w:topLinePunct w:val="0"/>
        <w:bidi w:val="0"/>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绍兴市第八中学物业管理服务项目</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lang w:eastAsia="zh-CN"/>
        </w:rPr>
        <w:t>2025-07-0056</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pPr>
        <w:kinsoku/>
        <w:wordWrap w:val="0"/>
        <w:overflowPunct/>
        <w:topLinePunct w:val="0"/>
        <w:bidi w:val="0"/>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87" w:type="pct"/>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657" w:type="pct"/>
          </w:tcPr>
          <w:p>
            <w:pPr>
              <w:kinsoku/>
              <w:wordWrap w:val="0"/>
              <w:overflowPunct/>
              <w:topLinePunct w:val="0"/>
              <w:bidi w:val="0"/>
              <w:spacing w:line="360" w:lineRule="auto"/>
              <w:jc w:val="center"/>
              <w:rPr>
                <w:rFonts w:hint="eastAsia" w:ascii="仿宋" w:hAnsi="仿宋" w:eastAsia="仿宋" w:cs="仿宋"/>
                <w:b/>
                <w:color w:val="auto"/>
                <w:sz w:val="24"/>
                <w:highlight w:val="none"/>
              </w:rPr>
            </w:pPr>
          </w:p>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698" w:type="pct"/>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657" w:type="pct"/>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615" w:type="pct"/>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616" w:type="pct"/>
          </w:tcPr>
          <w:p>
            <w:pPr>
              <w:kinsoku/>
              <w:wordWrap w:val="0"/>
              <w:overflowPunct/>
              <w:topLinePunct w:val="0"/>
              <w:bidi w:val="0"/>
              <w:spacing w:line="360" w:lineRule="auto"/>
              <w:jc w:val="center"/>
              <w:rPr>
                <w:rFonts w:hint="eastAsia" w:ascii="仿宋" w:hAnsi="仿宋" w:eastAsia="仿宋" w:cs="仿宋"/>
                <w:b/>
                <w:color w:val="auto"/>
                <w:sz w:val="24"/>
                <w:highlight w:val="none"/>
              </w:rPr>
            </w:pPr>
          </w:p>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615" w:type="pct"/>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服务单价</w:t>
            </w:r>
          </w:p>
        </w:tc>
        <w:tc>
          <w:tcPr>
            <w:tcW w:w="615" w:type="pct"/>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p>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pPr>
              <w:kinsoku/>
              <w:wordWrap w:val="0"/>
              <w:overflowPunct/>
              <w:topLinePunct w:val="0"/>
              <w:bidi w:val="0"/>
              <w:spacing w:line="360" w:lineRule="auto"/>
              <w:jc w:val="center"/>
              <w:rPr>
                <w:rFonts w:hint="eastAsia"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287" w:type="pct"/>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98" w:type="pct"/>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57" w:type="pct"/>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6" w:type="pct"/>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287" w:type="pct"/>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98" w:type="pct"/>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57" w:type="pct"/>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6" w:type="pct"/>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287" w:type="pct"/>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57" w:type="pct"/>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98" w:type="pct"/>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57" w:type="pct"/>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6" w:type="pct"/>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287" w:type="pct"/>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57" w:type="pct"/>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98" w:type="pct"/>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57" w:type="pct"/>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6" w:type="pct"/>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287" w:type="pct"/>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57" w:type="pct"/>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98" w:type="pct"/>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57" w:type="pct"/>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6" w:type="pct"/>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2504" w:type="pct"/>
            <w:gridSpan w:val="4"/>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2504" w:type="pct"/>
            <w:gridSpan w:val="4"/>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bl>
    <w:p>
      <w:pPr>
        <w:kinsoku/>
        <w:wordWrap w:val="0"/>
        <w:overflowPunct/>
        <w:topLinePunct w:val="0"/>
        <w:bidi w:val="0"/>
        <w:snapToGrid w:val="0"/>
        <w:spacing w:line="360" w:lineRule="auto"/>
        <w:ind w:left="480"/>
        <w:rPr>
          <w:rFonts w:hint="eastAsia" w:ascii="仿宋" w:hAnsi="仿宋" w:eastAsia="仿宋" w:cs="仿宋"/>
          <w:b/>
          <w:color w:val="auto"/>
          <w:kern w:val="0"/>
          <w:sz w:val="24"/>
          <w:highlight w:val="none"/>
          <w:lang w:val="zh-CN"/>
        </w:rPr>
      </w:pPr>
    </w:p>
    <w:p>
      <w:pPr>
        <w:kinsoku/>
        <w:wordWrap w:val="0"/>
        <w:overflowPunct/>
        <w:topLinePunct w:val="0"/>
        <w:bidi w:val="0"/>
        <w:snapToGrid w:val="0"/>
        <w:spacing w:line="360" w:lineRule="auto"/>
        <w:ind w:left="480" w:firstLine="9120" w:firstLineChars="3800"/>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pPr>
        <w:kinsoku/>
        <w:wordWrap w:val="0"/>
        <w:overflowPunct/>
        <w:topLinePunct w:val="0"/>
        <w:bidi w:val="0"/>
        <w:snapToGrid w:val="0"/>
        <w:spacing w:line="360" w:lineRule="auto"/>
        <w:ind w:firstLine="9600" w:firstLineChars="40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pPr>
        <w:kinsoku/>
        <w:wordWrap w:val="0"/>
        <w:overflowPunct/>
        <w:topLinePunct w:val="0"/>
        <w:bidi w:val="0"/>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kinsoku/>
        <w:wordWrap w:val="0"/>
        <w:overflowPunct/>
        <w:topLinePunct w:val="0"/>
        <w:bidi w:val="0"/>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pPr>
        <w:kinsoku/>
        <w:wordWrap w:val="0"/>
        <w:overflowPunct/>
        <w:topLinePunct w:val="0"/>
        <w:bidi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kinsoku/>
        <w:wordWrap w:val="0"/>
        <w:overflowPunct/>
        <w:topLinePunct w:val="0"/>
        <w:bidi w:val="0"/>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pPr>
        <w:kinsoku/>
        <w:wordWrap w:val="0"/>
        <w:overflowPunct/>
        <w:topLinePunct w:val="0"/>
        <w:bidi w:val="0"/>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kinsoku/>
        <w:wordWrap w:val="0"/>
        <w:overflowPunct/>
        <w:topLinePunct w:val="0"/>
        <w:bidi w:val="0"/>
        <w:spacing w:line="360" w:lineRule="auto"/>
        <w:ind w:firstLine="482" w:firstLineChars="200"/>
        <w:rPr>
          <w:rFonts w:hint="eastAsia" w:ascii="仿宋" w:hAnsi="仿宋" w:eastAsia="仿宋" w:cs="仿宋"/>
          <w:b/>
          <w:color w:val="auto"/>
          <w:kern w:val="0"/>
          <w:sz w:val="24"/>
          <w:highlight w:val="none"/>
        </w:rPr>
      </w:pPr>
    </w:p>
    <w:p>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pPr>
    </w:p>
    <w:p>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pPr>
        <w:widowControl/>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79"/>
        <w:kinsoku/>
        <w:wordWrap w:val="0"/>
        <w:overflowPunct/>
        <w:topLinePunct w:val="0"/>
        <w:bidi w:val="0"/>
        <w:rPr>
          <w:rFonts w:hint="eastAsia" w:ascii="仿宋" w:hAnsi="仿宋" w:eastAsia="仿宋" w:cs="仿宋"/>
          <w:b/>
          <w:color w:val="auto"/>
          <w:sz w:val="24"/>
          <w:highlight w:val="none"/>
        </w:rPr>
      </w:pPr>
    </w:p>
    <w:p>
      <w:pPr>
        <w:pStyle w:val="80"/>
        <w:kinsoku/>
        <w:wordWrap w:val="0"/>
        <w:overflowPunct/>
        <w:topLinePunct w:val="0"/>
        <w:bidi w:val="0"/>
        <w:rPr>
          <w:rFonts w:hint="eastAsia" w:ascii="仿宋" w:hAnsi="仿宋" w:eastAsia="仿宋" w:cs="仿宋"/>
          <w:b/>
          <w:color w:val="auto"/>
          <w:sz w:val="24"/>
          <w:highlight w:val="none"/>
        </w:rPr>
      </w:pPr>
    </w:p>
    <w:p>
      <w:pPr>
        <w:kinsoku/>
        <w:wordWrap w:val="0"/>
        <w:overflowPunct/>
        <w:topLinePunct w:val="0"/>
        <w:bidi w:val="0"/>
        <w:rPr>
          <w:rFonts w:hint="eastAsia" w:ascii="仿宋" w:hAnsi="仿宋" w:eastAsia="仿宋" w:cs="仿宋"/>
          <w:b/>
          <w:color w:val="auto"/>
          <w:sz w:val="24"/>
          <w:highlight w:val="none"/>
        </w:rPr>
      </w:pPr>
    </w:p>
    <w:p>
      <w:pPr>
        <w:pStyle w:val="79"/>
        <w:kinsoku/>
        <w:wordWrap w:val="0"/>
        <w:overflowPunct/>
        <w:topLinePunct w:val="0"/>
        <w:bidi w:val="0"/>
        <w:rPr>
          <w:rFonts w:hint="eastAsia" w:ascii="仿宋" w:hAnsi="仿宋" w:eastAsia="仿宋" w:cs="仿宋"/>
          <w:b/>
          <w:color w:val="auto"/>
          <w:sz w:val="24"/>
          <w:highlight w:val="none"/>
        </w:rPr>
      </w:pPr>
    </w:p>
    <w:p>
      <w:pPr>
        <w:pStyle w:val="80"/>
        <w:kinsoku/>
        <w:wordWrap w:val="0"/>
        <w:overflowPunct/>
        <w:topLinePunct w:val="0"/>
        <w:bidi w:val="0"/>
        <w:rPr>
          <w:rFonts w:hint="eastAsia" w:ascii="仿宋" w:hAnsi="仿宋" w:eastAsia="仿宋" w:cs="仿宋"/>
          <w:b/>
          <w:color w:val="auto"/>
          <w:sz w:val="24"/>
          <w:highlight w:val="none"/>
        </w:rPr>
      </w:pPr>
    </w:p>
    <w:p>
      <w:pPr>
        <w:kinsoku/>
        <w:wordWrap w:val="0"/>
        <w:overflowPunct/>
        <w:topLinePunct w:val="0"/>
        <w:bidi w:val="0"/>
        <w:rPr>
          <w:rFonts w:hint="eastAsia"/>
          <w:color w:val="auto"/>
          <w:highlight w:val="none"/>
          <w:lang w:eastAsia="zh-CN"/>
        </w:rPr>
      </w:pPr>
    </w:p>
    <w:p>
      <w:pPr>
        <w:widowControl/>
        <w:kinsoku/>
        <w:wordWrap w:val="0"/>
        <w:overflowPunct/>
        <w:topLinePunct w:val="0"/>
        <w:bidi w:val="0"/>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三、残疾人福利性单位声明函（如有）</w:t>
      </w:r>
    </w:p>
    <w:p>
      <w:pPr>
        <w:pStyle w:val="23"/>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b w:val="0"/>
          <w:color w:val="auto"/>
          <w:sz w:val="32"/>
          <w:szCs w:val="32"/>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pStyle w:val="4"/>
        <w:keepNext w:val="0"/>
        <w:keepLines w:val="0"/>
        <w:pageBreakBefore/>
        <w:widowControl/>
        <w:kinsoku/>
        <w:wordWrap w:val="0"/>
        <w:overflowPunct/>
        <w:topLinePunct w:val="0"/>
        <w:bidi w:val="0"/>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pPr>
        <w:kinsoku/>
        <w:wordWrap w:val="0"/>
        <w:overflowPunct/>
        <w:topLinePunct w:val="0"/>
        <w:bidi w:val="0"/>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kinsoku/>
        <w:wordWrap w:val="0"/>
        <w:overflowPunct/>
        <w:topLinePunct w:val="0"/>
        <w:bidi w:val="0"/>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kinsoku/>
        <w:wordWrap w:val="0"/>
        <w:overflowPunct/>
        <w:topLinePunct w:val="0"/>
        <w:bidi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kinsoku/>
        <w:wordWrap w:val="0"/>
        <w:overflowPunct/>
        <w:topLinePunct w:val="0"/>
        <w:bidi w:val="0"/>
        <w:spacing w:line="360" w:lineRule="auto"/>
        <w:jc w:val="center"/>
        <w:rPr>
          <w:rFonts w:hint="eastAsia" w:ascii="仿宋" w:hAnsi="仿宋" w:eastAsia="仿宋" w:cs="仿宋"/>
          <w:b/>
          <w:bCs/>
          <w:color w:val="auto"/>
          <w:sz w:val="24"/>
          <w:highlight w:val="none"/>
        </w:rPr>
      </w:pPr>
    </w:p>
    <w:p>
      <w:pPr>
        <w:kinsoku/>
        <w:wordWrap w:val="0"/>
        <w:overflowPunct/>
        <w:topLinePunct w:val="0"/>
        <w:bidi w:val="0"/>
        <w:spacing w:line="360" w:lineRule="auto"/>
        <w:rPr>
          <w:rFonts w:hint="eastAsia" w:ascii="仿宋" w:hAnsi="仿宋" w:eastAsia="仿宋" w:cs="仿宋"/>
          <w:b/>
          <w:color w:val="auto"/>
          <w:sz w:val="24"/>
          <w:highlight w:val="none"/>
        </w:rPr>
      </w:pPr>
    </w:p>
    <w:p>
      <w:pPr>
        <w:kinsoku/>
        <w:wordWrap w:val="0"/>
        <w:overflowPunct/>
        <w:topLinePunct w:val="0"/>
        <w:bidi w:val="0"/>
        <w:spacing w:line="360" w:lineRule="auto"/>
        <w:rPr>
          <w:rFonts w:hint="eastAsia" w:ascii="仿宋" w:hAnsi="仿宋" w:eastAsia="仿宋" w:cs="仿宋"/>
          <w:b/>
          <w:color w:val="auto"/>
          <w:sz w:val="24"/>
          <w:highlight w:val="none"/>
        </w:rPr>
      </w:pPr>
    </w:p>
    <w:p>
      <w:pPr>
        <w:kinsoku/>
        <w:wordWrap w:val="0"/>
        <w:overflowPunct/>
        <w:topLinePunct w:val="0"/>
        <w:bidi w:val="0"/>
        <w:spacing w:line="360" w:lineRule="auto"/>
        <w:rPr>
          <w:rFonts w:hint="eastAsia" w:ascii="仿宋" w:hAnsi="仿宋" w:eastAsia="仿宋" w:cs="仿宋"/>
          <w:b/>
          <w:color w:val="auto"/>
          <w:sz w:val="24"/>
          <w:highlight w:val="none"/>
        </w:rPr>
      </w:pPr>
    </w:p>
    <w:p>
      <w:pPr>
        <w:kinsoku/>
        <w:wordWrap w:val="0"/>
        <w:overflowPunct/>
        <w:topLinePunct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kinsoku/>
        <w:wordWrap w:val="0"/>
        <w:overflowPunct/>
        <w:topLinePunct w:val="0"/>
        <w:bidi w:val="0"/>
        <w:spacing w:line="360" w:lineRule="auto"/>
        <w:ind w:firstLine="600" w:firstLineChars="200"/>
        <w:jc w:val="left"/>
        <w:rPr>
          <w:rFonts w:hint="eastAsia" w:ascii="仿宋" w:hAnsi="仿宋" w:eastAsia="仿宋" w:cs="仿宋"/>
          <w:color w:val="auto"/>
          <w:sz w:val="30"/>
          <w:szCs w:val="30"/>
          <w:highlight w:val="none"/>
        </w:rPr>
      </w:pP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jc w:val="left"/>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jc w:val="left"/>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jc w:val="left"/>
        <w:rPr>
          <w:rFonts w:hint="eastAsia" w:ascii="仿宋" w:hAnsi="仿宋" w:eastAsia="仿宋" w:cs="仿宋"/>
          <w:b/>
          <w:color w:val="auto"/>
          <w:spacing w:val="6"/>
          <w:sz w:val="32"/>
          <w:szCs w:val="32"/>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left"/>
        <w:textAlignment w:val="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pPr>
        <w:kinsoku/>
        <w:wordWrap w:val="0"/>
        <w:overflowPunct/>
        <w:topLinePunct w:val="0"/>
        <w:bidi w:val="0"/>
        <w:spacing w:line="360" w:lineRule="auto"/>
        <w:jc w:val="center"/>
        <w:rPr>
          <w:rFonts w:hint="eastAsia" w:ascii="仿宋" w:hAnsi="仿宋" w:eastAsia="仿宋" w:cs="仿宋"/>
          <w:b/>
          <w:color w:val="auto"/>
          <w:sz w:val="24"/>
          <w:highlight w:val="none"/>
        </w:rPr>
      </w:pP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kinsoku/>
        <w:wordWrap w:val="0"/>
        <w:overflowPunct/>
        <w:topLinePunct w:val="0"/>
        <w:bidi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kinsoku/>
        <w:wordWrap w:val="0"/>
        <w:overflowPunct/>
        <w:topLinePunct w:val="0"/>
        <w:bidi w:val="0"/>
        <w:spacing w:line="360" w:lineRule="auto"/>
        <w:rPr>
          <w:rFonts w:hint="eastAsia" w:ascii="仿宋" w:hAnsi="仿宋" w:eastAsia="仿宋" w:cs="仿宋"/>
          <w:b/>
          <w:color w:val="auto"/>
          <w:sz w:val="24"/>
          <w:highlight w:val="none"/>
        </w:rPr>
      </w:pPr>
    </w:p>
    <w:p>
      <w:pPr>
        <w:kinsoku/>
        <w:wordWrap w:val="0"/>
        <w:overflowPunct/>
        <w:topLinePunct w:val="0"/>
        <w:bidi w:val="0"/>
        <w:spacing w:line="360" w:lineRule="auto"/>
        <w:rPr>
          <w:rFonts w:hint="eastAsia" w:ascii="仿宋" w:hAnsi="仿宋" w:eastAsia="仿宋" w:cs="仿宋"/>
          <w:b/>
          <w:color w:val="auto"/>
          <w:sz w:val="24"/>
          <w:highlight w:val="none"/>
        </w:rPr>
      </w:pPr>
    </w:p>
    <w:p>
      <w:pPr>
        <w:kinsoku/>
        <w:wordWrap w:val="0"/>
        <w:overflowPunct/>
        <w:topLinePunct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kinsoku/>
        <w:wordWrap w:val="0"/>
        <w:overflowPunct/>
        <w:topLinePunct w:val="0"/>
        <w:bidi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kinsoku/>
        <w:wordWrap w:val="0"/>
        <w:overflowPunct/>
        <w:topLinePunct w:val="0"/>
        <w:bidi w:val="0"/>
        <w:spacing w:line="360" w:lineRule="auto"/>
        <w:rPr>
          <w:rFonts w:hint="eastAsia" w:ascii="仿宋" w:hAnsi="仿宋" w:eastAsia="仿宋" w:cs="仿宋"/>
          <w:b/>
          <w:color w:val="auto"/>
          <w:sz w:val="24"/>
          <w:highlight w:val="none"/>
        </w:rPr>
      </w:pPr>
    </w:p>
    <w:p>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pPr>
        <w:kinsoku/>
        <w:wordWrap w:val="0"/>
        <w:overflowPunct/>
        <w:topLinePunct w:val="0"/>
        <w:bidi w:val="0"/>
        <w:spacing w:line="360" w:lineRule="auto"/>
        <w:rPr>
          <w:rFonts w:hint="eastAsia" w:ascii="仿宋" w:hAnsi="仿宋" w:eastAsia="仿宋" w:cs="仿宋"/>
          <w:color w:val="auto"/>
          <w:sz w:val="24"/>
          <w:highlight w:val="none"/>
          <w:u w:val="single"/>
        </w:rPr>
      </w:pPr>
    </w:p>
    <w:p>
      <w:pPr>
        <w:keepNext w:val="0"/>
        <w:keepLines w:val="0"/>
        <w:pageBreakBefore w:val="0"/>
        <w:widowControl w:val="0"/>
        <w:kinsoku/>
        <w:wordWrap w:val="0"/>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绍兴市第八中学</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绍兴市公共资源交易中心</w:t>
      </w:r>
      <w:r>
        <w:rPr>
          <w:rFonts w:hint="eastAsia" w:ascii="仿宋" w:hAnsi="仿宋" w:eastAsia="仿宋" w:cs="仿宋"/>
          <w:color w:val="auto"/>
          <w:sz w:val="24"/>
          <w:highlight w:val="none"/>
          <w:u w:val="single"/>
        </w:rPr>
        <w:t>：</w:t>
      </w:r>
    </w:p>
    <w:p>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绍兴市第八中学物业管理服务项目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2025-07-0056</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kinsoku/>
        <w:wordWrap w:val="0"/>
        <w:overflowPunct/>
        <w:topLinePunct w:val="0"/>
        <w:bidi w:val="0"/>
        <w:spacing w:line="360" w:lineRule="auto"/>
        <w:ind w:firstLine="494"/>
        <w:rPr>
          <w:rFonts w:hint="eastAsia" w:ascii="仿宋" w:hAnsi="仿宋" w:eastAsia="仿宋" w:cs="仿宋"/>
          <w:color w:val="auto"/>
          <w:sz w:val="24"/>
          <w:highlight w:val="none"/>
        </w:rPr>
      </w:pPr>
    </w:p>
    <w:p>
      <w:pPr>
        <w:kinsoku/>
        <w:wordWrap w:val="0"/>
        <w:overflowPunct/>
        <w:topLinePunct w:val="0"/>
        <w:bidi w:val="0"/>
        <w:spacing w:line="360" w:lineRule="auto"/>
        <w:ind w:firstLine="494"/>
        <w:rPr>
          <w:rFonts w:hint="eastAsia" w:ascii="仿宋" w:hAnsi="仿宋" w:eastAsia="仿宋" w:cs="仿宋"/>
          <w:color w:val="auto"/>
          <w:sz w:val="24"/>
          <w:highlight w:val="none"/>
        </w:rPr>
      </w:pPr>
    </w:p>
    <w:p>
      <w:pPr>
        <w:kinsoku/>
        <w:wordWrap w:val="0"/>
        <w:overflowPunct/>
        <w:topLinePunct w:val="0"/>
        <w:bidi w:val="0"/>
        <w:spacing w:line="360" w:lineRule="auto"/>
        <w:ind w:firstLine="494"/>
        <w:rPr>
          <w:rFonts w:hint="eastAsia" w:ascii="仿宋" w:hAnsi="仿宋" w:eastAsia="仿宋" w:cs="仿宋"/>
          <w:color w:val="auto"/>
          <w:sz w:val="24"/>
          <w:highlight w:val="none"/>
        </w:rPr>
      </w:pPr>
    </w:p>
    <w:p>
      <w:pPr>
        <w:kinsoku/>
        <w:wordWrap w:val="0"/>
        <w:overflowPunct/>
        <w:topLinePunct w:val="0"/>
        <w:bidi w:val="0"/>
        <w:spacing w:line="360" w:lineRule="auto"/>
        <w:ind w:firstLine="494"/>
        <w:rPr>
          <w:rFonts w:hint="eastAsia" w:ascii="仿宋" w:hAnsi="仿宋" w:eastAsia="仿宋" w:cs="仿宋"/>
          <w:color w:val="auto"/>
          <w:sz w:val="24"/>
          <w:highlight w:val="none"/>
        </w:rPr>
      </w:pPr>
    </w:p>
    <w:p>
      <w:pPr>
        <w:kinsoku/>
        <w:wordWrap w:val="0"/>
        <w:overflowPunct/>
        <w:topLinePunct w:val="0"/>
        <w:bidi w:val="0"/>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kinsoku/>
        <w:wordWrap w:val="0"/>
        <w:overflowPunct/>
        <w:topLinePunct w:val="0"/>
        <w:bidi w:val="0"/>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kinsoku/>
        <w:wordWrap w:val="0"/>
        <w:overflowPunct/>
        <w:topLinePunct w:val="0"/>
        <w:bidi w:val="0"/>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pPr>
        <w:keepNext w:val="0"/>
        <w:keepLines w:val="0"/>
        <w:pageBreakBefore w:val="0"/>
        <w:widowControl/>
        <w:kinsoku/>
        <w:wordWrap w:val="0"/>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绍兴市第八中学物业管理服务项目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2025-07-0056</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投标。 </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3" w:name="_Hlk101131882"/>
      <w:r>
        <w:rPr>
          <w:rFonts w:hint="eastAsia" w:ascii="仿宋" w:hAnsi="仿宋" w:eastAsia="仿宋" w:cs="仿宋"/>
          <w:color w:val="auto"/>
          <w:kern w:val="0"/>
          <w:sz w:val="24"/>
          <w:highlight w:val="none"/>
          <w:u w:val="single"/>
        </w:rPr>
        <w:t>联合体成员X,……</w:t>
      </w:r>
      <w:bookmarkEnd w:id="153"/>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4"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4"/>
      <w:r>
        <w:rPr>
          <w:rFonts w:hint="eastAsia" w:ascii="仿宋" w:hAnsi="仿宋" w:eastAsia="仿宋" w:cs="仿宋"/>
          <w:b/>
          <w:color w:val="auto"/>
          <w:kern w:val="0"/>
          <w:sz w:val="24"/>
          <w:highlight w:val="none"/>
          <w:lang w:val="zh-CN"/>
        </w:rPr>
        <w:t>）</w:t>
      </w:r>
    </w:p>
    <w:p>
      <w:pPr>
        <w:keepNext w:val="0"/>
        <w:keepLines w:val="0"/>
        <w:pageBreakBefore w:val="0"/>
        <w:kinsoku/>
        <w:wordWrap w:val="0"/>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55"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55"/>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keepNext w:val="0"/>
        <w:keepLines w:val="0"/>
        <w:pageBreakBefore w:val="0"/>
        <w:kinsoku/>
        <w:wordWrap w:val="0"/>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val="0"/>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val="0"/>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keepNext w:val="0"/>
        <w:keepLines w:val="0"/>
        <w:pageBreakBefore w:val="0"/>
        <w:kinsoku/>
        <w:wordWrap w:val="0"/>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keepNext w:val="0"/>
        <w:keepLines w:val="0"/>
        <w:pageBreakBefore w:val="0"/>
        <w:kinsoku/>
        <w:wordWrap w:val="0"/>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bidi w:val="0"/>
        <w:snapToGrid w:val="0"/>
        <w:spacing w:line="360" w:lineRule="auto"/>
        <w:ind w:firstLine="3666" w:firstLineChars="1100"/>
        <w:rPr>
          <w:rFonts w:hint="eastAsia" w:ascii="仿宋" w:hAnsi="仿宋" w:eastAsia="仿宋" w:cs="仿宋"/>
          <w:b/>
          <w:color w:val="auto"/>
          <w:spacing w:val="6"/>
          <w:sz w:val="32"/>
          <w:szCs w:val="32"/>
          <w:highlight w:val="none"/>
        </w:rPr>
      </w:pPr>
    </w:p>
    <w:p>
      <w:pPr>
        <w:widowControl/>
        <w:kinsoku/>
        <w:wordWrap w:val="0"/>
        <w:overflowPunct/>
        <w:topLinePunct w:val="0"/>
        <w:bidi w:val="0"/>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pPr>
        <w:pageBreakBefore w:val="0"/>
        <w:widowControl/>
        <w:kinsoku/>
        <w:wordWrap w:val="0"/>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绍兴市第八中学物业管理服务项目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2025-07-0056</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5"/>
        <w:pageBreakBefore w:val="0"/>
        <w:kinsoku/>
        <w:wordWrap w:val="0"/>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pPr>
        <w:pageBreakBefore w:val="0"/>
        <w:kinsoku/>
        <w:wordWrap w:val="0"/>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pageBreakBefore w:val="0"/>
        <w:kinsoku/>
        <w:wordWrap w:val="0"/>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pageBreakBefore w:val="0"/>
        <w:kinsoku/>
        <w:wordWrap w:val="0"/>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pageBreakBefore w:val="0"/>
        <w:kinsoku/>
        <w:wordWrap w:val="0"/>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pPr>
        <w:pageBreakBefore w:val="0"/>
        <w:kinsoku/>
        <w:wordWrap w:val="0"/>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pageBreakBefore w:val="0"/>
        <w:kinsoku/>
        <w:wordWrap w:val="0"/>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pageBreakBefore w:val="0"/>
        <w:kinsoku/>
        <w:wordWrap w:val="0"/>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val="0"/>
        <w:kinsoku/>
        <w:wordWrap w:val="0"/>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pStyle w:val="79"/>
        <w:kinsoku/>
        <w:wordWrap w:val="0"/>
        <w:overflowPunct/>
        <w:topLinePunct w:val="0"/>
        <w:bidi w:val="0"/>
        <w:rPr>
          <w:rFonts w:hint="eastAsia" w:ascii="仿宋" w:hAnsi="仿宋" w:eastAsia="仿宋" w:cs="仿宋"/>
          <w:b/>
          <w:color w:val="auto"/>
          <w:spacing w:val="6"/>
          <w:sz w:val="32"/>
          <w:szCs w:val="32"/>
          <w:highlight w:val="none"/>
        </w:rPr>
      </w:pPr>
    </w:p>
    <w:p>
      <w:pPr>
        <w:pStyle w:val="80"/>
        <w:kinsoku/>
        <w:wordWrap w:val="0"/>
        <w:overflowPunct/>
        <w:topLinePunct w:val="0"/>
        <w:bidi w:val="0"/>
        <w:rPr>
          <w:rFonts w:hint="eastAsia" w:ascii="仿宋" w:hAnsi="仿宋" w:eastAsia="仿宋" w:cs="仿宋"/>
          <w:b/>
          <w:color w:val="auto"/>
          <w:spacing w:val="6"/>
          <w:sz w:val="32"/>
          <w:szCs w:val="32"/>
          <w:highlight w:val="none"/>
        </w:rPr>
      </w:pPr>
    </w:p>
    <w:p>
      <w:pPr>
        <w:kinsoku/>
        <w:wordWrap w:val="0"/>
        <w:overflowPunct/>
        <w:topLinePunct w:val="0"/>
        <w:bidi w:val="0"/>
        <w:rPr>
          <w:rFonts w:hint="eastAsia" w:ascii="仿宋" w:hAnsi="仿宋" w:eastAsia="仿宋" w:cs="仿宋"/>
          <w:b/>
          <w:color w:val="auto"/>
          <w:spacing w:val="6"/>
          <w:sz w:val="32"/>
          <w:szCs w:val="32"/>
          <w:highlight w:val="none"/>
        </w:rPr>
      </w:pPr>
    </w:p>
    <w:p>
      <w:pPr>
        <w:pStyle w:val="79"/>
        <w:kinsoku/>
        <w:wordWrap w:val="0"/>
        <w:overflowPunct/>
        <w:topLinePunct w:val="0"/>
        <w:bidi w:val="0"/>
        <w:rPr>
          <w:rFonts w:hint="eastAsia" w:ascii="仿宋" w:hAnsi="仿宋" w:eastAsia="仿宋" w:cs="仿宋"/>
          <w:b/>
          <w:color w:val="auto"/>
          <w:spacing w:val="6"/>
          <w:sz w:val="32"/>
          <w:szCs w:val="32"/>
          <w:highlight w:val="none"/>
        </w:rPr>
      </w:pPr>
    </w:p>
    <w:p>
      <w:pPr>
        <w:pStyle w:val="80"/>
        <w:kinsoku/>
        <w:wordWrap w:val="0"/>
        <w:overflowPunct/>
        <w:topLinePunct w:val="0"/>
        <w:bidi w:val="0"/>
        <w:rPr>
          <w:rFonts w:hint="eastAsia" w:ascii="仿宋" w:hAnsi="仿宋" w:eastAsia="仿宋" w:cs="仿宋"/>
          <w:b/>
          <w:color w:val="auto"/>
          <w:spacing w:val="6"/>
          <w:sz w:val="32"/>
          <w:szCs w:val="32"/>
          <w:highlight w:val="none"/>
        </w:rPr>
      </w:pPr>
    </w:p>
    <w:p>
      <w:pPr>
        <w:kinsoku/>
        <w:wordWrap w:val="0"/>
        <w:overflowPunct/>
        <w:topLinePunct w:val="0"/>
        <w:bidi w:val="0"/>
        <w:rPr>
          <w:rFonts w:hint="eastAsia" w:ascii="仿宋" w:hAnsi="仿宋" w:eastAsia="仿宋" w:cs="仿宋"/>
          <w:b/>
          <w:color w:val="auto"/>
          <w:spacing w:val="6"/>
          <w:sz w:val="32"/>
          <w:szCs w:val="32"/>
          <w:highlight w:val="none"/>
        </w:rPr>
      </w:pPr>
    </w:p>
    <w:p>
      <w:pPr>
        <w:pStyle w:val="79"/>
        <w:kinsoku/>
        <w:wordWrap w:val="0"/>
        <w:overflowPunct/>
        <w:topLinePunct w:val="0"/>
        <w:bidi w:val="0"/>
        <w:rPr>
          <w:rFonts w:hint="eastAsia" w:ascii="仿宋" w:hAnsi="仿宋" w:eastAsia="仿宋" w:cs="仿宋"/>
          <w:b/>
          <w:color w:val="auto"/>
          <w:spacing w:val="6"/>
          <w:sz w:val="32"/>
          <w:szCs w:val="32"/>
          <w:highlight w:val="none"/>
        </w:rPr>
      </w:pPr>
    </w:p>
    <w:p>
      <w:pPr>
        <w:pStyle w:val="80"/>
        <w:kinsoku/>
        <w:wordWrap w:val="0"/>
        <w:overflowPunct/>
        <w:topLinePunct w:val="0"/>
        <w:bidi w:val="0"/>
        <w:rPr>
          <w:rFonts w:hint="eastAsia" w:ascii="仿宋" w:hAnsi="仿宋" w:eastAsia="仿宋" w:cs="仿宋"/>
          <w:b/>
          <w:color w:val="auto"/>
          <w:spacing w:val="6"/>
          <w:sz w:val="32"/>
          <w:szCs w:val="32"/>
          <w:highlight w:val="none"/>
        </w:rPr>
      </w:pPr>
    </w:p>
    <w:p>
      <w:pPr>
        <w:kinsoku/>
        <w:wordWrap w:val="0"/>
        <w:overflowPunct/>
        <w:topLinePunct w:val="0"/>
        <w:bidi w:val="0"/>
        <w:rPr>
          <w:rFonts w:hint="eastAsia" w:ascii="仿宋" w:hAnsi="仿宋" w:eastAsia="仿宋" w:cs="仿宋"/>
          <w:b/>
          <w:color w:val="auto"/>
          <w:spacing w:val="6"/>
          <w:sz w:val="32"/>
          <w:szCs w:val="32"/>
          <w:highlight w:val="none"/>
        </w:rPr>
      </w:pPr>
    </w:p>
    <w:p>
      <w:pPr>
        <w:pStyle w:val="79"/>
        <w:kinsoku/>
        <w:wordWrap w:val="0"/>
        <w:overflowPunct/>
        <w:topLinePunct w:val="0"/>
        <w:bidi w:val="0"/>
        <w:rPr>
          <w:rFonts w:hint="eastAsia" w:ascii="仿宋" w:hAnsi="仿宋" w:eastAsia="仿宋" w:cs="仿宋"/>
          <w:b/>
          <w:color w:val="auto"/>
          <w:spacing w:val="6"/>
          <w:sz w:val="32"/>
          <w:szCs w:val="32"/>
          <w:highlight w:val="none"/>
        </w:rPr>
      </w:pPr>
    </w:p>
    <w:p>
      <w:pPr>
        <w:pStyle w:val="80"/>
        <w:kinsoku/>
        <w:wordWrap w:val="0"/>
        <w:overflowPunct/>
        <w:topLinePunct w:val="0"/>
        <w:bidi w:val="0"/>
        <w:rPr>
          <w:rFonts w:hint="eastAsia" w:ascii="仿宋" w:hAnsi="仿宋" w:eastAsia="仿宋" w:cs="仿宋"/>
          <w:b/>
          <w:color w:val="auto"/>
          <w:spacing w:val="6"/>
          <w:sz w:val="32"/>
          <w:szCs w:val="32"/>
          <w:highlight w:val="none"/>
        </w:rPr>
      </w:pPr>
    </w:p>
    <w:p>
      <w:pPr>
        <w:kinsoku/>
        <w:wordWrap w:val="0"/>
        <w:overflowPunct/>
        <w:topLinePunct w:val="0"/>
        <w:bidi w:val="0"/>
        <w:rPr>
          <w:rFonts w:hint="eastAsia" w:ascii="仿宋" w:hAnsi="仿宋" w:eastAsia="仿宋" w:cs="仿宋"/>
          <w:b/>
          <w:color w:val="auto"/>
          <w:spacing w:val="6"/>
          <w:sz w:val="32"/>
          <w:szCs w:val="32"/>
          <w:highlight w:val="none"/>
        </w:rPr>
      </w:pPr>
    </w:p>
    <w:p>
      <w:pPr>
        <w:pStyle w:val="79"/>
        <w:kinsoku/>
        <w:wordWrap w:val="0"/>
        <w:overflowPunct/>
        <w:topLinePunct w:val="0"/>
        <w:bidi w:val="0"/>
        <w:rPr>
          <w:rFonts w:hint="eastAsia" w:ascii="仿宋" w:hAnsi="仿宋" w:eastAsia="仿宋" w:cs="仿宋"/>
          <w:b/>
          <w:color w:val="auto"/>
          <w:spacing w:val="6"/>
          <w:sz w:val="32"/>
          <w:szCs w:val="32"/>
          <w:highlight w:val="none"/>
        </w:rPr>
      </w:pPr>
    </w:p>
    <w:p>
      <w:pPr>
        <w:pStyle w:val="80"/>
        <w:kinsoku/>
        <w:wordWrap w:val="0"/>
        <w:overflowPunct/>
        <w:topLinePunct w:val="0"/>
        <w:bidi w:val="0"/>
        <w:rPr>
          <w:rFonts w:hint="eastAsia" w:ascii="仿宋" w:hAnsi="仿宋" w:eastAsia="仿宋" w:cs="仿宋"/>
          <w:b/>
          <w:color w:val="auto"/>
          <w:spacing w:val="6"/>
          <w:sz w:val="32"/>
          <w:szCs w:val="32"/>
          <w:highlight w:val="none"/>
        </w:rPr>
      </w:pPr>
    </w:p>
    <w:p>
      <w:pPr>
        <w:kinsoku/>
        <w:wordWrap w:val="0"/>
        <w:overflowPunct/>
        <w:topLinePunct w:val="0"/>
        <w:bidi w:val="0"/>
        <w:rPr>
          <w:rFonts w:hint="eastAsia" w:ascii="仿宋" w:hAnsi="仿宋" w:eastAsia="仿宋" w:cs="仿宋"/>
          <w:b/>
          <w:color w:val="auto"/>
          <w:spacing w:val="6"/>
          <w:sz w:val="32"/>
          <w:szCs w:val="32"/>
          <w:highlight w:val="none"/>
        </w:rPr>
      </w:pPr>
    </w:p>
    <w:p>
      <w:pPr>
        <w:pStyle w:val="79"/>
        <w:kinsoku/>
        <w:wordWrap w:val="0"/>
        <w:overflowPunct/>
        <w:topLinePunct w:val="0"/>
        <w:bidi w:val="0"/>
        <w:rPr>
          <w:rFonts w:hint="eastAsia" w:ascii="仿宋" w:hAnsi="仿宋" w:eastAsia="仿宋" w:cs="仿宋"/>
          <w:b/>
          <w:color w:val="auto"/>
          <w:spacing w:val="6"/>
          <w:sz w:val="32"/>
          <w:szCs w:val="32"/>
          <w:highlight w:val="none"/>
        </w:rPr>
      </w:pPr>
    </w:p>
    <w:p>
      <w:pPr>
        <w:pStyle w:val="80"/>
        <w:kinsoku/>
        <w:wordWrap w:val="0"/>
        <w:overflowPunct/>
        <w:topLinePunct w:val="0"/>
        <w:bidi w:val="0"/>
        <w:rPr>
          <w:rFonts w:hint="eastAsia" w:ascii="仿宋" w:hAnsi="仿宋" w:eastAsia="仿宋" w:cs="仿宋"/>
          <w:b/>
          <w:color w:val="auto"/>
          <w:spacing w:val="6"/>
          <w:sz w:val="32"/>
          <w:szCs w:val="32"/>
          <w:highlight w:val="none"/>
        </w:rPr>
      </w:pPr>
    </w:p>
    <w:p>
      <w:pPr>
        <w:kinsoku/>
        <w:wordWrap w:val="0"/>
        <w:overflowPunct/>
        <w:topLinePunct w:val="0"/>
        <w:bidi w:val="0"/>
        <w:rPr>
          <w:rFonts w:hint="eastAsia" w:ascii="仿宋" w:hAnsi="仿宋" w:eastAsia="仿宋" w:cs="仿宋"/>
          <w:b/>
          <w:color w:val="auto"/>
          <w:spacing w:val="6"/>
          <w:sz w:val="32"/>
          <w:szCs w:val="32"/>
          <w:highlight w:val="none"/>
        </w:rPr>
      </w:pPr>
    </w:p>
    <w:p>
      <w:pPr>
        <w:pStyle w:val="79"/>
        <w:kinsoku/>
        <w:wordWrap w:val="0"/>
        <w:overflowPunct/>
        <w:topLinePunct w:val="0"/>
        <w:bidi w:val="0"/>
        <w:rPr>
          <w:rFonts w:hint="eastAsia"/>
          <w:color w:val="auto"/>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56" w:name="OLE_LINK14"/>
      <w:bookmarkStart w:id="157" w:name="OLE_LINK13"/>
      <w:r>
        <w:rPr>
          <w:rFonts w:hint="eastAsia" w:ascii="仿宋" w:hAnsi="仿宋" w:eastAsia="仿宋" w:cs="仿宋"/>
          <w:b/>
          <w:color w:val="auto"/>
          <w:spacing w:val="6"/>
          <w:sz w:val="32"/>
          <w:szCs w:val="32"/>
          <w:highlight w:val="none"/>
        </w:rPr>
        <w:t>残疾人福利性单位声明函</w:t>
      </w:r>
    </w:p>
    <w:bookmarkEnd w:id="156"/>
    <w:bookmarkEnd w:id="157"/>
    <w:p>
      <w:pPr>
        <w:kinsoku/>
        <w:wordWrap w:val="0"/>
        <w:overflowPunct/>
        <w:topLinePunct w:val="0"/>
        <w:bidi w:val="0"/>
        <w:spacing w:line="360" w:lineRule="auto"/>
        <w:rPr>
          <w:rFonts w:hint="eastAsia" w:ascii="仿宋" w:hAnsi="仿宋" w:eastAsia="仿宋" w:cs="仿宋"/>
          <w:b/>
          <w:color w:val="auto"/>
          <w:spacing w:val="6"/>
          <w:sz w:val="30"/>
          <w:szCs w:val="30"/>
          <w:highlight w:val="none"/>
        </w:rPr>
      </w:pP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lang w:eastAsia="zh-CN"/>
        </w:rPr>
        <w:t>绍兴市第八中学</w:t>
      </w:r>
      <w:r>
        <w:rPr>
          <w:rFonts w:hint="eastAsia" w:ascii="仿宋" w:hAnsi="仿宋" w:eastAsia="仿宋" w:cs="仿宋"/>
          <w:color w:val="auto"/>
          <w:sz w:val="24"/>
          <w:highlight w:val="none"/>
        </w:rPr>
        <w:t>单位的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lang w:eastAsia="zh-CN"/>
        </w:rPr>
        <w:t>绍兴市第八中学物业管理服务项目</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none"/>
          <w:lang w:val="en-US" w:eastAsia="zh-CN"/>
        </w:rPr>
        <w:t>项目</w:t>
      </w:r>
      <w:r>
        <w:rPr>
          <w:rFonts w:hint="eastAsia" w:ascii="仿宋" w:hAnsi="仿宋" w:eastAsia="仿宋" w:cs="仿宋"/>
          <w:color w:val="auto"/>
          <w:sz w:val="24"/>
          <w:highlight w:val="none"/>
        </w:rPr>
        <w:t>采购活动提供本单位制造的货物（由本单位承担工程/提供服务），或者提供其他残疾人福利性单位制造的货物（不包括使用非残疾人福利性单位注册商标的货物）。</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p>
    <w:p>
      <w:pPr>
        <w:tabs>
          <w:tab w:val="left" w:pos="4860"/>
        </w:tabs>
        <w:kinsoku/>
        <w:wordWrap w:val="0"/>
        <w:overflowPunct/>
        <w:topLinePunct w:val="0"/>
        <w:bidi w:val="0"/>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kinsoku/>
        <w:wordWrap w:val="0"/>
        <w:overflowPunct/>
        <w:topLinePunct w:val="0"/>
        <w:bidi w:val="0"/>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pStyle w:val="23"/>
        <w:kinsoku/>
        <w:wordWrap w:val="0"/>
        <w:overflowPunct/>
        <w:topLinePunct w:val="0"/>
        <w:bidi w:val="0"/>
        <w:rPr>
          <w:rFonts w:hint="eastAsia" w:ascii="仿宋" w:hAnsi="仿宋" w:eastAsia="仿宋" w:cs="仿宋"/>
          <w:color w:val="auto"/>
          <w:highlight w:val="none"/>
        </w:rPr>
      </w:pPr>
    </w:p>
    <w:p>
      <w:pPr>
        <w:kinsoku/>
        <w:wordWrap w:val="0"/>
        <w:overflowPunct/>
        <w:topLinePunct w:val="0"/>
        <w:bidi w:val="0"/>
        <w:snapToGrid w:val="0"/>
        <w:spacing w:line="360" w:lineRule="auto"/>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rPr>
          <w:rFonts w:hint="eastAsia" w:ascii="仿宋" w:hAnsi="仿宋" w:eastAsia="仿宋" w:cs="仿宋"/>
          <w:b/>
          <w:color w:val="auto"/>
          <w:kern w:val="0"/>
          <w:sz w:val="32"/>
          <w:szCs w:val="32"/>
          <w:highlight w:val="none"/>
        </w:rPr>
      </w:pPr>
    </w:p>
    <w:p>
      <w:pPr>
        <w:keepNext w:val="0"/>
        <w:keepLines w:val="0"/>
        <w:pageBreakBefore/>
        <w:widowControl w:val="0"/>
        <w:kinsoku/>
        <w:wordWrap w:val="0"/>
        <w:overflowPunct/>
        <w:topLinePunct w:val="0"/>
        <w:autoSpaceDE/>
        <w:autoSpaceDN/>
        <w:bidi w:val="0"/>
        <w:adjustRightInd w:val="0"/>
        <w:snapToGrid w:val="0"/>
        <w:spacing w:line="360" w:lineRule="auto"/>
        <w:textAlignment w:val="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pPr>
        <w:kinsoku/>
        <w:wordWrap w:val="0"/>
        <w:overflowPunct/>
        <w:topLinePunct w:val="0"/>
        <w:bidi w:val="0"/>
        <w:spacing w:line="360" w:lineRule="auto"/>
        <w:jc w:val="center"/>
        <w:rPr>
          <w:rFonts w:hint="eastAsia" w:ascii="仿宋" w:hAnsi="仿宋" w:eastAsia="仿宋" w:cs="仿宋"/>
          <w:color w:val="auto"/>
          <w:sz w:val="24"/>
          <w:highlight w:val="none"/>
          <w:u w:val="single"/>
        </w:rPr>
      </w:pPr>
    </w:p>
    <w:p>
      <w:pPr>
        <w:kinsoku/>
        <w:wordWrap w:val="0"/>
        <w:overflowPunct/>
        <w:topLinePunct w:val="0"/>
        <w:bidi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pPr>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lang w:eastAsia="zh-CN"/>
        </w:rPr>
        <w:t>绍兴市第八中学</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绍兴市第八中学物业管理服务项目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pPr>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kinsoku/>
        <w:wordWrap w:val="0"/>
        <w:overflowPunct/>
        <w:topLinePunct w:val="0"/>
        <w:bidi w:val="0"/>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kinsoku/>
        <w:wordWrap w:val="0"/>
        <w:overflowPunct/>
        <w:topLinePunct w:val="0"/>
        <w:bidi w:val="0"/>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pPr>
        <w:kinsoku/>
        <w:wordWrap w:val="0"/>
        <w:overflowPunct/>
        <w:topLinePunct w:val="0"/>
        <w:bidi w:val="0"/>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pPr>
        <w:kinsoku/>
        <w:wordWrap w:val="0"/>
        <w:overflowPunct/>
        <w:topLinePunct w:val="0"/>
        <w:bidi w:val="0"/>
        <w:spacing w:line="360" w:lineRule="auto"/>
        <w:ind w:right="420"/>
        <w:rPr>
          <w:rFonts w:hint="eastAsia" w:ascii="仿宋" w:hAnsi="仿宋" w:eastAsia="仿宋" w:cs="仿宋"/>
          <w:color w:val="auto"/>
          <w:sz w:val="24"/>
          <w:highlight w:val="none"/>
        </w:rPr>
      </w:pPr>
    </w:p>
    <w:p>
      <w:pPr>
        <w:kinsoku/>
        <w:wordWrap w:val="0"/>
        <w:overflowPunct/>
        <w:topLinePunct w:val="0"/>
        <w:bidi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pPr>
        <w:kinsoku/>
        <w:wordWrap w:val="0"/>
        <w:overflowPunct/>
        <w:topLinePunct w:val="0"/>
        <w:bidi w:val="0"/>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kinsoku/>
        <w:wordWrap w:val="0"/>
        <w:overflowPunct/>
        <w:topLinePunct w:val="0"/>
        <w:bidi w:val="0"/>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5"/>
        <w:kinsoku/>
        <w:wordWrap w:val="0"/>
        <w:overflowPunct/>
        <w:topLinePunct w:val="0"/>
        <w:bidi w:val="0"/>
        <w:rPr>
          <w:rFonts w:hint="eastAsia" w:ascii="仿宋" w:hAnsi="仿宋" w:eastAsia="仿宋" w:cs="仿宋"/>
          <w:color w:val="auto"/>
          <w:highlight w:val="none"/>
          <w:lang w:val="en-US"/>
        </w:rPr>
      </w:pPr>
    </w:p>
    <w:p>
      <w:pPr>
        <w:pageBreakBefore/>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kinsoku/>
        <w:wordWrap w:val="0"/>
        <w:overflowPunct/>
        <w:topLinePunct w:val="0"/>
        <w:bidi w:val="0"/>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kinsoku/>
        <w:wordWrap w:val="0"/>
        <w:overflowPunct/>
        <w:topLinePunct w:val="0"/>
        <w:bidi w:val="0"/>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kinsoku/>
        <w:wordWrap w:val="0"/>
        <w:overflowPunct/>
        <w:topLinePunct w:val="0"/>
        <w:bidi w:val="0"/>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23"/>
        <w:kinsoku/>
        <w:wordWrap w:val="0"/>
        <w:overflowPunct/>
        <w:topLinePunct w:val="0"/>
        <w:bidi w:val="0"/>
        <w:rPr>
          <w:rFonts w:hint="eastAsia"/>
          <w:color w:val="auto"/>
          <w:highlight w:val="none"/>
          <w:lang w:val="en-US" w:eastAsia="zh-CN"/>
        </w:rPr>
      </w:pP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kinsoku/>
        <w:wordWrap w:val="0"/>
        <w:overflowPunct/>
        <w:topLinePunct w:val="0"/>
        <w:bidi w:val="0"/>
        <w:jc w:val="left"/>
        <w:rPr>
          <w:rFonts w:hint="eastAsia" w:ascii="仿宋" w:hAnsi="仿宋" w:eastAsia="仿宋" w:cs="仿宋"/>
          <w:color w:val="auto"/>
          <w:kern w:val="0"/>
          <w:sz w:val="24"/>
          <w:highlight w:val="none"/>
        </w:rPr>
      </w:pP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3.企业划分指标以现行统计制度为准。</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kinsoku/>
        <w:wordWrap w:val="0"/>
        <w:overflowPunct/>
        <w:topLinePunct w:val="0"/>
        <w:bidi w:val="0"/>
        <w:jc w:val="left"/>
        <w:rPr>
          <w:rFonts w:hint="eastAsia" w:ascii="仿宋" w:hAnsi="仿宋" w:eastAsia="仿宋" w:cs="仿宋"/>
          <w:color w:val="auto"/>
          <w:kern w:val="0"/>
          <w:sz w:val="24"/>
          <w:highlight w:val="none"/>
        </w:rPr>
      </w:pPr>
    </w:p>
    <w:p>
      <w:pPr>
        <w:widowControl/>
        <w:kinsoku/>
        <w:wordWrap w:val="0"/>
        <w:overflowPunct/>
        <w:topLinePunct w:val="0"/>
        <w:bidi w:val="0"/>
        <w:jc w:val="left"/>
        <w:rPr>
          <w:rFonts w:hint="eastAsia" w:ascii="仿宋" w:hAnsi="仿宋" w:eastAsia="仿宋" w:cs="仿宋"/>
          <w:color w:val="auto"/>
          <w:kern w:val="0"/>
          <w:sz w:val="24"/>
          <w:highlight w:val="none"/>
        </w:rPr>
      </w:pP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kinsoku/>
        <w:wordWrap w:val="0"/>
        <w:overflowPunct/>
        <w:topLinePunct w:val="0"/>
        <w:bidi w:val="0"/>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kinsoku/>
        <w:wordWrap w:val="0"/>
        <w:overflowPunct/>
        <w:topLinePunct w:val="0"/>
        <w:bidi w:val="0"/>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pPr>
        <w:widowControl/>
        <w:kinsoku/>
        <w:wordWrap w:val="0"/>
        <w:overflowPunct/>
        <w:topLinePunct w:val="0"/>
        <w:bidi w:val="0"/>
        <w:jc w:val="left"/>
        <w:rPr>
          <w:rFonts w:hint="eastAsia" w:ascii="仿宋" w:hAnsi="仿宋" w:eastAsia="仿宋" w:cs="仿宋"/>
          <w:color w:val="auto"/>
          <w:kern w:val="0"/>
          <w:sz w:val="18"/>
          <w:szCs w:val="18"/>
          <w:highlight w:val="none"/>
        </w:rPr>
      </w:pPr>
    </w:p>
    <w:p>
      <w:pPr>
        <w:widowControl/>
        <w:kinsoku/>
        <w:wordWrap w:val="0"/>
        <w:overflowPunct/>
        <w:topLinePunct w:val="0"/>
        <w:bidi w:val="0"/>
        <w:jc w:val="left"/>
        <w:rPr>
          <w:rFonts w:hint="eastAsia" w:ascii="仿宋" w:hAnsi="仿宋" w:eastAsia="仿宋" w:cs="仿宋"/>
          <w:color w:val="auto"/>
          <w:kern w:val="0"/>
          <w:sz w:val="18"/>
          <w:szCs w:val="18"/>
          <w:highlight w:val="none"/>
        </w:rPr>
      </w:pPr>
    </w:p>
    <w:p>
      <w:pPr>
        <w:widowControl/>
        <w:kinsoku/>
        <w:wordWrap w:val="0"/>
        <w:overflowPunct/>
        <w:topLinePunct w:val="0"/>
        <w:bidi w:val="0"/>
        <w:jc w:val="left"/>
        <w:rPr>
          <w:rFonts w:hint="eastAsia" w:ascii="仿宋" w:hAnsi="仿宋" w:eastAsia="仿宋" w:cs="仿宋"/>
          <w:color w:val="auto"/>
          <w:kern w:val="0"/>
          <w:sz w:val="18"/>
          <w:szCs w:val="18"/>
          <w:highlight w:val="none"/>
        </w:rPr>
      </w:pPr>
    </w:p>
    <w:p>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九</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融资担保公司参照本规定中“除贷款公司、小额贷款公司、典当行以外的其他金融机构”标准划型。</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kinsoku/>
        <w:wordWrap w:val="0"/>
        <w:overflowPunct/>
        <w:topLinePunct w:val="0"/>
        <w:bidi w:val="0"/>
        <w:rPr>
          <w:rFonts w:hint="eastAsia" w:ascii="仿宋" w:hAnsi="仿宋" w:eastAsia="仿宋" w:cs="仿宋"/>
          <w:color w:val="auto"/>
          <w:sz w:val="24"/>
          <w:highlight w:val="none"/>
        </w:rPr>
      </w:pPr>
    </w:p>
    <w:p>
      <w:pPr>
        <w:kinsoku/>
        <w:wordWrap w:val="0"/>
        <w:overflowPunct/>
        <w:topLinePunct w:val="0"/>
        <w:bidi w:val="0"/>
        <w:ind w:firstLine="420" w:firstLineChars="200"/>
        <w:rPr>
          <w:rFonts w:hint="eastAsia" w:ascii="仿宋" w:hAnsi="仿宋" w:eastAsia="仿宋" w:cs="仿宋"/>
          <w:color w:val="auto"/>
          <w:highlight w:val="none"/>
        </w:rPr>
      </w:pPr>
    </w:p>
    <w:p>
      <w:pPr>
        <w:kinsoku/>
        <w:wordWrap w:val="0"/>
        <w:overflowPunct/>
        <w:topLinePunct w:val="0"/>
        <w:bidi w:val="0"/>
        <w:spacing w:line="360" w:lineRule="auto"/>
        <w:ind w:right="420"/>
        <w:rPr>
          <w:rFonts w:hint="eastAsia" w:ascii="仿宋" w:hAnsi="仿宋" w:eastAsia="仿宋" w:cs="仿宋"/>
          <w:color w:val="auto"/>
          <w:highlight w:val="none"/>
        </w:rPr>
      </w:pPr>
    </w:p>
    <w:p>
      <w:pPr>
        <w:kinsoku/>
        <w:wordWrap w:val="0"/>
        <w:overflowPunct/>
        <w:topLinePunct w:val="0"/>
        <w:bidi w:val="0"/>
        <w:spacing w:line="360" w:lineRule="auto"/>
        <w:rPr>
          <w:rFonts w:ascii="宋体" w:hAnsi="宋体" w:cs="宋体"/>
          <w:bCs/>
          <w:color w:val="auto"/>
          <w:sz w:val="24"/>
          <w:highlight w:val="none"/>
        </w:rPr>
      </w:pPr>
    </w:p>
    <w:sectPr>
      <w:footerReference r:id="rId20" w:type="first"/>
      <w:footerReference r:id="rId18" w:type="default"/>
      <w:footerReference r:id="rId19"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hakuyoxingshu7000"/>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hakuyoxingshu7000"/>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hakuyoxingshu7000"/>
    <w:panose1 w:val="00000000000000000000"/>
    <w:charset w:val="00"/>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hakuyoxingshu7000">
    <w:panose1 w:val="02000600000000000000"/>
    <w:charset w:val="86"/>
    <w:family w:val="auto"/>
    <w:pitch w:val="default"/>
    <w:sig w:usb0="FFFFFFFF" w:usb1="E9FFFFFF" w:usb2="0000003F" w:usb3="00000000" w:csb0="603F00FF" w:csb1="FFFF0000"/>
  </w:font>
  <w:font w:name="Vrinda">
    <w:panose1 w:val="020B0502040204020203"/>
    <w:charset w:val="00"/>
    <w:family w:val="auto"/>
    <w:pitch w:val="default"/>
    <w:sig w:usb0="0001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招标编号:2025-07-0056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0"/>
      </w:pBdr>
      <w:tabs>
        <w:tab w:val="clear" w:pos="4153"/>
        <w:tab w:val="clear" w:pos="8306"/>
      </w:tabs>
      <w:jc w:val="both"/>
    </w:pP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招标编号:2025-07-0056</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0"/>
      </w:pBdr>
      <w:tabs>
        <w:tab w:val="clear" w:pos="4153"/>
        <w:tab w:val="clear" w:pos="8306"/>
      </w:tabs>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招标编号:2025-07-0056</w:t>
    </w:r>
  </w:p>
  <w:p>
    <w:pPr>
      <w:pStyle w:val="41"/>
      <w:pBdr>
        <w:bottom w:val="none" w:color="auto" w:sz="0" w:space="0"/>
      </w:pBdr>
      <w:tabs>
        <w:tab w:val="clear" w:pos="4153"/>
        <w:tab w:val="clear" w:pos="8306"/>
      </w:tabs>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b/>
        <w:i/>
        <w:sz w:val="18"/>
        <w:u w:val="single"/>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招标编号:2025-07-0056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0F0D0A93"/>
    <w:multiLevelType w:val="multilevel"/>
    <w:tmpl w:val="0F0D0A93"/>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1A9E59BB"/>
    <w:multiLevelType w:val="multilevel"/>
    <w:tmpl w:val="1A9E59BB"/>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228E49B3"/>
    <w:multiLevelType w:val="multilevel"/>
    <w:tmpl w:val="228E49B3"/>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497434F1"/>
    <w:multiLevelType w:val="multilevel"/>
    <w:tmpl w:val="497434F1"/>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55404DB8"/>
    <w:multiLevelType w:val="multilevel"/>
    <w:tmpl w:val="55404DB8"/>
    <w:lvl w:ilvl="0" w:tentative="0">
      <w:start w:val="1"/>
      <w:numFmt w:val="decimal"/>
      <w:lvlText w:val="%1."/>
      <w:lvlJc w:val="left"/>
      <w:pPr>
        <w:ind w:left="842" w:hanging="36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7">
    <w:nsid w:val="5911257D"/>
    <w:multiLevelType w:val="multilevel"/>
    <w:tmpl w:val="5911257D"/>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8">
    <w:nsid w:val="616B2428"/>
    <w:multiLevelType w:val="multilevel"/>
    <w:tmpl w:val="616B2428"/>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6460128A"/>
    <w:multiLevelType w:val="multilevel"/>
    <w:tmpl w:val="6460128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64ED36D9"/>
    <w:multiLevelType w:val="multilevel"/>
    <w:tmpl w:val="64ED36D9"/>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6A870DAF"/>
    <w:multiLevelType w:val="multilevel"/>
    <w:tmpl w:val="6A870DAF"/>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71F6333F"/>
    <w:multiLevelType w:val="multilevel"/>
    <w:tmpl w:val="71F6333F"/>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77653133"/>
    <w:multiLevelType w:val="multilevel"/>
    <w:tmpl w:val="77653133"/>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9"/>
  </w:num>
  <w:num w:numId="2">
    <w:abstractNumId w:val="4"/>
  </w:num>
  <w:num w:numId="3">
    <w:abstractNumId w:val="2"/>
  </w:num>
  <w:num w:numId="4">
    <w:abstractNumId w:val="6"/>
  </w:num>
  <w:num w:numId="5">
    <w:abstractNumId w:val="10"/>
  </w:num>
  <w:num w:numId="6">
    <w:abstractNumId w:val="7"/>
  </w:num>
  <w:num w:numId="7">
    <w:abstractNumId w:val="5"/>
  </w:num>
  <w:num w:numId="8">
    <w:abstractNumId w:val="11"/>
  </w:num>
  <w:num w:numId="9">
    <w:abstractNumId w:val="13"/>
  </w:num>
  <w:num w:numId="10">
    <w:abstractNumId w:val="8"/>
  </w:num>
  <w:num w:numId="11">
    <w:abstractNumId w:val="3"/>
  </w:num>
  <w:num w:numId="12">
    <w:abstractNumId w:val="12"/>
  </w:num>
  <w:num w:numId="13">
    <w:abstractNumId w:val="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35BEF8B"/>
    <w:rsid w:val="07C44B0B"/>
    <w:rsid w:val="082405EF"/>
    <w:rsid w:val="0CC316B7"/>
    <w:rsid w:val="0F096B8F"/>
    <w:rsid w:val="0F63063F"/>
    <w:rsid w:val="102F14FB"/>
    <w:rsid w:val="1457670F"/>
    <w:rsid w:val="18E60774"/>
    <w:rsid w:val="1B3B18A4"/>
    <w:rsid w:val="1B3C02CD"/>
    <w:rsid w:val="1D2F1C3B"/>
    <w:rsid w:val="1D6C33B2"/>
    <w:rsid w:val="1FBFFEB0"/>
    <w:rsid w:val="202A5739"/>
    <w:rsid w:val="275DFFED"/>
    <w:rsid w:val="291A31E9"/>
    <w:rsid w:val="2D024C8F"/>
    <w:rsid w:val="2F0C0A43"/>
    <w:rsid w:val="30CD01D9"/>
    <w:rsid w:val="326F4556"/>
    <w:rsid w:val="3E6DF6DC"/>
    <w:rsid w:val="3FCFDA4A"/>
    <w:rsid w:val="427E60E8"/>
    <w:rsid w:val="42D7356B"/>
    <w:rsid w:val="44A37D78"/>
    <w:rsid w:val="4DF30457"/>
    <w:rsid w:val="4F4B3D85"/>
    <w:rsid w:val="4F981E95"/>
    <w:rsid w:val="516B6AC0"/>
    <w:rsid w:val="569E1A8F"/>
    <w:rsid w:val="57335A09"/>
    <w:rsid w:val="57815A06"/>
    <w:rsid w:val="597D744D"/>
    <w:rsid w:val="5B5961F8"/>
    <w:rsid w:val="5B73EE39"/>
    <w:rsid w:val="5CFAC9C4"/>
    <w:rsid w:val="5F561B6F"/>
    <w:rsid w:val="5F57E5CA"/>
    <w:rsid w:val="64AFCBD0"/>
    <w:rsid w:val="660C54B0"/>
    <w:rsid w:val="669C35D3"/>
    <w:rsid w:val="66BB07E1"/>
    <w:rsid w:val="6AFF2A6C"/>
    <w:rsid w:val="6D711D8D"/>
    <w:rsid w:val="6D9D5C81"/>
    <w:rsid w:val="6EBAEEF7"/>
    <w:rsid w:val="6FC37AD4"/>
    <w:rsid w:val="735F78E6"/>
    <w:rsid w:val="778CFDC4"/>
    <w:rsid w:val="77EDE09C"/>
    <w:rsid w:val="78AD1F79"/>
    <w:rsid w:val="78BB59A6"/>
    <w:rsid w:val="7DFF3A1B"/>
    <w:rsid w:val="7EB17B62"/>
    <w:rsid w:val="7F2A5316"/>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3"/>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3">
    <w:name w:val="Normal Indent"/>
    <w:basedOn w:val="1"/>
    <w:next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19"/>
    <w:qFormat/>
    <w:uiPriority w:val="0"/>
    <w:pPr>
      <w:ind w:firstLine="420"/>
    </w:pPr>
    <w:rPr>
      <w:rFonts w:hAnsi="Calibri" w:cs="Times New Roman"/>
      <w:snapToGrid/>
      <w:szCs w:val="20"/>
    </w:rPr>
  </w:style>
  <w:style w:type="paragraph" w:styleId="25">
    <w:name w:val="Body Text Indent"/>
    <w:basedOn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3"/>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qFormat/>
    <w:uiPriority w:val="0"/>
    <w:rPr>
      <w:b/>
      <w:bCs/>
    </w:rPr>
  </w:style>
  <w:style w:type="paragraph" w:styleId="61">
    <w:name w:val="Body Text First Indent 2"/>
    <w:basedOn w:val="25"/>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basedOn w:val="69"/>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5"/>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3"/>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3"/>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5"/>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2"/>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2"/>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3"/>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3"/>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2"/>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3"/>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2"/>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next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character" w:customStyle="1" w:styleId="964">
    <w:name w:val="rili11"/>
    <w:qFormat/>
    <w:uiPriority w:val="0"/>
    <w:rPr>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98</Pages>
  <Words>37971</Words>
  <Characters>40122</Characters>
  <Paragraphs>1943</Paragraphs>
  <TotalTime>27</TotalTime>
  <ScaleCrop>false</ScaleCrop>
  <LinksUpToDate>false</LinksUpToDate>
  <CharactersWithSpaces>41884</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Administrator</cp:lastModifiedBy>
  <cp:lastPrinted>2021-12-31T19:06:00Z</cp:lastPrinted>
  <dcterms:modified xsi:type="dcterms:W3CDTF">2025-07-03T08:08:37Z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eyJoZGlkIjoiYTg1MDQxZWM1OTEzZjM1NTg0YTQ4MjRmYTlmZWY5YmYiLCJ1c2VySWQiOiI1MzkwMzQ5MTkifQ==</vt:lpwstr>
  </property>
</Properties>
</file>