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app.xml" Type="http://schemas.openxmlformats.org/officeDocument/2006/relationships/extended-properties"/><Relationship Id="rId2" Target="docProps/core.xml" Type="http://schemas.openxmlformats.org/package/2006/relationships/metadata/core-properties"/><Relationship Id="rId3" Target="docProps/custom.xml" Type="http://schemas.openxmlformats.org/officeDocument/2006/relationships/custom-properties"/><Relationship Id="rId4" Target="word/document.xml" Type="http://schemas.openxmlformats.org/officeDocument/2006/relationships/officeDocument"/></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hint="eastAsia" w:ascii="宋体" w:hAnsi="宋体" w:cs="宋体"/>
          <w:color w:val="auto"/>
          <w:sz w:val="24"/>
        </w:rPr>
      </w:pPr>
      <w:bookmarkStart w:id="13" w:name="_GoBack"/>
      <w:bookmarkEnd w:id="13"/>
    </w:p>
    <w:p>
      <w:pPr>
        <w:spacing w:line="360" w:lineRule="auto"/>
        <w:jc w:val="center"/>
        <w:rPr>
          <w:rFonts w:hint="eastAsia" w:ascii="宋体" w:hAnsi="宋体" w:cs="宋体"/>
          <w:b/>
          <w:bCs/>
          <w:color w:val="auto"/>
          <w:sz w:val="24"/>
          <w:lang w:eastAsia="zh-CN"/>
        </w:rPr>
      </w:pPr>
    </w:p>
    <w:p>
      <w:pPr>
        <w:spacing w:line="360" w:lineRule="auto"/>
        <w:jc w:val="center"/>
        <w:rPr>
          <w:rFonts w:hint="eastAsia" w:ascii="宋体" w:hAnsi="宋体" w:cs="宋体"/>
          <w:b/>
          <w:bCs/>
          <w:color w:val="auto"/>
          <w:sz w:val="24"/>
        </w:rPr>
      </w:pPr>
      <w:r>
        <w:rPr>
          <w:rFonts w:hint="eastAsia" w:ascii="宋体" w:hAnsi="宋体" w:eastAsia="宋体" w:cs="宋体"/>
          <w:b/>
          <w:bCs/>
          <w:color w:val="auto"/>
          <w:sz w:val="28"/>
          <w:szCs w:val="28"/>
          <w:lang w:eastAsia="zh-CN"/>
        </w:rPr>
        <w:t>下管镇农村环境卫生和垃圾分类管理服务项目</w:t>
      </w:r>
      <w:r>
        <w:rPr>
          <w:rFonts w:hint="eastAsia" w:ascii="宋体" w:hAnsi="宋体" w:eastAsia="宋体" w:cs="宋体"/>
          <w:b/>
          <w:bCs/>
          <w:color w:val="auto"/>
          <w:sz w:val="28"/>
          <w:szCs w:val="28"/>
          <w:lang w:val="en-US" w:eastAsia="zh-CN"/>
        </w:rPr>
        <w:t>的</w:t>
      </w:r>
      <w:r>
        <w:rPr>
          <w:rFonts w:hint="eastAsia" w:ascii="宋体" w:hAnsi="宋体" w:eastAsia="宋体" w:cs="宋体"/>
          <w:b/>
          <w:bCs/>
          <w:color w:val="auto"/>
          <w:sz w:val="28"/>
          <w:szCs w:val="28"/>
        </w:rPr>
        <w:t>征求意见</w:t>
      </w:r>
    </w:p>
    <w:p>
      <w:pPr>
        <w:jc w:val="center"/>
        <w:rPr>
          <w:rFonts w:hint="eastAsia" w:ascii="宋体" w:hAnsi="宋体" w:cs="宋体"/>
          <w:b/>
          <w:bCs/>
          <w:color w:val="auto"/>
          <w:sz w:val="24"/>
        </w:rPr>
      </w:pPr>
    </w:p>
    <w:p>
      <w:pPr>
        <w:pStyle w:val="34"/>
        <w:shd w:val="clear" w:color="auto" w:fill="FFFFFF"/>
        <w:spacing w:before="0" w:beforeAutospacing="0" w:after="0" w:afterAutospacing="0" w:line="360" w:lineRule="auto"/>
        <w:rPr>
          <w:color w:val="auto"/>
        </w:rPr>
      </w:pPr>
      <w:r>
        <w:rPr>
          <w:rFonts w:hint="eastAsia"/>
          <w:color w:val="auto"/>
        </w:rPr>
        <w:t>一.   征求意见范围：</w:t>
      </w:r>
    </w:p>
    <w:p>
      <w:pPr>
        <w:pStyle w:val="34"/>
        <w:shd w:val="clear" w:color="auto" w:fill="FFFFFF"/>
        <w:spacing w:before="0" w:beforeAutospacing="0" w:after="0" w:afterAutospacing="0" w:line="360" w:lineRule="auto"/>
        <w:ind w:firstLine="480" w:firstLineChars="200"/>
        <w:rPr>
          <w:color w:val="auto"/>
        </w:rPr>
      </w:pPr>
      <w:r>
        <w:rPr>
          <w:rFonts w:hint="eastAsia"/>
          <w:color w:val="auto"/>
        </w:rPr>
        <w:t>1、是否出现明显的倾向性意见和特定的性能指标；</w:t>
      </w:r>
    </w:p>
    <w:p>
      <w:pPr>
        <w:pStyle w:val="34"/>
        <w:shd w:val="clear" w:color="auto" w:fill="FFFFFF"/>
        <w:spacing w:before="0" w:beforeAutospacing="0" w:after="0" w:afterAutospacing="0" w:line="360" w:lineRule="auto"/>
        <w:ind w:firstLine="480" w:firstLineChars="200"/>
        <w:rPr>
          <w:color w:val="auto"/>
        </w:rPr>
      </w:pPr>
      <w:r>
        <w:rPr>
          <w:rFonts w:hint="eastAsia"/>
          <w:color w:val="auto"/>
        </w:rPr>
        <w:t>2、影响政府采购“公开、公平、公正”原则的其他情况。</w:t>
      </w:r>
    </w:p>
    <w:p>
      <w:pPr>
        <w:pStyle w:val="34"/>
        <w:shd w:val="clear" w:color="auto" w:fill="FFFFFF"/>
        <w:spacing w:before="0" w:beforeAutospacing="0" w:after="0" w:afterAutospacing="0" w:line="360" w:lineRule="auto"/>
        <w:rPr>
          <w:color w:val="auto"/>
        </w:rPr>
      </w:pPr>
      <w:r>
        <w:rPr>
          <w:rFonts w:hint="eastAsia"/>
          <w:color w:val="auto"/>
        </w:rPr>
        <w:t>二.   合格投标人：</w:t>
      </w:r>
    </w:p>
    <w:p>
      <w:pPr>
        <w:pStyle w:val="34"/>
        <w:shd w:val="clear" w:color="auto" w:fill="FFFFFF"/>
        <w:spacing w:before="0" w:beforeAutospacing="0" w:after="0" w:afterAutospacing="0" w:line="360" w:lineRule="auto"/>
        <w:rPr>
          <w:rFonts w:hint="eastAsia"/>
          <w:color w:val="auto"/>
        </w:rPr>
      </w:pPr>
      <w:r>
        <w:rPr>
          <w:rFonts w:hint="eastAsia"/>
          <w:color w:val="auto"/>
        </w:rPr>
        <w:t> </w:t>
      </w:r>
      <w:r>
        <w:rPr>
          <w:rFonts w:hint="eastAsia"/>
          <w:color w:val="auto"/>
          <w:lang w:val="en-US" w:eastAsia="zh-CN"/>
        </w:rPr>
        <w:t xml:space="preserve">  1</w:t>
      </w:r>
      <w:r>
        <w:rPr>
          <w:rFonts w:hint="eastAsia"/>
          <w:color w:val="auto"/>
        </w:rPr>
        <w:t>、符合政府采购法第二十二条规定的</w:t>
      </w:r>
      <w:r>
        <w:rPr>
          <w:rFonts w:hint="eastAsia"/>
          <w:color w:val="auto"/>
          <w:lang w:eastAsia="zh-CN"/>
        </w:rPr>
        <w:t>独立法人</w:t>
      </w:r>
      <w:r>
        <w:rPr>
          <w:rFonts w:hint="eastAsia"/>
          <w:color w:val="auto"/>
        </w:rPr>
        <w:t>；</w:t>
      </w:r>
    </w:p>
    <w:p>
      <w:pPr>
        <w:pStyle w:val="34"/>
        <w:shd w:val="clear" w:color="auto" w:fill="FFFFFF"/>
        <w:spacing w:before="0" w:beforeAutospacing="0" w:after="0" w:afterAutospacing="0" w:line="360" w:lineRule="auto"/>
        <w:ind w:firstLine="480" w:firstLineChars="200"/>
        <w:rPr>
          <w:rFonts w:hint="eastAsia"/>
          <w:color w:val="auto"/>
        </w:rPr>
      </w:pPr>
      <w:r>
        <w:rPr>
          <w:rFonts w:hint="eastAsia"/>
          <w:color w:val="auto"/>
        </w:rPr>
        <w:t>2、本次招标</w:t>
      </w:r>
      <w:r>
        <w:rPr>
          <w:rFonts w:hint="eastAsia"/>
          <w:color w:val="auto"/>
          <w:lang w:eastAsia="zh-CN"/>
        </w:rPr>
        <w:t>不</w:t>
      </w:r>
      <w:r>
        <w:rPr>
          <w:rFonts w:hint="eastAsia"/>
          <w:color w:val="auto"/>
        </w:rPr>
        <w:t>接受联合体投标；</w:t>
      </w:r>
    </w:p>
    <w:p>
      <w:pPr>
        <w:pStyle w:val="34"/>
        <w:shd w:val="clear" w:color="auto" w:fill="FFFFFF"/>
        <w:spacing w:before="0" w:beforeAutospacing="0" w:after="0" w:afterAutospacing="0" w:line="360" w:lineRule="auto"/>
        <w:ind w:firstLine="480" w:firstLineChars="200"/>
        <w:rPr>
          <w:rFonts w:hint="eastAsia"/>
          <w:color w:val="auto"/>
        </w:rPr>
      </w:pPr>
      <w:r>
        <w:rPr>
          <w:rFonts w:hint="eastAsia"/>
          <w:color w:val="auto"/>
          <w:lang w:val="en-US" w:eastAsia="zh-CN"/>
        </w:rPr>
        <w:t>3</w:t>
      </w:r>
      <w:r>
        <w:rPr>
          <w:rFonts w:hint="eastAsia"/>
          <w:color w:val="auto"/>
        </w:rPr>
        <w:t>、本次招标需采用资格后审的审查方式，由采购人负责审查。</w:t>
      </w:r>
    </w:p>
    <w:p>
      <w:pPr>
        <w:pStyle w:val="34"/>
        <w:shd w:val="clear" w:color="auto" w:fill="FFFFFF"/>
        <w:spacing w:before="0" w:beforeAutospacing="0" w:after="0" w:afterAutospacing="0" w:line="360" w:lineRule="auto"/>
        <w:rPr>
          <w:color w:val="auto"/>
        </w:rPr>
      </w:pPr>
      <w:r>
        <w:rPr>
          <w:rFonts w:hint="eastAsia"/>
          <w:color w:val="auto"/>
        </w:rPr>
        <w:t>三.   征求意见回复：</w:t>
      </w:r>
    </w:p>
    <w:p>
      <w:pPr>
        <w:pStyle w:val="34"/>
        <w:shd w:val="clear" w:color="auto" w:fill="FFFFFF"/>
        <w:spacing w:before="0" w:beforeAutospacing="0" w:after="0" w:afterAutospacing="0" w:line="360" w:lineRule="auto"/>
        <w:rPr>
          <w:color w:val="auto"/>
        </w:rPr>
      </w:pPr>
      <w:r>
        <w:rPr>
          <w:rFonts w:hint="eastAsia"/>
          <w:color w:val="auto"/>
        </w:rPr>
        <w:t>   1、意见递交时间：201</w:t>
      </w:r>
      <w:r>
        <w:rPr>
          <w:rFonts w:hint="eastAsia"/>
          <w:color w:val="auto"/>
          <w:lang w:val="en-US" w:eastAsia="zh-CN"/>
        </w:rPr>
        <w:t>9</w:t>
      </w:r>
      <w:r>
        <w:rPr>
          <w:rFonts w:hint="eastAsia"/>
          <w:color w:val="auto"/>
        </w:rPr>
        <w:t>年</w:t>
      </w:r>
      <w:r>
        <w:rPr>
          <w:rFonts w:hint="eastAsia"/>
          <w:color w:val="auto"/>
          <w:lang w:val="en-US" w:eastAsia="zh-CN"/>
        </w:rPr>
        <w:t xml:space="preserve">  </w:t>
      </w:r>
      <w:r>
        <w:rPr>
          <w:rFonts w:hint="eastAsia"/>
          <w:color w:val="auto"/>
        </w:rPr>
        <w:t>月</w:t>
      </w:r>
      <w:r>
        <w:rPr>
          <w:rFonts w:hint="eastAsia"/>
          <w:color w:val="auto"/>
          <w:lang w:val="en-US" w:eastAsia="zh-CN"/>
        </w:rPr>
        <w:t xml:space="preserve">  </w:t>
      </w:r>
      <w:r>
        <w:rPr>
          <w:rFonts w:hint="eastAsia"/>
          <w:color w:val="auto"/>
        </w:rPr>
        <w:t>日</w:t>
      </w:r>
      <w:r>
        <w:rPr>
          <w:rFonts w:hint="eastAsia"/>
          <w:color w:val="auto"/>
          <w:lang w:val="en-US" w:eastAsia="zh-CN"/>
        </w:rPr>
        <w:t>17</w:t>
      </w:r>
      <w:r>
        <w:rPr>
          <w:rFonts w:hint="eastAsia"/>
          <w:color w:val="auto"/>
        </w:rPr>
        <w:t>时</w:t>
      </w:r>
      <w:r>
        <w:rPr>
          <w:rFonts w:hint="eastAsia"/>
          <w:color w:val="auto"/>
          <w:lang w:val="en-US" w:eastAsia="zh-CN"/>
        </w:rPr>
        <w:t>00</w:t>
      </w:r>
      <w:r>
        <w:rPr>
          <w:rFonts w:hint="eastAsia"/>
          <w:color w:val="auto"/>
        </w:rPr>
        <w:t>分前（节假日除外）递交</w:t>
      </w:r>
    </w:p>
    <w:p>
      <w:pPr>
        <w:pStyle w:val="34"/>
        <w:shd w:val="clear" w:color="auto" w:fill="FFFFFF"/>
        <w:spacing w:before="0" w:beforeAutospacing="0" w:after="0" w:afterAutospacing="0" w:line="360" w:lineRule="auto"/>
        <w:rPr>
          <w:rFonts w:hint="eastAsia"/>
          <w:color w:val="auto"/>
        </w:rPr>
      </w:pPr>
      <w:r>
        <w:rPr>
          <w:rFonts w:hint="eastAsia"/>
          <w:color w:val="auto"/>
        </w:rPr>
        <w:t>   2、意见递交方式：各供应商及专家提出修改理由和建议的，将书面材料签字（盖章）并密封后送至</w:t>
      </w:r>
      <w:r>
        <w:rPr>
          <w:rFonts w:hint="eastAsia"/>
          <w:color w:val="auto"/>
          <w:lang w:eastAsia="zh-CN"/>
        </w:rPr>
        <w:t>绍兴明晨建设项目管理有限公司（上虞区王充路金城大厦</w:t>
      </w:r>
      <w:r>
        <w:rPr>
          <w:rFonts w:hint="eastAsia"/>
          <w:color w:val="auto"/>
          <w:lang w:val="en-US" w:eastAsia="zh-CN"/>
        </w:rPr>
        <w:t>18楼</w:t>
      </w:r>
      <w:r>
        <w:rPr>
          <w:rFonts w:hint="eastAsia"/>
          <w:color w:val="auto"/>
          <w:lang w:eastAsia="zh-CN"/>
        </w:rPr>
        <w:t>）</w:t>
      </w:r>
      <w:r>
        <w:rPr>
          <w:rFonts w:hint="eastAsia"/>
          <w:color w:val="auto"/>
        </w:rPr>
        <w:t>，外地可扫描件发送邮箱至</w:t>
      </w:r>
      <w:r>
        <w:rPr>
          <w:rFonts w:hint="eastAsia"/>
          <w:color w:val="auto"/>
          <w:lang w:val="en-US" w:eastAsia="zh-CN"/>
        </w:rPr>
        <w:t>940453120</w:t>
      </w:r>
      <w:r>
        <w:rPr>
          <w:rFonts w:hint="eastAsia"/>
          <w:color w:val="auto"/>
        </w:rPr>
        <w:t>@qq.com扫描件必须签字（盖章）。</w:t>
      </w:r>
    </w:p>
    <w:p>
      <w:pPr>
        <w:pStyle w:val="34"/>
        <w:shd w:val="clear" w:color="auto" w:fill="FFFFFF"/>
        <w:spacing w:before="0" w:beforeAutospacing="0" w:after="0" w:afterAutospacing="0" w:line="360" w:lineRule="auto"/>
        <w:rPr>
          <w:rFonts w:hint="eastAsia" w:eastAsia="宋体"/>
          <w:color w:val="auto"/>
          <w:lang w:eastAsia="zh-CN"/>
        </w:rPr>
      </w:pPr>
      <w:r>
        <w:rPr>
          <w:rFonts w:hint="eastAsia"/>
          <w:color w:val="auto"/>
        </w:rPr>
        <w:t>   3、意见接收机构：</w:t>
      </w:r>
      <w:r>
        <w:rPr>
          <w:rFonts w:hint="eastAsia"/>
          <w:color w:val="auto"/>
          <w:lang w:eastAsia="zh-CN"/>
        </w:rPr>
        <w:t>绍兴明晨建设项目管理有限公司</w:t>
      </w:r>
      <w:r>
        <w:rPr>
          <w:rFonts w:hint="eastAsia"/>
          <w:color w:val="auto"/>
        </w:rPr>
        <w:t>/</w:t>
      </w:r>
      <w:r>
        <w:rPr>
          <w:rFonts w:hint="eastAsia"/>
          <w:color w:val="auto"/>
          <w:lang w:eastAsia="zh-CN"/>
        </w:rPr>
        <w:t>上虞区下管镇人民政府</w:t>
      </w:r>
    </w:p>
    <w:p>
      <w:pPr>
        <w:pStyle w:val="34"/>
        <w:shd w:val="clear" w:color="auto" w:fill="FFFFFF"/>
        <w:spacing w:before="0" w:beforeAutospacing="0" w:after="0" w:afterAutospacing="0" w:line="360" w:lineRule="auto"/>
        <w:rPr>
          <w:rFonts w:hint="eastAsia"/>
          <w:color w:val="auto"/>
        </w:rPr>
      </w:pPr>
      <w:r>
        <w:rPr>
          <w:rFonts w:hint="eastAsia"/>
          <w:color w:val="auto"/>
        </w:rPr>
        <w:t>   4、联系人：</w:t>
      </w:r>
      <w:r>
        <w:rPr>
          <w:rFonts w:hint="eastAsia"/>
          <w:color w:val="auto"/>
          <w:lang w:eastAsia="zh-CN"/>
        </w:rPr>
        <w:t>张先生</w:t>
      </w:r>
      <w:r>
        <w:rPr>
          <w:rFonts w:hint="eastAsia"/>
          <w:color w:val="auto"/>
        </w:rPr>
        <w:t>/ </w:t>
      </w:r>
      <w:r>
        <w:rPr>
          <w:rFonts w:hint="eastAsia"/>
          <w:color w:val="auto"/>
          <w:lang w:eastAsia="zh-CN"/>
        </w:rPr>
        <w:t>陈先生</w:t>
      </w:r>
    </w:p>
    <w:p>
      <w:pPr>
        <w:pStyle w:val="34"/>
        <w:shd w:val="clear" w:color="auto" w:fill="FFFFFF"/>
        <w:spacing w:before="0" w:beforeAutospacing="0" w:after="0" w:afterAutospacing="0" w:line="360" w:lineRule="auto"/>
        <w:rPr>
          <w:rFonts w:hint="default" w:eastAsia="宋体"/>
          <w:color w:val="auto"/>
          <w:lang w:val="en-US" w:eastAsia="zh-CN"/>
        </w:rPr>
      </w:pPr>
      <w:r>
        <w:rPr>
          <w:rFonts w:hint="eastAsia"/>
          <w:color w:val="auto"/>
        </w:rPr>
        <w:t>   5、联系电话：</w:t>
      </w:r>
      <w:r>
        <w:rPr>
          <w:rFonts w:hint="eastAsia"/>
          <w:color w:val="auto"/>
          <w:lang w:val="en-US" w:eastAsia="zh-CN"/>
        </w:rPr>
        <w:t>15158226530</w:t>
      </w:r>
      <w:r>
        <w:rPr>
          <w:rFonts w:hint="eastAsia"/>
          <w:color w:val="auto"/>
        </w:rPr>
        <w:t>/</w:t>
      </w:r>
      <w:r>
        <w:rPr>
          <w:rFonts w:hint="eastAsia"/>
          <w:color w:val="auto"/>
          <w:lang w:val="en-US" w:eastAsia="zh-CN"/>
        </w:rPr>
        <w:t>13757527582</w:t>
      </w:r>
      <w:r>
        <w:rPr>
          <w:rFonts w:hint="eastAsia"/>
          <w:color w:val="auto"/>
        </w:rPr>
        <w:t xml:space="preserve"> </w:t>
      </w:r>
      <w:r>
        <w:rPr>
          <w:rFonts w:hint="eastAsia"/>
          <w:color w:val="auto"/>
          <w:lang w:val="en-US" w:eastAsia="zh-CN"/>
        </w:rPr>
        <w:t xml:space="preserve">    </w:t>
      </w:r>
    </w:p>
    <w:p>
      <w:pPr>
        <w:widowControl/>
        <w:spacing w:line="324" w:lineRule="atLeast"/>
        <w:jc w:val="center"/>
        <w:rPr>
          <w:rFonts w:hint="eastAsia" w:ascii="宋体" w:hAnsi="宋体" w:cs="宋体"/>
          <w:color w:val="auto"/>
          <w:kern w:val="0"/>
          <w:sz w:val="24"/>
        </w:rPr>
      </w:pPr>
    </w:p>
    <w:p>
      <w:pPr>
        <w:widowControl/>
        <w:spacing w:line="324" w:lineRule="atLeast"/>
        <w:jc w:val="center"/>
        <w:rPr>
          <w:rFonts w:hint="eastAsia" w:ascii="宋体" w:hAnsi="宋体" w:cs="宋体"/>
          <w:color w:val="auto"/>
          <w:kern w:val="0"/>
          <w:sz w:val="24"/>
        </w:rPr>
      </w:pPr>
    </w:p>
    <w:p>
      <w:pPr>
        <w:widowControl/>
        <w:spacing w:line="324" w:lineRule="atLeast"/>
        <w:jc w:val="center"/>
        <w:rPr>
          <w:rFonts w:hint="eastAsia" w:ascii="宋体" w:hAnsi="宋体" w:cs="宋体"/>
          <w:color w:val="auto"/>
          <w:kern w:val="0"/>
          <w:sz w:val="24"/>
        </w:rPr>
      </w:pPr>
    </w:p>
    <w:p>
      <w:pPr>
        <w:widowControl/>
        <w:spacing w:line="324" w:lineRule="atLeast"/>
        <w:jc w:val="center"/>
        <w:rPr>
          <w:rFonts w:hint="eastAsia" w:ascii="宋体" w:hAnsi="宋体" w:cs="宋体"/>
          <w:color w:val="auto"/>
          <w:kern w:val="0"/>
          <w:sz w:val="24"/>
        </w:rPr>
      </w:pPr>
    </w:p>
    <w:p>
      <w:pPr>
        <w:widowControl/>
        <w:spacing w:line="360" w:lineRule="auto"/>
        <w:jc w:val="center"/>
        <w:rPr>
          <w:rFonts w:hint="eastAsia" w:ascii="宋体" w:hAnsi="宋体" w:eastAsia="宋体" w:cs="宋体"/>
          <w:color w:val="auto"/>
          <w:kern w:val="0"/>
          <w:sz w:val="24"/>
          <w:lang w:eastAsia="zh-CN"/>
        </w:rPr>
      </w:pPr>
      <w:r>
        <w:rPr>
          <w:rFonts w:hint="eastAsia" w:ascii="宋体" w:hAnsi="宋体" w:eastAsia="宋体" w:cs="宋体"/>
          <w:color w:val="auto"/>
          <w:kern w:val="0"/>
          <w:sz w:val="24"/>
          <w:lang w:eastAsia="zh-CN"/>
        </w:rPr>
        <w:t>上虞区下管镇人民政府</w:t>
      </w:r>
    </w:p>
    <w:p>
      <w:pPr>
        <w:widowControl/>
        <w:spacing w:line="360" w:lineRule="auto"/>
        <w:jc w:val="center"/>
        <w:rPr>
          <w:rFonts w:hint="eastAsia" w:ascii="宋体" w:hAnsi="宋体" w:eastAsia="宋体" w:cs="宋体"/>
          <w:color w:val="auto"/>
          <w:kern w:val="0"/>
          <w:sz w:val="24"/>
          <w:lang w:eastAsia="zh-CN"/>
        </w:rPr>
      </w:pPr>
      <w:r>
        <w:rPr>
          <w:rFonts w:hint="eastAsia" w:ascii="宋体" w:hAnsi="宋体" w:cs="宋体"/>
          <w:color w:val="auto"/>
          <w:kern w:val="0"/>
          <w:sz w:val="24"/>
          <w:lang w:eastAsia="zh-CN"/>
        </w:rPr>
        <w:t>绍兴明晨建设项目管理有限公司</w:t>
      </w:r>
    </w:p>
    <w:p>
      <w:pPr>
        <w:widowControl/>
        <w:spacing w:line="360" w:lineRule="auto"/>
        <w:jc w:val="center"/>
        <w:rPr>
          <w:rFonts w:hint="eastAsia" w:ascii="宋体" w:hAnsi="宋体" w:cs="宋体"/>
          <w:color w:val="auto"/>
          <w:kern w:val="0"/>
          <w:sz w:val="24"/>
        </w:rPr>
      </w:pPr>
      <w:r>
        <w:rPr>
          <w:rFonts w:hint="eastAsia" w:ascii="宋体" w:hAnsi="宋体" w:cs="宋体"/>
          <w:color w:val="auto"/>
          <w:kern w:val="0"/>
          <w:sz w:val="24"/>
        </w:rPr>
        <w:t>201</w:t>
      </w:r>
      <w:r>
        <w:rPr>
          <w:rFonts w:hint="eastAsia" w:ascii="宋体" w:hAnsi="宋体" w:cs="宋体"/>
          <w:color w:val="auto"/>
          <w:kern w:val="0"/>
          <w:sz w:val="24"/>
          <w:lang w:val="en-US" w:eastAsia="zh-CN"/>
        </w:rPr>
        <w:t>9</w:t>
      </w:r>
      <w:r>
        <w:rPr>
          <w:rFonts w:hint="eastAsia" w:ascii="宋体" w:hAnsi="宋体" w:cs="宋体"/>
          <w:color w:val="auto"/>
          <w:kern w:val="0"/>
          <w:sz w:val="24"/>
        </w:rPr>
        <w:t>年</w:t>
      </w:r>
      <w:r>
        <w:rPr>
          <w:rFonts w:hint="eastAsia" w:ascii="宋体" w:hAnsi="宋体" w:cs="宋体"/>
          <w:color w:val="auto"/>
          <w:kern w:val="0"/>
          <w:sz w:val="24"/>
          <w:lang w:val="en-US" w:eastAsia="zh-CN"/>
        </w:rPr>
        <w:t>8</w:t>
      </w:r>
      <w:r>
        <w:rPr>
          <w:rFonts w:hint="eastAsia" w:ascii="宋体" w:hAnsi="宋体" w:cs="宋体"/>
          <w:color w:val="auto"/>
          <w:kern w:val="0"/>
          <w:sz w:val="24"/>
        </w:rPr>
        <w:t>月</w:t>
      </w:r>
      <w:r>
        <w:rPr>
          <w:rFonts w:hint="eastAsia" w:ascii="宋体" w:hAnsi="宋体" w:cs="宋体"/>
          <w:color w:val="auto"/>
          <w:kern w:val="0"/>
          <w:sz w:val="24"/>
          <w:lang w:val="en-US" w:eastAsia="zh-CN"/>
        </w:rPr>
        <w:t xml:space="preserve">  </w:t>
      </w:r>
      <w:r>
        <w:rPr>
          <w:rFonts w:hint="eastAsia" w:ascii="宋体" w:hAnsi="宋体" w:cs="宋体"/>
          <w:color w:val="auto"/>
          <w:kern w:val="0"/>
          <w:sz w:val="24"/>
        </w:rPr>
        <w:t>日</w:t>
      </w:r>
    </w:p>
    <w:p>
      <w:pPr>
        <w:widowControl/>
        <w:spacing w:line="360" w:lineRule="auto"/>
        <w:jc w:val="center"/>
        <w:rPr>
          <w:rFonts w:hint="eastAsia" w:ascii="宋体" w:hAnsi="宋体" w:cs="宋体"/>
          <w:color w:val="auto"/>
          <w:kern w:val="0"/>
          <w:sz w:val="24"/>
        </w:rPr>
      </w:pPr>
    </w:p>
    <w:p>
      <w:pPr>
        <w:widowControl/>
        <w:spacing w:line="360" w:lineRule="auto"/>
        <w:jc w:val="center"/>
        <w:rPr>
          <w:rFonts w:hint="eastAsia" w:ascii="宋体" w:hAnsi="宋体" w:cs="宋体"/>
          <w:color w:val="auto"/>
          <w:kern w:val="0"/>
          <w:sz w:val="24"/>
        </w:rPr>
      </w:pPr>
    </w:p>
    <w:p>
      <w:pPr>
        <w:widowControl/>
        <w:spacing w:line="360" w:lineRule="auto"/>
        <w:jc w:val="center"/>
        <w:rPr>
          <w:rFonts w:hint="eastAsia" w:ascii="宋体" w:hAnsi="宋体" w:cs="宋体"/>
          <w:color w:val="auto"/>
          <w:kern w:val="0"/>
          <w:sz w:val="24"/>
        </w:rPr>
      </w:pPr>
    </w:p>
    <w:p>
      <w:pPr>
        <w:rPr>
          <w:rFonts w:hint="eastAsia" w:ascii="宋体" w:hAnsi="宋体" w:cs="宋体"/>
          <w:color w:val="auto"/>
          <w:kern w:val="0"/>
          <w:sz w:val="24"/>
        </w:rPr>
      </w:pPr>
    </w:p>
    <w:p>
      <w:pPr>
        <w:spacing w:line="360" w:lineRule="auto"/>
        <w:rPr>
          <w:rFonts w:ascii="黑体" w:hAnsi="Calibri" w:eastAsia="黑体" w:cs="宋体"/>
          <w:b/>
          <w:bCs/>
          <w:color w:val="auto"/>
          <w:kern w:val="0"/>
          <w:sz w:val="32"/>
          <w:szCs w:val="32"/>
        </w:rPr>
      </w:pPr>
      <w:r>
        <w:rPr>
          <w:rFonts w:hint="eastAsia" w:ascii="宋体" w:hAnsi="宋体" w:cs="宋体"/>
          <w:b/>
          <w:bCs/>
          <w:color w:val="auto"/>
          <w:kern w:val="0"/>
          <w:sz w:val="28"/>
          <w:szCs w:val="28"/>
        </w:rPr>
        <w:br w:type="page"/>
      </w:r>
      <w:r>
        <w:rPr>
          <w:rFonts w:hint="eastAsia" w:ascii="宋体" w:hAnsi="宋体" w:cs="宋体"/>
          <w:b/>
          <w:bCs/>
          <w:color w:val="auto"/>
          <w:kern w:val="0"/>
          <w:sz w:val="28"/>
          <w:szCs w:val="28"/>
        </w:rPr>
        <w:t>附件</w:t>
      </w:r>
      <w:r>
        <w:rPr>
          <w:rFonts w:hint="eastAsia" w:ascii="黑体" w:hAnsi="Calibri" w:eastAsia="黑体" w:cs="宋体"/>
          <w:b/>
          <w:bCs/>
          <w:color w:val="auto"/>
          <w:kern w:val="0"/>
          <w:sz w:val="28"/>
          <w:szCs w:val="28"/>
        </w:rPr>
        <w:t xml:space="preserve"> ： </w:t>
      </w:r>
      <w:r>
        <w:rPr>
          <w:rFonts w:hint="eastAsia" w:ascii="黑体" w:hAnsi="Calibri" w:eastAsia="黑体" w:cs="宋体"/>
          <w:b/>
          <w:bCs/>
          <w:color w:val="auto"/>
          <w:kern w:val="0"/>
          <w:sz w:val="32"/>
          <w:szCs w:val="32"/>
        </w:rPr>
        <w:t xml:space="preserve">      </w:t>
      </w:r>
      <w:r>
        <w:rPr>
          <w:rFonts w:ascii="黑体" w:hAnsi="Calibri" w:eastAsia="黑体" w:cs="宋体"/>
          <w:b/>
          <w:bCs/>
          <w:color w:val="auto"/>
          <w:kern w:val="0"/>
          <w:sz w:val="32"/>
          <w:szCs w:val="32"/>
        </w:rPr>
        <w:t xml:space="preserve"> </w:t>
      </w:r>
      <w:r>
        <w:rPr>
          <w:rFonts w:hint="eastAsia" w:ascii="黑体" w:hAnsi="Calibri" w:eastAsia="黑体" w:cs="宋体"/>
          <w:b/>
          <w:bCs/>
          <w:color w:val="auto"/>
          <w:kern w:val="0"/>
          <w:sz w:val="32"/>
          <w:szCs w:val="32"/>
        </w:rPr>
        <w:t>招标采购内容与技术规格书</w:t>
      </w:r>
    </w:p>
    <w:p>
      <w:pPr>
        <w:pStyle w:val="3"/>
        <w:numPr>
          <w:ilvl w:val="0"/>
          <w:numId w:val="0"/>
        </w:numPr>
        <w:ind w:leftChars="0"/>
        <w:jc w:val="center"/>
        <w:rPr>
          <w:b w:val="0"/>
          <w:kern w:val="0"/>
        </w:rPr>
      </w:pPr>
      <w:bookmarkStart w:id="0" w:name="_Toc146170941"/>
      <w:bookmarkStart w:id="1" w:name="_Toc133739435"/>
      <w:bookmarkStart w:id="2" w:name="_Toc5039"/>
      <w:bookmarkStart w:id="3" w:name="_Toc482687017"/>
      <w:r>
        <w:rPr>
          <w:rFonts w:hint="eastAsia"/>
          <w:b w:val="0"/>
          <w:kern w:val="0"/>
        </w:rPr>
        <w:t>第一章　</w:t>
      </w:r>
      <w:bookmarkEnd w:id="0"/>
      <w:bookmarkEnd w:id="1"/>
      <w:r>
        <w:rPr>
          <w:rFonts w:hint="eastAsia"/>
          <w:b w:val="0"/>
          <w:kern w:val="0"/>
        </w:rPr>
        <w:t>招标内容</w:t>
      </w:r>
      <w:bookmarkEnd w:id="2"/>
      <w:bookmarkEnd w:id="3"/>
    </w:p>
    <w:p>
      <w:pPr>
        <w:autoSpaceDE w:val="0"/>
        <w:autoSpaceDN w:val="0"/>
        <w:adjustRightInd w:val="0"/>
        <w:spacing w:line="480" w:lineRule="exact"/>
        <w:ind w:firstLine="420" w:firstLineChars="200"/>
        <w:jc w:val="left"/>
        <w:rPr>
          <w:rFonts w:ascii="宋体" w:hAnsi="宋体"/>
          <w:kern w:val="0"/>
          <w:szCs w:val="21"/>
        </w:rPr>
      </w:pPr>
      <w:bookmarkStart w:id="4" w:name="_Toc146170942"/>
      <w:r>
        <w:rPr>
          <w:rFonts w:hint="eastAsia" w:ascii="宋体" w:hAnsi="宋体"/>
          <w:kern w:val="0"/>
          <w:szCs w:val="21"/>
        </w:rPr>
        <w:t>1　总则</w:t>
      </w:r>
    </w:p>
    <w:p>
      <w:pPr>
        <w:autoSpaceDE w:val="0"/>
        <w:autoSpaceDN w:val="0"/>
        <w:adjustRightInd w:val="0"/>
        <w:spacing w:line="480" w:lineRule="exact"/>
        <w:ind w:firstLine="420" w:firstLineChars="200"/>
        <w:jc w:val="left"/>
        <w:rPr>
          <w:rFonts w:ascii="宋体" w:hAnsi="宋体"/>
          <w:kern w:val="0"/>
          <w:szCs w:val="21"/>
        </w:rPr>
      </w:pPr>
      <w:r>
        <w:rPr>
          <w:rFonts w:hint="eastAsia" w:ascii="宋体" w:hAnsi="宋体"/>
          <w:kern w:val="0"/>
          <w:szCs w:val="21"/>
        </w:rPr>
        <w:t>1.1　</w:t>
      </w:r>
      <w:r>
        <w:rPr>
          <w:rFonts w:hint="eastAsia" w:ascii="宋体" w:hAnsi="宋体"/>
          <w:b/>
          <w:bCs/>
          <w:szCs w:val="21"/>
        </w:rPr>
        <w:t>招标项目</w:t>
      </w:r>
      <w:r>
        <w:rPr>
          <w:rFonts w:hint="eastAsia" w:ascii="宋体" w:hAnsi="宋体"/>
          <w:szCs w:val="21"/>
        </w:rPr>
        <w:t>：</w:t>
      </w:r>
      <w:r>
        <w:rPr>
          <w:rFonts w:hint="eastAsia" w:ascii="宋体" w:hAnsi="宋体" w:cs="宋体"/>
          <w:bCs/>
          <w:kern w:val="0"/>
          <w:szCs w:val="21"/>
          <w:lang w:bidi="ar"/>
        </w:rPr>
        <w:t>下管</w:t>
      </w:r>
      <w:r>
        <w:rPr>
          <w:rFonts w:ascii="宋体" w:hAnsi="宋体" w:cs="宋体"/>
          <w:bCs/>
          <w:kern w:val="0"/>
          <w:szCs w:val="21"/>
          <w:lang w:bidi="ar"/>
        </w:rPr>
        <w:t>镇</w:t>
      </w:r>
      <w:r>
        <w:rPr>
          <w:rFonts w:hint="eastAsia" w:ascii="宋体" w:hAnsi="宋体" w:cs="宋体"/>
          <w:bCs/>
          <w:kern w:val="0"/>
          <w:szCs w:val="21"/>
          <w:lang w:bidi="ar"/>
        </w:rPr>
        <w:t>农村环境卫生和垃圾分类</w:t>
      </w:r>
      <w:r>
        <w:rPr>
          <w:rFonts w:ascii="宋体" w:hAnsi="宋体" w:cs="宋体"/>
          <w:bCs/>
          <w:kern w:val="0"/>
          <w:szCs w:val="21"/>
          <w:lang w:bidi="ar"/>
        </w:rPr>
        <w:t>管理服务项目</w:t>
      </w:r>
      <w:r>
        <w:rPr>
          <w:rFonts w:hint="eastAsia"/>
          <w:szCs w:val="21"/>
        </w:rPr>
        <w:t xml:space="preserve">            </w:t>
      </w:r>
    </w:p>
    <w:p>
      <w:pPr>
        <w:autoSpaceDE w:val="0"/>
        <w:autoSpaceDN w:val="0"/>
        <w:adjustRightInd w:val="0"/>
        <w:spacing w:line="480" w:lineRule="exact"/>
        <w:ind w:firstLine="420" w:firstLineChars="200"/>
        <w:jc w:val="left"/>
        <w:rPr>
          <w:rFonts w:hint="eastAsia" w:ascii="宋体" w:hAnsi="宋体"/>
          <w:szCs w:val="21"/>
        </w:rPr>
      </w:pPr>
      <w:r>
        <w:rPr>
          <w:rFonts w:hint="eastAsia" w:ascii="宋体" w:hAnsi="宋体"/>
          <w:kern w:val="0"/>
          <w:szCs w:val="21"/>
        </w:rPr>
        <w:t>1.2　</w:t>
      </w:r>
      <w:r>
        <w:rPr>
          <w:rFonts w:hint="eastAsia" w:ascii="宋体" w:hAnsi="宋体"/>
          <w:b/>
          <w:bCs/>
          <w:szCs w:val="21"/>
        </w:rPr>
        <w:t>项目服务年限：</w:t>
      </w:r>
      <w:r>
        <w:rPr>
          <w:rFonts w:hint="eastAsia" w:ascii="宋体" w:hAnsi="宋体"/>
          <w:szCs w:val="21"/>
        </w:rPr>
        <w:t>本次招标的物业管理年限定为</w:t>
      </w:r>
      <w:r>
        <w:rPr>
          <w:rFonts w:hint="eastAsia" w:ascii="宋体" w:hAnsi="宋体"/>
          <w:szCs w:val="21"/>
          <w:lang w:eastAsia="zh-CN"/>
        </w:rPr>
        <w:t>一</w:t>
      </w:r>
      <w:r>
        <w:rPr>
          <w:rFonts w:hint="eastAsia" w:ascii="宋体" w:hAnsi="宋体"/>
          <w:szCs w:val="21"/>
        </w:rPr>
        <w:t>年(具体时间根据甲乙双方签订的采购合同为准)。如果物业管理不能满足招标文件中服务考核要求，考核评分连续三个月低于80分的，招标单位可终止物业管理服务合同，重新组织招标。</w:t>
      </w:r>
    </w:p>
    <w:p>
      <w:pPr>
        <w:autoSpaceDE w:val="0"/>
        <w:autoSpaceDN w:val="0"/>
        <w:adjustRightInd w:val="0"/>
        <w:spacing w:line="480" w:lineRule="exact"/>
        <w:ind w:firstLine="420" w:firstLineChars="200"/>
        <w:jc w:val="left"/>
        <w:rPr>
          <w:rFonts w:ascii="宋体" w:hAnsi="宋体"/>
          <w:kern w:val="0"/>
          <w:szCs w:val="21"/>
        </w:rPr>
      </w:pPr>
      <w:r>
        <w:rPr>
          <w:rFonts w:hint="eastAsia" w:ascii="宋体" w:hAnsi="宋体"/>
          <w:kern w:val="0"/>
          <w:szCs w:val="21"/>
        </w:rPr>
        <w:t>2　基本要求</w:t>
      </w:r>
    </w:p>
    <w:p>
      <w:pPr>
        <w:numPr>
          <w:ilvl w:val="1"/>
          <w:numId w:val="5"/>
        </w:numPr>
        <w:autoSpaceDE w:val="0"/>
        <w:autoSpaceDN w:val="0"/>
        <w:adjustRightInd w:val="0"/>
        <w:spacing w:line="480" w:lineRule="exact"/>
        <w:jc w:val="left"/>
        <w:rPr>
          <w:rFonts w:hint="eastAsia" w:ascii="宋体" w:hAnsi="宋体"/>
          <w:kern w:val="0"/>
          <w:szCs w:val="21"/>
        </w:rPr>
      </w:pPr>
      <w:r>
        <w:rPr>
          <w:rFonts w:hint="eastAsia" w:ascii="宋体" w:hAnsi="宋体"/>
          <w:szCs w:val="21"/>
        </w:rPr>
        <w:t xml:space="preserve"> 人员要求</w:t>
      </w:r>
    </w:p>
    <w:p>
      <w:pPr>
        <w:tabs>
          <w:tab w:val="left" w:pos="772"/>
        </w:tabs>
        <w:spacing w:line="420" w:lineRule="exact"/>
        <w:ind w:firstLine="420" w:firstLineChars="200"/>
        <w:rPr>
          <w:rFonts w:hint="eastAsia"/>
          <w:b/>
          <w:szCs w:val="21"/>
        </w:rPr>
      </w:pPr>
      <w:r>
        <w:rPr>
          <w:rFonts w:hint="eastAsia" w:ascii="宋体" w:hAnsi="宋体"/>
          <w:szCs w:val="21"/>
        </w:rPr>
        <w:t xml:space="preserve">2.1.1 </w:t>
      </w:r>
      <w:r>
        <w:rPr>
          <w:rFonts w:hint="eastAsia"/>
          <w:b/>
          <w:szCs w:val="21"/>
        </w:rPr>
        <w:t>作业人员会开电瓶车本村人员及原保洁人员优先考虑。总人数（包括调班）不得少于2</w:t>
      </w:r>
      <w:r>
        <w:rPr>
          <w:rFonts w:hint="eastAsia"/>
          <w:b/>
          <w:szCs w:val="21"/>
          <w:lang w:val="en-US" w:eastAsia="zh-CN"/>
        </w:rPr>
        <w:t>5</w:t>
      </w:r>
      <w:r>
        <w:rPr>
          <w:rFonts w:hint="eastAsia"/>
          <w:b/>
          <w:szCs w:val="21"/>
        </w:rPr>
        <w:t>人。其中管理员要求：形象端正，身体健康，具有一定的政治文化素养，基本的服务素质和相应的服务技能。</w:t>
      </w:r>
    </w:p>
    <w:p>
      <w:pPr>
        <w:numPr>
          <w:ilvl w:val="1"/>
          <w:numId w:val="5"/>
        </w:numPr>
        <w:autoSpaceDE w:val="0"/>
        <w:autoSpaceDN w:val="0"/>
        <w:adjustRightInd w:val="0"/>
        <w:spacing w:line="480" w:lineRule="exact"/>
        <w:jc w:val="left"/>
        <w:rPr>
          <w:rFonts w:hint="eastAsia" w:ascii="宋体" w:hAnsi="宋体"/>
          <w:kern w:val="0"/>
          <w:szCs w:val="21"/>
        </w:rPr>
      </w:pPr>
      <w:r>
        <w:rPr>
          <w:rFonts w:hint="eastAsia"/>
          <w:b/>
          <w:szCs w:val="21"/>
        </w:rPr>
        <w:t>环境卫生管理服务：</w:t>
      </w:r>
    </w:p>
    <w:p>
      <w:pPr>
        <w:tabs>
          <w:tab w:val="left" w:pos="772"/>
        </w:tabs>
        <w:spacing w:line="420" w:lineRule="exact"/>
        <w:ind w:firstLine="420" w:firstLineChars="200"/>
        <w:rPr>
          <w:rFonts w:hint="eastAsia" w:ascii="宋体" w:hAnsi="宋体"/>
          <w:szCs w:val="21"/>
        </w:rPr>
      </w:pPr>
      <w:r>
        <w:rPr>
          <w:rFonts w:hint="eastAsia" w:ascii="宋体" w:hAnsi="宋体"/>
          <w:szCs w:val="21"/>
        </w:rPr>
        <w:t>2.2.1、管理范围：</w:t>
      </w:r>
    </w:p>
    <w:p>
      <w:pPr>
        <w:tabs>
          <w:tab w:val="left" w:pos="772"/>
        </w:tabs>
        <w:spacing w:line="420" w:lineRule="exact"/>
        <w:ind w:firstLine="420" w:firstLineChars="200"/>
        <w:rPr>
          <w:rFonts w:hint="eastAsia"/>
          <w:b/>
          <w:szCs w:val="21"/>
        </w:rPr>
      </w:pPr>
      <w:r>
        <w:rPr>
          <w:rFonts w:hint="eastAsia"/>
          <w:b/>
          <w:szCs w:val="21"/>
        </w:rPr>
        <w:t>（一）环卫保洁范围：</w:t>
      </w:r>
    </w:p>
    <w:p>
      <w:pPr>
        <w:spacing w:line="600" w:lineRule="exact"/>
        <w:ind w:firstLine="480" w:firstLineChars="200"/>
        <w:jc w:val="left"/>
        <w:rPr>
          <w:rFonts w:hint="eastAsia" w:ascii="仿宋" w:hAnsi="仿宋" w:eastAsia="仿宋"/>
          <w:b/>
          <w:bCs/>
          <w:sz w:val="24"/>
        </w:rPr>
      </w:pPr>
      <w:r>
        <w:rPr>
          <w:rFonts w:hint="eastAsia" w:ascii="仿宋" w:hAnsi="仿宋" w:eastAsia="仿宋"/>
          <w:b/>
          <w:bCs/>
          <w:sz w:val="24"/>
        </w:rPr>
        <w:t>1、道路保洁范围：</w:t>
      </w:r>
    </w:p>
    <w:p>
      <w:pPr>
        <w:spacing w:line="600" w:lineRule="exact"/>
        <w:ind w:firstLine="480" w:firstLineChars="200"/>
        <w:jc w:val="left"/>
        <w:rPr>
          <w:rFonts w:hint="eastAsia" w:ascii="仿宋" w:hAnsi="仿宋" w:eastAsia="仿宋"/>
          <w:b/>
          <w:bCs/>
          <w:sz w:val="24"/>
        </w:rPr>
      </w:pPr>
      <w:r>
        <w:rPr>
          <w:rFonts w:hint="eastAsia" w:ascii="仿宋" w:hAnsi="仿宋" w:eastAsia="仿宋"/>
          <w:b/>
          <w:bCs/>
          <w:sz w:val="24"/>
        </w:rPr>
        <w:t>（1）镇垃圾分拣站路口沿工商路至管芦公路岔口</w:t>
      </w:r>
    </w:p>
    <w:p>
      <w:pPr>
        <w:spacing w:line="600" w:lineRule="exact"/>
        <w:ind w:firstLine="480" w:firstLineChars="200"/>
        <w:jc w:val="left"/>
        <w:rPr>
          <w:rFonts w:hint="eastAsia" w:ascii="仿宋" w:hAnsi="仿宋" w:eastAsia="仿宋"/>
          <w:b/>
          <w:bCs/>
          <w:sz w:val="24"/>
        </w:rPr>
      </w:pPr>
      <w:r>
        <w:rPr>
          <w:rFonts w:hint="eastAsia" w:ascii="仿宋" w:hAnsi="仿宋" w:eastAsia="仿宋"/>
          <w:b/>
          <w:bCs/>
          <w:sz w:val="24"/>
        </w:rPr>
        <w:t>（2）管芦公路岔口至大毛贩工业集聚点两侧（包括两侧绿化带）</w:t>
      </w:r>
    </w:p>
    <w:p>
      <w:pPr>
        <w:spacing w:line="600" w:lineRule="exact"/>
        <w:ind w:firstLine="480" w:firstLineChars="200"/>
        <w:jc w:val="left"/>
        <w:rPr>
          <w:rFonts w:hint="eastAsia" w:ascii="仿宋" w:hAnsi="仿宋" w:eastAsia="仿宋"/>
          <w:b/>
          <w:bCs/>
          <w:sz w:val="24"/>
        </w:rPr>
      </w:pPr>
      <w:r>
        <w:rPr>
          <w:rFonts w:hint="eastAsia" w:ascii="仿宋" w:hAnsi="仿宋" w:eastAsia="仿宋"/>
          <w:b/>
          <w:bCs/>
          <w:sz w:val="24"/>
        </w:rPr>
        <w:t>（3）幸福亭路口沿防洪坝至连心桥（包括振新段绿化带）</w:t>
      </w:r>
    </w:p>
    <w:p>
      <w:pPr>
        <w:spacing w:line="600" w:lineRule="exact"/>
        <w:ind w:firstLine="480" w:firstLineChars="200"/>
        <w:jc w:val="left"/>
        <w:rPr>
          <w:rFonts w:hint="eastAsia" w:ascii="仿宋" w:hAnsi="仿宋" w:eastAsia="仿宋"/>
          <w:b/>
          <w:bCs/>
          <w:sz w:val="24"/>
        </w:rPr>
      </w:pPr>
      <w:r>
        <w:rPr>
          <w:rFonts w:hint="eastAsia" w:ascii="仿宋" w:hAnsi="仿宋" w:eastAsia="仿宋"/>
          <w:b/>
          <w:bCs/>
          <w:sz w:val="24"/>
        </w:rPr>
        <w:t>（4）新民小溪埠头沿医院、中学、树人路至工商路三岔路</w:t>
      </w:r>
    </w:p>
    <w:p>
      <w:pPr>
        <w:spacing w:line="600" w:lineRule="exact"/>
        <w:ind w:firstLine="480" w:firstLineChars="200"/>
        <w:jc w:val="left"/>
        <w:rPr>
          <w:rFonts w:hint="eastAsia" w:ascii="仿宋" w:hAnsi="仿宋" w:eastAsia="仿宋"/>
          <w:b/>
          <w:bCs/>
          <w:sz w:val="24"/>
        </w:rPr>
      </w:pPr>
      <w:r>
        <w:rPr>
          <w:rFonts w:hint="eastAsia" w:ascii="仿宋" w:hAnsi="仿宋" w:eastAsia="仿宋"/>
          <w:b/>
          <w:bCs/>
          <w:sz w:val="24"/>
        </w:rPr>
        <w:t>（5）敬老院沿市场南门口至工商路岔口</w:t>
      </w:r>
    </w:p>
    <w:p>
      <w:pPr>
        <w:spacing w:line="600" w:lineRule="exact"/>
        <w:ind w:firstLine="480" w:firstLineChars="200"/>
        <w:jc w:val="left"/>
        <w:rPr>
          <w:rFonts w:hint="eastAsia" w:ascii="仿宋" w:hAnsi="仿宋" w:eastAsia="仿宋"/>
          <w:b/>
          <w:bCs/>
          <w:sz w:val="24"/>
        </w:rPr>
      </w:pPr>
      <w:r>
        <w:rPr>
          <w:rFonts w:hint="eastAsia" w:ascii="仿宋" w:hAnsi="仿宋" w:eastAsia="仿宋"/>
          <w:b/>
          <w:bCs/>
          <w:sz w:val="24"/>
        </w:rPr>
        <w:t>（6）老车站路口至老工商所门口</w:t>
      </w:r>
    </w:p>
    <w:p>
      <w:pPr>
        <w:spacing w:line="600" w:lineRule="exact"/>
        <w:ind w:firstLine="480" w:firstLineChars="200"/>
        <w:jc w:val="left"/>
        <w:rPr>
          <w:rFonts w:hint="eastAsia" w:ascii="仿宋" w:hAnsi="仿宋" w:eastAsia="仿宋"/>
          <w:b/>
          <w:bCs/>
          <w:sz w:val="24"/>
        </w:rPr>
      </w:pPr>
      <w:r>
        <w:rPr>
          <w:rFonts w:hint="eastAsia" w:ascii="仿宋" w:hAnsi="仿宋" w:eastAsia="仿宋"/>
          <w:b/>
          <w:bCs/>
          <w:sz w:val="24"/>
        </w:rPr>
        <w:t>（7）供电路路口沿***、供电所至下周庙岔口</w:t>
      </w:r>
    </w:p>
    <w:p>
      <w:pPr>
        <w:spacing w:line="600" w:lineRule="exact"/>
        <w:ind w:firstLine="480" w:firstLineChars="200"/>
        <w:jc w:val="left"/>
        <w:rPr>
          <w:rFonts w:hint="eastAsia" w:ascii="仿宋" w:hAnsi="仿宋" w:eastAsia="仿宋"/>
          <w:b/>
          <w:bCs/>
          <w:sz w:val="24"/>
        </w:rPr>
      </w:pPr>
      <w:r>
        <w:rPr>
          <w:rFonts w:hint="eastAsia" w:ascii="仿宋" w:hAnsi="仿宋" w:eastAsia="仿宋"/>
          <w:b/>
          <w:bCs/>
          <w:sz w:val="24"/>
        </w:rPr>
        <w:t>（8）下管镇文化中心前小广场</w:t>
      </w:r>
    </w:p>
    <w:p>
      <w:pPr>
        <w:spacing w:line="600" w:lineRule="exact"/>
        <w:ind w:firstLine="480" w:firstLineChars="200"/>
        <w:jc w:val="left"/>
        <w:rPr>
          <w:rFonts w:hint="eastAsia" w:ascii="仿宋" w:hAnsi="仿宋" w:eastAsia="仿宋"/>
          <w:b/>
          <w:bCs/>
          <w:sz w:val="24"/>
        </w:rPr>
      </w:pPr>
      <w:r>
        <w:rPr>
          <w:rFonts w:hint="eastAsia" w:ascii="仿宋" w:hAnsi="仿宋" w:eastAsia="仿宋"/>
          <w:b/>
          <w:bCs/>
          <w:sz w:val="24"/>
        </w:rPr>
        <w:t>（9）大通超市对面路口至振新村老年活动中心门前（包括门前小广场）</w:t>
      </w:r>
    </w:p>
    <w:p>
      <w:pPr>
        <w:spacing w:line="600" w:lineRule="exact"/>
        <w:ind w:firstLine="480" w:firstLineChars="200"/>
        <w:jc w:val="left"/>
        <w:rPr>
          <w:rFonts w:hint="eastAsia" w:ascii="仿宋" w:hAnsi="仿宋" w:eastAsia="仿宋"/>
          <w:b/>
          <w:bCs/>
          <w:sz w:val="24"/>
        </w:rPr>
      </w:pPr>
      <w:r>
        <w:rPr>
          <w:rFonts w:hint="eastAsia" w:ascii="仿宋" w:hAnsi="仿宋" w:eastAsia="仿宋"/>
          <w:b/>
          <w:bCs/>
          <w:sz w:val="24"/>
        </w:rPr>
        <w:t>(10)信用社后面至镇政府叉口（包括其中与工商路连接的两条小路）</w:t>
      </w:r>
    </w:p>
    <w:p>
      <w:pPr>
        <w:spacing w:line="600" w:lineRule="exact"/>
        <w:ind w:firstLine="480" w:firstLineChars="200"/>
        <w:jc w:val="left"/>
        <w:rPr>
          <w:rFonts w:hint="eastAsia" w:ascii="仿宋" w:hAnsi="仿宋" w:eastAsia="仿宋"/>
          <w:b/>
          <w:bCs/>
          <w:sz w:val="24"/>
          <w:lang w:eastAsia="zh-CN"/>
        </w:rPr>
      </w:pPr>
      <w:r>
        <w:rPr>
          <w:rFonts w:hint="eastAsia" w:ascii="仿宋" w:hAnsi="仿宋" w:eastAsia="仿宋"/>
          <w:b/>
          <w:bCs/>
          <w:sz w:val="24"/>
          <w:lang w:eastAsia="zh-CN"/>
        </w:rPr>
        <w:t>（</w:t>
      </w:r>
      <w:r>
        <w:rPr>
          <w:rFonts w:hint="eastAsia" w:ascii="仿宋" w:hAnsi="仿宋" w:eastAsia="仿宋"/>
          <w:b/>
          <w:bCs/>
          <w:sz w:val="24"/>
          <w:lang w:val="en-US" w:eastAsia="zh-CN"/>
        </w:rPr>
        <w:t>12</w:t>
      </w:r>
      <w:r>
        <w:rPr>
          <w:rFonts w:hint="eastAsia" w:ascii="仿宋" w:hAnsi="仿宋" w:eastAsia="仿宋"/>
          <w:b/>
          <w:bCs/>
          <w:sz w:val="24"/>
          <w:lang w:eastAsia="zh-CN"/>
        </w:rPr>
        <w:t>）原教室宿舍院内及道路清扫保洁</w:t>
      </w:r>
    </w:p>
    <w:p>
      <w:pPr>
        <w:spacing w:line="600" w:lineRule="exact"/>
        <w:ind w:firstLine="480" w:firstLineChars="200"/>
        <w:jc w:val="left"/>
        <w:rPr>
          <w:rFonts w:hint="eastAsia" w:ascii="仿宋" w:hAnsi="仿宋" w:eastAsia="仿宋"/>
          <w:b/>
          <w:bCs/>
          <w:sz w:val="24"/>
          <w:lang w:eastAsia="zh-CN"/>
        </w:rPr>
      </w:pPr>
      <w:r>
        <w:rPr>
          <w:rFonts w:hint="eastAsia" w:ascii="仿宋" w:hAnsi="仿宋" w:eastAsia="仿宋"/>
          <w:b/>
          <w:bCs/>
          <w:sz w:val="24"/>
          <w:lang w:eastAsia="zh-CN"/>
        </w:rPr>
        <w:t>（</w:t>
      </w:r>
      <w:r>
        <w:rPr>
          <w:rFonts w:hint="eastAsia" w:ascii="仿宋" w:hAnsi="仿宋" w:eastAsia="仿宋"/>
          <w:b/>
          <w:bCs/>
          <w:sz w:val="24"/>
          <w:lang w:val="en-US" w:eastAsia="zh-CN"/>
        </w:rPr>
        <w:t>13</w:t>
      </w:r>
      <w:r>
        <w:rPr>
          <w:rFonts w:hint="eastAsia" w:ascii="仿宋" w:hAnsi="仿宋" w:eastAsia="仿宋"/>
          <w:b/>
          <w:bCs/>
          <w:sz w:val="24"/>
          <w:lang w:eastAsia="zh-CN"/>
        </w:rPr>
        <w:t>）原工商楼宿舍院内及道路清扫保洁</w:t>
      </w:r>
    </w:p>
    <w:p>
      <w:pPr>
        <w:spacing w:line="600" w:lineRule="exact"/>
        <w:ind w:firstLine="480" w:firstLineChars="200"/>
        <w:jc w:val="left"/>
        <w:rPr>
          <w:rFonts w:hint="eastAsia" w:ascii="仿宋" w:hAnsi="仿宋" w:eastAsia="仿宋"/>
          <w:b/>
          <w:bCs/>
          <w:sz w:val="24"/>
          <w:lang w:eastAsia="zh-CN"/>
        </w:rPr>
      </w:pPr>
      <w:r>
        <w:rPr>
          <w:rFonts w:hint="eastAsia" w:ascii="仿宋" w:hAnsi="仿宋" w:eastAsia="仿宋"/>
          <w:b/>
          <w:bCs/>
          <w:sz w:val="24"/>
          <w:lang w:eastAsia="zh-CN"/>
        </w:rPr>
        <w:t>（</w:t>
      </w:r>
      <w:r>
        <w:rPr>
          <w:rFonts w:hint="eastAsia" w:ascii="仿宋" w:hAnsi="仿宋" w:eastAsia="仿宋"/>
          <w:b/>
          <w:bCs/>
          <w:sz w:val="24"/>
          <w:lang w:val="en-US" w:eastAsia="zh-CN"/>
        </w:rPr>
        <w:t>14</w:t>
      </w:r>
      <w:r>
        <w:rPr>
          <w:rFonts w:hint="eastAsia" w:ascii="仿宋" w:hAnsi="仿宋" w:eastAsia="仿宋"/>
          <w:b/>
          <w:bCs/>
          <w:sz w:val="24"/>
          <w:lang w:eastAsia="zh-CN"/>
        </w:rPr>
        <w:t>）新增五个停车场（镇政府门口</w:t>
      </w:r>
      <w:r>
        <w:rPr>
          <w:rFonts w:hint="eastAsia" w:ascii="仿宋" w:hAnsi="仿宋" w:eastAsia="仿宋"/>
          <w:b/>
          <w:bCs/>
          <w:sz w:val="24"/>
          <w:lang w:val="en-US" w:eastAsia="zh-CN"/>
        </w:rPr>
        <w:t>1处、***2处、原工商所门口1处、老岳庙1处</w:t>
      </w:r>
      <w:r>
        <w:rPr>
          <w:rFonts w:hint="eastAsia" w:ascii="仿宋" w:hAnsi="仿宋" w:eastAsia="仿宋"/>
          <w:b/>
          <w:bCs/>
          <w:sz w:val="24"/>
          <w:lang w:eastAsia="zh-CN"/>
        </w:rPr>
        <w:t>）内清扫保洁</w:t>
      </w:r>
    </w:p>
    <w:p>
      <w:pPr>
        <w:spacing w:line="600" w:lineRule="exact"/>
        <w:ind w:firstLine="480" w:firstLineChars="200"/>
        <w:jc w:val="left"/>
        <w:rPr>
          <w:rFonts w:hint="eastAsia" w:ascii="仿宋" w:hAnsi="仿宋" w:eastAsia="仿宋"/>
          <w:b/>
          <w:bCs/>
          <w:sz w:val="24"/>
          <w:lang w:eastAsia="zh-CN"/>
        </w:rPr>
      </w:pPr>
      <w:r>
        <w:rPr>
          <w:rFonts w:hint="eastAsia" w:ascii="仿宋" w:hAnsi="仿宋" w:eastAsia="仿宋"/>
          <w:b/>
          <w:bCs/>
          <w:sz w:val="24"/>
          <w:lang w:eastAsia="zh-CN"/>
        </w:rPr>
        <w:t>（</w:t>
      </w:r>
      <w:r>
        <w:rPr>
          <w:rFonts w:hint="eastAsia" w:ascii="仿宋" w:hAnsi="仿宋" w:eastAsia="仿宋"/>
          <w:b/>
          <w:bCs/>
          <w:sz w:val="24"/>
          <w:lang w:val="en-US" w:eastAsia="zh-CN"/>
        </w:rPr>
        <w:t>15</w:t>
      </w:r>
      <w:r>
        <w:rPr>
          <w:rFonts w:hint="eastAsia" w:ascii="仿宋" w:hAnsi="仿宋" w:eastAsia="仿宋"/>
          <w:b/>
          <w:bCs/>
          <w:sz w:val="24"/>
          <w:lang w:eastAsia="zh-CN"/>
        </w:rPr>
        <w:t>）幸福亭入口新建小公园（包括周围道路、</w:t>
      </w:r>
      <w:r>
        <w:rPr>
          <w:rFonts w:hint="eastAsia" w:ascii="仿宋" w:hAnsi="仿宋" w:eastAsia="仿宋"/>
          <w:b/>
          <w:bCs/>
          <w:sz w:val="24"/>
          <w:lang w:val="en-US" w:eastAsia="zh-CN"/>
        </w:rPr>
        <w:t>1处小停车场及绿化带内</w:t>
      </w:r>
      <w:r>
        <w:rPr>
          <w:rFonts w:hint="eastAsia" w:ascii="仿宋" w:hAnsi="仿宋" w:eastAsia="仿宋"/>
          <w:b/>
          <w:bCs/>
          <w:sz w:val="24"/>
          <w:lang w:eastAsia="zh-CN"/>
        </w:rPr>
        <w:t>）的生活垃圾清扫保洁</w:t>
      </w:r>
    </w:p>
    <w:p>
      <w:pPr>
        <w:spacing w:line="600" w:lineRule="exact"/>
        <w:ind w:firstLine="480" w:firstLineChars="200"/>
        <w:jc w:val="left"/>
        <w:rPr>
          <w:rFonts w:hint="eastAsia" w:ascii="仿宋" w:hAnsi="仿宋" w:eastAsia="仿宋"/>
          <w:b/>
          <w:bCs/>
          <w:sz w:val="24"/>
          <w:lang w:eastAsia="zh-CN"/>
        </w:rPr>
      </w:pPr>
      <w:r>
        <w:rPr>
          <w:rFonts w:hint="eastAsia" w:ascii="仿宋" w:hAnsi="仿宋" w:eastAsia="仿宋"/>
          <w:b/>
          <w:bCs/>
          <w:sz w:val="24"/>
          <w:lang w:eastAsia="zh-CN"/>
        </w:rPr>
        <w:t>（</w:t>
      </w:r>
      <w:r>
        <w:rPr>
          <w:rFonts w:hint="eastAsia" w:ascii="仿宋" w:hAnsi="仿宋" w:eastAsia="仿宋"/>
          <w:b/>
          <w:bCs/>
          <w:sz w:val="24"/>
          <w:lang w:val="en-US" w:eastAsia="zh-CN"/>
        </w:rPr>
        <w:t>16</w:t>
      </w:r>
      <w:r>
        <w:rPr>
          <w:rFonts w:hint="eastAsia" w:ascii="仿宋" w:hAnsi="仿宋" w:eastAsia="仿宋"/>
          <w:b/>
          <w:bCs/>
          <w:sz w:val="24"/>
          <w:lang w:eastAsia="zh-CN"/>
        </w:rPr>
        <w:t>）新建的旅游聚散中心建筑外场地清扫保洁</w:t>
      </w:r>
    </w:p>
    <w:p>
      <w:pPr>
        <w:spacing w:line="600" w:lineRule="exact"/>
        <w:ind w:firstLine="480" w:firstLineChars="200"/>
        <w:jc w:val="left"/>
        <w:rPr>
          <w:rFonts w:hint="eastAsia" w:ascii="仿宋" w:hAnsi="仿宋" w:eastAsia="仿宋"/>
          <w:b/>
          <w:bCs/>
          <w:sz w:val="24"/>
        </w:rPr>
      </w:pPr>
      <w:r>
        <w:rPr>
          <w:rFonts w:hint="eastAsia" w:ascii="仿宋" w:hAnsi="仿宋" w:eastAsia="仿宋"/>
          <w:b/>
          <w:bCs/>
          <w:sz w:val="24"/>
        </w:rPr>
        <w:t>2、垃圾清运范围：</w:t>
      </w:r>
    </w:p>
    <w:p>
      <w:pPr>
        <w:spacing w:line="600" w:lineRule="exact"/>
        <w:ind w:firstLine="480" w:firstLineChars="200"/>
        <w:jc w:val="left"/>
        <w:rPr>
          <w:rFonts w:hint="eastAsia" w:ascii="仿宋" w:hAnsi="仿宋" w:eastAsia="仿宋"/>
          <w:b/>
          <w:bCs/>
          <w:sz w:val="24"/>
        </w:rPr>
      </w:pPr>
      <w:r>
        <w:rPr>
          <w:rFonts w:hint="eastAsia" w:ascii="仿宋" w:hAnsi="仿宋" w:eastAsia="仿宋"/>
          <w:b/>
          <w:bCs/>
          <w:sz w:val="24"/>
        </w:rPr>
        <w:t>（1）全镇10个村所有垃圾点（箱、桶、房）</w:t>
      </w:r>
    </w:p>
    <w:p>
      <w:pPr>
        <w:spacing w:line="600" w:lineRule="exact"/>
        <w:ind w:firstLine="480" w:firstLineChars="200"/>
        <w:jc w:val="left"/>
        <w:rPr>
          <w:rFonts w:hint="eastAsia" w:ascii="仿宋" w:hAnsi="仿宋" w:eastAsia="仿宋"/>
          <w:b/>
          <w:bCs/>
          <w:sz w:val="24"/>
        </w:rPr>
      </w:pPr>
      <w:r>
        <w:rPr>
          <w:rFonts w:hint="eastAsia" w:ascii="仿宋" w:hAnsi="仿宋" w:eastAsia="仿宋"/>
          <w:b/>
          <w:bCs/>
          <w:sz w:val="24"/>
        </w:rPr>
        <w:t>（2）集镇段河道垃圾清运</w:t>
      </w:r>
    </w:p>
    <w:p>
      <w:pPr>
        <w:spacing w:line="600" w:lineRule="exact"/>
        <w:ind w:firstLine="480" w:firstLineChars="200"/>
        <w:jc w:val="left"/>
        <w:rPr>
          <w:rFonts w:hint="eastAsia" w:ascii="仿宋" w:hAnsi="仿宋" w:eastAsia="仿宋"/>
          <w:b/>
          <w:bCs/>
          <w:sz w:val="24"/>
        </w:rPr>
      </w:pPr>
      <w:r>
        <w:rPr>
          <w:rFonts w:hint="eastAsia" w:ascii="仿宋" w:hAnsi="仿宋" w:eastAsia="仿宋"/>
          <w:b/>
          <w:bCs/>
          <w:sz w:val="24"/>
        </w:rPr>
        <w:t>3、上门收集垃圾范围：</w:t>
      </w:r>
    </w:p>
    <w:p>
      <w:pPr>
        <w:spacing w:line="600" w:lineRule="exact"/>
        <w:ind w:firstLine="480" w:firstLineChars="200"/>
        <w:jc w:val="left"/>
        <w:rPr>
          <w:rFonts w:hint="eastAsia" w:ascii="仿宋" w:hAnsi="仿宋" w:eastAsia="仿宋"/>
          <w:b/>
          <w:bCs/>
          <w:sz w:val="24"/>
        </w:rPr>
      </w:pPr>
      <w:r>
        <w:rPr>
          <w:rFonts w:hint="eastAsia" w:ascii="仿宋" w:hAnsi="仿宋" w:eastAsia="仿宋"/>
          <w:b/>
          <w:bCs/>
          <w:sz w:val="24"/>
        </w:rPr>
        <w:t>第1条款中（道路保洁范围）十条道路两侧居民和商户。</w:t>
      </w:r>
    </w:p>
    <w:p>
      <w:pPr>
        <w:spacing w:line="600" w:lineRule="exact"/>
        <w:ind w:firstLine="480" w:firstLineChars="200"/>
        <w:jc w:val="left"/>
        <w:rPr>
          <w:rFonts w:hint="eastAsia" w:ascii="仿宋" w:hAnsi="仿宋" w:eastAsia="仿宋"/>
          <w:b/>
          <w:bCs/>
          <w:sz w:val="24"/>
        </w:rPr>
      </w:pPr>
      <w:r>
        <w:rPr>
          <w:rFonts w:hint="eastAsia" w:ascii="仿宋" w:hAnsi="仿宋" w:eastAsia="仿宋"/>
          <w:b/>
          <w:bCs/>
          <w:sz w:val="24"/>
        </w:rPr>
        <w:t>4、厕所保洁范围：</w:t>
      </w:r>
    </w:p>
    <w:p>
      <w:pPr>
        <w:spacing w:line="600" w:lineRule="exact"/>
        <w:ind w:firstLine="480" w:firstLineChars="200"/>
        <w:jc w:val="left"/>
        <w:rPr>
          <w:rFonts w:hint="eastAsia" w:ascii="仿宋" w:hAnsi="仿宋" w:eastAsia="仿宋"/>
          <w:b/>
          <w:bCs/>
          <w:sz w:val="24"/>
        </w:rPr>
      </w:pPr>
      <w:r>
        <w:rPr>
          <w:rFonts w:hint="eastAsia" w:ascii="仿宋" w:hAnsi="仿宋" w:eastAsia="仿宋"/>
          <w:b/>
          <w:bCs/>
          <w:sz w:val="24"/>
        </w:rPr>
        <w:t>集镇</w:t>
      </w:r>
      <w:r>
        <w:rPr>
          <w:rFonts w:hint="eastAsia" w:ascii="仿宋" w:hAnsi="仿宋" w:eastAsia="仿宋"/>
          <w:b/>
          <w:bCs/>
          <w:sz w:val="24"/>
          <w:lang w:val="en-US" w:eastAsia="zh-CN"/>
        </w:rPr>
        <w:t>6</w:t>
      </w:r>
      <w:r>
        <w:rPr>
          <w:rFonts w:hint="eastAsia" w:ascii="仿宋" w:hAnsi="仿宋" w:eastAsia="仿宋"/>
          <w:b/>
          <w:bCs/>
          <w:sz w:val="24"/>
        </w:rPr>
        <w:t>个厕所。</w:t>
      </w:r>
    </w:p>
    <w:p>
      <w:pPr>
        <w:spacing w:line="480" w:lineRule="exact"/>
        <w:ind w:firstLine="472" w:firstLineChars="225"/>
        <w:rPr>
          <w:rFonts w:hint="eastAsia" w:ascii="宋体" w:hAnsi="宋体"/>
          <w:szCs w:val="21"/>
        </w:rPr>
      </w:pPr>
      <w:r>
        <w:rPr>
          <w:rFonts w:hint="eastAsia" w:ascii="宋体" w:hAnsi="宋体"/>
          <w:szCs w:val="21"/>
        </w:rPr>
        <w:t xml:space="preserve">  </w:t>
      </w:r>
    </w:p>
    <w:p>
      <w:pPr>
        <w:spacing w:line="480" w:lineRule="exact"/>
        <w:ind w:firstLine="472" w:firstLineChars="225"/>
        <w:rPr>
          <w:rFonts w:hint="eastAsia" w:ascii="宋体" w:hAnsi="宋体"/>
          <w:szCs w:val="21"/>
        </w:rPr>
      </w:pPr>
      <w:r>
        <w:rPr>
          <w:rFonts w:hint="eastAsia" w:ascii="宋体" w:hAnsi="宋体"/>
          <w:szCs w:val="21"/>
        </w:rPr>
        <w:t>2.2.2、服务要求：</w:t>
      </w:r>
    </w:p>
    <w:p>
      <w:pPr>
        <w:tabs>
          <w:tab w:val="left" w:pos="772"/>
        </w:tabs>
        <w:spacing w:line="420" w:lineRule="exact"/>
        <w:ind w:firstLine="522" w:firstLineChars="249"/>
        <w:rPr>
          <w:rFonts w:hint="eastAsia"/>
          <w:b/>
          <w:szCs w:val="21"/>
        </w:rPr>
      </w:pPr>
      <w:r>
        <w:rPr>
          <w:rFonts w:hint="eastAsia"/>
          <w:b/>
          <w:szCs w:val="21"/>
        </w:rPr>
        <w:t>环卫保洁：</w:t>
      </w:r>
    </w:p>
    <w:p>
      <w:pPr>
        <w:pStyle w:val="4"/>
        <w:spacing w:line="440" w:lineRule="exact"/>
        <w:ind w:firstLineChars="200"/>
        <w:rPr>
          <w:rFonts w:hint="eastAsia" w:ascii="宋体" w:hAnsi="宋体" w:cs="宋体"/>
          <w:szCs w:val="21"/>
        </w:rPr>
      </w:pPr>
      <w:r>
        <w:rPr>
          <w:rFonts w:hint="eastAsia" w:ascii="宋体" w:hAnsi="宋体" w:cs="宋体"/>
          <w:szCs w:val="21"/>
        </w:rPr>
        <w:t>（1）路面清扫包括普扫、巡回保洁、收运清扫的垃圾，并实行8小时循环保洁制（6：30分～10：30，13时至17时）。</w:t>
      </w:r>
    </w:p>
    <w:p>
      <w:pPr>
        <w:pStyle w:val="4"/>
        <w:spacing w:line="440" w:lineRule="exact"/>
        <w:rPr>
          <w:rFonts w:hint="eastAsia" w:ascii="宋体" w:hAnsi="宋体" w:cs="宋体"/>
          <w:color w:val="auto"/>
          <w:szCs w:val="21"/>
        </w:rPr>
      </w:pPr>
      <w:r>
        <w:rPr>
          <w:rFonts w:hint="eastAsia" w:ascii="宋体" w:hAnsi="宋体" w:cs="宋体"/>
          <w:szCs w:val="21"/>
        </w:rPr>
        <w:t>（2）保</w:t>
      </w:r>
      <w:r>
        <w:rPr>
          <w:rFonts w:hint="eastAsia" w:ascii="宋体" w:hAnsi="宋体" w:cs="宋体"/>
          <w:color w:val="auto"/>
          <w:szCs w:val="21"/>
        </w:rPr>
        <w:t>洁要做到路面边沟、下水口无垃圾、不堵塞，树穴、隔离护栏下、花坛里外保持整洁，垃圾池（箱、房）周边保持整洁、道路两侧可视范围5米内无明显垃圾（含建筑垃圾及堆杂物）,路边绿化带内无塑料袋等生产、生活垃圾。</w:t>
      </w:r>
    </w:p>
    <w:p>
      <w:pPr>
        <w:pStyle w:val="4"/>
        <w:spacing w:line="440" w:lineRule="exact"/>
        <w:rPr>
          <w:rFonts w:hint="eastAsia" w:ascii="宋体" w:hAnsi="宋体" w:cs="宋体"/>
          <w:color w:val="auto"/>
          <w:szCs w:val="21"/>
        </w:rPr>
      </w:pPr>
      <w:r>
        <w:rPr>
          <w:rFonts w:hint="eastAsia" w:ascii="宋体" w:hAnsi="宋体" w:cs="宋体"/>
          <w:color w:val="auto"/>
          <w:szCs w:val="21"/>
        </w:rPr>
        <w:t>（3）道路保洁路段内实行专人保洁制，每个保洁区域内应有1人在岗。</w:t>
      </w:r>
    </w:p>
    <w:p>
      <w:pPr>
        <w:tabs>
          <w:tab w:val="left" w:pos="772"/>
        </w:tabs>
        <w:spacing w:line="420" w:lineRule="exact"/>
        <w:ind w:firstLine="522" w:firstLineChars="249"/>
        <w:rPr>
          <w:rFonts w:hint="eastAsia"/>
          <w:b/>
          <w:color w:val="auto"/>
          <w:szCs w:val="21"/>
        </w:rPr>
      </w:pPr>
      <w:r>
        <w:rPr>
          <w:rFonts w:hint="eastAsia"/>
          <w:b/>
          <w:color w:val="auto"/>
          <w:szCs w:val="21"/>
        </w:rPr>
        <w:t>垃圾清运分类、收集、分捡：</w:t>
      </w:r>
    </w:p>
    <w:p>
      <w:pPr>
        <w:pStyle w:val="4"/>
        <w:spacing w:line="440" w:lineRule="exact"/>
        <w:rPr>
          <w:rFonts w:hint="eastAsia" w:ascii="宋体" w:hAnsi="宋体" w:cs="宋体"/>
          <w:szCs w:val="21"/>
        </w:rPr>
      </w:pPr>
      <w:r>
        <w:rPr>
          <w:rFonts w:hint="eastAsia" w:ascii="宋体" w:hAnsi="宋体" w:cs="宋体"/>
          <w:color w:val="auto"/>
          <w:szCs w:val="21"/>
        </w:rPr>
        <w:t>（1）运载垃圾必须密闭化，采用“桶换桶”收运模式；在运输过程中无</w:t>
      </w:r>
      <w:r>
        <w:rPr>
          <w:rFonts w:hint="eastAsia" w:ascii="宋体" w:hAnsi="宋体" w:cs="宋体"/>
          <w:szCs w:val="21"/>
        </w:rPr>
        <w:t>垃圾物撒、拖挂和污水滴漏现象；清运、收集的垃圾必须倾倒在指定的中转站内，不得随意乱倒。</w:t>
      </w:r>
    </w:p>
    <w:p>
      <w:pPr>
        <w:pStyle w:val="4"/>
        <w:spacing w:line="440" w:lineRule="exact"/>
        <w:rPr>
          <w:rFonts w:hint="eastAsia" w:ascii="宋体" w:hAnsi="宋体" w:cs="宋体"/>
          <w:color w:val="auto"/>
          <w:szCs w:val="21"/>
        </w:rPr>
      </w:pPr>
      <w:r>
        <w:rPr>
          <w:rFonts w:hint="eastAsia" w:ascii="宋体" w:hAnsi="宋体" w:cs="宋体"/>
          <w:szCs w:val="21"/>
        </w:rPr>
        <w:t>（2）垃圾车辆外貌整洁、性能良好，无残缺、破损；沿路设定的垃圾箱内的垃圾应及时清除，</w:t>
      </w:r>
      <w:r>
        <w:rPr>
          <w:rFonts w:hint="eastAsia" w:ascii="宋体" w:hAnsi="宋体" w:cs="宋体"/>
          <w:color w:val="auto"/>
          <w:szCs w:val="21"/>
        </w:rPr>
        <w:t>无溢出和散落现象，并及时清洗维护箱体；垃圾箱（房）应定期擦洗。</w:t>
      </w:r>
    </w:p>
    <w:p>
      <w:pPr>
        <w:pStyle w:val="4"/>
        <w:spacing w:line="440" w:lineRule="exact"/>
        <w:rPr>
          <w:rFonts w:hint="eastAsia" w:ascii="宋体" w:hAnsi="宋体" w:cs="宋体"/>
          <w:color w:val="auto"/>
          <w:szCs w:val="21"/>
        </w:rPr>
      </w:pPr>
      <w:r>
        <w:rPr>
          <w:rFonts w:hint="eastAsia" w:ascii="宋体" w:hAnsi="宋体" w:cs="宋体"/>
          <w:color w:val="auto"/>
          <w:szCs w:val="21"/>
        </w:rPr>
        <w:t>（3）做好环卫保洁区范围内垃圾分类工作，按照上级要求对生活垃圾进行分类、入户收集、分捡运输，维护好垃圾分类分捡站。</w:t>
      </w:r>
    </w:p>
    <w:p>
      <w:pPr>
        <w:pStyle w:val="4"/>
        <w:spacing w:line="440" w:lineRule="exact"/>
        <w:rPr>
          <w:rFonts w:hint="eastAsia" w:ascii="宋体" w:hAnsi="宋体" w:cs="宋体"/>
          <w:color w:val="auto"/>
          <w:szCs w:val="21"/>
        </w:rPr>
      </w:pPr>
      <w:r>
        <w:rPr>
          <w:rFonts w:hint="eastAsia" w:ascii="宋体" w:hAnsi="宋体" w:cs="宋体"/>
          <w:color w:val="auto"/>
          <w:szCs w:val="21"/>
        </w:rPr>
        <w:t>（4）承包期内，不被新闻媒体曝光，在上级各部门检查中不出现不合格现象，不被上级领导点名批评。</w:t>
      </w:r>
    </w:p>
    <w:p>
      <w:pPr>
        <w:tabs>
          <w:tab w:val="left" w:pos="772"/>
        </w:tabs>
        <w:spacing w:line="420" w:lineRule="exact"/>
        <w:ind w:firstLine="522" w:firstLineChars="249"/>
        <w:rPr>
          <w:rFonts w:hint="eastAsia"/>
          <w:b/>
          <w:color w:val="auto"/>
          <w:szCs w:val="21"/>
        </w:rPr>
      </w:pPr>
      <w:r>
        <w:rPr>
          <w:rFonts w:hint="eastAsia"/>
          <w:b/>
          <w:color w:val="auto"/>
          <w:szCs w:val="21"/>
        </w:rPr>
        <w:t>公厕保洁：</w:t>
      </w:r>
    </w:p>
    <w:p>
      <w:pPr>
        <w:pStyle w:val="4"/>
        <w:numPr>
          <w:ilvl w:val="0"/>
          <w:numId w:val="6"/>
        </w:numPr>
        <w:spacing w:line="440" w:lineRule="exact"/>
        <w:ind w:firstLineChars="200"/>
        <w:rPr>
          <w:rFonts w:hint="eastAsia" w:ascii="宋体" w:hAnsi="宋体" w:cs="宋体"/>
          <w:szCs w:val="21"/>
        </w:rPr>
      </w:pPr>
      <w:r>
        <w:rPr>
          <w:rFonts w:hint="eastAsia" w:ascii="宋体" w:hAnsi="宋体" w:cs="宋体"/>
          <w:szCs w:val="21"/>
        </w:rPr>
        <w:t>公厕必须每日清扫，并定期对化粪池粪便收集清运。</w:t>
      </w:r>
    </w:p>
    <w:p>
      <w:pPr>
        <w:pStyle w:val="4"/>
        <w:numPr>
          <w:ilvl w:val="0"/>
          <w:numId w:val="6"/>
        </w:numPr>
        <w:spacing w:line="440" w:lineRule="exact"/>
        <w:ind w:firstLineChars="200"/>
        <w:rPr>
          <w:rFonts w:hint="eastAsia" w:ascii="宋体" w:hAnsi="宋体" w:cs="宋体"/>
          <w:szCs w:val="21"/>
        </w:rPr>
      </w:pPr>
      <w:r>
        <w:rPr>
          <w:rFonts w:hint="eastAsia" w:ascii="宋体" w:hAnsi="宋体" w:cs="宋体"/>
          <w:szCs w:val="21"/>
        </w:rPr>
        <w:t>厕所内无明显蜘蛛网，墙面明净，倒粪口、出粪处保持清洁，周围无杂草，厕所外周围2米保持清洁。</w:t>
      </w:r>
    </w:p>
    <w:p>
      <w:pPr>
        <w:pStyle w:val="4"/>
        <w:numPr>
          <w:ilvl w:val="0"/>
          <w:numId w:val="6"/>
        </w:numPr>
        <w:spacing w:line="440" w:lineRule="exact"/>
        <w:ind w:firstLineChars="200"/>
        <w:rPr>
          <w:rFonts w:hint="eastAsia" w:ascii="宋体" w:hAnsi="宋体" w:cs="宋体"/>
          <w:szCs w:val="21"/>
        </w:rPr>
      </w:pPr>
      <w:r>
        <w:rPr>
          <w:rFonts w:hint="eastAsia" w:ascii="宋体" w:hAnsi="宋体" w:cs="宋体"/>
          <w:szCs w:val="21"/>
        </w:rPr>
        <w:t>蹲位处无粪便，槽内无粪便，便槽无尿洉、水锈。</w:t>
      </w:r>
    </w:p>
    <w:p>
      <w:pPr>
        <w:pStyle w:val="4"/>
        <w:numPr>
          <w:ilvl w:val="0"/>
          <w:numId w:val="6"/>
        </w:numPr>
        <w:spacing w:line="440" w:lineRule="exact"/>
        <w:ind w:firstLineChars="200"/>
        <w:rPr>
          <w:rFonts w:hint="eastAsia" w:ascii="宋体" w:hAnsi="宋体" w:cs="宋体"/>
          <w:szCs w:val="21"/>
        </w:rPr>
      </w:pPr>
      <w:r>
        <w:rPr>
          <w:rFonts w:hint="eastAsia" w:ascii="宋体" w:hAnsi="宋体" w:cs="宋体"/>
          <w:szCs w:val="21"/>
        </w:rPr>
        <w:t>冲水设备无积灰污物，无损坏，停用现象。</w:t>
      </w:r>
    </w:p>
    <w:p>
      <w:pPr>
        <w:pStyle w:val="4"/>
        <w:spacing w:line="440" w:lineRule="exact"/>
        <w:rPr>
          <w:rFonts w:hint="eastAsia" w:ascii="宋体" w:hAnsi="宋体" w:cs="宋体"/>
          <w:szCs w:val="21"/>
        </w:rPr>
      </w:pPr>
      <w:r>
        <w:rPr>
          <w:rFonts w:hint="eastAsia" w:ascii="宋体" w:hAnsi="宋体" w:cs="宋体"/>
          <w:b/>
          <w:bCs/>
          <w:szCs w:val="21"/>
        </w:rPr>
        <w:t>绿化养护</w:t>
      </w:r>
      <w:r>
        <w:rPr>
          <w:rFonts w:hint="eastAsia" w:ascii="宋体" w:hAnsi="宋体" w:cs="宋体"/>
          <w:szCs w:val="21"/>
        </w:rPr>
        <w:t>：</w:t>
      </w:r>
    </w:p>
    <w:p>
      <w:pPr>
        <w:pStyle w:val="4"/>
        <w:numPr>
          <w:ilvl w:val="0"/>
          <w:numId w:val="7"/>
        </w:numPr>
        <w:spacing w:line="440" w:lineRule="exact"/>
        <w:rPr>
          <w:rFonts w:hint="eastAsia" w:ascii="宋体" w:hAnsi="宋体" w:cs="宋体"/>
          <w:szCs w:val="21"/>
        </w:rPr>
      </w:pPr>
      <w:r>
        <w:rPr>
          <w:rFonts w:hint="eastAsia" w:ascii="宋体" w:hAnsi="宋体" w:cs="宋体"/>
          <w:szCs w:val="21"/>
        </w:rPr>
        <w:t>绿地整理：绿地内地形平整无积水。绿地整洁、干净，无枯枝和垃圾。</w:t>
      </w:r>
    </w:p>
    <w:p>
      <w:pPr>
        <w:pStyle w:val="4"/>
        <w:numPr>
          <w:ilvl w:val="0"/>
          <w:numId w:val="7"/>
        </w:numPr>
        <w:spacing w:line="440" w:lineRule="exact"/>
        <w:rPr>
          <w:rFonts w:hint="eastAsia" w:ascii="宋体" w:hAnsi="宋体" w:cs="宋体"/>
          <w:szCs w:val="21"/>
        </w:rPr>
      </w:pPr>
      <w:r>
        <w:rPr>
          <w:rFonts w:hint="eastAsia" w:ascii="宋体" w:hAnsi="宋体" w:cs="宋体"/>
          <w:szCs w:val="21"/>
        </w:rPr>
        <w:t>树木：生长旺盛，树冠整齐，主侧枝分散数量适宜，内膛通风透光。枝干健壮无枯枝、死枝。</w:t>
      </w:r>
    </w:p>
    <w:p>
      <w:pPr>
        <w:pStyle w:val="4"/>
        <w:numPr>
          <w:ilvl w:val="0"/>
          <w:numId w:val="7"/>
        </w:numPr>
        <w:spacing w:line="440" w:lineRule="exact"/>
        <w:rPr>
          <w:rFonts w:hint="eastAsia" w:ascii="宋体" w:hAnsi="宋体" w:cs="宋体"/>
          <w:szCs w:val="21"/>
        </w:rPr>
      </w:pPr>
      <w:r>
        <w:rPr>
          <w:rFonts w:hint="eastAsia" w:ascii="宋体" w:hAnsi="宋体" w:cs="宋体"/>
          <w:szCs w:val="21"/>
        </w:rPr>
        <w:t>草坪:生长旺盛，草根部裸露。修剪及时，修剪高度符合要求，无垃圾及堆放物。</w:t>
      </w:r>
    </w:p>
    <w:p>
      <w:pPr>
        <w:pStyle w:val="4"/>
        <w:numPr>
          <w:ilvl w:val="0"/>
          <w:numId w:val="7"/>
        </w:numPr>
        <w:spacing w:line="440" w:lineRule="exact"/>
        <w:rPr>
          <w:rFonts w:hint="eastAsia" w:ascii="宋体" w:hAnsi="宋体" w:cs="宋体"/>
          <w:szCs w:val="21"/>
        </w:rPr>
      </w:pPr>
      <w:r>
        <w:rPr>
          <w:rFonts w:hint="eastAsia" w:ascii="宋体" w:hAnsi="宋体" w:cs="宋体"/>
          <w:szCs w:val="21"/>
        </w:rPr>
        <w:t>浇水：浇水及时充分，质量达标。</w:t>
      </w:r>
    </w:p>
    <w:p>
      <w:pPr>
        <w:tabs>
          <w:tab w:val="left" w:pos="772"/>
        </w:tabs>
        <w:spacing w:line="420" w:lineRule="exact"/>
        <w:ind w:firstLine="522" w:firstLineChars="249"/>
        <w:rPr>
          <w:rFonts w:hint="eastAsia"/>
          <w:b/>
          <w:szCs w:val="21"/>
        </w:rPr>
      </w:pPr>
      <w:r>
        <w:rPr>
          <w:rFonts w:hint="eastAsia"/>
          <w:b/>
          <w:szCs w:val="21"/>
        </w:rPr>
        <w:t>垃圾中转站管理和维护</w:t>
      </w:r>
    </w:p>
    <w:p>
      <w:pPr>
        <w:tabs>
          <w:tab w:val="left" w:pos="772"/>
        </w:tabs>
        <w:spacing w:line="420" w:lineRule="exact"/>
        <w:ind w:firstLine="420" w:firstLineChars="200"/>
        <w:rPr>
          <w:rFonts w:hint="eastAsia"/>
          <w:szCs w:val="20"/>
        </w:rPr>
      </w:pPr>
      <w:r>
        <w:rPr>
          <w:rFonts w:hint="eastAsia"/>
          <w:szCs w:val="20"/>
        </w:rPr>
        <w:t>（1）做好垃圾中转站管理和维护，并做好与上级相关部门衔接工作，及时对垃圾中转站已堆垃圾打包外运，防止堆积垃圾。</w:t>
      </w:r>
    </w:p>
    <w:p>
      <w:pPr>
        <w:tabs>
          <w:tab w:val="left" w:pos="772"/>
        </w:tabs>
        <w:spacing w:line="420" w:lineRule="exact"/>
        <w:ind w:firstLine="522" w:firstLineChars="249"/>
        <w:rPr>
          <w:rFonts w:hint="eastAsia"/>
          <w:b/>
          <w:szCs w:val="21"/>
        </w:rPr>
      </w:pPr>
      <w:r>
        <w:rPr>
          <w:rFonts w:hint="eastAsia"/>
          <w:b/>
          <w:szCs w:val="21"/>
        </w:rPr>
        <w:t>垃圾收集点</w:t>
      </w:r>
    </w:p>
    <w:p>
      <w:pPr>
        <w:pStyle w:val="4"/>
        <w:spacing w:line="440" w:lineRule="exact"/>
        <w:ind w:firstLineChars="200"/>
        <w:rPr>
          <w:rFonts w:hint="eastAsia"/>
        </w:rPr>
      </w:pPr>
      <w:r>
        <w:rPr>
          <w:rFonts w:hint="eastAsia"/>
        </w:rPr>
        <w:t>（1）做好农村垃圾收集点的清运工作，保持收集点及周边整洁，无垃圾满溢、无污水。</w:t>
      </w:r>
    </w:p>
    <w:p>
      <w:pPr>
        <w:tabs>
          <w:tab w:val="left" w:pos="772"/>
        </w:tabs>
        <w:spacing w:line="420" w:lineRule="exact"/>
        <w:ind w:firstLine="522" w:firstLineChars="249"/>
        <w:rPr>
          <w:rFonts w:hint="eastAsia"/>
          <w:b/>
          <w:szCs w:val="21"/>
        </w:rPr>
      </w:pPr>
      <w:r>
        <w:rPr>
          <w:rFonts w:hint="eastAsia"/>
          <w:b/>
          <w:szCs w:val="21"/>
        </w:rPr>
        <w:t>其他：</w:t>
      </w:r>
    </w:p>
    <w:p>
      <w:pPr>
        <w:pStyle w:val="4"/>
        <w:spacing w:line="440" w:lineRule="exact"/>
        <w:ind w:firstLineChars="200"/>
        <w:rPr>
          <w:rFonts w:hint="eastAsia" w:ascii="宋体" w:hAnsi="宋体" w:cs="宋体"/>
          <w:szCs w:val="21"/>
        </w:rPr>
      </w:pPr>
      <w:r>
        <w:rPr>
          <w:rFonts w:hint="eastAsia"/>
        </w:rPr>
        <w:t>（1）</w:t>
      </w:r>
      <w:r>
        <w:rPr>
          <w:rFonts w:hint="eastAsia" w:ascii="宋体" w:hAnsi="宋体" w:cs="宋体"/>
          <w:szCs w:val="21"/>
        </w:rPr>
        <w:t>遇重大活动或重要节日，必须服从镇统一安排和调度，配合做好突击性保洁工作。</w:t>
      </w:r>
    </w:p>
    <w:p>
      <w:pPr>
        <w:pStyle w:val="4"/>
        <w:spacing w:line="440" w:lineRule="exact"/>
        <w:ind w:firstLineChars="200"/>
        <w:rPr>
          <w:rFonts w:hint="eastAsia" w:ascii="宋体" w:hAnsi="宋体" w:cs="宋体"/>
          <w:szCs w:val="21"/>
        </w:rPr>
      </w:pPr>
      <w:r>
        <w:rPr>
          <w:rFonts w:hint="eastAsia" w:ascii="宋体" w:hAnsi="宋体" w:cs="宋体"/>
          <w:szCs w:val="21"/>
        </w:rPr>
        <w:t>（2）接受社会监督，对市民反映和巡查员发现的问题及时处办，有记录有答复。</w:t>
      </w:r>
    </w:p>
    <w:p>
      <w:pPr>
        <w:autoSpaceDE w:val="0"/>
        <w:autoSpaceDN w:val="0"/>
        <w:adjustRightInd w:val="0"/>
        <w:spacing w:line="360" w:lineRule="auto"/>
        <w:ind w:firstLine="411" w:firstLineChars="196"/>
        <w:jc w:val="left"/>
        <w:rPr>
          <w:rFonts w:hint="eastAsia" w:ascii="宋体" w:hAnsi="宋体" w:cs="宋体"/>
          <w:b/>
          <w:szCs w:val="21"/>
        </w:rPr>
      </w:pPr>
    </w:p>
    <w:p>
      <w:pPr>
        <w:pStyle w:val="4"/>
        <w:spacing w:line="440" w:lineRule="exact"/>
        <w:ind w:firstLineChars="200"/>
        <w:rPr>
          <w:rFonts w:hint="eastAsia" w:ascii="宋体" w:hAnsi="宋体" w:cs="宋体"/>
          <w:color w:val="FF0000"/>
          <w:szCs w:val="21"/>
        </w:rPr>
      </w:pPr>
      <w:r>
        <w:rPr>
          <w:rFonts w:hint="eastAsia" w:ascii="宋体" w:hAnsi="宋体" w:cs="宋体"/>
          <w:color w:val="FF0000"/>
          <w:szCs w:val="21"/>
        </w:rPr>
        <w:t>2.2.3、其他要求</w:t>
      </w:r>
    </w:p>
    <w:p>
      <w:pPr>
        <w:pStyle w:val="20"/>
        <w:adjustRightInd w:val="0"/>
        <w:snapToGrid w:val="0"/>
        <w:spacing w:line="400" w:lineRule="exact"/>
        <w:rPr>
          <w:rFonts w:hint="eastAsia" w:hAnsi="宋体"/>
          <w:bCs/>
        </w:rPr>
      </w:pPr>
      <w:r>
        <w:rPr>
          <w:rFonts w:hint="eastAsia" w:hAnsi="宋体"/>
          <w:bCs/>
        </w:rPr>
        <w:t>1.乙方必须配足清扫工具，并定期更换。</w:t>
      </w:r>
    </w:p>
    <w:p>
      <w:pPr>
        <w:pStyle w:val="20"/>
        <w:adjustRightInd w:val="0"/>
        <w:snapToGrid w:val="0"/>
        <w:spacing w:line="400" w:lineRule="exact"/>
        <w:rPr>
          <w:rFonts w:hint="eastAsia" w:hAnsi="宋体"/>
          <w:bCs/>
        </w:rPr>
      </w:pPr>
      <w:r>
        <w:rPr>
          <w:rFonts w:hint="eastAsia" w:hAnsi="宋体"/>
          <w:bCs/>
        </w:rPr>
        <w:t>2.乙方承担保洁区内建筑垃圾清运、家禽家畜尸体处理、溪流两侧除草、集镇4只厕所保洁和日常管理维修。</w:t>
      </w:r>
    </w:p>
    <w:p>
      <w:pPr>
        <w:pStyle w:val="20"/>
        <w:adjustRightInd w:val="0"/>
        <w:snapToGrid w:val="0"/>
        <w:spacing w:line="400" w:lineRule="exact"/>
        <w:rPr>
          <w:rFonts w:hint="eastAsia" w:hAnsi="宋体"/>
          <w:bCs/>
        </w:rPr>
      </w:pPr>
      <w:r>
        <w:rPr>
          <w:rFonts w:hint="eastAsia" w:hAnsi="宋体"/>
          <w:bCs/>
        </w:rPr>
        <w:t>3.乙方必须服从甲方安排，参加应对汛期、台风、洪水等各种自然灾害的环境卫生突击行动。</w:t>
      </w:r>
    </w:p>
    <w:p>
      <w:pPr>
        <w:autoSpaceDE w:val="0"/>
        <w:autoSpaceDN w:val="0"/>
        <w:adjustRightInd w:val="0"/>
        <w:ind w:firstLine="480"/>
        <w:jc w:val="left"/>
        <w:rPr>
          <w:rFonts w:hint="eastAsia" w:ascii="宋体"/>
          <w:b/>
          <w:bCs/>
          <w:color w:val="000000"/>
          <w:kern w:val="0"/>
          <w:sz w:val="24"/>
          <w:szCs w:val="21"/>
        </w:rPr>
      </w:pPr>
    </w:p>
    <w:p>
      <w:pPr>
        <w:autoSpaceDE w:val="0"/>
        <w:autoSpaceDN w:val="0"/>
        <w:adjustRightInd w:val="0"/>
        <w:ind w:firstLine="480"/>
        <w:jc w:val="left"/>
        <w:rPr>
          <w:rFonts w:hint="eastAsia" w:ascii="宋体"/>
          <w:b/>
          <w:bCs/>
          <w:color w:val="000000"/>
          <w:kern w:val="0"/>
          <w:sz w:val="24"/>
          <w:szCs w:val="21"/>
        </w:rPr>
      </w:pPr>
      <w:r>
        <w:rPr>
          <w:rFonts w:hint="eastAsia" w:ascii="宋体"/>
          <w:b/>
          <w:bCs/>
          <w:color w:val="000000"/>
          <w:kern w:val="0"/>
          <w:sz w:val="24"/>
          <w:szCs w:val="21"/>
        </w:rPr>
        <w:t>2.2.4特别声明</w:t>
      </w:r>
    </w:p>
    <w:p>
      <w:pPr>
        <w:autoSpaceDE w:val="0"/>
        <w:autoSpaceDN w:val="0"/>
        <w:adjustRightInd w:val="0"/>
        <w:ind w:firstLine="480"/>
        <w:jc w:val="left"/>
        <w:rPr>
          <w:rFonts w:hint="eastAsia" w:ascii="宋体"/>
          <w:b/>
          <w:bCs/>
          <w:color w:val="000000"/>
          <w:kern w:val="0"/>
          <w:sz w:val="24"/>
          <w:szCs w:val="21"/>
        </w:rPr>
      </w:pPr>
      <w:r>
        <w:rPr>
          <w:rFonts w:hint="eastAsia" w:ascii="宋体"/>
          <w:b/>
          <w:bCs/>
          <w:color w:val="000000"/>
          <w:kern w:val="0"/>
          <w:sz w:val="24"/>
          <w:szCs w:val="21"/>
        </w:rPr>
        <w:t>1.在本章中，为了方便起见，可能会采取按某种品牌货物的规格和型号予以表述，但并不因此限制或者拒绝投标人以其他能满足本项目技术需求且性能与所明确品牌相当的货物参加投标。</w:t>
      </w:r>
    </w:p>
    <w:p>
      <w:pPr>
        <w:pStyle w:val="20"/>
        <w:adjustRightInd w:val="0"/>
        <w:snapToGrid w:val="0"/>
        <w:spacing w:line="400" w:lineRule="exact"/>
        <w:rPr>
          <w:rFonts w:hint="eastAsia" w:hAnsi="宋体"/>
          <w:bCs/>
        </w:rPr>
      </w:pPr>
    </w:p>
    <w:p>
      <w:pPr>
        <w:pStyle w:val="20"/>
        <w:adjustRightInd w:val="0"/>
        <w:snapToGrid w:val="0"/>
        <w:spacing w:line="400" w:lineRule="exact"/>
        <w:rPr>
          <w:rFonts w:hint="eastAsia" w:hAnsi="宋体"/>
          <w:bCs/>
        </w:rPr>
      </w:pPr>
    </w:p>
    <w:p>
      <w:pPr>
        <w:pStyle w:val="20"/>
        <w:adjustRightInd w:val="0"/>
        <w:snapToGrid w:val="0"/>
        <w:spacing w:line="400" w:lineRule="exact"/>
        <w:rPr>
          <w:rFonts w:hint="eastAsia" w:hAnsi="宋体"/>
          <w:bCs/>
        </w:rPr>
      </w:pPr>
    </w:p>
    <w:p/>
    <w:p>
      <w:pPr>
        <w:pStyle w:val="3"/>
        <w:numPr>
          <w:ilvl w:val="0"/>
          <w:numId w:val="0"/>
        </w:numPr>
        <w:spacing w:line="480" w:lineRule="exact"/>
        <w:ind w:leftChars="0"/>
        <w:rPr>
          <w:rFonts w:hint="eastAsia" w:hAnsi="宋体"/>
          <w:b w:val="0"/>
          <w:sz w:val="21"/>
          <w:szCs w:val="21"/>
        </w:rPr>
      </w:pPr>
    </w:p>
    <w:p>
      <w:pPr>
        <w:pStyle w:val="4"/>
        <w:rPr>
          <w:rFonts w:hint="eastAsia"/>
        </w:rPr>
      </w:pPr>
    </w:p>
    <w:p>
      <w:pPr>
        <w:pStyle w:val="3"/>
        <w:numPr>
          <w:ilvl w:val="0"/>
          <w:numId w:val="0"/>
        </w:numPr>
        <w:ind w:leftChars="0"/>
        <w:jc w:val="center"/>
        <w:rPr>
          <w:rFonts w:hint="eastAsia"/>
          <w:b w:val="0"/>
          <w:kern w:val="0"/>
          <w:sz w:val="24"/>
        </w:rPr>
      </w:pPr>
      <w:bookmarkStart w:id="5" w:name="_Toc482687020"/>
      <w:bookmarkStart w:id="6" w:name="_Toc1243"/>
      <w:r>
        <w:rPr>
          <w:rFonts w:hint="eastAsia"/>
          <w:b w:val="0"/>
          <w:kern w:val="0"/>
        </w:rPr>
        <w:t>第二章　付款方式及报价要求</w:t>
      </w:r>
      <w:bookmarkEnd w:id="4"/>
      <w:bookmarkEnd w:id="5"/>
      <w:bookmarkEnd w:id="6"/>
    </w:p>
    <w:p>
      <w:pPr>
        <w:spacing w:line="600" w:lineRule="exact"/>
        <w:ind w:firstLine="420" w:firstLineChars="200"/>
        <w:rPr>
          <w:rFonts w:hint="eastAsia" w:ascii="宋体" w:hAnsi="宋体"/>
          <w:b/>
          <w:sz w:val="24"/>
          <w:u w:val="single"/>
        </w:rPr>
      </w:pPr>
      <w:r>
        <w:rPr>
          <w:rFonts w:hint="eastAsia" w:ascii="宋体" w:hAnsi="宋体"/>
          <w:kern w:val="0"/>
          <w:szCs w:val="21"/>
        </w:rPr>
        <w:t>1、本项目采取的付款方式为：</w:t>
      </w:r>
      <w:r>
        <w:rPr>
          <w:rFonts w:hint="eastAsia" w:ascii="宋体" w:hAnsi="宋体"/>
          <w:b/>
          <w:szCs w:val="21"/>
          <w:u w:val="single"/>
        </w:rPr>
        <w:t>合同约定的价款，按承包金额以季度分四次均匀支付物业管理费，先做后付，在次月10日前支付，甲方每月考核，月度考核分在80分（含）以上的不扣5%物业管理费，考核结果在80分以下的，扣除5%物业管理费，在季度付款时一并扣除。</w:t>
      </w:r>
    </w:p>
    <w:p>
      <w:pPr>
        <w:snapToGrid w:val="0"/>
        <w:spacing w:line="500" w:lineRule="exact"/>
        <w:ind w:firstLine="420" w:firstLineChars="200"/>
        <w:rPr>
          <w:rFonts w:hint="eastAsia" w:ascii="宋体" w:hAnsi="宋体"/>
          <w:szCs w:val="21"/>
        </w:rPr>
      </w:pPr>
      <w:r>
        <w:rPr>
          <w:rFonts w:hint="eastAsia" w:ascii="宋体" w:hAnsi="宋体"/>
          <w:szCs w:val="21"/>
        </w:rPr>
        <w:t>2、本次投标报价的费用为一年服务期的费用，若第二年继续承包，其费用不变。</w:t>
      </w:r>
    </w:p>
    <w:p>
      <w:pPr>
        <w:snapToGrid w:val="0"/>
        <w:spacing w:line="500" w:lineRule="exact"/>
        <w:ind w:firstLine="482"/>
        <w:rPr>
          <w:rFonts w:hint="eastAsia" w:ascii="宋体" w:hAnsi="宋体"/>
          <w:szCs w:val="21"/>
        </w:rPr>
      </w:pPr>
      <w:r>
        <w:rPr>
          <w:rFonts w:hint="eastAsia" w:ascii="宋体" w:hAnsi="宋体"/>
          <w:szCs w:val="21"/>
        </w:rPr>
        <w:t>3、投标报价中标明的价格为履行合同1个年度的物业管理费价格，具体包含：</w:t>
      </w:r>
      <w:r>
        <w:rPr>
          <w:rFonts w:hint="eastAsia" w:ascii="宋体" w:hAnsi="宋体"/>
          <w:b/>
          <w:color w:val="000000"/>
          <w:szCs w:val="21"/>
        </w:rPr>
        <w:t>环卫员工工资、劳保、社保、医保、风险金、税费、人身意外保险及各种补贴，各种突击性劳动及日常加班费，各种工具、设备维修费及折旧费等，以及合理利润</w:t>
      </w:r>
      <w:r>
        <w:rPr>
          <w:rFonts w:hint="eastAsia"/>
          <w:b/>
          <w:szCs w:val="21"/>
        </w:rPr>
        <w:t>。</w:t>
      </w:r>
    </w:p>
    <w:p>
      <w:pPr>
        <w:pStyle w:val="3"/>
        <w:numPr>
          <w:ilvl w:val="0"/>
          <w:numId w:val="0"/>
        </w:numPr>
        <w:ind w:leftChars="0"/>
        <w:rPr>
          <w:rFonts w:hint="eastAsia"/>
          <w:u w:val="single"/>
        </w:rPr>
      </w:pPr>
      <w:bookmarkStart w:id="7" w:name="_Toc146170943"/>
    </w:p>
    <w:p>
      <w:pPr>
        <w:pStyle w:val="4"/>
        <w:rPr>
          <w:rFonts w:hint="eastAsia"/>
          <w:u w:val="single"/>
        </w:rPr>
      </w:pPr>
    </w:p>
    <w:p>
      <w:pPr>
        <w:pStyle w:val="4"/>
        <w:rPr>
          <w:rFonts w:hint="eastAsia"/>
          <w:u w:val="single"/>
        </w:rPr>
      </w:pPr>
    </w:p>
    <w:p>
      <w:pPr>
        <w:pStyle w:val="4"/>
        <w:rPr>
          <w:rFonts w:hint="eastAsia"/>
          <w:u w:val="single"/>
        </w:rPr>
      </w:pPr>
    </w:p>
    <w:p>
      <w:pPr>
        <w:pStyle w:val="4"/>
        <w:rPr>
          <w:rFonts w:hint="eastAsia"/>
          <w:u w:val="single"/>
        </w:rPr>
      </w:pPr>
    </w:p>
    <w:p>
      <w:pPr>
        <w:pStyle w:val="4"/>
        <w:rPr>
          <w:rFonts w:hint="eastAsia"/>
        </w:rPr>
      </w:pPr>
    </w:p>
    <w:p>
      <w:pPr>
        <w:pStyle w:val="3"/>
        <w:numPr>
          <w:ilvl w:val="0"/>
          <w:numId w:val="0"/>
        </w:numPr>
        <w:ind w:leftChars="0"/>
        <w:jc w:val="center"/>
        <w:rPr>
          <w:rFonts w:hint="eastAsia"/>
          <w:b w:val="0"/>
        </w:rPr>
      </w:pPr>
      <w:bookmarkStart w:id="8" w:name="_Toc482687021"/>
      <w:bookmarkStart w:id="9" w:name="_Toc23448"/>
      <w:r>
        <w:rPr>
          <w:rFonts w:hint="eastAsia"/>
          <w:b w:val="0"/>
        </w:rPr>
        <w:t xml:space="preserve">第三章  </w:t>
      </w:r>
      <w:bookmarkEnd w:id="7"/>
      <w:bookmarkEnd w:id="8"/>
      <w:r>
        <w:rPr>
          <w:rFonts w:hint="eastAsia" w:hAnsi="宋体"/>
          <w:sz w:val="36"/>
          <w:szCs w:val="36"/>
        </w:rPr>
        <w:t>考核评分标准</w:t>
      </w:r>
      <w:bookmarkEnd w:id="9"/>
    </w:p>
    <w:p>
      <w:pPr>
        <w:rPr>
          <w:rFonts w:ascii="宋体" w:hAnsi="宋体"/>
          <w:b/>
          <w:bCs/>
          <w:sz w:val="28"/>
        </w:rPr>
      </w:pPr>
      <w:bookmarkStart w:id="10" w:name="_Toc146170944"/>
    </w:p>
    <w:tbl>
      <w:tblPr>
        <w:tblStyle w:val="37"/>
        <w:tblW w:w="0" w:type="auto"/>
        <w:tblInd w:w="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0"/>
        <w:gridCol w:w="467"/>
        <w:gridCol w:w="1155"/>
        <w:gridCol w:w="4140"/>
        <w:gridCol w:w="880"/>
        <w:gridCol w:w="188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60" w:hRule="atLeast"/>
        </w:trPr>
        <w:tc>
          <w:tcPr>
            <w:tcW w:w="9227" w:type="dxa"/>
            <w:gridSpan w:val="6"/>
            <w:noWrap w:val="0"/>
            <w:vAlign w:val="center"/>
          </w:tcPr>
          <w:p>
            <w:pPr>
              <w:widowControl/>
              <w:adjustRightInd w:val="0"/>
              <w:snapToGrid w:val="0"/>
              <w:rPr>
                <w:rFonts w:hint="eastAsia" w:ascii="方正小标宋简体" w:hAnsi="宋体" w:eastAsia="方正小标宋简体" w:cs="宋体"/>
                <w:bCs/>
                <w:kern w:val="0"/>
                <w:szCs w:val="21"/>
              </w:rPr>
            </w:pPr>
            <w:r>
              <w:rPr>
                <w:rFonts w:hint="eastAsia" w:ascii="宋体" w:hAnsi="宋体" w:cs="宋体"/>
                <w:b/>
                <w:bCs/>
                <w:kern w:val="0"/>
                <w:szCs w:val="21"/>
                <w:lang w:bidi="ar"/>
              </w:rPr>
              <w:t>下管</w:t>
            </w:r>
            <w:r>
              <w:rPr>
                <w:rFonts w:ascii="宋体" w:hAnsi="宋体" w:cs="宋体"/>
                <w:b/>
                <w:bCs/>
                <w:kern w:val="0"/>
                <w:szCs w:val="21"/>
                <w:lang w:bidi="ar"/>
              </w:rPr>
              <w:t>镇</w:t>
            </w:r>
            <w:r>
              <w:rPr>
                <w:rFonts w:hint="eastAsia" w:ascii="宋体" w:hAnsi="宋体" w:cs="宋体"/>
                <w:b/>
                <w:bCs/>
                <w:kern w:val="0"/>
                <w:szCs w:val="21"/>
                <w:lang w:bidi="ar"/>
              </w:rPr>
              <w:t>农村环境卫生和垃圾分类</w:t>
            </w:r>
            <w:r>
              <w:rPr>
                <w:rFonts w:ascii="宋体" w:hAnsi="宋体" w:cs="宋体"/>
                <w:b/>
                <w:bCs/>
                <w:kern w:val="0"/>
                <w:szCs w:val="21"/>
                <w:lang w:bidi="ar"/>
              </w:rPr>
              <w:t>管理服务项目</w:t>
            </w:r>
            <w:r>
              <w:rPr>
                <w:rFonts w:hint="eastAsia" w:ascii="宋体" w:hAnsi="宋体"/>
                <w:b/>
                <w:szCs w:val="21"/>
              </w:rPr>
              <w:t>采购保洁考核评分标准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6" w:hRule="atLeast"/>
        </w:trPr>
        <w:tc>
          <w:tcPr>
            <w:tcW w:w="9227" w:type="dxa"/>
            <w:gridSpan w:val="6"/>
            <w:noWrap w:val="0"/>
            <w:vAlign w:val="center"/>
          </w:tcPr>
          <w:p>
            <w:pPr>
              <w:widowControl/>
              <w:rPr>
                <w:rFonts w:hint="eastAsia" w:ascii="宋体" w:hAnsi="宋体" w:cs="宋体"/>
                <w:b/>
                <w:bCs/>
                <w:kern w:val="0"/>
                <w:szCs w:val="21"/>
              </w:rPr>
            </w:pPr>
            <w:r>
              <w:rPr>
                <w:rFonts w:hint="eastAsia" w:ascii="宋体" w:hAnsi="宋体" w:cs="宋体"/>
                <w:b/>
                <w:bCs/>
                <w:kern w:val="0"/>
                <w:szCs w:val="21"/>
              </w:rPr>
              <w:t>二、</w:t>
            </w:r>
            <w:r>
              <w:rPr>
                <w:rFonts w:hint="eastAsia" w:ascii="宋体" w:hAnsi="宋体" w:cs="宋体"/>
                <w:b/>
                <w:szCs w:val="21"/>
              </w:rPr>
              <w:t>环境卫生管理服务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06" w:hRule="atLeast"/>
        </w:trPr>
        <w:tc>
          <w:tcPr>
            <w:tcW w:w="700" w:type="dxa"/>
            <w:noWrap w:val="0"/>
            <w:vAlign w:val="center"/>
          </w:tcPr>
          <w:p>
            <w:pPr>
              <w:widowControl/>
              <w:jc w:val="center"/>
              <w:rPr>
                <w:rFonts w:ascii="宋体" w:hAnsi="宋体" w:cs="宋体"/>
                <w:b/>
                <w:bCs/>
                <w:kern w:val="0"/>
                <w:szCs w:val="21"/>
              </w:rPr>
            </w:pPr>
            <w:r>
              <w:rPr>
                <w:rFonts w:hint="eastAsia" w:ascii="宋体" w:hAnsi="宋体" w:cs="宋体"/>
                <w:b/>
                <w:bCs/>
                <w:kern w:val="0"/>
                <w:szCs w:val="21"/>
              </w:rPr>
              <w:t>序号</w:t>
            </w:r>
          </w:p>
        </w:tc>
        <w:tc>
          <w:tcPr>
            <w:tcW w:w="1622" w:type="dxa"/>
            <w:gridSpan w:val="2"/>
            <w:noWrap w:val="0"/>
            <w:vAlign w:val="center"/>
          </w:tcPr>
          <w:p>
            <w:pPr>
              <w:widowControl/>
              <w:jc w:val="center"/>
              <w:rPr>
                <w:rFonts w:ascii="宋体" w:hAnsi="宋体" w:cs="宋体"/>
                <w:b/>
                <w:bCs/>
                <w:kern w:val="0"/>
                <w:szCs w:val="21"/>
              </w:rPr>
            </w:pPr>
            <w:r>
              <w:rPr>
                <w:rFonts w:hint="eastAsia" w:ascii="宋体" w:hAnsi="宋体" w:cs="宋体"/>
                <w:b/>
                <w:bCs/>
                <w:kern w:val="0"/>
                <w:szCs w:val="21"/>
              </w:rPr>
              <w:t>考核内容</w:t>
            </w:r>
          </w:p>
        </w:tc>
        <w:tc>
          <w:tcPr>
            <w:tcW w:w="4140" w:type="dxa"/>
            <w:noWrap w:val="0"/>
            <w:vAlign w:val="center"/>
          </w:tcPr>
          <w:p>
            <w:pPr>
              <w:widowControl/>
              <w:jc w:val="center"/>
              <w:rPr>
                <w:rFonts w:ascii="宋体" w:hAnsi="宋体" w:cs="宋体"/>
                <w:b/>
                <w:bCs/>
                <w:kern w:val="0"/>
                <w:szCs w:val="21"/>
              </w:rPr>
            </w:pPr>
            <w:r>
              <w:rPr>
                <w:rFonts w:hint="eastAsia" w:ascii="宋体" w:hAnsi="宋体" w:cs="宋体"/>
                <w:b/>
                <w:bCs/>
                <w:kern w:val="0"/>
                <w:szCs w:val="21"/>
              </w:rPr>
              <w:t>考核内容</w:t>
            </w:r>
          </w:p>
        </w:tc>
        <w:tc>
          <w:tcPr>
            <w:tcW w:w="880" w:type="dxa"/>
            <w:noWrap w:val="0"/>
            <w:vAlign w:val="center"/>
          </w:tcPr>
          <w:p>
            <w:pPr>
              <w:widowControl/>
              <w:jc w:val="center"/>
              <w:rPr>
                <w:rFonts w:hint="eastAsia" w:ascii="宋体" w:hAnsi="宋体" w:cs="宋体"/>
                <w:b/>
                <w:bCs/>
                <w:kern w:val="0"/>
                <w:szCs w:val="21"/>
              </w:rPr>
            </w:pPr>
            <w:r>
              <w:rPr>
                <w:rFonts w:hint="eastAsia" w:ascii="宋体" w:hAnsi="宋体" w:cs="宋体"/>
                <w:b/>
                <w:bCs/>
                <w:kern w:val="0"/>
                <w:szCs w:val="21"/>
              </w:rPr>
              <w:t>检查扣分</w:t>
            </w:r>
          </w:p>
        </w:tc>
        <w:tc>
          <w:tcPr>
            <w:tcW w:w="1885" w:type="dxa"/>
            <w:noWrap w:val="0"/>
            <w:vAlign w:val="center"/>
          </w:tcPr>
          <w:p>
            <w:pPr>
              <w:widowControl/>
              <w:jc w:val="center"/>
              <w:rPr>
                <w:rFonts w:ascii="宋体" w:hAnsi="宋体" w:cs="宋体"/>
                <w:b/>
                <w:bCs/>
                <w:kern w:val="0"/>
                <w:szCs w:val="21"/>
              </w:rPr>
            </w:pPr>
            <w:r>
              <w:rPr>
                <w:rFonts w:hint="eastAsia" w:ascii="宋体" w:hAnsi="宋体" w:cs="宋体"/>
                <w:b/>
                <w:bCs/>
                <w:kern w:val="0"/>
                <w:szCs w:val="21"/>
              </w:rPr>
              <w:t>扣分原因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7" w:hRule="atLeast"/>
        </w:trPr>
        <w:tc>
          <w:tcPr>
            <w:tcW w:w="700" w:type="dxa"/>
            <w:vMerge w:val="restart"/>
            <w:noWrap w:val="0"/>
            <w:vAlign w:val="center"/>
          </w:tcPr>
          <w:p>
            <w:pPr>
              <w:widowControl/>
              <w:adjustRightInd w:val="0"/>
              <w:snapToGrid w:val="0"/>
              <w:spacing w:line="240" w:lineRule="exact"/>
              <w:jc w:val="center"/>
              <w:rPr>
                <w:rFonts w:hint="eastAsia" w:ascii="宋体" w:hAnsi="宋体" w:cs="宋体"/>
                <w:kern w:val="0"/>
                <w:szCs w:val="21"/>
              </w:rPr>
            </w:pPr>
            <w:r>
              <w:rPr>
                <w:rFonts w:hint="eastAsia" w:ascii="宋体" w:hAnsi="宋体" w:cs="宋体"/>
                <w:kern w:val="0"/>
                <w:szCs w:val="21"/>
              </w:rPr>
              <w:t>1</w:t>
            </w:r>
          </w:p>
        </w:tc>
        <w:tc>
          <w:tcPr>
            <w:tcW w:w="1622" w:type="dxa"/>
            <w:gridSpan w:val="2"/>
            <w:vMerge w:val="restart"/>
            <w:noWrap w:val="0"/>
            <w:vAlign w:val="center"/>
          </w:tcPr>
          <w:p>
            <w:pPr>
              <w:spacing w:line="360" w:lineRule="exact"/>
              <w:jc w:val="center"/>
              <w:rPr>
                <w:rFonts w:hint="eastAsia" w:ascii="新宋体" w:hAnsi="新宋体" w:eastAsia="新宋体" w:cs="新宋体"/>
                <w:szCs w:val="21"/>
              </w:rPr>
            </w:pPr>
            <w:r>
              <w:rPr>
                <w:rFonts w:hint="eastAsia" w:ascii="新宋体" w:hAnsi="新宋体" w:eastAsia="新宋体" w:cs="新宋体"/>
                <w:szCs w:val="21"/>
              </w:rPr>
              <w:t>队伍建设</w:t>
            </w:r>
          </w:p>
          <w:p>
            <w:pPr>
              <w:widowControl/>
              <w:adjustRightInd w:val="0"/>
              <w:snapToGrid w:val="0"/>
              <w:spacing w:line="240" w:lineRule="exact"/>
              <w:jc w:val="center"/>
              <w:rPr>
                <w:rFonts w:hint="eastAsia" w:ascii="宋体" w:hAnsi="宋体" w:cs="宋体"/>
                <w:kern w:val="0"/>
                <w:szCs w:val="21"/>
              </w:rPr>
            </w:pPr>
            <w:r>
              <w:rPr>
                <w:rFonts w:hint="eastAsia" w:ascii="新宋体" w:hAnsi="新宋体" w:eastAsia="新宋体" w:cs="新宋体"/>
                <w:szCs w:val="21"/>
              </w:rPr>
              <w:t>管理（25分）</w:t>
            </w:r>
          </w:p>
        </w:tc>
        <w:tc>
          <w:tcPr>
            <w:tcW w:w="4140" w:type="dxa"/>
            <w:noWrap w:val="0"/>
            <w:vAlign w:val="center"/>
          </w:tcPr>
          <w:p>
            <w:pPr>
              <w:widowControl/>
              <w:adjustRightInd w:val="0"/>
              <w:snapToGrid w:val="0"/>
              <w:spacing w:line="240" w:lineRule="exact"/>
              <w:rPr>
                <w:rFonts w:hint="eastAsia" w:ascii="宋体" w:hAnsi="宋体" w:cs="宋体"/>
                <w:kern w:val="0"/>
                <w:szCs w:val="21"/>
              </w:rPr>
            </w:pPr>
            <w:r>
              <w:rPr>
                <w:rFonts w:hint="eastAsia" w:ascii="新宋体" w:hAnsi="新宋体" w:eastAsia="新宋体" w:cs="新宋体"/>
                <w:color w:val="000000"/>
                <w:szCs w:val="21"/>
              </w:rPr>
              <w:t>上班期间须按规定时间在辖区内巡逻，不得擅自离岗、脱岗。</w:t>
            </w:r>
            <w:r>
              <w:rPr>
                <w:rFonts w:hint="eastAsia" w:ascii="新宋体" w:hAnsi="新宋体" w:eastAsia="新宋体" w:cs="新宋体"/>
                <w:color w:val="000000"/>
                <w:spacing w:val="-12"/>
                <w:szCs w:val="21"/>
              </w:rPr>
              <w:t>擅自离岗、脱岗的，每人次扣1分。</w:t>
            </w:r>
          </w:p>
        </w:tc>
        <w:tc>
          <w:tcPr>
            <w:tcW w:w="880" w:type="dxa"/>
            <w:noWrap w:val="0"/>
            <w:vAlign w:val="center"/>
          </w:tcPr>
          <w:p>
            <w:pPr>
              <w:widowControl/>
              <w:jc w:val="center"/>
              <w:rPr>
                <w:rFonts w:ascii="宋体" w:hAnsi="宋体" w:cs="宋体"/>
                <w:kern w:val="0"/>
                <w:szCs w:val="21"/>
              </w:rPr>
            </w:pPr>
          </w:p>
        </w:tc>
        <w:tc>
          <w:tcPr>
            <w:tcW w:w="1885"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7" w:hRule="atLeast"/>
        </w:trPr>
        <w:tc>
          <w:tcPr>
            <w:tcW w:w="700" w:type="dxa"/>
            <w:vMerge w:val="continue"/>
            <w:noWrap w:val="0"/>
            <w:vAlign w:val="center"/>
          </w:tcPr>
          <w:p>
            <w:pPr>
              <w:widowControl/>
              <w:adjustRightInd w:val="0"/>
              <w:snapToGrid w:val="0"/>
              <w:spacing w:line="240" w:lineRule="exact"/>
              <w:jc w:val="center"/>
              <w:rPr>
                <w:rFonts w:hint="eastAsia" w:ascii="宋体" w:hAnsi="宋体" w:cs="宋体"/>
                <w:kern w:val="0"/>
                <w:szCs w:val="21"/>
              </w:rPr>
            </w:pPr>
          </w:p>
        </w:tc>
        <w:tc>
          <w:tcPr>
            <w:tcW w:w="1622" w:type="dxa"/>
            <w:gridSpan w:val="2"/>
            <w:vMerge w:val="continue"/>
            <w:noWrap w:val="0"/>
            <w:vAlign w:val="center"/>
          </w:tcPr>
          <w:p>
            <w:pPr>
              <w:widowControl/>
              <w:adjustRightInd w:val="0"/>
              <w:snapToGrid w:val="0"/>
              <w:spacing w:line="240" w:lineRule="exact"/>
              <w:jc w:val="center"/>
              <w:rPr>
                <w:rFonts w:hint="eastAsia" w:ascii="新宋体" w:hAnsi="新宋体" w:eastAsia="新宋体" w:cs="新宋体"/>
                <w:szCs w:val="21"/>
              </w:rPr>
            </w:pPr>
          </w:p>
        </w:tc>
        <w:tc>
          <w:tcPr>
            <w:tcW w:w="4140" w:type="dxa"/>
            <w:noWrap w:val="0"/>
            <w:vAlign w:val="center"/>
          </w:tcPr>
          <w:p>
            <w:pPr>
              <w:widowControl/>
              <w:adjustRightInd w:val="0"/>
              <w:snapToGrid w:val="0"/>
              <w:spacing w:line="240" w:lineRule="exact"/>
              <w:rPr>
                <w:rFonts w:hint="eastAsia" w:ascii="宋体" w:hAnsi="宋体" w:cs="宋体"/>
                <w:kern w:val="0"/>
                <w:szCs w:val="21"/>
              </w:rPr>
            </w:pPr>
            <w:r>
              <w:rPr>
                <w:rFonts w:hint="eastAsia" w:ascii="新宋体" w:hAnsi="新宋体" w:eastAsia="新宋体" w:cs="新宋体"/>
                <w:color w:val="000000"/>
                <w:kern w:val="0"/>
                <w:szCs w:val="21"/>
              </w:rPr>
              <w:t>上班不能从事无关活动，执勤时闲聊或逛商场等。</w:t>
            </w:r>
            <w:r>
              <w:rPr>
                <w:rFonts w:hint="eastAsia" w:ascii="新宋体" w:hAnsi="新宋体" w:eastAsia="新宋体" w:cs="新宋体"/>
                <w:color w:val="000000"/>
                <w:spacing w:val="-12"/>
                <w:szCs w:val="21"/>
              </w:rPr>
              <w:t>发现从事工作无关事的，每人次扣1</w:t>
            </w:r>
            <w:r>
              <w:rPr>
                <w:rFonts w:hint="eastAsia" w:ascii="新宋体" w:hAnsi="新宋体" w:eastAsia="新宋体" w:cs="新宋体"/>
                <w:color w:val="000000"/>
                <w:szCs w:val="21"/>
              </w:rPr>
              <w:t>分</w:t>
            </w:r>
          </w:p>
        </w:tc>
        <w:tc>
          <w:tcPr>
            <w:tcW w:w="880" w:type="dxa"/>
            <w:noWrap w:val="0"/>
            <w:vAlign w:val="center"/>
          </w:tcPr>
          <w:p>
            <w:pPr>
              <w:widowControl/>
              <w:jc w:val="center"/>
              <w:rPr>
                <w:rFonts w:ascii="宋体" w:hAnsi="宋体" w:cs="宋体"/>
                <w:kern w:val="0"/>
                <w:szCs w:val="21"/>
              </w:rPr>
            </w:pPr>
          </w:p>
        </w:tc>
        <w:tc>
          <w:tcPr>
            <w:tcW w:w="1885"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7" w:hRule="atLeast"/>
        </w:trPr>
        <w:tc>
          <w:tcPr>
            <w:tcW w:w="700" w:type="dxa"/>
            <w:vMerge w:val="continue"/>
            <w:noWrap w:val="0"/>
            <w:vAlign w:val="center"/>
          </w:tcPr>
          <w:p>
            <w:pPr>
              <w:widowControl/>
              <w:adjustRightInd w:val="0"/>
              <w:snapToGrid w:val="0"/>
              <w:spacing w:line="240" w:lineRule="exact"/>
              <w:jc w:val="center"/>
              <w:rPr>
                <w:rFonts w:hint="eastAsia" w:ascii="宋体" w:hAnsi="宋体" w:cs="宋体"/>
                <w:kern w:val="0"/>
                <w:szCs w:val="21"/>
              </w:rPr>
            </w:pPr>
          </w:p>
        </w:tc>
        <w:tc>
          <w:tcPr>
            <w:tcW w:w="1622" w:type="dxa"/>
            <w:gridSpan w:val="2"/>
            <w:vMerge w:val="continue"/>
            <w:noWrap w:val="0"/>
            <w:vAlign w:val="center"/>
          </w:tcPr>
          <w:p>
            <w:pPr>
              <w:widowControl/>
              <w:adjustRightInd w:val="0"/>
              <w:snapToGrid w:val="0"/>
              <w:spacing w:line="240" w:lineRule="exact"/>
              <w:jc w:val="center"/>
              <w:rPr>
                <w:rFonts w:hint="eastAsia" w:ascii="新宋体" w:hAnsi="新宋体" w:eastAsia="新宋体" w:cs="新宋体"/>
                <w:szCs w:val="21"/>
              </w:rPr>
            </w:pPr>
          </w:p>
        </w:tc>
        <w:tc>
          <w:tcPr>
            <w:tcW w:w="4140" w:type="dxa"/>
            <w:noWrap w:val="0"/>
            <w:vAlign w:val="center"/>
          </w:tcPr>
          <w:p>
            <w:pPr>
              <w:widowControl/>
              <w:adjustRightInd w:val="0"/>
              <w:snapToGrid w:val="0"/>
              <w:spacing w:line="240" w:lineRule="exact"/>
              <w:rPr>
                <w:rFonts w:hint="eastAsia" w:ascii="宋体" w:hAnsi="宋体" w:cs="宋体"/>
                <w:kern w:val="0"/>
                <w:szCs w:val="21"/>
              </w:rPr>
            </w:pPr>
            <w:r>
              <w:rPr>
                <w:rFonts w:hint="eastAsia" w:ascii="新宋体" w:hAnsi="新宋体" w:eastAsia="新宋体" w:cs="新宋体"/>
                <w:color w:val="000000"/>
                <w:szCs w:val="21"/>
              </w:rPr>
              <w:t>不准酒后上班或工作时间饮酒。</w:t>
            </w:r>
            <w:r>
              <w:rPr>
                <w:rFonts w:hint="eastAsia" w:ascii="新宋体" w:hAnsi="新宋体" w:eastAsia="新宋体" w:cs="新宋体"/>
                <w:color w:val="000000"/>
                <w:spacing w:val="-12"/>
                <w:szCs w:val="21"/>
              </w:rPr>
              <w:t>酒后上班或工作时间饮酒的，每次扣2分</w:t>
            </w:r>
          </w:p>
        </w:tc>
        <w:tc>
          <w:tcPr>
            <w:tcW w:w="880" w:type="dxa"/>
            <w:noWrap w:val="0"/>
            <w:vAlign w:val="center"/>
          </w:tcPr>
          <w:p>
            <w:pPr>
              <w:widowControl/>
              <w:jc w:val="center"/>
              <w:rPr>
                <w:rFonts w:ascii="宋体" w:hAnsi="宋体" w:cs="宋体"/>
                <w:kern w:val="0"/>
                <w:szCs w:val="21"/>
              </w:rPr>
            </w:pPr>
          </w:p>
        </w:tc>
        <w:tc>
          <w:tcPr>
            <w:tcW w:w="1885"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7" w:hRule="atLeast"/>
        </w:trPr>
        <w:tc>
          <w:tcPr>
            <w:tcW w:w="700" w:type="dxa"/>
            <w:vMerge w:val="continue"/>
            <w:noWrap w:val="0"/>
            <w:vAlign w:val="center"/>
          </w:tcPr>
          <w:p>
            <w:pPr>
              <w:widowControl/>
              <w:adjustRightInd w:val="0"/>
              <w:snapToGrid w:val="0"/>
              <w:spacing w:line="240" w:lineRule="exact"/>
              <w:jc w:val="center"/>
              <w:rPr>
                <w:rFonts w:hint="eastAsia" w:ascii="宋体" w:hAnsi="宋体" w:cs="宋体"/>
                <w:kern w:val="0"/>
                <w:szCs w:val="21"/>
              </w:rPr>
            </w:pPr>
          </w:p>
        </w:tc>
        <w:tc>
          <w:tcPr>
            <w:tcW w:w="1622" w:type="dxa"/>
            <w:gridSpan w:val="2"/>
            <w:vMerge w:val="continue"/>
            <w:noWrap w:val="0"/>
            <w:vAlign w:val="center"/>
          </w:tcPr>
          <w:p>
            <w:pPr>
              <w:widowControl/>
              <w:adjustRightInd w:val="0"/>
              <w:snapToGrid w:val="0"/>
              <w:spacing w:line="240" w:lineRule="exact"/>
              <w:jc w:val="center"/>
              <w:rPr>
                <w:rFonts w:hint="eastAsia" w:ascii="宋体" w:hAnsi="宋体" w:cs="宋体"/>
                <w:kern w:val="0"/>
                <w:szCs w:val="21"/>
              </w:rPr>
            </w:pPr>
          </w:p>
        </w:tc>
        <w:tc>
          <w:tcPr>
            <w:tcW w:w="4140" w:type="dxa"/>
            <w:noWrap w:val="0"/>
            <w:vAlign w:val="center"/>
          </w:tcPr>
          <w:p>
            <w:pPr>
              <w:widowControl/>
              <w:adjustRightInd w:val="0"/>
              <w:snapToGrid w:val="0"/>
              <w:spacing w:line="240" w:lineRule="exact"/>
              <w:rPr>
                <w:rFonts w:hint="eastAsia" w:ascii="宋体" w:hAnsi="宋体" w:cs="宋体"/>
                <w:kern w:val="0"/>
                <w:szCs w:val="21"/>
              </w:rPr>
            </w:pPr>
            <w:r>
              <w:rPr>
                <w:rFonts w:hint="eastAsia" w:ascii="新宋体" w:hAnsi="新宋体" w:eastAsia="新宋体" w:cs="新宋体"/>
                <w:color w:val="000000"/>
                <w:szCs w:val="21"/>
              </w:rPr>
              <w:t>不得利用工作之便、向经营者吃、拿、卡、要。利用工作之便、向经营者吃、拿、卡、要的，每人次扣2分</w:t>
            </w:r>
          </w:p>
        </w:tc>
        <w:tc>
          <w:tcPr>
            <w:tcW w:w="880" w:type="dxa"/>
            <w:noWrap w:val="0"/>
            <w:vAlign w:val="center"/>
          </w:tcPr>
          <w:p>
            <w:pPr>
              <w:widowControl/>
              <w:jc w:val="center"/>
              <w:rPr>
                <w:rFonts w:ascii="宋体" w:hAnsi="宋体" w:cs="宋体"/>
                <w:kern w:val="0"/>
                <w:szCs w:val="21"/>
              </w:rPr>
            </w:pPr>
          </w:p>
        </w:tc>
        <w:tc>
          <w:tcPr>
            <w:tcW w:w="1885"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37" w:hRule="atLeast"/>
        </w:trPr>
        <w:tc>
          <w:tcPr>
            <w:tcW w:w="700" w:type="dxa"/>
            <w:noWrap w:val="0"/>
            <w:vAlign w:val="center"/>
          </w:tcPr>
          <w:p>
            <w:pPr>
              <w:widowControl/>
              <w:adjustRightInd w:val="0"/>
              <w:snapToGrid w:val="0"/>
              <w:spacing w:line="240" w:lineRule="exact"/>
              <w:jc w:val="center"/>
              <w:rPr>
                <w:rFonts w:hint="eastAsia" w:ascii="宋体" w:hAnsi="宋体" w:cs="宋体"/>
                <w:kern w:val="0"/>
                <w:szCs w:val="21"/>
              </w:rPr>
            </w:pPr>
            <w:r>
              <w:rPr>
                <w:rFonts w:hint="eastAsia" w:ascii="宋体" w:hAnsi="宋体" w:cs="宋体"/>
                <w:kern w:val="0"/>
                <w:szCs w:val="21"/>
              </w:rPr>
              <w:t>2</w:t>
            </w:r>
          </w:p>
        </w:tc>
        <w:tc>
          <w:tcPr>
            <w:tcW w:w="1622" w:type="dxa"/>
            <w:gridSpan w:val="2"/>
            <w:noWrap w:val="0"/>
            <w:vAlign w:val="center"/>
          </w:tcPr>
          <w:p>
            <w:pPr>
              <w:widowControl/>
              <w:adjustRightInd w:val="0"/>
              <w:snapToGrid w:val="0"/>
              <w:spacing w:line="240" w:lineRule="exact"/>
              <w:jc w:val="center"/>
              <w:rPr>
                <w:rFonts w:ascii="宋体" w:hAnsi="宋体" w:cs="宋体"/>
                <w:kern w:val="0"/>
                <w:szCs w:val="21"/>
              </w:rPr>
            </w:pPr>
            <w:r>
              <w:rPr>
                <w:rFonts w:hint="eastAsia" w:ascii="宋体" w:hAnsi="宋体" w:cs="宋体"/>
                <w:kern w:val="0"/>
                <w:szCs w:val="21"/>
              </w:rPr>
              <w:t>人员着装</w:t>
            </w:r>
            <w:r>
              <w:rPr>
                <w:rFonts w:hint="eastAsia" w:ascii="宋体" w:hAnsi="宋体" w:cs="宋体"/>
                <w:kern w:val="0"/>
                <w:szCs w:val="21"/>
              </w:rPr>
              <w:br w:type="textWrapping"/>
            </w:r>
            <w:r>
              <w:rPr>
                <w:rFonts w:hint="eastAsia" w:ascii="宋体" w:hAnsi="宋体" w:cs="宋体"/>
                <w:kern w:val="0"/>
                <w:szCs w:val="21"/>
              </w:rPr>
              <w:t>（5分）</w:t>
            </w:r>
          </w:p>
        </w:tc>
        <w:tc>
          <w:tcPr>
            <w:tcW w:w="4140" w:type="dxa"/>
            <w:noWrap w:val="0"/>
            <w:vAlign w:val="center"/>
          </w:tcPr>
          <w:p>
            <w:pPr>
              <w:widowControl/>
              <w:adjustRightInd w:val="0"/>
              <w:snapToGrid w:val="0"/>
              <w:spacing w:line="240" w:lineRule="exact"/>
              <w:rPr>
                <w:rFonts w:ascii="宋体" w:hAnsi="宋体" w:cs="宋体"/>
                <w:kern w:val="0"/>
                <w:szCs w:val="21"/>
              </w:rPr>
            </w:pPr>
            <w:r>
              <w:rPr>
                <w:rFonts w:hint="eastAsia" w:ascii="宋体" w:hAnsi="宋体" w:cs="宋体"/>
                <w:kern w:val="0"/>
                <w:szCs w:val="21"/>
              </w:rPr>
              <w:t>　　承包管理人员、清扫保洁人员在上班时间要求穿着环卫反光标志工作服，违者每人次扣0.2分。</w:t>
            </w:r>
          </w:p>
        </w:tc>
        <w:tc>
          <w:tcPr>
            <w:tcW w:w="880" w:type="dxa"/>
            <w:noWrap w:val="0"/>
            <w:vAlign w:val="center"/>
          </w:tcPr>
          <w:p>
            <w:pPr>
              <w:widowControl/>
              <w:jc w:val="center"/>
              <w:rPr>
                <w:rFonts w:ascii="宋体" w:hAnsi="宋体" w:cs="宋体"/>
                <w:kern w:val="0"/>
                <w:szCs w:val="21"/>
              </w:rPr>
            </w:pPr>
          </w:p>
        </w:tc>
        <w:tc>
          <w:tcPr>
            <w:tcW w:w="1885"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2808" w:hRule="atLeast"/>
        </w:trPr>
        <w:tc>
          <w:tcPr>
            <w:tcW w:w="700" w:type="dxa"/>
            <w:noWrap w:val="0"/>
            <w:vAlign w:val="center"/>
          </w:tcPr>
          <w:p>
            <w:pPr>
              <w:widowControl/>
              <w:adjustRightInd w:val="0"/>
              <w:snapToGrid w:val="0"/>
              <w:spacing w:line="240" w:lineRule="exact"/>
              <w:jc w:val="center"/>
              <w:rPr>
                <w:rFonts w:hint="eastAsia" w:ascii="宋体" w:hAnsi="宋体" w:cs="宋体"/>
                <w:kern w:val="0"/>
                <w:szCs w:val="21"/>
              </w:rPr>
            </w:pPr>
            <w:r>
              <w:rPr>
                <w:rFonts w:hint="eastAsia" w:ascii="宋体" w:hAnsi="宋体" w:cs="宋体"/>
                <w:kern w:val="0"/>
                <w:szCs w:val="21"/>
              </w:rPr>
              <w:t>3</w:t>
            </w:r>
          </w:p>
        </w:tc>
        <w:tc>
          <w:tcPr>
            <w:tcW w:w="1622" w:type="dxa"/>
            <w:gridSpan w:val="2"/>
            <w:noWrap w:val="0"/>
            <w:vAlign w:val="center"/>
          </w:tcPr>
          <w:p>
            <w:pPr>
              <w:widowControl/>
              <w:adjustRightInd w:val="0"/>
              <w:snapToGrid w:val="0"/>
              <w:spacing w:line="240" w:lineRule="exact"/>
              <w:jc w:val="center"/>
              <w:rPr>
                <w:rFonts w:ascii="宋体" w:hAnsi="宋体" w:cs="宋体"/>
                <w:kern w:val="0"/>
                <w:szCs w:val="21"/>
              </w:rPr>
            </w:pPr>
            <w:r>
              <w:rPr>
                <w:rFonts w:hint="eastAsia" w:ascii="宋体" w:hAnsi="宋体" w:cs="宋体"/>
                <w:kern w:val="0"/>
                <w:szCs w:val="21"/>
              </w:rPr>
              <w:t>作业时间</w:t>
            </w:r>
            <w:r>
              <w:rPr>
                <w:rFonts w:hint="eastAsia" w:ascii="宋体" w:hAnsi="宋体" w:cs="宋体"/>
                <w:kern w:val="0"/>
                <w:szCs w:val="21"/>
              </w:rPr>
              <w:br w:type="textWrapping"/>
            </w:r>
            <w:r>
              <w:rPr>
                <w:rFonts w:hint="eastAsia" w:ascii="宋体" w:hAnsi="宋体" w:cs="宋体"/>
                <w:kern w:val="0"/>
                <w:szCs w:val="21"/>
              </w:rPr>
              <w:t>（10分）</w:t>
            </w:r>
          </w:p>
        </w:tc>
        <w:tc>
          <w:tcPr>
            <w:tcW w:w="4140" w:type="dxa"/>
            <w:noWrap w:val="0"/>
            <w:vAlign w:val="center"/>
          </w:tcPr>
          <w:p>
            <w:pPr>
              <w:widowControl/>
              <w:adjustRightInd w:val="0"/>
              <w:snapToGrid w:val="0"/>
              <w:spacing w:line="260" w:lineRule="exact"/>
              <w:ind w:firstLine="315" w:firstLineChars="150"/>
              <w:jc w:val="left"/>
              <w:rPr>
                <w:rFonts w:hint="eastAsia" w:ascii="宋体" w:hAnsi="宋体" w:cs="宋体"/>
                <w:kern w:val="0"/>
                <w:szCs w:val="21"/>
              </w:rPr>
            </w:pPr>
            <w:r>
              <w:rPr>
                <w:rFonts w:hint="eastAsia" w:ascii="宋体" w:hAnsi="宋体" w:cs="宋体"/>
                <w:kern w:val="0"/>
                <w:szCs w:val="21"/>
              </w:rPr>
              <w:t>1、清扫保洁作业时间：路面清扫包括普扫、巡回保洁、收运清扫的垃圾，</w:t>
            </w:r>
            <w:r>
              <w:rPr>
                <w:rFonts w:hint="eastAsia" w:ascii="宋体" w:hAnsi="宋体"/>
                <w:szCs w:val="21"/>
              </w:rPr>
              <w:t>并实行12、8小时循环保洁制12小时保洁：上午6：00～12：00，12：00～17：00；8小时保洁：上午6：30～10：30，下午13：00～17：00；6小时保洁：上午7：30～10：30，14：00～16：00），上述所有路段人工普扫5-9月份在8：00前完成；10-4月份在8：30前完成，其余为巡回保洁时间，</w:t>
            </w:r>
            <w:r>
              <w:rPr>
                <w:rFonts w:hint="eastAsia" w:ascii="宋体" w:hAnsi="宋体" w:cs="宋体"/>
                <w:kern w:val="0"/>
                <w:szCs w:val="21"/>
              </w:rPr>
              <w:t>不按规定每日清扫的每次扣1－2分。不按时清扫保洁的直接扣3分。如有卫生大检查等活动需要改变或延长时间再另行通知。</w:t>
            </w:r>
            <w:r>
              <w:rPr>
                <w:rFonts w:hint="eastAsia" w:ascii="宋体" w:hAnsi="宋体" w:cs="宋体"/>
                <w:kern w:val="0"/>
                <w:szCs w:val="21"/>
              </w:rPr>
              <w:br w:type="textWrapping"/>
            </w:r>
            <w:r>
              <w:rPr>
                <w:rFonts w:hint="eastAsia" w:ascii="宋体" w:hAnsi="宋体" w:cs="宋体"/>
                <w:kern w:val="0"/>
                <w:szCs w:val="21"/>
              </w:rPr>
              <w:t>　2、垃圾清运收集实行每天上、下午各收集一次（上午5：00～9:30,下午12：00～16：00）,做到日产日清。检查发现有不按规定清运垃圾房、堆放点垃圾的，每次扣1分。</w:t>
            </w:r>
          </w:p>
          <w:p>
            <w:pPr>
              <w:widowControl/>
              <w:adjustRightInd w:val="0"/>
              <w:snapToGrid w:val="0"/>
              <w:spacing w:line="260" w:lineRule="exact"/>
              <w:ind w:firstLine="210" w:firstLineChars="100"/>
              <w:jc w:val="left"/>
              <w:rPr>
                <w:rFonts w:hint="eastAsia" w:ascii="宋体" w:hAnsi="宋体" w:cs="宋体"/>
                <w:kern w:val="0"/>
                <w:szCs w:val="21"/>
              </w:rPr>
            </w:pPr>
            <w:r>
              <w:rPr>
                <w:rFonts w:hint="eastAsia" w:ascii="宋体" w:hAnsi="宋体" w:cs="宋体"/>
                <w:kern w:val="0"/>
                <w:szCs w:val="21"/>
              </w:rPr>
              <w:t>3、公厕保洁必须一日二次（上、下午各一次）不按规定时间清扫，每次扣1分。</w:t>
            </w:r>
          </w:p>
        </w:tc>
        <w:tc>
          <w:tcPr>
            <w:tcW w:w="880" w:type="dxa"/>
            <w:noWrap w:val="0"/>
            <w:vAlign w:val="center"/>
          </w:tcPr>
          <w:p>
            <w:pPr>
              <w:widowControl/>
              <w:jc w:val="center"/>
              <w:rPr>
                <w:rFonts w:ascii="宋体" w:hAnsi="宋体" w:cs="宋体"/>
                <w:kern w:val="0"/>
                <w:szCs w:val="21"/>
              </w:rPr>
            </w:pPr>
          </w:p>
        </w:tc>
        <w:tc>
          <w:tcPr>
            <w:tcW w:w="1885"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1155" w:hRule="atLeast"/>
        </w:trPr>
        <w:tc>
          <w:tcPr>
            <w:tcW w:w="700" w:type="dxa"/>
            <w:noWrap w:val="0"/>
            <w:vAlign w:val="center"/>
          </w:tcPr>
          <w:p>
            <w:pPr>
              <w:widowControl/>
              <w:adjustRightInd w:val="0"/>
              <w:snapToGrid w:val="0"/>
              <w:spacing w:line="240" w:lineRule="exact"/>
              <w:jc w:val="center"/>
              <w:rPr>
                <w:rFonts w:hint="eastAsia" w:ascii="宋体" w:hAnsi="宋体" w:cs="宋体"/>
                <w:kern w:val="0"/>
                <w:szCs w:val="21"/>
              </w:rPr>
            </w:pPr>
            <w:r>
              <w:rPr>
                <w:rFonts w:hint="eastAsia" w:ascii="宋体" w:hAnsi="宋体" w:cs="宋体"/>
                <w:kern w:val="0"/>
                <w:szCs w:val="21"/>
              </w:rPr>
              <w:t>4</w:t>
            </w:r>
          </w:p>
        </w:tc>
        <w:tc>
          <w:tcPr>
            <w:tcW w:w="1622" w:type="dxa"/>
            <w:gridSpan w:val="2"/>
            <w:noWrap w:val="0"/>
            <w:vAlign w:val="center"/>
          </w:tcPr>
          <w:p>
            <w:pPr>
              <w:widowControl/>
              <w:adjustRightInd w:val="0"/>
              <w:snapToGrid w:val="0"/>
              <w:spacing w:line="240" w:lineRule="exact"/>
              <w:jc w:val="center"/>
              <w:rPr>
                <w:rFonts w:ascii="宋体" w:hAnsi="宋体" w:cs="宋体"/>
                <w:kern w:val="0"/>
                <w:szCs w:val="21"/>
              </w:rPr>
            </w:pPr>
            <w:r>
              <w:rPr>
                <w:rFonts w:hint="eastAsia" w:ascii="宋体" w:hAnsi="宋体" w:cs="宋体"/>
                <w:kern w:val="0"/>
                <w:szCs w:val="21"/>
              </w:rPr>
              <w:t>作业质量</w:t>
            </w:r>
            <w:r>
              <w:rPr>
                <w:rFonts w:hint="eastAsia" w:ascii="宋体" w:hAnsi="宋体" w:cs="宋体"/>
                <w:kern w:val="0"/>
                <w:szCs w:val="21"/>
              </w:rPr>
              <w:br w:type="textWrapping"/>
            </w:r>
            <w:r>
              <w:rPr>
                <w:rFonts w:hint="eastAsia" w:ascii="宋体" w:hAnsi="宋体" w:cs="宋体"/>
                <w:kern w:val="0"/>
                <w:szCs w:val="21"/>
              </w:rPr>
              <w:t>（35分）</w:t>
            </w:r>
          </w:p>
        </w:tc>
        <w:tc>
          <w:tcPr>
            <w:tcW w:w="4140" w:type="dxa"/>
            <w:noWrap w:val="0"/>
            <w:vAlign w:val="center"/>
          </w:tcPr>
          <w:p>
            <w:pPr>
              <w:widowControl/>
              <w:adjustRightInd w:val="0"/>
              <w:snapToGrid w:val="0"/>
              <w:spacing w:line="260" w:lineRule="exact"/>
              <w:jc w:val="left"/>
              <w:rPr>
                <w:rFonts w:hint="eastAsia" w:ascii="宋体" w:hAnsi="宋体" w:cs="宋体"/>
                <w:kern w:val="0"/>
                <w:szCs w:val="21"/>
              </w:rPr>
            </w:pPr>
            <w:r>
              <w:rPr>
                <w:rFonts w:hint="eastAsia" w:ascii="宋体" w:hAnsi="宋体" w:cs="宋体"/>
                <w:kern w:val="0"/>
                <w:szCs w:val="21"/>
              </w:rPr>
              <w:t>　　1、清扫保洁作业质量标准：(1)按建设部二级道路卫生要求，保持路面干净、整洁、清爽，隔离墩下、侧石边不积泥沙；(2)路面无杂草，无零碎建筑垃圾；(2)清扫路段空间窨井、下水道口无垃圾，不堵塞；(4)清扫责任范围内无卫生死角；(5)垃圾房（箱）、果壳筒清理及时，做到不满溢，无“戴帽穿靴”现象；(6)垃圾箱（房），果壳筒周围2-3米内保持清洁卫生，废物箱外观整洁，无污渍、油垢；(7)路面尘砂达到20克以下/M2(含20克)；(8)垃圾运输密闭化，收运后直接运往指定垃圾中转站，严禁作业者随处乱倒或焚烧垃圾，拉运过程中无沿途撒漏；(9)按规定时间上、下班，在作业时间内，作业人员不集聚闲聊，注重自身形象；(10)作业人员必须穿戴安全标识；(11)车辆载运、停放遵守交通规则，做好安全防范工作；(12)垃圾运输车辆车体无损，车容车貌整洁，车辆维修及时，性能良好；(13)服从各项突击性任务和指令，如遇重大活动和重要检查，听从主管单位统一安排和调度；(14)有详细的工作管理制度和具体操作实施方案，如须变动及时上报主管单位；(15)路面每150米距离内不得出现二处以上（含二处）或一处1平方米以上的成堆、袋不规范垃圾堆；(16)在市级及其以上检查考核中，或重大活动期间，被扣分的，加倍扣分； (17) 主干道、次干道、商业街道、巷道（含背街小巷）及小区楼道内无乱贴乱画现象。以上每发生一处扣2分。</w:t>
            </w:r>
            <w:r>
              <w:rPr>
                <w:rFonts w:hint="eastAsia" w:ascii="宋体" w:hAnsi="宋体" w:cs="宋体"/>
                <w:kern w:val="0"/>
                <w:szCs w:val="21"/>
              </w:rPr>
              <w:br w:type="textWrapping"/>
            </w:r>
            <w:r>
              <w:rPr>
                <w:rFonts w:hint="eastAsia" w:ascii="宋体" w:hAnsi="宋体" w:cs="宋体"/>
                <w:kern w:val="0"/>
                <w:szCs w:val="21"/>
              </w:rPr>
              <w:t>　　2、废料收集点清运质量标准：垃圾收集点必须清运干净，垃圾桶外及周围无撒落废料和垃圾。以上每发生一处扣1分。</w:t>
            </w:r>
          </w:p>
          <w:p>
            <w:pPr>
              <w:widowControl/>
              <w:adjustRightInd w:val="0"/>
              <w:snapToGrid w:val="0"/>
              <w:spacing w:line="260" w:lineRule="exact"/>
              <w:jc w:val="left"/>
              <w:rPr>
                <w:rFonts w:hint="eastAsia" w:ascii="宋体" w:hAnsi="宋体" w:cs="宋体"/>
                <w:kern w:val="0"/>
                <w:szCs w:val="21"/>
              </w:rPr>
            </w:pPr>
            <w:r>
              <w:rPr>
                <w:rFonts w:hint="eastAsia" w:ascii="宋体" w:hAnsi="宋体" w:cs="宋体"/>
                <w:kern w:val="0"/>
                <w:szCs w:val="21"/>
              </w:rPr>
              <w:t xml:space="preserve">    3、公厕保洁作业质量标准：未按规定完成一日二次保洁的；四壁、门窗、隔断板、地面不干净，有蛛网、积尘、积水、粪迹、痰迹的；倒粪口、大便糟有积垢、堵塞或化粪池满溢的；小便糟有尿碱，蝇、蛆超标，有明显臭味；厕所周围有垃圾、杂物、环境差的；厕所内设施破损后不及时向镇建设发展办上报的；有群众投诉反映厕所保洁质量差的；造成公厕用水明显上升，当月用水量超过规定数30%的；在公厕保洁时不注意文明作业，未按规定放置保洁牌的。以上各项每发现一处扣2分，一个公厕每次扣分不超过5分。</w:t>
            </w:r>
          </w:p>
        </w:tc>
        <w:tc>
          <w:tcPr>
            <w:tcW w:w="880" w:type="dxa"/>
            <w:noWrap w:val="0"/>
            <w:vAlign w:val="center"/>
          </w:tcPr>
          <w:p>
            <w:pPr>
              <w:widowControl/>
              <w:jc w:val="center"/>
              <w:rPr>
                <w:rFonts w:ascii="宋体" w:hAnsi="宋体" w:cs="宋体"/>
                <w:kern w:val="0"/>
                <w:szCs w:val="21"/>
              </w:rPr>
            </w:pPr>
          </w:p>
        </w:tc>
        <w:tc>
          <w:tcPr>
            <w:tcW w:w="1885" w:type="dxa"/>
            <w:noWrap w:val="0"/>
            <w:vAlign w:val="center"/>
          </w:tcPr>
          <w:p>
            <w:pPr>
              <w:widowControl/>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35" w:hRule="atLeast"/>
        </w:trPr>
        <w:tc>
          <w:tcPr>
            <w:tcW w:w="700" w:type="dxa"/>
            <w:noWrap w:val="0"/>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5</w:t>
            </w:r>
          </w:p>
        </w:tc>
        <w:tc>
          <w:tcPr>
            <w:tcW w:w="1622" w:type="dxa"/>
            <w:gridSpan w:val="2"/>
            <w:noWrap w:val="0"/>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道路果皮箱</w:t>
            </w:r>
            <w:r>
              <w:rPr>
                <w:rFonts w:hint="eastAsia" w:ascii="宋体" w:hAnsi="宋体" w:cs="宋体"/>
                <w:kern w:val="0"/>
                <w:szCs w:val="21"/>
              </w:rPr>
              <w:br w:type="textWrapping"/>
            </w:r>
            <w:r>
              <w:rPr>
                <w:rFonts w:hint="eastAsia" w:ascii="宋体" w:hAnsi="宋体" w:cs="宋体"/>
                <w:kern w:val="0"/>
                <w:szCs w:val="21"/>
              </w:rPr>
              <w:t>清洗保洁质量</w:t>
            </w:r>
            <w:r>
              <w:rPr>
                <w:rFonts w:hint="eastAsia" w:ascii="宋体" w:hAnsi="宋体" w:cs="宋体"/>
                <w:kern w:val="0"/>
                <w:szCs w:val="21"/>
              </w:rPr>
              <w:br w:type="textWrapping"/>
            </w:r>
            <w:r>
              <w:rPr>
                <w:rFonts w:hint="eastAsia" w:ascii="宋体" w:hAnsi="宋体" w:cs="宋体"/>
                <w:kern w:val="0"/>
                <w:szCs w:val="21"/>
              </w:rPr>
              <w:t>（5分）</w:t>
            </w:r>
          </w:p>
        </w:tc>
        <w:tc>
          <w:tcPr>
            <w:tcW w:w="4140" w:type="dxa"/>
            <w:noWrap w:val="0"/>
            <w:vAlign w:val="center"/>
          </w:tcPr>
          <w:p>
            <w:pPr>
              <w:widowControl/>
              <w:adjustRightInd w:val="0"/>
              <w:snapToGrid w:val="0"/>
              <w:jc w:val="left"/>
              <w:rPr>
                <w:rFonts w:ascii="宋体" w:hAnsi="宋体" w:cs="宋体"/>
                <w:kern w:val="0"/>
                <w:szCs w:val="21"/>
              </w:rPr>
            </w:pPr>
            <w:r>
              <w:rPr>
                <w:rFonts w:hint="eastAsia" w:ascii="宋体" w:hAnsi="宋体" w:cs="宋体"/>
                <w:kern w:val="0"/>
                <w:szCs w:val="21"/>
              </w:rPr>
              <w:t>道路两边果皮箱每月至少清洗2次，保持果皮箱内外及地面四周干净清洁，无明显污渍。不达标者每处扣0.1分。</w:t>
            </w:r>
          </w:p>
        </w:tc>
        <w:tc>
          <w:tcPr>
            <w:tcW w:w="880" w:type="dxa"/>
            <w:noWrap w:val="0"/>
            <w:vAlign w:val="center"/>
          </w:tcPr>
          <w:p>
            <w:pPr>
              <w:widowControl/>
              <w:adjustRightInd w:val="0"/>
              <w:snapToGrid w:val="0"/>
              <w:jc w:val="center"/>
              <w:rPr>
                <w:rFonts w:ascii="宋体" w:hAnsi="宋体" w:cs="宋体"/>
                <w:kern w:val="0"/>
                <w:szCs w:val="21"/>
              </w:rPr>
            </w:pPr>
          </w:p>
        </w:tc>
        <w:tc>
          <w:tcPr>
            <w:tcW w:w="1885" w:type="dxa"/>
            <w:noWrap w:val="0"/>
            <w:vAlign w:val="center"/>
          </w:tcPr>
          <w:p>
            <w:pPr>
              <w:widowControl/>
              <w:adjustRightInd w:val="0"/>
              <w:snapToGrid w:val="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866" w:hRule="atLeast"/>
        </w:trPr>
        <w:tc>
          <w:tcPr>
            <w:tcW w:w="700" w:type="dxa"/>
            <w:noWrap w:val="0"/>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6</w:t>
            </w:r>
          </w:p>
        </w:tc>
        <w:tc>
          <w:tcPr>
            <w:tcW w:w="1622" w:type="dxa"/>
            <w:gridSpan w:val="2"/>
            <w:noWrap w:val="0"/>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垃圾处置方式</w:t>
            </w:r>
            <w:r>
              <w:rPr>
                <w:rFonts w:hint="eastAsia" w:ascii="宋体" w:hAnsi="宋体" w:cs="宋体"/>
                <w:kern w:val="0"/>
                <w:szCs w:val="21"/>
              </w:rPr>
              <w:br w:type="textWrapping"/>
            </w:r>
            <w:r>
              <w:rPr>
                <w:rFonts w:hint="eastAsia" w:ascii="宋体" w:hAnsi="宋体" w:cs="宋体"/>
                <w:kern w:val="0"/>
                <w:szCs w:val="21"/>
              </w:rPr>
              <w:t>（5分）</w:t>
            </w:r>
          </w:p>
        </w:tc>
        <w:tc>
          <w:tcPr>
            <w:tcW w:w="4140" w:type="dxa"/>
            <w:noWrap w:val="0"/>
            <w:vAlign w:val="center"/>
          </w:tcPr>
          <w:p>
            <w:pPr>
              <w:widowControl/>
              <w:adjustRightInd w:val="0"/>
              <w:snapToGrid w:val="0"/>
              <w:jc w:val="left"/>
              <w:rPr>
                <w:rFonts w:ascii="宋体" w:hAnsi="宋体" w:cs="宋体"/>
                <w:kern w:val="0"/>
                <w:szCs w:val="21"/>
              </w:rPr>
            </w:pPr>
            <w:r>
              <w:rPr>
                <w:rFonts w:hint="eastAsia" w:ascii="宋体" w:hAnsi="宋体" w:cs="宋体"/>
                <w:kern w:val="0"/>
                <w:szCs w:val="21"/>
              </w:rPr>
              <w:t>道路清扫保洁的垃圾要求运到垃圾房、垃圾堆放点倾倒，堆放点和垃圾房的垃圾必须运到镇垃圾中转点，建筑垃圾必须运到镇垃圾填埋场，在规定地点外倾倒垃圾的，每查实一处扣1分。道路清扫保洁的垃圾不许扫入下水道或倒入绿化带，违者每次扣1分。不许随意焚烧垃圾，违者每次扣3分。</w:t>
            </w:r>
          </w:p>
        </w:tc>
        <w:tc>
          <w:tcPr>
            <w:tcW w:w="880" w:type="dxa"/>
            <w:noWrap w:val="0"/>
            <w:vAlign w:val="center"/>
          </w:tcPr>
          <w:p>
            <w:pPr>
              <w:widowControl/>
              <w:adjustRightInd w:val="0"/>
              <w:snapToGrid w:val="0"/>
              <w:jc w:val="center"/>
              <w:rPr>
                <w:rFonts w:ascii="宋体" w:hAnsi="宋体" w:cs="宋体"/>
                <w:kern w:val="0"/>
                <w:szCs w:val="21"/>
              </w:rPr>
            </w:pPr>
          </w:p>
        </w:tc>
        <w:tc>
          <w:tcPr>
            <w:tcW w:w="1885" w:type="dxa"/>
            <w:noWrap w:val="0"/>
            <w:vAlign w:val="center"/>
          </w:tcPr>
          <w:p>
            <w:pPr>
              <w:widowControl/>
              <w:adjustRightInd w:val="0"/>
              <w:snapToGrid w:val="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05" w:hRule="atLeast"/>
        </w:trPr>
        <w:tc>
          <w:tcPr>
            <w:tcW w:w="700" w:type="dxa"/>
            <w:vMerge w:val="restart"/>
            <w:noWrap w:val="0"/>
            <w:vAlign w:val="center"/>
          </w:tcPr>
          <w:p>
            <w:pPr>
              <w:adjustRightInd w:val="0"/>
              <w:snapToGrid w:val="0"/>
              <w:jc w:val="center"/>
              <w:rPr>
                <w:rFonts w:hint="eastAsia" w:ascii="宋体" w:hAnsi="宋体" w:cs="宋体"/>
                <w:kern w:val="0"/>
                <w:szCs w:val="21"/>
              </w:rPr>
            </w:pPr>
            <w:r>
              <w:rPr>
                <w:rFonts w:hint="eastAsia" w:ascii="宋体" w:hAnsi="宋体" w:cs="宋体"/>
                <w:kern w:val="0"/>
                <w:szCs w:val="21"/>
              </w:rPr>
              <w:t>7</w:t>
            </w:r>
          </w:p>
        </w:tc>
        <w:tc>
          <w:tcPr>
            <w:tcW w:w="1622" w:type="dxa"/>
            <w:gridSpan w:val="2"/>
            <w:vMerge w:val="restart"/>
            <w:noWrap w:val="0"/>
            <w:vAlign w:val="center"/>
          </w:tcPr>
          <w:p>
            <w:pPr>
              <w:spacing w:line="280" w:lineRule="exact"/>
              <w:jc w:val="center"/>
              <w:rPr>
                <w:rFonts w:hint="eastAsia" w:ascii="宋体" w:hAnsi="宋体" w:cs="宋体"/>
                <w:kern w:val="0"/>
                <w:szCs w:val="21"/>
              </w:rPr>
            </w:pPr>
            <w:r>
              <w:rPr>
                <w:rFonts w:hint="eastAsia" w:ascii="宋体" w:hAnsi="宋体"/>
                <w:szCs w:val="21"/>
              </w:rPr>
              <w:t>中转站垃圾清运（10分）</w:t>
            </w:r>
          </w:p>
        </w:tc>
        <w:tc>
          <w:tcPr>
            <w:tcW w:w="4140" w:type="dxa"/>
            <w:noWrap w:val="0"/>
            <w:vAlign w:val="center"/>
          </w:tcPr>
          <w:p>
            <w:pPr>
              <w:widowControl/>
              <w:adjustRightInd w:val="0"/>
              <w:snapToGrid w:val="0"/>
              <w:spacing w:line="240" w:lineRule="exact"/>
              <w:jc w:val="left"/>
              <w:rPr>
                <w:rFonts w:hint="eastAsia" w:ascii="宋体" w:hAnsi="宋体" w:cs="宋体"/>
                <w:kern w:val="0"/>
                <w:szCs w:val="21"/>
              </w:rPr>
            </w:pPr>
            <w:r>
              <w:rPr>
                <w:rFonts w:hint="eastAsia" w:ascii="宋体" w:hAnsi="宋体"/>
                <w:szCs w:val="21"/>
              </w:rPr>
              <w:t>镇级中转站垃圾做到日产日清，中转站周边无二次污染现象，消毒及时：</w:t>
            </w:r>
            <w:r>
              <w:rPr>
                <w:rFonts w:hint="eastAsia" w:ascii="宋体" w:hAnsi="宋体" w:cs="宋体"/>
                <w:kern w:val="0"/>
                <w:szCs w:val="21"/>
              </w:rPr>
              <w:t>清运不及时每发现一处扣4分，二次污染每发现一处扣1分，消毒不及时每次扣1分</w:t>
            </w:r>
          </w:p>
        </w:tc>
        <w:tc>
          <w:tcPr>
            <w:tcW w:w="880" w:type="dxa"/>
            <w:noWrap w:val="0"/>
            <w:vAlign w:val="center"/>
          </w:tcPr>
          <w:p>
            <w:pPr>
              <w:widowControl/>
              <w:adjustRightInd w:val="0"/>
              <w:snapToGrid w:val="0"/>
              <w:jc w:val="center"/>
              <w:rPr>
                <w:rFonts w:ascii="宋体" w:hAnsi="宋体" w:cs="宋体"/>
                <w:kern w:val="0"/>
                <w:szCs w:val="21"/>
              </w:rPr>
            </w:pPr>
          </w:p>
        </w:tc>
        <w:tc>
          <w:tcPr>
            <w:tcW w:w="1885" w:type="dxa"/>
            <w:noWrap w:val="0"/>
            <w:vAlign w:val="center"/>
          </w:tcPr>
          <w:p>
            <w:pPr>
              <w:widowControl/>
              <w:adjustRightInd w:val="0"/>
              <w:snapToGrid w:val="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71" w:hRule="atLeast"/>
        </w:trPr>
        <w:tc>
          <w:tcPr>
            <w:tcW w:w="700" w:type="dxa"/>
            <w:vMerge w:val="continue"/>
            <w:noWrap w:val="0"/>
            <w:vAlign w:val="center"/>
          </w:tcPr>
          <w:p>
            <w:pPr>
              <w:widowControl/>
              <w:adjustRightInd w:val="0"/>
              <w:snapToGrid w:val="0"/>
              <w:jc w:val="center"/>
              <w:rPr>
                <w:rFonts w:hint="eastAsia" w:ascii="宋体" w:hAnsi="宋体" w:cs="宋体"/>
                <w:kern w:val="0"/>
                <w:szCs w:val="21"/>
              </w:rPr>
            </w:pPr>
          </w:p>
        </w:tc>
        <w:tc>
          <w:tcPr>
            <w:tcW w:w="1622" w:type="dxa"/>
            <w:gridSpan w:val="2"/>
            <w:vMerge w:val="continue"/>
            <w:noWrap w:val="0"/>
            <w:vAlign w:val="center"/>
          </w:tcPr>
          <w:p>
            <w:pPr>
              <w:widowControl/>
              <w:spacing w:line="280" w:lineRule="exact"/>
              <w:jc w:val="center"/>
              <w:rPr>
                <w:rFonts w:hint="eastAsia" w:ascii="宋体" w:hAnsi="宋体"/>
                <w:szCs w:val="21"/>
              </w:rPr>
            </w:pPr>
          </w:p>
        </w:tc>
        <w:tc>
          <w:tcPr>
            <w:tcW w:w="4140" w:type="dxa"/>
            <w:noWrap w:val="0"/>
            <w:vAlign w:val="center"/>
          </w:tcPr>
          <w:p>
            <w:pPr>
              <w:widowControl/>
              <w:adjustRightInd w:val="0"/>
              <w:snapToGrid w:val="0"/>
              <w:spacing w:line="240" w:lineRule="exact"/>
              <w:jc w:val="left"/>
              <w:rPr>
                <w:rFonts w:hint="eastAsia" w:ascii="宋体" w:hAnsi="宋体" w:cs="宋体"/>
                <w:kern w:val="0"/>
                <w:szCs w:val="21"/>
              </w:rPr>
            </w:pPr>
            <w:r>
              <w:rPr>
                <w:rFonts w:hint="eastAsia" w:ascii="宋体" w:hAnsi="宋体"/>
                <w:szCs w:val="21"/>
              </w:rPr>
              <w:t>运输途中无抛、洒、漏现象：</w:t>
            </w:r>
            <w:r>
              <w:rPr>
                <w:rFonts w:hint="eastAsia" w:ascii="宋体" w:hAnsi="宋体" w:cs="宋体"/>
                <w:kern w:val="0"/>
                <w:szCs w:val="21"/>
              </w:rPr>
              <w:t>发现一处扣1分</w:t>
            </w:r>
          </w:p>
        </w:tc>
        <w:tc>
          <w:tcPr>
            <w:tcW w:w="880" w:type="dxa"/>
            <w:noWrap w:val="0"/>
            <w:vAlign w:val="center"/>
          </w:tcPr>
          <w:p>
            <w:pPr>
              <w:widowControl/>
              <w:adjustRightInd w:val="0"/>
              <w:snapToGrid w:val="0"/>
              <w:jc w:val="center"/>
              <w:rPr>
                <w:rFonts w:ascii="宋体" w:hAnsi="宋体" w:cs="宋体"/>
                <w:kern w:val="0"/>
                <w:szCs w:val="21"/>
              </w:rPr>
            </w:pPr>
          </w:p>
        </w:tc>
        <w:tc>
          <w:tcPr>
            <w:tcW w:w="1885" w:type="dxa"/>
            <w:noWrap w:val="0"/>
            <w:vAlign w:val="center"/>
          </w:tcPr>
          <w:p>
            <w:pPr>
              <w:widowControl/>
              <w:adjustRightInd w:val="0"/>
              <w:snapToGrid w:val="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450" w:hRule="atLeast"/>
        </w:trPr>
        <w:tc>
          <w:tcPr>
            <w:tcW w:w="700" w:type="dxa"/>
            <w:vMerge w:val="continue"/>
            <w:noWrap w:val="0"/>
            <w:vAlign w:val="center"/>
          </w:tcPr>
          <w:p>
            <w:pPr>
              <w:widowControl/>
              <w:adjustRightInd w:val="0"/>
              <w:snapToGrid w:val="0"/>
              <w:jc w:val="center"/>
              <w:rPr>
                <w:rFonts w:hint="eastAsia" w:ascii="宋体" w:hAnsi="宋体" w:cs="宋体"/>
                <w:kern w:val="0"/>
                <w:szCs w:val="21"/>
              </w:rPr>
            </w:pPr>
          </w:p>
        </w:tc>
        <w:tc>
          <w:tcPr>
            <w:tcW w:w="1622" w:type="dxa"/>
            <w:gridSpan w:val="2"/>
            <w:vMerge w:val="continue"/>
            <w:noWrap w:val="0"/>
            <w:vAlign w:val="center"/>
          </w:tcPr>
          <w:p>
            <w:pPr>
              <w:widowControl/>
              <w:spacing w:line="280" w:lineRule="exact"/>
              <w:jc w:val="center"/>
              <w:rPr>
                <w:rFonts w:hint="eastAsia" w:ascii="宋体" w:hAnsi="宋体"/>
                <w:szCs w:val="21"/>
              </w:rPr>
            </w:pPr>
          </w:p>
        </w:tc>
        <w:tc>
          <w:tcPr>
            <w:tcW w:w="4140" w:type="dxa"/>
            <w:noWrap w:val="0"/>
            <w:vAlign w:val="center"/>
          </w:tcPr>
          <w:p>
            <w:pPr>
              <w:widowControl/>
              <w:adjustRightInd w:val="0"/>
              <w:snapToGrid w:val="0"/>
              <w:spacing w:line="240" w:lineRule="exact"/>
              <w:jc w:val="left"/>
              <w:rPr>
                <w:rFonts w:hint="eastAsia" w:ascii="宋体" w:hAnsi="宋体" w:cs="宋体"/>
                <w:kern w:val="0"/>
                <w:szCs w:val="21"/>
              </w:rPr>
            </w:pPr>
            <w:r>
              <w:rPr>
                <w:rFonts w:hint="eastAsia" w:ascii="宋体" w:hAnsi="宋体"/>
                <w:szCs w:val="21"/>
              </w:rPr>
              <w:t>中转站内无垃圾焚烧现象：</w:t>
            </w:r>
            <w:r>
              <w:rPr>
                <w:rFonts w:hint="eastAsia" w:ascii="宋体" w:hAnsi="宋体" w:cs="宋体"/>
                <w:kern w:val="0"/>
                <w:szCs w:val="21"/>
              </w:rPr>
              <w:t>发现一处扣1.5分</w:t>
            </w:r>
          </w:p>
        </w:tc>
        <w:tc>
          <w:tcPr>
            <w:tcW w:w="880" w:type="dxa"/>
            <w:noWrap w:val="0"/>
            <w:vAlign w:val="center"/>
          </w:tcPr>
          <w:p>
            <w:pPr>
              <w:widowControl/>
              <w:adjustRightInd w:val="0"/>
              <w:snapToGrid w:val="0"/>
              <w:jc w:val="center"/>
              <w:rPr>
                <w:rFonts w:ascii="宋体" w:hAnsi="宋体" w:cs="宋体"/>
                <w:kern w:val="0"/>
                <w:szCs w:val="21"/>
              </w:rPr>
            </w:pPr>
          </w:p>
        </w:tc>
        <w:tc>
          <w:tcPr>
            <w:tcW w:w="1885" w:type="dxa"/>
            <w:noWrap w:val="0"/>
            <w:vAlign w:val="center"/>
          </w:tcPr>
          <w:p>
            <w:pPr>
              <w:widowControl/>
              <w:adjustRightInd w:val="0"/>
              <w:snapToGrid w:val="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18" w:hRule="atLeast"/>
        </w:trPr>
        <w:tc>
          <w:tcPr>
            <w:tcW w:w="700" w:type="dxa"/>
            <w:vMerge w:val="continue"/>
            <w:noWrap w:val="0"/>
            <w:vAlign w:val="center"/>
          </w:tcPr>
          <w:p>
            <w:pPr>
              <w:widowControl/>
              <w:adjustRightInd w:val="0"/>
              <w:snapToGrid w:val="0"/>
              <w:jc w:val="center"/>
              <w:rPr>
                <w:rFonts w:hint="eastAsia" w:ascii="宋体" w:hAnsi="宋体" w:cs="宋体"/>
                <w:kern w:val="0"/>
                <w:szCs w:val="21"/>
              </w:rPr>
            </w:pPr>
          </w:p>
        </w:tc>
        <w:tc>
          <w:tcPr>
            <w:tcW w:w="1622" w:type="dxa"/>
            <w:gridSpan w:val="2"/>
            <w:vMerge w:val="continue"/>
            <w:noWrap w:val="0"/>
            <w:vAlign w:val="center"/>
          </w:tcPr>
          <w:p>
            <w:pPr>
              <w:widowControl/>
              <w:spacing w:line="280" w:lineRule="exact"/>
              <w:jc w:val="center"/>
              <w:rPr>
                <w:rFonts w:hint="eastAsia" w:ascii="宋体" w:hAnsi="宋体"/>
                <w:szCs w:val="21"/>
              </w:rPr>
            </w:pPr>
          </w:p>
        </w:tc>
        <w:tc>
          <w:tcPr>
            <w:tcW w:w="4140" w:type="dxa"/>
            <w:noWrap w:val="0"/>
            <w:vAlign w:val="center"/>
          </w:tcPr>
          <w:p>
            <w:pPr>
              <w:widowControl/>
              <w:adjustRightInd w:val="0"/>
              <w:snapToGrid w:val="0"/>
              <w:spacing w:line="240" w:lineRule="exact"/>
              <w:jc w:val="left"/>
              <w:rPr>
                <w:rFonts w:hint="eastAsia" w:ascii="宋体" w:hAnsi="宋体" w:cs="宋体"/>
                <w:kern w:val="0"/>
                <w:szCs w:val="21"/>
              </w:rPr>
            </w:pPr>
            <w:r>
              <w:rPr>
                <w:rFonts w:hint="eastAsia" w:ascii="宋体" w:hAnsi="宋体"/>
                <w:szCs w:val="21"/>
              </w:rPr>
              <w:t>无群众投诉（包括网络、信访上访、电话投诉等）：</w:t>
            </w:r>
            <w:r>
              <w:rPr>
                <w:rFonts w:hint="eastAsia" w:ascii="宋体" w:hAnsi="宋体" w:cs="宋体"/>
                <w:kern w:val="0"/>
                <w:szCs w:val="21"/>
              </w:rPr>
              <w:t>每一起投诉扣1.5分</w:t>
            </w:r>
          </w:p>
        </w:tc>
        <w:tc>
          <w:tcPr>
            <w:tcW w:w="880" w:type="dxa"/>
            <w:noWrap w:val="0"/>
            <w:vAlign w:val="center"/>
          </w:tcPr>
          <w:p>
            <w:pPr>
              <w:widowControl/>
              <w:adjustRightInd w:val="0"/>
              <w:snapToGrid w:val="0"/>
              <w:jc w:val="center"/>
              <w:rPr>
                <w:rFonts w:ascii="宋体" w:hAnsi="宋体" w:cs="宋体"/>
                <w:kern w:val="0"/>
                <w:szCs w:val="21"/>
              </w:rPr>
            </w:pPr>
          </w:p>
        </w:tc>
        <w:tc>
          <w:tcPr>
            <w:tcW w:w="1885" w:type="dxa"/>
            <w:noWrap w:val="0"/>
            <w:vAlign w:val="center"/>
          </w:tcPr>
          <w:p>
            <w:pPr>
              <w:widowControl/>
              <w:adjustRightInd w:val="0"/>
              <w:snapToGrid w:val="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757" w:hRule="atLeast"/>
        </w:trPr>
        <w:tc>
          <w:tcPr>
            <w:tcW w:w="700" w:type="dxa"/>
            <w:noWrap w:val="0"/>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8</w:t>
            </w:r>
          </w:p>
        </w:tc>
        <w:tc>
          <w:tcPr>
            <w:tcW w:w="1622" w:type="dxa"/>
            <w:gridSpan w:val="2"/>
            <w:noWrap w:val="0"/>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服从工作</w:t>
            </w:r>
            <w:r>
              <w:rPr>
                <w:rFonts w:hint="eastAsia" w:ascii="宋体" w:hAnsi="宋体" w:cs="宋体"/>
                <w:kern w:val="0"/>
                <w:szCs w:val="21"/>
              </w:rPr>
              <w:br w:type="textWrapping"/>
            </w:r>
            <w:r>
              <w:rPr>
                <w:rFonts w:hint="eastAsia" w:ascii="宋体" w:hAnsi="宋体" w:cs="宋体"/>
                <w:kern w:val="0"/>
                <w:szCs w:val="21"/>
              </w:rPr>
              <w:t>安排态度</w:t>
            </w:r>
            <w:r>
              <w:rPr>
                <w:rFonts w:hint="eastAsia" w:ascii="宋体" w:hAnsi="宋体" w:cs="宋体"/>
                <w:kern w:val="0"/>
                <w:szCs w:val="21"/>
              </w:rPr>
              <w:br w:type="textWrapping"/>
            </w:r>
            <w:r>
              <w:rPr>
                <w:rFonts w:hint="eastAsia" w:ascii="宋体" w:hAnsi="宋体" w:cs="宋体"/>
                <w:kern w:val="0"/>
                <w:szCs w:val="21"/>
              </w:rPr>
              <w:t>（5分）</w:t>
            </w:r>
          </w:p>
        </w:tc>
        <w:tc>
          <w:tcPr>
            <w:tcW w:w="4140" w:type="dxa"/>
            <w:noWrap w:val="0"/>
            <w:vAlign w:val="center"/>
          </w:tcPr>
          <w:p>
            <w:pPr>
              <w:widowControl/>
              <w:adjustRightInd w:val="0"/>
              <w:snapToGrid w:val="0"/>
              <w:rPr>
                <w:rFonts w:ascii="宋体" w:hAnsi="宋体" w:cs="宋体"/>
                <w:kern w:val="0"/>
                <w:szCs w:val="21"/>
              </w:rPr>
            </w:pPr>
            <w:r>
              <w:rPr>
                <w:rFonts w:hint="eastAsia" w:ascii="宋体" w:hAnsi="宋体" w:cs="宋体"/>
                <w:kern w:val="0"/>
                <w:szCs w:val="21"/>
              </w:rPr>
              <w:t>有重大节庆活动时，承包公司要顾全大局，服从镇环卫所调度，积极协助做好环境卫生工作。不服从调度的，每次扣4分。</w:t>
            </w:r>
          </w:p>
        </w:tc>
        <w:tc>
          <w:tcPr>
            <w:tcW w:w="880" w:type="dxa"/>
            <w:noWrap w:val="0"/>
            <w:vAlign w:val="center"/>
          </w:tcPr>
          <w:p>
            <w:pPr>
              <w:widowControl/>
              <w:adjustRightInd w:val="0"/>
              <w:snapToGrid w:val="0"/>
              <w:jc w:val="center"/>
              <w:rPr>
                <w:rFonts w:ascii="宋体" w:hAnsi="宋体" w:cs="宋体"/>
                <w:kern w:val="0"/>
                <w:szCs w:val="21"/>
              </w:rPr>
            </w:pPr>
          </w:p>
        </w:tc>
        <w:tc>
          <w:tcPr>
            <w:tcW w:w="1885" w:type="dxa"/>
            <w:noWrap w:val="0"/>
            <w:vAlign w:val="center"/>
          </w:tcPr>
          <w:p>
            <w:pPr>
              <w:widowControl/>
              <w:adjustRightInd w:val="0"/>
              <w:snapToGrid w:val="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995" w:hRule="atLeast"/>
        </w:trPr>
        <w:tc>
          <w:tcPr>
            <w:tcW w:w="700" w:type="dxa"/>
            <w:noWrap w:val="0"/>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9</w:t>
            </w:r>
          </w:p>
        </w:tc>
        <w:tc>
          <w:tcPr>
            <w:tcW w:w="467" w:type="dxa"/>
            <w:vMerge w:val="restart"/>
            <w:noWrap w:val="0"/>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倒扣分</w:t>
            </w:r>
          </w:p>
        </w:tc>
        <w:tc>
          <w:tcPr>
            <w:tcW w:w="1155" w:type="dxa"/>
            <w:noWrap w:val="0"/>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工资福利发放</w:t>
            </w:r>
          </w:p>
        </w:tc>
        <w:tc>
          <w:tcPr>
            <w:tcW w:w="4140" w:type="dxa"/>
            <w:noWrap w:val="0"/>
            <w:vAlign w:val="center"/>
          </w:tcPr>
          <w:p>
            <w:pPr>
              <w:widowControl/>
              <w:adjustRightInd w:val="0"/>
              <w:snapToGrid w:val="0"/>
              <w:jc w:val="left"/>
              <w:rPr>
                <w:rFonts w:ascii="宋体" w:hAnsi="宋体" w:cs="宋体"/>
                <w:kern w:val="0"/>
                <w:szCs w:val="21"/>
              </w:rPr>
            </w:pPr>
            <w:r>
              <w:rPr>
                <w:rFonts w:hint="eastAsia" w:ascii="宋体" w:hAnsi="宋体" w:cs="宋体"/>
                <w:kern w:val="0"/>
                <w:szCs w:val="21"/>
              </w:rPr>
              <w:t>检查发现承包公司未能按合同规定发放工资的，每人次扣5分。不按规定配备劳保及标志服的，每人次扣2－5分。清扫保洁人员投诉承包公司侵害个人利益的，经查实，每人次扣3－5分。</w:t>
            </w:r>
          </w:p>
        </w:tc>
        <w:tc>
          <w:tcPr>
            <w:tcW w:w="880" w:type="dxa"/>
            <w:noWrap w:val="0"/>
            <w:vAlign w:val="center"/>
          </w:tcPr>
          <w:p>
            <w:pPr>
              <w:widowControl/>
              <w:adjustRightInd w:val="0"/>
              <w:snapToGrid w:val="0"/>
              <w:jc w:val="center"/>
              <w:rPr>
                <w:rFonts w:ascii="宋体" w:hAnsi="宋体" w:cs="宋体"/>
                <w:kern w:val="0"/>
                <w:szCs w:val="21"/>
              </w:rPr>
            </w:pPr>
          </w:p>
        </w:tc>
        <w:tc>
          <w:tcPr>
            <w:tcW w:w="1885" w:type="dxa"/>
            <w:noWrap w:val="0"/>
            <w:vAlign w:val="center"/>
          </w:tcPr>
          <w:p>
            <w:pPr>
              <w:widowControl/>
              <w:adjustRightInd w:val="0"/>
              <w:snapToGrid w:val="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540" w:hRule="atLeast"/>
        </w:trPr>
        <w:tc>
          <w:tcPr>
            <w:tcW w:w="700" w:type="dxa"/>
            <w:noWrap w:val="0"/>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10</w:t>
            </w:r>
          </w:p>
        </w:tc>
        <w:tc>
          <w:tcPr>
            <w:tcW w:w="467" w:type="dxa"/>
            <w:vMerge w:val="continue"/>
            <w:noWrap w:val="0"/>
            <w:vAlign w:val="center"/>
          </w:tcPr>
          <w:p>
            <w:pPr>
              <w:widowControl/>
              <w:adjustRightInd w:val="0"/>
              <w:snapToGrid w:val="0"/>
              <w:jc w:val="center"/>
              <w:rPr>
                <w:rFonts w:hint="eastAsia" w:ascii="宋体" w:hAnsi="宋体" w:cs="宋体"/>
                <w:kern w:val="0"/>
                <w:szCs w:val="21"/>
              </w:rPr>
            </w:pPr>
          </w:p>
        </w:tc>
        <w:tc>
          <w:tcPr>
            <w:tcW w:w="1155" w:type="dxa"/>
            <w:noWrap w:val="0"/>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上级督办通报</w:t>
            </w:r>
            <w:r>
              <w:rPr>
                <w:rFonts w:hint="eastAsia" w:ascii="宋体" w:hAnsi="宋体" w:cs="宋体"/>
                <w:kern w:val="0"/>
                <w:szCs w:val="21"/>
              </w:rPr>
              <w:br w:type="textWrapping"/>
            </w:r>
          </w:p>
        </w:tc>
        <w:tc>
          <w:tcPr>
            <w:tcW w:w="4140" w:type="dxa"/>
            <w:noWrap w:val="0"/>
            <w:vAlign w:val="center"/>
          </w:tcPr>
          <w:p>
            <w:pPr>
              <w:widowControl/>
              <w:adjustRightInd w:val="0"/>
              <w:snapToGrid w:val="0"/>
              <w:rPr>
                <w:rFonts w:ascii="宋体" w:hAnsi="宋体" w:cs="宋体"/>
                <w:kern w:val="0"/>
                <w:szCs w:val="21"/>
              </w:rPr>
            </w:pPr>
            <w:r>
              <w:rPr>
                <w:rFonts w:hint="eastAsia" w:ascii="宋体" w:hAnsi="宋体" w:cs="宋体"/>
                <w:kern w:val="0"/>
                <w:szCs w:val="21"/>
              </w:rPr>
              <w:t>因作业质量差被市新农办及同级或以上行政管理部门通报批评的，每次扣3-5分。被上级督办经查实的，每次扣3-5分，重复督办的，加倍扣分。</w:t>
            </w:r>
          </w:p>
        </w:tc>
        <w:tc>
          <w:tcPr>
            <w:tcW w:w="880" w:type="dxa"/>
            <w:noWrap w:val="0"/>
            <w:vAlign w:val="center"/>
          </w:tcPr>
          <w:p>
            <w:pPr>
              <w:widowControl/>
              <w:adjustRightInd w:val="0"/>
              <w:snapToGrid w:val="0"/>
              <w:jc w:val="center"/>
              <w:rPr>
                <w:rFonts w:ascii="宋体" w:hAnsi="宋体" w:cs="宋体"/>
                <w:kern w:val="0"/>
                <w:szCs w:val="21"/>
              </w:rPr>
            </w:pPr>
          </w:p>
        </w:tc>
        <w:tc>
          <w:tcPr>
            <w:tcW w:w="1885" w:type="dxa"/>
            <w:noWrap w:val="0"/>
            <w:vAlign w:val="center"/>
          </w:tcPr>
          <w:p>
            <w:pPr>
              <w:widowControl/>
              <w:adjustRightInd w:val="0"/>
              <w:snapToGrid w:val="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75" w:hRule="atLeast"/>
        </w:trPr>
        <w:tc>
          <w:tcPr>
            <w:tcW w:w="700" w:type="dxa"/>
            <w:noWrap w:val="0"/>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11</w:t>
            </w:r>
          </w:p>
        </w:tc>
        <w:tc>
          <w:tcPr>
            <w:tcW w:w="467" w:type="dxa"/>
            <w:vMerge w:val="continue"/>
            <w:noWrap w:val="0"/>
            <w:vAlign w:val="center"/>
          </w:tcPr>
          <w:p>
            <w:pPr>
              <w:widowControl/>
              <w:adjustRightInd w:val="0"/>
              <w:snapToGrid w:val="0"/>
              <w:jc w:val="center"/>
              <w:rPr>
                <w:rFonts w:hint="eastAsia" w:ascii="宋体" w:hAnsi="宋体" w:cs="宋体"/>
                <w:kern w:val="0"/>
                <w:szCs w:val="21"/>
              </w:rPr>
            </w:pPr>
          </w:p>
        </w:tc>
        <w:tc>
          <w:tcPr>
            <w:tcW w:w="1155" w:type="dxa"/>
            <w:noWrap w:val="0"/>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新闻媒体曝光</w:t>
            </w:r>
          </w:p>
        </w:tc>
        <w:tc>
          <w:tcPr>
            <w:tcW w:w="4140" w:type="dxa"/>
            <w:noWrap w:val="0"/>
            <w:vAlign w:val="center"/>
          </w:tcPr>
          <w:p>
            <w:pPr>
              <w:widowControl/>
              <w:adjustRightInd w:val="0"/>
              <w:snapToGrid w:val="0"/>
              <w:jc w:val="left"/>
              <w:rPr>
                <w:rFonts w:ascii="宋体" w:hAnsi="宋体" w:cs="宋体"/>
                <w:kern w:val="0"/>
                <w:szCs w:val="21"/>
              </w:rPr>
            </w:pPr>
            <w:r>
              <w:rPr>
                <w:rFonts w:hint="eastAsia" w:ascii="宋体" w:hAnsi="宋体" w:cs="宋体"/>
                <w:kern w:val="0"/>
                <w:szCs w:val="21"/>
              </w:rPr>
              <w:t>被报纸、电视、网络等新闻媒体曝光作业质量差造成负面影响的，经查实每次扣3－5分。</w:t>
            </w:r>
          </w:p>
        </w:tc>
        <w:tc>
          <w:tcPr>
            <w:tcW w:w="880" w:type="dxa"/>
            <w:noWrap w:val="0"/>
            <w:vAlign w:val="center"/>
          </w:tcPr>
          <w:p>
            <w:pPr>
              <w:widowControl/>
              <w:adjustRightInd w:val="0"/>
              <w:snapToGrid w:val="0"/>
              <w:jc w:val="center"/>
              <w:rPr>
                <w:rFonts w:ascii="宋体" w:hAnsi="宋体" w:cs="宋体"/>
                <w:kern w:val="0"/>
                <w:szCs w:val="21"/>
              </w:rPr>
            </w:pPr>
          </w:p>
        </w:tc>
        <w:tc>
          <w:tcPr>
            <w:tcW w:w="1885" w:type="dxa"/>
            <w:noWrap w:val="0"/>
            <w:vAlign w:val="center"/>
          </w:tcPr>
          <w:p>
            <w:pPr>
              <w:widowControl/>
              <w:adjustRightInd w:val="0"/>
              <w:snapToGrid w:val="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700" w:type="dxa"/>
            <w:noWrap w:val="0"/>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12</w:t>
            </w:r>
          </w:p>
        </w:tc>
        <w:tc>
          <w:tcPr>
            <w:tcW w:w="467" w:type="dxa"/>
            <w:vMerge w:val="continue"/>
            <w:noWrap w:val="0"/>
            <w:vAlign w:val="center"/>
          </w:tcPr>
          <w:p>
            <w:pPr>
              <w:widowControl/>
              <w:adjustRightInd w:val="0"/>
              <w:snapToGrid w:val="0"/>
              <w:jc w:val="center"/>
              <w:rPr>
                <w:rFonts w:hint="eastAsia" w:ascii="宋体" w:hAnsi="宋体" w:cs="宋体"/>
                <w:kern w:val="0"/>
                <w:szCs w:val="21"/>
              </w:rPr>
            </w:pPr>
          </w:p>
        </w:tc>
        <w:tc>
          <w:tcPr>
            <w:tcW w:w="1155" w:type="dxa"/>
            <w:noWrap w:val="0"/>
            <w:vAlign w:val="center"/>
          </w:tcPr>
          <w:p>
            <w:pPr>
              <w:widowControl/>
              <w:adjustRightInd w:val="0"/>
              <w:snapToGrid w:val="0"/>
              <w:jc w:val="center"/>
              <w:rPr>
                <w:rFonts w:ascii="宋体" w:hAnsi="宋体" w:cs="宋体"/>
                <w:kern w:val="0"/>
                <w:szCs w:val="21"/>
              </w:rPr>
            </w:pPr>
            <w:r>
              <w:rPr>
                <w:rFonts w:hint="eastAsia" w:ascii="宋体" w:hAnsi="宋体" w:cs="宋体"/>
                <w:kern w:val="0"/>
                <w:szCs w:val="21"/>
              </w:rPr>
              <w:t>群众投诉</w:t>
            </w:r>
            <w:r>
              <w:rPr>
                <w:rFonts w:hint="eastAsia" w:ascii="宋体" w:hAnsi="宋体" w:cs="宋体"/>
                <w:kern w:val="0"/>
                <w:szCs w:val="21"/>
              </w:rPr>
              <w:br w:type="textWrapping"/>
            </w:r>
          </w:p>
        </w:tc>
        <w:tc>
          <w:tcPr>
            <w:tcW w:w="4140" w:type="dxa"/>
            <w:noWrap w:val="0"/>
            <w:vAlign w:val="center"/>
          </w:tcPr>
          <w:p>
            <w:pPr>
              <w:widowControl/>
              <w:adjustRightInd w:val="0"/>
              <w:snapToGrid w:val="0"/>
              <w:jc w:val="left"/>
              <w:rPr>
                <w:rFonts w:ascii="宋体" w:hAnsi="宋体" w:cs="宋体"/>
                <w:kern w:val="0"/>
                <w:szCs w:val="21"/>
              </w:rPr>
            </w:pPr>
            <w:r>
              <w:rPr>
                <w:rFonts w:hint="eastAsia" w:ascii="宋体" w:hAnsi="宋体" w:cs="宋体"/>
                <w:kern w:val="0"/>
                <w:szCs w:val="21"/>
              </w:rPr>
              <w:t>被群众投诉作业质量差等造成负面影响的，经查实每次扣2－5分。</w:t>
            </w:r>
          </w:p>
        </w:tc>
        <w:tc>
          <w:tcPr>
            <w:tcW w:w="880" w:type="dxa"/>
            <w:noWrap w:val="0"/>
            <w:vAlign w:val="center"/>
          </w:tcPr>
          <w:p>
            <w:pPr>
              <w:widowControl/>
              <w:adjustRightInd w:val="0"/>
              <w:snapToGrid w:val="0"/>
              <w:jc w:val="center"/>
              <w:rPr>
                <w:rFonts w:ascii="宋体" w:hAnsi="宋体" w:cs="宋体"/>
                <w:kern w:val="0"/>
                <w:szCs w:val="21"/>
              </w:rPr>
            </w:pPr>
          </w:p>
        </w:tc>
        <w:tc>
          <w:tcPr>
            <w:tcW w:w="1885" w:type="dxa"/>
            <w:noWrap w:val="0"/>
            <w:vAlign w:val="center"/>
          </w:tcPr>
          <w:p>
            <w:pPr>
              <w:widowControl/>
              <w:adjustRightInd w:val="0"/>
              <w:snapToGrid w:val="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700" w:type="dxa"/>
            <w:noWrap w:val="0"/>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13</w:t>
            </w:r>
          </w:p>
        </w:tc>
        <w:tc>
          <w:tcPr>
            <w:tcW w:w="467" w:type="dxa"/>
            <w:vMerge w:val="restart"/>
            <w:noWrap w:val="0"/>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附加分</w:t>
            </w:r>
          </w:p>
        </w:tc>
        <w:tc>
          <w:tcPr>
            <w:tcW w:w="1155" w:type="dxa"/>
            <w:noWrap w:val="0"/>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创卫工作</w:t>
            </w:r>
          </w:p>
        </w:tc>
        <w:tc>
          <w:tcPr>
            <w:tcW w:w="4140" w:type="dxa"/>
            <w:noWrap w:val="0"/>
            <w:vAlign w:val="center"/>
          </w:tcPr>
          <w:p>
            <w:pPr>
              <w:widowControl/>
              <w:adjustRightInd w:val="0"/>
              <w:snapToGrid w:val="0"/>
              <w:jc w:val="left"/>
              <w:rPr>
                <w:rFonts w:hint="eastAsia" w:ascii="宋体" w:hAnsi="宋体" w:cs="宋体"/>
                <w:kern w:val="0"/>
                <w:szCs w:val="21"/>
              </w:rPr>
            </w:pPr>
            <w:r>
              <w:rPr>
                <w:rFonts w:hint="eastAsia" w:ascii="宋体" w:hAnsi="宋体"/>
                <w:szCs w:val="21"/>
              </w:rPr>
              <w:t>在创建上级卫生单位和文明城市中物业管理方面成绩显著的，当月加5—10分。</w:t>
            </w:r>
          </w:p>
        </w:tc>
        <w:tc>
          <w:tcPr>
            <w:tcW w:w="880" w:type="dxa"/>
            <w:noWrap w:val="0"/>
            <w:vAlign w:val="center"/>
          </w:tcPr>
          <w:p>
            <w:pPr>
              <w:widowControl/>
              <w:adjustRightInd w:val="0"/>
              <w:snapToGrid w:val="0"/>
              <w:jc w:val="center"/>
              <w:rPr>
                <w:rFonts w:ascii="宋体" w:hAnsi="宋体" w:cs="宋体"/>
                <w:kern w:val="0"/>
                <w:szCs w:val="21"/>
              </w:rPr>
            </w:pPr>
          </w:p>
        </w:tc>
        <w:tc>
          <w:tcPr>
            <w:tcW w:w="1885" w:type="dxa"/>
            <w:noWrap w:val="0"/>
            <w:vAlign w:val="center"/>
          </w:tcPr>
          <w:p>
            <w:pPr>
              <w:widowControl/>
              <w:adjustRightInd w:val="0"/>
              <w:snapToGrid w:val="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700" w:type="dxa"/>
            <w:noWrap w:val="0"/>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14</w:t>
            </w:r>
          </w:p>
        </w:tc>
        <w:tc>
          <w:tcPr>
            <w:tcW w:w="467" w:type="dxa"/>
            <w:vMerge w:val="continue"/>
            <w:noWrap w:val="0"/>
            <w:vAlign w:val="center"/>
          </w:tcPr>
          <w:p>
            <w:pPr>
              <w:widowControl/>
              <w:adjustRightInd w:val="0"/>
              <w:snapToGrid w:val="0"/>
              <w:jc w:val="center"/>
              <w:rPr>
                <w:rFonts w:hint="eastAsia" w:ascii="宋体" w:hAnsi="宋体" w:cs="宋体"/>
                <w:kern w:val="0"/>
                <w:szCs w:val="21"/>
              </w:rPr>
            </w:pPr>
          </w:p>
        </w:tc>
        <w:tc>
          <w:tcPr>
            <w:tcW w:w="1155" w:type="dxa"/>
            <w:noWrap w:val="0"/>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上级表彰</w:t>
            </w:r>
          </w:p>
        </w:tc>
        <w:tc>
          <w:tcPr>
            <w:tcW w:w="4140" w:type="dxa"/>
            <w:noWrap w:val="0"/>
            <w:vAlign w:val="center"/>
          </w:tcPr>
          <w:p>
            <w:pPr>
              <w:widowControl/>
              <w:adjustRightInd w:val="0"/>
              <w:snapToGrid w:val="0"/>
              <w:jc w:val="left"/>
              <w:rPr>
                <w:rFonts w:hint="eastAsia" w:ascii="宋体" w:hAnsi="宋体" w:cs="宋体"/>
                <w:kern w:val="0"/>
                <w:szCs w:val="21"/>
              </w:rPr>
            </w:pPr>
            <w:r>
              <w:rPr>
                <w:rFonts w:hint="eastAsia" w:ascii="宋体" w:hAnsi="宋体"/>
                <w:szCs w:val="21"/>
              </w:rPr>
              <w:t>凡物业管理科学规范，受到区级及以上有关行业主管部门表彰、表扬的，当月加5—10分。</w:t>
            </w:r>
          </w:p>
        </w:tc>
        <w:tc>
          <w:tcPr>
            <w:tcW w:w="880" w:type="dxa"/>
            <w:noWrap w:val="0"/>
            <w:vAlign w:val="center"/>
          </w:tcPr>
          <w:p>
            <w:pPr>
              <w:widowControl/>
              <w:adjustRightInd w:val="0"/>
              <w:snapToGrid w:val="0"/>
              <w:jc w:val="center"/>
              <w:rPr>
                <w:rFonts w:ascii="宋体" w:hAnsi="宋体" w:cs="宋体"/>
                <w:kern w:val="0"/>
                <w:szCs w:val="21"/>
              </w:rPr>
            </w:pPr>
          </w:p>
        </w:tc>
        <w:tc>
          <w:tcPr>
            <w:tcW w:w="1885" w:type="dxa"/>
            <w:noWrap w:val="0"/>
            <w:vAlign w:val="center"/>
          </w:tcPr>
          <w:p>
            <w:pPr>
              <w:widowControl/>
              <w:adjustRightInd w:val="0"/>
              <w:snapToGrid w:val="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700" w:type="dxa"/>
            <w:noWrap w:val="0"/>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15</w:t>
            </w:r>
          </w:p>
        </w:tc>
        <w:tc>
          <w:tcPr>
            <w:tcW w:w="467" w:type="dxa"/>
            <w:vMerge w:val="continue"/>
            <w:noWrap w:val="0"/>
            <w:vAlign w:val="center"/>
          </w:tcPr>
          <w:p>
            <w:pPr>
              <w:widowControl/>
              <w:adjustRightInd w:val="0"/>
              <w:snapToGrid w:val="0"/>
              <w:jc w:val="center"/>
              <w:rPr>
                <w:rFonts w:hint="eastAsia" w:ascii="宋体" w:hAnsi="宋体" w:cs="宋体"/>
                <w:kern w:val="0"/>
                <w:szCs w:val="21"/>
              </w:rPr>
            </w:pPr>
          </w:p>
        </w:tc>
        <w:tc>
          <w:tcPr>
            <w:tcW w:w="1155" w:type="dxa"/>
            <w:noWrap w:val="0"/>
            <w:vAlign w:val="center"/>
          </w:tcPr>
          <w:p>
            <w:pPr>
              <w:widowControl/>
              <w:adjustRightInd w:val="0"/>
              <w:snapToGrid w:val="0"/>
              <w:jc w:val="center"/>
              <w:rPr>
                <w:rFonts w:hint="eastAsia" w:ascii="宋体" w:hAnsi="宋体" w:cs="宋体"/>
                <w:kern w:val="0"/>
                <w:szCs w:val="21"/>
              </w:rPr>
            </w:pPr>
            <w:r>
              <w:rPr>
                <w:rFonts w:hint="eastAsia" w:ascii="宋体" w:hAnsi="宋体" w:cs="宋体"/>
                <w:kern w:val="0"/>
                <w:szCs w:val="21"/>
              </w:rPr>
              <w:t>工作实绩</w:t>
            </w:r>
          </w:p>
        </w:tc>
        <w:tc>
          <w:tcPr>
            <w:tcW w:w="4140" w:type="dxa"/>
            <w:noWrap w:val="0"/>
            <w:vAlign w:val="center"/>
          </w:tcPr>
          <w:p>
            <w:pPr>
              <w:widowControl/>
              <w:adjustRightInd w:val="0"/>
              <w:snapToGrid w:val="0"/>
              <w:jc w:val="left"/>
              <w:rPr>
                <w:rFonts w:hint="eastAsia" w:ascii="宋体" w:hAnsi="宋体" w:cs="宋体"/>
                <w:kern w:val="0"/>
                <w:szCs w:val="21"/>
              </w:rPr>
            </w:pPr>
            <w:r>
              <w:rPr>
                <w:rFonts w:hint="eastAsia" w:ascii="宋体" w:hAnsi="宋体"/>
                <w:szCs w:val="21"/>
              </w:rPr>
              <w:t>其他经下管环境卫生工作领导小组认定可以加分的事项，按情况予以加分。</w:t>
            </w:r>
          </w:p>
        </w:tc>
        <w:tc>
          <w:tcPr>
            <w:tcW w:w="880" w:type="dxa"/>
            <w:noWrap w:val="0"/>
            <w:vAlign w:val="center"/>
          </w:tcPr>
          <w:p>
            <w:pPr>
              <w:widowControl/>
              <w:adjustRightInd w:val="0"/>
              <w:snapToGrid w:val="0"/>
              <w:jc w:val="center"/>
              <w:rPr>
                <w:rFonts w:ascii="宋体" w:hAnsi="宋体" w:cs="宋体"/>
                <w:kern w:val="0"/>
                <w:szCs w:val="21"/>
              </w:rPr>
            </w:pPr>
          </w:p>
        </w:tc>
        <w:tc>
          <w:tcPr>
            <w:tcW w:w="1885" w:type="dxa"/>
            <w:noWrap w:val="0"/>
            <w:vAlign w:val="center"/>
          </w:tcPr>
          <w:p>
            <w:pPr>
              <w:widowControl/>
              <w:adjustRightInd w:val="0"/>
              <w:snapToGrid w:val="0"/>
              <w:jc w:val="center"/>
              <w:rPr>
                <w:rFonts w:ascii="宋体" w:hAnsi="宋体" w:cs="宋体"/>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wBefore w:w="0" w:type="dxa"/>
          <w:wAfter w:w="0" w:type="dxa"/>
          <w:trHeight w:val="660" w:hRule="atLeast"/>
        </w:trPr>
        <w:tc>
          <w:tcPr>
            <w:tcW w:w="700" w:type="dxa"/>
            <w:noWrap w:val="0"/>
            <w:vAlign w:val="center"/>
          </w:tcPr>
          <w:p>
            <w:pPr>
              <w:widowControl/>
              <w:adjustRightInd w:val="0"/>
              <w:snapToGrid w:val="0"/>
              <w:jc w:val="center"/>
              <w:rPr>
                <w:rFonts w:hint="default" w:ascii="宋体" w:hAnsi="宋体" w:eastAsia="宋体" w:cs="宋体"/>
                <w:color w:val="FF0000"/>
                <w:kern w:val="0"/>
                <w:szCs w:val="21"/>
                <w:lang w:val="en-US" w:eastAsia="zh-CN"/>
              </w:rPr>
            </w:pPr>
            <w:r>
              <w:rPr>
                <w:rFonts w:hint="eastAsia" w:ascii="宋体" w:hAnsi="宋体" w:cs="宋体"/>
                <w:color w:val="FF0000"/>
                <w:kern w:val="0"/>
                <w:szCs w:val="21"/>
                <w:lang w:val="en-US" w:eastAsia="zh-CN"/>
              </w:rPr>
              <w:t>16</w:t>
            </w:r>
          </w:p>
        </w:tc>
        <w:tc>
          <w:tcPr>
            <w:tcW w:w="467" w:type="dxa"/>
            <w:noWrap w:val="0"/>
            <w:vAlign w:val="center"/>
          </w:tcPr>
          <w:p>
            <w:pPr>
              <w:widowControl/>
              <w:adjustRightInd w:val="0"/>
              <w:snapToGrid w:val="0"/>
              <w:jc w:val="center"/>
              <w:rPr>
                <w:rFonts w:hint="eastAsia" w:ascii="宋体" w:hAnsi="宋体" w:eastAsia="宋体" w:cs="宋体"/>
                <w:color w:val="FF0000"/>
                <w:kern w:val="0"/>
                <w:szCs w:val="21"/>
                <w:lang w:val="en-US" w:eastAsia="zh-CN"/>
              </w:rPr>
            </w:pPr>
            <w:r>
              <w:rPr>
                <w:rFonts w:hint="eastAsia" w:ascii="宋体" w:hAnsi="宋体" w:cs="宋体"/>
                <w:color w:val="FF0000"/>
                <w:kern w:val="0"/>
                <w:szCs w:val="21"/>
                <w:lang w:val="en-US" w:eastAsia="zh-CN"/>
              </w:rPr>
              <w:t>扣款项</w:t>
            </w:r>
          </w:p>
        </w:tc>
        <w:tc>
          <w:tcPr>
            <w:tcW w:w="1155" w:type="dxa"/>
            <w:noWrap w:val="0"/>
            <w:vAlign w:val="center"/>
          </w:tcPr>
          <w:p>
            <w:pPr>
              <w:widowControl/>
              <w:adjustRightInd w:val="0"/>
              <w:snapToGrid w:val="0"/>
              <w:jc w:val="center"/>
              <w:rPr>
                <w:rFonts w:hint="eastAsia" w:ascii="宋体" w:hAnsi="宋体" w:eastAsia="宋体" w:cs="宋体"/>
                <w:color w:val="FF0000"/>
                <w:kern w:val="0"/>
                <w:szCs w:val="21"/>
                <w:lang w:eastAsia="zh-CN"/>
              </w:rPr>
            </w:pPr>
            <w:r>
              <w:rPr>
                <w:rFonts w:hint="eastAsia" w:ascii="宋体" w:hAnsi="宋体" w:cs="宋体"/>
                <w:color w:val="FF0000"/>
                <w:kern w:val="0"/>
                <w:szCs w:val="21"/>
                <w:lang w:eastAsia="zh-CN"/>
              </w:rPr>
              <w:t>垃圾分类</w:t>
            </w:r>
          </w:p>
        </w:tc>
        <w:tc>
          <w:tcPr>
            <w:tcW w:w="4140" w:type="dxa"/>
            <w:noWrap w:val="0"/>
            <w:vAlign w:val="center"/>
          </w:tcPr>
          <w:p>
            <w:pPr>
              <w:widowControl/>
              <w:adjustRightInd w:val="0"/>
              <w:snapToGrid w:val="0"/>
              <w:jc w:val="left"/>
              <w:rPr>
                <w:rFonts w:hint="eastAsia" w:ascii="宋体" w:hAnsi="宋体" w:eastAsia="宋体"/>
                <w:color w:val="FF0000"/>
                <w:szCs w:val="21"/>
                <w:lang w:eastAsia="zh-CN"/>
              </w:rPr>
            </w:pPr>
            <w:r>
              <w:rPr>
                <w:rFonts w:hint="eastAsia" w:ascii="宋体" w:hAnsi="宋体"/>
                <w:color w:val="FF0000"/>
                <w:szCs w:val="21"/>
                <w:lang w:eastAsia="zh-CN"/>
              </w:rPr>
              <w:t>物业管理单位未按要求</w:t>
            </w:r>
            <w:r>
              <w:rPr>
                <w:rFonts w:hint="eastAsia" w:ascii="宋体" w:hAnsi="宋体"/>
                <w:color w:val="FF0000"/>
                <w:szCs w:val="21"/>
              </w:rPr>
              <w:t>放</w:t>
            </w:r>
            <w:r>
              <w:rPr>
                <w:rFonts w:hint="eastAsia" w:ascii="宋体" w:hAnsi="宋体"/>
                <w:color w:val="FF0000"/>
                <w:szCs w:val="21"/>
                <w:lang w:eastAsia="zh-CN"/>
              </w:rPr>
              <w:t>置</w:t>
            </w:r>
            <w:r>
              <w:rPr>
                <w:rFonts w:hint="eastAsia" w:ascii="宋体" w:hAnsi="宋体"/>
                <w:color w:val="FF0000"/>
                <w:szCs w:val="21"/>
              </w:rPr>
              <w:t>垃圾分类桶，导致下管镇在区检查考核时候扣分的，扣分一次减200费用</w:t>
            </w:r>
            <w:r>
              <w:rPr>
                <w:rFonts w:hint="eastAsia" w:ascii="宋体" w:hAnsi="宋体"/>
                <w:color w:val="FF0000"/>
                <w:szCs w:val="21"/>
                <w:lang w:eastAsia="zh-CN"/>
              </w:rPr>
              <w:t>。</w:t>
            </w:r>
          </w:p>
        </w:tc>
        <w:tc>
          <w:tcPr>
            <w:tcW w:w="880" w:type="dxa"/>
            <w:noWrap w:val="0"/>
            <w:vAlign w:val="center"/>
          </w:tcPr>
          <w:p>
            <w:pPr>
              <w:widowControl/>
              <w:adjustRightInd w:val="0"/>
              <w:snapToGrid w:val="0"/>
              <w:jc w:val="center"/>
              <w:rPr>
                <w:rFonts w:ascii="宋体" w:hAnsi="宋体" w:cs="宋体"/>
                <w:color w:val="FF0000"/>
                <w:kern w:val="0"/>
                <w:szCs w:val="21"/>
              </w:rPr>
            </w:pPr>
          </w:p>
        </w:tc>
        <w:tc>
          <w:tcPr>
            <w:tcW w:w="1885" w:type="dxa"/>
            <w:noWrap w:val="0"/>
            <w:vAlign w:val="center"/>
          </w:tcPr>
          <w:p>
            <w:pPr>
              <w:widowControl/>
              <w:adjustRightInd w:val="0"/>
              <w:snapToGrid w:val="0"/>
              <w:jc w:val="center"/>
              <w:rPr>
                <w:rFonts w:ascii="宋体" w:hAnsi="宋体" w:cs="宋体"/>
                <w:color w:val="FF0000"/>
                <w:kern w:val="0"/>
                <w:szCs w:val="21"/>
              </w:rPr>
            </w:pPr>
          </w:p>
        </w:tc>
      </w:tr>
    </w:tbl>
    <w:p>
      <w:pPr>
        <w:pStyle w:val="3"/>
        <w:numPr>
          <w:ilvl w:val="0"/>
          <w:numId w:val="0"/>
        </w:numPr>
        <w:ind w:leftChars="0"/>
        <w:jc w:val="center"/>
        <w:rPr>
          <w:rFonts w:hint="eastAsia"/>
        </w:rPr>
      </w:pPr>
      <w:bookmarkStart w:id="11" w:name="_Toc5971"/>
      <w:bookmarkStart w:id="12" w:name="_Toc482687022"/>
    </w:p>
    <w:p>
      <w:pPr>
        <w:pStyle w:val="3"/>
        <w:numPr>
          <w:ilvl w:val="0"/>
          <w:numId w:val="0"/>
        </w:numPr>
        <w:ind w:leftChars="0"/>
        <w:jc w:val="center"/>
        <w:rPr>
          <w:rFonts w:hint="eastAsia"/>
        </w:rPr>
      </w:pPr>
    </w:p>
    <w:p>
      <w:pPr>
        <w:pStyle w:val="4"/>
        <w:rPr>
          <w:rFonts w:hint="eastAsia"/>
        </w:rPr>
      </w:pPr>
    </w:p>
    <w:p>
      <w:pPr>
        <w:pStyle w:val="4"/>
        <w:rPr>
          <w:rFonts w:hint="eastAsia"/>
        </w:rPr>
      </w:pPr>
    </w:p>
    <w:p>
      <w:pPr>
        <w:pStyle w:val="4"/>
        <w:rPr>
          <w:rFonts w:hint="eastAsia"/>
        </w:rPr>
      </w:pPr>
    </w:p>
    <w:p>
      <w:pPr>
        <w:pStyle w:val="3"/>
        <w:numPr>
          <w:ilvl w:val="0"/>
          <w:numId w:val="0"/>
        </w:numPr>
        <w:ind w:leftChars="0"/>
        <w:jc w:val="center"/>
        <w:rPr>
          <w:rFonts w:hint="eastAsia"/>
          <w:szCs w:val="28"/>
        </w:rPr>
      </w:pPr>
      <w:r>
        <w:rPr>
          <w:rFonts w:hint="eastAsia"/>
        </w:rPr>
        <w:t>第四章考核办法</w:t>
      </w:r>
      <w:bookmarkEnd w:id="10"/>
      <w:bookmarkEnd w:id="11"/>
      <w:bookmarkEnd w:id="12"/>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sz w:val="24"/>
        </w:rPr>
      </w:pPr>
      <w:r>
        <w:rPr>
          <w:rFonts w:hint="eastAsia" w:ascii="宋体" w:hAnsi="宋体"/>
          <w:sz w:val="24"/>
        </w:rPr>
        <w:t>为进一步加强</w:t>
      </w:r>
      <w:r>
        <w:rPr>
          <w:rFonts w:hint="eastAsia" w:ascii="宋体" w:hAnsi="宋体" w:cs="宋体"/>
          <w:bCs/>
          <w:kern w:val="0"/>
          <w:sz w:val="24"/>
          <w:lang w:bidi="ar"/>
        </w:rPr>
        <w:t>下管</w:t>
      </w:r>
      <w:r>
        <w:rPr>
          <w:rFonts w:ascii="宋体" w:hAnsi="宋体" w:cs="宋体"/>
          <w:bCs/>
          <w:kern w:val="0"/>
          <w:sz w:val="24"/>
          <w:lang w:bidi="ar"/>
        </w:rPr>
        <w:t>镇</w:t>
      </w:r>
      <w:r>
        <w:rPr>
          <w:rFonts w:hint="eastAsia" w:ascii="宋体" w:hAnsi="宋体" w:cs="宋体"/>
          <w:bCs/>
          <w:kern w:val="0"/>
          <w:sz w:val="24"/>
          <w:lang w:bidi="ar"/>
        </w:rPr>
        <w:t>农村环境卫生和垃圾分类</w:t>
      </w:r>
      <w:r>
        <w:rPr>
          <w:rFonts w:ascii="宋体" w:hAnsi="宋体" w:cs="宋体"/>
          <w:bCs/>
          <w:kern w:val="0"/>
          <w:sz w:val="24"/>
          <w:lang w:bidi="ar"/>
        </w:rPr>
        <w:t>管理</w:t>
      </w:r>
      <w:r>
        <w:rPr>
          <w:rFonts w:hint="eastAsia" w:ascii="宋体" w:hAnsi="宋体"/>
          <w:sz w:val="24"/>
        </w:rPr>
        <w:t>服务，规范物业管理单位服务行为，不断提高工作效率和服务质量，确保我镇市容秩序，环境卫生整洁，设施设备正常运转，特制订本考核办法。</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b/>
          <w:sz w:val="24"/>
        </w:rPr>
      </w:pPr>
      <w:r>
        <w:rPr>
          <w:rFonts w:hint="eastAsia" w:ascii="宋体" w:hAnsi="宋体"/>
          <w:b/>
          <w:sz w:val="24"/>
        </w:rPr>
        <w:t>一、考核内容</w:t>
      </w:r>
    </w:p>
    <w:p>
      <w:pPr>
        <w:keepNext w:val="0"/>
        <w:keepLines w:val="0"/>
        <w:pageBreakBefore w:val="0"/>
        <w:widowControl w:val="0"/>
        <w:kinsoku/>
        <w:wordWrap/>
        <w:overflowPunct/>
        <w:topLinePunct w:val="0"/>
        <w:autoSpaceDE/>
        <w:autoSpaceDN/>
        <w:bidi w:val="0"/>
        <w:adjustRightInd/>
        <w:snapToGrid/>
        <w:spacing w:line="520" w:lineRule="exact"/>
        <w:ind w:firstLine="480" w:firstLineChars="200"/>
        <w:textAlignment w:val="auto"/>
        <w:rPr>
          <w:rFonts w:hint="eastAsia" w:ascii="宋体" w:hAnsi="宋体"/>
          <w:sz w:val="24"/>
        </w:rPr>
      </w:pPr>
      <w:r>
        <w:rPr>
          <w:rFonts w:hint="eastAsia" w:ascii="宋体" w:hAnsi="宋体"/>
          <w:sz w:val="24"/>
        </w:rPr>
        <w:t>考</w:t>
      </w:r>
      <w:r>
        <w:rPr>
          <w:rFonts w:hint="eastAsia" w:ascii="宋体" w:hAnsi="宋体"/>
          <w:b/>
          <w:sz w:val="24"/>
        </w:rPr>
        <w:t>核内容为日常管理、道路清扫、绿化养护、垃圾收集和运输、建筑垃圾运输、垃圾箱(桶、房）的擦洗、溪流和溪边保洁、公共厕所保洁、粪便收集和清运、新闻曝光和群众投诉环境卫生问题办理。</w:t>
      </w:r>
    </w:p>
    <w:p>
      <w:pPr>
        <w:keepNext w:val="0"/>
        <w:keepLines w:val="0"/>
        <w:pageBreakBefore w:val="0"/>
        <w:widowControl w:val="0"/>
        <w:numPr>
          <w:ilvl w:val="0"/>
          <w:numId w:val="8"/>
        </w:numPr>
        <w:kinsoku/>
        <w:wordWrap/>
        <w:overflowPunct/>
        <w:topLinePunct w:val="0"/>
        <w:autoSpaceDE/>
        <w:autoSpaceDN/>
        <w:bidi w:val="0"/>
        <w:adjustRightInd/>
        <w:snapToGrid/>
        <w:spacing w:line="520" w:lineRule="exact"/>
        <w:ind w:firstLine="480" w:firstLineChars="200"/>
        <w:textAlignment w:val="auto"/>
        <w:rPr>
          <w:rFonts w:hint="eastAsia" w:ascii="宋体" w:hAnsi="宋体"/>
          <w:b/>
          <w:sz w:val="24"/>
        </w:rPr>
      </w:pPr>
      <w:r>
        <w:rPr>
          <w:rFonts w:hint="eastAsia" w:ascii="宋体" w:hAnsi="宋体"/>
          <w:b/>
          <w:sz w:val="24"/>
        </w:rPr>
        <w:t>方式及奖励标准</w:t>
      </w:r>
    </w:p>
    <w:p>
      <w:pPr>
        <w:keepNext w:val="0"/>
        <w:keepLines w:val="0"/>
        <w:pageBreakBefore w:val="0"/>
        <w:widowControl w:val="0"/>
        <w:kinsoku/>
        <w:wordWrap/>
        <w:overflowPunct/>
        <w:topLinePunct w:val="0"/>
        <w:autoSpaceDE/>
        <w:autoSpaceDN/>
        <w:bidi w:val="0"/>
        <w:adjustRightInd/>
        <w:snapToGrid/>
        <w:spacing w:line="520" w:lineRule="exact"/>
        <w:textAlignment w:val="auto"/>
        <w:rPr>
          <w:rFonts w:hint="eastAsia" w:ascii="宋体" w:hAnsi="宋体"/>
          <w:b/>
          <w:sz w:val="24"/>
        </w:rPr>
      </w:pPr>
      <w:r>
        <w:rPr>
          <w:rFonts w:hint="eastAsia" w:ascii="宋体" w:hAnsi="宋体"/>
          <w:b/>
          <w:sz w:val="24"/>
        </w:rPr>
        <w:t>日常管理和考核由城建办负责实施，抽取办线人员和聘请的督导员共同组织检查，每月向班子会议汇报检查结果。采取月考核和年终考核相结合，实行百分制考核，达标：80分以上（含）。</w:t>
      </w:r>
    </w:p>
    <w:p>
      <w:pPr>
        <w:keepNext w:val="0"/>
        <w:keepLines w:val="0"/>
        <w:pageBreakBefore w:val="0"/>
        <w:widowControl w:val="0"/>
        <w:numPr>
          <w:ilvl w:val="0"/>
          <w:numId w:val="9"/>
        </w:numPr>
        <w:kinsoku/>
        <w:wordWrap/>
        <w:overflowPunct/>
        <w:topLinePunct w:val="0"/>
        <w:autoSpaceDE/>
        <w:autoSpaceDN/>
        <w:bidi w:val="0"/>
        <w:adjustRightInd/>
        <w:snapToGrid/>
        <w:spacing w:line="520" w:lineRule="exact"/>
        <w:textAlignment w:val="auto"/>
        <w:rPr>
          <w:rFonts w:hint="eastAsia" w:ascii="宋体" w:hAnsi="宋体"/>
          <w:b/>
          <w:sz w:val="24"/>
        </w:rPr>
      </w:pPr>
      <w:r>
        <w:rPr>
          <w:rFonts w:hint="eastAsia" w:ascii="宋体" w:hAnsi="宋体"/>
          <w:b/>
          <w:sz w:val="24"/>
        </w:rPr>
        <w:t>方式：日常巡查、现场抽查、定期检查和群众评议。</w:t>
      </w:r>
    </w:p>
    <w:p>
      <w:pPr>
        <w:autoSpaceDE w:val="0"/>
        <w:autoSpaceDN w:val="0"/>
        <w:adjustRightInd w:val="0"/>
        <w:spacing w:line="360" w:lineRule="auto"/>
        <w:ind w:firstLine="470" w:firstLineChars="196"/>
        <w:jc w:val="left"/>
        <w:rPr>
          <w:rFonts w:hint="eastAsia" w:ascii="宋体" w:hAnsi="宋体"/>
          <w:b/>
          <w:bCs/>
          <w:sz w:val="24"/>
        </w:rPr>
      </w:pPr>
      <w:r>
        <w:rPr>
          <w:rFonts w:hint="eastAsia" w:ascii="宋体" w:hAnsi="宋体"/>
          <w:b/>
          <w:sz w:val="24"/>
        </w:rPr>
        <w:t>付款方式：合同约定的价款，按承包金额以季度分四次均匀支付物业管理费，先做后付，在次月10日前支付，甲方每月考核，月度考核分在80分（含）以上的不扣5%物业管理费，考核结果在80分以下的，扣除5%物业管理费，在季度付款时一并扣除。</w:t>
      </w:r>
    </w:p>
    <w:p>
      <w:pPr>
        <w:autoSpaceDE w:val="0"/>
        <w:autoSpaceDN w:val="0"/>
        <w:adjustRightInd w:val="0"/>
        <w:spacing w:line="360" w:lineRule="auto"/>
        <w:ind w:firstLine="480" w:firstLineChars="200"/>
        <w:jc w:val="left"/>
        <w:rPr>
          <w:rFonts w:hint="eastAsia" w:ascii="宋体" w:hAnsi="宋体"/>
          <w:color w:val="auto"/>
          <w:kern w:val="0"/>
          <w:sz w:val="24"/>
          <w:szCs w:val="24"/>
        </w:rPr>
      </w:pPr>
    </w:p>
    <w:p>
      <w:pPr>
        <w:widowControl/>
        <w:spacing w:line="360" w:lineRule="auto"/>
        <w:ind w:firstLine="560" w:firstLineChars="200"/>
        <w:rPr>
          <w:rFonts w:hint="eastAsia" w:ascii="宋体" w:hAnsi="宋体" w:cs="宋体"/>
          <w:b/>
          <w:bCs/>
          <w:color w:val="auto"/>
          <w:kern w:val="0"/>
          <w:sz w:val="28"/>
          <w:szCs w:val="28"/>
        </w:rPr>
      </w:pPr>
    </w:p>
    <w:sectPr>
      <w:headerReference r:id="rId3" w:type="default"/>
      <w:footerReference r:id="rId4" w:type="default"/>
      <w:pgSz w:w="11907" w:h="16840"/>
      <w:pgMar w:top="1418" w:right="1588" w:bottom="1418" w:left="1588" w:header="851" w:footer="618" w:gutter="0"/>
      <w:pgNumType w:start="1"/>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onospace">
    <w:altName w:val="宋体"/>
    <w:panose1 w:val="00000000000000000000"/>
    <w:charset w:val="00"/>
    <w:family w:val="auto"/>
    <w:pitch w:val="default"/>
    <w:sig w:usb0="00000000" w:usb1="00000000" w:usb2="00000000" w:usb3="00000000" w:csb0="00040001" w:csb1="00000000"/>
  </w:font>
  <w:font w:name="Courier New">
    <w:panose1 w:val="02070309020205020404"/>
    <w:charset w:val="00"/>
    <w:family w:val="modern"/>
    <w:pitch w:val="default"/>
    <w:sig w:usb0="E0002EFF" w:usb1="C0007843" w:usb2="00000009" w:usb3="00000000" w:csb0="400001FF" w:csb1="FFFF0000"/>
  </w:font>
  <w:font w:name="Arial">
    <w:panose1 w:val="020B0604020202020204"/>
    <w:charset w:val="00"/>
    <w:family w:val="swiss"/>
    <w:pitch w:val="default"/>
    <w:sig w:usb0="E0002EFF" w:usb1="C000785B" w:usb2="00000009" w:usb3="00000000" w:csb0="400001FF" w:csb1="FFFF0000"/>
  </w:font>
  <w:font w:name="Tahoma">
    <w:panose1 w:val="020B0604030504040204"/>
    <w:charset w:val="00"/>
    <w:family w:val="swiss"/>
    <w:pitch w:val="default"/>
    <w:sig w:usb0="E1002EFF" w:usb1="C000605B" w:usb2="00000029" w:usb3="00000000" w:csb0="200101FF" w:csb1="20280000"/>
  </w:font>
  <w:font w:name="Arial Unicode MS">
    <w:altName w:val="宋体"/>
    <w:panose1 w:val="020B0604020202020204"/>
    <w:charset w:val="86"/>
    <w:family w:val="swiss"/>
    <w:pitch w:val="default"/>
    <w:sig w:usb0="FFFFFFFF" w:usb1="E9FFFFFF" w:usb2="0000003F" w:usb3="00000000" w:csb0="603F01FF" w:csb1="FFFF0000"/>
  </w:font>
  <w:font w:name="仿宋_GB2312">
    <w:altName w:val="仿宋"/>
    <w:panose1 w:val="02010609030101010101"/>
    <w:charset w:val="86"/>
    <w:family w:val="modern"/>
    <w:pitch w:val="default"/>
    <w:sig w:usb0="00000001" w:usb1="080E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方正小标宋简体">
    <w:altName w:val="黑体"/>
    <w:panose1 w:val="03000509000000000000"/>
    <w:charset w:val="86"/>
    <w:family w:val="script"/>
    <w:pitch w:val="default"/>
    <w:sig w:usb0="00000000" w:usb1="00000000" w:usb2="00000010" w:usb3="00000000" w:csb0="00040000" w:csb1="00000000"/>
  </w:font>
  <w:font w:name="新宋体">
    <w:panose1 w:val="02010609030101010101"/>
    <w:charset w:val="86"/>
    <w:family w:val="modern"/>
    <w:pitch w:val="default"/>
    <w:sig w:usb0="00000203" w:usb1="288F00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4"/>
      <w:framePr w:wrap="around" w:vAnchor="text" w:hAnchor="margin" w:xAlign="right" w:y="1"/>
      <w:rPr>
        <w:rStyle w:val="45"/>
      </w:rPr>
    </w:pPr>
  </w:p>
  <w:p>
    <w:pPr>
      <w:pStyle w:val="24"/>
      <w:ind w:right="360" w:firstLine="3600" w:firstLineChars="2000"/>
    </w:pPr>
    <w:r>
      <w:rPr>
        <w:rFonts w:hint="eastAsia"/>
        <w:kern w:val="0"/>
        <w:szCs w:val="21"/>
      </w:rPr>
      <w:t xml:space="preserve">第 </w:t>
    </w:r>
    <w:r>
      <w:rPr>
        <w:kern w:val="0"/>
        <w:szCs w:val="21"/>
      </w:rPr>
      <w:fldChar w:fldCharType="begin"/>
    </w:r>
    <w:r>
      <w:rPr>
        <w:kern w:val="0"/>
        <w:szCs w:val="21"/>
      </w:rPr>
      <w:instrText xml:space="preserve"> PAGE </w:instrText>
    </w:r>
    <w:r>
      <w:rPr>
        <w:kern w:val="0"/>
        <w:szCs w:val="21"/>
      </w:rPr>
      <w:fldChar w:fldCharType="separate"/>
    </w:r>
    <w:r>
      <w:rPr>
        <w:kern w:val="0"/>
        <w:szCs w:val="21"/>
        <w:lang/>
      </w:rPr>
      <w:t>19</w:t>
    </w:r>
    <w:r>
      <w:rPr>
        <w:kern w:val="0"/>
        <w:szCs w:val="21"/>
      </w:rPr>
      <w:fldChar w:fldCharType="end"/>
    </w:r>
    <w:r>
      <w:rPr>
        <w:rFonts w:hint="eastAsia"/>
        <w:kern w:val="0"/>
        <w:szCs w:val="21"/>
      </w:rPr>
      <w:t xml:space="preserve"> 页 共 </w:t>
    </w:r>
    <w:r>
      <w:rPr>
        <w:kern w:val="0"/>
        <w:szCs w:val="21"/>
      </w:rPr>
      <w:fldChar w:fldCharType="begin"/>
    </w:r>
    <w:r>
      <w:rPr>
        <w:kern w:val="0"/>
        <w:szCs w:val="21"/>
      </w:rPr>
      <w:instrText xml:space="preserve"> NUMPAGES </w:instrText>
    </w:r>
    <w:r>
      <w:rPr>
        <w:kern w:val="0"/>
        <w:szCs w:val="21"/>
      </w:rPr>
      <w:fldChar w:fldCharType="separate"/>
    </w:r>
    <w:r>
      <w:rPr>
        <w:kern w:val="0"/>
        <w:szCs w:val="21"/>
        <w:lang/>
      </w:rPr>
      <w:t>19</w:t>
    </w:r>
    <w:r>
      <w:rPr>
        <w:kern w:val="0"/>
        <w:szCs w:val="21"/>
      </w:rPr>
      <w:fldChar w:fldCharType="end"/>
    </w:r>
    <w:r>
      <w:rPr>
        <w:rFonts w:hint="eastAsia"/>
        <w:kern w:val="0"/>
        <w:szCs w:val="21"/>
      </w:rPr>
      <w:t xml:space="preserve"> 页</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pBdr>
        <w:bottom w:val="none" w:color="auto" w:sz="0" w:space="1"/>
      </w:pBdr>
      <w:jc w:val="both"/>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0"/>
    <w:multiLevelType w:val="multilevel"/>
    <w:tmpl w:val="00000000"/>
    <w:lvl w:ilvl="0" w:tentative="0">
      <w:start w:val="1"/>
      <w:numFmt w:val="decimal"/>
      <w:pStyle w:val="13"/>
      <w:lvlText w:val="%1"/>
      <w:lvlJc w:val="left"/>
      <w:pPr>
        <w:ind w:left="432" w:hanging="432"/>
      </w:pPr>
    </w:lvl>
    <w:lvl w:ilvl="1" w:tentative="0">
      <w:start w:val="1"/>
      <w:numFmt w:val="decimal"/>
      <w:pStyle w:val="3"/>
      <w:lvlText w:val="%1.%2"/>
      <w:lvlJc w:val="left"/>
      <w:pPr>
        <w:ind w:left="576" w:hanging="576"/>
      </w:pPr>
    </w:lvl>
    <w:lvl w:ilvl="2" w:tentative="0">
      <w:start w:val="1"/>
      <w:numFmt w:val="decimal"/>
      <w:pStyle w:val="5"/>
      <w:lvlText w:val="%1.%2.%3"/>
      <w:lvlJc w:val="left"/>
      <w:pPr>
        <w:ind w:left="720" w:hanging="720"/>
      </w:pPr>
    </w:lvl>
    <w:lvl w:ilvl="3" w:tentative="0">
      <w:start w:val="1"/>
      <w:numFmt w:val="decimal"/>
      <w:pStyle w:val="6"/>
      <w:lvlText w:val="%1.%2.%3.%4"/>
      <w:lvlJc w:val="left"/>
      <w:pPr>
        <w:ind w:left="864" w:hanging="864"/>
      </w:pPr>
    </w:lvl>
    <w:lvl w:ilvl="4" w:tentative="0">
      <w:start w:val="1"/>
      <w:numFmt w:val="decimal"/>
      <w:pStyle w:val="7"/>
      <w:lvlText w:val="%1.%2.%3.%4.%5"/>
      <w:lvlJc w:val="left"/>
      <w:pPr>
        <w:ind w:left="1008" w:hanging="1008"/>
      </w:pPr>
    </w:lvl>
    <w:lvl w:ilvl="5" w:tentative="0">
      <w:start w:val="1"/>
      <w:numFmt w:val="decimal"/>
      <w:pStyle w:val="8"/>
      <w:lvlText w:val="%1.%2.%3.%4.%5.%6"/>
      <w:lvlJc w:val="left"/>
      <w:pPr>
        <w:ind w:left="1152" w:hanging="1152"/>
      </w:pPr>
    </w:lvl>
    <w:lvl w:ilvl="6" w:tentative="0">
      <w:start w:val="1"/>
      <w:numFmt w:val="decimal"/>
      <w:pStyle w:val="9"/>
      <w:lvlText w:val="%1.%2.%3.%4.%5.%6.%7"/>
      <w:lvlJc w:val="left"/>
      <w:pPr>
        <w:ind w:left="1296" w:hanging="1296"/>
      </w:pPr>
    </w:lvl>
    <w:lvl w:ilvl="7" w:tentative="0">
      <w:start w:val="1"/>
      <w:numFmt w:val="decimal"/>
      <w:pStyle w:val="10"/>
      <w:lvlText w:val="%1.%2.%3.%4.%5.%6.%7.%8"/>
      <w:lvlJc w:val="left"/>
      <w:pPr>
        <w:ind w:left="1440" w:hanging="1440"/>
      </w:pPr>
    </w:lvl>
    <w:lvl w:ilvl="8" w:tentative="0">
      <w:start w:val="1"/>
      <w:numFmt w:val="decimal"/>
      <w:pStyle w:val="11"/>
      <w:lvlText w:val="%1.%2.%3.%4.%5.%6.%7.%8.%9"/>
      <w:lvlJc w:val="left"/>
      <w:pPr>
        <w:ind w:left="1584" w:hanging="1584"/>
      </w:pPr>
    </w:lvl>
  </w:abstractNum>
  <w:abstractNum w:abstractNumId="1">
    <w:nsid w:val="00000001"/>
    <w:multiLevelType w:val="multilevel"/>
    <w:tmpl w:val="00000001"/>
    <w:lvl w:ilvl="0" w:tentative="0">
      <w:start w:val="1"/>
      <w:numFmt w:val="upperLetter"/>
      <w:pStyle w:val="77"/>
      <w:lvlText w:val="%1、"/>
      <w:lvlJc w:val="left"/>
      <w:pPr>
        <w:tabs>
          <w:tab w:val="left" w:pos="1035"/>
        </w:tabs>
        <w:ind w:left="1035" w:hanging="420"/>
      </w:pPr>
      <w:rPr>
        <w:rFonts w:hint="default" w:ascii="Times New Roman"/>
        <w:u w:val="none" w:color="auto"/>
      </w:rPr>
    </w:lvl>
    <w:lvl w:ilvl="1" w:tentative="0">
      <w:start w:val="1"/>
      <w:numFmt w:val="decimal"/>
      <w:lvlText w:val=""/>
      <w:lvlJc w:val="left"/>
    </w:lvl>
    <w:lvl w:ilvl="2" w:tentative="0">
      <w:start w:val="1"/>
      <w:numFmt w:val="decimal"/>
      <w:lvlText w:val=""/>
      <w:lvlJc w:val="left"/>
    </w:lvl>
    <w:lvl w:ilvl="3" w:tentative="0">
      <w:start w:val="1"/>
      <w:numFmt w:val="decimal"/>
      <w:lvlText w:val=""/>
      <w:lvlJc w:val="left"/>
    </w:lvl>
    <w:lvl w:ilvl="4" w:tentative="0">
      <w:start w:val="1"/>
      <w:numFmt w:val="decimal"/>
      <w:lvlText w:val=""/>
      <w:lvlJc w:val="left"/>
    </w:lvl>
    <w:lvl w:ilvl="5" w:tentative="0">
      <w:start w:val="1"/>
      <w:numFmt w:val="decimal"/>
      <w:lvlText w:val=""/>
      <w:lvlJc w:val="left"/>
    </w:lvl>
    <w:lvl w:ilvl="6" w:tentative="0">
      <w:start w:val="1"/>
      <w:numFmt w:val="decimal"/>
      <w:lvlText w:val=""/>
      <w:lvlJc w:val="left"/>
    </w:lvl>
    <w:lvl w:ilvl="7" w:tentative="0">
      <w:start w:val="1"/>
      <w:numFmt w:val="decimal"/>
      <w:lvlText w:val=""/>
      <w:lvlJc w:val="left"/>
    </w:lvl>
    <w:lvl w:ilvl="8" w:tentative="0">
      <w:start w:val="1"/>
      <w:numFmt w:val="decimal"/>
      <w:lvlText w:val=""/>
      <w:lvlJc w:val="left"/>
    </w:lvl>
  </w:abstractNum>
  <w:abstractNum w:abstractNumId="2">
    <w:nsid w:val="00000002"/>
    <w:multiLevelType w:val="multilevel"/>
    <w:tmpl w:val="00000002"/>
    <w:lvl w:ilvl="0" w:tentative="0">
      <w:start w:val="1"/>
      <w:numFmt w:val="upperLetter"/>
      <w:pStyle w:val="135"/>
      <w:lvlText w:val="%1、"/>
      <w:lvlJc w:val="left"/>
      <w:pPr>
        <w:tabs>
          <w:tab w:val="left" w:pos="1275"/>
        </w:tabs>
        <w:ind w:left="1275" w:hanging="720"/>
      </w:pPr>
      <w:rPr>
        <w:rFonts w:hint="default" w:ascii="Times New Roman" w:hAnsi="宋体"/>
        <w:u w:val="none" w:color="auto"/>
      </w:rPr>
    </w:lvl>
    <w:lvl w:ilvl="1" w:tentative="0">
      <w:start w:val="1"/>
      <w:numFmt w:val="decimalEnclosedCircle"/>
      <w:lvlText w:val="%2"/>
      <w:lvlJc w:val="left"/>
      <w:pPr>
        <w:tabs>
          <w:tab w:val="left" w:pos="1335"/>
        </w:tabs>
        <w:ind w:left="1335" w:hanging="360"/>
      </w:pPr>
      <w:rPr>
        <w:rFonts w:hint="default" w:ascii="Times New Roman" w:hAnsi="宋体"/>
        <w:u w:val="none" w:color="auto"/>
      </w:rPr>
    </w:lvl>
    <w:lvl w:ilvl="2" w:tentative="0">
      <w:start w:val="1"/>
      <w:numFmt w:val="lowerRoman"/>
      <w:lvlText w:val="%3."/>
      <w:lvlJc w:val="right"/>
      <w:pPr>
        <w:tabs>
          <w:tab w:val="left" w:pos="1815"/>
        </w:tabs>
        <w:ind w:left="1815" w:hanging="420"/>
      </w:pPr>
      <w:rPr>
        <w:rFonts w:hint="default" w:ascii="Times New Roman"/>
        <w:u w:val="none" w:color="auto"/>
      </w:rPr>
    </w:lvl>
    <w:lvl w:ilvl="3" w:tentative="0">
      <w:start w:val="1"/>
      <w:numFmt w:val="decimal"/>
      <w:lvlText w:val="%4."/>
      <w:lvlJc w:val="left"/>
      <w:pPr>
        <w:tabs>
          <w:tab w:val="left" w:pos="2235"/>
        </w:tabs>
        <w:ind w:left="2235" w:hanging="420"/>
      </w:pPr>
      <w:rPr>
        <w:rFonts w:hint="default" w:ascii="Times New Roman"/>
        <w:u w:val="none" w:color="auto"/>
      </w:rPr>
    </w:lvl>
    <w:lvl w:ilvl="4" w:tentative="0">
      <w:start w:val="1"/>
      <w:numFmt w:val="lowerLetter"/>
      <w:lvlText w:val="%5)"/>
      <w:lvlJc w:val="left"/>
      <w:pPr>
        <w:tabs>
          <w:tab w:val="left" w:pos="2655"/>
        </w:tabs>
        <w:ind w:left="2655" w:hanging="420"/>
      </w:pPr>
      <w:rPr>
        <w:rFonts w:hint="default" w:ascii="Times New Roman"/>
        <w:u w:val="none" w:color="auto"/>
      </w:rPr>
    </w:lvl>
    <w:lvl w:ilvl="5" w:tentative="0">
      <w:start w:val="1"/>
      <w:numFmt w:val="lowerRoman"/>
      <w:lvlText w:val="%6."/>
      <w:lvlJc w:val="right"/>
      <w:pPr>
        <w:tabs>
          <w:tab w:val="left" w:pos="3075"/>
        </w:tabs>
        <w:ind w:left="3075" w:hanging="420"/>
      </w:pPr>
      <w:rPr>
        <w:rFonts w:hint="default" w:ascii="Times New Roman"/>
        <w:u w:val="none" w:color="auto"/>
      </w:rPr>
    </w:lvl>
    <w:lvl w:ilvl="6" w:tentative="0">
      <w:start w:val="1"/>
      <w:numFmt w:val="decimal"/>
      <w:lvlText w:val="%7."/>
      <w:lvlJc w:val="left"/>
      <w:pPr>
        <w:tabs>
          <w:tab w:val="left" w:pos="3495"/>
        </w:tabs>
        <w:ind w:left="3495" w:hanging="420"/>
      </w:pPr>
      <w:rPr>
        <w:rFonts w:hint="default" w:ascii="Times New Roman"/>
        <w:u w:val="none" w:color="auto"/>
      </w:rPr>
    </w:lvl>
    <w:lvl w:ilvl="7" w:tentative="0">
      <w:start w:val="1"/>
      <w:numFmt w:val="lowerLetter"/>
      <w:lvlText w:val="%8)"/>
      <w:lvlJc w:val="left"/>
      <w:pPr>
        <w:tabs>
          <w:tab w:val="left" w:pos="3915"/>
        </w:tabs>
        <w:ind w:left="3915" w:hanging="420"/>
      </w:pPr>
      <w:rPr>
        <w:rFonts w:hint="default" w:ascii="Times New Roman"/>
        <w:u w:val="none" w:color="auto"/>
      </w:rPr>
    </w:lvl>
    <w:lvl w:ilvl="8" w:tentative="0">
      <w:start w:val="1"/>
      <w:numFmt w:val="lowerRoman"/>
      <w:lvlText w:val="%9."/>
      <w:lvlJc w:val="right"/>
      <w:pPr>
        <w:tabs>
          <w:tab w:val="left" w:pos="4335"/>
        </w:tabs>
        <w:ind w:left="4335" w:hanging="420"/>
      </w:pPr>
      <w:rPr>
        <w:rFonts w:hint="default" w:ascii="Times New Roman"/>
        <w:u w:val="none" w:color="auto"/>
      </w:rPr>
    </w:lvl>
  </w:abstractNum>
  <w:abstractNum w:abstractNumId="3">
    <w:nsid w:val="0000000D"/>
    <w:multiLevelType w:val="multilevel"/>
    <w:tmpl w:val="0000000D"/>
    <w:lvl w:ilvl="0" w:tentative="0">
      <w:start w:val="2"/>
      <w:numFmt w:val="decimal"/>
      <w:lvlText w:val="%1"/>
      <w:lvlJc w:val="left"/>
      <w:pPr>
        <w:tabs>
          <w:tab w:val="left" w:pos="360"/>
        </w:tabs>
        <w:ind w:left="360" w:hanging="360"/>
      </w:pPr>
      <w:rPr>
        <w:rFonts w:hint="eastAsia"/>
      </w:rPr>
    </w:lvl>
    <w:lvl w:ilvl="1" w:tentative="0">
      <w:start w:val="1"/>
      <w:numFmt w:val="decimal"/>
      <w:lvlText w:val="%1.%2"/>
      <w:lvlJc w:val="left"/>
      <w:pPr>
        <w:tabs>
          <w:tab w:val="left" w:pos="840"/>
        </w:tabs>
        <w:ind w:left="840" w:hanging="360"/>
      </w:pPr>
      <w:rPr>
        <w:rFonts w:hint="eastAsia"/>
      </w:rPr>
    </w:lvl>
    <w:lvl w:ilvl="2" w:tentative="0">
      <w:start w:val="1"/>
      <w:numFmt w:val="decimal"/>
      <w:lvlText w:val="%1.%2.%3"/>
      <w:lvlJc w:val="left"/>
      <w:pPr>
        <w:tabs>
          <w:tab w:val="left" w:pos="1680"/>
        </w:tabs>
        <w:ind w:left="1680" w:hanging="720"/>
      </w:pPr>
      <w:rPr>
        <w:rFonts w:hint="eastAsia"/>
      </w:rPr>
    </w:lvl>
    <w:lvl w:ilvl="3" w:tentative="0">
      <w:start w:val="1"/>
      <w:numFmt w:val="decimal"/>
      <w:lvlText w:val="%1.%2.%3.%4"/>
      <w:lvlJc w:val="left"/>
      <w:pPr>
        <w:tabs>
          <w:tab w:val="left" w:pos="2520"/>
        </w:tabs>
        <w:ind w:left="2520" w:hanging="1080"/>
      </w:pPr>
      <w:rPr>
        <w:rFonts w:hint="eastAsia"/>
      </w:rPr>
    </w:lvl>
    <w:lvl w:ilvl="4" w:tentative="0">
      <w:start w:val="1"/>
      <w:numFmt w:val="decimal"/>
      <w:lvlText w:val="%1.%2.%3.%4.%5"/>
      <w:lvlJc w:val="left"/>
      <w:pPr>
        <w:tabs>
          <w:tab w:val="left" w:pos="3000"/>
        </w:tabs>
        <w:ind w:left="3000" w:hanging="1080"/>
      </w:pPr>
      <w:rPr>
        <w:rFonts w:hint="eastAsia"/>
      </w:rPr>
    </w:lvl>
    <w:lvl w:ilvl="5" w:tentative="0">
      <w:start w:val="1"/>
      <w:numFmt w:val="decimal"/>
      <w:lvlText w:val="%1.%2.%3.%4.%5.%6"/>
      <w:lvlJc w:val="left"/>
      <w:pPr>
        <w:tabs>
          <w:tab w:val="left" w:pos="3840"/>
        </w:tabs>
        <w:ind w:left="3840" w:hanging="1440"/>
      </w:pPr>
      <w:rPr>
        <w:rFonts w:hint="eastAsia"/>
      </w:rPr>
    </w:lvl>
    <w:lvl w:ilvl="6" w:tentative="0">
      <w:start w:val="1"/>
      <w:numFmt w:val="decimal"/>
      <w:lvlText w:val="%1.%2.%3.%4.%5.%6.%7"/>
      <w:lvlJc w:val="left"/>
      <w:pPr>
        <w:tabs>
          <w:tab w:val="left" w:pos="4680"/>
        </w:tabs>
        <w:ind w:left="4680" w:hanging="1800"/>
      </w:pPr>
      <w:rPr>
        <w:rFonts w:hint="eastAsia"/>
      </w:rPr>
    </w:lvl>
    <w:lvl w:ilvl="7" w:tentative="0">
      <w:start w:val="1"/>
      <w:numFmt w:val="decimal"/>
      <w:lvlText w:val="%1.%2.%3.%4.%5.%6.%7.%8"/>
      <w:lvlJc w:val="left"/>
      <w:pPr>
        <w:tabs>
          <w:tab w:val="left" w:pos="5160"/>
        </w:tabs>
        <w:ind w:left="5160" w:hanging="1800"/>
      </w:pPr>
      <w:rPr>
        <w:rFonts w:hint="eastAsia"/>
      </w:rPr>
    </w:lvl>
    <w:lvl w:ilvl="8" w:tentative="0">
      <w:start w:val="1"/>
      <w:numFmt w:val="decimal"/>
      <w:lvlText w:val="%1.%2.%3.%4.%5.%6.%7.%8.%9"/>
      <w:lvlJc w:val="left"/>
      <w:pPr>
        <w:tabs>
          <w:tab w:val="left" w:pos="6000"/>
        </w:tabs>
        <w:ind w:left="6000" w:hanging="2160"/>
      </w:pPr>
      <w:rPr>
        <w:rFonts w:hint="eastAsia"/>
      </w:rPr>
    </w:lvl>
  </w:abstractNum>
  <w:abstractNum w:abstractNumId="4">
    <w:nsid w:val="59434E5B"/>
    <w:multiLevelType w:val="singleLevel"/>
    <w:tmpl w:val="59434E5B"/>
    <w:lvl w:ilvl="0" w:tentative="0">
      <w:start w:val="1"/>
      <w:numFmt w:val="decimal"/>
      <w:suff w:val="nothing"/>
      <w:lvlText w:val="（%1）"/>
      <w:lvlJc w:val="left"/>
    </w:lvl>
  </w:abstractNum>
  <w:abstractNum w:abstractNumId="5">
    <w:nsid w:val="59435299"/>
    <w:multiLevelType w:val="singleLevel"/>
    <w:tmpl w:val="59435299"/>
    <w:lvl w:ilvl="0" w:tentative="0">
      <w:start w:val="1"/>
      <w:numFmt w:val="decimal"/>
      <w:suff w:val="nothing"/>
      <w:lvlText w:val="（%1）"/>
      <w:lvlJc w:val="left"/>
    </w:lvl>
  </w:abstractNum>
  <w:abstractNum w:abstractNumId="6">
    <w:nsid w:val="5947445C"/>
    <w:multiLevelType w:val="singleLevel"/>
    <w:tmpl w:val="5947445C"/>
    <w:lvl w:ilvl="0" w:tentative="0">
      <w:start w:val="2"/>
      <w:numFmt w:val="chineseCounting"/>
      <w:suff w:val="nothing"/>
      <w:lvlText w:val="%1、"/>
      <w:lvlJc w:val="left"/>
    </w:lvl>
  </w:abstractNum>
  <w:abstractNum w:abstractNumId="7">
    <w:nsid w:val="5947453F"/>
    <w:multiLevelType w:val="singleLevel"/>
    <w:tmpl w:val="5947453F"/>
    <w:lvl w:ilvl="0" w:tentative="0">
      <w:start w:val="1"/>
      <w:numFmt w:val="decimal"/>
      <w:suff w:val="nothing"/>
      <w:lvlText w:val="%1、"/>
      <w:lvlJc w:val="left"/>
    </w:lvl>
  </w:abstractNum>
  <w:abstractNum w:abstractNumId="8">
    <w:nsid w:val="6E230785"/>
    <w:multiLevelType w:val="multilevel"/>
    <w:tmpl w:val="6E230785"/>
    <w:lvl w:ilvl="0" w:tentative="0">
      <w:start w:val="1"/>
      <w:numFmt w:val="bullet"/>
      <w:pStyle w:val="137"/>
      <w:lvlText w:val=""/>
      <w:lvlJc w:val="left"/>
      <w:pPr>
        <w:tabs>
          <w:tab w:val="left" w:pos="284"/>
        </w:tabs>
        <w:ind w:left="284" w:hanging="284"/>
      </w:pPr>
      <w:rPr>
        <w:rFonts w:hint="default" w:ascii="Wingdings" w:hAnsi="Wingdings" w:eastAsia="宋体"/>
        <w:b w:val="0"/>
        <w:i w:val="0"/>
        <w:color w:val="auto"/>
        <w:position w:val="3"/>
        <w:sz w:val="13"/>
        <w:szCs w:val="13"/>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num w:numId="1">
    <w:abstractNumId w:val="0"/>
  </w:num>
  <w:num w:numId="2">
    <w:abstractNumId w:val="1"/>
  </w:num>
  <w:num w:numId="3">
    <w:abstractNumId w:val="2"/>
  </w:num>
  <w:num w:numId="4">
    <w:abstractNumId w:val="8"/>
  </w:num>
  <w:num w:numId="5">
    <w:abstractNumId w:val="3"/>
  </w:num>
  <w:num w:numId="6">
    <w:abstractNumId w:val="4"/>
  </w:num>
  <w:num w:numId="7">
    <w:abstractNumId w:val="5"/>
  </w:num>
  <w:num w:numId="8">
    <w:abstractNumId w:val="6"/>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20AB1"/>
    <w:rsid w:val="000B3312"/>
    <w:rsid w:val="000B5F88"/>
    <w:rsid w:val="0013668C"/>
    <w:rsid w:val="001C3B50"/>
    <w:rsid w:val="00283F7E"/>
    <w:rsid w:val="002C5013"/>
    <w:rsid w:val="003A62D7"/>
    <w:rsid w:val="003C01BD"/>
    <w:rsid w:val="003F77DC"/>
    <w:rsid w:val="00437EE0"/>
    <w:rsid w:val="00526864"/>
    <w:rsid w:val="005A1300"/>
    <w:rsid w:val="005A345F"/>
    <w:rsid w:val="005E74E3"/>
    <w:rsid w:val="005F254A"/>
    <w:rsid w:val="006164EB"/>
    <w:rsid w:val="00616A76"/>
    <w:rsid w:val="00733B43"/>
    <w:rsid w:val="00765354"/>
    <w:rsid w:val="0079256A"/>
    <w:rsid w:val="007D192E"/>
    <w:rsid w:val="00817064"/>
    <w:rsid w:val="008B066C"/>
    <w:rsid w:val="008F7B8A"/>
    <w:rsid w:val="00957EEF"/>
    <w:rsid w:val="00981F01"/>
    <w:rsid w:val="00A028B2"/>
    <w:rsid w:val="00A12186"/>
    <w:rsid w:val="00A305D2"/>
    <w:rsid w:val="00A55C91"/>
    <w:rsid w:val="00A646DC"/>
    <w:rsid w:val="00AA54D3"/>
    <w:rsid w:val="00B7582E"/>
    <w:rsid w:val="00CD5D6C"/>
    <w:rsid w:val="00EB390F"/>
    <w:rsid w:val="00F12BFF"/>
    <w:rsid w:val="00F2395B"/>
    <w:rsid w:val="00F34351"/>
    <w:rsid w:val="00FD04F6"/>
    <w:rsid w:val="00FD52CF"/>
    <w:rsid w:val="031B3A3C"/>
    <w:rsid w:val="049C117C"/>
    <w:rsid w:val="11A3220E"/>
    <w:rsid w:val="12540805"/>
    <w:rsid w:val="151B067C"/>
    <w:rsid w:val="1551774B"/>
    <w:rsid w:val="168722BE"/>
    <w:rsid w:val="1BB51D7F"/>
    <w:rsid w:val="1D100020"/>
    <w:rsid w:val="1D4A660F"/>
    <w:rsid w:val="23F07674"/>
    <w:rsid w:val="25312E6D"/>
    <w:rsid w:val="2589415F"/>
    <w:rsid w:val="27C72E98"/>
    <w:rsid w:val="28065544"/>
    <w:rsid w:val="286E53B8"/>
    <w:rsid w:val="2A177072"/>
    <w:rsid w:val="2A550E9B"/>
    <w:rsid w:val="2E0C1B84"/>
    <w:rsid w:val="31342E7C"/>
    <w:rsid w:val="34904AAA"/>
    <w:rsid w:val="35A429F6"/>
    <w:rsid w:val="38FD4B4D"/>
    <w:rsid w:val="39255A0F"/>
    <w:rsid w:val="3A6545B9"/>
    <w:rsid w:val="3EF812EB"/>
    <w:rsid w:val="44875A70"/>
    <w:rsid w:val="45CA205A"/>
    <w:rsid w:val="479D5AA6"/>
    <w:rsid w:val="486033E4"/>
    <w:rsid w:val="49B43F9A"/>
    <w:rsid w:val="4ADA16E1"/>
    <w:rsid w:val="4E5A1667"/>
    <w:rsid w:val="54B2604B"/>
    <w:rsid w:val="57F87FD7"/>
    <w:rsid w:val="58575A1F"/>
    <w:rsid w:val="59052765"/>
    <w:rsid w:val="59063E9E"/>
    <w:rsid w:val="5BB26F04"/>
    <w:rsid w:val="5CEC7061"/>
    <w:rsid w:val="5EE21464"/>
    <w:rsid w:val="60CF5F8C"/>
    <w:rsid w:val="65C45BA1"/>
    <w:rsid w:val="67D52D09"/>
    <w:rsid w:val="69E87749"/>
    <w:rsid w:val="69E926DE"/>
    <w:rsid w:val="6E1F520F"/>
    <w:rsid w:val="6FEA1DE0"/>
    <w:rsid w:val="7BA9277B"/>
    <w:rsid w:val="7E4F54A6"/>
    <w:rsid w:val="7F2524D0"/>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99"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4"/>
      <w:lang w:val="en-US" w:eastAsia="zh-CN" w:bidi="ar-SA"/>
    </w:rPr>
  </w:style>
  <w:style w:type="paragraph" w:styleId="2">
    <w:name w:val="heading 1"/>
    <w:basedOn w:val="1"/>
    <w:next w:val="1"/>
    <w:link w:val="84"/>
    <w:qFormat/>
    <w:uiPriority w:val="0"/>
    <w:pPr>
      <w:keepNext/>
      <w:keepLines/>
      <w:numPr>
        <w:ilvl w:val="0"/>
        <w:numId w:val="1"/>
      </w:numPr>
      <w:spacing w:before="340" w:after="330" w:line="576" w:lineRule="auto"/>
      <w:outlineLvl w:val="0"/>
    </w:pPr>
    <w:rPr>
      <w:rFonts w:ascii="宋体" w:hAnsi="宋体"/>
      <w:b/>
      <w:sz w:val="30"/>
      <w:szCs w:val="20"/>
    </w:rPr>
  </w:style>
  <w:style w:type="paragraph" w:styleId="3">
    <w:name w:val="heading 2"/>
    <w:basedOn w:val="1"/>
    <w:next w:val="4"/>
    <w:link w:val="117"/>
    <w:qFormat/>
    <w:uiPriority w:val="0"/>
    <w:pPr>
      <w:keepNext/>
      <w:keepLines/>
      <w:numPr>
        <w:ilvl w:val="1"/>
        <w:numId w:val="1"/>
      </w:numPr>
      <w:spacing w:before="260" w:after="260" w:line="413" w:lineRule="auto"/>
      <w:outlineLvl w:val="1"/>
    </w:pPr>
    <w:rPr>
      <w:rFonts w:ascii="Cambria" w:hAnsi="Cambria"/>
      <w:b/>
      <w:bCs/>
      <w:kern w:val="0"/>
      <w:sz w:val="32"/>
      <w:szCs w:val="32"/>
    </w:rPr>
  </w:style>
  <w:style w:type="paragraph" w:styleId="5">
    <w:name w:val="heading 3"/>
    <w:basedOn w:val="1"/>
    <w:next w:val="1"/>
    <w:link w:val="125"/>
    <w:qFormat/>
    <w:uiPriority w:val="0"/>
    <w:pPr>
      <w:keepNext/>
      <w:keepLines/>
      <w:numPr>
        <w:ilvl w:val="2"/>
        <w:numId w:val="1"/>
      </w:numPr>
      <w:spacing w:before="260" w:after="260" w:line="413" w:lineRule="auto"/>
      <w:outlineLvl w:val="2"/>
    </w:pPr>
    <w:rPr>
      <w:b/>
      <w:bCs/>
      <w:kern w:val="0"/>
      <w:sz w:val="32"/>
      <w:szCs w:val="32"/>
    </w:rPr>
  </w:style>
  <w:style w:type="paragraph" w:styleId="6">
    <w:name w:val="heading 4"/>
    <w:basedOn w:val="1"/>
    <w:next w:val="1"/>
    <w:link w:val="107"/>
    <w:qFormat/>
    <w:uiPriority w:val="0"/>
    <w:pPr>
      <w:keepNext/>
      <w:keepLines/>
      <w:numPr>
        <w:ilvl w:val="3"/>
        <w:numId w:val="1"/>
      </w:numPr>
      <w:spacing w:before="280" w:after="290" w:line="372" w:lineRule="auto"/>
      <w:outlineLvl w:val="3"/>
    </w:pPr>
    <w:rPr>
      <w:rFonts w:ascii="Cambria" w:hAnsi="Cambria"/>
      <w:b/>
      <w:bCs/>
      <w:kern w:val="0"/>
      <w:sz w:val="28"/>
      <w:szCs w:val="28"/>
    </w:rPr>
  </w:style>
  <w:style w:type="paragraph" w:styleId="7">
    <w:name w:val="heading 5"/>
    <w:basedOn w:val="1"/>
    <w:next w:val="1"/>
    <w:link w:val="74"/>
    <w:qFormat/>
    <w:uiPriority w:val="0"/>
    <w:pPr>
      <w:keepNext/>
      <w:keepLines/>
      <w:numPr>
        <w:ilvl w:val="4"/>
        <w:numId w:val="1"/>
      </w:numPr>
      <w:spacing w:before="280" w:after="290" w:line="372" w:lineRule="auto"/>
      <w:outlineLvl w:val="4"/>
    </w:pPr>
    <w:rPr>
      <w:b/>
      <w:bCs/>
      <w:kern w:val="0"/>
      <w:sz w:val="28"/>
      <w:szCs w:val="28"/>
    </w:rPr>
  </w:style>
  <w:style w:type="paragraph" w:styleId="8">
    <w:name w:val="heading 6"/>
    <w:basedOn w:val="1"/>
    <w:next w:val="1"/>
    <w:link w:val="68"/>
    <w:qFormat/>
    <w:uiPriority w:val="0"/>
    <w:pPr>
      <w:keepNext/>
      <w:keepLines/>
      <w:numPr>
        <w:ilvl w:val="5"/>
        <w:numId w:val="1"/>
      </w:numPr>
      <w:spacing w:before="240" w:after="64" w:line="317" w:lineRule="auto"/>
      <w:outlineLvl w:val="5"/>
    </w:pPr>
    <w:rPr>
      <w:rFonts w:ascii="Cambria" w:hAnsi="Cambria"/>
      <w:b/>
      <w:bCs/>
      <w:kern w:val="0"/>
      <w:sz w:val="24"/>
    </w:rPr>
  </w:style>
  <w:style w:type="paragraph" w:styleId="9">
    <w:name w:val="heading 7"/>
    <w:basedOn w:val="1"/>
    <w:next w:val="1"/>
    <w:link w:val="63"/>
    <w:qFormat/>
    <w:uiPriority w:val="0"/>
    <w:pPr>
      <w:keepNext/>
      <w:keepLines/>
      <w:numPr>
        <w:ilvl w:val="6"/>
        <w:numId w:val="1"/>
      </w:numPr>
      <w:spacing w:before="240" w:after="64" w:line="317" w:lineRule="auto"/>
      <w:outlineLvl w:val="6"/>
    </w:pPr>
    <w:rPr>
      <w:b/>
      <w:bCs/>
      <w:kern w:val="0"/>
      <w:sz w:val="24"/>
    </w:rPr>
  </w:style>
  <w:style w:type="paragraph" w:styleId="10">
    <w:name w:val="heading 8"/>
    <w:basedOn w:val="1"/>
    <w:next w:val="1"/>
    <w:link w:val="97"/>
    <w:qFormat/>
    <w:uiPriority w:val="0"/>
    <w:pPr>
      <w:keepNext/>
      <w:keepLines/>
      <w:numPr>
        <w:ilvl w:val="7"/>
        <w:numId w:val="1"/>
      </w:numPr>
      <w:spacing w:before="240" w:after="64" w:line="317" w:lineRule="auto"/>
      <w:outlineLvl w:val="7"/>
    </w:pPr>
    <w:rPr>
      <w:rFonts w:ascii="Cambria" w:hAnsi="Cambria"/>
      <w:kern w:val="0"/>
      <w:sz w:val="24"/>
    </w:rPr>
  </w:style>
  <w:style w:type="paragraph" w:styleId="11">
    <w:name w:val="heading 9"/>
    <w:basedOn w:val="1"/>
    <w:next w:val="1"/>
    <w:link w:val="93"/>
    <w:qFormat/>
    <w:uiPriority w:val="0"/>
    <w:pPr>
      <w:keepNext/>
      <w:keepLines/>
      <w:numPr>
        <w:ilvl w:val="8"/>
        <w:numId w:val="1"/>
      </w:numPr>
      <w:spacing w:before="240" w:after="64" w:line="317" w:lineRule="auto"/>
      <w:outlineLvl w:val="8"/>
    </w:pPr>
    <w:rPr>
      <w:rFonts w:ascii="Cambria" w:hAnsi="Cambria"/>
      <w:kern w:val="0"/>
      <w:sz w:val="20"/>
      <w:szCs w:val="21"/>
    </w:rPr>
  </w:style>
  <w:style w:type="character" w:default="1" w:styleId="43">
    <w:name w:val="Default Paragraph Font"/>
    <w:uiPriority w:val="0"/>
  </w:style>
  <w:style w:type="table" w:default="1" w:styleId="37">
    <w:name w:val="Normal Table"/>
    <w:semiHidden/>
    <w:uiPriority w:val="0"/>
    <w:tblPr>
      <w:tblStyle w:val="37"/>
      <w:tblCellMar>
        <w:top w:w="0" w:type="dxa"/>
        <w:left w:w="108" w:type="dxa"/>
        <w:bottom w:w="0" w:type="dxa"/>
        <w:right w:w="108" w:type="dxa"/>
      </w:tblCellMar>
    </w:tblPr>
  </w:style>
  <w:style w:type="paragraph" w:styleId="4">
    <w:name w:val="Normal Indent"/>
    <w:basedOn w:val="1"/>
    <w:link w:val="112"/>
    <w:uiPriority w:val="0"/>
    <w:pPr>
      <w:ind w:firstLine="420"/>
    </w:pPr>
    <w:rPr>
      <w:rFonts w:ascii="Calibri" w:hAnsi="Calibri"/>
      <w:szCs w:val="22"/>
    </w:rPr>
  </w:style>
  <w:style w:type="paragraph" w:styleId="12">
    <w:name w:val="toc 7"/>
    <w:basedOn w:val="1"/>
    <w:next w:val="1"/>
    <w:uiPriority w:val="0"/>
    <w:pPr>
      <w:ind w:left="2520" w:leftChars="1200"/>
    </w:pPr>
  </w:style>
  <w:style w:type="paragraph" w:styleId="13">
    <w:name w:val="caption"/>
    <w:basedOn w:val="1"/>
    <w:next w:val="1"/>
    <w:qFormat/>
    <w:uiPriority w:val="0"/>
    <w:pPr>
      <w:numPr>
        <w:ilvl w:val="0"/>
        <w:numId w:val="1"/>
      </w:numPr>
      <w:spacing w:line="360" w:lineRule="auto"/>
      <w:ind w:left="0" w:firstLine="0"/>
      <w:jc w:val="center"/>
    </w:pPr>
    <w:rPr>
      <w:rFonts w:ascii="Arial Unicode MS" w:hAnsi="Arial Unicode MS" w:cs="宋体"/>
      <w:szCs w:val="20"/>
      <w:lang/>
    </w:rPr>
  </w:style>
  <w:style w:type="paragraph" w:styleId="14">
    <w:name w:val="Document Map"/>
    <w:basedOn w:val="1"/>
    <w:link w:val="121"/>
    <w:uiPriority w:val="0"/>
    <w:rPr>
      <w:rFonts w:ascii="宋体" w:hAnsi="Calibri"/>
      <w:sz w:val="18"/>
      <w:szCs w:val="18"/>
    </w:rPr>
  </w:style>
  <w:style w:type="paragraph" w:styleId="15">
    <w:name w:val="annotation text"/>
    <w:basedOn w:val="1"/>
    <w:link w:val="119"/>
    <w:uiPriority w:val="0"/>
    <w:pPr>
      <w:widowControl/>
      <w:jc w:val="left"/>
    </w:pPr>
    <w:rPr>
      <w:rFonts w:ascii="宋体" w:hAnsi="宋体"/>
      <w:szCs w:val="20"/>
    </w:rPr>
  </w:style>
  <w:style w:type="paragraph" w:styleId="16">
    <w:name w:val="Body Text"/>
    <w:basedOn w:val="1"/>
    <w:link w:val="104"/>
    <w:uiPriority w:val="0"/>
    <w:pPr>
      <w:widowControl/>
    </w:pPr>
    <w:rPr>
      <w:rFonts w:ascii="宋体" w:hAnsi="宋体"/>
      <w:sz w:val="28"/>
      <w:szCs w:val="22"/>
    </w:rPr>
  </w:style>
  <w:style w:type="paragraph" w:styleId="17">
    <w:name w:val="Body Text Indent"/>
    <w:basedOn w:val="1"/>
    <w:link w:val="62"/>
    <w:uiPriority w:val="0"/>
    <w:pPr>
      <w:spacing w:before="120" w:beforeLines="0" w:after="120" w:afterLines="0" w:line="360" w:lineRule="auto"/>
      <w:ind w:left="420" w:leftChars="200"/>
    </w:pPr>
    <w:rPr>
      <w:sz w:val="24"/>
      <w:szCs w:val="20"/>
    </w:rPr>
  </w:style>
  <w:style w:type="paragraph" w:styleId="18">
    <w:name w:val="toc 5"/>
    <w:basedOn w:val="1"/>
    <w:next w:val="1"/>
    <w:uiPriority w:val="0"/>
    <w:pPr>
      <w:ind w:left="1680" w:leftChars="800"/>
    </w:pPr>
  </w:style>
  <w:style w:type="paragraph" w:styleId="19">
    <w:name w:val="toc 3"/>
    <w:basedOn w:val="1"/>
    <w:next w:val="1"/>
    <w:uiPriority w:val="0"/>
    <w:pPr>
      <w:ind w:left="840" w:leftChars="400"/>
    </w:pPr>
  </w:style>
  <w:style w:type="paragraph" w:styleId="20">
    <w:name w:val="Plain Text"/>
    <w:basedOn w:val="1"/>
    <w:link w:val="83"/>
    <w:uiPriority w:val="0"/>
    <w:rPr>
      <w:rFonts w:ascii="宋体" w:hAnsi="Courier New"/>
      <w:szCs w:val="21"/>
    </w:rPr>
  </w:style>
  <w:style w:type="paragraph" w:styleId="21">
    <w:name w:val="toc 8"/>
    <w:basedOn w:val="1"/>
    <w:next w:val="1"/>
    <w:uiPriority w:val="0"/>
    <w:pPr>
      <w:ind w:left="2940" w:leftChars="1400"/>
    </w:pPr>
  </w:style>
  <w:style w:type="paragraph" w:styleId="22">
    <w:name w:val="Date"/>
    <w:basedOn w:val="1"/>
    <w:next w:val="1"/>
    <w:link w:val="70"/>
    <w:uiPriority w:val="0"/>
    <w:pPr>
      <w:ind w:left="100" w:leftChars="2500"/>
    </w:pPr>
    <w:rPr>
      <w:rFonts w:ascii="宋体" w:hAnsi="宋体"/>
      <w:color w:val="000000"/>
      <w:sz w:val="24"/>
    </w:rPr>
  </w:style>
  <w:style w:type="paragraph" w:styleId="23">
    <w:name w:val="Balloon Text"/>
    <w:basedOn w:val="1"/>
    <w:link w:val="75"/>
    <w:uiPriority w:val="0"/>
    <w:rPr>
      <w:sz w:val="18"/>
      <w:szCs w:val="18"/>
    </w:rPr>
  </w:style>
  <w:style w:type="paragraph" w:styleId="24">
    <w:name w:val="footer"/>
    <w:basedOn w:val="1"/>
    <w:link w:val="100"/>
    <w:uiPriority w:val="0"/>
    <w:pPr>
      <w:tabs>
        <w:tab w:val="center" w:pos="4153"/>
        <w:tab w:val="right" w:pos="8306"/>
      </w:tabs>
      <w:snapToGrid w:val="0"/>
      <w:jc w:val="left"/>
    </w:pPr>
    <w:rPr>
      <w:sz w:val="18"/>
      <w:szCs w:val="20"/>
    </w:rPr>
  </w:style>
  <w:style w:type="paragraph" w:styleId="25">
    <w:name w:val="header"/>
    <w:basedOn w:val="1"/>
    <w:link w:val="106"/>
    <w:uiPriority w:val="0"/>
    <w:pPr>
      <w:pBdr>
        <w:bottom w:val="single" w:color="auto" w:sz="6" w:space="1"/>
      </w:pBdr>
      <w:tabs>
        <w:tab w:val="center" w:pos="4153"/>
        <w:tab w:val="right" w:pos="8306"/>
      </w:tabs>
      <w:snapToGrid w:val="0"/>
      <w:jc w:val="center"/>
    </w:pPr>
    <w:rPr>
      <w:rFonts w:ascii="宋体"/>
      <w:kern w:val="0"/>
      <w:sz w:val="18"/>
      <w:szCs w:val="20"/>
    </w:rPr>
  </w:style>
  <w:style w:type="paragraph" w:styleId="26">
    <w:name w:val="toc 1"/>
    <w:basedOn w:val="1"/>
    <w:next w:val="1"/>
    <w:uiPriority w:val="0"/>
  </w:style>
  <w:style w:type="paragraph" w:styleId="27">
    <w:name w:val="toc 4"/>
    <w:basedOn w:val="1"/>
    <w:next w:val="1"/>
    <w:uiPriority w:val="0"/>
    <w:pPr>
      <w:ind w:left="1260" w:leftChars="600"/>
    </w:pPr>
  </w:style>
  <w:style w:type="paragraph" w:styleId="28">
    <w:name w:val="Subtitle"/>
    <w:basedOn w:val="1"/>
    <w:next w:val="1"/>
    <w:link w:val="80"/>
    <w:qFormat/>
    <w:uiPriority w:val="0"/>
    <w:pPr>
      <w:spacing w:line="360" w:lineRule="auto"/>
      <w:jc w:val="left"/>
      <w:outlineLvl w:val="2"/>
    </w:pPr>
    <w:rPr>
      <w:rFonts w:ascii="Cambria" w:hAnsi="Cambria"/>
      <w:b/>
      <w:bCs/>
      <w:kern w:val="28"/>
      <w:sz w:val="30"/>
      <w:szCs w:val="32"/>
    </w:rPr>
  </w:style>
  <w:style w:type="paragraph" w:styleId="29">
    <w:name w:val="toc 6"/>
    <w:basedOn w:val="1"/>
    <w:next w:val="1"/>
    <w:uiPriority w:val="0"/>
    <w:pPr>
      <w:ind w:left="2100" w:leftChars="1000"/>
    </w:pPr>
  </w:style>
  <w:style w:type="paragraph" w:styleId="30">
    <w:name w:val="Body Text Indent 3"/>
    <w:basedOn w:val="1"/>
    <w:link w:val="59"/>
    <w:uiPriority w:val="0"/>
    <w:pPr>
      <w:spacing w:after="120"/>
      <w:ind w:left="420" w:leftChars="200"/>
    </w:pPr>
    <w:rPr>
      <w:sz w:val="16"/>
      <w:szCs w:val="16"/>
    </w:rPr>
  </w:style>
  <w:style w:type="paragraph" w:styleId="31">
    <w:name w:val="toc 2"/>
    <w:basedOn w:val="1"/>
    <w:next w:val="1"/>
    <w:uiPriority w:val="0"/>
    <w:pPr>
      <w:ind w:left="420" w:leftChars="200"/>
    </w:pPr>
  </w:style>
  <w:style w:type="paragraph" w:styleId="32">
    <w:name w:val="toc 9"/>
    <w:basedOn w:val="1"/>
    <w:next w:val="1"/>
    <w:uiPriority w:val="0"/>
    <w:pPr>
      <w:ind w:left="3360" w:leftChars="1600"/>
    </w:pPr>
  </w:style>
  <w:style w:type="paragraph" w:styleId="33">
    <w:name w:val="HTML Preformatted"/>
    <w:basedOn w:val="1"/>
    <w:link w:val="105"/>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kern w:val="0"/>
      <w:sz w:val="24"/>
    </w:rPr>
  </w:style>
  <w:style w:type="paragraph" w:styleId="34">
    <w:name w:val="Normal (Web)"/>
    <w:basedOn w:val="1"/>
    <w:uiPriority w:val="0"/>
    <w:pPr>
      <w:widowControl/>
      <w:spacing w:before="100" w:beforeAutospacing="1" w:after="100" w:afterAutospacing="1"/>
      <w:jc w:val="left"/>
    </w:pPr>
    <w:rPr>
      <w:rFonts w:ascii="宋体" w:hAnsi="宋体" w:cs="宋体"/>
      <w:kern w:val="0"/>
      <w:sz w:val="24"/>
    </w:rPr>
  </w:style>
  <w:style w:type="paragraph" w:styleId="35">
    <w:name w:val="Body Text First Indent"/>
    <w:basedOn w:val="16"/>
    <w:link w:val="94"/>
    <w:uiPriority w:val="0"/>
    <w:pPr>
      <w:widowControl w:val="0"/>
      <w:spacing w:after="120"/>
      <w:ind w:firstLine="420" w:firstLineChars="100"/>
    </w:pPr>
    <w:rPr>
      <w:rFonts w:ascii="Calibri" w:hAnsi="Calibri"/>
      <w:sz w:val="21"/>
    </w:rPr>
  </w:style>
  <w:style w:type="paragraph" w:styleId="36">
    <w:name w:val="Body Text First Indent 2"/>
    <w:basedOn w:val="17"/>
    <w:link w:val="61"/>
    <w:qFormat/>
    <w:uiPriority w:val="0"/>
    <w:pPr>
      <w:spacing w:before="0" w:line="240" w:lineRule="auto"/>
      <w:ind w:firstLine="420"/>
    </w:pPr>
    <w:rPr>
      <w:rFonts w:cs="宋体"/>
      <w:sz w:val="21"/>
      <w:szCs w:val="24"/>
    </w:rPr>
  </w:style>
  <w:style w:type="table" w:styleId="38">
    <w:name w:val="Table Grid"/>
    <w:basedOn w:val="37"/>
    <w:uiPriority w:val="0"/>
    <w:pPr>
      <w:widowControl w:val="0"/>
      <w:jc w:val="both"/>
    </w:pPr>
    <w:tblPr>
      <w:tblStyle w:val="37"/>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table" w:styleId="39">
    <w:name w:val="Table Web 1"/>
    <w:basedOn w:val="37"/>
    <w:uiPriority w:val="0"/>
    <w:pPr>
      <w:widowControl w:val="0"/>
      <w:jc w:val="both"/>
    </w:pPr>
    <w:tblPr>
      <w:tblStyle w:val="37"/>
      <w:tblCellSpacing w:w="2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tblPr>
    <w:trPr>
      <w:tblCellSpacing w:w="20" w:type="dxa"/>
    </w:trPr>
    <w:tcPr>
      <w:shd w:val="clear" w:color="auto" w:fill="auto"/>
    </w:tcPr>
    <w:tblStylePr w:type="firstRow">
      <w:rPr>
        <w:color w:val="auto"/>
      </w:rPr>
      <w:tblPr>
        <w:tblStyle w:val="37"/>
      </w:tblPr>
      <w:tcPr>
        <w:tcBorders>
          <w:top w:val="nil"/>
          <w:left w:val="nil"/>
          <w:bottom w:val="nil"/>
          <w:right w:val="nil"/>
          <w:insideH w:val="nil"/>
          <w:insideV w:val="nil"/>
          <w:tl2br w:val="nil"/>
          <w:tr2bl w:val="nil"/>
        </w:tcBorders>
      </w:tcPr>
    </w:tblStylePr>
  </w:style>
  <w:style w:type="table" w:styleId="40">
    <w:name w:val="Table Web 2"/>
    <w:basedOn w:val="37"/>
    <w:uiPriority w:val="0"/>
    <w:pPr>
      <w:widowControl w:val="0"/>
      <w:jc w:val="both"/>
    </w:pPr>
    <w:tblPr>
      <w:tblStyle w:val="37"/>
      <w:tblCellSpacing w:w="20" w:type="dxa"/>
      <w:tblBorders>
        <w:top w:val="inset" w:color="auto" w:sz="6" w:space="0"/>
        <w:left w:val="inset" w:color="auto" w:sz="6" w:space="0"/>
        <w:bottom w:val="inset" w:color="auto" w:sz="6" w:space="0"/>
        <w:right w:val="inset" w:color="auto" w:sz="6" w:space="0"/>
        <w:insideH w:val="inset" w:color="auto" w:sz="6" w:space="0"/>
        <w:insideV w:val="inset" w:color="auto" w:sz="6" w:space="0"/>
      </w:tblBorders>
    </w:tblPr>
    <w:trPr>
      <w:tblCellSpacing w:w="20" w:type="dxa"/>
    </w:trPr>
    <w:tcPr>
      <w:shd w:val="clear" w:color="auto" w:fill="auto"/>
    </w:tcPr>
    <w:tblStylePr w:type="firstRow">
      <w:rPr>
        <w:color w:val="auto"/>
      </w:rPr>
      <w:tblPr>
        <w:tblStyle w:val="37"/>
      </w:tblPr>
      <w:tcPr>
        <w:tcBorders>
          <w:top w:val="nil"/>
          <w:left w:val="nil"/>
          <w:bottom w:val="nil"/>
          <w:right w:val="nil"/>
          <w:insideH w:val="nil"/>
          <w:insideV w:val="nil"/>
          <w:tl2br w:val="nil"/>
          <w:tr2bl w:val="nil"/>
        </w:tcBorders>
      </w:tcPr>
    </w:tblStylePr>
  </w:style>
  <w:style w:type="table" w:styleId="41">
    <w:name w:val="Table Web 3"/>
    <w:basedOn w:val="37"/>
    <w:uiPriority w:val="0"/>
    <w:pPr>
      <w:widowControl w:val="0"/>
      <w:jc w:val="both"/>
    </w:pPr>
    <w:tblPr>
      <w:tblStyle w:val="37"/>
      <w:tblCellSpacing w:w="20" w:type="dxa"/>
      <w:tblBorders>
        <w:top w:val="outset" w:color="auto" w:sz="24" w:space="0"/>
        <w:left w:val="outset" w:color="auto" w:sz="24" w:space="0"/>
        <w:bottom w:val="outset" w:color="auto" w:sz="24" w:space="0"/>
        <w:right w:val="outset" w:color="auto" w:sz="24" w:space="0"/>
        <w:insideH w:val="outset" w:color="auto" w:sz="6" w:space="0"/>
        <w:insideV w:val="outset" w:color="auto" w:sz="6" w:space="0"/>
      </w:tblBorders>
    </w:tblPr>
    <w:trPr>
      <w:tblCellSpacing w:w="20" w:type="dxa"/>
    </w:trPr>
    <w:tcPr>
      <w:shd w:val="clear" w:color="auto" w:fill="auto"/>
    </w:tcPr>
    <w:tblStylePr w:type="firstRow">
      <w:rPr>
        <w:color w:val="auto"/>
      </w:rPr>
      <w:tblPr>
        <w:tblStyle w:val="37"/>
      </w:tblPr>
      <w:tcPr>
        <w:tcBorders>
          <w:top w:val="nil"/>
          <w:left w:val="nil"/>
          <w:bottom w:val="nil"/>
          <w:right w:val="nil"/>
          <w:insideH w:val="nil"/>
          <w:insideV w:val="nil"/>
          <w:tl2br w:val="nil"/>
          <w:tr2bl w:val="nil"/>
        </w:tcBorders>
      </w:tcPr>
    </w:tblStylePr>
  </w:style>
  <w:style w:type="table" w:styleId="42">
    <w:name w:val="Table Professional"/>
    <w:basedOn w:val="37"/>
    <w:uiPriority w:val="0"/>
    <w:pPr>
      <w:widowControl w:val="0"/>
      <w:jc w:val="both"/>
    </w:pPr>
    <w:tblPr>
      <w:tblStyle w:val="37"/>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Pr>
    <w:tcPr>
      <w:shd w:val="clear" w:color="auto" w:fill="auto"/>
    </w:tcPr>
    <w:tblStylePr w:type="firstRow">
      <w:rPr>
        <w:b/>
        <w:bCs/>
        <w:color w:val="auto"/>
      </w:rPr>
      <w:tblPr>
        <w:tblStyle w:val="37"/>
      </w:tblPr>
      <w:tcPr>
        <w:tcBorders>
          <w:top w:val="nil"/>
          <w:left w:val="nil"/>
          <w:bottom w:val="nil"/>
          <w:right w:val="nil"/>
          <w:insideH w:val="nil"/>
          <w:insideV w:val="nil"/>
          <w:tl2br w:val="nil"/>
          <w:tr2bl w:val="nil"/>
        </w:tcBorders>
        <w:shd w:val="solid" w:color="000000" w:fill="FFFFFF"/>
      </w:tcPr>
    </w:tblStylePr>
  </w:style>
  <w:style w:type="character" w:styleId="44">
    <w:name w:val="Strong"/>
    <w:qFormat/>
    <w:uiPriority w:val="0"/>
  </w:style>
  <w:style w:type="character" w:styleId="45">
    <w:name w:val="page number"/>
    <w:basedOn w:val="43"/>
    <w:uiPriority w:val="0"/>
  </w:style>
  <w:style w:type="character" w:styleId="46">
    <w:name w:val="FollowedHyperlink"/>
    <w:uiPriority w:val="0"/>
    <w:rPr>
      <w:color w:val="800080"/>
      <w:u w:val="none"/>
    </w:rPr>
  </w:style>
  <w:style w:type="character" w:styleId="47">
    <w:name w:val="Emphasis"/>
    <w:qFormat/>
    <w:uiPriority w:val="0"/>
  </w:style>
  <w:style w:type="character" w:styleId="48">
    <w:name w:val="HTML Definition"/>
    <w:uiPriority w:val="0"/>
  </w:style>
  <w:style w:type="character" w:styleId="49">
    <w:name w:val="HTML Typewriter"/>
    <w:uiPriority w:val="0"/>
    <w:rPr>
      <w:rFonts w:ascii="monospace" w:hAnsi="monospace" w:eastAsia="monospace" w:cs="monospace"/>
      <w:sz w:val="20"/>
    </w:rPr>
  </w:style>
  <w:style w:type="character" w:styleId="50">
    <w:name w:val="HTML Acronym"/>
    <w:basedOn w:val="43"/>
    <w:uiPriority w:val="0"/>
  </w:style>
  <w:style w:type="character" w:styleId="51">
    <w:name w:val="HTML Variable"/>
    <w:uiPriority w:val="0"/>
  </w:style>
  <w:style w:type="character" w:styleId="52">
    <w:name w:val="Hyperlink"/>
    <w:qFormat/>
    <w:uiPriority w:val="0"/>
    <w:rPr>
      <w:color w:val="0000FF"/>
      <w:u w:val="none"/>
    </w:rPr>
  </w:style>
  <w:style w:type="character" w:styleId="53">
    <w:name w:val="HTML Code"/>
    <w:uiPriority w:val="0"/>
    <w:rPr>
      <w:rFonts w:hint="default" w:ascii="monospace" w:hAnsi="monospace" w:eastAsia="monospace" w:cs="monospace"/>
      <w:sz w:val="20"/>
    </w:rPr>
  </w:style>
  <w:style w:type="character" w:styleId="54">
    <w:name w:val="annotation reference"/>
    <w:uiPriority w:val="99"/>
    <w:rPr>
      <w:sz w:val="21"/>
      <w:szCs w:val="21"/>
    </w:rPr>
  </w:style>
  <w:style w:type="character" w:styleId="55">
    <w:name w:val="HTML Cite"/>
    <w:uiPriority w:val="0"/>
  </w:style>
  <w:style w:type="character" w:styleId="56">
    <w:name w:val="HTML Keyboard"/>
    <w:uiPriority w:val="0"/>
    <w:rPr>
      <w:rFonts w:hint="default" w:ascii="monospace" w:hAnsi="monospace" w:eastAsia="monospace" w:cs="monospace"/>
      <w:sz w:val="20"/>
    </w:rPr>
  </w:style>
  <w:style w:type="character" w:styleId="57">
    <w:name w:val="HTML Sample"/>
    <w:uiPriority w:val="0"/>
    <w:rPr>
      <w:rFonts w:hint="default" w:ascii="monospace" w:hAnsi="monospace" w:eastAsia="monospace" w:cs="monospace"/>
    </w:rPr>
  </w:style>
  <w:style w:type="character" w:customStyle="1" w:styleId="58">
    <w:name w:val=" Char Char26"/>
    <w:qFormat/>
    <w:uiPriority w:val="0"/>
    <w:rPr>
      <w:rFonts w:ascii="宋体" w:hAnsi="Courier New" w:eastAsia="宋体" w:cs="Arial"/>
      <w:snapToGrid w:val="0"/>
      <w:kern w:val="2"/>
      <w:sz w:val="21"/>
      <w:szCs w:val="21"/>
      <w:lang w:val="en-US" w:eastAsia="zh-CN" w:bidi="ar-SA"/>
    </w:rPr>
  </w:style>
  <w:style w:type="character" w:customStyle="1" w:styleId="59">
    <w:name w:val="正文文本缩进 3 Char"/>
    <w:link w:val="30"/>
    <w:uiPriority w:val="0"/>
    <w:rPr>
      <w:kern w:val="2"/>
      <w:sz w:val="16"/>
      <w:szCs w:val="16"/>
    </w:rPr>
  </w:style>
  <w:style w:type="character" w:customStyle="1" w:styleId="60">
    <w:name w:val="font91"/>
    <w:uiPriority w:val="0"/>
    <w:rPr>
      <w:rFonts w:hint="eastAsia" w:ascii="宋体" w:hAnsi="宋体" w:eastAsia="宋体" w:cs="宋体"/>
      <w:color w:val="000000"/>
      <w:sz w:val="20"/>
      <w:szCs w:val="20"/>
      <w:u w:val="none"/>
    </w:rPr>
  </w:style>
  <w:style w:type="character" w:customStyle="1" w:styleId="61">
    <w:name w:val="正文首行缩进 2 Char"/>
    <w:basedOn w:val="62"/>
    <w:link w:val="36"/>
    <w:uiPriority w:val="0"/>
  </w:style>
  <w:style w:type="character" w:customStyle="1" w:styleId="62">
    <w:name w:val="正文文本缩进 Char1"/>
    <w:link w:val="17"/>
    <w:uiPriority w:val="0"/>
    <w:rPr>
      <w:kern w:val="2"/>
      <w:sz w:val="24"/>
    </w:rPr>
  </w:style>
  <w:style w:type="character" w:customStyle="1" w:styleId="63">
    <w:name w:val="标题 7 Char"/>
    <w:link w:val="9"/>
    <w:uiPriority w:val="0"/>
    <w:rPr>
      <w:rFonts w:eastAsia="宋体"/>
      <w:b/>
      <w:bCs/>
      <w:sz w:val="24"/>
      <w:szCs w:val="24"/>
      <w:lang w:val="en-US" w:eastAsia="zh-CN" w:bidi="ar-SA"/>
    </w:rPr>
  </w:style>
  <w:style w:type="character" w:customStyle="1" w:styleId="64">
    <w:name w:val=" Char Char2"/>
    <w:link w:val="65"/>
    <w:uiPriority w:val="0"/>
    <w:rPr>
      <w:rFonts w:eastAsia="宋体"/>
      <w:kern w:val="2"/>
      <w:sz w:val="18"/>
      <w:lang w:val="en-US" w:eastAsia="zh-CN" w:bidi="ar-SA"/>
    </w:rPr>
  </w:style>
  <w:style w:type="paragraph" w:customStyle="1" w:styleId="65">
    <w:name w:val="Balloon Text"/>
    <w:basedOn w:val="1"/>
    <w:link w:val="64"/>
    <w:uiPriority w:val="0"/>
    <w:rPr>
      <w:sz w:val="18"/>
      <w:szCs w:val="20"/>
    </w:rPr>
  </w:style>
  <w:style w:type="character" w:customStyle="1" w:styleId="66">
    <w:name w:val="font01"/>
    <w:qFormat/>
    <w:uiPriority w:val="0"/>
    <w:rPr>
      <w:rFonts w:hint="eastAsia" w:ascii="宋体" w:hAnsi="宋体" w:eastAsia="宋体" w:cs="宋体"/>
      <w:color w:val="FF0000"/>
      <w:sz w:val="20"/>
      <w:szCs w:val="20"/>
      <w:u w:val="none"/>
    </w:rPr>
  </w:style>
  <w:style w:type="character" w:customStyle="1" w:styleId="67">
    <w:name w:val="font131"/>
    <w:uiPriority w:val="0"/>
    <w:rPr>
      <w:rFonts w:hint="eastAsia" w:ascii="宋体" w:hAnsi="宋体" w:eastAsia="宋体" w:cs="宋体"/>
      <w:color w:val="000000"/>
      <w:sz w:val="20"/>
      <w:szCs w:val="20"/>
      <w:u w:val="none"/>
    </w:rPr>
  </w:style>
  <w:style w:type="character" w:customStyle="1" w:styleId="68">
    <w:name w:val="标题 6 Char"/>
    <w:link w:val="8"/>
    <w:uiPriority w:val="0"/>
    <w:rPr>
      <w:rFonts w:ascii="Cambria" w:hAnsi="Cambria" w:eastAsia="宋体"/>
      <w:b/>
      <w:bCs/>
      <w:sz w:val="24"/>
      <w:szCs w:val="24"/>
      <w:lang w:val="en-US" w:eastAsia="zh-CN" w:bidi="ar-SA"/>
    </w:rPr>
  </w:style>
  <w:style w:type="character" w:customStyle="1" w:styleId="69">
    <w:name w:val="font51"/>
    <w:qFormat/>
    <w:uiPriority w:val="0"/>
    <w:rPr>
      <w:rFonts w:hint="eastAsia" w:ascii="宋体" w:hAnsi="宋体" w:eastAsia="宋体" w:cs="宋体"/>
      <w:color w:val="000000"/>
      <w:sz w:val="24"/>
      <w:szCs w:val="24"/>
      <w:u w:val="none"/>
    </w:rPr>
  </w:style>
  <w:style w:type="character" w:customStyle="1" w:styleId="70">
    <w:name w:val="日期 Char"/>
    <w:link w:val="22"/>
    <w:uiPriority w:val="0"/>
    <w:rPr>
      <w:rFonts w:ascii="宋体" w:hAnsi="宋体"/>
      <w:color w:val="000000"/>
      <w:kern w:val="2"/>
      <w:sz w:val="24"/>
      <w:szCs w:val="24"/>
    </w:rPr>
  </w:style>
  <w:style w:type="character" w:customStyle="1" w:styleId="71">
    <w:name w:val="font101"/>
    <w:uiPriority w:val="0"/>
    <w:rPr>
      <w:rFonts w:hint="eastAsia" w:ascii="宋体" w:hAnsi="宋体" w:eastAsia="宋体" w:cs="宋体"/>
      <w:color w:val="000000"/>
      <w:sz w:val="20"/>
      <w:szCs w:val="20"/>
      <w:u w:val="none"/>
    </w:rPr>
  </w:style>
  <w:style w:type="character" w:customStyle="1" w:styleId="72">
    <w:name w:val="font171"/>
    <w:uiPriority w:val="0"/>
    <w:rPr>
      <w:rFonts w:hint="eastAsia" w:ascii="宋体" w:hAnsi="宋体" w:eastAsia="宋体" w:cs="宋体"/>
      <w:color w:val="000000"/>
      <w:sz w:val="20"/>
      <w:szCs w:val="20"/>
      <w:u w:val="none"/>
    </w:rPr>
  </w:style>
  <w:style w:type="character" w:customStyle="1" w:styleId="73">
    <w:name w:val="font71"/>
    <w:qFormat/>
    <w:uiPriority w:val="0"/>
    <w:rPr>
      <w:rFonts w:hint="eastAsia" w:ascii="宋体" w:hAnsi="宋体" w:eastAsia="宋体" w:cs="宋体"/>
      <w:color w:val="000000"/>
      <w:sz w:val="24"/>
      <w:szCs w:val="24"/>
      <w:u w:val="none"/>
    </w:rPr>
  </w:style>
  <w:style w:type="character" w:customStyle="1" w:styleId="74">
    <w:name w:val="标题 5 Char"/>
    <w:link w:val="7"/>
    <w:uiPriority w:val="0"/>
    <w:rPr>
      <w:rFonts w:eastAsia="宋体"/>
      <w:b/>
      <w:bCs/>
      <w:sz w:val="28"/>
      <w:szCs w:val="28"/>
      <w:lang w:val="en-US" w:eastAsia="zh-CN" w:bidi="ar-SA"/>
    </w:rPr>
  </w:style>
  <w:style w:type="character" w:customStyle="1" w:styleId="75">
    <w:name w:val="批注框文本 Char"/>
    <w:link w:val="23"/>
    <w:uiPriority w:val="0"/>
    <w:rPr>
      <w:kern w:val="2"/>
      <w:sz w:val="18"/>
      <w:szCs w:val="18"/>
    </w:rPr>
  </w:style>
  <w:style w:type="character" w:customStyle="1" w:styleId="76">
    <w:name w:val="bullet Char"/>
    <w:aliases w:val="bl Char,bb Char,PIM 4 Char,H4 Char,h4 Char,4 Char,4heading Char,h41 Char,h42 Char,h43 Char,h411 Char,h44 Char,h412 Char,h45 Char,h413 Char,h46 Char,h414 Char,h47 Char,h48 Char,h415 Char,h49 Char,h410 Char,h416 Char,h417 Char,h418 Char,d Char"/>
    <w:link w:val="77"/>
    <w:uiPriority w:val="0"/>
    <w:rPr>
      <w:rFonts w:ascii="黑体" w:eastAsia="黑体"/>
      <w:b/>
      <w:kern w:val="2"/>
      <w:sz w:val="24"/>
      <w:lang w:bidi="ar-SA"/>
    </w:rPr>
  </w:style>
  <w:style w:type="paragraph" w:customStyle="1" w:styleId="77">
    <w:name w:val="heading 4"/>
    <w:basedOn w:val="1"/>
    <w:next w:val="4"/>
    <w:link w:val="76"/>
    <w:uiPriority w:val="0"/>
    <w:pPr>
      <w:keepNext/>
      <w:numPr>
        <w:ilvl w:val="0"/>
        <w:numId w:val="2"/>
      </w:numPr>
      <w:spacing w:line="216" w:lineRule="auto"/>
      <w:outlineLvl w:val="3"/>
    </w:pPr>
    <w:rPr>
      <w:rFonts w:ascii="黑体" w:eastAsia="黑体"/>
      <w:b/>
      <w:sz w:val="24"/>
      <w:szCs w:val="20"/>
    </w:rPr>
  </w:style>
  <w:style w:type="character" w:customStyle="1" w:styleId="78">
    <w:name w:val="正文2 Char Char"/>
    <w:link w:val="79"/>
    <w:qFormat/>
    <w:uiPriority w:val="0"/>
    <w:rPr>
      <w:kern w:val="2"/>
      <w:sz w:val="24"/>
    </w:rPr>
  </w:style>
  <w:style w:type="paragraph" w:customStyle="1" w:styleId="79">
    <w:name w:val="正文2"/>
    <w:basedOn w:val="1"/>
    <w:link w:val="78"/>
    <w:uiPriority w:val="0"/>
    <w:pPr>
      <w:adjustRightInd w:val="0"/>
      <w:spacing w:before="156" w:line="360" w:lineRule="auto"/>
      <w:ind w:firstLine="510" w:firstLineChars="200"/>
    </w:pPr>
    <w:rPr>
      <w:sz w:val="24"/>
      <w:szCs w:val="20"/>
    </w:rPr>
  </w:style>
  <w:style w:type="character" w:customStyle="1" w:styleId="80">
    <w:name w:val="副标题 Char"/>
    <w:link w:val="28"/>
    <w:uiPriority w:val="0"/>
    <w:rPr>
      <w:rFonts w:ascii="Cambria" w:hAnsi="Cambria"/>
      <w:b/>
      <w:bCs/>
      <w:kern w:val="28"/>
      <w:sz w:val="30"/>
      <w:szCs w:val="32"/>
    </w:rPr>
  </w:style>
  <w:style w:type="character" w:customStyle="1" w:styleId="81">
    <w:name w:val="H2 Char"/>
    <w:aliases w:val="HD2 Char,PIM2 Char,Heading 2 Hidden Char,Heading 2 CCBS Char,heading 2 Char,Titre3 Char,sect 1.2 Char,H21 Char,sect 1.21 Char,H22 Char,sect 1.22 Char,H211 Char,sect 1.211 Char,H23 Char,sect 1.23 Char,H212 Char,sect 1.212 Char,h2 Char,DO Char"/>
    <w:link w:val="82"/>
    <w:uiPriority w:val="0"/>
    <w:rPr>
      <w:rFonts w:ascii="宋体" w:eastAsia="宋体"/>
      <w:b/>
      <w:kern w:val="2"/>
      <w:sz w:val="28"/>
      <w:lang w:val="en-US" w:eastAsia="zh-CN" w:bidi="ar-SA"/>
    </w:rPr>
  </w:style>
  <w:style w:type="paragraph" w:customStyle="1" w:styleId="82">
    <w:name w:val="heading 2"/>
    <w:basedOn w:val="1"/>
    <w:next w:val="4"/>
    <w:link w:val="81"/>
    <w:qFormat/>
    <w:uiPriority w:val="0"/>
    <w:pPr>
      <w:keepNext/>
      <w:spacing w:line="216" w:lineRule="auto"/>
      <w:outlineLvl w:val="1"/>
    </w:pPr>
    <w:rPr>
      <w:rFonts w:ascii="宋体"/>
      <w:b/>
      <w:sz w:val="28"/>
      <w:szCs w:val="20"/>
    </w:rPr>
  </w:style>
  <w:style w:type="character" w:customStyle="1" w:styleId="83">
    <w:name w:val="纯文本 Char"/>
    <w:link w:val="20"/>
    <w:locked/>
    <w:uiPriority w:val="0"/>
    <w:rPr>
      <w:rFonts w:ascii="宋体" w:hAnsi="Courier New" w:cs="Courier New"/>
      <w:kern w:val="2"/>
      <w:sz w:val="21"/>
      <w:szCs w:val="21"/>
    </w:rPr>
  </w:style>
  <w:style w:type="character" w:customStyle="1" w:styleId="84">
    <w:name w:val="标题 1 Char"/>
    <w:link w:val="2"/>
    <w:uiPriority w:val="0"/>
    <w:rPr>
      <w:rFonts w:ascii="宋体" w:hAnsi="宋体" w:eastAsia="宋体"/>
      <w:b/>
      <w:kern w:val="2"/>
      <w:sz w:val="30"/>
      <w:lang w:val="en-US" w:eastAsia="zh-CN" w:bidi="ar-SA"/>
    </w:rPr>
  </w:style>
  <w:style w:type="character" w:customStyle="1" w:styleId="85">
    <w:name w:val="普通文字 Char Char1"/>
    <w:aliases w:val="纯文本 Char Char Char,普通文字 Char Char Char,普通文字 Char1,普通文字 Char Char Char Char Char,Texte Char,0921 Char,正 文 1 Char,普通文字1 Char,普通文字2 Char,普通文字3 Char,普通文字4 Char,普通文字5 Char,普通文字6 Char,普通文字11 Char,普通文字 Char Char Char1,纯文本 Char Char1,小 Char"/>
    <w:link w:val="86"/>
    <w:uiPriority w:val="0"/>
    <w:rPr>
      <w:rFonts w:ascii="宋体" w:hAnsi="Courier New" w:eastAsia="宋体"/>
      <w:kern w:val="2"/>
      <w:sz w:val="21"/>
      <w:lang w:val="en-US" w:eastAsia="zh-CN" w:bidi="ar-SA"/>
    </w:rPr>
  </w:style>
  <w:style w:type="paragraph" w:customStyle="1" w:styleId="86">
    <w:name w:val="Plain Text"/>
    <w:basedOn w:val="1"/>
    <w:link w:val="85"/>
    <w:qFormat/>
    <w:uiPriority w:val="0"/>
    <w:rPr>
      <w:rFonts w:ascii="宋体" w:hAnsi="Courier New"/>
      <w:szCs w:val="20"/>
    </w:rPr>
  </w:style>
  <w:style w:type="character" w:customStyle="1" w:styleId="87">
    <w:name w:val="正文缩进2字符 Char"/>
    <w:link w:val="88"/>
    <w:uiPriority w:val="0"/>
    <w:rPr>
      <w:rFonts w:eastAsia="宋体"/>
      <w:kern w:val="2"/>
      <w:sz w:val="24"/>
      <w:lang w:val="en-US" w:eastAsia="zh-CN" w:bidi="ar-SA"/>
    </w:rPr>
  </w:style>
  <w:style w:type="paragraph" w:customStyle="1" w:styleId="88">
    <w:name w:val="正文缩进2字符"/>
    <w:basedOn w:val="1"/>
    <w:link w:val="87"/>
    <w:qFormat/>
    <w:uiPriority w:val="0"/>
    <w:pPr>
      <w:spacing w:line="360" w:lineRule="auto"/>
      <w:ind w:firstLine="200" w:firstLineChars="200"/>
      <w:jc w:val="left"/>
    </w:pPr>
    <w:rPr>
      <w:sz w:val="24"/>
      <w:szCs w:val="20"/>
    </w:rPr>
  </w:style>
  <w:style w:type="character" w:customStyle="1" w:styleId="89">
    <w:name w:val="副标题 Char1"/>
    <w:uiPriority w:val="0"/>
    <w:rPr>
      <w:rFonts w:ascii="Cambria" w:hAnsi="Cambria" w:cs="Times New Roman"/>
      <w:b/>
      <w:bCs/>
      <w:kern w:val="28"/>
      <w:sz w:val="32"/>
      <w:szCs w:val="32"/>
    </w:rPr>
  </w:style>
  <w:style w:type="character" w:customStyle="1" w:styleId="90">
    <w:name w:val="font181"/>
    <w:uiPriority w:val="0"/>
    <w:rPr>
      <w:rFonts w:hint="eastAsia" w:ascii="宋体" w:hAnsi="宋体" w:eastAsia="宋体" w:cs="宋体"/>
      <w:color w:val="000000"/>
      <w:sz w:val="20"/>
      <w:szCs w:val="20"/>
      <w:u w:val="none"/>
    </w:rPr>
  </w:style>
  <w:style w:type="character" w:customStyle="1" w:styleId="91">
    <w:name w:val="正文啊。 Char"/>
    <w:link w:val="92"/>
    <w:uiPriority w:val="0"/>
    <w:rPr>
      <w:rFonts w:ascii="宋体" w:hAnsi="宋体"/>
      <w:kern w:val="2"/>
      <w:sz w:val="21"/>
      <w:szCs w:val="21"/>
      <w:lang w:bidi="ar-SA"/>
    </w:rPr>
  </w:style>
  <w:style w:type="paragraph" w:customStyle="1" w:styleId="92">
    <w:name w:val="正文啊。"/>
    <w:basedOn w:val="1"/>
    <w:link w:val="91"/>
    <w:qFormat/>
    <w:uiPriority w:val="0"/>
    <w:pPr>
      <w:spacing w:line="360" w:lineRule="auto"/>
      <w:ind w:firstLine="420" w:firstLineChars="200"/>
    </w:pPr>
    <w:rPr>
      <w:rFonts w:ascii="宋体" w:hAnsi="宋体"/>
      <w:szCs w:val="21"/>
    </w:rPr>
  </w:style>
  <w:style w:type="character" w:customStyle="1" w:styleId="93">
    <w:name w:val="标题 9 Char"/>
    <w:link w:val="11"/>
    <w:uiPriority w:val="0"/>
    <w:rPr>
      <w:rFonts w:ascii="Cambria" w:hAnsi="Cambria" w:eastAsia="宋体"/>
      <w:szCs w:val="21"/>
      <w:lang w:val="en-US" w:eastAsia="zh-CN" w:bidi="ar-SA"/>
    </w:rPr>
  </w:style>
  <w:style w:type="character" w:customStyle="1" w:styleId="94">
    <w:name w:val="正文首行缩进 Char"/>
    <w:link w:val="35"/>
    <w:uiPriority w:val="0"/>
    <w:rPr>
      <w:rFonts w:ascii="Calibri" w:hAnsi="Calibri"/>
      <w:kern w:val="2"/>
      <w:sz w:val="21"/>
      <w:szCs w:val="22"/>
      <w:lang w:bidi="ar-SA"/>
    </w:rPr>
  </w:style>
  <w:style w:type="character" w:customStyle="1" w:styleId="95">
    <w:name w:val="BOD 0 Char"/>
    <w:aliases w:val="Level 3 Head Char,H3 Char,Heading 3 - old Char,level_3 Char,PIM 3 Char,h3 Char,sect1.2.3 Char,sect1.2.31 Char,sect1.2.32 Char,sect1.2.311 Char,sect1.2.33 Char,sect1.2.312 Char,Bold Head Char,bh Char,L3 Char,dd heading 3 Char,dh3 Char,3 Char"/>
    <w:link w:val="96"/>
    <w:uiPriority w:val="0"/>
    <w:rPr>
      <w:rFonts w:ascii="宋体"/>
      <w:b/>
      <w:kern w:val="2"/>
      <w:sz w:val="28"/>
      <w:lang w:bidi="ar-SA"/>
    </w:rPr>
  </w:style>
  <w:style w:type="paragraph" w:customStyle="1" w:styleId="96">
    <w:name w:val="heading 3"/>
    <w:basedOn w:val="1"/>
    <w:next w:val="1"/>
    <w:link w:val="95"/>
    <w:uiPriority w:val="0"/>
    <w:pPr>
      <w:keepNext/>
      <w:numPr>
        <w:ilvl w:val="0"/>
        <w:numId w:val="3"/>
      </w:numPr>
      <w:spacing w:line="216" w:lineRule="auto"/>
      <w:outlineLvl w:val="2"/>
    </w:pPr>
    <w:rPr>
      <w:rFonts w:ascii="宋体"/>
      <w:b/>
      <w:sz w:val="28"/>
      <w:szCs w:val="20"/>
    </w:rPr>
  </w:style>
  <w:style w:type="character" w:customStyle="1" w:styleId="97">
    <w:name w:val="标题 8 Char"/>
    <w:link w:val="10"/>
    <w:uiPriority w:val="0"/>
    <w:rPr>
      <w:rFonts w:ascii="Cambria" w:hAnsi="Cambria" w:eastAsia="宋体"/>
      <w:sz w:val="24"/>
      <w:szCs w:val="24"/>
      <w:lang w:val="en-US" w:eastAsia="zh-CN" w:bidi="ar-SA"/>
    </w:rPr>
  </w:style>
  <w:style w:type="character" w:customStyle="1" w:styleId="98">
    <w:name w:val="编号 Char"/>
    <w:aliases w:val="列出段落 Char,列出段落1 Char"/>
    <w:link w:val="99"/>
    <w:uiPriority w:val="0"/>
    <w:rPr>
      <w:rFonts w:ascii="Arial" w:hAnsi="Arial" w:eastAsia="宋体"/>
      <w:kern w:val="2"/>
      <w:sz w:val="24"/>
      <w:lang w:val="en-US" w:eastAsia="zh-CN" w:bidi="ar-SA"/>
    </w:rPr>
  </w:style>
  <w:style w:type="paragraph" w:customStyle="1" w:styleId="99">
    <w:name w:val="编号"/>
    <w:basedOn w:val="1"/>
    <w:next w:val="1"/>
    <w:link w:val="98"/>
    <w:uiPriority w:val="0"/>
    <w:pPr>
      <w:tabs>
        <w:tab w:val="left" w:pos="0"/>
      </w:tabs>
      <w:spacing w:line="360" w:lineRule="auto"/>
      <w:ind w:left="902" w:hanging="420"/>
      <w:jc w:val="left"/>
    </w:pPr>
    <w:rPr>
      <w:rFonts w:ascii="Arial" w:hAnsi="Arial"/>
      <w:sz w:val="24"/>
      <w:szCs w:val="20"/>
    </w:rPr>
  </w:style>
  <w:style w:type="character" w:customStyle="1" w:styleId="100">
    <w:name w:val="页脚 Char"/>
    <w:link w:val="24"/>
    <w:uiPriority w:val="0"/>
    <w:rPr>
      <w:rFonts w:eastAsia="宋体"/>
      <w:kern w:val="2"/>
      <w:sz w:val="18"/>
      <w:lang w:val="en-US" w:eastAsia="zh-CN" w:bidi="ar-SA"/>
    </w:rPr>
  </w:style>
  <w:style w:type="character" w:customStyle="1" w:styleId="101">
    <w:name w:val="正文文本缩进 2 Char"/>
    <w:link w:val="102"/>
    <w:uiPriority w:val="0"/>
    <w:rPr>
      <w:rFonts w:eastAsia="宋体"/>
      <w:szCs w:val="21"/>
      <w:lang w:bidi="ar-SA"/>
    </w:rPr>
  </w:style>
  <w:style w:type="paragraph" w:customStyle="1" w:styleId="102">
    <w:name w:val="Body Text Indent 2"/>
    <w:basedOn w:val="1"/>
    <w:link w:val="101"/>
    <w:uiPriority w:val="0"/>
    <w:pPr>
      <w:ind w:left="850" w:firstLine="425"/>
    </w:pPr>
    <w:rPr>
      <w:kern w:val="0"/>
      <w:sz w:val="20"/>
      <w:szCs w:val="21"/>
    </w:rPr>
  </w:style>
  <w:style w:type="character" w:customStyle="1" w:styleId="103">
    <w:name w:val="zbggmain style9"/>
    <w:qFormat/>
    <w:uiPriority w:val="0"/>
    <w:rPr>
      <w:rFonts w:ascii="Tahoma" w:hAnsi="Tahoma"/>
      <w:sz w:val="24"/>
      <w:szCs w:val="20"/>
    </w:rPr>
  </w:style>
  <w:style w:type="character" w:customStyle="1" w:styleId="104">
    <w:name w:val="正文文本 Char"/>
    <w:link w:val="16"/>
    <w:uiPriority w:val="0"/>
    <w:rPr>
      <w:rFonts w:ascii="宋体" w:hAnsi="宋体"/>
      <w:kern w:val="2"/>
      <w:sz w:val="28"/>
      <w:szCs w:val="22"/>
      <w:lang w:bidi="ar-SA"/>
    </w:rPr>
  </w:style>
  <w:style w:type="character" w:customStyle="1" w:styleId="105">
    <w:name w:val="HTML 预设格式 Char"/>
    <w:link w:val="33"/>
    <w:uiPriority w:val="0"/>
    <w:rPr>
      <w:rFonts w:ascii="宋体" w:hAnsi="宋体"/>
      <w:sz w:val="24"/>
      <w:szCs w:val="24"/>
    </w:rPr>
  </w:style>
  <w:style w:type="character" w:customStyle="1" w:styleId="106">
    <w:name w:val="页眉 Char"/>
    <w:link w:val="25"/>
    <w:uiPriority w:val="0"/>
    <w:rPr>
      <w:rFonts w:ascii="宋体" w:eastAsia="宋体"/>
      <w:sz w:val="18"/>
      <w:lang w:val="en-US" w:eastAsia="zh-CN" w:bidi="ar-SA"/>
    </w:rPr>
  </w:style>
  <w:style w:type="character" w:customStyle="1" w:styleId="107">
    <w:name w:val="标题 4 Char"/>
    <w:link w:val="6"/>
    <w:uiPriority w:val="0"/>
    <w:rPr>
      <w:rFonts w:ascii="Cambria" w:hAnsi="Cambria" w:eastAsia="宋体"/>
      <w:b/>
      <w:bCs/>
      <w:sz w:val="28"/>
      <w:szCs w:val="28"/>
      <w:lang w:val="en-US" w:eastAsia="zh-CN" w:bidi="ar-SA"/>
    </w:rPr>
  </w:style>
  <w:style w:type="character" w:customStyle="1" w:styleId="108">
    <w:name w:val="Sp-正文 Char"/>
    <w:link w:val="109"/>
    <w:uiPriority w:val="0"/>
    <w:rPr>
      <w:rFonts w:ascii="宋体" w:hAnsi="宋体"/>
      <w:color w:val="000000"/>
      <w:kern w:val="2"/>
      <w:sz w:val="24"/>
      <w:szCs w:val="24"/>
      <w:lang w:bidi="ar-SA"/>
    </w:rPr>
  </w:style>
  <w:style w:type="paragraph" w:customStyle="1" w:styleId="109">
    <w:name w:val="Sp-正文"/>
    <w:basedOn w:val="1"/>
    <w:link w:val="108"/>
    <w:qFormat/>
    <w:uiPriority w:val="0"/>
    <w:pPr>
      <w:spacing w:before="120" w:after="120" w:line="440" w:lineRule="exact"/>
      <w:ind w:firstLine="200" w:firstLineChars="200"/>
    </w:pPr>
    <w:rPr>
      <w:rFonts w:ascii="宋体" w:hAnsi="宋体"/>
      <w:color w:val="000000"/>
      <w:sz w:val="24"/>
    </w:rPr>
  </w:style>
  <w:style w:type="character" w:customStyle="1" w:styleId="110">
    <w:name w:val="段 Char"/>
    <w:link w:val="111"/>
    <w:uiPriority w:val="0"/>
    <w:rPr>
      <w:rFonts w:ascii="宋体" w:eastAsia="Times New Roman"/>
      <w:sz w:val="21"/>
      <w:lang w:val="en-US" w:eastAsia="zh-CN" w:bidi="ar-SA"/>
    </w:rPr>
  </w:style>
  <w:style w:type="paragraph" w:customStyle="1" w:styleId="111">
    <w:name w:val="段"/>
    <w:link w:val="110"/>
    <w:uiPriority w:val="0"/>
    <w:pPr>
      <w:autoSpaceDE w:val="0"/>
      <w:autoSpaceDN w:val="0"/>
      <w:ind w:firstLine="200" w:firstLineChars="200"/>
      <w:jc w:val="both"/>
    </w:pPr>
    <w:rPr>
      <w:rFonts w:ascii="宋体" w:eastAsia="Times New Roman"/>
      <w:sz w:val="21"/>
      <w:lang w:val="en-US" w:eastAsia="zh-CN" w:bidi="ar-SA"/>
    </w:rPr>
  </w:style>
  <w:style w:type="character" w:customStyle="1" w:styleId="112">
    <w:name w:val="正文缩进 Char"/>
    <w:link w:val="4"/>
    <w:uiPriority w:val="0"/>
    <w:rPr>
      <w:rFonts w:ascii="Calibri" w:hAnsi="Calibri" w:eastAsia="宋体"/>
      <w:kern w:val="2"/>
      <w:sz w:val="21"/>
      <w:szCs w:val="22"/>
      <w:lang w:val="en-US" w:eastAsia="zh-CN" w:bidi="ar-SA"/>
    </w:rPr>
  </w:style>
  <w:style w:type="character" w:customStyle="1" w:styleId="113">
    <w:name w:val=" Char Char"/>
    <w:link w:val="114"/>
    <w:uiPriority w:val="0"/>
    <w:rPr>
      <w:rFonts w:ascii="宋体" w:hAnsi="宋体" w:eastAsia="宋体"/>
      <w:b/>
      <w:kern w:val="2"/>
      <w:sz w:val="21"/>
      <w:lang w:bidi="ar-SA"/>
    </w:rPr>
  </w:style>
  <w:style w:type="paragraph" w:customStyle="1" w:styleId="114">
    <w:name w:val="annotation subject"/>
    <w:basedOn w:val="15"/>
    <w:next w:val="15"/>
    <w:link w:val="113"/>
    <w:uiPriority w:val="0"/>
    <w:rPr>
      <w:b/>
    </w:rPr>
  </w:style>
  <w:style w:type="character" w:customStyle="1" w:styleId="115">
    <w:name w:val="正文文本缩进 Char"/>
    <w:link w:val="116"/>
    <w:uiPriority w:val="0"/>
    <w:rPr>
      <w:rFonts w:ascii="Calibri" w:hAnsi="Calibri" w:eastAsia="宋体"/>
      <w:kern w:val="2"/>
      <w:sz w:val="21"/>
      <w:szCs w:val="22"/>
      <w:lang w:val="en-US" w:eastAsia="zh-CN" w:bidi="ar-SA"/>
    </w:rPr>
  </w:style>
  <w:style w:type="paragraph" w:customStyle="1" w:styleId="116">
    <w:name w:val="Body Text Indent"/>
    <w:basedOn w:val="1"/>
    <w:link w:val="115"/>
    <w:uiPriority w:val="0"/>
    <w:pPr>
      <w:spacing w:after="120"/>
      <w:ind w:left="420" w:leftChars="200"/>
    </w:pPr>
    <w:rPr>
      <w:rFonts w:ascii="Calibri" w:hAnsi="Calibri"/>
      <w:szCs w:val="22"/>
    </w:rPr>
  </w:style>
  <w:style w:type="character" w:customStyle="1" w:styleId="117">
    <w:name w:val="标题 2 Char"/>
    <w:link w:val="3"/>
    <w:uiPriority w:val="0"/>
    <w:rPr>
      <w:rFonts w:ascii="Cambria" w:hAnsi="Cambria" w:eastAsia="宋体"/>
      <w:b/>
      <w:bCs/>
      <w:sz w:val="32"/>
      <w:szCs w:val="32"/>
      <w:lang w:val="en-US" w:eastAsia="zh-CN" w:bidi="ar-SA"/>
    </w:rPr>
  </w:style>
  <w:style w:type="character" w:customStyle="1" w:styleId="118">
    <w:name w:val="font61"/>
    <w:uiPriority w:val="0"/>
    <w:rPr>
      <w:rFonts w:hint="eastAsia" w:ascii="宋体" w:hAnsi="宋体" w:eastAsia="宋体" w:cs="宋体"/>
      <w:color w:val="000000"/>
      <w:sz w:val="20"/>
      <w:szCs w:val="20"/>
      <w:u w:val="none"/>
    </w:rPr>
  </w:style>
  <w:style w:type="character" w:customStyle="1" w:styleId="119">
    <w:name w:val="批注文字 Char"/>
    <w:link w:val="15"/>
    <w:uiPriority w:val="0"/>
    <w:rPr>
      <w:rFonts w:ascii="宋体" w:hAnsi="宋体" w:eastAsia="宋体"/>
      <w:kern w:val="2"/>
      <w:sz w:val="21"/>
      <w:lang w:bidi="ar-SA"/>
    </w:rPr>
  </w:style>
  <w:style w:type="character" w:customStyle="1" w:styleId="120">
    <w:name w:val="font41"/>
    <w:qFormat/>
    <w:uiPriority w:val="99"/>
    <w:rPr>
      <w:rFonts w:hint="eastAsia" w:ascii="宋体" w:hAnsi="宋体" w:eastAsia="宋体" w:cs="宋体"/>
      <w:color w:val="000000"/>
      <w:sz w:val="18"/>
      <w:szCs w:val="18"/>
      <w:u w:val="none"/>
    </w:rPr>
  </w:style>
  <w:style w:type="character" w:customStyle="1" w:styleId="121">
    <w:name w:val="文档结构图 Char"/>
    <w:link w:val="14"/>
    <w:uiPriority w:val="0"/>
    <w:rPr>
      <w:rFonts w:ascii="宋体" w:hAnsi="Calibri"/>
      <w:kern w:val="2"/>
      <w:sz w:val="18"/>
      <w:szCs w:val="18"/>
      <w:lang w:bidi="ar-SA"/>
    </w:rPr>
  </w:style>
  <w:style w:type="character" w:customStyle="1" w:styleId="122">
    <w:name w:val="font31"/>
    <w:qFormat/>
    <w:uiPriority w:val="0"/>
    <w:rPr>
      <w:rFonts w:hint="default" w:ascii="Times New Roman" w:hAnsi="Times New Roman" w:cs="Times New Roman"/>
      <w:b/>
      <w:color w:val="000000"/>
      <w:sz w:val="24"/>
      <w:szCs w:val="24"/>
      <w:u w:val="none"/>
    </w:rPr>
  </w:style>
  <w:style w:type="character" w:customStyle="1" w:styleId="123">
    <w:name w:val="font81"/>
    <w:qFormat/>
    <w:uiPriority w:val="0"/>
    <w:rPr>
      <w:rFonts w:hint="eastAsia" w:ascii="宋体" w:hAnsi="宋体" w:eastAsia="宋体" w:cs="宋体"/>
      <w:b/>
      <w:color w:val="000000"/>
      <w:sz w:val="24"/>
      <w:szCs w:val="24"/>
      <w:u w:val="none"/>
    </w:rPr>
  </w:style>
  <w:style w:type="character" w:customStyle="1" w:styleId="124">
    <w:name w:val="font11"/>
    <w:uiPriority w:val="0"/>
    <w:rPr>
      <w:rFonts w:hint="eastAsia" w:ascii="宋体" w:hAnsi="宋体" w:eastAsia="宋体" w:cs="宋体"/>
      <w:color w:val="FF0000"/>
      <w:sz w:val="20"/>
      <w:szCs w:val="20"/>
      <w:u w:val="none"/>
    </w:rPr>
  </w:style>
  <w:style w:type="character" w:customStyle="1" w:styleId="125">
    <w:name w:val="标题 3 Char"/>
    <w:link w:val="5"/>
    <w:uiPriority w:val="0"/>
    <w:rPr>
      <w:rFonts w:eastAsia="宋体"/>
      <w:b/>
      <w:bCs/>
      <w:sz w:val="32"/>
      <w:szCs w:val="32"/>
      <w:lang w:val="en-US" w:eastAsia="zh-CN" w:bidi="ar-SA"/>
    </w:rPr>
  </w:style>
  <w:style w:type="paragraph" w:customStyle="1" w:styleId="126">
    <w:name w:val="p0"/>
    <w:basedOn w:val="1"/>
    <w:uiPriority w:val="0"/>
    <w:pPr>
      <w:widowControl/>
    </w:pPr>
    <w:rPr>
      <w:rFonts w:ascii="Calibri" w:hAnsi="Calibri" w:cs="宋体"/>
      <w:kern w:val="0"/>
      <w:szCs w:val="21"/>
    </w:rPr>
  </w:style>
  <w:style w:type="paragraph" w:customStyle="1" w:styleId="127">
    <w:name w:val="列出段落1"/>
    <w:basedOn w:val="1"/>
    <w:qFormat/>
    <w:uiPriority w:val="34"/>
    <w:pPr>
      <w:widowControl/>
      <w:spacing w:before="100" w:beforeAutospacing="1" w:after="100" w:afterAutospacing="1"/>
      <w:jc w:val="left"/>
    </w:pPr>
    <w:rPr>
      <w:rFonts w:ascii="黑体" w:hAnsi="黑体" w:eastAsia="黑体" w:cs="宋体"/>
      <w:color w:val="000000"/>
      <w:kern w:val="0"/>
    </w:rPr>
  </w:style>
  <w:style w:type="paragraph" w:customStyle="1" w:styleId="128">
    <w:name w:val="Table Paragraph"/>
    <w:basedOn w:val="1"/>
    <w:qFormat/>
    <w:uiPriority w:val="1"/>
    <w:pPr>
      <w:spacing w:line="240" w:lineRule="exact"/>
      <w:ind w:left="103"/>
    </w:pPr>
    <w:rPr>
      <w:rFonts w:ascii="宋体" w:hAnsi="宋体" w:eastAsia="宋体" w:cs="宋体"/>
    </w:rPr>
  </w:style>
  <w:style w:type="paragraph" w:customStyle="1" w:styleId="129">
    <w:name w:val="正文（缩进）"/>
    <w:basedOn w:val="1"/>
    <w:qFormat/>
    <w:uiPriority w:val="0"/>
    <w:pPr>
      <w:spacing w:beforeLines="50" w:afterLines="50"/>
      <w:ind w:firstLine="480"/>
    </w:pPr>
    <w:rPr>
      <w:rFonts w:cs="黑体"/>
    </w:rPr>
  </w:style>
  <w:style w:type="paragraph" w:customStyle="1" w:styleId="130">
    <w:name w:val="表格表头"/>
    <w:basedOn w:val="1"/>
    <w:qFormat/>
    <w:uiPriority w:val="0"/>
    <w:pPr>
      <w:spacing w:line="360" w:lineRule="auto"/>
      <w:jc w:val="center"/>
      <w:outlineLvl w:val="0"/>
    </w:pPr>
    <w:rPr>
      <w:rFonts w:ascii="宋体" w:hAnsi="宋体" w:eastAsia="黑体" w:cs="宋体"/>
      <w:sz w:val="24"/>
      <w:szCs w:val="21"/>
    </w:rPr>
  </w:style>
  <w:style w:type="paragraph" w:styleId="131">
    <w:name w:val="List Paragraph"/>
    <w:basedOn w:val="1"/>
    <w:qFormat/>
    <w:uiPriority w:val="34"/>
    <w:pPr>
      <w:widowControl/>
      <w:spacing w:before="100" w:beforeAutospacing="1" w:after="100" w:afterAutospacing="1"/>
      <w:jc w:val="left"/>
    </w:pPr>
    <w:rPr>
      <w:rFonts w:ascii="黑体" w:hAnsi="黑体" w:eastAsia="黑体" w:cs="宋体"/>
      <w:color w:val="000000"/>
      <w:kern w:val="0"/>
      <w:sz w:val="24"/>
    </w:rPr>
  </w:style>
  <w:style w:type="paragraph" w:customStyle="1" w:styleId="132">
    <w:name w:val="Char Char Char Char1"/>
    <w:basedOn w:val="1"/>
    <w:uiPriority w:val="0"/>
    <w:rPr>
      <w:rFonts w:ascii="Tahoma" w:hAnsi="Tahoma"/>
      <w:sz w:val="24"/>
      <w:szCs w:val="20"/>
    </w:rPr>
  </w:style>
  <w:style w:type="paragraph" w:customStyle="1" w:styleId="133">
    <w:name w:val="*正文"/>
    <w:basedOn w:val="1"/>
    <w:qFormat/>
    <w:uiPriority w:val="0"/>
    <w:pPr>
      <w:spacing w:line="300" w:lineRule="auto"/>
      <w:ind w:firstLine="480"/>
    </w:pPr>
    <w:rPr>
      <w:rFonts w:ascii="宋体" w:hAnsi="宋体" w:cs="仿宋_GB2312"/>
    </w:rPr>
  </w:style>
  <w:style w:type="paragraph" w:customStyle="1" w:styleId="134">
    <w:name w:val="Default"/>
    <w:qFormat/>
    <w:uiPriority w:val="0"/>
    <w:pPr>
      <w:widowControl w:val="0"/>
      <w:autoSpaceDE w:val="0"/>
      <w:autoSpaceDN w:val="0"/>
      <w:adjustRightInd w:val="0"/>
    </w:pPr>
    <w:rPr>
      <w:rFonts w:ascii="微软雅黑" w:eastAsia="微软雅黑" w:cs="微软雅黑"/>
      <w:color w:val="000000"/>
      <w:sz w:val="24"/>
      <w:szCs w:val="24"/>
      <w:lang w:val="en-US" w:eastAsia="zh-CN" w:bidi="ar-SA"/>
    </w:rPr>
  </w:style>
  <w:style w:type="paragraph" w:customStyle="1" w:styleId="135">
    <w:name w:val="编号，小四"/>
    <w:basedOn w:val="1"/>
    <w:qFormat/>
    <w:uiPriority w:val="0"/>
    <w:pPr>
      <w:numPr>
        <w:ilvl w:val="0"/>
        <w:numId w:val="3"/>
      </w:numPr>
      <w:spacing w:line="360" w:lineRule="auto"/>
    </w:pPr>
    <w:rPr>
      <w:rFonts w:ascii="Arial" w:hAnsi="Arial" w:cs="宋体"/>
      <w:sz w:val="24"/>
      <w:szCs w:val="20"/>
    </w:rPr>
  </w:style>
  <w:style w:type="paragraph" w:customStyle="1" w:styleId="136">
    <w:name w:val="样式6"/>
    <w:basedOn w:val="1"/>
    <w:qFormat/>
    <w:uiPriority w:val="99"/>
    <w:pPr>
      <w:adjustRightInd/>
      <w:ind w:firstLine="200" w:firstLineChars="200"/>
      <w:jc w:val="left"/>
      <w:textAlignment w:val="auto"/>
    </w:pPr>
    <w:rPr>
      <w:rFonts w:ascii="Times New Roman" w:eastAsia="宋体"/>
      <w:kern w:val="2"/>
      <w:sz w:val="24"/>
      <w:szCs w:val="24"/>
    </w:rPr>
  </w:style>
  <w:style w:type="paragraph" w:customStyle="1" w:styleId="137">
    <w:name w:val="Item List in Table"/>
    <w:basedOn w:val="1"/>
    <w:uiPriority w:val="0"/>
    <w:pPr>
      <w:widowControl/>
      <w:numPr>
        <w:ilvl w:val="0"/>
        <w:numId w:val="4"/>
      </w:numPr>
      <w:topLinePunct/>
      <w:adjustRightInd w:val="0"/>
      <w:snapToGrid w:val="0"/>
      <w:spacing w:before="80" w:after="80" w:line="240" w:lineRule="atLeast"/>
      <w:ind w:firstLine="0"/>
      <w:jc w:val="left"/>
    </w:pPr>
    <w:rPr>
      <w:rFonts w:hint="eastAsia" w:cs="Arial"/>
      <w:kern w:val="0"/>
      <w:szCs w:val="21"/>
    </w:rPr>
  </w:style>
  <w:style w:type="paragraph" w:customStyle="1" w:styleId="138">
    <w:name w:val="样式 首行缩进:  0 字符"/>
    <w:basedOn w:val="1"/>
    <w:qFormat/>
    <w:uiPriority w:val="0"/>
    <w:pPr>
      <w:spacing w:line="360" w:lineRule="auto"/>
      <w:ind w:firstLine="200" w:firstLineChars="200"/>
    </w:pPr>
    <w:rPr>
      <w:rFonts w:cs="宋体"/>
      <w:sz w:val="24"/>
      <w:szCs w:val="20"/>
    </w:rPr>
  </w:style>
  <w:style w:type="paragraph" w:customStyle="1" w:styleId="139">
    <w:name w:val="表格正文"/>
    <w:basedOn w:val="1"/>
    <w:qFormat/>
    <w:uiPriority w:val="0"/>
    <w:pPr>
      <w:spacing w:line="360" w:lineRule="auto"/>
      <w:jc w:val="left"/>
    </w:pPr>
    <w:rPr>
      <w:rFonts w:ascii="Arial" w:hAnsi="Arial" w:cs="宋体"/>
      <w:szCs w:val="20"/>
    </w:rPr>
  </w:style>
  <w:style w:type="paragraph" w:customStyle="1" w:styleId="140">
    <w:name w:val="Normal"/>
    <w:basedOn w:val="1"/>
    <w:uiPriority w:val="0"/>
    <w:rPr>
      <w:rFonts w:ascii="宋体" w:hAnsi="宋体" w:cs="宋体"/>
      <w:szCs w:val="21"/>
    </w:rPr>
  </w:style>
  <w:style w:type="paragraph" w:customStyle="1" w:styleId="141">
    <w:name w:val=" Char Char2 Char"/>
    <w:basedOn w:val="1"/>
    <w:uiPriority w:val="0"/>
    <w:pPr>
      <w:keepNext/>
      <w:keepLines/>
      <w:pageBreakBefore/>
      <w:tabs>
        <w:tab w:val="left" w:pos="845"/>
      </w:tabs>
      <w:ind w:left="845" w:hanging="420"/>
    </w:pPr>
    <w:rPr>
      <w:rFonts w:ascii="Tahoma" w:hAnsi="Tahoma"/>
      <w:sz w:val="24"/>
      <w:szCs w:val="20"/>
    </w:rPr>
  </w:style>
  <w:style w:type="table" w:customStyle="1" w:styleId="142">
    <w:name w:val="浅色列表1"/>
    <w:basedOn w:val="37"/>
    <w:qFormat/>
    <w:uiPriority w:val="61"/>
    <w:rPr>
      <w:kern w:val="2"/>
      <w:sz w:val="21"/>
      <w:szCs w:val="22"/>
    </w:rPr>
    <w:tblPr>
      <w:tblStyle w:val="37"/>
      <w:tblBorders>
        <w:top w:val="single" w:color="000000" w:sz="8" w:space="0"/>
        <w:left w:val="single" w:color="000000" w:sz="8" w:space="0"/>
        <w:bottom w:val="single" w:color="000000" w:sz="8" w:space="0"/>
        <w:right w:val="single" w:color="000000" w:sz="8" w:space="0"/>
      </w:tblBorders>
    </w:tblPr>
    <w:tblStylePr w:type="firstRow">
      <w:pPr>
        <w:spacing w:before="0" w:after="0" w:line="240" w:lineRule="auto"/>
      </w:pPr>
      <w:rPr>
        <w:b/>
        <w:bCs/>
        <w:color w:val="FFFFFF"/>
      </w:rPr>
      <w:tblPr>
        <w:tblStyle w:val="37"/>
      </w:tblPr>
      <w:tcPr>
        <w:shd w:val="clear" w:color="auto" w:fill="000000"/>
      </w:tcPr>
    </w:tblStylePr>
    <w:tblStylePr w:type="lastRow">
      <w:pPr>
        <w:spacing w:before="0" w:after="0" w:line="240" w:lineRule="auto"/>
      </w:pPr>
      <w:rPr>
        <w:b/>
        <w:bCs/>
      </w:rPr>
      <w:tblPr>
        <w:tblStyle w:val="37"/>
      </w:tblPr>
      <w:tcPr>
        <w:tcBorders>
          <w:top w:val="double" w:color="000000" w:sz="6" w:space="0"/>
          <w:left w:val="single" w:color="000000" w:sz="8" w:space="0"/>
          <w:bottom w:val="single" w:color="000000" w:sz="8" w:space="0"/>
          <w:right w:val="single" w:color="000000" w:sz="8" w:space="0"/>
          <w:insideH w:val="nil"/>
          <w:insideV w:val="nil"/>
          <w:tl2br w:val="nil"/>
          <w:tr2bl w:val="nil"/>
        </w:tcBorders>
      </w:tcPr>
    </w:tblStylePr>
    <w:tblStylePr w:type="firstCol">
      <w:rPr>
        <w:b/>
        <w:bCs/>
      </w:rPr>
    </w:tblStylePr>
    <w:tblStylePr w:type="lastCol">
      <w:rPr>
        <w:b/>
        <w:bCs/>
      </w:rPr>
    </w:tblStylePr>
    <w:tblStylePr w:type="band1Vert">
      <w:tblPr>
        <w:tblStyle w:val="37"/>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tblStylePr w:type="band1Horz">
      <w:tblPr>
        <w:tblStyle w:val="37"/>
      </w:tblPr>
      <w:tcPr>
        <w:tcBorders>
          <w:top w:val="single" w:color="000000" w:sz="8" w:space="0"/>
          <w:left w:val="single" w:color="000000" w:sz="8" w:space="0"/>
          <w:bottom w:val="single" w:color="000000" w:sz="8" w:space="0"/>
          <w:right w:val="single" w:color="000000" w:sz="8" w:space="0"/>
          <w:insideH w:val="nil"/>
          <w:insideV w:val="nil"/>
          <w:tl2br w:val="nil"/>
          <w:tr2bl w:val="nil"/>
        </w:tcBorders>
      </w:tcPr>
    </w:tblStylePr>
  </w:style>
</w:style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header1.xml" Type="http://schemas.openxmlformats.org/officeDocument/2006/relationships/header"/><Relationship Id="rId4" Target="footer1.xml" Type="http://schemas.openxmlformats.org/officeDocument/2006/relationships/footer"/><Relationship Id="rId5" Target="theme/theme1.xml" Type="http://schemas.openxmlformats.org/officeDocument/2006/relationships/theme"/><Relationship Id="rId6" Target="numbering.xml" Type="http://schemas.openxmlformats.org/officeDocument/2006/relationships/numbering"/><Relationship Id="rId7" Target="fontTable.xml" Type="http://schemas.openxmlformats.org/officeDocument/2006/relationships/fontTable"/></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微软中国</Company>
  <Pages>19</Pages>
  <Words>3458</Words>
  <Characters>19713</Characters>
  <Lines>164</Lines>
  <Paragraphs>46</Paragraphs>
  <TotalTime>0</TotalTime>
  <ScaleCrop>false</ScaleCrop>
  <LinksUpToDate>false</LinksUpToDate>
  <CharactersWithSpaces>23125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2016-02-24T00:31:00Z</dcterms:created>
  <dc:creator>微软用户</dc:creator>
  <cp:lastModifiedBy>WPS_1701756769</cp:lastModifiedBy>
  <cp:lastPrinted>2018-11-02T06:15:00Z</cp:lastPrinted>
  <dcterms:modified xsi:type="dcterms:W3CDTF">2024-02-23T05:18:58Z</dcterms:modified>
  <cp:revision>53</cp:revision>
  <dc:title>上虞区公安局交通警察大队交通信号灯三年维护项目征求意见</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2D4B10391F23436EA489D6FB30B2993E_13</vt:lpwstr>
  </property>
</Properties>
</file>