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bookmarkStart w:id="62" w:name="_GoBack"/>
      <w:bookmarkEnd w:id="62"/>
      <w:r>
        <w:rPr>
          <w:rFonts w:hint="eastAsia" w:ascii="宋体" w:hAnsi="宋体"/>
          <w:b/>
          <w:bCs/>
          <w:sz w:val="52"/>
          <w:szCs w:val="52"/>
        </w:rPr>
        <w:t>越城区智安小区技术服务项目</w:t>
      </w:r>
    </w:p>
    <w:p>
      <w:pPr>
        <w:rPr>
          <w:rFonts w:ascii="宋体" w:hAnsi="宋体"/>
          <w:sz w:val="36"/>
          <w:szCs w:val="36"/>
        </w:rPr>
      </w:pPr>
    </w:p>
    <w:p>
      <w:pPr>
        <w:rPr>
          <w:rFonts w:ascii="宋体" w:hAnsi="宋体"/>
          <w:sz w:val="36"/>
          <w:szCs w:val="36"/>
        </w:rPr>
      </w:pPr>
    </w:p>
    <w:p>
      <w:pPr>
        <w:rPr>
          <w:rFonts w:ascii="宋体" w:hAnsi="宋体"/>
          <w:sz w:val="36"/>
          <w:szCs w:val="36"/>
        </w:rPr>
      </w:pPr>
    </w:p>
    <w:p>
      <w:pPr>
        <w:jc w:val="center"/>
        <w:rPr>
          <w:rFonts w:ascii="宋体" w:hAnsi="宋体"/>
          <w:b/>
          <w:bCs/>
          <w:sz w:val="72"/>
          <w:szCs w:val="72"/>
        </w:rPr>
      </w:pPr>
      <w:r>
        <w:rPr>
          <w:rFonts w:hint="eastAsia" w:ascii="宋体" w:hAnsi="宋体"/>
          <w:b/>
          <w:bCs/>
          <w:sz w:val="72"/>
          <w:szCs w:val="72"/>
        </w:rPr>
        <w:t>采</w:t>
      </w:r>
    </w:p>
    <w:p>
      <w:pPr>
        <w:jc w:val="center"/>
        <w:rPr>
          <w:rFonts w:ascii="宋体" w:hAnsi="宋体"/>
          <w:b/>
          <w:bCs/>
          <w:sz w:val="72"/>
          <w:szCs w:val="72"/>
        </w:rPr>
      </w:pPr>
      <w:r>
        <w:rPr>
          <w:rFonts w:hint="eastAsia" w:ascii="宋体" w:hAnsi="宋体"/>
          <w:b/>
          <w:bCs/>
          <w:sz w:val="72"/>
          <w:szCs w:val="72"/>
        </w:rPr>
        <w:t>购</w:t>
      </w:r>
    </w:p>
    <w:p>
      <w:pPr>
        <w:jc w:val="center"/>
        <w:rPr>
          <w:rFonts w:ascii="宋体" w:hAnsi="宋体"/>
          <w:b/>
          <w:bCs/>
          <w:sz w:val="72"/>
          <w:szCs w:val="72"/>
        </w:rPr>
      </w:pPr>
      <w:r>
        <w:rPr>
          <w:rFonts w:hint="eastAsia" w:ascii="宋体" w:hAnsi="宋体"/>
          <w:b/>
          <w:bCs/>
          <w:sz w:val="72"/>
          <w:szCs w:val="72"/>
        </w:rPr>
        <w:t>文</w:t>
      </w:r>
    </w:p>
    <w:p>
      <w:pPr>
        <w:jc w:val="center"/>
        <w:rPr>
          <w:rFonts w:ascii="宋体" w:hAnsi="宋体"/>
          <w:b/>
          <w:bCs/>
          <w:sz w:val="72"/>
          <w:szCs w:val="72"/>
        </w:rPr>
      </w:pPr>
      <w:r>
        <w:rPr>
          <w:rFonts w:hint="eastAsia" w:ascii="宋体" w:hAnsi="宋体"/>
          <w:b/>
          <w:bCs/>
          <w:sz w:val="72"/>
          <w:szCs w:val="72"/>
        </w:rPr>
        <w:t>件</w:t>
      </w:r>
    </w:p>
    <w:p>
      <w:pPr>
        <w:rPr>
          <w:rFonts w:ascii="宋体" w:hAnsi="宋体"/>
          <w:b/>
          <w:bCs/>
          <w:sz w:val="36"/>
          <w:szCs w:val="36"/>
        </w:rPr>
      </w:pPr>
    </w:p>
    <w:p>
      <w:pPr>
        <w:rPr>
          <w:rFonts w:ascii="宋体" w:hAnsi="宋体"/>
          <w:sz w:val="36"/>
          <w:szCs w:val="36"/>
        </w:rPr>
      </w:pPr>
    </w:p>
    <w:tbl>
      <w:tblPr>
        <w:tblStyle w:val="42"/>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ascii="宋体" w:hAnsi="宋体"/>
                <w:sz w:val="28"/>
              </w:rPr>
            </w:pPr>
            <w:r>
              <w:rPr>
                <w:rFonts w:hint="eastAsia" w:ascii="宋体" w:hAnsi="宋体"/>
                <w:sz w:val="28"/>
              </w:rPr>
              <w:t>项目编号：</w:t>
            </w:r>
          </w:p>
        </w:tc>
        <w:tc>
          <w:tcPr>
            <w:tcW w:w="6197" w:type="dxa"/>
            <w:noWrap w:val="0"/>
            <w:vAlign w:val="center"/>
          </w:tcPr>
          <w:p>
            <w:pPr>
              <w:rPr>
                <w:rFonts w:ascii="宋体" w:hAnsi="宋体"/>
                <w:sz w:val="28"/>
                <w:u w:val="single"/>
              </w:rPr>
            </w:pPr>
            <w:r>
              <w:rPr>
                <w:rFonts w:hint="eastAsia" w:ascii="宋体" w:hAnsi="宋体"/>
                <w:sz w:val="28"/>
                <w:u w:val="single"/>
              </w:rPr>
              <w:t>YCDL2020-09-</w:t>
            </w:r>
          </w:p>
        </w:tc>
      </w:tr>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ascii="宋体" w:hAnsi="宋体"/>
                <w:sz w:val="28"/>
              </w:rPr>
            </w:pPr>
            <w:r>
              <w:rPr>
                <w:rFonts w:hint="eastAsia" w:ascii="宋体" w:hAnsi="宋体"/>
                <w:sz w:val="28"/>
              </w:rPr>
              <w:t>采购单位：</w:t>
            </w:r>
          </w:p>
        </w:tc>
        <w:tc>
          <w:tcPr>
            <w:tcW w:w="6197" w:type="dxa"/>
            <w:noWrap w:val="0"/>
            <w:vAlign w:val="center"/>
          </w:tcPr>
          <w:p>
            <w:pPr>
              <w:rPr>
                <w:rFonts w:hint="eastAsia" w:ascii="宋体" w:hAnsi="宋体"/>
                <w:sz w:val="28"/>
              </w:rPr>
            </w:pPr>
            <w:r>
              <w:rPr>
                <w:rFonts w:hint="eastAsia" w:ascii="宋体" w:hAnsi="宋体"/>
                <w:sz w:val="28"/>
              </w:rPr>
              <w:t>绍兴市越城区城市发展综合保障服务有限公司</w:t>
            </w:r>
          </w:p>
        </w:tc>
      </w:tr>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hint="eastAsia" w:ascii="宋体" w:hAnsi="宋体"/>
                <w:sz w:val="28"/>
              </w:rPr>
            </w:pPr>
          </w:p>
        </w:tc>
        <w:tc>
          <w:tcPr>
            <w:tcW w:w="6197" w:type="dxa"/>
            <w:noWrap w:val="0"/>
            <w:vAlign w:val="center"/>
          </w:tcPr>
          <w:p>
            <w:pPr>
              <w:rPr>
                <w:rFonts w:ascii="宋体" w:hAnsi="宋体"/>
                <w:sz w:val="28"/>
              </w:rPr>
            </w:pPr>
            <w:r>
              <w:rPr>
                <w:rFonts w:hint="eastAsia" w:ascii="宋体" w:hAnsi="宋体"/>
                <w:sz w:val="28"/>
              </w:rPr>
              <w:t>绍兴袍江工业区投资开发有限公司</w:t>
            </w:r>
          </w:p>
        </w:tc>
      </w:tr>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hint="eastAsia" w:ascii="宋体" w:hAnsi="宋体"/>
                <w:sz w:val="28"/>
              </w:rPr>
            </w:pPr>
          </w:p>
        </w:tc>
        <w:tc>
          <w:tcPr>
            <w:tcW w:w="6197" w:type="dxa"/>
            <w:noWrap w:val="0"/>
            <w:vAlign w:val="center"/>
          </w:tcPr>
          <w:p>
            <w:pPr>
              <w:rPr>
                <w:rFonts w:ascii="宋体" w:hAnsi="宋体"/>
                <w:sz w:val="28"/>
              </w:rPr>
            </w:pPr>
            <w:r>
              <w:rPr>
                <w:rFonts w:hint="eastAsia" w:ascii="宋体" w:hAnsi="宋体"/>
                <w:sz w:val="28"/>
              </w:rPr>
              <w:t>绍兴高新技术产业开发区迪荡新城投资发展有限</w:t>
            </w:r>
          </w:p>
        </w:tc>
      </w:tr>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hint="eastAsia" w:ascii="宋体" w:hAnsi="宋体"/>
                <w:sz w:val="28"/>
              </w:rPr>
            </w:pPr>
          </w:p>
        </w:tc>
        <w:tc>
          <w:tcPr>
            <w:tcW w:w="6197" w:type="dxa"/>
            <w:noWrap w:val="0"/>
            <w:vAlign w:val="center"/>
          </w:tcPr>
          <w:p>
            <w:pPr>
              <w:rPr>
                <w:rFonts w:ascii="宋体" w:hAnsi="宋体"/>
                <w:sz w:val="28"/>
              </w:rPr>
            </w:pPr>
            <w:r>
              <w:rPr>
                <w:rFonts w:hint="eastAsia" w:ascii="宋体" w:hAnsi="宋体"/>
                <w:sz w:val="28"/>
              </w:rPr>
              <w:t>公司</w:t>
            </w:r>
          </w:p>
        </w:tc>
      </w:tr>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hint="eastAsia" w:ascii="宋体" w:hAnsi="宋体"/>
                <w:sz w:val="28"/>
              </w:rPr>
            </w:pPr>
          </w:p>
        </w:tc>
        <w:tc>
          <w:tcPr>
            <w:tcW w:w="6197" w:type="dxa"/>
            <w:noWrap w:val="0"/>
            <w:vAlign w:val="center"/>
          </w:tcPr>
          <w:p>
            <w:pPr>
              <w:rPr>
                <w:rFonts w:hint="eastAsia" w:ascii="宋体" w:hAnsi="宋体"/>
                <w:sz w:val="28"/>
              </w:rPr>
            </w:pPr>
            <w:r>
              <w:rPr>
                <w:rFonts w:hint="eastAsia" w:ascii="宋体" w:hAnsi="宋体"/>
                <w:sz w:val="28"/>
              </w:rPr>
              <w:t>绍兴滨海新区发展集团有限公司</w:t>
            </w:r>
          </w:p>
        </w:tc>
      </w:tr>
      <w:tr>
        <w:tblPrEx>
          <w:tblCellMar>
            <w:top w:w="0" w:type="dxa"/>
            <w:left w:w="108" w:type="dxa"/>
            <w:bottom w:w="0" w:type="dxa"/>
            <w:right w:w="108" w:type="dxa"/>
          </w:tblCellMar>
        </w:tblPrEx>
        <w:trPr>
          <w:wBefore w:w="0" w:type="dxa"/>
          <w:wAfter w:w="0" w:type="dxa"/>
          <w:trHeight w:val="453" w:hRule="exact"/>
          <w:jc w:val="center"/>
        </w:trPr>
        <w:tc>
          <w:tcPr>
            <w:tcW w:w="2396" w:type="dxa"/>
            <w:noWrap w:val="0"/>
            <w:vAlign w:val="center"/>
          </w:tcPr>
          <w:p>
            <w:pPr>
              <w:rPr>
                <w:rFonts w:ascii="宋体" w:hAnsi="宋体"/>
                <w:sz w:val="28"/>
              </w:rPr>
            </w:pPr>
            <w:r>
              <w:rPr>
                <w:rFonts w:hint="eastAsia" w:ascii="宋体" w:hAnsi="宋体"/>
                <w:sz w:val="28"/>
              </w:rPr>
              <w:t>采购代理机构：</w:t>
            </w:r>
          </w:p>
        </w:tc>
        <w:tc>
          <w:tcPr>
            <w:tcW w:w="6197" w:type="dxa"/>
            <w:noWrap w:val="0"/>
            <w:vAlign w:val="center"/>
          </w:tcPr>
          <w:p>
            <w:pPr>
              <w:rPr>
                <w:rFonts w:ascii="宋体" w:hAnsi="宋体"/>
                <w:sz w:val="28"/>
              </w:rPr>
            </w:pPr>
            <w:r>
              <w:rPr>
                <w:rFonts w:hint="eastAsia" w:ascii="宋体" w:hAnsi="宋体"/>
                <w:sz w:val="28"/>
              </w:rPr>
              <w:t>浙江天源工程管理咨询有限公司</w:t>
            </w:r>
          </w:p>
        </w:tc>
      </w:tr>
      <w:tr>
        <w:tblPrEx>
          <w:tblCellMar>
            <w:top w:w="0" w:type="dxa"/>
            <w:left w:w="108" w:type="dxa"/>
            <w:bottom w:w="0" w:type="dxa"/>
            <w:right w:w="108" w:type="dxa"/>
          </w:tblCellMar>
        </w:tblPrEx>
        <w:trPr>
          <w:wBefore w:w="0" w:type="dxa"/>
          <w:wAfter w:w="0" w:type="dxa"/>
          <w:trHeight w:val="905" w:hRule="atLeast"/>
          <w:jc w:val="center"/>
        </w:trPr>
        <w:tc>
          <w:tcPr>
            <w:tcW w:w="2396" w:type="dxa"/>
            <w:noWrap w:val="0"/>
            <w:vAlign w:val="center"/>
          </w:tcPr>
          <w:p>
            <w:pPr>
              <w:rPr>
                <w:rFonts w:ascii="宋体" w:hAnsi="宋体"/>
                <w:sz w:val="28"/>
              </w:rPr>
            </w:pPr>
            <w:r>
              <w:rPr>
                <w:rFonts w:hint="eastAsia" w:ascii="宋体" w:hAnsi="宋体"/>
                <w:sz w:val="28"/>
              </w:rPr>
              <w:t>监督单位：</w:t>
            </w:r>
          </w:p>
        </w:tc>
        <w:tc>
          <w:tcPr>
            <w:tcW w:w="6197" w:type="dxa"/>
            <w:noWrap w:val="0"/>
            <w:vAlign w:val="center"/>
          </w:tcPr>
          <w:p>
            <w:pPr>
              <w:rPr>
                <w:rFonts w:ascii="宋体" w:hAnsi="宋体"/>
                <w:sz w:val="28"/>
              </w:rPr>
            </w:pPr>
            <w:r>
              <w:rPr>
                <w:rFonts w:hint="eastAsia" w:ascii="宋体" w:hAnsi="宋体"/>
                <w:sz w:val="28"/>
              </w:rPr>
              <w:t>绍兴市越城区机关事务管理服务中心</w:t>
            </w:r>
          </w:p>
        </w:tc>
      </w:tr>
    </w:tbl>
    <w:p>
      <w:pPr>
        <w:jc w:val="center"/>
        <w:rPr>
          <w:rFonts w:ascii="宋体" w:hAnsi="宋体"/>
          <w:sz w:val="28"/>
        </w:rPr>
      </w:pPr>
      <w:r>
        <w:rPr>
          <w:rFonts w:hint="eastAsia" w:ascii="宋体" w:hAnsi="宋体"/>
          <w:sz w:val="28"/>
        </w:rPr>
        <w:t>2020年9月</w:t>
      </w:r>
    </w:p>
    <w:p>
      <w:pPr>
        <w:rPr>
          <w:rFonts w:ascii="宋体" w:hAnsi="宋体"/>
          <w:sz w:val="28"/>
        </w:rPr>
      </w:pPr>
    </w:p>
    <w:p>
      <w:pPr>
        <w:rPr>
          <w:rFonts w:ascii="宋体" w:hAnsi="宋体"/>
          <w:sz w:val="28"/>
        </w:rPr>
      </w:pPr>
    </w:p>
    <w:p>
      <w:pPr>
        <w:jc w:val="center"/>
        <w:rPr>
          <w:rFonts w:ascii="宋体" w:hAnsi="宋体"/>
          <w:b/>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宋体" w:hAnsi="宋体"/>
          <w:sz w:val="28"/>
        </w:rPr>
      </w:pPr>
      <w:r>
        <w:rPr>
          <w:rFonts w:hint="eastAsia" w:ascii="宋体" w:hAnsi="宋体"/>
          <w:b/>
          <w:sz w:val="44"/>
          <w:szCs w:val="44"/>
        </w:rPr>
        <w:t>目录</w:t>
      </w:r>
    </w:p>
    <w:p>
      <w:pPr>
        <w:jc w:val="center"/>
        <w:rPr>
          <w:rFonts w:ascii="宋体" w:hAnsi="宋体"/>
          <w:b/>
          <w:sz w:val="44"/>
          <w:szCs w:val="44"/>
        </w:rPr>
      </w:pPr>
    </w:p>
    <w:p>
      <w:pPr>
        <w:pStyle w:val="29"/>
        <w:tabs>
          <w:tab w:val="right" w:leader="dot" w:pos="8641"/>
        </w:tabs>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TOC \o "1-2" \h \u </w:instrText>
      </w:r>
      <w:r>
        <w:rPr>
          <w:rFonts w:hint="eastAsia" w:ascii="宋体" w:hAnsi="宋体"/>
          <w:sz w:val="28"/>
          <w:szCs w:val="28"/>
        </w:rPr>
        <w:fldChar w:fldCharType="separate"/>
      </w:r>
      <w:r>
        <w:fldChar w:fldCharType="begin"/>
      </w:r>
      <w:r>
        <w:instrText xml:space="preserve">HYPERLINK \l "_Toc83838327"</w:instrText>
      </w:r>
      <w:r>
        <w:fldChar w:fldCharType="separate"/>
      </w:r>
      <w:r>
        <w:rPr>
          <w:rFonts w:hint="eastAsia" w:ascii="宋体" w:hAnsi="宋体"/>
          <w:sz w:val="28"/>
          <w:szCs w:val="28"/>
        </w:rPr>
        <w:t>第一章  采购公告</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_Toc83838327 \h</w:instrText>
      </w:r>
      <w:r>
        <w:rPr>
          <w:rFonts w:hint="eastAsia" w:ascii="宋体" w:hAnsi="宋体"/>
          <w:sz w:val="28"/>
          <w:szCs w:val="28"/>
        </w:rPr>
        <w:fldChar w:fldCharType="separate"/>
      </w:r>
      <w:r>
        <w:rPr>
          <w:rFonts w:ascii="宋体" w:hAnsi="宋体"/>
          <w:sz w:val="28"/>
          <w:szCs w:val="28"/>
          <w:lang/>
        </w:rPr>
        <w:t>3</w:t>
      </w:r>
      <w:r>
        <w:rPr>
          <w:rFonts w:hint="eastAsia" w:ascii="宋体" w:hAnsi="宋体"/>
          <w:sz w:val="28"/>
          <w:szCs w:val="28"/>
        </w:rPr>
        <w:fldChar w:fldCharType="end"/>
      </w:r>
      <w:r>
        <w:fldChar w:fldCharType="end"/>
      </w:r>
    </w:p>
    <w:p>
      <w:pPr>
        <w:pStyle w:val="29"/>
        <w:tabs>
          <w:tab w:val="right" w:leader="dot" w:pos="8641"/>
        </w:tabs>
        <w:rPr>
          <w:rFonts w:ascii="宋体" w:hAnsi="宋体"/>
          <w:sz w:val="28"/>
          <w:szCs w:val="28"/>
        </w:rPr>
      </w:pPr>
      <w:r>
        <w:fldChar w:fldCharType="begin"/>
      </w:r>
      <w:r>
        <w:instrText xml:space="preserve">HYPERLINK \l "_Toc83838328"</w:instrText>
      </w:r>
      <w:r>
        <w:fldChar w:fldCharType="separate"/>
      </w:r>
      <w:r>
        <w:rPr>
          <w:rFonts w:hint="eastAsia" w:ascii="宋体" w:hAnsi="宋体"/>
          <w:sz w:val="28"/>
          <w:szCs w:val="28"/>
        </w:rPr>
        <w:t>第二章  供应商须知</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_Toc83838328 \h</w:instrText>
      </w:r>
      <w:r>
        <w:rPr>
          <w:rFonts w:hint="eastAsia" w:ascii="宋体" w:hAnsi="宋体"/>
          <w:sz w:val="28"/>
          <w:szCs w:val="28"/>
        </w:rPr>
        <w:fldChar w:fldCharType="separate"/>
      </w:r>
      <w:r>
        <w:rPr>
          <w:rFonts w:ascii="宋体" w:hAnsi="宋体"/>
          <w:sz w:val="28"/>
          <w:szCs w:val="28"/>
          <w:lang/>
        </w:rPr>
        <w:t>6</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"_Toc83838329"</w:instrText>
      </w:r>
      <w:r>
        <w:fldChar w:fldCharType="separate"/>
      </w:r>
      <w:r>
        <w:rPr>
          <w:rFonts w:hint="eastAsia" w:ascii="宋体" w:hAnsi="宋体"/>
          <w:sz w:val="28"/>
          <w:szCs w:val="28"/>
        </w:rPr>
        <w:t>一、前附表</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_Toc83838329 \h</w:instrText>
      </w:r>
      <w:r>
        <w:rPr>
          <w:rFonts w:hint="eastAsia" w:ascii="宋体" w:hAnsi="宋体"/>
          <w:sz w:val="28"/>
          <w:szCs w:val="28"/>
        </w:rPr>
        <w:fldChar w:fldCharType="separate"/>
      </w:r>
      <w:r>
        <w:rPr>
          <w:rFonts w:ascii="宋体" w:hAnsi="宋体"/>
          <w:sz w:val="28"/>
          <w:szCs w:val="28"/>
          <w:lang/>
        </w:rPr>
        <w:t>6</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"_Toc83838330"</w:instrText>
      </w:r>
      <w:r>
        <w:fldChar w:fldCharType="separate"/>
      </w:r>
      <w:r>
        <w:rPr>
          <w:rFonts w:hint="eastAsia" w:ascii="宋体" w:hAnsi="宋体"/>
          <w:sz w:val="28"/>
          <w:szCs w:val="28"/>
        </w:rPr>
        <w:t>二、采购文件</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_Toc83838330 \h</w:instrText>
      </w:r>
      <w:r>
        <w:rPr>
          <w:rFonts w:hint="eastAsia" w:ascii="宋体" w:hAnsi="宋体"/>
          <w:sz w:val="28"/>
          <w:szCs w:val="28"/>
        </w:rPr>
        <w:fldChar w:fldCharType="separate"/>
      </w:r>
      <w:r>
        <w:rPr>
          <w:rFonts w:ascii="宋体" w:hAnsi="宋体"/>
          <w:sz w:val="28"/>
          <w:szCs w:val="28"/>
          <w:lang/>
        </w:rPr>
        <w:t>7</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"_Toc83838331"</w:instrText>
      </w:r>
      <w:r>
        <w:fldChar w:fldCharType="separate"/>
      </w:r>
      <w:r>
        <w:rPr>
          <w:rFonts w:hint="eastAsia" w:ascii="宋体" w:hAnsi="宋体"/>
          <w:sz w:val="28"/>
          <w:szCs w:val="28"/>
        </w:rPr>
        <w:t>三、投标文件</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_Toc83838331 \h</w:instrText>
      </w:r>
      <w:r>
        <w:rPr>
          <w:rFonts w:hint="eastAsia" w:ascii="宋体" w:hAnsi="宋体"/>
          <w:sz w:val="28"/>
          <w:szCs w:val="28"/>
        </w:rPr>
        <w:fldChar w:fldCharType="separate"/>
      </w:r>
      <w:r>
        <w:rPr>
          <w:rFonts w:ascii="宋体" w:hAnsi="宋体"/>
          <w:sz w:val="28"/>
          <w:szCs w:val="28"/>
          <w:lang/>
        </w:rPr>
        <w:t>9</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"_Toc83838332"</w:instrText>
      </w:r>
      <w:r>
        <w:fldChar w:fldCharType="separate"/>
      </w:r>
      <w:r>
        <w:rPr>
          <w:rFonts w:hint="eastAsia" w:ascii="宋体" w:hAnsi="宋体"/>
          <w:sz w:val="28"/>
          <w:szCs w:val="28"/>
        </w:rPr>
        <w:t>四、开标评标</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_Toc83838332 \h</w:instrText>
      </w:r>
      <w:r>
        <w:rPr>
          <w:rFonts w:hint="eastAsia" w:ascii="宋体" w:hAnsi="宋体"/>
          <w:sz w:val="28"/>
          <w:szCs w:val="28"/>
        </w:rPr>
        <w:fldChar w:fldCharType="separate"/>
      </w:r>
      <w:r>
        <w:rPr>
          <w:rFonts w:ascii="宋体" w:hAnsi="宋体"/>
          <w:sz w:val="28"/>
          <w:szCs w:val="28"/>
          <w:lang/>
        </w:rPr>
        <w:t>12</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"_Toc83838333"</w:instrText>
      </w:r>
      <w:r>
        <w:fldChar w:fldCharType="separate"/>
      </w:r>
      <w:r>
        <w:rPr>
          <w:rFonts w:hint="eastAsia" w:ascii="宋体" w:hAnsi="宋体"/>
          <w:sz w:val="28"/>
          <w:szCs w:val="28"/>
        </w:rPr>
        <w:t>五、合同签订及履约</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_Toc83838333 \h</w:instrText>
      </w:r>
      <w:r>
        <w:rPr>
          <w:rFonts w:hint="eastAsia" w:ascii="宋体" w:hAnsi="宋体"/>
          <w:sz w:val="28"/>
          <w:szCs w:val="28"/>
        </w:rPr>
        <w:fldChar w:fldCharType="separate"/>
      </w:r>
      <w:r>
        <w:rPr>
          <w:rFonts w:ascii="宋体" w:hAnsi="宋体"/>
          <w:sz w:val="28"/>
          <w:szCs w:val="28"/>
          <w:lang/>
        </w:rPr>
        <w:t>16</w:t>
      </w:r>
      <w:r>
        <w:rPr>
          <w:rFonts w:hint="eastAsia" w:ascii="宋体" w:hAnsi="宋体"/>
          <w:sz w:val="28"/>
          <w:szCs w:val="28"/>
        </w:rPr>
        <w:fldChar w:fldCharType="end"/>
      </w:r>
      <w:r>
        <w:fldChar w:fldCharType="end"/>
      </w:r>
    </w:p>
    <w:p>
      <w:pPr>
        <w:pStyle w:val="29"/>
        <w:tabs>
          <w:tab w:val="right" w:leader="dot" w:pos="8641"/>
        </w:tabs>
        <w:rPr>
          <w:rFonts w:ascii="宋体" w:hAnsi="宋体"/>
          <w:sz w:val="28"/>
          <w:szCs w:val="28"/>
        </w:rPr>
      </w:pPr>
      <w:r>
        <w:fldChar w:fldCharType="begin"/>
      </w:r>
      <w:r>
        <w:instrText xml:space="preserve">HYPERLINK \l "_Toc83838334"</w:instrText>
      </w:r>
      <w:r>
        <w:fldChar w:fldCharType="separate"/>
      </w:r>
      <w:r>
        <w:rPr>
          <w:rFonts w:hint="eastAsia" w:ascii="宋体" w:hAnsi="宋体"/>
          <w:sz w:val="28"/>
          <w:szCs w:val="28"/>
        </w:rPr>
        <w:t>第三章  采购需求</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_Toc83838334 \h</w:instrText>
      </w:r>
      <w:r>
        <w:rPr>
          <w:rFonts w:hint="eastAsia" w:ascii="宋体" w:hAnsi="宋体"/>
          <w:sz w:val="28"/>
          <w:szCs w:val="28"/>
        </w:rPr>
        <w:fldChar w:fldCharType="separate"/>
      </w:r>
      <w:r>
        <w:rPr>
          <w:rFonts w:ascii="宋体" w:hAnsi="宋体"/>
          <w:sz w:val="28"/>
          <w:szCs w:val="28"/>
          <w:lang/>
        </w:rPr>
        <w:t>18</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"_Toc83838335"</w:instrText>
      </w:r>
      <w:r>
        <w:fldChar w:fldCharType="separate"/>
      </w:r>
      <w:r>
        <w:rPr>
          <w:rFonts w:hint="eastAsia" w:ascii="宋体" w:hAnsi="宋体"/>
          <w:sz w:val="28"/>
          <w:szCs w:val="28"/>
        </w:rPr>
        <w:t>一、服务清单及要求</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_Toc83838335 \h</w:instrText>
      </w:r>
      <w:r>
        <w:rPr>
          <w:rFonts w:hint="eastAsia" w:ascii="宋体" w:hAnsi="宋体"/>
          <w:sz w:val="28"/>
          <w:szCs w:val="28"/>
        </w:rPr>
        <w:fldChar w:fldCharType="separate"/>
      </w:r>
      <w:r>
        <w:rPr>
          <w:rFonts w:ascii="宋体" w:hAnsi="宋体"/>
          <w:sz w:val="28"/>
          <w:szCs w:val="28"/>
          <w:lang/>
        </w:rPr>
        <w:t>18</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"_Toc83838336"</w:instrText>
      </w:r>
      <w:r>
        <w:fldChar w:fldCharType="separate"/>
      </w:r>
      <w:r>
        <w:rPr>
          <w:rFonts w:hint="eastAsia" w:ascii="宋体" w:hAnsi="宋体"/>
          <w:sz w:val="28"/>
          <w:szCs w:val="28"/>
        </w:rPr>
        <w:t>二、商务要求</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_Toc83838336 \h</w:instrText>
      </w:r>
      <w:r>
        <w:rPr>
          <w:rFonts w:hint="eastAsia" w:ascii="宋体" w:hAnsi="宋体"/>
          <w:sz w:val="28"/>
          <w:szCs w:val="28"/>
        </w:rPr>
        <w:fldChar w:fldCharType="separate"/>
      </w:r>
      <w:r>
        <w:rPr>
          <w:rFonts w:ascii="宋体" w:hAnsi="宋体"/>
          <w:sz w:val="28"/>
          <w:szCs w:val="28"/>
          <w:lang/>
        </w:rPr>
        <w:t>104</w:t>
      </w:r>
      <w:r>
        <w:rPr>
          <w:rFonts w:hint="eastAsia" w:ascii="宋体" w:hAnsi="宋体"/>
          <w:sz w:val="28"/>
          <w:szCs w:val="28"/>
        </w:rPr>
        <w:fldChar w:fldCharType="end"/>
      </w:r>
      <w:r>
        <w:fldChar w:fldCharType="end"/>
      </w:r>
    </w:p>
    <w:p>
      <w:pPr>
        <w:pStyle w:val="29"/>
        <w:tabs>
          <w:tab w:val="right" w:leader="dot" w:pos="8641"/>
        </w:tabs>
        <w:rPr>
          <w:rFonts w:ascii="宋体" w:hAnsi="宋体"/>
          <w:sz w:val="28"/>
          <w:szCs w:val="28"/>
        </w:rPr>
      </w:pPr>
      <w:r>
        <w:fldChar w:fldCharType="begin"/>
      </w:r>
      <w:r>
        <w:instrText xml:space="preserve">HYPERLINK \l "_Toc83838337"</w:instrText>
      </w:r>
      <w:r>
        <w:fldChar w:fldCharType="separate"/>
      </w:r>
      <w:r>
        <w:rPr>
          <w:rFonts w:hint="eastAsia" w:ascii="宋体" w:hAnsi="宋体"/>
          <w:sz w:val="28"/>
          <w:szCs w:val="28"/>
        </w:rPr>
        <w:t>第四章  拟签订合同的主要条款</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_Toc83838337 \h</w:instrText>
      </w:r>
      <w:r>
        <w:rPr>
          <w:rFonts w:hint="eastAsia" w:ascii="宋体" w:hAnsi="宋体"/>
          <w:sz w:val="28"/>
          <w:szCs w:val="28"/>
        </w:rPr>
        <w:fldChar w:fldCharType="separate"/>
      </w:r>
      <w:r>
        <w:rPr>
          <w:rFonts w:ascii="宋体" w:hAnsi="宋体"/>
          <w:sz w:val="28"/>
          <w:szCs w:val="28"/>
          <w:lang/>
        </w:rPr>
        <w:t>105</w:t>
      </w:r>
      <w:r>
        <w:rPr>
          <w:rFonts w:hint="eastAsia" w:ascii="宋体" w:hAnsi="宋体"/>
          <w:sz w:val="28"/>
          <w:szCs w:val="28"/>
        </w:rPr>
        <w:fldChar w:fldCharType="end"/>
      </w:r>
      <w:r>
        <w:fldChar w:fldCharType="end"/>
      </w:r>
    </w:p>
    <w:p>
      <w:pPr>
        <w:pStyle w:val="29"/>
        <w:tabs>
          <w:tab w:val="right" w:leader="dot" w:pos="8641"/>
        </w:tabs>
        <w:rPr>
          <w:rFonts w:ascii="宋体" w:hAnsi="宋体"/>
          <w:sz w:val="28"/>
          <w:szCs w:val="28"/>
        </w:rPr>
      </w:pPr>
      <w:r>
        <w:fldChar w:fldCharType="begin"/>
      </w:r>
      <w:r>
        <w:instrText xml:space="preserve">HYPERLINK \l "_Toc83838338"</w:instrText>
      </w:r>
      <w:r>
        <w:fldChar w:fldCharType="separate"/>
      </w:r>
      <w:r>
        <w:rPr>
          <w:rFonts w:hint="eastAsia" w:ascii="宋体" w:hAnsi="宋体"/>
          <w:sz w:val="28"/>
          <w:szCs w:val="28"/>
        </w:rPr>
        <w:t>第五章  评标办法及标准</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_Toc83838338 \h</w:instrText>
      </w:r>
      <w:r>
        <w:rPr>
          <w:rFonts w:hint="eastAsia" w:ascii="宋体" w:hAnsi="宋体"/>
          <w:sz w:val="28"/>
          <w:szCs w:val="28"/>
        </w:rPr>
        <w:fldChar w:fldCharType="separate"/>
      </w:r>
      <w:r>
        <w:rPr>
          <w:rFonts w:ascii="宋体" w:hAnsi="宋体"/>
          <w:sz w:val="28"/>
          <w:szCs w:val="28"/>
          <w:lang/>
        </w:rPr>
        <w:t>108</w:t>
      </w:r>
      <w:r>
        <w:rPr>
          <w:rFonts w:hint="eastAsia" w:ascii="宋体" w:hAnsi="宋体"/>
          <w:sz w:val="28"/>
          <w:szCs w:val="28"/>
        </w:rPr>
        <w:fldChar w:fldCharType="end"/>
      </w:r>
      <w:r>
        <w:fldChar w:fldCharType="end"/>
      </w:r>
    </w:p>
    <w:p>
      <w:pPr>
        <w:pStyle w:val="29"/>
        <w:tabs>
          <w:tab w:val="right" w:leader="dot" w:pos="8641"/>
        </w:tabs>
        <w:rPr>
          <w:rFonts w:ascii="宋体" w:hAnsi="宋体"/>
          <w:sz w:val="28"/>
          <w:szCs w:val="28"/>
        </w:rPr>
      </w:pPr>
      <w:r>
        <w:fldChar w:fldCharType="begin"/>
      </w:r>
      <w:r>
        <w:instrText xml:space="preserve">HYPERLINK \l "_Toc83838339"</w:instrText>
      </w:r>
      <w:r>
        <w:fldChar w:fldCharType="separate"/>
      </w:r>
      <w:r>
        <w:rPr>
          <w:rFonts w:hint="eastAsia" w:ascii="宋体" w:hAnsi="宋体"/>
          <w:sz w:val="28"/>
          <w:szCs w:val="28"/>
        </w:rPr>
        <w:t>第六章  投标文件格式附件</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_Toc83838339 \h</w:instrText>
      </w:r>
      <w:r>
        <w:rPr>
          <w:rFonts w:hint="eastAsia" w:ascii="宋体" w:hAnsi="宋体"/>
          <w:sz w:val="28"/>
          <w:szCs w:val="28"/>
        </w:rPr>
        <w:fldChar w:fldCharType="separate"/>
      </w:r>
      <w:r>
        <w:rPr>
          <w:rFonts w:ascii="宋体" w:hAnsi="宋体"/>
          <w:sz w:val="28"/>
          <w:szCs w:val="28"/>
          <w:lang/>
        </w:rPr>
        <w:t>115</w:t>
      </w:r>
      <w:r>
        <w:rPr>
          <w:rFonts w:hint="eastAsia" w:ascii="宋体" w:hAnsi="宋体"/>
          <w:sz w:val="28"/>
          <w:szCs w:val="28"/>
        </w:rPr>
        <w:fldChar w:fldCharType="end"/>
      </w:r>
      <w:r>
        <w:fldChar w:fldCharType="end"/>
      </w:r>
    </w:p>
    <w:p>
      <w:pPr>
        <w:pStyle w:val="29"/>
        <w:tabs>
          <w:tab w:val="right" w:leader="dot" w:pos="8641"/>
        </w:tabs>
        <w:rPr>
          <w:rFonts w:ascii="宋体" w:hAnsi="宋体"/>
          <w:sz w:val="28"/>
          <w:szCs w:val="28"/>
        </w:rPr>
      </w:pPr>
      <w:r>
        <w:fldChar w:fldCharType="begin"/>
      </w:r>
      <w:r>
        <w:instrText xml:space="preserve">HYPERLINK \l "_Toc83838340"</w:instrText>
      </w:r>
      <w:r>
        <w:fldChar w:fldCharType="separate"/>
      </w:r>
      <w:r>
        <w:rPr>
          <w:rFonts w:hint="eastAsia" w:ascii="宋体" w:hAnsi="宋体"/>
          <w:sz w:val="28"/>
          <w:szCs w:val="28"/>
        </w:rPr>
        <w:t>第七章  询问、质疑及投诉</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_Toc83838340 \h</w:instrText>
      </w:r>
      <w:r>
        <w:rPr>
          <w:rFonts w:hint="eastAsia" w:ascii="宋体" w:hAnsi="宋体"/>
          <w:sz w:val="28"/>
          <w:szCs w:val="28"/>
        </w:rPr>
        <w:fldChar w:fldCharType="separate"/>
      </w:r>
      <w:r>
        <w:rPr>
          <w:rFonts w:ascii="宋体" w:hAnsi="宋体"/>
          <w:sz w:val="28"/>
          <w:szCs w:val="28"/>
          <w:lang/>
        </w:rPr>
        <w:t>138</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"_Toc83838341"</w:instrText>
      </w:r>
      <w:r>
        <w:fldChar w:fldCharType="separate"/>
      </w:r>
      <w:r>
        <w:rPr>
          <w:rFonts w:hint="eastAsia" w:ascii="宋体" w:hAnsi="宋体"/>
          <w:sz w:val="28"/>
          <w:szCs w:val="28"/>
        </w:rPr>
        <w:t>一、供应商询问</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_Toc83838341 \h</w:instrText>
      </w:r>
      <w:r>
        <w:rPr>
          <w:rFonts w:hint="eastAsia" w:ascii="宋体" w:hAnsi="宋体"/>
          <w:sz w:val="28"/>
          <w:szCs w:val="28"/>
        </w:rPr>
        <w:fldChar w:fldCharType="separate"/>
      </w:r>
      <w:r>
        <w:rPr>
          <w:rFonts w:ascii="宋体" w:hAnsi="宋体"/>
          <w:sz w:val="28"/>
          <w:szCs w:val="28"/>
          <w:lang/>
        </w:rPr>
        <w:t>138</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"_Toc83838342"</w:instrText>
      </w:r>
      <w:r>
        <w:fldChar w:fldCharType="separate"/>
      </w:r>
      <w:r>
        <w:rPr>
          <w:rFonts w:hint="eastAsia" w:ascii="宋体" w:hAnsi="宋体"/>
          <w:sz w:val="28"/>
          <w:szCs w:val="28"/>
        </w:rPr>
        <w:t>二、供应商质疑</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_Toc83838342 \h</w:instrText>
      </w:r>
      <w:r>
        <w:rPr>
          <w:rFonts w:hint="eastAsia" w:ascii="宋体" w:hAnsi="宋体"/>
          <w:sz w:val="28"/>
          <w:szCs w:val="28"/>
        </w:rPr>
        <w:fldChar w:fldCharType="separate"/>
      </w:r>
      <w:r>
        <w:rPr>
          <w:rFonts w:ascii="宋体" w:hAnsi="宋体"/>
          <w:sz w:val="28"/>
          <w:szCs w:val="28"/>
          <w:lang/>
        </w:rPr>
        <w:t>138</w:t>
      </w:r>
      <w:r>
        <w:rPr>
          <w:rFonts w:hint="eastAsia" w:ascii="宋体" w:hAnsi="宋体"/>
          <w:sz w:val="28"/>
          <w:szCs w:val="28"/>
        </w:rPr>
        <w:fldChar w:fldCharType="end"/>
      </w:r>
      <w:r>
        <w:fldChar w:fldCharType="end"/>
      </w:r>
    </w:p>
    <w:p>
      <w:pPr>
        <w:pStyle w:val="32"/>
        <w:tabs>
          <w:tab w:val="right" w:leader="dot" w:pos="8641"/>
        </w:tabs>
        <w:rPr>
          <w:rFonts w:ascii="宋体" w:hAnsi="宋体"/>
          <w:sz w:val="28"/>
          <w:szCs w:val="28"/>
        </w:rPr>
      </w:pPr>
      <w:r>
        <w:fldChar w:fldCharType="begin"/>
      </w:r>
      <w:r>
        <w:instrText xml:space="preserve">HYPERLINK \l "_Toc83838343"</w:instrText>
      </w:r>
      <w:r>
        <w:fldChar w:fldCharType="separate"/>
      </w:r>
      <w:r>
        <w:rPr>
          <w:rFonts w:hint="eastAsia" w:ascii="宋体" w:hAnsi="宋体"/>
          <w:sz w:val="28"/>
          <w:szCs w:val="28"/>
        </w:rPr>
        <w:t>三、供应商投诉</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PageRef _Toc83838343 \h</w:instrText>
      </w:r>
      <w:r>
        <w:rPr>
          <w:rFonts w:hint="eastAsia" w:ascii="宋体" w:hAnsi="宋体"/>
          <w:sz w:val="28"/>
          <w:szCs w:val="28"/>
        </w:rPr>
        <w:fldChar w:fldCharType="separate"/>
      </w:r>
      <w:r>
        <w:rPr>
          <w:rFonts w:ascii="宋体" w:hAnsi="宋体"/>
          <w:sz w:val="28"/>
          <w:szCs w:val="28"/>
          <w:lang/>
        </w:rPr>
        <w:t>139</w:t>
      </w:r>
      <w:r>
        <w:rPr>
          <w:rFonts w:hint="eastAsia" w:ascii="宋体" w:hAnsi="宋体"/>
          <w:sz w:val="28"/>
          <w:szCs w:val="28"/>
        </w:rPr>
        <w:fldChar w:fldCharType="end"/>
      </w:r>
      <w:r>
        <w:fldChar w:fldCharType="end"/>
      </w:r>
      <w:r>
        <w:rPr>
          <w:rFonts w:hint="eastAsia" w:ascii="宋体" w:hAnsi="宋体"/>
          <w:sz w:val="28"/>
          <w:szCs w:val="28"/>
        </w:rPr>
        <w:fldChar w:fldCharType="end"/>
      </w:r>
    </w:p>
    <w:p>
      <w:pPr>
        <w:rPr>
          <w:rFonts w:ascii="宋体" w:hAnsi="宋体"/>
        </w:rPr>
      </w:pPr>
    </w:p>
    <w:p>
      <w:pPr>
        <w:pStyle w:val="2"/>
        <w:rPr>
          <w:rFonts w:ascii="宋体" w:hAnsi="宋体" w:eastAsia="宋体"/>
        </w:rPr>
        <w:sectPr>
          <w:footerReference r:id="rId4" w:type="default"/>
          <w:pgSz w:w="11907" w:h="16840"/>
          <w:pgMar w:top="1440" w:right="1463" w:bottom="1440" w:left="1803" w:header="851" w:footer="992" w:gutter="0"/>
          <w:cols w:space="720" w:num="1"/>
          <w:docGrid w:type="lines" w:linePitch="312" w:charSpace="0"/>
        </w:sectPr>
      </w:pPr>
    </w:p>
    <w:p>
      <w:pPr>
        <w:pStyle w:val="2"/>
        <w:numPr>
          <w:ilvl w:val="0"/>
          <w:numId w:val="0"/>
        </w:numPr>
        <w:ind w:left="425"/>
        <w:jc w:val="center"/>
        <w:rPr>
          <w:rFonts w:ascii="宋体" w:hAnsi="宋体" w:eastAsia="宋体"/>
        </w:rPr>
      </w:pPr>
      <w:bookmarkStart w:id="0" w:name="_Toc83838327"/>
      <w:r>
        <w:rPr>
          <w:rFonts w:ascii="宋体" w:hAnsi="宋体" w:eastAsia="宋体"/>
        </w:rPr>
        <w:t>第一章  采购公告</w:t>
      </w:r>
      <w:bookmarkEnd w:id="0"/>
    </w:p>
    <w:p>
      <w:pPr>
        <w:spacing w:line="360" w:lineRule="auto"/>
        <w:ind w:firstLine="482" w:firstLineChars="200"/>
        <w:rPr>
          <w:rFonts w:ascii="宋体" w:hAnsi="宋体" w:cs="Arial"/>
          <w:bCs/>
          <w:sz w:val="24"/>
        </w:rPr>
      </w:pPr>
      <w:r>
        <w:rPr>
          <w:rFonts w:hint="eastAsia" w:ascii="宋体" w:hAnsi="宋体" w:cs="Arial"/>
          <w:b/>
          <w:bCs/>
          <w:sz w:val="24"/>
        </w:rPr>
        <w:t>浙江天源工程管理咨询有限公司</w:t>
      </w:r>
      <w:r>
        <w:rPr>
          <w:rFonts w:ascii="宋体" w:hAnsi="宋体" w:cs="Arial"/>
          <w:b/>
          <w:bCs/>
          <w:sz w:val="24"/>
        </w:rPr>
        <w:t>（代理机构）</w:t>
      </w:r>
      <w:r>
        <w:rPr>
          <w:rFonts w:hint="eastAsia" w:ascii="宋体" w:hAnsi="宋体" w:cs="Arial"/>
          <w:bCs/>
          <w:sz w:val="24"/>
        </w:rPr>
        <w:t xml:space="preserve">受 </w:t>
      </w:r>
      <w:r>
        <w:rPr>
          <w:rFonts w:ascii="宋体" w:hAnsi="宋体" w:cs="Arial"/>
          <w:b/>
          <w:bCs/>
          <w:sz w:val="24"/>
        </w:rPr>
        <w:t>（采购人）</w:t>
      </w:r>
      <w:r>
        <w:rPr>
          <w:rFonts w:hint="eastAsia" w:ascii="宋体" w:hAnsi="宋体" w:cs="Arial"/>
          <w:b/>
          <w:bCs/>
          <w:sz w:val="24"/>
        </w:rPr>
        <w:t>绍兴市越城区城市发展综合保障服务有限公司、绍兴袍江工业区投资开发有限公司、绍兴高新技术产业开发区迪荡新城投资发展有限公司、绍兴滨海新区发展集团有限公司</w:t>
      </w:r>
      <w:r>
        <w:rPr>
          <w:rFonts w:hint="eastAsia" w:ascii="宋体" w:hAnsi="宋体" w:cs="Arial"/>
          <w:bCs/>
          <w:sz w:val="24"/>
        </w:rPr>
        <w:t>委托，就下列项目进行</w:t>
      </w:r>
      <w:r>
        <w:rPr>
          <w:rFonts w:ascii="宋体" w:hAnsi="宋体" w:cs="Arial"/>
          <w:bCs/>
          <w:sz w:val="24"/>
          <w:u w:val="single"/>
        </w:rPr>
        <w:t>公开招标</w:t>
      </w:r>
      <w:r>
        <w:rPr>
          <w:rFonts w:hint="eastAsia" w:ascii="宋体" w:hAnsi="宋体" w:cs="Arial"/>
          <w:b/>
          <w:bCs/>
          <w:sz w:val="24"/>
        </w:rPr>
        <w:t>（采购方式）</w:t>
      </w:r>
      <w:r>
        <w:rPr>
          <w:rFonts w:hint="eastAsia" w:ascii="宋体" w:hAnsi="宋体" w:cs="Arial"/>
          <w:bCs/>
          <w:sz w:val="24"/>
        </w:rPr>
        <w:t>，现将有关事项公告如下：</w:t>
      </w:r>
    </w:p>
    <w:p>
      <w:pPr>
        <w:numPr>
          <w:ilvl w:val="0"/>
          <w:numId w:val="9"/>
        </w:numPr>
        <w:spacing w:line="360" w:lineRule="auto"/>
        <w:rPr>
          <w:rFonts w:ascii="宋体" w:hAnsi="宋体" w:cs="Arial"/>
          <w:bCs/>
          <w:sz w:val="24"/>
        </w:rPr>
      </w:pPr>
      <w:r>
        <w:rPr>
          <w:rFonts w:hint="eastAsia" w:ascii="宋体" w:hAnsi="宋体" w:cs="Arial"/>
          <w:b/>
          <w:bCs/>
          <w:sz w:val="24"/>
        </w:rPr>
        <w:t>项目编号：YCDL2020-09-</w:t>
      </w:r>
    </w:p>
    <w:p>
      <w:pPr>
        <w:numPr>
          <w:ilvl w:val="0"/>
          <w:numId w:val="9"/>
        </w:numPr>
        <w:spacing w:line="360" w:lineRule="auto"/>
        <w:rPr>
          <w:rFonts w:ascii="宋体" w:hAnsi="宋体" w:cs="Arial"/>
          <w:bCs/>
          <w:sz w:val="24"/>
        </w:rPr>
      </w:pPr>
      <w:r>
        <w:rPr>
          <w:rFonts w:hint="eastAsia" w:ascii="宋体" w:hAnsi="宋体" w:cs="Arial"/>
          <w:b/>
          <w:bCs/>
          <w:sz w:val="24"/>
        </w:rPr>
        <w:t>采购组织类型：</w:t>
      </w:r>
      <w:r>
        <w:rPr>
          <w:rFonts w:ascii="宋体" w:hAnsi="宋体" w:cs="Arial"/>
          <w:bCs/>
          <w:sz w:val="24"/>
          <w:u w:val="single"/>
        </w:rPr>
        <w:t>国企采购委托代理</w:t>
      </w:r>
      <w:r>
        <w:rPr>
          <w:rFonts w:hint="eastAsia" w:ascii="宋体" w:hAnsi="宋体" w:cs="Arial"/>
          <w:b/>
          <w:bCs/>
          <w:sz w:val="24"/>
        </w:rPr>
        <w:t>采购类别：</w:t>
      </w:r>
      <w:r>
        <w:rPr>
          <w:rFonts w:ascii="宋体" w:hAnsi="宋体" w:cs="Arial"/>
          <w:b/>
          <w:bCs/>
          <w:sz w:val="24"/>
          <w:u w:val="single"/>
        </w:rPr>
        <w:t>服务</w:t>
      </w:r>
    </w:p>
    <w:p>
      <w:pPr>
        <w:numPr>
          <w:ilvl w:val="0"/>
          <w:numId w:val="9"/>
        </w:numPr>
        <w:spacing w:line="360" w:lineRule="auto"/>
        <w:rPr>
          <w:rFonts w:ascii="宋体" w:hAnsi="宋体" w:cs="Arial"/>
          <w:bCs/>
          <w:sz w:val="24"/>
        </w:rPr>
      </w:pPr>
      <w:r>
        <w:rPr>
          <w:rFonts w:hint="eastAsia" w:ascii="宋体" w:hAnsi="宋体" w:cs="Arial"/>
          <w:b/>
          <w:bCs/>
          <w:sz w:val="24"/>
        </w:rPr>
        <w:t>项目</w:t>
      </w:r>
      <w:r>
        <w:rPr>
          <w:rFonts w:ascii="宋体" w:hAnsi="宋体" w:cs="Arial"/>
          <w:b/>
          <w:bCs/>
          <w:sz w:val="24"/>
        </w:rPr>
        <w:t>概况</w:t>
      </w:r>
      <w:r>
        <w:rPr>
          <w:rFonts w:hint="eastAsia" w:ascii="宋体" w:hAnsi="宋体" w:cs="Arial"/>
          <w:b/>
          <w:bCs/>
          <w:sz w:val="24"/>
        </w:rPr>
        <w:t>：</w:t>
      </w:r>
    </w:p>
    <w:tbl>
      <w:tblPr>
        <w:tblStyle w:val="4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noWrap w:val="0"/>
            <w:vAlign w:val="center"/>
          </w:tcPr>
          <w:p>
            <w:pPr>
              <w:spacing w:line="360" w:lineRule="auto"/>
              <w:jc w:val="center"/>
              <w:rPr>
                <w:rFonts w:ascii="宋体" w:hAnsi="宋体" w:cs="Arial"/>
                <w:b/>
                <w:sz w:val="24"/>
              </w:rPr>
            </w:pPr>
            <w:r>
              <w:rPr>
                <w:rFonts w:hint="eastAsia" w:ascii="宋体" w:hAnsi="宋体" w:cs="宋体"/>
                <w:b/>
                <w:sz w:val="24"/>
              </w:rPr>
              <w:t>标段</w:t>
            </w:r>
            <w:r>
              <w:rPr>
                <w:rFonts w:ascii="宋体" w:hAnsi="宋体" w:cs="宋体"/>
                <w:b/>
                <w:sz w:val="24"/>
              </w:rPr>
              <w:t>编号</w:t>
            </w:r>
          </w:p>
        </w:tc>
        <w:tc>
          <w:tcPr>
            <w:tcW w:w="3848" w:type="dxa"/>
            <w:noWrap w:val="0"/>
            <w:vAlign w:val="center"/>
          </w:tcPr>
          <w:p>
            <w:pPr>
              <w:spacing w:line="360" w:lineRule="auto"/>
              <w:jc w:val="center"/>
              <w:rPr>
                <w:rFonts w:ascii="宋体" w:hAnsi="宋体" w:cs="宋体"/>
                <w:b/>
                <w:sz w:val="24"/>
              </w:rPr>
            </w:pPr>
            <w:r>
              <w:rPr>
                <w:rFonts w:hint="eastAsia" w:ascii="宋体" w:hAnsi="宋体" w:cs="宋体"/>
                <w:b/>
                <w:sz w:val="24"/>
              </w:rPr>
              <w:t>标段名称</w:t>
            </w:r>
          </w:p>
        </w:tc>
        <w:tc>
          <w:tcPr>
            <w:tcW w:w="2631" w:type="dxa"/>
            <w:noWrap w:val="0"/>
            <w:vAlign w:val="center"/>
          </w:tcPr>
          <w:p>
            <w:pPr>
              <w:spacing w:line="360" w:lineRule="auto"/>
              <w:jc w:val="center"/>
              <w:rPr>
                <w:rFonts w:ascii="宋体" w:hAnsi="宋体" w:cs="Arial"/>
                <w:b/>
                <w:sz w:val="24"/>
              </w:rPr>
            </w:pPr>
            <w:r>
              <w:rPr>
                <w:rFonts w:hint="eastAsia" w:ascii="宋体" w:hAnsi="宋体" w:cs="Arial"/>
                <w:b/>
                <w:sz w:val="24"/>
              </w:rPr>
              <w:t>上限价</w:t>
            </w:r>
          </w:p>
          <w:p>
            <w:pPr>
              <w:spacing w:line="360" w:lineRule="auto"/>
              <w:jc w:val="center"/>
              <w:rPr>
                <w:rFonts w:ascii="宋体" w:hAnsi="宋体" w:cs="Arial"/>
                <w:b/>
                <w:sz w:val="24"/>
              </w:rPr>
            </w:pPr>
            <w:r>
              <w:rPr>
                <w:rFonts w:hint="eastAsia" w:ascii="宋体" w:hAnsi="宋体" w:cs="Arial"/>
                <w:b/>
                <w:sz w:val="24"/>
              </w:rPr>
              <w:t>（</w:t>
            </w:r>
            <w:r>
              <w:rPr>
                <w:rFonts w:ascii="宋体" w:hAnsi="宋体" w:cs="Arial"/>
                <w:b/>
                <w:sz w:val="24"/>
              </w:rPr>
              <w:t>单位：人民币</w:t>
            </w:r>
            <w:r>
              <w:rPr>
                <w:rFonts w:hint="eastAsia" w:ascii="宋体" w:hAnsi="宋体" w:cs="Arial"/>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noWrap w:val="0"/>
            <w:vAlign w:val="center"/>
          </w:tcPr>
          <w:p>
            <w:pPr>
              <w:spacing w:line="360" w:lineRule="auto"/>
              <w:jc w:val="center"/>
              <w:rPr>
                <w:rFonts w:ascii="宋体" w:hAnsi="宋体" w:cs="Arial"/>
                <w:sz w:val="24"/>
              </w:rPr>
            </w:pPr>
            <w:r>
              <w:rPr>
                <w:rFonts w:hint="eastAsia" w:ascii="宋体" w:hAnsi="宋体" w:cs="Arial"/>
                <w:sz w:val="24"/>
              </w:rPr>
              <w:t>01</w:t>
            </w:r>
          </w:p>
        </w:tc>
        <w:tc>
          <w:tcPr>
            <w:tcW w:w="3848" w:type="dxa"/>
            <w:noWrap w:val="0"/>
            <w:vAlign w:val="center"/>
          </w:tcPr>
          <w:p>
            <w:pPr>
              <w:spacing w:line="360" w:lineRule="auto"/>
              <w:jc w:val="center"/>
              <w:rPr>
                <w:rFonts w:ascii="宋体" w:hAnsi="宋体" w:cs="Arial"/>
                <w:sz w:val="24"/>
              </w:rPr>
            </w:pPr>
            <w:r>
              <w:rPr>
                <w:rFonts w:hint="eastAsia" w:ascii="宋体" w:hAnsi="宋体" w:cs="Arial"/>
                <w:sz w:val="24"/>
              </w:rPr>
              <w:t>越城区智安小区核心技术服务项目</w:t>
            </w:r>
          </w:p>
        </w:tc>
        <w:tc>
          <w:tcPr>
            <w:tcW w:w="2631" w:type="dxa"/>
            <w:noWrap w:val="0"/>
            <w:vAlign w:val="center"/>
          </w:tcPr>
          <w:p>
            <w:pPr>
              <w:spacing w:line="360" w:lineRule="auto"/>
              <w:rPr>
                <w:rFonts w:ascii="宋体" w:hAnsi="宋体" w:cs="Arial"/>
                <w:sz w:val="24"/>
              </w:rPr>
            </w:pPr>
            <w:r>
              <w:rPr>
                <w:rFonts w:hint="eastAsia" w:ascii="宋体" w:hAnsi="宋体" w:cs="Arial"/>
                <w:sz w:val="24"/>
              </w:rPr>
              <w:t>￥31640000.00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noWrap w:val="0"/>
            <w:vAlign w:val="center"/>
          </w:tcPr>
          <w:p>
            <w:pPr>
              <w:spacing w:line="360" w:lineRule="auto"/>
              <w:jc w:val="center"/>
              <w:rPr>
                <w:rFonts w:ascii="宋体" w:hAnsi="宋体" w:cs="Arial"/>
                <w:sz w:val="24"/>
              </w:rPr>
            </w:pPr>
            <w:r>
              <w:rPr>
                <w:rFonts w:hint="eastAsia" w:ascii="宋体" w:hAnsi="宋体" w:cs="Arial"/>
                <w:sz w:val="24"/>
              </w:rPr>
              <w:t>02</w:t>
            </w:r>
          </w:p>
        </w:tc>
        <w:tc>
          <w:tcPr>
            <w:tcW w:w="3848" w:type="dxa"/>
            <w:noWrap w:val="0"/>
            <w:vAlign w:val="center"/>
          </w:tcPr>
          <w:p>
            <w:pPr>
              <w:spacing w:line="360" w:lineRule="auto"/>
              <w:jc w:val="center"/>
              <w:rPr>
                <w:rFonts w:ascii="宋体" w:hAnsi="宋体" w:cs="Arial"/>
                <w:sz w:val="24"/>
              </w:rPr>
            </w:pPr>
            <w:r>
              <w:rPr>
                <w:rFonts w:hint="eastAsia" w:ascii="宋体" w:hAnsi="宋体" w:cs="Arial"/>
                <w:sz w:val="24"/>
              </w:rPr>
              <w:t>越城区小区及社会面停车场车辆数据采集联网项目</w:t>
            </w:r>
          </w:p>
        </w:tc>
        <w:tc>
          <w:tcPr>
            <w:tcW w:w="2631" w:type="dxa"/>
            <w:noWrap w:val="0"/>
            <w:vAlign w:val="center"/>
          </w:tcPr>
          <w:p>
            <w:pPr>
              <w:spacing w:line="360" w:lineRule="auto"/>
              <w:rPr>
                <w:rFonts w:ascii="宋体" w:hAnsi="宋体" w:cs="Arial"/>
                <w:sz w:val="24"/>
              </w:rPr>
            </w:pPr>
            <w:r>
              <w:rPr>
                <w:rFonts w:hint="eastAsia" w:ascii="宋体" w:hAnsi="宋体" w:cs="Arial"/>
                <w:sz w:val="24"/>
              </w:rPr>
              <w:t>￥12340000.00</w:t>
            </w:r>
          </w:p>
        </w:tc>
      </w:tr>
    </w:tbl>
    <w:p>
      <w:pPr>
        <w:spacing w:line="360" w:lineRule="auto"/>
        <w:ind w:left="480"/>
        <w:rPr>
          <w:rFonts w:ascii="宋体" w:hAnsi="宋体"/>
          <w:sz w:val="24"/>
        </w:rPr>
      </w:pPr>
      <w:r>
        <w:rPr>
          <w:rFonts w:ascii="宋体" w:hAnsi="宋体"/>
          <w:b/>
          <w:bCs/>
          <w:sz w:val="24"/>
        </w:rPr>
        <w:t>四、采购需求：</w:t>
      </w:r>
      <w:r>
        <w:rPr>
          <w:rFonts w:ascii="宋体" w:hAnsi="宋体"/>
          <w:sz w:val="24"/>
        </w:rPr>
        <w:t>详见采购文件第三章。</w:t>
      </w:r>
    </w:p>
    <w:p>
      <w:pPr>
        <w:spacing w:line="360" w:lineRule="auto"/>
        <w:ind w:left="480"/>
        <w:rPr>
          <w:rFonts w:ascii="宋体" w:hAnsi="宋体"/>
          <w:b/>
          <w:bCs/>
          <w:sz w:val="24"/>
        </w:rPr>
      </w:pPr>
      <w:r>
        <w:rPr>
          <w:rFonts w:ascii="宋体" w:hAnsi="宋体"/>
          <w:b/>
          <w:bCs/>
          <w:sz w:val="24"/>
        </w:rPr>
        <w:t>五、本项目资格条件：</w:t>
      </w:r>
    </w:p>
    <w:p>
      <w:pPr>
        <w:spacing w:line="360" w:lineRule="auto"/>
        <w:ind w:firstLine="470" w:firstLineChars="196"/>
        <w:rPr>
          <w:rFonts w:ascii="宋体" w:hAnsi="宋体" w:cs="宋体"/>
          <w:kern w:val="0"/>
          <w:sz w:val="24"/>
        </w:rPr>
      </w:pPr>
      <w:r>
        <w:rPr>
          <w:rFonts w:hint="eastAsia" w:ascii="宋体" w:hAnsi="宋体" w:cs="宋体"/>
          <w:kern w:val="0"/>
          <w:sz w:val="24"/>
        </w:rPr>
        <w:t>1.</w:t>
      </w:r>
      <w:r>
        <w:rPr>
          <w:rFonts w:hint="eastAsia" w:ascii="宋体" w:hAnsi="宋体"/>
          <w:sz w:val="24"/>
        </w:rPr>
        <w:t xml:space="preserve"> </w:t>
      </w:r>
      <w:r>
        <w:rPr>
          <w:rFonts w:hint="eastAsia" w:ascii="宋体" w:hAnsi="宋体" w:cs="宋体"/>
          <w:kern w:val="0"/>
          <w:sz w:val="24"/>
        </w:rPr>
        <w:t>符合《中华人民共和国政府采购法》第二十二条之供应商资格规定；</w:t>
      </w:r>
    </w:p>
    <w:p>
      <w:pPr>
        <w:spacing w:line="360" w:lineRule="auto"/>
        <w:ind w:firstLine="470" w:firstLineChars="196"/>
        <w:rPr>
          <w:rFonts w:ascii="宋体" w:hAnsi="宋体" w:cs="宋体"/>
          <w:kern w:val="0"/>
          <w:sz w:val="24"/>
        </w:rPr>
      </w:pPr>
      <w:r>
        <w:rPr>
          <w:rFonts w:hint="eastAsia" w:ascii="宋体" w:hAnsi="宋体" w:cs="宋体"/>
          <w:kern w:val="0"/>
          <w:sz w:val="24"/>
        </w:rPr>
        <w:t>2.未被“信用中国”（www.creditchina.gov.cn）、中国政府采购网（www.ccgp.gov.cn）列入失信被执行人、重大税收违法案件当事人名单、政府采购严重违法失信行为记录名单；</w:t>
      </w:r>
    </w:p>
    <w:p>
      <w:pPr>
        <w:spacing w:line="360" w:lineRule="auto"/>
        <w:ind w:firstLine="470" w:firstLineChars="196"/>
        <w:rPr>
          <w:rFonts w:ascii="宋体" w:hAnsi="宋体" w:cs="宋体"/>
          <w:kern w:val="0"/>
          <w:sz w:val="24"/>
        </w:rPr>
      </w:pPr>
      <w:r>
        <w:rPr>
          <w:rFonts w:hint="eastAsia" w:ascii="宋体" w:hAnsi="宋体" w:cs="宋体"/>
          <w:kern w:val="0"/>
          <w:sz w:val="24"/>
        </w:rPr>
        <w:t>3.</w:t>
      </w:r>
      <w:r>
        <w:rPr>
          <w:rFonts w:hint="eastAsia" w:ascii="宋体" w:hAnsi="宋体"/>
          <w:sz w:val="24"/>
        </w:rPr>
        <w:t xml:space="preserve"> </w:t>
      </w:r>
      <w:r>
        <w:rPr>
          <w:rFonts w:hint="eastAsia" w:ascii="宋体" w:hAnsi="宋体" w:cs="宋体"/>
          <w:kern w:val="0"/>
          <w:sz w:val="24"/>
        </w:rPr>
        <w:t>本项目不允许联合体投标</w:t>
      </w:r>
      <w:r>
        <w:rPr>
          <w:rFonts w:ascii="宋体" w:hAnsi="宋体" w:cs="宋体"/>
          <w:kern w:val="0"/>
          <w:sz w:val="24"/>
        </w:rPr>
        <w:t>，不接受公益一类事业单位投标</w:t>
      </w:r>
      <w:r>
        <w:rPr>
          <w:rFonts w:hint="eastAsia" w:ascii="宋体" w:hAnsi="宋体" w:cs="宋体"/>
          <w:kern w:val="0"/>
          <w:sz w:val="24"/>
        </w:rPr>
        <w:t>。</w:t>
      </w:r>
    </w:p>
    <w:p>
      <w:pPr>
        <w:spacing w:line="360" w:lineRule="auto"/>
        <w:ind w:left="480"/>
        <w:rPr>
          <w:rFonts w:ascii="宋体" w:hAnsi="宋体" w:cs="宋体"/>
          <w:b/>
          <w:bCs/>
          <w:kern w:val="0"/>
          <w:sz w:val="24"/>
        </w:rPr>
      </w:pPr>
      <w:r>
        <w:rPr>
          <w:rFonts w:hint="eastAsia" w:ascii="宋体" w:hAnsi="宋体" w:cs="宋体"/>
          <w:b/>
          <w:bCs/>
          <w:kern w:val="0"/>
          <w:sz w:val="24"/>
        </w:rPr>
        <w:t>4</w:t>
      </w:r>
      <w:r>
        <w:rPr>
          <w:rFonts w:ascii="宋体" w:hAnsi="宋体" w:cs="宋体"/>
          <w:b/>
          <w:bCs/>
          <w:kern w:val="0"/>
          <w:sz w:val="24"/>
        </w:rPr>
        <w:t>．特定资格条件：</w:t>
      </w:r>
    </w:p>
    <w:p>
      <w:pPr>
        <w:spacing w:line="360" w:lineRule="auto"/>
        <w:ind w:left="480"/>
        <w:rPr>
          <w:rFonts w:hint="eastAsia" w:ascii="宋体" w:hAnsi="宋体" w:cs="宋体"/>
          <w:kern w:val="0"/>
          <w:sz w:val="24"/>
          <w:u w:val="single"/>
        </w:rPr>
      </w:pPr>
      <w:r>
        <w:rPr>
          <w:rFonts w:ascii="宋体" w:hAnsi="宋体" w:cs="宋体"/>
          <w:kern w:val="0"/>
          <w:sz w:val="24"/>
          <w:u w:val="single"/>
        </w:rPr>
        <w:t xml:space="preserve">   </w:t>
      </w:r>
      <w:r>
        <w:rPr>
          <w:rFonts w:hint="eastAsia" w:ascii="宋体" w:hAnsi="宋体" w:cs="宋体"/>
          <w:kern w:val="0"/>
          <w:sz w:val="24"/>
          <w:u w:val="single"/>
        </w:rPr>
        <w:t>4.1具备光纤网络传输数据、覆盖及固定网运营能力的通信运营商或有线电视网络运营商或电子与智能化二级及以上资格。</w:t>
      </w:r>
    </w:p>
    <w:p>
      <w:pPr>
        <w:spacing w:line="360" w:lineRule="auto"/>
        <w:ind w:left="480"/>
        <w:rPr>
          <w:rFonts w:ascii="宋体" w:hAnsi="宋体" w:cs="宋体"/>
          <w:kern w:val="0"/>
          <w:sz w:val="24"/>
          <w:u w:val="single"/>
        </w:rPr>
      </w:pPr>
      <w:r>
        <w:rPr>
          <w:rFonts w:ascii="宋体" w:hAnsi="宋体" w:cs="宋体"/>
          <w:kern w:val="0"/>
          <w:sz w:val="24"/>
          <w:u w:val="single"/>
        </w:rPr>
        <w:t xml:space="preserve"> </w:t>
      </w:r>
      <w:r>
        <w:rPr>
          <w:rFonts w:hint="eastAsia" w:ascii="宋体" w:hAnsi="宋体" w:cs="宋体"/>
          <w:kern w:val="0"/>
          <w:sz w:val="24"/>
          <w:u w:val="single"/>
        </w:rPr>
        <w:t xml:space="preserve">  4.2如无独立法人资格的分公司（金融、保险、通讯等特定行业的全国性企业所设立的区域性分支机构）参加投标的，可以在获得具有法人资格的总公司授权后，独立参加政府采购活动。投标时提供的人员、业绩、荣誉、知识产权、项目案例等，必须为投标分公司本身所具有，总公司或其他分公司的人员、业绩、荣誉、知识产权、项目案例等，不能作为该投标分公司的文件予以确认。</w:t>
      </w:r>
    </w:p>
    <w:p>
      <w:pPr>
        <w:spacing w:line="360" w:lineRule="auto"/>
        <w:ind w:firstLine="480"/>
        <w:rPr>
          <w:rFonts w:ascii="宋体" w:hAnsi="宋体" w:cs="宋体"/>
          <w:kern w:val="0"/>
          <w:sz w:val="24"/>
        </w:rPr>
      </w:pPr>
      <w:r>
        <w:rPr>
          <w:rFonts w:ascii="宋体" w:hAnsi="宋体"/>
          <w:sz w:val="24"/>
        </w:rPr>
        <w:t>注：</w:t>
      </w:r>
      <w:r>
        <w:rPr>
          <w:rFonts w:ascii="宋体" w:hAnsi="宋体" w:cs="宋体"/>
          <w:kern w:val="0"/>
          <w:sz w:val="24"/>
        </w:rPr>
        <w:t>1</w:t>
      </w:r>
      <w:r>
        <w:rPr>
          <w:rFonts w:hint="eastAsia" w:ascii="宋体" w:hAnsi="宋体" w:cs="宋体"/>
          <w:kern w:val="0"/>
          <w:sz w:val="24"/>
        </w:rPr>
        <w:t>.</w:t>
      </w:r>
      <w:r>
        <w:rPr>
          <w:rFonts w:ascii="宋体" w:hAnsi="宋体" w:cs="宋体"/>
          <w:kern w:val="0"/>
          <w:sz w:val="24"/>
        </w:rPr>
        <w:t>单位负责人为同一人或者存在直接控股、管理关系的不同供应商，不得同时参加同一标段的投标。</w:t>
      </w:r>
    </w:p>
    <w:p>
      <w:pPr>
        <w:spacing w:line="360" w:lineRule="auto"/>
        <w:ind w:firstLine="540" w:firstLineChars="225"/>
        <w:rPr>
          <w:rFonts w:ascii="宋体" w:hAnsi="宋体" w:cs="宋体"/>
          <w:kern w:val="0"/>
          <w:sz w:val="24"/>
        </w:rPr>
      </w:pPr>
      <w:r>
        <w:rPr>
          <w:rFonts w:ascii="宋体" w:hAnsi="宋体" w:cs="宋体"/>
          <w:kern w:val="0"/>
          <w:sz w:val="24"/>
        </w:rPr>
        <w:t>2.为项目提供整体设计、规范编制或者项目管理、监理、检测等服务的供应商，不得再参加该采购项目的其他采购活动。</w:t>
      </w:r>
    </w:p>
    <w:p>
      <w:pPr>
        <w:spacing w:line="360" w:lineRule="auto"/>
        <w:ind w:firstLine="542" w:firstLineChars="225"/>
        <w:rPr>
          <w:rFonts w:ascii="宋体" w:hAnsi="宋体" w:cs="宋体"/>
          <w:kern w:val="0"/>
          <w:sz w:val="24"/>
        </w:rPr>
      </w:pPr>
      <w:r>
        <w:rPr>
          <w:rFonts w:hint="eastAsia" w:ascii="宋体" w:hAnsi="宋体" w:cs="Arial"/>
          <w:b/>
          <w:bCs/>
          <w:sz w:val="24"/>
        </w:rPr>
        <w:t>六、资格审查</w:t>
      </w:r>
      <w:r>
        <w:rPr>
          <w:rFonts w:ascii="宋体" w:hAnsi="宋体" w:cs="Arial"/>
          <w:b/>
          <w:bCs/>
          <w:sz w:val="24"/>
        </w:rPr>
        <w:t>方式</w:t>
      </w:r>
      <w:r>
        <w:rPr>
          <w:rFonts w:hint="eastAsia" w:ascii="宋体" w:hAnsi="宋体" w:cs="Arial"/>
          <w:b/>
          <w:bCs/>
          <w:sz w:val="24"/>
        </w:rPr>
        <w:t>：</w:t>
      </w:r>
    </w:p>
    <w:p>
      <w:pPr>
        <w:spacing w:line="360" w:lineRule="auto"/>
        <w:ind w:firstLine="540" w:firstLineChars="225"/>
        <w:rPr>
          <w:rFonts w:ascii="宋体" w:hAnsi="宋体" w:cs="Arial"/>
          <w:bCs/>
          <w:sz w:val="24"/>
        </w:rPr>
      </w:pPr>
      <w:r>
        <w:rPr>
          <w:rFonts w:hint="eastAsia" w:ascii="宋体" w:hAnsi="宋体" w:cs="Arial"/>
          <w:bCs/>
          <w:sz w:val="24"/>
        </w:rPr>
        <w:t>1.资格后审。</w:t>
      </w:r>
    </w:p>
    <w:p>
      <w:pPr>
        <w:spacing w:line="360" w:lineRule="auto"/>
        <w:ind w:firstLine="542" w:firstLineChars="225"/>
        <w:rPr>
          <w:rFonts w:ascii="宋体" w:hAnsi="宋体" w:cs="Arial"/>
          <w:sz w:val="24"/>
        </w:rPr>
      </w:pPr>
      <w:r>
        <w:rPr>
          <w:rFonts w:hint="eastAsia" w:ascii="宋体" w:hAnsi="宋体" w:cs="Arial"/>
          <w:b/>
          <w:bCs/>
          <w:sz w:val="24"/>
        </w:rPr>
        <w:t>七、</w:t>
      </w:r>
      <w:r>
        <w:rPr>
          <w:rFonts w:ascii="宋体" w:hAnsi="宋体" w:cs="Arial"/>
          <w:b/>
          <w:bCs/>
          <w:sz w:val="24"/>
        </w:rPr>
        <w:t>报名</w:t>
      </w:r>
      <w:r>
        <w:rPr>
          <w:rFonts w:hint="eastAsia" w:ascii="宋体" w:hAnsi="宋体" w:cs="Arial"/>
          <w:b/>
          <w:bCs/>
          <w:sz w:val="24"/>
        </w:rPr>
        <w:t>时间及方式</w:t>
      </w:r>
      <w:r>
        <w:rPr>
          <w:rFonts w:hint="eastAsia" w:ascii="宋体" w:hAnsi="宋体" w:cs="Arial"/>
          <w:sz w:val="24"/>
        </w:rPr>
        <w:t>：</w:t>
      </w:r>
    </w:p>
    <w:p>
      <w:pPr>
        <w:spacing w:line="360" w:lineRule="auto"/>
        <w:ind w:firstLine="540" w:firstLineChars="225"/>
        <w:rPr>
          <w:rFonts w:ascii="宋体" w:hAnsi="宋体" w:cs="Arial"/>
          <w:bCs/>
          <w:sz w:val="24"/>
        </w:rPr>
      </w:pPr>
      <w:r>
        <w:rPr>
          <w:rFonts w:hint="eastAsia" w:ascii="宋体" w:hAnsi="宋体" w:cs="Arial"/>
          <w:bCs/>
          <w:sz w:val="24"/>
        </w:rPr>
        <w:t>1.</w:t>
      </w:r>
      <w:r>
        <w:rPr>
          <w:rFonts w:ascii="宋体" w:hAnsi="宋体" w:cs="Arial"/>
          <w:bCs/>
          <w:sz w:val="24"/>
        </w:rPr>
        <w:t>报名</w:t>
      </w:r>
      <w:r>
        <w:rPr>
          <w:rFonts w:hint="eastAsia" w:ascii="宋体" w:hAnsi="宋体" w:cs="Arial"/>
          <w:bCs/>
          <w:sz w:val="24"/>
        </w:rPr>
        <w:t>时间：投标截止时间前。</w:t>
      </w:r>
    </w:p>
    <w:p>
      <w:pPr>
        <w:spacing w:line="360" w:lineRule="auto"/>
        <w:ind w:firstLine="540" w:firstLineChars="225"/>
        <w:rPr>
          <w:rFonts w:ascii="宋体" w:hAnsi="宋体" w:cs="Arial"/>
          <w:bCs/>
          <w:sz w:val="24"/>
        </w:rPr>
      </w:pPr>
      <w:r>
        <w:rPr>
          <w:rFonts w:hint="eastAsia" w:ascii="宋体" w:hAnsi="宋体" w:cs="Arial"/>
          <w:bCs/>
          <w:sz w:val="24"/>
        </w:rPr>
        <w:t>2.</w:t>
      </w:r>
      <w:r>
        <w:rPr>
          <w:rFonts w:ascii="宋体" w:hAnsi="宋体" w:cs="Arial"/>
          <w:bCs/>
          <w:sz w:val="24"/>
        </w:rPr>
        <w:t>报名方式</w:t>
      </w:r>
      <w:r>
        <w:rPr>
          <w:rFonts w:hint="eastAsia" w:ascii="宋体" w:hAnsi="宋体" w:cs="Arial"/>
          <w:bCs/>
          <w:sz w:val="24"/>
        </w:rPr>
        <w:t>：</w:t>
      </w:r>
      <w:r>
        <w:rPr>
          <w:rFonts w:ascii="宋体" w:hAnsi="宋体" w:cs="Arial"/>
          <w:bCs/>
          <w:sz w:val="24"/>
        </w:rPr>
        <w:t>越城区公共资源电子交易</w:t>
      </w:r>
      <w:r>
        <w:rPr>
          <w:rFonts w:hint="eastAsia" w:ascii="宋体" w:hAnsi="宋体" w:cs="Arial"/>
          <w:bCs/>
          <w:sz w:val="24"/>
        </w:rPr>
        <w:t>平台（以下简称“</w:t>
      </w:r>
      <w:r>
        <w:rPr>
          <w:rFonts w:ascii="宋体" w:hAnsi="宋体" w:cs="Arial"/>
          <w:bCs/>
          <w:sz w:val="24"/>
        </w:rPr>
        <w:t>区交易</w:t>
      </w:r>
      <w:r>
        <w:rPr>
          <w:rFonts w:hint="eastAsia" w:ascii="宋体" w:hAnsi="宋体" w:cs="Arial"/>
          <w:bCs/>
          <w:sz w:val="24"/>
        </w:rPr>
        <w:t>平台”），网址</w:t>
      </w:r>
      <w:r>
        <w:rPr>
          <w:rFonts w:ascii="宋体" w:hAnsi="宋体" w:cs="Arial"/>
          <w:bCs/>
          <w:sz w:val="24"/>
          <w:u w:val="single"/>
        </w:rPr>
        <w:t>http://220.191.224.183:8081/TPBidder/memberLogin</w:t>
      </w:r>
      <w:r>
        <w:rPr>
          <w:rFonts w:hint="eastAsia" w:ascii="宋体" w:hAnsi="宋体" w:cs="Arial"/>
          <w:bCs/>
          <w:sz w:val="24"/>
        </w:rPr>
        <w:t>。</w:t>
      </w:r>
      <w:r>
        <w:rPr>
          <w:rFonts w:ascii="宋体" w:hAnsi="宋体" w:cs="Arial"/>
          <w:bCs/>
          <w:sz w:val="24"/>
        </w:rPr>
        <w:t>报名后不参加投标的供应商，须向采购代理机构提供书面说明。</w:t>
      </w:r>
    </w:p>
    <w:p>
      <w:pPr>
        <w:spacing w:line="360" w:lineRule="auto"/>
        <w:ind w:firstLine="540" w:firstLineChars="225"/>
        <w:rPr>
          <w:rFonts w:ascii="宋体" w:hAnsi="宋体"/>
          <w:sz w:val="24"/>
        </w:rPr>
      </w:pPr>
      <w:r>
        <w:rPr>
          <w:rFonts w:ascii="宋体" w:hAnsi="宋体" w:cs="Arial"/>
          <w:bCs/>
          <w:sz w:val="24"/>
        </w:rPr>
        <w:t>3</w:t>
      </w:r>
      <w:r>
        <w:rPr>
          <w:rFonts w:hint="eastAsia" w:ascii="宋体" w:hAnsi="宋体" w:cs="Arial"/>
          <w:bCs/>
          <w:sz w:val="24"/>
        </w:rPr>
        <w:t>.提示：</w:t>
      </w:r>
      <w:r>
        <w:rPr>
          <w:rFonts w:hint="eastAsia" w:ascii="宋体" w:hAnsi="宋体"/>
          <w:sz w:val="24"/>
        </w:rPr>
        <w:t>以联合体形式参加</w:t>
      </w:r>
      <w:r>
        <w:rPr>
          <w:rFonts w:ascii="宋体" w:hAnsi="宋体"/>
          <w:sz w:val="24"/>
        </w:rPr>
        <w:t>本项目</w:t>
      </w:r>
      <w:r>
        <w:rPr>
          <w:rFonts w:hint="eastAsia" w:ascii="宋体" w:hAnsi="宋体"/>
          <w:sz w:val="24"/>
        </w:rPr>
        <w:t>采购活动的，联合体牵头人</w:t>
      </w:r>
      <w:r>
        <w:rPr>
          <w:rFonts w:ascii="宋体" w:hAnsi="宋体"/>
          <w:sz w:val="24"/>
        </w:rPr>
        <w:t>报名即可。</w:t>
      </w:r>
    </w:p>
    <w:p>
      <w:pPr>
        <w:spacing w:line="360" w:lineRule="auto"/>
        <w:ind w:firstLine="542" w:firstLineChars="225"/>
        <w:rPr>
          <w:rFonts w:ascii="宋体" w:hAnsi="宋体"/>
          <w:sz w:val="24"/>
        </w:rPr>
      </w:pPr>
      <w:r>
        <w:rPr>
          <w:rFonts w:hint="eastAsia" w:ascii="宋体" w:hAnsi="宋体" w:cs="Arial"/>
          <w:b/>
          <w:bCs/>
          <w:sz w:val="24"/>
        </w:rPr>
        <w:t>八、投标截止时间及地点</w:t>
      </w:r>
      <w:r>
        <w:rPr>
          <w:rFonts w:hint="eastAsia" w:ascii="宋体" w:hAnsi="宋体" w:cs="Arial"/>
          <w:sz w:val="24"/>
        </w:rPr>
        <w:t>：</w:t>
      </w:r>
      <w:r>
        <w:rPr>
          <w:rFonts w:hint="eastAsia" w:ascii="宋体" w:hAnsi="宋体"/>
          <w:sz w:val="24"/>
        </w:rPr>
        <w:t>供应商应于年月日</w:t>
      </w:r>
      <w:r>
        <w:rPr>
          <w:rFonts w:ascii="宋体" w:hAnsi="宋体"/>
          <w:sz w:val="24"/>
          <w:u w:val="single"/>
        </w:rPr>
        <w:t xml:space="preserve">   ： </w:t>
      </w:r>
      <w:r>
        <w:rPr>
          <w:rFonts w:hint="eastAsia" w:ascii="宋体" w:hAnsi="宋体"/>
          <w:sz w:val="24"/>
        </w:rPr>
        <w:t>时整以前将投标文件密封送交到浙江省</w:t>
      </w:r>
      <w:r>
        <w:rPr>
          <w:rFonts w:hint="eastAsia" w:ascii="宋体" w:hAnsi="宋体" w:cs="Arial"/>
          <w:sz w:val="24"/>
        </w:rPr>
        <w:t>绍兴市延安东路660号新地大厦三楼绍兴市公共资源交易中心越城区分中心室</w:t>
      </w:r>
      <w:r>
        <w:rPr>
          <w:rFonts w:hint="eastAsia" w:ascii="宋体" w:hAnsi="宋体"/>
          <w:sz w:val="24"/>
        </w:rPr>
        <w:t>，逾期送达不予接收</w:t>
      </w:r>
      <w:r>
        <w:rPr>
          <w:rFonts w:ascii="宋体" w:hAnsi="宋体"/>
          <w:sz w:val="24"/>
        </w:rPr>
        <w:t>，</w:t>
      </w:r>
      <w:r>
        <w:rPr>
          <w:rFonts w:ascii="宋体" w:hAnsi="宋体"/>
          <w:b/>
          <w:bCs/>
          <w:sz w:val="24"/>
        </w:rPr>
        <w:t>时间以开标室时间为准。</w:t>
      </w:r>
    </w:p>
    <w:p>
      <w:pPr>
        <w:spacing w:line="360" w:lineRule="auto"/>
        <w:ind w:firstLine="482" w:firstLineChars="200"/>
        <w:rPr>
          <w:rFonts w:ascii="宋体" w:hAnsi="宋体" w:cs="Arial"/>
          <w:bCs/>
          <w:sz w:val="24"/>
        </w:rPr>
      </w:pPr>
      <w:r>
        <w:rPr>
          <w:rFonts w:hint="eastAsia" w:ascii="宋体" w:hAnsi="宋体" w:cs="Arial"/>
          <w:b/>
          <w:bCs/>
          <w:sz w:val="24"/>
        </w:rPr>
        <w:t>九、开标时间及地点</w:t>
      </w:r>
      <w:r>
        <w:rPr>
          <w:rFonts w:hint="eastAsia" w:ascii="宋体" w:hAnsi="宋体" w:cs="Arial"/>
          <w:sz w:val="24"/>
        </w:rPr>
        <w:t>：</w:t>
      </w:r>
      <w:r>
        <w:rPr>
          <w:rFonts w:ascii="宋体" w:hAnsi="宋体"/>
          <w:sz w:val="24"/>
        </w:rPr>
        <w:t>同投标截止时间及地点。</w:t>
      </w:r>
    </w:p>
    <w:p>
      <w:pPr>
        <w:spacing w:line="360" w:lineRule="auto"/>
        <w:ind w:firstLine="349" w:firstLineChars="150"/>
        <w:jc w:val="left"/>
        <w:rPr>
          <w:rFonts w:ascii="宋体" w:hAnsi="宋体" w:cs="Arial"/>
          <w:sz w:val="24"/>
        </w:rPr>
      </w:pPr>
      <w:r>
        <w:rPr>
          <w:rFonts w:ascii="宋体" w:hAnsi="宋体" w:cs="Arial"/>
          <w:b/>
          <w:bCs/>
          <w:spacing w:val="-4"/>
          <w:sz w:val="24"/>
        </w:rPr>
        <w:t>十</w:t>
      </w:r>
      <w:r>
        <w:rPr>
          <w:rFonts w:hint="eastAsia" w:ascii="宋体" w:hAnsi="宋体" w:cs="Arial"/>
          <w:b/>
          <w:bCs/>
          <w:spacing w:val="-4"/>
          <w:sz w:val="24"/>
        </w:rPr>
        <w:t>、</w:t>
      </w:r>
      <w:r>
        <w:rPr>
          <w:rFonts w:ascii="宋体" w:hAnsi="宋体" w:cs="Arial"/>
          <w:b/>
          <w:spacing w:val="-4"/>
          <w:sz w:val="24"/>
        </w:rPr>
        <w:t>采购</w:t>
      </w:r>
      <w:r>
        <w:rPr>
          <w:rFonts w:hint="eastAsia" w:ascii="宋体" w:hAnsi="宋体" w:cs="Arial"/>
          <w:b/>
          <w:spacing w:val="-4"/>
          <w:sz w:val="24"/>
        </w:rPr>
        <w:t>公告</w:t>
      </w:r>
      <w:r>
        <w:rPr>
          <w:rFonts w:ascii="宋体" w:hAnsi="宋体" w:cs="Arial"/>
          <w:b/>
          <w:spacing w:val="-4"/>
          <w:sz w:val="24"/>
        </w:rPr>
        <w:t>及更正公告</w:t>
      </w:r>
      <w:r>
        <w:rPr>
          <w:rFonts w:hint="eastAsia" w:ascii="宋体" w:hAnsi="宋体" w:cs="Arial"/>
          <w:b/>
          <w:spacing w:val="-4"/>
          <w:sz w:val="24"/>
        </w:rPr>
        <w:t>发布</w:t>
      </w:r>
      <w:r>
        <w:rPr>
          <w:rFonts w:ascii="宋体" w:hAnsi="宋体" w:cs="Arial"/>
          <w:b/>
          <w:spacing w:val="-4"/>
          <w:sz w:val="24"/>
        </w:rPr>
        <w:t>网址</w:t>
      </w:r>
      <w:r>
        <w:rPr>
          <w:rFonts w:hint="eastAsia" w:ascii="宋体" w:hAnsi="宋体" w:cs="Arial"/>
          <w:b/>
          <w:spacing w:val="-4"/>
          <w:sz w:val="24"/>
        </w:rPr>
        <w:t>：</w:t>
      </w:r>
      <w:bookmarkStart w:id="1" w:name="_Hlt10553106"/>
      <w:bookmarkEnd w:id="1"/>
      <w:bookmarkStart w:id="2" w:name="_Hlt10553107"/>
      <w:bookmarkEnd w:id="2"/>
      <w:r>
        <w:rPr>
          <w:rFonts w:ascii="宋体" w:hAnsi="宋体" w:cs="Arial"/>
          <w:spacing w:val="-4"/>
          <w:sz w:val="24"/>
        </w:rPr>
        <w:t>浙江政府采购网：http://zfcg.czt.zj.gov.cn/ 和绍兴市越城区人民政府网站公共资源交易版块：http://www.sxyc.gov.cn/col/col1559777/index.html，</w:t>
      </w:r>
      <w:r>
        <w:rPr>
          <w:rFonts w:ascii="宋体" w:hAnsi="宋体" w:cs="Arial"/>
          <w:b/>
          <w:bCs/>
          <w:spacing w:val="-4"/>
          <w:sz w:val="24"/>
        </w:rPr>
        <w:t>采购文件详见后者</w:t>
      </w:r>
      <w:r>
        <w:rPr>
          <w:rFonts w:ascii="宋体" w:hAnsi="宋体" w:cs="Arial"/>
          <w:spacing w:val="-4"/>
          <w:sz w:val="24"/>
        </w:rPr>
        <w:t>。</w:t>
      </w:r>
      <w:r>
        <w:rPr>
          <w:rFonts w:hint="eastAsia" w:ascii="宋体" w:hAnsi="宋体"/>
          <w:spacing w:val="-4"/>
          <w:sz w:val="24"/>
        </w:rPr>
        <w:t>更正公告</w:t>
      </w:r>
      <w:r>
        <w:rPr>
          <w:rFonts w:hint="eastAsia" w:ascii="宋体" w:hAnsi="宋体" w:cs="Arial"/>
          <w:bCs/>
          <w:sz w:val="24"/>
        </w:rPr>
        <w:t>请自行登录</w:t>
      </w:r>
      <w:r>
        <w:rPr>
          <w:rFonts w:ascii="宋体" w:hAnsi="宋体" w:cs="Arial"/>
          <w:bCs/>
          <w:sz w:val="24"/>
        </w:rPr>
        <w:t>区交易</w:t>
      </w:r>
      <w:r>
        <w:rPr>
          <w:rFonts w:hint="eastAsia" w:ascii="宋体" w:hAnsi="宋体" w:cs="Arial"/>
          <w:bCs/>
          <w:sz w:val="24"/>
        </w:rPr>
        <w:t>平台或在浙江政府采购网更正公告页面或越城区人民政府门户网站采购公告页面中下载。</w:t>
      </w:r>
    </w:p>
    <w:p>
      <w:pPr>
        <w:spacing w:line="360" w:lineRule="auto"/>
        <w:ind w:firstLine="466" w:firstLineChars="200"/>
        <w:rPr>
          <w:rFonts w:ascii="宋体" w:hAnsi="宋体"/>
          <w:spacing w:val="-4"/>
          <w:sz w:val="24"/>
        </w:rPr>
      </w:pPr>
      <w:r>
        <w:rPr>
          <w:rFonts w:hint="eastAsia" w:ascii="宋体" w:hAnsi="宋体"/>
          <w:b/>
          <w:spacing w:val="-4"/>
          <w:sz w:val="24"/>
        </w:rPr>
        <w:t>十</w:t>
      </w:r>
      <w:r>
        <w:rPr>
          <w:rFonts w:ascii="宋体" w:hAnsi="宋体"/>
          <w:b/>
          <w:spacing w:val="-4"/>
          <w:sz w:val="24"/>
        </w:rPr>
        <w:t>一</w:t>
      </w:r>
      <w:r>
        <w:rPr>
          <w:rFonts w:hint="eastAsia" w:ascii="宋体" w:hAnsi="宋体"/>
          <w:b/>
          <w:spacing w:val="-4"/>
          <w:sz w:val="24"/>
        </w:rPr>
        <w:t>、本项目</w:t>
      </w:r>
      <w:r>
        <w:rPr>
          <w:rFonts w:ascii="宋体" w:hAnsi="宋体"/>
          <w:b/>
          <w:spacing w:val="-4"/>
          <w:sz w:val="24"/>
        </w:rPr>
        <w:t>采购</w:t>
      </w:r>
      <w:r>
        <w:rPr>
          <w:rFonts w:hint="eastAsia" w:ascii="宋体" w:hAnsi="宋体"/>
          <w:b/>
          <w:spacing w:val="-4"/>
          <w:sz w:val="24"/>
        </w:rPr>
        <w:t>公告期限：</w:t>
      </w:r>
      <w:r>
        <w:rPr>
          <w:rFonts w:hint="eastAsia" w:ascii="宋体" w:hAnsi="宋体"/>
          <w:spacing w:val="-4"/>
          <w:sz w:val="24"/>
        </w:rPr>
        <w:t>本公告发布之日起五个工作日。</w:t>
      </w:r>
    </w:p>
    <w:p>
      <w:pPr>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二</w:t>
      </w:r>
      <w:r>
        <w:rPr>
          <w:rFonts w:hint="eastAsia" w:ascii="宋体" w:hAnsi="宋体"/>
          <w:b/>
          <w:sz w:val="24"/>
        </w:rPr>
        <w:t>、质疑和投诉：</w:t>
      </w:r>
    </w:p>
    <w:p>
      <w:pPr>
        <w:spacing w:line="360" w:lineRule="auto"/>
        <w:ind w:left="120" w:leftChars="57" w:firstLine="360" w:firstLineChars="150"/>
        <w:jc w:val="left"/>
        <w:rPr>
          <w:rFonts w:ascii="宋体" w:hAnsi="宋体"/>
          <w:sz w:val="24"/>
        </w:rPr>
      </w:pPr>
      <w:r>
        <w:rPr>
          <w:rFonts w:hint="eastAsia" w:ascii="宋体" w:hAnsi="宋体"/>
          <w:sz w:val="24"/>
        </w:rPr>
        <w:t>供应商认为采购公告中的资格条件、</w:t>
      </w:r>
      <w:r>
        <w:rPr>
          <w:rFonts w:ascii="宋体" w:hAnsi="宋体"/>
          <w:sz w:val="24"/>
        </w:rPr>
        <w:t>报名</w:t>
      </w:r>
      <w:r>
        <w:rPr>
          <w:rFonts w:hint="eastAsia" w:ascii="宋体" w:hAnsi="宋体"/>
          <w:sz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宋体" w:hAnsi="宋体"/>
          <w:b/>
          <w:bCs/>
          <w:sz w:val="24"/>
        </w:rPr>
        <w:t>不接受扫描件、复印件或图片</w:t>
      </w:r>
      <w:r>
        <w:rPr>
          <w:rFonts w:hint="eastAsia" w:ascii="宋体" w:hAnsi="宋体"/>
          <w:sz w:val="24"/>
        </w:rPr>
        <w:t>）向采购机构提出质疑（</w:t>
      </w:r>
      <w:r>
        <w:rPr>
          <w:rFonts w:hint="eastAsia" w:ascii="宋体" w:hAnsi="宋体"/>
          <w:b/>
          <w:bCs/>
          <w:sz w:val="24"/>
        </w:rPr>
        <w:t>对采购文件其他内容的质疑及投诉需在</w:t>
      </w:r>
      <w:r>
        <w:rPr>
          <w:rFonts w:ascii="宋体" w:hAnsi="宋体"/>
          <w:b/>
          <w:bCs/>
          <w:sz w:val="24"/>
        </w:rPr>
        <w:t>报名</w:t>
      </w:r>
      <w:r>
        <w:rPr>
          <w:rFonts w:hint="eastAsia" w:ascii="宋体" w:hAnsi="宋体"/>
          <w:b/>
          <w:bCs/>
          <w:sz w:val="24"/>
        </w:rPr>
        <w:t>之后提出，否则不予受理。</w:t>
      </w:r>
      <w:r>
        <w:rPr>
          <w:rFonts w:hint="eastAsia" w:ascii="宋体" w:hAnsi="宋体"/>
          <w:sz w:val="24"/>
        </w:rPr>
        <w:t>）质疑受理地点：浙江天源工程管理咨询有限公司（绍兴市胜利东路405号国茂大厦7楼712室）；联系人：龚征亚；联系电话：0575-85111480；数据电文接收邮箱：664327094@qq.com。</w:t>
      </w:r>
      <w:r>
        <w:rPr>
          <w:rFonts w:hint="eastAsia" w:ascii="宋体" w:hAnsi="宋体"/>
          <w:b/>
          <w:bCs/>
          <w:sz w:val="24"/>
        </w:rPr>
        <w:t>质疑书格式详见采购文件第七章。</w:t>
      </w:r>
    </w:p>
    <w:p>
      <w:pPr>
        <w:spacing w:line="360" w:lineRule="auto"/>
        <w:ind w:left="120" w:leftChars="57" w:firstLine="480" w:firstLineChars="200"/>
        <w:rPr>
          <w:rFonts w:ascii="宋体" w:hAnsi="宋体" w:cs="Arial"/>
          <w:bCs/>
          <w:sz w:val="24"/>
        </w:rPr>
      </w:pPr>
      <w:r>
        <w:rPr>
          <w:rFonts w:hint="eastAsia" w:ascii="宋体" w:hAnsi="宋体"/>
          <w:sz w:val="24"/>
        </w:rPr>
        <w:t>供应商对质疑答复不满意或者采购机构未在规定时间内作出答复的，可以在答复期满后十五个工作日内向</w:t>
      </w:r>
      <w:r>
        <w:rPr>
          <w:rFonts w:ascii="宋体" w:hAnsi="宋体"/>
          <w:sz w:val="24"/>
        </w:rPr>
        <w:t>本项目监督</w:t>
      </w:r>
      <w:r>
        <w:rPr>
          <w:rFonts w:hint="eastAsia" w:ascii="宋体" w:hAnsi="宋体"/>
          <w:sz w:val="24"/>
        </w:rPr>
        <w:t>部门投诉。投诉受理地点：绍兴市越城区机关事务管理服务中心（绍兴市涂山路88号）；联系人：何江强；联系电话：0575-88321556。</w:t>
      </w:r>
    </w:p>
    <w:p>
      <w:pPr>
        <w:spacing w:line="360" w:lineRule="auto"/>
        <w:ind w:firstLine="472" w:firstLineChars="196"/>
        <w:rPr>
          <w:rFonts w:ascii="宋体" w:hAnsi="宋体"/>
          <w:b/>
          <w:sz w:val="24"/>
        </w:rPr>
      </w:pPr>
      <w:r>
        <w:rPr>
          <w:rFonts w:hint="eastAsia" w:ascii="宋体" w:hAnsi="宋体"/>
          <w:b/>
          <w:sz w:val="24"/>
        </w:rPr>
        <w:t>十</w:t>
      </w:r>
      <w:r>
        <w:rPr>
          <w:rFonts w:ascii="宋体" w:hAnsi="宋体"/>
          <w:b/>
          <w:sz w:val="24"/>
        </w:rPr>
        <w:t>三</w:t>
      </w:r>
      <w:r>
        <w:rPr>
          <w:rFonts w:hint="eastAsia" w:ascii="宋体" w:hAnsi="宋体"/>
          <w:b/>
          <w:sz w:val="24"/>
        </w:rPr>
        <w:t>、联系方式：</w:t>
      </w:r>
    </w:p>
    <w:p>
      <w:pPr>
        <w:spacing w:line="360" w:lineRule="auto"/>
        <w:ind w:firstLine="470" w:firstLineChars="196"/>
        <w:rPr>
          <w:rFonts w:ascii="宋体" w:hAnsi="宋体"/>
          <w:sz w:val="24"/>
        </w:rPr>
      </w:pPr>
      <w:r>
        <w:rPr>
          <w:rFonts w:hint="eastAsia" w:ascii="宋体" w:hAnsi="宋体"/>
          <w:sz w:val="24"/>
        </w:rPr>
        <w:t>1. 采购人：</w:t>
      </w:r>
      <w:r>
        <w:rPr>
          <w:rFonts w:hint="eastAsia" w:ascii="宋体" w:hAnsi="宋体" w:cs="Arial"/>
          <w:bCs/>
          <w:sz w:val="24"/>
        </w:rPr>
        <w:t>绍兴市越城区城市发展综合保障服务有限公司、绍兴袍江工业区投资开发有限公司、绍兴高新技术产业开发区迪荡新城投资发展有限公司、绍兴滨海新区发展集团有限公司</w:t>
      </w:r>
      <w:r>
        <w:rPr>
          <w:rFonts w:hint="eastAsia" w:ascii="宋体" w:hAnsi="宋体"/>
          <w:sz w:val="24"/>
        </w:rPr>
        <w:t>，</w:t>
      </w:r>
      <w:r>
        <w:rPr>
          <w:rFonts w:ascii="宋体" w:hAnsi="宋体"/>
          <w:sz w:val="24"/>
        </w:rPr>
        <w:t>联系人：</w:t>
      </w:r>
      <w:r>
        <w:rPr>
          <w:rFonts w:hint="eastAsia" w:ascii="宋体" w:hAnsi="宋体"/>
          <w:sz w:val="24"/>
        </w:rPr>
        <w:t>郭潮，</w:t>
      </w:r>
      <w:r>
        <w:rPr>
          <w:rFonts w:ascii="宋体" w:hAnsi="宋体"/>
          <w:sz w:val="24"/>
        </w:rPr>
        <w:t>联系电话：</w:t>
      </w:r>
      <w:r>
        <w:rPr>
          <w:rFonts w:hint="eastAsia" w:ascii="宋体" w:hAnsi="宋体"/>
          <w:sz w:val="24"/>
        </w:rPr>
        <w:t>0575-88738102</w:t>
      </w:r>
      <w:r>
        <w:rPr>
          <w:rFonts w:hint="eastAsia" w:ascii="宋体" w:hAnsi="宋体" w:cs="Arial"/>
          <w:sz w:val="24"/>
        </w:rPr>
        <w:t>。</w:t>
      </w:r>
    </w:p>
    <w:p>
      <w:pPr>
        <w:spacing w:line="360" w:lineRule="auto"/>
        <w:ind w:firstLine="470" w:firstLineChars="196"/>
        <w:rPr>
          <w:rFonts w:ascii="宋体" w:hAnsi="宋体"/>
          <w:sz w:val="24"/>
        </w:rPr>
      </w:pPr>
      <w:r>
        <w:rPr>
          <w:rFonts w:hint="eastAsia" w:ascii="宋体" w:hAnsi="宋体"/>
          <w:sz w:val="24"/>
        </w:rPr>
        <w:t>2.</w:t>
      </w:r>
      <w:r>
        <w:rPr>
          <w:rFonts w:ascii="宋体" w:hAnsi="宋体"/>
          <w:sz w:val="24"/>
        </w:rPr>
        <w:t>采购代理机构</w:t>
      </w:r>
      <w:r>
        <w:rPr>
          <w:rFonts w:hint="eastAsia" w:ascii="宋体" w:hAnsi="宋体"/>
          <w:sz w:val="24"/>
        </w:rPr>
        <w:t>：浙江天源工程管理咨询有限公司，</w:t>
      </w:r>
      <w:r>
        <w:rPr>
          <w:rFonts w:ascii="宋体" w:hAnsi="宋体"/>
          <w:sz w:val="24"/>
        </w:rPr>
        <w:t>联系人：</w:t>
      </w:r>
      <w:r>
        <w:rPr>
          <w:rFonts w:hint="eastAsia" w:ascii="宋体" w:hAnsi="宋体"/>
          <w:sz w:val="24"/>
        </w:rPr>
        <w:t>俞晓萍，</w:t>
      </w:r>
      <w:r>
        <w:rPr>
          <w:rFonts w:ascii="宋体" w:hAnsi="宋体"/>
          <w:sz w:val="24"/>
        </w:rPr>
        <w:t>联系电话：</w:t>
      </w:r>
      <w:r>
        <w:rPr>
          <w:rFonts w:hint="eastAsia" w:ascii="宋体" w:hAnsi="宋体"/>
          <w:sz w:val="24"/>
        </w:rPr>
        <w:t>0575-85127153</w:t>
      </w:r>
      <w:r>
        <w:rPr>
          <w:rFonts w:hint="eastAsia" w:ascii="宋体" w:hAnsi="宋体" w:cs="Arial"/>
          <w:sz w:val="24"/>
        </w:rPr>
        <w:t>。</w:t>
      </w:r>
    </w:p>
    <w:p>
      <w:pPr>
        <w:spacing w:line="360" w:lineRule="auto"/>
        <w:ind w:firstLine="472" w:firstLineChars="196"/>
        <w:rPr>
          <w:rFonts w:ascii="宋体" w:hAnsi="宋体"/>
          <w:b/>
          <w:sz w:val="24"/>
        </w:rPr>
      </w:pPr>
      <w:r>
        <w:rPr>
          <w:rFonts w:hint="eastAsia" w:ascii="宋体" w:hAnsi="宋体"/>
          <w:b/>
          <w:sz w:val="24"/>
        </w:rPr>
        <w:t>十五、供应商</w:t>
      </w:r>
      <w:r>
        <w:rPr>
          <w:rFonts w:ascii="宋体" w:hAnsi="宋体"/>
          <w:b/>
          <w:sz w:val="24"/>
        </w:rPr>
        <w:t>入驻</w:t>
      </w:r>
      <w:r>
        <w:rPr>
          <w:rFonts w:hint="eastAsia" w:ascii="宋体" w:hAnsi="宋体"/>
          <w:b/>
          <w:sz w:val="24"/>
        </w:rPr>
        <w:t>：</w:t>
      </w:r>
    </w:p>
    <w:p>
      <w:pPr>
        <w:spacing w:line="360" w:lineRule="auto"/>
        <w:ind w:firstLine="480" w:firstLineChars="200"/>
        <w:rPr>
          <w:rFonts w:ascii="宋体" w:hAnsi="宋体" w:cs="Arial"/>
          <w:sz w:val="24"/>
        </w:rPr>
      </w:pPr>
      <w:r>
        <w:rPr>
          <w:rFonts w:hint="eastAsia" w:ascii="宋体" w:hAnsi="宋体"/>
          <w:sz w:val="24"/>
        </w:rPr>
        <w:t>参与越城区</w:t>
      </w:r>
      <w:r>
        <w:rPr>
          <w:rFonts w:ascii="宋体" w:hAnsi="宋体"/>
          <w:sz w:val="24"/>
        </w:rPr>
        <w:t>国企</w:t>
      </w:r>
      <w:r>
        <w:rPr>
          <w:rFonts w:hint="eastAsia" w:ascii="宋体" w:hAnsi="宋体"/>
          <w:sz w:val="24"/>
        </w:rPr>
        <w:t>采购的供应商，必须入驻</w:t>
      </w:r>
      <w:r>
        <w:rPr>
          <w:rFonts w:ascii="宋体" w:hAnsi="宋体"/>
          <w:sz w:val="24"/>
        </w:rPr>
        <w:t>区交易平台</w:t>
      </w:r>
      <w:r>
        <w:rPr>
          <w:rFonts w:hint="eastAsia" w:ascii="宋体" w:hAnsi="宋体"/>
          <w:sz w:val="24"/>
        </w:rPr>
        <w:t>，</w:t>
      </w:r>
      <w:r>
        <w:rPr>
          <w:rFonts w:ascii="宋体" w:hAnsi="宋体" w:cs="Arial"/>
          <w:sz w:val="24"/>
        </w:rPr>
        <w:t>入驻</w:t>
      </w:r>
      <w:r>
        <w:rPr>
          <w:rFonts w:hint="eastAsia" w:ascii="宋体" w:hAnsi="宋体" w:cs="Arial"/>
          <w:sz w:val="24"/>
        </w:rPr>
        <w:t>登记流程详见：</w:t>
      </w:r>
      <w:r>
        <w:fldChar w:fldCharType="begin"/>
      </w:r>
      <w:r>
        <w:instrText xml:space="preserve">HYPERLINK "http://www.sxyc.gov.cn/art/2018/3/29/art_1559761_31187617.html"</w:instrText>
      </w:r>
      <w:r>
        <w:fldChar w:fldCharType="separate"/>
      </w:r>
      <w:r>
        <w:rPr>
          <w:rStyle w:val="49"/>
          <w:rFonts w:hint="eastAsia" w:ascii="宋体" w:hAnsi="宋体" w:cs="Arial"/>
          <w:color w:val="auto"/>
          <w:sz w:val="24"/>
        </w:rPr>
        <w:t>http://www.sxyc.gov.cn/art/2018/3/29/art_1559761_31187617.html</w:t>
      </w:r>
      <w:r>
        <w:fldChar w:fldCharType="end"/>
      </w:r>
      <w:r>
        <w:rPr>
          <w:rFonts w:ascii="宋体" w:hAnsi="宋体" w:cs="Arial"/>
          <w:sz w:val="24"/>
        </w:rPr>
        <w:t>。</w:t>
      </w:r>
    </w:p>
    <w:p>
      <w:pPr>
        <w:spacing w:line="360" w:lineRule="auto"/>
        <w:ind w:firstLine="480" w:firstLineChars="200"/>
        <w:rPr>
          <w:rFonts w:ascii="宋体" w:hAnsi="宋体"/>
          <w:sz w:val="24"/>
        </w:rPr>
      </w:pPr>
      <w:r>
        <w:rPr>
          <w:rFonts w:hint="eastAsia" w:ascii="宋体" w:hAnsi="宋体" w:cs="Arial"/>
          <w:sz w:val="24"/>
        </w:rPr>
        <w:t>已经完成越城区分中心工程建设项目企业信息登记入库的企业，只需携带上述注册登记流程中规定的资料至绍兴市公共资源交易中心越城区分中心308室现场审核，即可增设为采购供应商，无需重新</w:t>
      </w:r>
      <w:r>
        <w:rPr>
          <w:rFonts w:ascii="宋体" w:hAnsi="宋体" w:cs="Arial"/>
          <w:sz w:val="24"/>
        </w:rPr>
        <w:t>入驻</w:t>
      </w:r>
      <w:r>
        <w:rPr>
          <w:rFonts w:hint="eastAsia" w:ascii="宋体" w:hAnsi="宋体" w:cs="Arial"/>
          <w:sz w:val="24"/>
        </w:rPr>
        <w:t xml:space="preserve">。 </w:t>
      </w:r>
    </w:p>
    <w:p>
      <w:pPr>
        <w:wordWrap w:val="0"/>
        <w:spacing w:line="360" w:lineRule="auto"/>
        <w:jc w:val="right"/>
        <w:rPr>
          <w:rFonts w:ascii="宋体" w:hAnsi="宋体"/>
          <w:sz w:val="24"/>
        </w:rPr>
      </w:pP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浙江天源工程管理咨询有限公司</w:t>
      </w:r>
      <w:r>
        <w:rPr>
          <w:rFonts w:ascii="宋体" w:hAnsi="宋体"/>
          <w:sz w:val="24"/>
          <w:u w:val="single"/>
        </w:rPr>
        <w:t xml:space="preserve">  </w:t>
      </w:r>
    </w:p>
    <w:p>
      <w:pPr>
        <w:wordWrap w:val="0"/>
        <w:spacing w:line="360" w:lineRule="auto"/>
        <w:jc w:val="right"/>
        <w:rPr>
          <w:rFonts w:ascii="宋体" w:hAnsi="宋体"/>
          <w:sz w:val="24"/>
        </w:rPr>
      </w:pPr>
      <w:r>
        <w:rPr>
          <w:rFonts w:hint="eastAsia" w:ascii="宋体" w:hAnsi="宋体"/>
          <w:sz w:val="24"/>
        </w:rPr>
        <w:t>2020年9月日</w:t>
      </w:r>
    </w:p>
    <w:p>
      <w:pPr>
        <w:wordWrap w:val="0"/>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ascii="宋体" w:hAnsi="宋体"/>
          <w:sz w:val="24"/>
        </w:rPr>
      </w:pPr>
    </w:p>
    <w:p>
      <w:pPr>
        <w:spacing w:line="360" w:lineRule="exact"/>
        <w:jc w:val="right"/>
        <w:rPr>
          <w:rFonts w:hint="eastAsia" w:ascii="宋体" w:hAnsi="宋体"/>
          <w:sz w:val="24"/>
        </w:rPr>
      </w:pPr>
    </w:p>
    <w:p>
      <w:pPr>
        <w:pStyle w:val="2"/>
        <w:numPr>
          <w:ilvl w:val="0"/>
          <w:numId w:val="0"/>
        </w:numPr>
        <w:ind w:left="425" w:hanging="425"/>
      </w:pPr>
    </w:p>
    <w:p>
      <w:pPr>
        <w:spacing w:line="360" w:lineRule="exact"/>
        <w:jc w:val="right"/>
        <w:rPr>
          <w:rFonts w:ascii="宋体" w:hAnsi="宋体"/>
          <w:sz w:val="24"/>
        </w:rPr>
      </w:pPr>
    </w:p>
    <w:p>
      <w:pPr>
        <w:spacing w:line="360" w:lineRule="exact"/>
        <w:jc w:val="right"/>
        <w:rPr>
          <w:rFonts w:ascii="宋体" w:hAnsi="宋体"/>
          <w:sz w:val="24"/>
        </w:rPr>
      </w:pPr>
    </w:p>
    <w:p>
      <w:pPr>
        <w:pStyle w:val="2"/>
        <w:numPr>
          <w:ilvl w:val="0"/>
          <w:numId w:val="0"/>
        </w:numPr>
        <w:ind w:left="425"/>
        <w:jc w:val="center"/>
        <w:rPr>
          <w:rFonts w:ascii="宋体" w:hAnsi="宋体" w:eastAsia="宋体"/>
        </w:rPr>
      </w:pPr>
      <w:bookmarkStart w:id="3" w:name="_Toc83838328"/>
      <w:r>
        <w:rPr>
          <w:rFonts w:ascii="宋体" w:hAnsi="宋体" w:eastAsia="宋体"/>
        </w:rPr>
        <w:t>第二章  供应商须知</w:t>
      </w:r>
      <w:bookmarkEnd w:id="3"/>
    </w:p>
    <w:p>
      <w:pPr>
        <w:pStyle w:val="3"/>
        <w:numPr>
          <w:ilvl w:val="0"/>
          <w:numId w:val="0"/>
        </w:numPr>
        <w:jc w:val="center"/>
        <w:rPr>
          <w:rFonts w:ascii="宋体" w:hAnsi="宋体" w:eastAsia="宋体"/>
        </w:rPr>
      </w:pPr>
      <w:bookmarkStart w:id="4" w:name="_Toc83838329"/>
      <w:r>
        <w:rPr>
          <w:rFonts w:ascii="宋体" w:hAnsi="宋体" w:eastAsia="宋体"/>
        </w:rPr>
        <w:t>一、前附表</w:t>
      </w:r>
      <w:bookmarkEnd w:id="4"/>
    </w:p>
    <w:tbl>
      <w:tblPr>
        <w:tblStyle w:val="4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noWrap w:val="0"/>
            <w:vAlign w:val="center"/>
          </w:tcPr>
          <w:p>
            <w:pPr>
              <w:spacing w:before="156" w:beforeLines="50" w:after="93" w:afterLines="30" w:line="300" w:lineRule="exact"/>
              <w:jc w:val="center"/>
              <w:rPr>
                <w:rFonts w:ascii="宋体" w:hAnsi="宋体"/>
                <w:sz w:val="24"/>
              </w:rPr>
            </w:pPr>
            <w:r>
              <w:rPr>
                <w:rFonts w:hint="eastAsia" w:ascii="宋体" w:hAnsi="宋体"/>
                <w:sz w:val="24"/>
              </w:rPr>
              <w:t>序号</w:t>
            </w:r>
          </w:p>
        </w:tc>
        <w:tc>
          <w:tcPr>
            <w:tcW w:w="8371" w:type="dxa"/>
            <w:noWrap w:val="0"/>
            <w:vAlign w:val="center"/>
          </w:tcPr>
          <w:p>
            <w:pPr>
              <w:spacing w:before="156" w:beforeLines="50" w:after="93" w:afterLines="30" w:line="30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noWrap w:val="0"/>
            <w:vAlign w:val="center"/>
          </w:tcPr>
          <w:p>
            <w:pPr>
              <w:spacing w:line="340" w:lineRule="exact"/>
              <w:jc w:val="center"/>
              <w:rPr>
                <w:rFonts w:ascii="宋体" w:hAnsi="宋体"/>
                <w:sz w:val="24"/>
              </w:rPr>
            </w:pPr>
            <w:r>
              <w:rPr>
                <w:rFonts w:hint="eastAsia" w:ascii="宋体" w:hAnsi="宋体"/>
                <w:sz w:val="24"/>
              </w:rPr>
              <w:t>1</w:t>
            </w:r>
          </w:p>
        </w:tc>
        <w:tc>
          <w:tcPr>
            <w:tcW w:w="8371" w:type="dxa"/>
            <w:noWrap w:val="0"/>
            <w:vAlign w:val="center"/>
          </w:tcPr>
          <w:p>
            <w:pPr>
              <w:spacing w:line="500" w:lineRule="exact"/>
              <w:rPr>
                <w:rFonts w:ascii="宋体" w:hAnsi="宋体"/>
                <w:sz w:val="24"/>
              </w:rPr>
            </w:pPr>
            <w:r>
              <w:rPr>
                <w:rFonts w:hint="eastAsia" w:ascii="宋体" w:hAnsi="宋体"/>
                <w:b/>
                <w:sz w:val="24"/>
              </w:rPr>
              <w:t>项目名称</w:t>
            </w:r>
            <w:r>
              <w:rPr>
                <w:rFonts w:hint="eastAsia" w:ascii="宋体" w:hAnsi="宋体"/>
                <w:sz w:val="24"/>
              </w:rPr>
              <w:t>：</w:t>
            </w:r>
            <w:r>
              <w:rPr>
                <w:rFonts w:hint="eastAsia" w:ascii="宋体" w:hAnsi="宋体" w:cs="Arial"/>
                <w:sz w:val="24"/>
              </w:rPr>
              <w:t>越城区智安小区技术服务项目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noWrap w:val="0"/>
            <w:vAlign w:val="center"/>
          </w:tcPr>
          <w:p>
            <w:pPr>
              <w:spacing w:line="340" w:lineRule="exact"/>
              <w:jc w:val="center"/>
              <w:rPr>
                <w:rFonts w:ascii="宋体" w:hAnsi="宋体"/>
                <w:sz w:val="24"/>
              </w:rPr>
            </w:pPr>
            <w:r>
              <w:rPr>
                <w:rFonts w:hint="eastAsia" w:ascii="宋体" w:hAnsi="宋体"/>
                <w:sz w:val="24"/>
              </w:rPr>
              <w:t>2</w:t>
            </w:r>
          </w:p>
        </w:tc>
        <w:tc>
          <w:tcPr>
            <w:tcW w:w="8371" w:type="dxa"/>
            <w:noWrap w:val="0"/>
            <w:vAlign w:val="center"/>
          </w:tcPr>
          <w:p>
            <w:pPr>
              <w:autoSpaceDE w:val="0"/>
              <w:autoSpaceDN w:val="0"/>
              <w:spacing w:line="500" w:lineRule="exact"/>
              <w:textAlignment w:val="bottom"/>
              <w:rPr>
                <w:rFonts w:ascii="宋体" w:hAnsi="宋体"/>
                <w:sz w:val="24"/>
              </w:rPr>
            </w:pPr>
            <w:r>
              <w:rPr>
                <w:rFonts w:hint="eastAsia" w:ascii="宋体" w:hAnsi="宋体"/>
                <w:b/>
                <w:sz w:val="24"/>
              </w:rPr>
              <w:t>投标有效期：</w:t>
            </w:r>
            <w:r>
              <w:rPr>
                <w:rFonts w:hint="eastAsia" w:ascii="宋体" w:hAnsi="宋体"/>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noWrap w:val="0"/>
            <w:vAlign w:val="center"/>
          </w:tcPr>
          <w:p>
            <w:pPr>
              <w:spacing w:line="340" w:lineRule="exact"/>
              <w:jc w:val="center"/>
              <w:rPr>
                <w:rFonts w:ascii="宋体" w:hAnsi="宋体"/>
                <w:sz w:val="24"/>
              </w:rPr>
            </w:pPr>
            <w:r>
              <w:rPr>
                <w:rFonts w:hint="eastAsia" w:ascii="宋体" w:hAnsi="宋体"/>
                <w:sz w:val="24"/>
              </w:rPr>
              <w:t>3</w:t>
            </w:r>
          </w:p>
        </w:tc>
        <w:tc>
          <w:tcPr>
            <w:tcW w:w="8371" w:type="dxa"/>
            <w:noWrap w:val="0"/>
            <w:vAlign w:val="center"/>
          </w:tcPr>
          <w:p>
            <w:pPr>
              <w:autoSpaceDE w:val="0"/>
              <w:autoSpaceDN w:val="0"/>
              <w:spacing w:line="500" w:lineRule="exact"/>
              <w:textAlignment w:val="bottom"/>
              <w:rPr>
                <w:rFonts w:ascii="宋体" w:hAnsi="宋体" w:cs="Arial"/>
                <w:b/>
                <w:sz w:val="24"/>
                <w:u w:val="single"/>
              </w:rPr>
            </w:pPr>
            <w:r>
              <w:rPr>
                <w:rFonts w:hint="eastAsia" w:ascii="宋体" w:hAnsi="宋体"/>
                <w:b/>
                <w:sz w:val="24"/>
              </w:rPr>
              <w:t>是否提供样品：</w:t>
            </w:r>
            <w:r>
              <w:rPr>
                <w:rFonts w:hint="eastAsia" w:ascii="宋体" w:hAnsi="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noWrap w:val="0"/>
            <w:vAlign w:val="center"/>
          </w:tcPr>
          <w:p>
            <w:pPr>
              <w:spacing w:line="340" w:lineRule="exact"/>
              <w:jc w:val="center"/>
              <w:rPr>
                <w:rFonts w:ascii="宋体" w:hAnsi="宋体"/>
                <w:sz w:val="24"/>
              </w:rPr>
            </w:pPr>
            <w:r>
              <w:rPr>
                <w:rFonts w:ascii="宋体" w:hAnsi="宋体"/>
                <w:sz w:val="24"/>
              </w:rPr>
              <w:t>4</w:t>
            </w:r>
          </w:p>
        </w:tc>
        <w:tc>
          <w:tcPr>
            <w:tcW w:w="8371" w:type="dxa"/>
            <w:noWrap w:val="0"/>
            <w:vAlign w:val="center"/>
          </w:tcPr>
          <w:p>
            <w:pPr>
              <w:autoSpaceDE w:val="0"/>
              <w:autoSpaceDN w:val="0"/>
              <w:spacing w:line="500" w:lineRule="exact"/>
              <w:textAlignment w:val="bottom"/>
              <w:rPr>
                <w:rFonts w:ascii="宋体" w:hAnsi="宋体"/>
                <w:b/>
                <w:sz w:val="24"/>
              </w:rPr>
            </w:pPr>
            <w:r>
              <w:rPr>
                <w:rFonts w:ascii="宋体" w:hAnsi="宋体"/>
                <w:b/>
                <w:sz w:val="24"/>
              </w:rPr>
              <w:t>是否演示：</w:t>
            </w:r>
            <w:r>
              <w:rPr>
                <w:rFonts w:hint="eastAsia" w:ascii="宋体" w:hAnsi="宋体"/>
                <w:sz w:val="24"/>
                <w:u w:val="single"/>
              </w:rPr>
              <w:t>本项目需现场演示，演示设备自带。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noWrap w:val="0"/>
            <w:vAlign w:val="center"/>
          </w:tcPr>
          <w:p>
            <w:pPr>
              <w:spacing w:line="340" w:lineRule="exact"/>
              <w:jc w:val="center"/>
              <w:rPr>
                <w:rFonts w:ascii="宋体" w:hAnsi="宋体"/>
                <w:sz w:val="24"/>
              </w:rPr>
            </w:pPr>
            <w:r>
              <w:rPr>
                <w:rFonts w:ascii="宋体" w:hAnsi="宋体"/>
                <w:sz w:val="24"/>
              </w:rPr>
              <w:t>5</w:t>
            </w:r>
          </w:p>
        </w:tc>
        <w:tc>
          <w:tcPr>
            <w:tcW w:w="8371" w:type="dxa"/>
            <w:noWrap w:val="0"/>
            <w:vAlign w:val="center"/>
          </w:tcPr>
          <w:p>
            <w:pPr>
              <w:autoSpaceDE w:val="0"/>
              <w:autoSpaceDN w:val="0"/>
              <w:textAlignment w:val="bottom"/>
              <w:rPr>
                <w:rFonts w:ascii="宋体" w:hAnsi="宋体" w:cs="Arial"/>
                <w:b/>
                <w:sz w:val="24"/>
              </w:rPr>
            </w:pPr>
            <w:r>
              <w:rPr>
                <w:rFonts w:hint="eastAsia" w:ascii="宋体" w:hAnsi="宋体"/>
                <w:b/>
                <w:sz w:val="24"/>
              </w:rPr>
              <w:t>是否组织现场踏勘：</w:t>
            </w:r>
            <w:r>
              <w:rPr>
                <w:rFonts w:hint="eastAsia" w:ascii="宋体" w:hAnsi="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noWrap w:val="0"/>
            <w:vAlign w:val="center"/>
          </w:tcPr>
          <w:p>
            <w:pPr>
              <w:spacing w:line="340" w:lineRule="exact"/>
              <w:jc w:val="center"/>
              <w:rPr>
                <w:rFonts w:ascii="宋体" w:hAnsi="宋体"/>
                <w:sz w:val="24"/>
              </w:rPr>
            </w:pPr>
            <w:r>
              <w:rPr>
                <w:rFonts w:ascii="宋体" w:hAnsi="宋体"/>
                <w:sz w:val="24"/>
              </w:rPr>
              <w:t>6</w:t>
            </w:r>
          </w:p>
        </w:tc>
        <w:tc>
          <w:tcPr>
            <w:tcW w:w="8371" w:type="dxa"/>
            <w:noWrap w:val="0"/>
            <w:vAlign w:val="center"/>
          </w:tcPr>
          <w:p>
            <w:pPr>
              <w:spacing w:line="500" w:lineRule="exact"/>
              <w:rPr>
                <w:rFonts w:ascii="宋体" w:hAnsi="宋体"/>
                <w:sz w:val="24"/>
              </w:rPr>
            </w:pPr>
            <w:r>
              <w:rPr>
                <w:rFonts w:hint="eastAsia" w:ascii="宋体" w:hAnsi="宋体"/>
                <w:b/>
                <w:sz w:val="24"/>
              </w:rPr>
              <w:t>投标文件份数：</w:t>
            </w:r>
            <w:r>
              <w:rPr>
                <w:rFonts w:ascii="宋体" w:hAnsi="宋体"/>
                <w:b/>
                <w:sz w:val="24"/>
              </w:rPr>
              <w:t>正本一份，副本</w:t>
            </w:r>
            <w:r>
              <w:rPr>
                <w:rFonts w:hint="eastAsia" w:ascii="宋体" w:hAnsi="宋体"/>
                <w:b/>
                <w:sz w:val="24"/>
              </w:rPr>
              <w:t>六</w:t>
            </w:r>
            <w:r>
              <w:rPr>
                <w:rFonts w:ascii="宋体" w:hAnsi="宋体"/>
                <w:b/>
                <w:sz w:val="24"/>
              </w:rPr>
              <w:t>份</w:t>
            </w:r>
            <w:r>
              <w:rPr>
                <w:rFonts w:hint="eastAsia" w:ascii="宋体" w:hAnsi="宋体"/>
                <w:sz w:val="24"/>
              </w:rPr>
              <w:t>。</w:t>
            </w:r>
            <w:r>
              <w:rPr>
                <w:rFonts w:ascii="宋体" w:hAnsi="宋体"/>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noWrap w:val="0"/>
            <w:vAlign w:val="center"/>
          </w:tcPr>
          <w:p>
            <w:pPr>
              <w:spacing w:line="340" w:lineRule="exact"/>
              <w:jc w:val="center"/>
              <w:rPr>
                <w:rFonts w:ascii="宋体" w:hAnsi="宋体"/>
                <w:sz w:val="24"/>
              </w:rPr>
            </w:pPr>
            <w:r>
              <w:rPr>
                <w:rFonts w:ascii="宋体" w:hAnsi="宋体"/>
                <w:sz w:val="24"/>
              </w:rPr>
              <w:t>7</w:t>
            </w:r>
          </w:p>
        </w:tc>
        <w:tc>
          <w:tcPr>
            <w:tcW w:w="8371" w:type="dxa"/>
            <w:noWrap w:val="0"/>
            <w:vAlign w:val="center"/>
          </w:tcPr>
          <w:p>
            <w:pPr>
              <w:autoSpaceDE w:val="0"/>
              <w:autoSpaceDN w:val="0"/>
              <w:spacing w:line="500" w:lineRule="exact"/>
              <w:textAlignment w:val="bottom"/>
              <w:rPr>
                <w:rFonts w:ascii="宋体" w:hAnsi="宋体"/>
                <w:b/>
                <w:sz w:val="24"/>
              </w:rPr>
            </w:pPr>
            <w:r>
              <w:rPr>
                <w:rFonts w:hint="eastAsia" w:ascii="宋体" w:hAnsi="宋体"/>
                <w:b/>
                <w:sz w:val="24"/>
              </w:rPr>
              <w:t>履约保证金</w:t>
            </w:r>
            <w:r>
              <w:rPr>
                <w:rFonts w:ascii="宋体" w:hAnsi="宋体"/>
                <w:b/>
                <w:sz w:val="24"/>
              </w:rPr>
              <w:t>及缴退方式</w:t>
            </w:r>
            <w:r>
              <w:rPr>
                <w:rFonts w:hint="eastAsia" w:ascii="宋体" w:hAnsi="宋体"/>
                <w:b/>
                <w:sz w:val="24"/>
              </w:rPr>
              <w:t>：</w:t>
            </w:r>
            <w:r>
              <w:rPr>
                <w:rFonts w:ascii="宋体" w:hAnsi="宋体"/>
                <w:b/>
                <w:sz w:val="24"/>
                <w:u w:val="single"/>
              </w:rPr>
              <w:t xml:space="preserve">       （</w:t>
            </w:r>
            <w:r>
              <w:rPr>
                <w:rFonts w:hint="eastAsia" w:ascii="宋体" w:hAnsi="宋体"/>
                <w:sz w:val="24"/>
                <w:u w:val="single"/>
              </w:rPr>
              <w:t>不得超过中标</w:t>
            </w:r>
            <w:r>
              <w:rPr>
                <w:rFonts w:ascii="宋体" w:hAnsi="宋体"/>
                <w:sz w:val="24"/>
                <w:u w:val="single"/>
              </w:rPr>
              <w:t>价</w:t>
            </w:r>
            <w:r>
              <w:rPr>
                <w:rFonts w:hint="eastAsia" w:ascii="宋体" w:hAnsi="宋体"/>
                <w:sz w:val="24"/>
                <w:u w:val="single"/>
              </w:rPr>
              <w:t>的5%</w:t>
            </w:r>
            <w:r>
              <w:rPr>
                <w:rFonts w:ascii="宋体" w:hAnsi="宋体"/>
                <w:sz w:val="24"/>
                <w:u w:val="single"/>
              </w:rPr>
              <w:t>，注明何时退还</w:t>
            </w:r>
            <w:r>
              <w:rPr>
                <w:rFonts w:ascii="宋体" w:hAnsi="宋体"/>
                <w:b/>
                <w:sz w:val="24"/>
                <w:u w:val="single"/>
              </w:rPr>
              <w:t xml:space="preserve">）   </w:t>
            </w:r>
          </w:p>
          <w:p>
            <w:pPr>
              <w:autoSpaceDE w:val="0"/>
              <w:autoSpaceDN w:val="0"/>
              <w:spacing w:line="500" w:lineRule="exact"/>
              <w:textAlignment w:val="bottom"/>
              <w:rPr>
                <w:rFonts w:ascii="宋体" w:hAnsi="宋体"/>
                <w:b/>
                <w:sz w:val="24"/>
              </w:rPr>
            </w:pPr>
            <w:r>
              <w:rPr>
                <w:rFonts w:ascii="宋体" w:hAnsi="宋体"/>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noWrap w:val="0"/>
            <w:vAlign w:val="center"/>
          </w:tcPr>
          <w:p>
            <w:pPr>
              <w:spacing w:line="340" w:lineRule="exact"/>
              <w:jc w:val="center"/>
              <w:rPr>
                <w:rFonts w:ascii="宋体" w:hAnsi="宋体"/>
                <w:sz w:val="24"/>
              </w:rPr>
            </w:pPr>
            <w:r>
              <w:rPr>
                <w:rFonts w:ascii="宋体" w:hAnsi="宋体"/>
                <w:sz w:val="24"/>
              </w:rPr>
              <w:t>8</w:t>
            </w:r>
          </w:p>
        </w:tc>
        <w:tc>
          <w:tcPr>
            <w:tcW w:w="8371" w:type="dxa"/>
            <w:noWrap w:val="0"/>
            <w:vAlign w:val="center"/>
          </w:tcPr>
          <w:p>
            <w:pPr>
              <w:snapToGrid w:val="0"/>
              <w:jc w:val="left"/>
              <w:rPr>
                <w:rFonts w:ascii="宋体" w:hAnsi="宋体"/>
                <w:sz w:val="24"/>
              </w:rPr>
            </w:pPr>
            <w:r>
              <w:rPr>
                <w:rFonts w:ascii="宋体" w:hAnsi="宋体"/>
                <w:b/>
                <w:bCs/>
                <w:sz w:val="24"/>
              </w:rPr>
              <w:t>分包与转包</w:t>
            </w:r>
            <w:r>
              <w:rPr>
                <w:rFonts w:hint="eastAsia" w:ascii="宋体" w:hAnsi="宋体"/>
                <w:sz w:val="24"/>
              </w:rPr>
              <w:t>：</w:t>
            </w:r>
            <w:r>
              <w:rPr>
                <w:rFonts w:ascii="宋体" w:hAnsi="宋体"/>
                <w:sz w:val="24"/>
              </w:rPr>
              <w:t>本项目</w:t>
            </w:r>
            <w:r>
              <w:rPr>
                <w:rFonts w:ascii="宋体" w:hAnsi="宋体"/>
                <w:sz w:val="24"/>
                <w:u w:val="single"/>
              </w:rPr>
              <w:t xml:space="preserve"> 不得 </w:t>
            </w:r>
            <w:r>
              <w:rPr>
                <w:rFonts w:ascii="宋体" w:hAnsi="宋体"/>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noWrap w:val="0"/>
            <w:vAlign w:val="center"/>
          </w:tcPr>
          <w:p>
            <w:pPr>
              <w:spacing w:line="340" w:lineRule="exact"/>
              <w:jc w:val="center"/>
              <w:rPr>
                <w:rFonts w:ascii="宋体" w:hAnsi="宋体"/>
                <w:sz w:val="24"/>
              </w:rPr>
            </w:pPr>
            <w:r>
              <w:rPr>
                <w:rFonts w:ascii="宋体" w:hAnsi="宋体"/>
                <w:sz w:val="24"/>
              </w:rPr>
              <w:t>9</w:t>
            </w:r>
          </w:p>
        </w:tc>
        <w:tc>
          <w:tcPr>
            <w:tcW w:w="8371" w:type="dxa"/>
            <w:noWrap w:val="0"/>
            <w:vAlign w:val="center"/>
          </w:tcPr>
          <w:p>
            <w:pPr>
              <w:spacing w:line="360" w:lineRule="auto"/>
              <w:jc w:val="left"/>
              <w:rPr>
                <w:rFonts w:ascii="宋体" w:hAnsi="宋体"/>
                <w:sz w:val="24"/>
              </w:rPr>
            </w:pPr>
            <w:r>
              <w:rPr>
                <w:rFonts w:hint="eastAsia" w:ascii="宋体" w:hAnsi="宋体" w:cs="仿宋_GB2312"/>
                <w:b/>
                <w:bCs/>
                <w:sz w:val="24"/>
              </w:rPr>
              <w:t>采购代理服务费：</w:t>
            </w:r>
            <w:r>
              <w:rPr>
                <w:rFonts w:hint="eastAsia" w:ascii="宋体" w:hAnsi="宋体"/>
                <w:sz w:val="24"/>
              </w:rPr>
              <w:t>中标人须向招标代理机构交纳代理服务费：</w:t>
            </w:r>
          </w:p>
          <w:p>
            <w:pPr>
              <w:spacing w:line="360" w:lineRule="auto"/>
              <w:jc w:val="left"/>
              <w:rPr>
                <w:rFonts w:ascii="宋体"/>
                <w:sz w:val="24"/>
              </w:rPr>
            </w:pPr>
            <w:r>
              <w:rPr>
                <w:rFonts w:hint="eastAsia" w:ascii="宋体" w:cs="Arial"/>
                <w:sz w:val="24"/>
              </w:rPr>
              <w:t>（</w:t>
            </w:r>
            <w:r>
              <w:rPr>
                <w:rFonts w:hint="eastAsia" w:ascii="宋体"/>
                <w:sz w:val="24"/>
              </w:rPr>
              <w:t>1）</w:t>
            </w:r>
            <w:r>
              <w:rPr>
                <w:rFonts w:hint="eastAsia" w:ascii="宋体" w:hAnsi="宋体"/>
                <w:sz w:val="24"/>
              </w:rPr>
              <w:t>以中标通知中确定的中标总金额作为服务费的计算基数，具体比例参照《国家计委关于印发&lt;招标代理服务收费管理暂行办法&gt;的通知》（计价格[2002]1980号）执行。</w:t>
            </w:r>
          </w:p>
          <w:p>
            <w:pPr>
              <w:spacing w:line="360" w:lineRule="auto"/>
              <w:jc w:val="left"/>
              <w:rPr>
                <w:rFonts w:hint="eastAsia" w:ascii="宋体"/>
                <w:sz w:val="24"/>
              </w:rPr>
            </w:pPr>
            <w:r>
              <w:rPr>
                <w:rFonts w:hint="eastAsia" w:ascii="宋体"/>
                <w:sz w:val="24"/>
              </w:rPr>
              <w:t>收费标准：中标金额在100万以下部分为1.5%，100万元到500万元部分为0.8%，500万元到1000万元部分为0.45%，1000万元到5000万元部分为0.25%。实际按收费标准打八折收取。</w:t>
            </w:r>
          </w:p>
          <w:p>
            <w:pPr>
              <w:spacing w:line="360" w:lineRule="auto"/>
              <w:jc w:val="left"/>
              <w:rPr>
                <w:rFonts w:ascii="宋体" w:hAnsi="宋体"/>
                <w:sz w:val="24"/>
              </w:rPr>
            </w:pPr>
            <w:r>
              <w:rPr>
                <w:rFonts w:hint="eastAsia" w:ascii="宋体" w:hAnsi="宋体"/>
                <w:sz w:val="24"/>
              </w:rPr>
              <w:t>（2）代理服务费的交纳方式：</w:t>
            </w:r>
          </w:p>
          <w:p>
            <w:pPr>
              <w:spacing w:line="360" w:lineRule="auto"/>
              <w:ind w:firstLine="735"/>
              <w:jc w:val="left"/>
              <w:rPr>
                <w:rFonts w:ascii="宋体" w:hAnsi="宋体"/>
                <w:sz w:val="24"/>
              </w:rPr>
            </w:pPr>
            <w:r>
              <w:rPr>
                <w:rFonts w:hint="eastAsia" w:ascii="宋体" w:hAnsi="宋体"/>
                <w:sz w:val="24"/>
              </w:rPr>
              <w:t>用银行支票、汇票、电汇、现金等付款方式直接交纳代理服务费。</w:t>
            </w:r>
          </w:p>
          <w:p>
            <w:pPr>
              <w:spacing w:line="360" w:lineRule="auto"/>
              <w:ind w:firstLine="735"/>
              <w:jc w:val="left"/>
              <w:rPr>
                <w:rFonts w:ascii="宋体" w:hAnsi="宋体"/>
                <w:sz w:val="24"/>
              </w:rPr>
            </w:pPr>
            <w:r>
              <w:rPr>
                <w:rFonts w:hint="eastAsia" w:ascii="宋体" w:hAnsi="宋体"/>
                <w:sz w:val="24"/>
              </w:rPr>
              <w:t>公司名称：浙江天源工程管理咨询有限公司</w:t>
            </w:r>
          </w:p>
          <w:p>
            <w:pPr>
              <w:spacing w:line="360" w:lineRule="auto"/>
              <w:ind w:firstLine="735"/>
              <w:jc w:val="left"/>
              <w:rPr>
                <w:rFonts w:ascii="宋体" w:hAnsi="宋体"/>
                <w:sz w:val="24"/>
              </w:rPr>
            </w:pPr>
            <w:r>
              <w:rPr>
                <w:rFonts w:hint="eastAsia" w:ascii="宋体" w:hAnsi="宋体"/>
                <w:sz w:val="24"/>
              </w:rPr>
              <w:t>账    号：397458339397</w:t>
            </w:r>
          </w:p>
          <w:p>
            <w:pPr>
              <w:spacing w:line="360" w:lineRule="auto"/>
              <w:ind w:firstLine="735"/>
              <w:jc w:val="left"/>
              <w:rPr>
                <w:rFonts w:ascii="宋体" w:hAnsi="宋体"/>
                <w:sz w:val="24"/>
              </w:rPr>
            </w:pPr>
            <w:r>
              <w:rPr>
                <w:rFonts w:hint="eastAsia" w:ascii="宋体" w:hAnsi="宋体"/>
                <w:sz w:val="24"/>
              </w:rPr>
              <w:t>开 户 行：中行绍兴大云支行</w:t>
            </w:r>
          </w:p>
          <w:p>
            <w:pPr>
              <w:spacing w:line="360" w:lineRule="auto"/>
              <w:jc w:val="left"/>
              <w:rPr>
                <w:rFonts w:ascii="宋体" w:hAnsi="宋体" w:cs="仿宋_GB2312"/>
                <w:sz w:val="24"/>
              </w:rPr>
            </w:pPr>
            <w:r>
              <w:rPr>
                <w:rFonts w:hint="eastAsia" w:ascii="宋体" w:hAnsi="宋体"/>
                <w:sz w:val="24"/>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noWrap w:val="0"/>
            <w:vAlign w:val="center"/>
          </w:tcPr>
          <w:p>
            <w:pPr>
              <w:spacing w:line="340" w:lineRule="exact"/>
              <w:jc w:val="center"/>
              <w:rPr>
                <w:rFonts w:ascii="宋体" w:hAnsi="宋体"/>
                <w:sz w:val="24"/>
              </w:rPr>
            </w:pPr>
            <w:r>
              <w:rPr>
                <w:rFonts w:hint="eastAsia" w:ascii="宋体" w:hAnsi="宋体"/>
                <w:sz w:val="24"/>
              </w:rPr>
              <w:t>1</w:t>
            </w:r>
            <w:r>
              <w:rPr>
                <w:rFonts w:ascii="宋体" w:hAnsi="宋体"/>
                <w:sz w:val="24"/>
              </w:rPr>
              <w:t>0</w:t>
            </w:r>
          </w:p>
        </w:tc>
        <w:tc>
          <w:tcPr>
            <w:tcW w:w="8371" w:type="dxa"/>
            <w:noWrap w:val="0"/>
            <w:vAlign w:val="center"/>
          </w:tcPr>
          <w:p>
            <w:pPr>
              <w:spacing w:line="500" w:lineRule="exact"/>
              <w:rPr>
                <w:rFonts w:ascii="宋体" w:hAnsi="宋体"/>
                <w:sz w:val="24"/>
              </w:rPr>
            </w:pPr>
            <w:r>
              <w:rPr>
                <w:rFonts w:hint="eastAsia" w:ascii="宋体" w:hAnsi="宋体"/>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noWrap w:val="0"/>
            <w:vAlign w:val="center"/>
          </w:tcPr>
          <w:p>
            <w:pPr>
              <w:spacing w:line="340" w:lineRule="exact"/>
              <w:jc w:val="center"/>
              <w:rPr>
                <w:rFonts w:ascii="宋体" w:hAnsi="宋体"/>
                <w:sz w:val="24"/>
              </w:rPr>
            </w:pPr>
            <w:r>
              <w:rPr>
                <w:rFonts w:ascii="宋体" w:hAnsi="宋体"/>
                <w:sz w:val="24"/>
              </w:rPr>
              <w:t>11</w:t>
            </w:r>
          </w:p>
        </w:tc>
        <w:tc>
          <w:tcPr>
            <w:tcW w:w="8371" w:type="dxa"/>
            <w:noWrap w:val="0"/>
            <w:vAlign w:val="center"/>
          </w:tcPr>
          <w:p>
            <w:pPr>
              <w:spacing w:line="500" w:lineRule="exact"/>
              <w:rPr>
                <w:rFonts w:ascii="宋体" w:hAnsi="宋体"/>
                <w:sz w:val="24"/>
              </w:rPr>
            </w:pPr>
            <w:r>
              <w:rPr>
                <w:rFonts w:ascii="宋体" w:hAnsi="宋体"/>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宋体" w:hAnsi="宋体"/>
          <w:sz w:val="24"/>
        </w:rPr>
      </w:pPr>
    </w:p>
    <w:p>
      <w:pPr>
        <w:pStyle w:val="3"/>
        <w:numPr>
          <w:ilvl w:val="0"/>
          <w:numId w:val="0"/>
        </w:numPr>
        <w:jc w:val="center"/>
        <w:rPr>
          <w:rFonts w:ascii="宋体" w:hAnsi="宋体" w:eastAsia="宋体"/>
        </w:rPr>
      </w:pPr>
      <w:bookmarkStart w:id="5" w:name="_Toc83838330"/>
      <w:r>
        <w:rPr>
          <w:rFonts w:ascii="宋体" w:hAnsi="宋体" w:eastAsia="宋体"/>
        </w:rPr>
        <w:t>二、采购文件</w:t>
      </w:r>
      <w:bookmarkEnd w:id="5"/>
    </w:p>
    <w:p>
      <w:pPr>
        <w:snapToGrid w:val="0"/>
        <w:spacing w:line="440" w:lineRule="exact"/>
        <w:jc w:val="left"/>
        <w:rPr>
          <w:rFonts w:ascii="宋体" w:hAnsi="宋体"/>
          <w:b/>
          <w:sz w:val="24"/>
        </w:rPr>
      </w:pPr>
      <w:r>
        <w:rPr>
          <w:rFonts w:hint="eastAsia" w:ascii="宋体" w:hAnsi="宋体"/>
          <w:b/>
          <w:sz w:val="24"/>
        </w:rPr>
        <w:t xml:space="preserve">1. </w:t>
      </w:r>
      <w:r>
        <w:rPr>
          <w:rFonts w:ascii="宋体" w:hAnsi="宋体"/>
          <w:b/>
          <w:sz w:val="24"/>
        </w:rPr>
        <w:t>采购文件效力</w:t>
      </w:r>
    </w:p>
    <w:p>
      <w:pPr>
        <w:snapToGrid w:val="0"/>
        <w:spacing w:line="440" w:lineRule="exact"/>
        <w:jc w:val="left"/>
        <w:rPr>
          <w:rFonts w:ascii="宋体" w:hAnsi="宋体"/>
          <w:sz w:val="24"/>
        </w:rPr>
      </w:pPr>
      <w:r>
        <w:rPr>
          <w:rFonts w:hint="eastAsia" w:ascii="宋体" w:hAnsi="宋体"/>
          <w:sz w:val="24"/>
        </w:rPr>
        <w:t>1.1本采购文件适用于本次所述项目的招标</w:t>
      </w:r>
      <w:r>
        <w:rPr>
          <w:rFonts w:ascii="宋体" w:hAnsi="宋体"/>
          <w:sz w:val="24"/>
        </w:rPr>
        <w:t>、投标、评标、定标、验收、合同签订及履约、付款等全过程（法律法规另有规定的从其规定）</w:t>
      </w:r>
      <w:r>
        <w:rPr>
          <w:rFonts w:hint="eastAsia" w:ascii="宋体" w:hAnsi="宋体"/>
          <w:sz w:val="24"/>
        </w:rPr>
        <w:t>。</w:t>
      </w:r>
    </w:p>
    <w:p>
      <w:pPr>
        <w:snapToGrid w:val="0"/>
        <w:spacing w:line="440" w:lineRule="exact"/>
        <w:jc w:val="left"/>
        <w:rPr>
          <w:rFonts w:ascii="宋体" w:hAnsi="宋体"/>
          <w:b/>
          <w:bCs/>
          <w:sz w:val="24"/>
        </w:rPr>
      </w:pPr>
      <w:r>
        <w:rPr>
          <w:rFonts w:hint="eastAsia" w:ascii="宋体" w:hAnsi="宋体"/>
          <w:sz w:val="24"/>
        </w:rPr>
        <w:t>1.2</w:t>
      </w:r>
      <w:r>
        <w:rPr>
          <w:rFonts w:ascii="宋体" w:hAnsi="宋体"/>
          <w:b/>
          <w:bCs/>
          <w:sz w:val="24"/>
        </w:rPr>
        <w:t>供应商对本采购文件</w:t>
      </w:r>
      <w:r>
        <w:rPr>
          <w:rFonts w:hint="eastAsia" w:ascii="宋体" w:hAnsi="宋体"/>
          <w:b/>
          <w:bCs/>
          <w:sz w:val="24"/>
        </w:rPr>
        <w:t>如有异议，均应在法定时间内提出</w:t>
      </w:r>
      <w:r>
        <w:rPr>
          <w:rFonts w:ascii="宋体" w:hAnsi="宋体"/>
          <w:b/>
          <w:bCs/>
          <w:sz w:val="24"/>
        </w:rPr>
        <w:t>质疑或投诉，否则即被视为认可采购文件的全部内容。</w:t>
      </w:r>
    </w:p>
    <w:p>
      <w:pPr>
        <w:snapToGrid w:val="0"/>
        <w:spacing w:line="440" w:lineRule="exact"/>
        <w:jc w:val="left"/>
        <w:rPr>
          <w:rFonts w:ascii="宋体" w:hAnsi="宋体"/>
          <w:b/>
          <w:bCs/>
          <w:sz w:val="24"/>
        </w:rPr>
      </w:pPr>
      <w:r>
        <w:rPr>
          <w:rFonts w:ascii="宋体" w:hAnsi="宋体"/>
          <w:b/>
          <w:bCs/>
          <w:sz w:val="24"/>
        </w:rPr>
        <w:t>2、名词定义</w:t>
      </w:r>
    </w:p>
    <w:p>
      <w:pPr>
        <w:snapToGrid w:val="0"/>
        <w:spacing w:line="440" w:lineRule="exact"/>
        <w:jc w:val="left"/>
        <w:rPr>
          <w:rFonts w:ascii="宋体" w:hAnsi="宋体" w:cs="仿宋_GB2312"/>
          <w:sz w:val="24"/>
        </w:rPr>
      </w:pPr>
      <w:r>
        <w:rPr>
          <w:rFonts w:hint="eastAsia" w:ascii="宋体" w:hAnsi="宋体" w:cs="仿宋_GB2312"/>
          <w:sz w:val="24"/>
        </w:rPr>
        <w:t>2.1“</w:t>
      </w:r>
      <w:r>
        <w:rPr>
          <w:rFonts w:hint="eastAsia" w:ascii="宋体" w:hAnsi="宋体" w:cs="仿宋_GB2312"/>
          <w:b/>
          <w:bCs/>
          <w:sz w:val="24"/>
        </w:rPr>
        <w:t>采购代理机构</w:t>
      </w:r>
      <w:r>
        <w:rPr>
          <w:rFonts w:hint="eastAsia" w:ascii="宋体" w:hAnsi="宋体" w:cs="仿宋_GB2312"/>
          <w:sz w:val="24"/>
        </w:rPr>
        <w:t>”：</w:t>
      </w:r>
      <w:r>
        <w:rPr>
          <w:rFonts w:ascii="宋体" w:hAnsi="宋体" w:cs="仿宋_GB2312"/>
          <w:sz w:val="24"/>
        </w:rPr>
        <w:t>国企</w:t>
      </w:r>
      <w:r>
        <w:rPr>
          <w:rFonts w:hint="eastAsia" w:ascii="宋体" w:hAnsi="宋体" w:cs="仿宋_GB2312"/>
          <w:sz w:val="24"/>
        </w:rPr>
        <w:t>采购项目的采购代理机构为社会中介代理机构。采购代理机构按照与采购人的采购代理合同约定</w:t>
      </w:r>
      <w:r>
        <w:rPr>
          <w:rFonts w:ascii="宋体" w:hAnsi="宋体" w:cs="仿宋_GB2312"/>
          <w:sz w:val="24"/>
        </w:rPr>
        <w:t>组织</w:t>
      </w:r>
      <w:r>
        <w:rPr>
          <w:rFonts w:hint="eastAsia" w:ascii="宋体" w:hAnsi="宋体" w:cs="仿宋_GB2312"/>
          <w:sz w:val="24"/>
        </w:rPr>
        <w:t>采购活动等事宜。</w:t>
      </w:r>
    </w:p>
    <w:p>
      <w:pPr>
        <w:snapToGrid w:val="0"/>
        <w:spacing w:line="440" w:lineRule="exact"/>
        <w:jc w:val="left"/>
        <w:rPr>
          <w:rFonts w:ascii="宋体" w:hAnsi="宋体"/>
          <w:sz w:val="24"/>
        </w:rPr>
      </w:pPr>
      <w:r>
        <w:rPr>
          <w:rFonts w:hint="eastAsia" w:ascii="宋体" w:hAnsi="宋体"/>
          <w:sz w:val="24"/>
        </w:rPr>
        <w:t>2.2“</w:t>
      </w:r>
      <w:r>
        <w:rPr>
          <w:rFonts w:hint="eastAsia" w:ascii="宋体" w:hAnsi="宋体"/>
          <w:b/>
          <w:bCs/>
          <w:sz w:val="24"/>
        </w:rPr>
        <w:t>采购机构</w:t>
      </w:r>
      <w:r>
        <w:rPr>
          <w:rFonts w:hint="eastAsia" w:ascii="宋体" w:hAnsi="宋体"/>
          <w:sz w:val="24"/>
        </w:rPr>
        <w:t>”：采购人及其采购代理机构。</w:t>
      </w:r>
    </w:p>
    <w:p>
      <w:pPr>
        <w:snapToGrid w:val="0"/>
        <w:spacing w:line="440" w:lineRule="exact"/>
        <w:jc w:val="left"/>
        <w:rPr>
          <w:rFonts w:ascii="宋体" w:hAnsi="宋体"/>
          <w:sz w:val="24"/>
        </w:rPr>
      </w:pPr>
      <w:r>
        <w:rPr>
          <w:rFonts w:hint="eastAsia" w:ascii="宋体" w:hAnsi="宋体"/>
          <w:sz w:val="24"/>
        </w:rPr>
        <w:t>2.3 “</w:t>
      </w:r>
      <w:r>
        <w:rPr>
          <w:rFonts w:hint="eastAsia" w:ascii="宋体" w:hAnsi="宋体"/>
          <w:b/>
          <w:bCs/>
          <w:sz w:val="24"/>
        </w:rPr>
        <w:t>产品</w:t>
      </w:r>
      <w:r>
        <w:rPr>
          <w:rFonts w:hint="eastAsia" w:ascii="宋体" w:hAnsi="宋体"/>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宋体" w:hAnsi="宋体"/>
          <w:sz w:val="24"/>
        </w:rPr>
      </w:pPr>
      <w:r>
        <w:rPr>
          <w:rFonts w:hint="eastAsia" w:ascii="宋体" w:hAnsi="宋体"/>
          <w:sz w:val="24"/>
        </w:rPr>
        <w:t>2.4 “</w:t>
      </w:r>
      <w:r>
        <w:rPr>
          <w:rFonts w:hint="eastAsia" w:ascii="宋体" w:hAnsi="宋体"/>
          <w:b/>
          <w:bCs/>
          <w:sz w:val="24"/>
        </w:rPr>
        <w:t>服务</w:t>
      </w:r>
      <w:r>
        <w:rPr>
          <w:rFonts w:hint="eastAsia" w:ascii="宋体" w:hAnsi="宋体"/>
          <w:sz w:val="24"/>
        </w:rPr>
        <w:t>”系指采购文件规定供应商须承担的安装、调试、技术协助、校准、培训、技术指导以及其他类似的义务。</w:t>
      </w:r>
    </w:p>
    <w:p>
      <w:pPr>
        <w:snapToGrid w:val="0"/>
        <w:spacing w:line="440" w:lineRule="exact"/>
        <w:jc w:val="left"/>
        <w:rPr>
          <w:rFonts w:ascii="宋体" w:hAnsi="宋体"/>
          <w:sz w:val="24"/>
        </w:rPr>
      </w:pPr>
      <w:r>
        <w:rPr>
          <w:rFonts w:hint="eastAsia" w:ascii="宋体" w:hAnsi="宋体"/>
          <w:sz w:val="24"/>
        </w:rPr>
        <w:t>2.5 “</w:t>
      </w:r>
      <w:r>
        <w:rPr>
          <w:rFonts w:hint="eastAsia" w:ascii="宋体" w:hAnsi="宋体"/>
          <w:b/>
          <w:bCs/>
          <w:sz w:val="24"/>
        </w:rPr>
        <w:t>供应商</w:t>
      </w:r>
      <w:r>
        <w:rPr>
          <w:rFonts w:hint="eastAsia" w:ascii="宋体" w:hAnsi="宋体"/>
          <w:sz w:val="24"/>
        </w:rPr>
        <w:t>”指已经按采购公告要求</w:t>
      </w:r>
      <w:r>
        <w:rPr>
          <w:rFonts w:ascii="宋体" w:hAnsi="宋体"/>
          <w:sz w:val="24"/>
        </w:rPr>
        <w:t>报名</w:t>
      </w:r>
      <w:r>
        <w:rPr>
          <w:rFonts w:hint="eastAsia" w:ascii="宋体" w:hAnsi="宋体"/>
          <w:sz w:val="24"/>
        </w:rPr>
        <w:t>的投标供应商。“</w:t>
      </w:r>
      <w:r>
        <w:rPr>
          <w:rFonts w:hint="eastAsia" w:ascii="宋体" w:hAnsi="宋体"/>
          <w:b/>
          <w:bCs/>
          <w:sz w:val="24"/>
        </w:rPr>
        <w:t>潜在供应商</w:t>
      </w:r>
      <w:r>
        <w:rPr>
          <w:rFonts w:hint="eastAsia" w:ascii="宋体" w:hAnsi="宋体"/>
          <w:sz w:val="24"/>
        </w:rPr>
        <w:t>”指未按采购公告要求</w:t>
      </w:r>
      <w:r>
        <w:rPr>
          <w:rFonts w:ascii="宋体" w:hAnsi="宋体"/>
          <w:sz w:val="24"/>
        </w:rPr>
        <w:t>报名</w:t>
      </w:r>
      <w:r>
        <w:rPr>
          <w:rFonts w:hint="eastAsia" w:ascii="宋体" w:hAnsi="宋体"/>
          <w:sz w:val="24"/>
        </w:rPr>
        <w:t>的投标供应商。</w:t>
      </w:r>
    </w:p>
    <w:p>
      <w:pPr>
        <w:snapToGrid w:val="0"/>
        <w:spacing w:line="440" w:lineRule="exact"/>
        <w:jc w:val="left"/>
        <w:rPr>
          <w:rFonts w:ascii="宋体" w:hAnsi="宋体"/>
          <w:sz w:val="24"/>
        </w:rPr>
      </w:pPr>
      <w:r>
        <w:rPr>
          <w:rFonts w:hint="eastAsia" w:ascii="宋体" w:hAnsi="宋体"/>
          <w:sz w:val="24"/>
        </w:rPr>
        <w:t>2.6 “</w:t>
      </w:r>
      <w:r>
        <w:rPr>
          <w:rFonts w:hint="eastAsia" w:ascii="宋体" w:hAnsi="宋体"/>
          <w:b/>
          <w:bCs/>
          <w:sz w:val="24"/>
        </w:rPr>
        <w:t>授权代表</w:t>
      </w:r>
      <w:r>
        <w:rPr>
          <w:rFonts w:hint="eastAsia" w:ascii="宋体" w:hAnsi="宋体"/>
          <w:sz w:val="24"/>
        </w:rPr>
        <w:t>”即“</w:t>
      </w:r>
      <w:r>
        <w:rPr>
          <w:rFonts w:hint="eastAsia" w:ascii="宋体" w:hAnsi="宋体"/>
          <w:b/>
          <w:bCs/>
          <w:sz w:val="24"/>
        </w:rPr>
        <w:t>供应商代表</w:t>
      </w:r>
      <w:r>
        <w:rPr>
          <w:rFonts w:hint="eastAsia" w:ascii="宋体" w:hAnsi="宋体"/>
          <w:sz w:val="24"/>
        </w:rPr>
        <w:t>”，指受投标供应商的法定代表人委托，办理本项目投标、质疑投诉、合同签订等整个采购活动的被授权委托人。授权代表应当为投标供应商</w:t>
      </w:r>
      <w:r>
        <w:rPr>
          <w:rFonts w:hint="eastAsia" w:ascii="宋体" w:hAnsi="宋体" w:cs="Arial"/>
          <w:bCs/>
          <w:sz w:val="24"/>
        </w:rPr>
        <w:t>（包括授权供应商）的在职职工或退休返聘职工。</w:t>
      </w:r>
      <w:r>
        <w:rPr>
          <w:rFonts w:hint="eastAsia" w:ascii="宋体" w:hAnsi="宋体"/>
          <w:sz w:val="24"/>
        </w:rPr>
        <w:t>个体工商户参与投标的，经营者等同于法定代表人。</w:t>
      </w:r>
    </w:p>
    <w:p>
      <w:pPr>
        <w:snapToGrid w:val="0"/>
        <w:spacing w:line="440" w:lineRule="exact"/>
        <w:jc w:val="left"/>
        <w:rPr>
          <w:rFonts w:ascii="宋体" w:hAnsi="宋体"/>
          <w:sz w:val="24"/>
        </w:rPr>
      </w:pPr>
      <w:r>
        <w:rPr>
          <w:rFonts w:hint="eastAsia" w:ascii="宋体" w:hAnsi="宋体"/>
          <w:sz w:val="24"/>
        </w:rPr>
        <w:t>2.7“</w:t>
      </w:r>
      <w:r>
        <w:rPr>
          <w:rFonts w:hint="eastAsia" w:ascii="宋体" w:hAnsi="宋体"/>
          <w:b/>
          <w:bCs/>
          <w:sz w:val="24"/>
        </w:rPr>
        <w:t>实质性响应条款</w:t>
      </w:r>
      <w:r>
        <w:rPr>
          <w:rFonts w:hint="eastAsia" w:ascii="宋体" w:hAnsi="宋体"/>
          <w:sz w:val="24"/>
        </w:rPr>
        <w:t>”：供应商必须响应的条款，未响应的作无效投标处理。在本采购文件中，实质性响应条款前标注“★”符号。</w:t>
      </w:r>
    </w:p>
    <w:p>
      <w:pPr>
        <w:snapToGrid w:val="0"/>
        <w:spacing w:line="440" w:lineRule="exact"/>
        <w:jc w:val="left"/>
        <w:rPr>
          <w:rFonts w:ascii="宋体" w:hAnsi="宋体"/>
          <w:sz w:val="24"/>
        </w:rPr>
      </w:pPr>
      <w:r>
        <w:rPr>
          <w:rFonts w:hint="eastAsia" w:ascii="宋体" w:hAnsi="宋体"/>
          <w:sz w:val="24"/>
        </w:rPr>
        <w:t>2.8“</w:t>
      </w:r>
      <w:r>
        <w:rPr>
          <w:rFonts w:hint="eastAsia" w:ascii="宋体" w:hAnsi="宋体"/>
          <w:b/>
          <w:bCs/>
          <w:sz w:val="24"/>
        </w:rPr>
        <w:t>供应商公章</w:t>
      </w:r>
      <w:r>
        <w:rPr>
          <w:rFonts w:hint="eastAsia" w:ascii="宋体" w:hAnsi="宋体"/>
          <w:sz w:val="24"/>
        </w:rPr>
        <w:t>”指供应商法定名称章（或其电子签章）。</w:t>
      </w:r>
    </w:p>
    <w:p>
      <w:pPr>
        <w:snapToGrid w:val="0"/>
        <w:spacing w:line="440" w:lineRule="exact"/>
        <w:jc w:val="left"/>
        <w:rPr>
          <w:rFonts w:ascii="宋体" w:hAnsi="宋体"/>
          <w:sz w:val="24"/>
        </w:rPr>
      </w:pPr>
      <w:r>
        <w:rPr>
          <w:rFonts w:hint="eastAsia" w:ascii="宋体" w:hAnsi="宋体"/>
          <w:sz w:val="24"/>
        </w:rPr>
        <w:t>2.9“</w:t>
      </w:r>
      <w:r>
        <w:rPr>
          <w:rFonts w:hint="eastAsia" w:ascii="宋体" w:hAnsi="宋体"/>
          <w:b/>
          <w:bCs/>
          <w:sz w:val="24"/>
        </w:rPr>
        <w:t>投标有效期</w:t>
      </w:r>
      <w:r>
        <w:rPr>
          <w:rFonts w:hint="eastAsia" w:ascii="宋体" w:hAnsi="宋体"/>
          <w:sz w:val="24"/>
        </w:rPr>
        <w:t>”指采购文件中规定的一个适当时间，投标有效期内需完成开评标以及与中标人签订合同</w:t>
      </w:r>
      <w:r>
        <w:rPr>
          <w:rFonts w:ascii="宋体" w:hAnsi="宋体"/>
          <w:sz w:val="24"/>
        </w:rPr>
        <w:t>等</w:t>
      </w:r>
      <w:r>
        <w:rPr>
          <w:rFonts w:hint="eastAsia" w:ascii="宋体" w:hAnsi="宋体"/>
          <w:sz w:val="24"/>
        </w:rPr>
        <w:t>事宜。</w:t>
      </w:r>
    </w:p>
    <w:p>
      <w:pPr>
        <w:snapToGrid w:val="0"/>
        <w:spacing w:line="440" w:lineRule="exact"/>
        <w:jc w:val="left"/>
        <w:rPr>
          <w:rFonts w:ascii="宋体" w:hAnsi="宋体"/>
          <w:b/>
          <w:bCs/>
          <w:sz w:val="24"/>
        </w:rPr>
      </w:pPr>
      <w:r>
        <w:rPr>
          <w:rFonts w:ascii="宋体" w:hAnsi="宋体"/>
          <w:b/>
          <w:bCs/>
          <w:sz w:val="24"/>
        </w:rPr>
        <w:t>3、本项目执行的采购政策性规定</w:t>
      </w:r>
    </w:p>
    <w:p>
      <w:pPr>
        <w:snapToGrid w:val="0"/>
        <w:spacing w:line="440" w:lineRule="exact"/>
        <w:jc w:val="left"/>
        <w:rPr>
          <w:rFonts w:ascii="宋体" w:hAnsi="宋体"/>
          <w:sz w:val="24"/>
        </w:rPr>
      </w:pPr>
      <w:r>
        <w:rPr>
          <w:rFonts w:ascii="宋体" w:hAnsi="宋体"/>
          <w:b/>
          <w:bCs/>
          <w:sz w:val="24"/>
        </w:rPr>
        <w:t>3.1采购本国产品</w:t>
      </w:r>
    </w:p>
    <w:p>
      <w:pPr>
        <w:snapToGrid w:val="0"/>
        <w:spacing w:line="440" w:lineRule="exact"/>
        <w:ind w:firstLine="480" w:firstLineChars="200"/>
        <w:jc w:val="left"/>
        <w:rPr>
          <w:rFonts w:ascii="宋体" w:hAnsi="宋体"/>
          <w:sz w:val="24"/>
        </w:rPr>
      </w:pPr>
      <w:r>
        <w:rPr>
          <w:rFonts w:ascii="宋体" w:hAnsi="宋体"/>
          <w:sz w:val="24"/>
        </w:rPr>
        <w:t>一般不采购进口产品，确需采购的，不得限制潜在国产的同类产品参与投标，即</w:t>
      </w:r>
      <w:r>
        <w:rPr>
          <w:rFonts w:hint="eastAsia" w:ascii="宋体" w:hAnsi="宋体"/>
          <w:sz w:val="24"/>
        </w:rPr>
        <w:t>“</w:t>
      </w:r>
      <w:r>
        <w:rPr>
          <w:rFonts w:ascii="宋体" w:hAnsi="宋体"/>
          <w:sz w:val="24"/>
        </w:rPr>
        <w:t>进口</w:t>
      </w:r>
      <w:r>
        <w:rPr>
          <w:rFonts w:hint="eastAsia" w:ascii="宋体" w:hAnsi="宋体"/>
          <w:sz w:val="24"/>
        </w:rPr>
        <w:t>”</w:t>
      </w:r>
      <w:r>
        <w:rPr>
          <w:rFonts w:ascii="宋体" w:hAnsi="宋体"/>
          <w:sz w:val="24"/>
        </w:rPr>
        <w:t>不得作为实质性响应条件。</w:t>
      </w:r>
    </w:p>
    <w:p>
      <w:pPr>
        <w:snapToGrid w:val="0"/>
        <w:spacing w:line="440" w:lineRule="exact"/>
        <w:jc w:val="left"/>
        <w:rPr>
          <w:rFonts w:ascii="宋体" w:hAnsi="宋体"/>
          <w:sz w:val="24"/>
        </w:rPr>
      </w:pPr>
      <w:r>
        <w:rPr>
          <w:rFonts w:ascii="宋体" w:hAnsi="宋体"/>
          <w:b/>
          <w:bCs/>
          <w:sz w:val="24"/>
        </w:rPr>
        <w:t>3.2扶持中小企业</w:t>
      </w:r>
    </w:p>
    <w:p>
      <w:pPr>
        <w:snapToGrid w:val="0"/>
        <w:spacing w:line="420" w:lineRule="exact"/>
        <w:ind w:firstLine="360" w:firstLineChars="150"/>
        <w:rPr>
          <w:rFonts w:ascii="宋体" w:hAnsi="宋体"/>
          <w:b/>
          <w:bCs/>
          <w:sz w:val="24"/>
        </w:rPr>
      </w:pPr>
      <w:r>
        <w:rPr>
          <w:rFonts w:ascii="宋体" w:hAnsi="宋体"/>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w:t>
      </w:r>
      <w:r>
        <w:rPr>
          <w:rFonts w:ascii="宋体" w:hAnsi="宋体"/>
          <w:b/>
          <w:bCs/>
          <w:sz w:val="24"/>
        </w:rPr>
        <w:t>服务类项目则供应商为小型、微型企业即可享受评审价格折扣。</w:t>
      </w:r>
    </w:p>
    <w:p>
      <w:pPr>
        <w:snapToGrid w:val="0"/>
        <w:spacing w:line="420" w:lineRule="exact"/>
        <w:ind w:firstLine="360" w:firstLineChars="150"/>
        <w:rPr>
          <w:rFonts w:ascii="宋体" w:hAnsi="宋体"/>
          <w:sz w:val="24"/>
        </w:rPr>
      </w:pPr>
      <w:r>
        <w:rPr>
          <w:rFonts w:ascii="宋体" w:hAnsi="宋体"/>
          <w:sz w:val="24"/>
        </w:rPr>
        <w:t>中小微型企业按照采购文件的格式要求提供《中小企业声明函》及其证明材料。</w:t>
      </w:r>
    </w:p>
    <w:p>
      <w:pPr>
        <w:snapToGrid w:val="0"/>
        <w:spacing w:line="420" w:lineRule="exact"/>
        <w:ind w:firstLine="360" w:firstLineChars="150"/>
        <w:rPr>
          <w:rFonts w:ascii="宋体" w:hAnsi="宋体"/>
          <w:sz w:val="24"/>
        </w:rPr>
      </w:pPr>
      <w:r>
        <w:rPr>
          <w:rFonts w:ascii="宋体" w:hAnsi="宋体"/>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宋体" w:hAnsi="宋体"/>
          <w:sz w:val="24"/>
        </w:rPr>
      </w:pPr>
      <w:r>
        <w:rPr>
          <w:rFonts w:ascii="宋体" w:hAnsi="宋体"/>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宋体" w:hAnsi="宋体"/>
          <w:sz w:val="24"/>
        </w:rPr>
      </w:pPr>
      <w:r>
        <w:rPr>
          <w:rFonts w:ascii="宋体" w:hAnsi="宋体"/>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ascii="宋体" w:hAnsi="宋体" w:cs="仿宋_GB2312"/>
          <w:b/>
          <w:bCs/>
          <w:sz w:val="24"/>
        </w:rPr>
      </w:pPr>
      <w:r>
        <w:rPr>
          <w:rFonts w:hint="eastAsia" w:ascii="宋体" w:hAnsi="宋体" w:cs="仿宋_GB2312"/>
          <w:b/>
          <w:bCs/>
          <w:sz w:val="24"/>
        </w:rPr>
        <w:t>3.3节能环保政策</w:t>
      </w:r>
    </w:p>
    <w:p>
      <w:pPr>
        <w:snapToGrid w:val="0"/>
        <w:spacing w:line="420" w:lineRule="exact"/>
        <w:ind w:firstLine="360" w:firstLineChars="150"/>
        <w:rPr>
          <w:rFonts w:ascii="宋体" w:hAnsi="宋体" w:cs="仿宋_GB2312"/>
          <w:sz w:val="24"/>
        </w:rPr>
      </w:pPr>
      <w:r>
        <w:rPr>
          <w:rFonts w:hint="eastAsia" w:ascii="宋体" w:hAnsi="宋体"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宋体" w:hAnsi="宋体"/>
          <w:sz w:val="24"/>
        </w:rPr>
      </w:pPr>
      <w:r>
        <w:rPr>
          <w:rFonts w:hint="eastAsia" w:ascii="宋体" w:hAnsi="宋体"/>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宋体" w:hAnsi="宋体"/>
          <w:b/>
          <w:bCs/>
          <w:sz w:val="24"/>
        </w:rPr>
      </w:pPr>
      <w:r>
        <w:rPr>
          <w:rFonts w:ascii="宋体" w:hAnsi="宋体"/>
          <w:b/>
          <w:bCs/>
          <w:sz w:val="24"/>
        </w:rPr>
        <w:t>4.采购文件的澄清与修改</w:t>
      </w:r>
    </w:p>
    <w:p>
      <w:pPr>
        <w:pStyle w:val="13"/>
        <w:widowControl w:val="0"/>
        <w:spacing w:afterLines="0" w:line="440" w:lineRule="exact"/>
        <w:ind w:left="0" w:firstLine="0"/>
        <w:rPr>
          <w:rFonts w:ascii="宋体" w:hAnsi="宋体"/>
        </w:rPr>
      </w:pPr>
      <w:r>
        <w:rPr>
          <w:rFonts w:hint="eastAsia" w:ascii="宋体" w:hAnsi="宋体"/>
        </w:rPr>
        <w:t>4.1</w:t>
      </w:r>
      <w:r>
        <w:rPr>
          <w:rFonts w:ascii="宋体" w:hAnsi="宋体"/>
        </w:rPr>
        <w:t>采购人</w:t>
      </w:r>
      <w:r>
        <w:rPr>
          <w:rFonts w:hint="eastAsia" w:ascii="宋体" w:hAnsi="宋体"/>
        </w:rPr>
        <w:t>如对采购文件进行澄清、</w:t>
      </w:r>
      <w:r>
        <w:rPr>
          <w:rFonts w:ascii="宋体" w:hAnsi="宋体"/>
        </w:rPr>
        <w:t>补充、变更</w:t>
      </w:r>
      <w:r>
        <w:rPr>
          <w:rFonts w:hint="eastAsia" w:ascii="宋体" w:hAnsi="宋体"/>
        </w:rPr>
        <w:t>的，或者在投标截止时间前规定时间内，招标人需要对采购文件进行补充或修改的，</w:t>
      </w:r>
      <w:r>
        <w:rPr>
          <w:rFonts w:ascii="宋体" w:hAnsi="宋体"/>
        </w:rPr>
        <w:t>采购</w:t>
      </w:r>
      <w:r>
        <w:rPr>
          <w:rFonts w:hint="eastAsia" w:ascii="宋体" w:hAnsi="宋体"/>
        </w:rPr>
        <w:t>人将会</w:t>
      </w:r>
      <w:r>
        <w:rPr>
          <w:rFonts w:ascii="宋体" w:hAnsi="宋体"/>
        </w:rPr>
        <w:t>通过</w:t>
      </w:r>
      <w:r>
        <w:rPr>
          <w:rFonts w:ascii="宋体" w:hAnsi="宋体" w:cs="Arial"/>
          <w:spacing w:val="-4"/>
        </w:rPr>
        <w:t>浙江政府采购网http://zfcg.czt.zj.gov.cn/ 和绍兴市越城区人民政府网站公共资源交易板块http://www.sxyc.gov.cn/col/col1559777/index.html</w:t>
      </w:r>
      <w:r>
        <w:rPr>
          <w:rFonts w:hint="eastAsia" w:ascii="宋体" w:hAnsi="宋体"/>
        </w:rPr>
        <w:t>以更正公告的形式发布，公告中没有注明更改投标截止时间的视为截止时间不变。更正公告作为采购文件的补充和组成部分，对所有供应商均有约束力。</w:t>
      </w:r>
      <w:r>
        <w:rPr>
          <w:rFonts w:hint="eastAsia" w:ascii="宋体" w:hAnsi="宋体" w:cs="Arial"/>
          <w:bCs/>
        </w:rPr>
        <w:t>请自行登录</w:t>
      </w:r>
      <w:r>
        <w:rPr>
          <w:rFonts w:ascii="宋体" w:hAnsi="宋体" w:cs="Arial"/>
          <w:bCs/>
        </w:rPr>
        <w:t>区交易</w:t>
      </w:r>
      <w:r>
        <w:rPr>
          <w:rFonts w:hint="eastAsia" w:ascii="宋体" w:hAnsi="宋体" w:cs="Arial"/>
          <w:bCs/>
        </w:rPr>
        <w:t>平台或在浙江政府采购网更正公告页面或越城区人民政府门户网站采购公告页面中下载。</w:t>
      </w:r>
    </w:p>
    <w:p>
      <w:pPr>
        <w:snapToGrid w:val="0"/>
        <w:spacing w:line="440" w:lineRule="exact"/>
        <w:jc w:val="left"/>
        <w:rPr>
          <w:rFonts w:ascii="宋体" w:hAnsi="宋体"/>
          <w:sz w:val="24"/>
        </w:rPr>
      </w:pPr>
      <w:r>
        <w:rPr>
          <w:rFonts w:hint="eastAsia" w:ascii="宋体" w:hAnsi="宋体"/>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宋体" w:hAnsi="宋体"/>
          <w:b/>
          <w:bCs/>
          <w:sz w:val="24"/>
        </w:rPr>
      </w:pPr>
      <w:r>
        <w:rPr>
          <w:rFonts w:ascii="宋体" w:hAnsi="宋体"/>
          <w:b/>
          <w:bCs/>
          <w:sz w:val="24"/>
        </w:rPr>
        <w:t>5、参考品牌</w:t>
      </w:r>
    </w:p>
    <w:p>
      <w:pPr>
        <w:snapToGrid w:val="0"/>
        <w:spacing w:line="440" w:lineRule="exact"/>
        <w:ind w:firstLine="480" w:firstLineChars="200"/>
        <w:jc w:val="left"/>
        <w:rPr>
          <w:rFonts w:ascii="宋体" w:hAnsi="宋体"/>
          <w:sz w:val="24"/>
        </w:rPr>
      </w:pPr>
      <w:r>
        <w:rPr>
          <w:rFonts w:hint="eastAsia" w:ascii="宋体" w:hAnsi="宋体"/>
          <w:sz w:val="24"/>
        </w:rPr>
        <w:t>本采购文件如涉及各类品牌、型号，则所述品牌、型号是结合实际现有情况的推荐性参考方案，供应商也可根据采购文件得要求推荐性能相当或高于、服务条款相等或高于、符合</w:t>
      </w:r>
      <w:r>
        <w:rPr>
          <w:rFonts w:ascii="宋体" w:hAnsi="宋体"/>
          <w:sz w:val="24"/>
        </w:rPr>
        <w:t>采购人</w:t>
      </w:r>
      <w:r>
        <w:rPr>
          <w:rFonts w:hint="eastAsia" w:ascii="宋体" w:hAnsi="宋体"/>
          <w:sz w:val="24"/>
        </w:rPr>
        <w:t>实际业务需求其他同档次优质品牌的产品，进行方案优化。</w:t>
      </w:r>
    </w:p>
    <w:p>
      <w:pPr>
        <w:pStyle w:val="3"/>
        <w:numPr>
          <w:ilvl w:val="0"/>
          <w:numId w:val="0"/>
        </w:numPr>
        <w:ind w:left="992"/>
        <w:jc w:val="center"/>
        <w:rPr>
          <w:rFonts w:ascii="宋体" w:hAnsi="宋体" w:eastAsia="宋体"/>
        </w:rPr>
      </w:pPr>
      <w:bookmarkStart w:id="6" w:name="_Toc83838331"/>
      <w:r>
        <w:rPr>
          <w:rFonts w:ascii="宋体" w:hAnsi="宋体" w:eastAsia="宋体"/>
        </w:rPr>
        <w:t>三、投标文件</w:t>
      </w:r>
      <w:bookmarkEnd w:id="6"/>
    </w:p>
    <w:p>
      <w:pPr>
        <w:numPr>
          <w:ilvl w:val="0"/>
          <w:numId w:val="10"/>
        </w:numPr>
        <w:snapToGrid w:val="0"/>
        <w:spacing w:line="440" w:lineRule="exact"/>
        <w:jc w:val="left"/>
        <w:rPr>
          <w:rFonts w:ascii="宋体" w:hAnsi="宋体"/>
          <w:b/>
          <w:sz w:val="24"/>
        </w:rPr>
      </w:pPr>
      <w:r>
        <w:rPr>
          <w:rFonts w:hint="eastAsia" w:ascii="宋体" w:hAnsi="宋体"/>
          <w:b/>
          <w:sz w:val="24"/>
        </w:rPr>
        <w:t>投标文件的语言</w:t>
      </w:r>
      <w:r>
        <w:rPr>
          <w:rFonts w:ascii="宋体" w:hAnsi="宋体"/>
          <w:b/>
          <w:sz w:val="24"/>
        </w:rPr>
        <w:t>及货币单位</w:t>
      </w:r>
    </w:p>
    <w:p>
      <w:pPr>
        <w:snapToGrid w:val="0"/>
        <w:spacing w:line="440" w:lineRule="exact"/>
        <w:jc w:val="left"/>
        <w:rPr>
          <w:rFonts w:ascii="宋体" w:hAnsi="宋体"/>
          <w:sz w:val="24"/>
        </w:rPr>
      </w:pPr>
      <w:r>
        <w:rPr>
          <w:rFonts w:hint="eastAsia" w:ascii="宋体" w:hAnsi="宋体"/>
          <w:sz w:val="24"/>
        </w:rPr>
        <w:t>1.1</w:t>
      </w:r>
      <w:r>
        <w:rPr>
          <w:rFonts w:ascii="宋体" w:hAnsi="宋体"/>
          <w:sz w:val="24"/>
        </w:rPr>
        <w:t>投标文件以及</w:t>
      </w:r>
      <w:r>
        <w:rPr>
          <w:rFonts w:hint="eastAsia" w:ascii="宋体" w:hAnsi="宋体"/>
          <w:sz w:val="24"/>
        </w:rPr>
        <w:t>有关投标事宜的所有来往函电</w:t>
      </w:r>
      <w:r>
        <w:rPr>
          <w:rFonts w:ascii="宋体" w:hAnsi="宋体"/>
          <w:sz w:val="24"/>
        </w:rPr>
        <w:t>均应以中文书写，专业术语和外文证明材料除外。</w:t>
      </w:r>
    </w:p>
    <w:p>
      <w:pPr>
        <w:snapToGrid w:val="0"/>
        <w:spacing w:line="440" w:lineRule="exact"/>
        <w:jc w:val="left"/>
        <w:rPr>
          <w:rFonts w:ascii="宋体" w:hAnsi="宋体"/>
          <w:sz w:val="24"/>
        </w:rPr>
      </w:pPr>
      <w:r>
        <w:rPr>
          <w:rFonts w:hint="eastAsia" w:ascii="宋体" w:hAnsi="宋体"/>
          <w:sz w:val="24"/>
        </w:rPr>
        <w:t>1.2投标文件以人民币元报价或以下浮率（优惠率）报价，具体详见《开标一览表》。</w:t>
      </w:r>
    </w:p>
    <w:p>
      <w:pPr>
        <w:numPr>
          <w:ilvl w:val="0"/>
          <w:numId w:val="10"/>
        </w:numPr>
        <w:snapToGrid w:val="0"/>
        <w:spacing w:line="440" w:lineRule="exact"/>
        <w:jc w:val="left"/>
        <w:rPr>
          <w:rFonts w:ascii="宋体" w:hAnsi="宋体"/>
          <w:b/>
          <w:sz w:val="24"/>
        </w:rPr>
      </w:pPr>
      <w:r>
        <w:rPr>
          <w:rFonts w:hint="eastAsia" w:ascii="宋体" w:hAnsi="宋体"/>
          <w:b/>
          <w:sz w:val="24"/>
        </w:rPr>
        <w:t>投标文件的</w:t>
      </w:r>
      <w:r>
        <w:rPr>
          <w:rFonts w:ascii="宋体" w:hAnsi="宋体"/>
          <w:b/>
          <w:sz w:val="24"/>
        </w:rPr>
        <w:t>组成</w:t>
      </w:r>
    </w:p>
    <w:p>
      <w:pPr>
        <w:snapToGrid w:val="0"/>
        <w:spacing w:line="440" w:lineRule="exact"/>
        <w:ind w:firstLine="479"/>
        <w:jc w:val="left"/>
        <w:rPr>
          <w:rFonts w:ascii="宋体" w:hAnsi="宋体"/>
          <w:sz w:val="24"/>
        </w:rPr>
      </w:pPr>
      <w:r>
        <w:rPr>
          <w:rFonts w:ascii="宋体" w:hAnsi="宋体"/>
          <w:sz w:val="24"/>
        </w:rPr>
        <w:t>本项目投标文件由</w:t>
      </w:r>
      <w:r>
        <w:rPr>
          <w:rFonts w:hint="eastAsia" w:ascii="宋体" w:hAnsi="宋体"/>
          <w:sz w:val="24"/>
        </w:rPr>
        <w:t>“</w:t>
      </w:r>
      <w:r>
        <w:rPr>
          <w:rFonts w:ascii="宋体" w:hAnsi="宋体"/>
          <w:sz w:val="24"/>
        </w:rPr>
        <w:t>资格条件</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商务和技术文件</w:t>
      </w:r>
      <w:r>
        <w:rPr>
          <w:rFonts w:hint="eastAsia" w:ascii="宋体" w:hAnsi="宋体"/>
          <w:sz w:val="24"/>
        </w:rPr>
        <w:t>”、“</w:t>
      </w:r>
      <w:r>
        <w:rPr>
          <w:rFonts w:ascii="宋体" w:hAnsi="宋体"/>
          <w:sz w:val="24"/>
        </w:rPr>
        <w:t>报价文件</w:t>
      </w:r>
      <w:r>
        <w:rPr>
          <w:rFonts w:hint="eastAsia" w:ascii="宋体" w:hAnsi="宋体"/>
          <w:sz w:val="24"/>
        </w:rPr>
        <w:t>”</w:t>
      </w:r>
      <w:r>
        <w:rPr>
          <w:rFonts w:ascii="宋体" w:hAnsi="宋体"/>
          <w:sz w:val="24"/>
        </w:rPr>
        <w:t>三部分组成：</w:t>
      </w:r>
    </w:p>
    <w:p>
      <w:pPr>
        <w:snapToGrid w:val="0"/>
        <w:spacing w:line="440" w:lineRule="exact"/>
        <w:jc w:val="left"/>
        <w:rPr>
          <w:rFonts w:ascii="宋体" w:hAnsi="宋体"/>
          <w:b/>
          <w:bCs/>
          <w:sz w:val="24"/>
        </w:rPr>
      </w:pPr>
      <w:r>
        <w:rPr>
          <w:rFonts w:hint="eastAsia" w:ascii="宋体" w:hAnsi="宋体"/>
          <w:b/>
          <w:bCs/>
          <w:sz w:val="24"/>
        </w:rPr>
        <w:t>2.1“资格文件”包括以下内容：</w:t>
      </w:r>
    </w:p>
    <w:p>
      <w:pPr>
        <w:snapToGrid w:val="0"/>
        <w:spacing w:line="440" w:lineRule="exact"/>
        <w:jc w:val="left"/>
        <w:rPr>
          <w:rFonts w:ascii="宋体" w:hAnsi="宋体"/>
          <w:sz w:val="24"/>
        </w:rPr>
      </w:pPr>
      <w:r>
        <w:rPr>
          <w:rFonts w:hint="eastAsia" w:ascii="宋体" w:hAnsi="宋体"/>
          <w:sz w:val="24"/>
        </w:rPr>
        <w:t>2.1.1投标声明函；</w:t>
      </w:r>
    </w:p>
    <w:p>
      <w:pPr>
        <w:snapToGrid w:val="0"/>
        <w:spacing w:line="440" w:lineRule="exact"/>
        <w:jc w:val="left"/>
        <w:rPr>
          <w:rFonts w:ascii="宋体" w:hAnsi="宋体"/>
          <w:sz w:val="24"/>
        </w:rPr>
      </w:pPr>
      <w:r>
        <w:rPr>
          <w:rFonts w:hint="eastAsia" w:ascii="宋体" w:hAnsi="宋体"/>
          <w:sz w:val="24"/>
        </w:rPr>
        <w:t>2.1.2联合体协议书（如有）；</w:t>
      </w:r>
    </w:p>
    <w:p>
      <w:pPr>
        <w:snapToGrid w:val="0"/>
        <w:spacing w:line="440" w:lineRule="exact"/>
        <w:jc w:val="left"/>
        <w:rPr>
          <w:rFonts w:ascii="宋体" w:hAnsi="宋体"/>
          <w:sz w:val="24"/>
        </w:rPr>
      </w:pPr>
      <w:r>
        <w:rPr>
          <w:rFonts w:hint="eastAsia" w:ascii="宋体" w:hAnsi="宋体"/>
          <w:sz w:val="24"/>
        </w:rPr>
        <w:t>2.1.3法定代表人授权委托书（</w:t>
      </w:r>
      <w:r>
        <w:rPr>
          <w:rFonts w:ascii="宋体" w:hAnsi="宋体"/>
          <w:sz w:val="24"/>
        </w:rPr>
        <w:t>法定代表人可以不授权他人参与投标；</w:t>
      </w:r>
      <w:r>
        <w:rPr>
          <w:rFonts w:hint="eastAsia" w:ascii="宋体" w:hAnsi="宋体"/>
          <w:sz w:val="24"/>
        </w:rPr>
        <w:t>个体工商户需经营者参与投标，不得授权）（格式见第六章)；需附上</w:t>
      </w:r>
      <w:r>
        <w:rPr>
          <w:rFonts w:hint="eastAsia" w:ascii="宋体" w:hAnsi="宋体" w:cs="Arial"/>
          <w:bCs/>
          <w:sz w:val="24"/>
        </w:rPr>
        <w:t>由社保机构出具的该授权代表的社保证明</w:t>
      </w:r>
      <w:r>
        <w:rPr>
          <w:rFonts w:ascii="宋体" w:hAnsi="宋体" w:cs="Arial"/>
          <w:bCs/>
          <w:sz w:val="24"/>
        </w:rPr>
        <w:t>。</w:t>
      </w:r>
    </w:p>
    <w:p>
      <w:pPr>
        <w:snapToGrid w:val="0"/>
        <w:spacing w:line="440" w:lineRule="exact"/>
        <w:jc w:val="left"/>
        <w:rPr>
          <w:rFonts w:ascii="宋体" w:hAnsi="宋体"/>
          <w:sz w:val="24"/>
        </w:rPr>
      </w:pPr>
      <w:r>
        <w:rPr>
          <w:rFonts w:hint="eastAsia" w:ascii="宋体" w:hAnsi="宋体"/>
          <w:sz w:val="24"/>
        </w:rPr>
        <w:t>2.1.4法定代表人及其授权代表的身份证</w:t>
      </w:r>
      <w:r>
        <w:rPr>
          <w:rFonts w:ascii="宋体" w:hAnsi="宋体"/>
          <w:sz w:val="24"/>
        </w:rPr>
        <w:t>（复印件）</w:t>
      </w:r>
      <w:r>
        <w:rPr>
          <w:rFonts w:hint="eastAsia" w:ascii="宋体" w:hAnsi="宋体"/>
          <w:sz w:val="24"/>
        </w:rPr>
        <w:t>；</w:t>
      </w:r>
    </w:p>
    <w:p>
      <w:pPr>
        <w:snapToGrid w:val="0"/>
        <w:spacing w:line="440" w:lineRule="exact"/>
        <w:jc w:val="left"/>
        <w:rPr>
          <w:rFonts w:ascii="宋体" w:hAnsi="宋体"/>
          <w:sz w:val="24"/>
        </w:rPr>
      </w:pPr>
      <w:r>
        <w:rPr>
          <w:rFonts w:hint="eastAsia" w:ascii="宋体" w:hAnsi="宋体"/>
          <w:sz w:val="24"/>
        </w:rPr>
        <w:t>2.1.5 资格条件证明材料</w:t>
      </w:r>
      <w:r>
        <w:rPr>
          <w:rFonts w:ascii="宋体" w:hAnsi="宋体"/>
          <w:sz w:val="24"/>
        </w:rPr>
        <w:t>（复印件）</w:t>
      </w:r>
      <w:r>
        <w:rPr>
          <w:rFonts w:hint="eastAsia" w:ascii="宋体" w:hAnsi="宋体"/>
          <w:sz w:val="24"/>
        </w:rPr>
        <w:t>：</w:t>
      </w:r>
    </w:p>
    <w:p>
      <w:pPr>
        <w:snapToGrid w:val="0"/>
        <w:spacing w:line="440" w:lineRule="exact"/>
        <w:ind w:firstLine="600" w:firstLineChars="250"/>
        <w:jc w:val="left"/>
        <w:rPr>
          <w:rFonts w:ascii="宋体" w:hAnsi="宋体"/>
          <w:sz w:val="24"/>
        </w:rPr>
      </w:pPr>
      <w:r>
        <w:rPr>
          <w:rFonts w:hint="eastAsia" w:ascii="宋体" w:hAnsi="宋体"/>
          <w:sz w:val="24"/>
        </w:rPr>
        <w:t>2.1.5.1营业执照或事业单位法人登记证书；</w:t>
      </w:r>
    </w:p>
    <w:p>
      <w:pPr>
        <w:snapToGrid w:val="0"/>
        <w:spacing w:line="440" w:lineRule="exact"/>
        <w:ind w:firstLine="600" w:firstLineChars="250"/>
        <w:jc w:val="left"/>
        <w:rPr>
          <w:rFonts w:ascii="宋体" w:hAnsi="宋体"/>
          <w:sz w:val="24"/>
        </w:rPr>
      </w:pPr>
      <w:r>
        <w:rPr>
          <w:rFonts w:hint="eastAsia" w:ascii="宋体" w:hAnsi="宋体"/>
          <w:sz w:val="24"/>
        </w:rPr>
        <w:t>2.1.5.2最近一期财务状况报告；</w:t>
      </w:r>
    </w:p>
    <w:p>
      <w:pPr>
        <w:snapToGrid w:val="0"/>
        <w:spacing w:line="440" w:lineRule="exact"/>
        <w:ind w:firstLine="600" w:firstLineChars="250"/>
        <w:jc w:val="left"/>
        <w:rPr>
          <w:rFonts w:ascii="宋体" w:hAnsi="宋体"/>
          <w:sz w:val="24"/>
        </w:rPr>
      </w:pPr>
      <w:r>
        <w:rPr>
          <w:rFonts w:hint="eastAsia" w:ascii="宋体" w:hAnsi="宋体"/>
          <w:sz w:val="24"/>
        </w:rPr>
        <w:t>2.1.5.3依法缴纳税收材料（完税凭证或税务部门出具的证明）；</w:t>
      </w:r>
    </w:p>
    <w:p>
      <w:pPr>
        <w:snapToGrid w:val="0"/>
        <w:spacing w:line="440" w:lineRule="exact"/>
        <w:ind w:firstLine="600" w:firstLineChars="250"/>
        <w:jc w:val="left"/>
        <w:rPr>
          <w:rFonts w:ascii="宋体" w:hAnsi="宋体"/>
          <w:sz w:val="24"/>
        </w:rPr>
      </w:pPr>
      <w:r>
        <w:rPr>
          <w:rFonts w:hint="eastAsia" w:ascii="宋体" w:hAnsi="宋体"/>
          <w:sz w:val="24"/>
        </w:rPr>
        <w:t>2.1.5.4依法缴纳社会保障资金材料（缴纳凭证或人社部门出具的证明）；</w:t>
      </w:r>
    </w:p>
    <w:p>
      <w:pPr>
        <w:snapToGrid w:val="0"/>
        <w:spacing w:line="440" w:lineRule="exact"/>
        <w:ind w:firstLine="600" w:firstLineChars="250"/>
        <w:jc w:val="left"/>
        <w:rPr>
          <w:rFonts w:ascii="宋体" w:hAnsi="宋体"/>
          <w:sz w:val="24"/>
        </w:rPr>
      </w:pPr>
      <w:r>
        <w:rPr>
          <w:rFonts w:hint="eastAsia" w:ascii="宋体" w:hAnsi="宋体"/>
          <w:sz w:val="24"/>
        </w:rPr>
        <w:t>2.1.5.5特定资格条件证明材料（如有）。</w:t>
      </w:r>
    </w:p>
    <w:p>
      <w:pPr>
        <w:snapToGrid w:val="0"/>
        <w:spacing w:line="440" w:lineRule="exact"/>
        <w:jc w:val="left"/>
        <w:rPr>
          <w:rFonts w:ascii="宋体" w:hAnsi="宋体"/>
          <w:b/>
          <w:bCs/>
          <w:sz w:val="32"/>
          <w:szCs w:val="32"/>
          <w:u w:val="single"/>
          <w:shd w:val="solid" w:color="FFFF00" w:fill="FFFFFF"/>
        </w:rPr>
      </w:pPr>
      <w:r>
        <w:rPr>
          <w:rFonts w:hint="eastAsia" w:ascii="宋体" w:hAnsi="宋体"/>
          <w:b/>
          <w:bCs/>
          <w:sz w:val="32"/>
          <w:szCs w:val="32"/>
          <w:u w:val="single"/>
          <w:shd w:val="solid" w:color="FFFF00" w:fill="FFFFFF"/>
        </w:rPr>
        <w:t>注：“资格文件”需按采购文件</w:t>
      </w:r>
      <w:r>
        <w:rPr>
          <w:rFonts w:ascii="宋体" w:hAnsi="宋体"/>
          <w:b/>
          <w:bCs/>
          <w:sz w:val="32"/>
          <w:szCs w:val="32"/>
          <w:u w:val="single"/>
          <w:shd w:val="solid" w:color="FFFF00" w:fill="FFFFFF"/>
        </w:rPr>
        <w:t>要求的</w:t>
      </w:r>
      <w:r>
        <w:rPr>
          <w:rFonts w:hint="eastAsia" w:ascii="宋体" w:hAnsi="宋体"/>
          <w:b/>
          <w:bCs/>
          <w:sz w:val="32"/>
          <w:szCs w:val="32"/>
          <w:u w:val="single"/>
          <w:shd w:val="solid" w:color="FFFF00" w:fill="FFFFFF"/>
        </w:rPr>
        <w:t>格式</w:t>
      </w:r>
      <w:r>
        <w:rPr>
          <w:rFonts w:ascii="宋体" w:hAnsi="宋体"/>
          <w:b/>
          <w:bCs/>
          <w:sz w:val="32"/>
          <w:szCs w:val="32"/>
          <w:u w:val="single"/>
          <w:shd w:val="solid" w:color="FFFF00" w:fill="FFFFFF"/>
        </w:rPr>
        <w:t>、内容制作，复印件需加盖供应商公章。</w:t>
      </w:r>
    </w:p>
    <w:p>
      <w:pPr>
        <w:snapToGrid w:val="0"/>
        <w:spacing w:line="440" w:lineRule="exact"/>
        <w:jc w:val="left"/>
        <w:rPr>
          <w:rFonts w:ascii="宋体" w:hAnsi="宋体"/>
          <w:b/>
          <w:bCs/>
          <w:sz w:val="24"/>
        </w:rPr>
      </w:pPr>
      <w:r>
        <w:rPr>
          <w:rFonts w:hint="eastAsia" w:ascii="宋体" w:hAnsi="宋体"/>
          <w:b/>
          <w:bCs/>
          <w:sz w:val="24"/>
        </w:rPr>
        <w:t>2.2“商务和技术文件”包括以下内容：</w:t>
      </w:r>
    </w:p>
    <w:p>
      <w:pPr>
        <w:snapToGrid w:val="0"/>
        <w:spacing w:line="440" w:lineRule="exact"/>
        <w:jc w:val="left"/>
        <w:rPr>
          <w:rFonts w:ascii="宋体" w:hAnsi="宋体"/>
          <w:sz w:val="24"/>
        </w:rPr>
      </w:pPr>
      <w:r>
        <w:rPr>
          <w:rFonts w:ascii="宋体" w:hAnsi="宋体"/>
          <w:sz w:val="24"/>
        </w:rPr>
        <w:t>2.2.1评分对应表；</w:t>
      </w:r>
    </w:p>
    <w:p>
      <w:pPr>
        <w:snapToGrid w:val="0"/>
        <w:spacing w:line="440" w:lineRule="exact"/>
        <w:jc w:val="left"/>
        <w:rPr>
          <w:rFonts w:ascii="宋体" w:hAnsi="宋体"/>
          <w:sz w:val="24"/>
        </w:rPr>
      </w:pPr>
      <w:r>
        <w:rPr>
          <w:rFonts w:hint="eastAsia" w:ascii="宋体" w:hAnsi="宋体"/>
          <w:sz w:val="24"/>
        </w:rPr>
        <w:t>2.2.</w:t>
      </w:r>
      <w:r>
        <w:rPr>
          <w:rFonts w:ascii="宋体" w:hAnsi="宋体"/>
          <w:sz w:val="24"/>
        </w:rPr>
        <w:t>2</w:t>
      </w:r>
      <w:r>
        <w:rPr>
          <w:rFonts w:hint="eastAsia" w:ascii="宋体" w:hAnsi="宋体"/>
          <w:sz w:val="24"/>
        </w:rPr>
        <w:t>项目明细清单；</w:t>
      </w:r>
    </w:p>
    <w:p>
      <w:pPr>
        <w:snapToGrid w:val="0"/>
        <w:spacing w:line="440" w:lineRule="exact"/>
        <w:jc w:val="left"/>
        <w:rPr>
          <w:rFonts w:ascii="宋体" w:hAnsi="宋体"/>
          <w:sz w:val="24"/>
        </w:rPr>
      </w:pPr>
      <w:r>
        <w:rPr>
          <w:rFonts w:hint="eastAsia" w:ascii="宋体" w:hAnsi="宋体"/>
          <w:sz w:val="24"/>
        </w:rPr>
        <w:t>2.2.</w:t>
      </w:r>
      <w:r>
        <w:rPr>
          <w:rFonts w:ascii="宋体" w:hAnsi="宋体"/>
          <w:sz w:val="24"/>
        </w:rPr>
        <w:t>3</w:t>
      </w:r>
      <w:r>
        <w:rPr>
          <w:rFonts w:hint="eastAsia" w:ascii="宋体" w:hAnsi="宋体"/>
          <w:sz w:val="24"/>
        </w:rPr>
        <w:t>技术响应表（</w:t>
      </w:r>
      <w:r>
        <w:rPr>
          <w:rFonts w:hint="eastAsia" w:ascii="宋体" w:hAnsi="宋体" w:cs="仿宋_GB2312"/>
          <w:sz w:val="24"/>
        </w:rPr>
        <w:t>供应商在技术响应表中，</w:t>
      </w:r>
      <w:r>
        <w:rPr>
          <w:rFonts w:hint="eastAsia" w:ascii="宋体" w:hAnsi="宋体" w:cs="仿宋_GB2312"/>
          <w:kern w:val="0"/>
          <w:sz w:val="24"/>
          <w:lang w:val="zh-CN"/>
        </w:rPr>
        <w:t>应对</w:t>
      </w:r>
      <w:r>
        <w:rPr>
          <w:rFonts w:hint="eastAsia" w:ascii="宋体" w:hAnsi="宋体" w:cs="仿宋_GB2312"/>
          <w:sz w:val="24"/>
        </w:rPr>
        <w:t>采购需求中的各项技术规范</w:t>
      </w:r>
      <w:r>
        <w:rPr>
          <w:rFonts w:hint="eastAsia" w:ascii="宋体" w:hAnsi="宋体" w:cs="仿宋_GB2312"/>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宋体" w:hAnsi="宋体"/>
          <w:sz w:val="24"/>
        </w:rPr>
        <w:t>）；</w:t>
      </w:r>
    </w:p>
    <w:p>
      <w:pPr>
        <w:snapToGrid w:val="0"/>
        <w:spacing w:line="440" w:lineRule="exact"/>
        <w:jc w:val="left"/>
        <w:rPr>
          <w:rFonts w:ascii="宋体" w:hAnsi="宋体"/>
          <w:sz w:val="24"/>
        </w:rPr>
      </w:pPr>
      <w:r>
        <w:rPr>
          <w:rFonts w:hint="eastAsia" w:ascii="宋体" w:hAnsi="宋体"/>
          <w:sz w:val="24"/>
        </w:rPr>
        <w:t>2.2.</w:t>
      </w:r>
      <w:r>
        <w:rPr>
          <w:rFonts w:ascii="宋体" w:hAnsi="宋体"/>
          <w:sz w:val="24"/>
        </w:rPr>
        <w:t>4</w:t>
      </w:r>
      <w:r>
        <w:rPr>
          <w:rFonts w:hint="eastAsia" w:ascii="宋体" w:hAnsi="宋体"/>
          <w:sz w:val="24"/>
        </w:rPr>
        <w:t>商务响应表（需对采购文件中付款方式、</w:t>
      </w:r>
      <w:r>
        <w:rPr>
          <w:rFonts w:ascii="宋体" w:hAnsi="宋体"/>
          <w:sz w:val="24"/>
        </w:rPr>
        <w:t>服务</w:t>
      </w:r>
      <w:r>
        <w:rPr>
          <w:rFonts w:hint="eastAsia" w:ascii="宋体" w:hAnsi="宋体"/>
          <w:sz w:val="24"/>
        </w:rPr>
        <w:t>期限等商务要求进行逐一答复、说明和解释，</w:t>
      </w:r>
      <w:r>
        <w:rPr>
          <w:rFonts w:hint="eastAsia" w:ascii="宋体" w:hAnsi="宋体" w:cs="仿宋_GB2312"/>
          <w:kern w:val="0"/>
          <w:sz w:val="24"/>
          <w:lang w:val="zh-CN"/>
        </w:rPr>
        <w:t>正偏离的需详细说明）；</w:t>
      </w:r>
    </w:p>
    <w:p>
      <w:pPr>
        <w:tabs>
          <w:tab w:val="left" w:pos="3870"/>
          <w:tab w:val="left" w:pos="4085"/>
        </w:tabs>
        <w:snapToGrid w:val="0"/>
        <w:spacing w:line="440" w:lineRule="exact"/>
        <w:jc w:val="left"/>
        <w:rPr>
          <w:rFonts w:ascii="宋体" w:hAnsi="宋体"/>
          <w:sz w:val="24"/>
        </w:rPr>
      </w:pPr>
      <w:r>
        <w:rPr>
          <w:rFonts w:hint="eastAsia" w:ascii="宋体" w:hAnsi="宋体"/>
          <w:sz w:val="24"/>
        </w:rPr>
        <w:t>2.2.</w:t>
      </w:r>
      <w:r>
        <w:rPr>
          <w:rFonts w:ascii="宋体" w:hAnsi="宋体"/>
          <w:sz w:val="24"/>
        </w:rPr>
        <w:t>5</w:t>
      </w:r>
      <w:r>
        <w:rPr>
          <w:rFonts w:hint="eastAsia" w:ascii="宋体" w:hAnsi="宋体"/>
          <w:sz w:val="24"/>
        </w:rPr>
        <w:t>项目实施方案；</w:t>
      </w:r>
    </w:p>
    <w:p>
      <w:pPr>
        <w:snapToGrid w:val="0"/>
        <w:spacing w:line="440" w:lineRule="exact"/>
        <w:jc w:val="left"/>
        <w:rPr>
          <w:rFonts w:ascii="宋体" w:hAnsi="宋体"/>
          <w:sz w:val="24"/>
        </w:rPr>
      </w:pPr>
      <w:r>
        <w:rPr>
          <w:rFonts w:hint="eastAsia" w:ascii="宋体" w:hAnsi="宋体"/>
          <w:sz w:val="24"/>
        </w:rPr>
        <w:t>2.2.</w:t>
      </w:r>
      <w:r>
        <w:rPr>
          <w:rFonts w:ascii="宋体" w:hAnsi="宋体"/>
          <w:sz w:val="24"/>
        </w:rPr>
        <w:t>6</w:t>
      </w:r>
      <w:r>
        <w:rPr>
          <w:rFonts w:hint="eastAsia" w:ascii="宋体" w:hAnsi="宋体"/>
          <w:sz w:val="24"/>
        </w:rPr>
        <w:t>项目实施人员清单；</w:t>
      </w:r>
    </w:p>
    <w:p>
      <w:pPr>
        <w:pStyle w:val="178"/>
        <w:spacing w:line="360" w:lineRule="auto"/>
        <w:ind w:firstLine="0" w:firstLineChars="0"/>
        <w:jc w:val="left"/>
        <w:rPr>
          <w:rFonts w:ascii="宋体" w:hAnsi="宋体" w:eastAsia="宋体" w:cs="仿宋_GB2312"/>
          <w:szCs w:val="20"/>
        </w:rPr>
      </w:pPr>
      <w:r>
        <w:rPr>
          <w:rFonts w:hint="eastAsia" w:ascii="宋体" w:hAnsi="宋体" w:eastAsia="宋体" w:cs="仿宋_GB2312"/>
          <w:szCs w:val="20"/>
        </w:rPr>
        <w:t>2.2.</w:t>
      </w:r>
      <w:r>
        <w:rPr>
          <w:rFonts w:ascii="宋体" w:hAnsi="宋体" w:eastAsia="宋体" w:cs="仿宋_GB2312"/>
          <w:szCs w:val="20"/>
        </w:rPr>
        <w:t>7</w:t>
      </w:r>
      <w:r>
        <w:rPr>
          <w:rFonts w:hint="eastAsia" w:ascii="宋体" w:hAnsi="宋体" w:eastAsia="宋体" w:cs="仿宋_GB2312"/>
          <w:szCs w:val="20"/>
        </w:rPr>
        <w:t>类似业绩一览表（附业绩证明材料）；</w:t>
      </w:r>
    </w:p>
    <w:p>
      <w:pPr>
        <w:pStyle w:val="178"/>
        <w:spacing w:line="360" w:lineRule="auto"/>
        <w:ind w:firstLine="0" w:firstLineChars="0"/>
        <w:jc w:val="left"/>
        <w:rPr>
          <w:rFonts w:ascii="宋体" w:hAnsi="宋体" w:eastAsia="宋体" w:cs="仿宋_GB2312"/>
          <w:szCs w:val="20"/>
        </w:rPr>
      </w:pPr>
      <w:r>
        <w:rPr>
          <w:rFonts w:hint="eastAsia" w:ascii="宋体" w:hAnsi="宋体" w:eastAsia="宋体" w:cs="仿宋_GB2312"/>
          <w:szCs w:val="20"/>
          <w:lang w:val="zh-CN"/>
        </w:rPr>
        <w:t>2.2.</w:t>
      </w:r>
      <w:r>
        <w:rPr>
          <w:rFonts w:ascii="宋体" w:hAnsi="宋体" w:eastAsia="宋体" w:cs="仿宋_GB2312"/>
          <w:szCs w:val="20"/>
          <w:lang w:val="zh-CN"/>
        </w:rPr>
        <w:t>8</w:t>
      </w:r>
      <w:r>
        <w:rPr>
          <w:rFonts w:hint="eastAsia" w:ascii="宋体" w:hAnsi="宋体" w:eastAsia="宋体" w:cs="仿宋_GB2312"/>
          <w:szCs w:val="20"/>
          <w:lang w:val="zh-CN"/>
        </w:rPr>
        <w:t>优惠条件及其他额外承诺；</w:t>
      </w:r>
    </w:p>
    <w:p>
      <w:pPr>
        <w:snapToGrid w:val="0"/>
        <w:spacing w:line="440" w:lineRule="exact"/>
        <w:jc w:val="left"/>
        <w:rPr>
          <w:rFonts w:ascii="宋体" w:hAnsi="宋体" w:cs="仿宋_GB2312"/>
          <w:b/>
          <w:bCs/>
          <w:kern w:val="0"/>
          <w:sz w:val="24"/>
          <w:lang w:val="zh-CN"/>
        </w:rPr>
      </w:pPr>
      <w:r>
        <w:rPr>
          <w:rFonts w:hint="eastAsia" w:ascii="宋体" w:hAnsi="宋体" w:cs="仿宋_GB2312"/>
          <w:b/>
          <w:bCs/>
          <w:kern w:val="0"/>
          <w:sz w:val="24"/>
          <w:lang w:val="zh-CN"/>
        </w:rPr>
        <w:t>2.2.</w:t>
      </w:r>
      <w:r>
        <w:rPr>
          <w:rFonts w:ascii="宋体" w:hAnsi="宋体" w:cs="仿宋_GB2312"/>
          <w:b/>
          <w:bCs/>
          <w:kern w:val="0"/>
          <w:sz w:val="24"/>
          <w:lang w:val="zh-CN"/>
        </w:rPr>
        <w:t>9</w:t>
      </w:r>
      <w:r>
        <w:rPr>
          <w:rFonts w:hint="eastAsia" w:ascii="宋体" w:hAnsi="宋体" w:cs="仿宋_GB2312"/>
          <w:b/>
          <w:bCs/>
          <w:kern w:val="0"/>
          <w:sz w:val="24"/>
          <w:lang w:val="zh-CN"/>
        </w:rPr>
        <w:t>按评分细则中要求提供的其他资料（重要）；</w:t>
      </w:r>
    </w:p>
    <w:p>
      <w:pPr>
        <w:snapToGrid w:val="0"/>
        <w:spacing w:line="440" w:lineRule="exact"/>
        <w:jc w:val="left"/>
        <w:rPr>
          <w:rFonts w:ascii="宋体" w:hAnsi="宋体"/>
          <w:sz w:val="24"/>
        </w:rPr>
      </w:pPr>
      <w:r>
        <w:rPr>
          <w:rFonts w:hint="eastAsia" w:ascii="宋体" w:hAnsi="宋体"/>
          <w:sz w:val="24"/>
        </w:rPr>
        <w:t>2.2.1</w:t>
      </w:r>
      <w:r>
        <w:rPr>
          <w:rFonts w:ascii="宋体" w:hAnsi="宋体"/>
          <w:sz w:val="24"/>
        </w:rPr>
        <w:t>0</w:t>
      </w:r>
      <w:r>
        <w:rPr>
          <w:rFonts w:hint="eastAsia" w:ascii="宋体" w:hAnsi="宋体"/>
          <w:sz w:val="24"/>
        </w:rPr>
        <w:t>其他供应商认为需要提供的材料，如供应商简介等，格式自拟。</w:t>
      </w:r>
    </w:p>
    <w:p>
      <w:pPr>
        <w:snapToGrid w:val="0"/>
        <w:spacing w:line="440" w:lineRule="exact"/>
        <w:jc w:val="left"/>
        <w:rPr>
          <w:rFonts w:ascii="宋体" w:hAnsi="宋体"/>
          <w:sz w:val="24"/>
        </w:rPr>
      </w:pPr>
      <w:r>
        <w:rPr>
          <w:rFonts w:hint="eastAsia" w:ascii="宋体" w:hAnsi="宋体"/>
          <w:b/>
          <w:bCs/>
          <w:sz w:val="32"/>
          <w:szCs w:val="32"/>
          <w:u w:val="single"/>
        </w:rPr>
        <w:t>注：“商务和技术文件”可在采购文件格式的基础上适当调整，以使内容更加完备。</w:t>
      </w:r>
      <w:r>
        <w:rPr>
          <w:rFonts w:ascii="宋体" w:hAnsi="宋体"/>
          <w:b/>
          <w:bCs/>
          <w:sz w:val="32"/>
          <w:szCs w:val="32"/>
          <w:u w:val="single"/>
        </w:rPr>
        <w:t>盖章、签署等要求按采购文件第六章和标段内的规定执行。</w:t>
      </w:r>
    </w:p>
    <w:p>
      <w:pPr>
        <w:snapToGrid w:val="0"/>
        <w:spacing w:line="440" w:lineRule="exact"/>
        <w:jc w:val="left"/>
        <w:rPr>
          <w:rFonts w:ascii="宋体" w:hAnsi="宋体"/>
          <w:b/>
          <w:bCs/>
          <w:sz w:val="24"/>
        </w:rPr>
      </w:pPr>
      <w:r>
        <w:rPr>
          <w:rFonts w:hint="eastAsia" w:ascii="宋体" w:hAnsi="宋体"/>
          <w:b/>
          <w:bCs/>
          <w:sz w:val="24"/>
        </w:rPr>
        <w:t>2.2“报价文件”包括以下内容：</w:t>
      </w:r>
    </w:p>
    <w:p>
      <w:pPr>
        <w:tabs>
          <w:tab w:val="left" w:pos="3870"/>
          <w:tab w:val="left" w:pos="4085"/>
        </w:tabs>
        <w:snapToGrid w:val="0"/>
        <w:spacing w:line="440" w:lineRule="exact"/>
        <w:jc w:val="left"/>
        <w:rPr>
          <w:rFonts w:ascii="宋体" w:hAnsi="宋体"/>
          <w:sz w:val="24"/>
        </w:rPr>
      </w:pPr>
      <w:r>
        <w:rPr>
          <w:rFonts w:hint="eastAsia" w:ascii="宋体" w:hAnsi="宋体"/>
          <w:sz w:val="24"/>
        </w:rPr>
        <w:t>2.2.1开标一览表；</w:t>
      </w:r>
    </w:p>
    <w:p>
      <w:pPr>
        <w:snapToGrid w:val="0"/>
        <w:spacing w:line="440" w:lineRule="exact"/>
        <w:jc w:val="left"/>
        <w:rPr>
          <w:rFonts w:ascii="宋体" w:hAnsi="宋体"/>
          <w:sz w:val="24"/>
        </w:rPr>
      </w:pPr>
      <w:r>
        <w:rPr>
          <w:rFonts w:hint="eastAsia" w:ascii="宋体" w:hAnsi="宋体"/>
          <w:sz w:val="24"/>
        </w:rPr>
        <w:t>2.2.2享受政府采购政策性规定情况表（如有</w:t>
      </w:r>
      <w:r>
        <w:rPr>
          <w:rFonts w:ascii="宋体" w:hAnsi="宋体"/>
          <w:sz w:val="24"/>
        </w:rPr>
        <w:t>，</w:t>
      </w:r>
      <w:r>
        <w:rPr>
          <w:rFonts w:hint="eastAsia" w:ascii="宋体" w:hAnsi="宋体"/>
          <w:sz w:val="24"/>
        </w:rPr>
        <w:t>附证明材料）。</w:t>
      </w:r>
    </w:p>
    <w:p>
      <w:pPr>
        <w:widowControl/>
        <w:snapToGrid w:val="0"/>
        <w:spacing w:line="440" w:lineRule="exact"/>
        <w:jc w:val="left"/>
        <w:rPr>
          <w:rFonts w:ascii="宋体" w:hAnsi="宋体"/>
          <w:sz w:val="24"/>
        </w:rPr>
      </w:pPr>
      <w:r>
        <w:rPr>
          <w:rFonts w:hint="eastAsia" w:ascii="宋体" w:hAnsi="宋体"/>
          <w:sz w:val="24"/>
        </w:rPr>
        <w:t>2.2.3中小企业声明函（如有</w:t>
      </w:r>
      <w:r>
        <w:rPr>
          <w:rFonts w:ascii="宋体" w:hAnsi="宋体"/>
          <w:sz w:val="24"/>
        </w:rPr>
        <w:t>）</w:t>
      </w:r>
      <w:r>
        <w:rPr>
          <w:rFonts w:hint="eastAsia" w:ascii="宋体" w:hAnsi="宋体"/>
          <w:sz w:val="24"/>
        </w:rPr>
        <w:t>（采购清单中有国家强制采购的节能产品的，必须填写相关对应内容，否则视为未提供节能产品）</w:t>
      </w:r>
      <w:r>
        <w:rPr>
          <w:rFonts w:ascii="宋体" w:hAnsi="宋体"/>
          <w:sz w:val="24"/>
        </w:rPr>
        <w:t>（</w:t>
      </w:r>
      <w:r>
        <w:rPr>
          <w:rFonts w:hint="eastAsia" w:ascii="宋体" w:hAnsi="宋体"/>
          <w:sz w:val="24"/>
        </w:rPr>
        <w:t>附证明材料）；</w:t>
      </w:r>
    </w:p>
    <w:p>
      <w:pPr>
        <w:widowControl/>
        <w:snapToGrid w:val="0"/>
        <w:spacing w:line="440" w:lineRule="exact"/>
        <w:jc w:val="left"/>
        <w:rPr>
          <w:rFonts w:ascii="宋体" w:hAnsi="宋体"/>
          <w:sz w:val="24"/>
        </w:rPr>
      </w:pPr>
      <w:r>
        <w:rPr>
          <w:rFonts w:hint="eastAsia" w:ascii="宋体" w:hAnsi="宋体"/>
          <w:sz w:val="24"/>
        </w:rPr>
        <w:t>2.2.4残疾人福利性单位声明函（如有</w:t>
      </w:r>
      <w:r>
        <w:rPr>
          <w:rFonts w:ascii="宋体" w:hAnsi="宋体"/>
          <w:sz w:val="24"/>
        </w:rPr>
        <w:t>，</w:t>
      </w:r>
      <w:r>
        <w:rPr>
          <w:rFonts w:hint="eastAsia" w:ascii="宋体" w:hAnsi="宋体"/>
          <w:sz w:val="24"/>
        </w:rPr>
        <w:t>附证明材料）；</w:t>
      </w:r>
    </w:p>
    <w:p>
      <w:pPr>
        <w:snapToGrid w:val="0"/>
        <w:spacing w:line="440" w:lineRule="exact"/>
        <w:jc w:val="left"/>
        <w:rPr>
          <w:rFonts w:ascii="宋体" w:hAnsi="宋体"/>
          <w:sz w:val="24"/>
        </w:rPr>
      </w:pPr>
      <w:r>
        <w:rPr>
          <w:rFonts w:hint="eastAsia" w:ascii="宋体" w:hAnsi="宋体"/>
          <w:sz w:val="24"/>
        </w:rPr>
        <w:t>2.2.5关于报价的其他说明（如有，格式自拟）。</w:t>
      </w:r>
    </w:p>
    <w:p>
      <w:pPr>
        <w:snapToGrid w:val="0"/>
        <w:spacing w:line="440" w:lineRule="exact"/>
        <w:jc w:val="left"/>
        <w:rPr>
          <w:rFonts w:ascii="宋体" w:hAnsi="宋体"/>
          <w:b/>
          <w:bCs/>
          <w:sz w:val="32"/>
          <w:szCs w:val="32"/>
          <w:u w:val="single"/>
        </w:rPr>
      </w:pPr>
      <w:r>
        <w:rPr>
          <w:rFonts w:hint="eastAsia" w:ascii="宋体" w:hAnsi="宋体"/>
          <w:b/>
          <w:bCs/>
          <w:sz w:val="32"/>
          <w:szCs w:val="32"/>
          <w:u w:val="single"/>
        </w:rPr>
        <w:t>注：</w:t>
      </w:r>
      <w:r>
        <w:rPr>
          <w:rFonts w:ascii="宋体" w:hAnsi="宋体"/>
          <w:b/>
          <w:bCs/>
          <w:sz w:val="32"/>
          <w:szCs w:val="32"/>
          <w:u w:val="single"/>
        </w:rPr>
        <w:t>开标一览表</w:t>
      </w:r>
      <w:r>
        <w:rPr>
          <w:rFonts w:hint="eastAsia" w:ascii="宋体" w:hAnsi="宋体"/>
          <w:b/>
          <w:bCs/>
          <w:sz w:val="32"/>
          <w:szCs w:val="32"/>
          <w:u w:val="single"/>
        </w:rPr>
        <w:t>必须且按采购文件第六章规定格式填写，否则</w:t>
      </w:r>
      <w:r>
        <w:rPr>
          <w:rFonts w:ascii="宋体" w:hAnsi="宋体"/>
          <w:b/>
          <w:bCs/>
          <w:sz w:val="32"/>
          <w:szCs w:val="32"/>
          <w:u w:val="single"/>
        </w:rPr>
        <w:t>作</w:t>
      </w:r>
      <w:r>
        <w:rPr>
          <w:rFonts w:hint="eastAsia" w:ascii="宋体" w:hAnsi="宋体"/>
          <w:b/>
          <w:bCs/>
          <w:sz w:val="32"/>
          <w:szCs w:val="32"/>
          <w:u w:val="single"/>
        </w:rPr>
        <w:t>无效投标</w:t>
      </w:r>
      <w:r>
        <w:rPr>
          <w:rFonts w:ascii="宋体" w:hAnsi="宋体"/>
          <w:b/>
          <w:bCs/>
          <w:sz w:val="32"/>
          <w:szCs w:val="32"/>
          <w:u w:val="single"/>
        </w:rPr>
        <w:t>处理。</w:t>
      </w:r>
    </w:p>
    <w:p>
      <w:pPr>
        <w:numPr>
          <w:ilvl w:val="0"/>
          <w:numId w:val="10"/>
        </w:numPr>
        <w:snapToGrid w:val="0"/>
        <w:spacing w:line="440" w:lineRule="exact"/>
        <w:jc w:val="left"/>
        <w:rPr>
          <w:rFonts w:ascii="宋体" w:hAnsi="宋体"/>
          <w:b/>
          <w:sz w:val="24"/>
        </w:rPr>
      </w:pPr>
      <w:r>
        <w:rPr>
          <w:rFonts w:hint="eastAsia" w:ascii="宋体" w:hAnsi="宋体"/>
          <w:b/>
          <w:sz w:val="24"/>
        </w:rPr>
        <w:t>投标文件的</w:t>
      </w:r>
      <w:r>
        <w:rPr>
          <w:rFonts w:ascii="宋体" w:hAnsi="宋体"/>
          <w:b/>
          <w:sz w:val="24"/>
        </w:rPr>
        <w:t>制作要求</w:t>
      </w:r>
    </w:p>
    <w:p>
      <w:pPr>
        <w:widowControl/>
        <w:snapToGrid w:val="0"/>
        <w:spacing w:line="440" w:lineRule="exact"/>
        <w:jc w:val="left"/>
        <w:rPr>
          <w:rFonts w:ascii="宋体" w:hAnsi="宋体"/>
          <w:sz w:val="24"/>
        </w:rPr>
      </w:pPr>
      <w:r>
        <w:rPr>
          <w:rFonts w:hint="eastAsia" w:ascii="宋体" w:hAnsi="宋体"/>
          <w:sz w:val="24"/>
        </w:rPr>
        <w:t>3.1封包要求：“资格文件”“商务和技术文件”和“报价文件”需分三部分分别装订成册，密封封装，封装表面贴上三种文件的封面，封面内容详见采购文件第六章“投标文件格式附件”。投标文件封面不得涂改，若要修改，修改处须加盖单位公章或其授权代表签字或盖章。未按照采购文件规定制作、密封封装的投标文件</w:t>
      </w:r>
      <w:r>
        <w:rPr>
          <w:rFonts w:ascii="宋体" w:hAnsi="宋体"/>
          <w:sz w:val="24"/>
        </w:rPr>
        <w:t>可</w:t>
      </w:r>
      <w:r>
        <w:rPr>
          <w:rFonts w:hint="eastAsia" w:ascii="宋体" w:hAnsi="宋体"/>
          <w:sz w:val="24"/>
        </w:rPr>
        <w:t>不予接收。</w:t>
      </w:r>
    </w:p>
    <w:p>
      <w:pPr>
        <w:snapToGrid w:val="0"/>
        <w:spacing w:line="440" w:lineRule="exact"/>
        <w:jc w:val="left"/>
        <w:rPr>
          <w:rFonts w:ascii="宋体" w:hAnsi="宋体"/>
          <w:sz w:val="24"/>
        </w:rPr>
      </w:pPr>
      <w:r>
        <w:rPr>
          <w:rFonts w:ascii="宋体" w:hAnsi="宋体"/>
          <w:sz w:val="24"/>
        </w:rPr>
        <w:t>3.2签署要求：授权代表按采购文件第六章</w:t>
      </w:r>
      <w:r>
        <w:rPr>
          <w:rFonts w:hint="eastAsia" w:ascii="宋体" w:hAnsi="宋体"/>
          <w:sz w:val="24"/>
        </w:rPr>
        <w:t>“</w:t>
      </w:r>
      <w:r>
        <w:rPr>
          <w:rFonts w:ascii="宋体" w:hAnsi="宋体"/>
          <w:sz w:val="24"/>
        </w:rPr>
        <w:t>投标文件格式附件</w:t>
      </w:r>
      <w:r>
        <w:rPr>
          <w:rFonts w:hint="eastAsia" w:ascii="宋体" w:hAnsi="宋体"/>
          <w:sz w:val="24"/>
        </w:rPr>
        <w:t>”</w:t>
      </w:r>
      <w:r>
        <w:rPr>
          <w:rFonts w:ascii="宋体" w:hAnsi="宋体"/>
          <w:sz w:val="24"/>
        </w:rPr>
        <w:t>各表单要求签署。</w:t>
      </w:r>
    </w:p>
    <w:p>
      <w:pPr>
        <w:snapToGrid w:val="0"/>
        <w:spacing w:line="440" w:lineRule="exact"/>
        <w:jc w:val="left"/>
        <w:rPr>
          <w:rFonts w:ascii="宋体" w:hAnsi="宋体"/>
          <w:sz w:val="24"/>
        </w:rPr>
      </w:pPr>
      <w:r>
        <w:rPr>
          <w:rFonts w:ascii="宋体" w:hAnsi="宋体"/>
          <w:sz w:val="24"/>
        </w:rPr>
        <w:t>3.3制作要求：建议采用A4幅面，编制页码，制作目录，提倡双面打印。</w:t>
      </w:r>
    </w:p>
    <w:p>
      <w:pPr>
        <w:widowControl/>
        <w:snapToGrid w:val="0"/>
        <w:spacing w:line="440" w:lineRule="exact"/>
        <w:rPr>
          <w:rFonts w:ascii="宋体" w:hAnsi="宋体"/>
          <w:b/>
          <w:kern w:val="0"/>
          <w:sz w:val="24"/>
        </w:rPr>
      </w:pPr>
      <w:r>
        <w:rPr>
          <w:rFonts w:ascii="宋体" w:hAnsi="宋体"/>
          <w:b/>
          <w:sz w:val="24"/>
        </w:rPr>
        <w:t>4</w:t>
      </w:r>
      <w:r>
        <w:rPr>
          <w:rFonts w:hint="eastAsia" w:ascii="宋体" w:hAnsi="宋体"/>
          <w:b/>
          <w:sz w:val="24"/>
        </w:rPr>
        <w:t>．</w:t>
      </w:r>
      <w:r>
        <w:rPr>
          <w:rFonts w:hint="eastAsia" w:ascii="宋体" w:hAnsi="宋体"/>
          <w:b/>
          <w:kern w:val="0"/>
          <w:sz w:val="24"/>
        </w:rPr>
        <w:t>投标文件的补充和修改</w:t>
      </w:r>
    </w:p>
    <w:p>
      <w:pPr>
        <w:widowControl/>
        <w:snapToGrid w:val="0"/>
        <w:spacing w:line="440" w:lineRule="exact"/>
        <w:ind w:firstLine="482" w:firstLineChars="200"/>
        <w:rPr>
          <w:rFonts w:ascii="宋体" w:hAnsi="宋体"/>
          <w:kern w:val="0"/>
          <w:sz w:val="24"/>
        </w:rPr>
      </w:pPr>
      <w:r>
        <w:rPr>
          <w:rFonts w:hint="eastAsia" w:ascii="宋体" w:hAnsi="宋体"/>
          <w:b/>
          <w:bCs/>
          <w:kern w:val="0"/>
          <w:sz w:val="24"/>
        </w:rPr>
        <w:t>投标截止时间前</w:t>
      </w:r>
      <w:r>
        <w:rPr>
          <w:rFonts w:hint="eastAsia" w:ascii="宋体" w:hAnsi="宋体"/>
          <w:kern w:val="0"/>
          <w:sz w:val="24"/>
        </w:rPr>
        <w:t>，供应商可以</w:t>
      </w:r>
      <w:r>
        <w:rPr>
          <w:rFonts w:ascii="宋体" w:hAnsi="宋体"/>
          <w:kern w:val="0"/>
          <w:sz w:val="24"/>
        </w:rPr>
        <w:t>以</w:t>
      </w:r>
      <w:r>
        <w:rPr>
          <w:rFonts w:hint="eastAsia" w:ascii="宋体" w:hAnsi="宋体"/>
          <w:kern w:val="0"/>
          <w:sz w:val="24"/>
        </w:rPr>
        <w:t>书面形式提出对投标文件进行补充和修改，相应部分以最后的补充和修改为准。</w:t>
      </w:r>
      <w:r>
        <w:rPr>
          <w:rFonts w:ascii="宋体" w:hAnsi="宋体"/>
          <w:kern w:val="0"/>
          <w:sz w:val="24"/>
        </w:rPr>
        <w:t>若修改和补充为</w:t>
      </w:r>
      <w:r>
        <w:rPr>
          <w:rFonts w:hint="eastAsia" w:ascii="宋体" w:hAnsi="宋体"/>
          <w:kern w:val="0"/>
          <w:sz w:val="24"/>
        </w:rPr>
        <w:t>书面材料</w:t>
      </w:r>
      <w:r>
        <w:rPr>
          <w:rFonts w:ascii="宋体" w:hAnsi="宋体"/>
          <w:kern w:val="0"/>
          <w:sz w:val="24"/>
        </w:rPr>
        <w:t>的</w:t>
      </w:r>
      <w:r>
        <w:rPr>
          <w:rFonts w:hint="eastAsia" w:ascii="宋体" w:hAnsi="宋体"/>
          <w:kern w:val="0"/>
          <w:sz w:val="24"/>
        </w:rPr>
        <w:t>应</w:t>
      </w:r>
      <w:r>
        <w:rPr>
          <w:rFonts w:ascii="宋体" w:hAnsi="宋体"/>
          <w:kern w:val="0"/>
          <w:sz w:val="24"/>
        </w:rPr>
        <w:t>当</w:t>
      </w:r>
      <w:r>
        <w:rPr>
          <w:rFonts w:hint="eastAsia" w:ascii="宋体" w:hAnsi="宋体"/>
          <w:kern w:val="0"/>
          <w:sz w:val="24"/>
        </w:rPr>
        <w:t>密封，</w:t>
      </w:r>
      <w:r>
        <w:rPr>
          <w:rFonts w:hint="eastAsia" w:ascii="宋体" w:hAnsi="宋体"/>
          <w:sz w:val="24"/>
        </w:rPr>
        <w:t>并明确注明“</w:t>
      </w:r>
      <w:r>
        <w:rPr>
          <w:rFonts w:ascii="宋体" w:hAnsi="宋体"/>
          <w:sz w:val="24"/>
        </w:rPr>
        <w:t>资格文件（或</w:t>
      </w:r>
      <w:r>
        <w:rPr>
          <w:rFonts w:ascii="宋体" w:hAnsi="宋体"/>
          <w:kern w:val="0"/>
          <w:sz w:val="24"/>
        </w:rPr>
        <w:t>商务和</w:t>
      </w:r>
      <w:r>
        <w:rPr>
          <w:rFonts w:hint="eastAsia" w:ascii="宋体" w:hAnsi="宋体"/>
          <w:kern w:val="0"/>
          <w:sz w:val="24"/>
        </w:rPr>
        <w:t>技术文件或</w:t>
      </w:r>
      <w:r>
        <w:rPr>
          <w:rFonts w:ascii="宋体" w:hAnsi="宋体"/>
          <w:kern w:val="0"/>
          <w:sz w:val="24"/>
        </w:rPr>
        <w:t>报价</w:t>
      </w:r>
      <w:r>
        <w:rPr>
          <w:rFonts w:hint="eastAsia" w:ascii="宋体" w:hAnsi="宋体"/>
          <w:kern w:val="0"/>
          <w:sz w:val="24"/>
        </w:rPr>
        <w:t>文件</w:t>
      </w:r>
      <w:r>
        <w:rPr>
          <w:rFonts w:ascii="宋体" w:hAnsi="宋体"/>
          <w:kern w:val="0"/>
          <w:sz w:val="24"/>
        </w:rPr>
        <w:t>）</w:t>
      </w:r>
      <w:r>
        <w:rPr>
          <w:rFonts w:hint="eastAsia" w:ascii="宋体" w:hAnsi="宋体"/>
          <w:kern w:val="0"/>
          <w:sz w:val="24"/>
        </w:rPr>
        <w:t>修改（或补充）</w:t>
      </w:r>
      <w:r>
        <w:rPr>
          <w:rFonts w:ascii="宋体" w:hAnsi="宋体"/>
          <w:kern w:val="0"/>
          <w:sz w:val="24"/>
        </w:rPr>
        <w:t>材料</w:t>
      </w:r>
      <w:r>
        <w:rPr>
          <w:rFonts w:hint="eastAsia" w:ascii="宋体" w:hAnsi="宋体"/>
          <w:kern w:val="0"/>
          <w:sz w:val="24"/>
        </w:rPr>
        <w:t>、项目名称</w:t>
      </w:r>
      <w:r>
        <w:rPr>
          <w:rFonts w:ascii="宋体" w:hAnsi="宋体"/>
          <w:kern w:val="0"/>
          <w:sz w:val="24"/>
        </w:rPr>
        <w:t>或项目（标段）编号</w:t>
      </w:r>
      <w:r>
        <w:rPr>
          <w:rFonts w:hint="eastAsia" w:ascii="宋体" w:hAnsi="宋体"/>
          <w:kern w:val="0"/>
          <w:sz w:val="24"/>
        </w:rPr>
        <w:t>、供应商名称</w:t>
      </w:r>
      <w:r>
        <w:rPr>
          <w:rFonts w:hint="eastAsia" w:ascii="宋体" w:hAnsi="宋体"/>
          <w:sz w:val="24"/>
        </w:rPr>
        <w:t>”</w:t>
      </w:r>
      <w:r>
        <w:rPr>
          <w:rFonts w:hint="eastAsia" w:ascii="宋体" w:hAnsi="宋体"/>
          <w:kern w:val="0"/>
          <w:sz w:val="24"/>
        </w:rPr>
        <w:t>字样</w:t>
      </w:r>
      <w:r>
        <w:rPr>
          <w:rFonts w:hint="eastAsia" w:ascii="宋体" w:hAnsi="宋体"/>
          <w:sz w:val="24"/>
        </w:rPr>
        <w:t>，</w:t>
      </w:r>
      <w:r>
        <w:rPr>
          <w:rFonts w:hint="eastAsia" w:ascii="宋体" w:hAnsi="宋体"/>
          <w:kern w:val="0"/>
          <w:sz w:val="24"/>
        </w:rPr>
        <w:t>同时由</w:t>
      </w:r>
      <w:r>
        <w:rPr>
          <w:rFonts w:hint="eastAsia" w:ascii="宋体" w:hAnsi="宋体"/>
          <w:sz w:val="24"/>
        </w:rPr>
        <w:t>法定代表人或其授权代表签字或盖章</w:t>
      </w:r>
      <w:r>
        <w:rPr>
          <w:rFonts w:hint="eastAsia" w:ascii="宋体" w:hAnsi="宋体"/>
          <w:kern w:val="0"/>
          <w:sz w:val="24"/>
        </w:rPr>
        <w:t>。</w:t>
      </w:r>
      <w:r>
        <w:rPr>
          <w:rFonts w:ascii="宋体" w:hAnsi="宋体"/>
          <w:kern w:val="0"/>
          <w:sz w:val="24"/>
        </w:rPr>
        <w:t>未按上述规则制作的补充和修改材料将被拒收。</w:t>
      </w:r>
    </w:p>
    <w:p>
      <w:pPr>
        <w:pStyle w:val="13"/>
        <w:spacing w:afterLines="0" w:line="440" w:lineRule="atLeast"/>
        <w:ind w:left="0" w:firstLine="0"/>
        <w:rPr>
          <w:rFonts w:ascii="宋体" w:hAnsi="宋体"/>
          <w:b/>
          <w:szCs w:val="24"/>
        </w:rPr>
      </w:pPr>
      <w:r>
        <w:rPr>
          <w:rFonts w:ascii="宋体" w:hAnsi="宋体"/>
          <w:b/>
          <w:szCs w:val="24"/>
        </w:rPr>
        <w:t>5</w:t>
      </w:r>
      <w:r>
        <w:rPr>
          <w:rFonts w:hint="eastAsia" w:ascii="宋体" w:hAnsi="宋体"/>
          <w:b/>
          <w:szCs w:val="24"/>
        </w:rPr>
        <w:t>.投标文件的有效期</w:t>
      </w:r>
    </w:p>
    <w:p>
      <w:pPr>
        <w:pStyle w:val="13"/>
        <w:spacing w:afterLines="0" w:line="440" w:lineRule="atLeast"/>
        <w:ind w:left="0" w:firstLine="0"/>
        <w:rPr>
          <w:rFonts w:ascii="宋体" w:hAnsi="宋体"/>
          <w:szCs w:val="24"/>
        </w:rPr>
      </w:pPr>
      <w:r>
        <w:rPr>
          <w:rFonts w:ascii="宋体" w:hAnsi="宋体"/>
          <w:szCs w:val="24"/>
        </w:rPr>
        <w:t>5</w:t>
      </w:r>
      <w:r>
        <w:rPr>
          <w:rFonts w:hint="eastAsia" w:ascii="宋体" w:hAnsi="宋体"/>
          <w:szCs w:val="24"/>
        </w:rPr>
        <w:t>.1</w:t>
      </w:r>
      <w:r>
        <w:rPr>
          <w:rFonts w:ascii="宋体" w:hAnsi="宋体"/>
        </w:rPr>
        <w:t>投标文件有效期详见前附表。投标有效期内，供应商不得撤销或更换投标文件。</w:t>
      </w:r>
    </w:p>
    <w:p>
      <w:pPr>
        <w:pStyle w:val="13"/>
        <w:spacing w:afterLines="0" w:line="440" w:lineRule="atLeast"/>
        <w:ind w:left="0" w:firstLine="0"/>
        <w:rPr>
          <w:rFonts w:ascii="宋体" w:hAnsi="宋体"/>
          <w:szCs w:val="24"/>
        </w:rPr>
      </w:pPr>
      <w:r>
        <w:rPr>
          <w:rFonts w:ascii="宋体" w:hAnsi="宋体"/>
          <w:szCs w:val="24"/>
        </w:rPr>
        <w:t>5</w:t>
      </w:r>
      <w:r>
        <w:rPr>
          <w:rFonts w:hint="eastAsia" w:ascii="宋体" w:hAnsi="宋体"/>
          <w:szCs w:val="24"/>
        </w:rPr>
        <w:t>.2</w:t>
      </w:r>
      <w:r>
        <w:rPr>
          <w:rFonts w:ascii="宋体" w:hAnsi="宋体"/>
          <w:szCs w:val="24"/>
        </w:rPr>
        <w:t>投标有效期内为完成开评标及与中标人签订合同的，采购</w:t>
      </w:r>
      <w:r>
        <w:rPr>
          <w:rFonts w:hint="eastAsia" w:ascii="宋体" w:hAnsi="宋体"/>
          <w:szCs w:val="24"/>
        </w:rPr>
        <w:t>人</w:t>
      </w:r>
      <w:r>
        <w:rPr>
          <w:rFonts w:ascii="宋体" w:hAnsi="宋体"/>
          <w:szCs w:val="24"/>
        </w:rPr>
        <w:t>需</w:t>
      </w:r>
      <w:r>
        <w:rPr>
          <w:rFonts w:hint="eastAsia" w:ascii="宋体" w:hAnsi="宋体"/>
          <w:szCs w:val="24"/>
        </w:rPr>
        <w:t>与供应商</w:t>
      </w:r>
      <w:r>
        <w:rPr>
          <w:rFonts w:ascii="宋体" w:hAnsi="宋体"/>
          <w:szCs w:val="24"/>
        </w:rPr>
        <w:t>书面</w:t>
      </w:r>
      <w:r>
        <w:rPr>
          <w:rFonts w:hint="eastAsia" w:ascii="宋体" w:hAnsi="宋体"/>
          <w:szCs w:val="24"/>
        </w:rPr>
        <w:t>协商延长投标书的有效期。</w:t>
      </w:r>
    </w:p>
    <w:p>
      <w:pPr>
        <w:pStyle w:val="13"/>
        <w:spacing w:afterLines="0" w:line="440" w:lineRule="atLeast"/>
        <w:ind w:left="0" w:firstLine="0"/>
        <w:rPr>
          <w:rFonts w:ascii="宋体" w:hAnsi="宋体"/>
          <w:szCs w:val="24"/>
        </w:rPr>
      </w:pPr>
      <w:r>
        <w:rPr>
          <w:rFonts w:ascii="宋体" w:hAnsi="宋体"/>
          <w:szCs w:val="24"/>
        </w:rPr>
        <w:t>5</w:t>
      </w:r>
      <w:r>
        <w:rPr>
          <w:rFonts w:hint="eastAsia" w:ascii="宋体" w:hAnsi="宋体"/>
          <w:szCs w:val="24"/>
        </w:rPr>
        <w:t>.3供应商可拒绝接受延期要求。同意延长有效期的供应商不能修改投标文件。</w:t>
      </w:r>
    </w:p>
    <w:p>
      <w:pPr>
        <w:pStyle w:val="13"/>
        <w:spacing w:afterLines="0" w:line="440" w:lineRule="atLeast"/>
        <w:ind w:left="0" w:firstLine="0"/>
        <w:rPr>
          <w:rFonts w:ascii="宋体" w:hAnsi="宋体"/>
          <w:szCs w:val="24"/>
        </w:rPr>
      </w:pPr>
      <w:r>
        <w:rPr>
          <w:rFonts w:ascii="宋体" w:hAnsi="宋体"/>
          <w:szCs w:val="24"/>
        </w:rPr>
        <w:t>5.4投标文件不予退还。</w:t>
      </w:r>
    </w:p>
    <w:p>
      <w:pPr>
        <w:pStyle w:val="3"/>
        <w:numPr>
          <w:ilvl w:val="0"/>
          <w:numId w:val="0"/>
        </w:numPr>
        <w:ind w:left="992"/>
        <w:jc w:val="center"/>
        <w:rPr>
          <w:rFonts w:ascii="宋体" w:hAnsi="宋体" w:eastAsia="宋体"/>
        </w:rPr>
      </w:pPr>
      <w:bookmarkStart w:id="7" w:name="_Toc83838332"/>
      <w:r>
        <w:rPr>
          <w:rFonts w:ascii="宋体" w:hAnsi="宋体" w:eastAsia="宋体"/>
        </w:rPr>
        <w:t>四、开标评标</w:t>
      </w:r>
      <w:bookmarkEnd w:id="7"/>
    </w:p>
    <w:p>
      <w:pPr>
        <w:snapToGrid w:val="0"/>
        <w:spacing w:line="440" w:lineRule="exact"/>
        <w:jc w:val="left"/>
        <w:rPr>
          <w:rFonts w:ascii="宋体" w:hAnsi="宋体"/>
          <w:b/>
          <w:sz w:val="24"/>
        </w:rPr>
      </w:pPr>
      <w:r>
        <w:rPr>
          <w:rFonts w:hint="eastAsia" w:ascii="宋体" w:hAnsi="宋体"/>
          <w:b/>
          <w:sz w:val="24"/>
        </w:rPr>
        <w:t>1．开标</w:t>
      </w:r>
      <w:r>
        <w:rPr>
          <w:rFonts w:ascii="宋体" w:hAnsi="宋体"/>
          <w:b/>
          <w:sz w:val="24"/>
        </w:rPr>
        <w:t>出席</w:t>
      </w:r>
    </w:p>
    <w:p>
      <w:pPr>
        <w:snapToGrid w:val="0"/>
        <w:spacing w:line="480" w:lineRule="exact"/>
        <w:jc w:val="left"/>
        <w:rPr>
          <w:rFonts w:ascii="宋体" w:hAnsi="宋体"/>
          <w:b/>
          <w:bCs/>
          <w:sz w:val="24"/>
        </w:rPr>
      </w:pPr>
      <w:r>
        <w:rPr>
          <w:rFonts w:hint="eastAsia" w:ascii="宋体" w:hAnsi="宋体"/>
          <w:b/>
          <w:bCs/>
          <w:sz w:val="24"/>
        </w:rPr>
        <w:t>1.1 投标供应商法定代表人或其授权代表或个体工商户经营者</w:t>
      </w:r>
      <w:r>
        <w:rPr>
          <w:rFonts w:ascii="宋体" w:hAnsi="宋体"/>
          <w:b/>
          <w:bCs/>
          <w:sz w:val="24"/>
        </w:rPr>
        <w:t>需准时</w:t>
      </w:r>
      <w:r>
        <w:rPr>
          <w:rFonts w:hint="eastAsia" w:ascii="宋体" w:hAnsi="宋体"/>
          <w:b/>
          <w:bCs/>
          <w:sz w:val="24"/>
        </w:rPr>
        <w:t>出席开标会议</w:t>
      </w:r>
      <w:r>
        <w:rPr>
          <w:rFonts w:ascii="宋体" w:hAnsi="宋体"/>
          <w:b/>
          <w:bCs/>
          <w:sz w:val="24"/>
        </w:rPr>
        <w:t>，未出席将可能导致无法顺利询标，且</w:t>
      </w:r>
      <w:r>
        <w:rPr>
          <w:rFonts w:hint="eastAsia" w:ascii="宋体" w:hAnsi="宋体"/>
          <w:b/>
          <w:bCs/>
          <w:sz w:val="24"/>
        </w:rPr>
        <w:t>事后不得对采购相关人员、开标过程和开标结果提出</w:t>
      </w:r>
      <w:r>
        <w:rPr>
          <w:rFonts w:ascii="宋体" w:hAnsi="宋体"/>
          <w:b/>
          <w:bCs/>
          <w:sz w:val="24"/>
        </w:rPr>
        <w:t>质疑</w:t>
      </w:r>
      <w:r>
        <w:rPr>
          <w:rFonts w:hint="eastAsia" w:ascii="宋体" w:hAnsi="宋体"/>
          <w:b/>
          <w:bCs/>
          <w:sz w:val="24"/>
        </w:rPr>
        <w:t>。</w:t>
      </w:r>
    </w:p>
    <w:p>
      <w:pPr>
        <w:snapToGrid w:val="0"/>
        <w:spacing w:line="440" w:lineRule="exact"/>
        <w:jc w:val="left"/>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投标文件的提交</w:t>
      </w:r>
    </w:p>
    <w:p>
      <w:pPr>
        <w:snapToGrid w:val="0"/>
        <w:spacing w:line="480" w:lineRule="exact"/>
        <w:jc w:val="left"/>
        <w:rPr>
          <w:rFonts w:ascii="宋体" w:hAnsi="宋体"/>
          <w:sz w:val="24"/>
        </w:rPr>
      </w:pPr>
      <w:r>
        <w:rPr>
          <w:rFonts w:ascii="宋体" w:hAnsi="宋体"/>
          <w:sz w:val="24"/>
        </w:rPr>
        <w:t>2.1投标文件递交时间以送达至采购文件载明的开标室为准，时间以开标室的电子时钟为准，逾期不予接受。</w:t>
      </w:r>
    </w:p>
    <w:p>
      <w:pPr>
        <w:snapToGrid w:val="0"/>
        <w:spacing w:line="480" w:lineRule="exact"/>
        <w:jc w:val="left"/>
        <w:rPr>
          <w:rFonts w:ascii="宋体" w:hAnsi="宋体"/>
          <w:b/>
          <w:bCs/>
          <w:sz w:val="24"/>
        </w:rPr>
      </w:pPr>
      <w:r>
        <w:rPr>
          <w:rFonts w:ascii="宋体" w:hAnsi="宋体"/>
          <w:b/>
          <w:bCs/>
          <w:sz w:val="24"/>
        </w:rPr>
        <w:t>2.2供应商在投标截止时间后不得在开标室外补充提交标书、各类证书证明等材料。</w:t>
      </w:r>
    </w:p>
    <w:p>
      <w:pPr>
        <w:snapToGrid w:val="0"/>
        <w:spacing w:line="480" w:lineRule="exact"/>
        <w:jc w:val="left"/>
        <w:rPr>
          <w:rFonts w:ascii="宋体" w:hAnsi="宋体"/>
          <w:sz w:val="24"/>
        </w:rPr>
      </w:pPr>
      <w:r>
        <w:rPr>
          <w:rFonts w:ascii="宋体" w:hAnsi="宋体"/>
          <w:sz w:val="24"/>
        </w:rPr>
        <w:t>2.3投标截止时间前，供应商有权对投标文件包封、签署、盖章进行完善。</w:t>
      </w:r>
    </w:p>
    <w:p>
      <w:pPr>
        <w:snapToGrid w:val="0"/>
        <w:spacing w:line="480" w:lineRule="exact"/>
        <w:jc w:val="left"/>
        <w:rPr>
          <w:rFonts w:ascii="宋体" w:hAnsi="宋体"/>
          <w:sz w:val="24"/>
        </w:rPr>
      </w:pPr>
      <w:r>
        <w:rPr>
          <w:rFonts w:ascii="宋体" w:hAnsi="宋体"/>
          <w:sz w:val="24"/>
        </w:rPr>
        <w:t>2.4投标文件提交后，供应商应当签署《投标（响应）文件签收登记表》。</w:t>
      </w:r>
    </w:p>
    <w:p>
      <w:pPr>
        <w:snapToGrid w:val="0"/>
        <w:spacing w:line="440" w:lineRule="exact"/>
        <w:jc w:val="left"/>
        <w:rPr>
          <w:rFonts w:ascii="宋体" w:hAnsi="宋体"/>
          <w:b/>
          <w:sz w:val="24"/>
        </w:rPr>
      </w:pPr>
      <w:r>
        <w:rPr>
          <w:rFonts w:ascii="宋体" w:hAnsi="宋体"/>
          <w:b/>
          <w:sz w:val="24"/>
        </w:rPr>
        <w:t>2</w:t>
      </w:r>
      <w:r>
        <w:rPr>
          <w:rFonts w:hint="eastAsia" w:ascii="宋体" w:hAnsi="宋体"/>
          <w:b/>
          <w:sz w:val="24"/>
        </w:rPr>
        <w:t>．开标</w:t>
      </w:r>
      <w:r>
        <w:rPr>
          <w:rFonts w:ascii="宋体" w:hAnsi="宋体"/>
          <w:b/>
          <w:sz w:val="24"/>
        </w:rPr>
        <w:t>大会程序</w:t>
      </w:r>
    </w:p>
    <w:p>
      <w:pPr>
        <w:snapToGrid w:val="0"/>
        <w:spacing w:line="440" w:lineRule="exact"/>
        <w:jc w:val="left"/>
        <w:rPr>
          <w:rFonts w:ascii="宋体" w:hAnsi="宋体"/>
          <w:sz w:val="24"/>
        </w:rPr>
      </w:pPr>
      <w:r>
        <w:rPr>
          <w:rFonts w:ascii="宋体" w:hAnsi="宋体"/>
          <w:sz w:val="24"/>
        </w:rPr>
        <w:t>开标大会由采购代理机构主持。</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.1主持人宣布开标会开始，介绍到会单位和人员</w:t>
      </w:r>
      <w:r>
        <w:rPr>
          <w:rFonts w:ascii="宋体" w:hAnsi="宋体"/>
          <w:sz w:val="24"/>
        </w:rPr>
        <w:t>。</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.2</w:t>
      </w:r>
      <w:r>
        <w:rPr>
          <w:rFonts w:ascii="宋体" w:hAnsi="宋体"/>
          <w:sz w:val="24"/>
        </w:rPr>
        <w:t>采购代理机构核对、宣读完成标书提交并签到的供应商名单。</w:t>
      </w:r>
    </w:p>
    <w:p>
      <w:pPr>
        <w:snapToGrid w:val="0"/>
        <w:spacing w:line="480" w:lineRule="exact"/>
        <w:jc w:val="left"/>
        <w:rPr>
          <w:rFonts w:ascii="宋体" w:hAnsi="宋体"/>
          <w:sz w:val="24"/>
        </w:rPr>
      </w:pPr>
      <w:r>
        <w:rPr>
          <w:rFonts w:ascii="宋体" w:hAnsi="宋体"/>
          <w:sz w:val="24"/>
        </w:rPr>
        <w:t>2.3采购代理机构组织</w:t>
      </w:r>
      <w:r>
        <w:rPr>
          <w:rFonts w:hint="eastAsia" w:ascii="宋体" w:hAnsi="宋体"/>
          <w:sz w:val="24"/>
        </w:rPr>
        <w:t>供应商代表</w:t>
      </w:r>
      <w:r>
        <w:rPr>
          <w:rFonts w:ascii="宋体" w:hAnsi="宋体"/>
          <w:sz w:val="24"/>
        </w:rPr>
        <w:t>相互</w:t>
      </w:r>
      <w:r>
        <w:rPr>
          <w:rFonts w:hint="eastAsia" w:ascii="宋体" w:hAnsi="宋体"/>
          <w:sz w:val="24"/>
        </w:rPr>
        <w:t>检查投标文件</w:t>
      </w:r>
      <w:r>
        <w:rPr>
          <w:rFonts w:ascii="宋体" w:hAnsi="宋体"/>
          <w:sz w:val="24"/>
        </w:rPr>
        <w:t>包封</w:t>
      </w:r>
      <w:r>
        <w:rPr>
          <w:rFonts w:hint="eastAsia" w:ascii="宋体" w:hAnsi="宋体"/>
          <w:sz w:val="24"/>
        </w:rPr>
        <w:t>情况</w:t>
      </w:r>
      <w:r>
        <w:rPr>
          <w:rFonts w:ascii="宋体" w:hAnsi="宋体"/>
          <w:sz w:val="24"/>
        </w:rPr>
        <w:t>，不满足采购文件规定的将予以拒收</w:t>
      </w:r>
      <w:r>
        <w:rPr>
          <w:rFonts w:hint="eastAsia" w:ascii="宋体" w:hAnsi="宋体"/>
          <w:sz w:val="24"/>
        </w:rPr>
        <w:t>。</w:t>
      </w:r>
    </w:p>
    <w:p>
      <w:pPr>
        <w:snapToGrid w:val="0"/>
        <w:spacing w:line="480" w:lineRule="exact"/>
        <w:jc w:val="left"/>
        <w:rPr>
          <w:rFonts w:ascii="宋体" w:hAnsi="宋体"/>
          <w:sz w:val="24"/>
        </w:rPr>
      </w:pPr>
      <w:r>
        <w:rPr>
          <w:rFonts w:ascii="宋体" w:hAnsi="宋体"/>
          <w:sz w:val="24"/>
        </w:rPr>
        <w:t>2.4采购代理机构</w:t>
      </w:r>
      <w:r>
        <w:rPr>
          <w:rFonts w:hint="eastAsia" w:ascii="宋体" w:hAnsi="宋体"/>
          <w:sz w:val="24"/>
        </w:rPr>
        <w:t>组织各供应商法定代表人或其授权代表签署</w:t>
      </w:r>
      <w:r>
        <w:rPr>
          <w:rFonts w:ascii="宋体" w:hAnsi="宋体"/>
          <w:sz w:val="24"/>
        </w:rPr>
        <w:t>《采购活动</w:t>
      </w:r>
      <w:r>
        <w:rPr>
          <w:rFonts w:hint="eastAsia" w:ascii="宋体" w:hAnsi="宋体"/>
          <w:sz w:val="24"/>
        </w:rPr>
        <w:t>现场确认声明书</w:t>
      </w:r>
      <w:r>
        <w:rPr>
          <w:rFonts w:ascii="宋体" w:hAnsi="宋体"/>
          <w:sz w:val="24"/>
        </w:rPr>
        <w:t>》</w:t>
      </w:r>
      <w:r>
        <w:rPr>
          <w:rFonts w:hint="eastAsia" w:ascii="宋体" w:hAnsi="宋体"/>
          <w:sz w:val="24"/>
        </w:rPr>
        <w:t>。</w:t>
      </w:r>
    </w:p>
    <w:p>
      <w:pPr>
        <w:snapToGrid w:val="0"/>
        <w:spacing w:line="480" w:lineRule="exact"/>
        <w:jc w:val="left"/>
        <w:rPr>
          <w:rFonts w:ascii="宋体" w:hAnsi="宋体"/>
          <w:sz w:val="24"/>
        </w:rPr>
      </w:pPr>
      <w:r>
        <w:rPr>
          <w:rFonts w:ascii="宋体" w:hAnsi="宋体"/>
          <w:sz w:val="24"/>
        </w:rPr>
        <w:t>2.5启封</w:t>
      </w:r>
      <w:r>
        <w:rPr>
          <w:rFonts w:hint="eastAsia" w:ascii="宋体" w:hAnsi="宋体"/>
          <w:sz w:val="24"/>
        </w:rPr>
        <w:t>“</w:t>
      </w:r>
      <w:r>
        <w:rPr>
          <w:rFonts w:ascii="宋体" w:hAnsi="宋体"/>
          <w:sz w:val="24"/>
        </w:rPr>
        <w:t>资格文件</w:t>
      </w:r>
      <w:r>
        <w:rPr>
          <w:rFonts w:hint="eastAsia" w:ascii="宋体" w:hAnsi="宋体"/>
          <w:sz w:val="24"/>
        </w:rPr>
        <w:t>”</w:t>
      </w:r>
      <w:r>
        <w:rPr>
          <w:rFonts w:ascii="宋体" w:hAnsi="宋体"/>
          <w:sz w:val="24"/>
        </w:rPr>
        <w:t>，采购代理机构</w:t>
      </w:r>
      <w:r>
        <w:rPr>
          <w:rFonts w:hint="eastAsia" w:ascii="宋体" w:hAnsi="宋体"/>
          <w:sz w:val="24"/>
        </w:rPr>
        <w:t>对法定代表人或其授权代表的身份进行核验</w:t>
      </w:r>
      <w:r>
        <w:rPr>
          <w:rFonts w:ascii="宋体" w:hAnsi="宋体"/>
          <w:sz w:val="24"/>
        </w:rPr>
        <w:t>，核验通过后采购人或</w:t>
      </w:r>
      <w:r>
        <w:rPr>
          <w:rFonts w:hint="eastAsia" w:ascii="宋体" w:hAnsi="宋体"/>
          <w:sz w:val="24"/>
        </w:rPr>
        <w:t>评审委员会对“资格文件”进行</w:t>
      </w:r>
      <w:r>
        <w:rPr>
          <w:rFonts w:ascii="宋体" w:hAnsi="宋体"/>
          <w:sz w:val="24"/>
        </w:rPr>
        <w:t>符合性审查</w:t>
      </w:r>
      <w:r>
        <w:rPr>
          <w:rFonts w:hint="eastAsia" w:ascii="宋体" w:hAnsi="宋体"/>
          <w:sz w:val="24"/>
        </w:rPr>
        <w:t>，</w:t>
      </w:r>
      <w:r>
        <w:rPr>
          <w:rFonts w:ascii="宋体" w:hAnsi="宋体"/>
          <w:sz w:val="24"/>
        </w:rPr>
        <w:t>公布审查</w:t>
      </w:r>
      <w:r>
        <w:rPr>
          <w:rFonts w:hint="eastAsia" w:ascii="宋体" w:hAnsi="宋体"/>
          <w:sz w:val="24"/>
        </w:rPr>
        <w:t>结果。</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6</w:t>
      </w:r>
      <w:r>
        <w:rPr>
          <w:rFonts w:hint="eastAsia" w:ascii="宋体" w:hAnsi="宋体"/>
          <w:sz w:val="24"/>
        </w:rPr>
        <w:t>启封“</w:t>
      </w:r>
      <w:r>
        <w:rPr>
          <w:rFonts w:ascii="宋体" w:hAnsi="宋体"/>
          <w:sz w:val="24"/>
        </w:rPr>
        <w:t>商务和技术文件</w:t>
      </w:r>
      <w:r>
        <w:rPr>
          <w:rFonts w:hint="eastAsia" w:ascii="宋体" w:hAnsi="宋体"/>
          <w:sz w:val="24"/>
        </w:rPr>
        <w:t>”，</w:t>
      </w:r>
      <w:r>
        <w:rPr>
          <w:rFonts w:ascii="宋体" w:hAnsi="宋体"/>
          <w:sz w:val="24"/>
        </w:rPr>
        <w:t>交由评审委员会评审。</w:t>
      </w:r>
      <w:r>
        <w:rPr>
          <w:rFonts w:hint="eastAsia" w:ascii="宋体" w:hAnsi="宋体"/>
          <w:sz w:val="24"/>
        </w:rPr>
        <w:t>如有演示要求，</w:t>
      </w:r>
      <w:r>
        <w:rPr>
          <w:rFonts w:ascii="宋体" w:hAnsi="宋体"/>
          <w:sz w:val="24"/>
        </w:rPr>
        <w:t>组织</w:t>
      </w:r>
      <w:r>
        <w:rPr>
          <w:rFonts w:hint="eastAsia" w:ascii="宋体" w:hAnsi="宋体"/>
          <w:sz w:val="24"/>
        </w:rPr>
        <w:t>各供应商</w:t>
      </w:r>
      <w:r>
        <w:rPr>
          <w:rFonts w:ascii="宋体" w:hAnsi="宋体"/>
          <w:sz w:val="24"/>
        </w:rPr>
        <w:t>逐一</w:t>
      </w:r>
      <w:r>
        <w:rPr>
          <w:rFonts w:hint="eastAsia" w:ascii="宋体" w:hAnsi="宋体"/>
          <w:sz w:val="24"/>
        </w:rPr>
        <w:t>演示，</w:t>
      </w:r>
      <w:r>
        <w:rPr>
          <w:rFonts w:ascii="宋体" w:hAnsi="宋体"/>
          <w:sz w:val="24"/>
        </w:rPr>
        <w:t>具体详见《前附表》中的演示要求</w:t>
      </w:r>
      <w:r>
        <w:rPr>
          <w:rFonts w:hint="eastAsia" w:ascii="宋体" w:hAnsi="宋体"/>
          <w:sz w:val="24"/>
        </w:rPr>
        <w:t>。</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7</w:t>
      </w:r>
      <w:r>
        <w:rPr>
          <w:rFonts w:hint="eastAsia" w:ascii="宋体" w:hAnsi="宋体"/>
          <w:sz w:val="24"/>
        </w:rPr>
        <w:t>主持人宣布商务</w:t>
      </w:r>
      <w:r>
        <w:rPr>
          <w:rFonts w:ascii="宋体" w:hAnsi="宋体"/>
          <w:sz w:val="24"/>
        </w:rPr>
        <w:t>和</w:t>
      </w:r>
      <w:r>
        <w:rPr>
          <w:rFonts w:hint="eastAsia" w:ascii="宋体" w:hAnsi="宋体"/>
          <w:sz w:val="24"/>
        </w:rPr>
        <w:t>技术</w:t>
      </w:r>
      <w:r>
        <w:rPr>
          <w:rFonts w:ascii="宋体" w:hAnsi="宋体"/>
          <w:sz w:val="24"/>
        </w:rPr>
        <w:t>文件</w:t>
      </w:r>
      <w:r>
        <w:rPr>
          <w:rFonts w:hint="eastAsia" w:ascii="宋体" w:hAnsi="宋体"/>
          <w:sz w:val="24"/>
        </w:rPr>
        <w:t>得分</w:t>
      </w:r>
      <w:r>
        <w:rPr>
          <w:rFonts w:ascii="宋体" w:hAnsi="宋体"/>
          <w:sz w:val="24"/>
        </w:rPr>
        <w:t>情况</w:t>
      </w:r>
      <w:r>
        <w:rPr>
          <w:rFonts w:hint="eastAsia" w:ascii="宋体" w:hAnsi="宋体"/>
          <w:sz w:val="24"/>
        </w:rPr>
        <w:t>及无效（废）投标情形（如有），</w:t>
      </w:r>
      <w:r>
        <w:rPr>
          <w:rFonts w:hint="eastAsia" w:ascii="宋体" w:hAnsi="宋体" w:cs="Arial"/>
          <w:sz w:val="24"/>
        </w:rPr>
        <w:t>无效供应商可收回未拆封的报价文件</w:t>
      </w:r>
      <w:r>
        <w:rPr>
          <w:rFonts w:ascii="宋体" w:hAnsi="宋体" w:cs="Arial"/>
          <w:sz w:val="24"/>
        </w:rPr>
        <w:t>和原件材料（如有）</w:t>
      </w:r>
      <w:r>
        <w:rPr>
          <w:rFonts w:hint="eastAsia" w:ascii="宋体" w:hAnsi="宋体" w:cs="Arial"/>
          <w:sz w:val="24"/>
        </w:rPr>
        <w:t>并签字确认</w:t>
      </w:r>
      <w:r>
        <w:rPr>
          <w:rFonts w:ascii="宋体" w:hAnsi="宋体" w:cs="Arial"/>
          <w:sz w:val="24"/>
        </w:rPr>
        <w:t>。</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8</w:t>
      </w:r>
      <w:r>
        <w:rPr>
          <w:rFonts w:hint="eastAsia" w:ascii="宋体" w:hAnsi="宋体"/>
          <w:sz w:val="24"/>
        </w:rPr>
        <w:t>启封“</w:t>
      </w:r>
      <w:r>
        <w:rPr>
          <w:rFonts w:hint="eastAsia" w:ascii="宋体" w:hAnsi="宋体" w:cs="Arial"/>
          <w:sz w:val="24"/>
        </w:rPr>
        <w:t>报价文件”</w:t>
      </w:r>
      <w:r>
        <w:rPr>
          <w:rFonts w:hint="eastAsia" w:ascii="宋体" w:hAnsi="宋体"/>
          <w:sz w:val="24"/>
        </w:rPr>
        <w:t>，宣读供应商名称、投标</w:t>
      </w:r>
      <w:r>
        <w:rPr>
          <w:rFonts w:ascii="宋体" w:hAnsi="宋体"/>
          <w:sz w:val="24"/>
        </w:rPr>
        <w:t>报价等</w:t>
      </w:r>
      <w:r>
        <w:rPr>
          <w:rFonts w:hint="eastAsia" w:ascii="宋体" w:hAnsi="宋体"/>
          <w:sz w:val="24"/>
        </w:rPr>
        <w:t>内容</w:t>
      </w:r>
      <w:r>
        <w:rPr>
          <w:rFonts w:ascii="宋体" w:hAnsi="宋体"/>
          <w:sz w:val="24"/>
        </w:rPr>
        <w:t>。宣</w:t>
      </w:r>
      <w:r>
        <w:rPr>
          <w:rFonts w:hint="eastAsia" w:ascii="宋体" w:hAnsi="宋体"/>
          <w:sz w:val="24"/>
        </w:rPr>
        <w:t>读结束后，参加开标会的法定代表人或其授权代表应对</w:t>
      </w:r>
      <w:r>
        <w:rPr>
          <w:rFonts w:ascii="宋体" w:hAnsi="宋体"/>
          <w:sz w:val="24"/>
        </w:rPr>
        <w:t>报价</w:t>
      </w:r>
      <w:r>
        <w:rPr>
          <w:rFonts w:hint="eastAsia" w:ascii="宋体" w:hAnsi="宋体"/>
          <w:sz w:val="24"/>
        </w:rPr>
        <w:t>和</w:t>
      </w:r>
      <w:r>
        <w:rPr>
          <w:rFonts w:ascii="宋体" w:hAnsi="宋体"/>
          <w:sz w:val="24"/>
        </w:rPr>
        <w:t>宣</w:t>
      </w:r>
      <w:r>
        <w:rPr>
          <w:rFonts w:hint="eastAsia" w:ascii="宋体" w:hAnsi="宋体"/>
          <w:sz w:val="24"/>
        </w:rPr>
        <w:t>读的内容签字确认。</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9</w:t>
      </w:r>
      <w:r>
        <w:rPr>
          <w:rFonts w:hint="eastAsia" w:ascii="宋体" w:hAnsi="宋体"/>
          <w:sz w:val="24"/>
        </w:rPr>
        <w:t>评审委员会对“</w:t>
      </w:r>
      <w:r>
        <w:rPr>
          <w:rFonts w:hint="eastAsia" w:ascii="宋体" w:hAnsi="宋体" w:cs="Arial"/>
          <w:sz w:val="24"/>
        </w:rPr>
        <w:t>报价文件”</w:t>
      </w:r>
      <w:r>
        <w:rPr>
          <w:rFonts w:hint="eastAsia" w:ascii="宋体" w:hAnsi="宋体"/>
          <w:sz w:val="24"/>
        </w:rPr>
        <w:t>进行评审，计算</w:t>
      </w:r>
      <w:r>
        <w:rPr>
          <w:rFonts w:ascii="宋体" w:hAnsi="宋体"/>
          <w:sz w:val="24"/>
        </w:rPr>
        <w:t>评标</w:t>
      </w:r>
      <w:r>
        <w:rPr>
          <w:rFonts w:hint="eastAsia" w:ascii="宋体" w:hAnsi="宋体"/>
          <w:sz w:val="24"/>
        </w:rPr>
        <w:t>价及价格分，汇总商务技术分、价格分，根据得分排序确定中标候选人。</w:t>
      </w:r>
    </w:p>
    <w:p>
      <w:pPr>
        <w:snapToGrid w:val="0"/>
        <w:spacing w:line="480" w:lineRule="exact"/>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10</w:t>
      </w:r>
      <w:r>
        <w:rPr>
          <w:rFonts w:hint="eastAsia" w:ascii="宋体" w:hAnsi="宋体"/>
          <w:sz w:val="24"/>
        </w:rPr>
        <w:t>主持人向投标单位公布评审结果。</w:t>
      </w:r>
    </w:p>
    <w:p>
      <w:pPr>
        <w:snapToGrid w:val="0"/>
        <w:spacing w:line="480" w:lineRule="exact"/>
        <w:jc w:val="left"/>
        <w:rPr>
          <w:rFonts w:ascii="宋体" w:hAnsi="宋体"/>
          <w:sz w:val="24"/>
        </w:rPr>
      </w:pPr>
      <w:r>
        <w:rPr>
          <w:rFonts w:ascii="宋体" w:hAnsi="宋体"/>
          <w:sz w:val="24"/>
        </w:rPr>
        <w:t>以上程序在不违反公开、公平、公正原则的基础上，可适当调整。</w:t>
      </w:r>
    </w:p>
    <w:p>
      <w:pPr>
        <w:spacing w:line="480" w:lineRule="exact"/>
        <w:jc w:val="left"/>
        <w:rPr>
          <w:rFonts w:ascii="宋体" w:hAnsi="宋体"/>
          <w:b/>
          <w:bCs/>
          <w:sz w:val="24"/>
        </w:rPr>
      </w:pPr>
      <w:r>
        <w:rPr>
          <w:rFonts w:ascii="宋体" w:hAnsi="宋体"/>
          <w:b/>
          <w:bCs/>
          <w:sz w:val="24"/>
        </w:rPr>
        <w:t>3</w:t>
      </w:r>
      <w:r>
        <w:rPr>
          <w:rFonts w:hint="eastAsia" w:ascii="宋体" w:hAnsi="宋体"/>
          <w:b/>
          <w:bCs/>
          <w:sz w:val="24"/>
        </w:rPr>
        <w:t>.</w:t>
      </w:r>
      <w:r>
        <w:rPr>
          <w:rFonts w:ascii="宋体" w:hAnsi="宋体"/>
          <w:b/>
          <w:bCs/>
          <w:sz w:val="24"/>
        </w:rPr>
        <w:t>评审委员会的组成</w:t>
      </w:r>
    </w:p>
    <w:p>
      <w:pPr>
        <w:spacing w:line="480" w:lineRule="exact"/>
        <w:jc w:val="left"/>
        <w:rPr>
          <w:rFonts w:ascii="宋体" w:hAnsi="宋体" w:cs="宋体"/>
          <w:sz w:val="24"/>
        </w:rPr>
      </w:pPr>
      <w:r>
        <w:rPr>
          <w:rFonts w:ascii="宋体" w:hAnsi="宋体"/>
          <w:sz w:val="24"/>
        </w:rPr>
        <w:t>3.1</w:t>
      </w:r>
      <w:r>
        <w:rPr>
          <w:rFonts w:hint="eastAsia" w:ascii="宋体" w:hAnsi="宋体" w:cs="宋体"/>
          <w:sz w:val="24"/>
        </w:rPr>
        <w:t>评</w:t>
      </w:r>
      <w:r>
        <w:rPr>
          <w:rFonts w:ascii="宋体" w:hAnsi="宋体" w:cs="宋体"/>
          <w:sz w:val="24"/>
        </w:rPr>
        <w:t>审</w:t>
      </w:r>
      <w:r>
        <w:rPr>
          <w:rFonts w:hint="eastAsia" w:ascii="宋体" w:hAnsi="宋体" w:cs="宋体"/>
          <w:sz w:val="24"/>
        </w:rPr>
        <w:t>委员会由采购单位依法组建，负责</w:t>
      </w:r>
      <w:r>
        <w:rPr>
          <w:rFonts w:ascii="宋体" w:hAnsi="宋体" w:cs="宋体"/>
          <w:sz w:val="24"/>
        </w:rPr>
        <w:t>项目评审活动</w:t>
      </w:r>
      <w:r>
        <w:rPr>
          <w:rFonts w:hint="eastAsia" w:ascii="宋体" w:hAnsi="宋体" w:cs="宋体"/>
          <w:sz w:val="24"/>
        </w:rPr>
        <w:t>及协助处理质疑投诉。</w:t>
      </w:r>
      <w:r>
        <w:rPr>
          <w:rFonts w:ascii="宋体" w:hAnsi="宋体"/>
          <w:sz w:val="24"/>
        </w:rPr>
        <w:t>参与本项目进口论证的专家不得作为采购评审专家参与同一项目的采购评审工作。</w:t>
      </w:r>
    </w:p>
    <w:p>
      <w:pPr>
        <w:spacing w:line="480" w:lineRule="exact"/>
        <w:jc w:val="left"/>
        <w:rPr>
          <w:rFonts w:ascii="宋体" w:hAnsi="宋体" w:cs="宋体"/>
          <w:sz w:val="24"/>
        </w:rPr>
      </w:pPr>
      <w:r>
        <w:rPr>
          <w:rFonts w:ascii="宋体" w:hAnsi="宋体" w:cs="宋体"/>
          <w:sz w:val="24"/>
        </w:rPr>
        <w:t>3.2</w:t>
      </w:r>
      <w:r>
        <w:rPr>
          <w:rFonts w:hint="eastAsia" w:ascii="宋体" w:hAnsi="宋体" w:cs="宋体"/>
          <w:sz w:val="24"/>
        </w:rPr>
        <w:t>评</w:t>
      </w:r>
      <w:r>
        <w:rPr>
          <w:rFonts w:ascii="宋体" w:hAnsi="宋体" w:cs="宋体"/>
          <w:sz w:val="24"/>
        </w:rPr>
        <w:t>审</w:t>
      </w:r>
      <w:r>
        <w:rPr>
          <w:rFonts w:hint="eastAsia" w:ascii="宋体" w:hAnsi="宋体" w:cs="宋体"/>
          <w:sz w:val="24"/>
        </w:rPr>
        <w:t>委员会由采购人代表</w:t>
      </w:r>
      <w:r>
        <w:rPr>
          <w:rFonts w:ascii="宋体" w:hAnsi="宋体" w:cs="宋体"/>
          <w:sz w:val="24"/>
        </w:rPr>
        <w:t>（采购人视情委派）</w:t>
      </w:r>
      <w:r>
        <w:rPr>
          <w:rFonts w:hint="eastAsia" w:ascii="宋体" w:hAnsi="宋体" w:cs="宋体"/>
          <w:sz w:val="24"/>
        </w:rPr>
        <w:t>和有关方面的专家组成，成员人数为五人</w:t>
      </w:r>
      <w:r>
        <w:rPr>
          <w:rFonts w:ascii="宋体" w:hAnsi="宋体" w:cs="宋体"/>
          <w:sz w:val="24"/>
        </w:rPr>
        <w:t>及</w:t>
      </w:r>
      <w:r>
        <w:rPr>
          <w:rFonts w:hint="eastAsia" w:ascii="宋体" w:hAnsi="宋体" w:cs="宋体"/>
          <w:sz w:val="24"/>
        </w:rPr>
        <w:t>以上单数。</w:t>
      </w:r>
      <w:r>
        <w:rPr>
          <w:rFonts w:ascii="宋体" w:hAnsi="宋体" w:cs="宋体"/>
          <w:sz w:val="24"/>
        </w:rPr>
        <w:t>预算金额在1000万及以上的，成员人数为七人及以上单数。</w:t>
      </w:r>
    </w:p>
    <w:p>
      <w:pPr>
        <w:spacing w:line="480" w:lineRule="exact"/>
        <w:jc w:val="left"/>
        <w:rPr>
          <w:rFonts w:ascii="宋体" w:hAnsi="宋体" w:cs="宋体"/>
          <w:sz w:val="24"/>
        </w:rPr>
      </w:pPr>
      <w:r>
        <w:rPr>
          <w:rFonts w:ascii="宋体" w:hAnsi="宋体" w:cs="宋体"/>
          <w:sz w:val="24"/>
        </w:rPr>
        <w:t>3.3采购人代表不得担任评审组长。</w:t>
      </w:r>
    </w:p>
    <w:p>
      <w:pPr>
        <w:spacing w:line="480" w:lineRule="exact"/>
        <w:jc w:val="left"/>
        <w:rPr>
          <w:rFonts w:ascii="宋体" w:hAnsi="宋体" w:cs="宋体"/>
          <w:sz w:val="24"/>
        </w:rPr>
      </w:pPr>
      <w:r>
        <w:rPr>
          <w:rFonts w:ascii="宋体" w:hAnsi="宋体" w:cs="宋体"/>
          <w:sz w:val="24"/>
        </w:rPr>
        <w:t>3.4经采购监督部门同意，由于专家库相应专业专家人数不足或技术复杂等原因，允许采购人推荐组成临时专家库并从中随机抽取，推荐规则参照政府采购相关规定执行。</w:t>
      </w:r>
    </w:p>
    <w:p>
      <w:pPr>
        <w:spacing w:line="480" w:lineRule="exact"/>
        <w:jc w:val="left"/>
        <w:rPr>
          <w:rFonts w:ascii="宋体" w:hAnsi="宋体" w:cs="宋体"/>
          <w:b/>
          <w:bCs/>
          <w:sz w:val="24"/>
        </w:rPr>
      </w:pPr>
      <w:r>
        <w:rPr>
          <w:rFonts w:ascii="宋体" w:hAnsi="宋体" w:cs="宋体"/>
          <w:b/>
          <w:bCs/>
          <w:sz w:val="24"/>
        </w:rPr>
        <w:t>4.评审</w:t>
      </w:r>
    </w:p>
    <w:p>
      <w:pPr>
        <w:spacing w:line="480" w:lineRule="exact"/>
        <w:jc w:val="left"/>
        <w:rPr>
          <w:rFonts w:ascii="宋体" w:hAnsi="宋体"/>
          <w:sz w:val="24"/>
        </w:rPr>
      </w:pPr>
      <w:r>
        <w:rPr>
          <w:rFonts w:ascii="宋体" w:hAnsi="宋体"/>
          <w:sz w:val="24"/>
        </w:rPr>
        <w:t>4.1评审内容包括但并仅限于格式审查、内容评审、违反法律法规情况审查。</w:t>
      </w:r>
    </w:p>
    <w:p>
      <w:pPr>
        <w:spacing w:line="480" w:lineRule="exact"/>
        <w:jc w:val="left"/>
        <w:rPr>
          <w:rFonts w:ascii="宋体" w:hAnsi="宋体"/>
          <w:sz w:val="24"/>
        </w:rPr>
      </w:pPr>
      <w:r>
        <w:rPr>
          <w:rFonts w:ascii="宋体" w:hAnsi="宋体"/>
          <w:sz w:val="24"/>
        </w:rPr>
        <w:t>4.2</w:t>
      </w:r>
      <w:r>
        <w:rPr>
          <w:rFonts w:hint="eastAsia" w:ascii="宋体" w:hAnsi="宋体" w:cs="宋体"/>
          <w:sz w:val="24"/>
        </w:rPr>
        <w:t>评审委员会</w:t>
      </w:r>
      <w:r>
        <w:rPr>
          <w:rFonts w:ascii="宋体" w:hAnsi="宋体" w:cs="宋体"/>
          <w:sz w:val="24"/>
        </w:rPr>
        <w:t>应当严格按照采购文件、投标（响应）文件（包括样品或演示内容、证明材料）进行评审，</w:t>
      </w:r>
      <w:r>
        <w:rPr>
          <w:rFonts w:hint="eastAsia" w:ascii="宋体" w:hAnsi="宋体" w:cs="宋体"/>
          <w:sz w:val="24"/>
        </w:rPr>
        <w:t>不得依据投标</w:t>
      </w:r>
      <w:r>
        <w:rPr>
          <w:rFonts w:ascii="宋体" w:hAnsi="宋体" w:cs="宋体"/>
          <w:sz w:val="24"/>
        </w:rPr>
        <w:t>（响应）</w:t>
      </w:r>
      <w:r>
        <w:rPr>
          <w:rFonts w:hint="eastAsia" w:ascii="宋体" w:hAnsi="宋体" w:cs="宋体"/>
          <w:sz w:val="24"/>
        </w:rPr>
        <w:t>文件以外的资料</w:t>
      </w:r>
      <w:r>
        <w:rPr>
          <w:rFonts w:ascii="宋体" w:hAnsi="宋体" w:cs="宋体"/>
          <w:sz w:val="24"/>
        </w:rPr>
        <w:t>评审。</w:t>
      </w:r>
    </w:p>
    <w:p>
      <w:pPr>
        <w:spacing w:line="480" w:lineRule="exact"/>
        <w:jc w:val="left"/>
        <w:rPr>
          <w:rFonts w:ascii="宋体" w:hAnsi="宋体"/>
          <w:b/>
          <w:bCs/>
          <w:sz w:val="24"/>
        </w:rPr>
      </w:pPr>
      <w:r>
        <w:rPr>
          <w:rFonts w:ascii="宋体" w:hAnsi="宋体"/>
          <w:sz w:val="24"/>
        </w:rPr>
        <w:t>4.3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宋体" w:hAnsi="宋体"/>
          <w:b/>
          <w:bCs/>
          <w:sz w:val="24"/>
        </w:rPr>
        <w:t>不接受供应商提出的主动澄清。不出席现场开标会的供应商将失去该权利。</w:t>
      </w:r>
    </w:p>
    <w:p>
      <w:pPr>
        <w:widowControl/>
        <w:snapToGrid w:val="0"/>
        <w:spacing w:line="480" w:lineRule="exact"/>
        <w:rPr>
          <w:rFonts w:ascii="宋体" w:hAnsi="宋体"/>
          <w:kern w:val="0"/>
          <w:sz w:val="24"/>
        </w:rPr>
      </w:pPr>
      <w:r>
        <w:rPr>
          <w:rFonts w:ascii="宋体" w:hAnsi="宋体" w:cs="宋体"/>
          <w:sz w:val="24"/>
        </w:rPr>
        <w:t>4</w:t>
      </w:r>
      <w:r>
        <w:rPr>
          <w:rFonts w:hint="eastAsia" w:ascii="宋体" w:hAnsi="宋体" w:cs="宋体"/>
          <w:sz w:val="24"/>
        </w:rPr>
        <w:t>.</w:t>
      </w:r>
      <w:r>
        <w:rPr>
          <w:rFonts w:ascii="宋体" w:hAnsi="宋体" w:cs="宋体"/>
          <w:sz w:val="24"/>
        </w:rPr>
        <w:t>4评审委员会不负责解释供应商的得分高低和失分情况</w:t>
      </w:r>
      <w:r>
        <w:rPr>
          <w:rFonts w:hint="eastAsia" w:ascii="宋体" w:hAnsi="宋体" w:cs="宋体"/>
          <w:sz w:val="24"/>
        </w:rPr>
        <w:t>，不退还</w:t>
      </w:r>
      <w:r>
        <w:rPr>
          <w:rFonts w:ascii="宋体" w:hAnsi="宋体" w:cs="宋体"/>
          <w:sz w:val="24"/>
        </w:rPr>
        <w:t>已经拆封的</w:t>
      </w:r>
      <w:r>
        <w:rPr>
          <w:rFonts w:hint="eastAsia" w:ascii="宋体" w:hAnsi="宋体" w:cs="宋体"/>
          <w:sz w:val="24"/>
        </w:rPr>
        <w:t>投标文件。</w:t>
      </w:r>
    </w:p>
    <w:p>
      <w:pPr>
        <w:pStyle w:val="23"/>
        <w:snapToGrid w:val="0"/>
        <w:spacing w:line="440" w:lineRule="exact"/>
        <w:jc w:val="left"/>
        <w:rPr>
          <w:rFonts w:hAnsi="宋体"/>
          <w:b/>
          <w:sz w:val="24"/>
          <w:szCs w:val="24"/>
        </w:rPr>
      </w:pPr>
      <w:r>
        <w:rPr>
          <w:rFonts w:hAnsi="宋体"/>
          <w:b/>
          <w:sz w:val="24"/>
          <w:szCs w:val="24"/>
        </w:rPr>
        <w:t>5</w:t>
      </w:r>
      <w:r>
        <w:rPr>
          <w:rFonts w:hint="eastAsia" w:hAnsi="宋体"/>
          <w:b/>
          <w:sz w:val="24"/>
          <w:szCs w:val="24"/>
        </w:rPr>
        <w:t>．无效投标的情形</w:t>
      </w:r>
    </w:p>
    <w:p>
      <w:pPr>
        <w:tabs>
          <w:tab w:val="left" w:pos="4085"/>
        </w:tabs>
        <w:snapToGrid w:val="0"/>
        <w:spacing w:line="440" w:lineRule="exact"/>
        <w:ind w:firstLine="480" w:firstLineChars="200"/>
        <w:jc w:val="left"/>
        <w:rPr>
          <w:rFonts w:ascii="宋体" w:hAnsi="宋体"/>
          <w:sz w:val="24"/>
        </w:rPr>
      </w:pPr>
      <w:r>
        <w:rPr>
          <w:rFonts w:hint="eastAsia" w:ascii="宋体" w:hAnsi="宋体"/>
          <w:sz w:val="24"/>
        </w:rPr>
        <w:t>投标</w:t>
      </w:r>
      <w:r>
        <w:rPr>
          <w:rFonts w:ascii="宋体" w:hAnsi="宋体"/>
          <w:sz w:val="24"/>
        </w:rPr>
        <w:t>响应</w:t>
      </w:r>
      <w:r>
        <w:rPr>
          <w:rFonts w:hint="eastAsia" w:ascii="宋体" w:hAnsi="宋体"/>
          <w:sz w:val="24"/>
        </w:rPr>
        <w:t>文件有下列情形之一的作无效投标处理：</w:t>
      </w:r>
    </w:p>
    <w:p>
      <w:pPr>
        <w:snapToGrid w:val="0"/>
        <w:spacing w:line="440" w:lineRule="exact"/>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单位负责人为同一人或者存在直接控股、管理关系的不同供应商参加</w:t>
      </w:r>
      <w:r>
        <w:rPr>
          <w:rFonts w:ascii="宋体" w:hAnsi="宋体"/>
          <w:sz w:val="24"/>
        </w:rPr>
        <w:t>本项目</w:t>
      </w:r>
      <w:r>
        <w:rPr>
          <w:rFonts w:hint="eastAsia" w:ascii="宋体" w:hAnsi="宋体"/>
          <w:sz w:val="24"/>
        </w:rPr>
        <w:t>同一合同项</w:t>
      </w:r>
      <w:r>
        <w:rPr>
          <w:rFonts w:ascii="宋体" w:hAnsi="宋体"/>
          <w:sz w:val="24"/>
        </w:rPr>
        <w:t>（标段）</w:t>
      </w:r>
      <w:r>
        <w:rPr>
          <w:rFonts w:hint="eastAsia" w:ascii="宋体" w:hAnsi="宋体"/>
          <w:sz w:val="24"/>
        </w:rPr>
        <w:t>下的采购活动的（</w:t>
      </w:r>
      <w:r>
        <w:rPr>
          <w:rFonts w:ascii="宋体" w:hAnsi="宋体"/>
          <w:sz w:val="24"/>
        </w:rPr>
        <w:t>双方</w:t>
      </w:r>
      <w:r>
        <w:rPr>
          <w:rFonts w:hint="eastAsia" w:ascii="宋体" w:hAnsi="宋体"/>
          <w:sz w:val="24"/>
        </w:rPr>
        <w:t>均</w:t>
      </w:r>
      <w:r>
        <w:rPr>
          <w:rFonts w:ascii="宋体" w:hAnsi="宋体"/>
          <w:sz w:val="24"/>
        </w:rPr>
        <w:t>作</w:t>
      </w:r>
      <w:r>
        <w:rPr>
          <w:rFonts w:hint="eastAsia" w:ascii="宋体" w:hAnsi="宋体"/>
          <w:sz w:val="24"/>
        </w:rPr>
        <w:t>无效</w:t>
      </w:r>
      <w:r>
        <w:rPr>
          <w:rFonts w:ascii="宋体" w:hAnsi="宋体"/>
          <w:sz w:val="24"/>
        </w:rPr>
        <w:t>投标处理</w:t>
      </w:r>
      <w:r>
        <w:rPr>
          <w:rFonts w:hint="eastAsia" w:ascii="宋体" w:hAnsi="宋体"/>
          <w:sz w:val="24"/>
        </w:rPr>
        <w:t>）；</w:t>
      </w:r>
    </w:p>
    <w:p>
      <w:pPr>
        <w:snapToGrid w:val="0"/>
        <w:spacing w:line="440" w:lineRule="exact"/>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2</w:t>
      </w:r>
      <w:r>
        <w:rPr>
          <w:rFonts w:hint="eastAsia" w:ascii="宋体" w:hAnsi="宋体"/>
          <w:sz w:val="24"/>
        </w:rPr>
        <w:t>为采购项目提供整体设计、规范编制或者项目管理、监理、检测等服务的供应商再参加该采购项目的其他采购活动的</w:t>
      </w:r>
      <w:r>
        <w:rPr>
          <w:rFonts w:ascii="宋体" w:hAnsi="宋体"/>
          <w:sz w:val="24"/>
        </w:rPr>
        <w:t>（单一来源采购除外）</w:t>
      </w:r>
      <w:r>
        <w:rPr>
          <w:rFonts w:hint="eastAsia" w:ascii="宋体" w:hAnsi="宋体"/>
          <w:sz w:val="24"/>
        </w:rPr>
        <w:t xml:space="preserve">； </w:t>
      </w:r>
    </w:p>
    <w:p>
      <w:pPr>
        <w:snapToGrid w:val="0"/>
        <w:spacing w:line="440" w:lineRule="exact"/>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3</w:t>
      </w:r>
      <w:r>
        <w:rPr>
          <w:rFonts w:hint="eastAsia" w:ascii="宋体" w:hAnsi="宋体"/>
          <w:sz w:val="24"/>
        </w:rPr>
        <w:t>供应商不具备</w:t>
      </w:r>
      <w:r>
        <w:rPr>
          <w:rFonts w:ascii="宋体" w:hAnsi="宋体"/>
          <w:sz w:val="24"/>
        </w:rPr>
        <w:t>采购</w:t>
      </w:r>
      <w:r>
        <w:rPr>
          <w:rFonts w:hint="eastAsia" w:ascii="宋体" w:hAnsi="宋体"/>
          <w:sz w:val="24"/>
        </w:rPr>
        <w:t>文件中规定的资格要求的（供应商未</w:t>
      </w:r>
      <w:r>
        <w:rPr>
          <w:rFonts w:ascii="宋体" w:hAnsi="宋体"/>
          <w:sz w:val="24"/>
        </w:rPr>
        <w:t>按采购文件要求提供</w:t>
      </w:r>
      <w:r>
        <w:rPr>
          <w:rFonts w:hint="eastAsia" w:ascii="宋体" w:hAnsi="宋体"/>
          <w:sz w:val="24"/>
        </w:rPr>
        <w:t>资格证明文件的，视为供应商不具备</w:t>
      </w:r>
      <w:r>
        <w:rPr>
          <w:rFonts w:ascii="宋体" w:hAnsi="宋体"/>
          <w:sz w:val="24"/>
        </w:rPr>
        <w:t>采购</w:t>
      </w:r>
      <w:r>
        <w:rPr>
          <w:rFonts w:hint="eastAsia" w:ascii="宋体" w:hAnsi="宋体"/>
          <w:sz w:val="24"/>
        </w:rPr>
        <w:t>文件中规定的资格要求）；</w:t>
      </w:r>
    </w:p>
    <w:p>
      <w:pPr>
        <w:snapToGrid w:val="0"/>
        <w:spacing w:line="440" w:lineRule="exact"/>
        <w:jc w:val="left"/>
        <w:rPr>
          <w:rFonts w:ascii="宋体" w:hAnsi="宋体"/>
          <w:kern w:val="0"/>
          <w:sz w:val="24"/>
        </w:rPr>
      </w:pPr>
      <w:r>
        <w:rPr>
          <w:rFonts w:ascii="宋体" w:hAnsi="宋体"/>
          <w:sz w:val="24"/>
        </w:rPr>
        <w:t>5</w:t>
      </w:r>
      <w:r>
        <w:rPr>
          <w:rFonts w:hint="eastAsia" w:ascii="宋体" w:hAnsi="宋体"/>
          <w:sz w:val="24"/>
        </w:rPr>
        <w:t>.</w:t>
      </w:r>
      <w:r>
        <w:rPr>
          <w:rFonts w:ascii="宋体" w:hAnsi="宋体"/>
          <w:sz w:val="24"/>
        </w:rPr>
        <w:t>4</w:t>
      </w:r>
      <w:r>
        <w:rPr>
          <w:rFonts w:hint="eastAsia" w:ascii="宋体" w:hAnsi="宋体"/>
          <w:kern w:val="0"/>
          <w:sz w:val="24"/>
        </w:rPr>
        <w:t>法定代表人参加开标会，</w:t>
      </w:r>
      <w:r>
        <w:rPr>
          <w:rFonts w:hint="eastAsia" w:ascii="宋体" w:hAnsi="宋体"/>
          <w:sz w:val="24"/>
        </w:rPr>
        <w:t>未能出具身份证明的</w:t>
      </w:r>
      <w:r>
        <w:rPr>
          <w:rFonts w:hint="eastAsia" w:ascii="宋体" w:hAnsi="宋体"/>
          <w:kern w:val="0"/>
          <w:sz w:val="24"/>
        </w:rPr>
        <w:t>；个体工商户参加开标会，</w:t>
      </w:r>
      <w:r>
        <w:rPr>
          <w:rFonts w:hint="eastAsia" w:ascii="宋体" w:hAnsi="宋体"/>
          <w:sz w:val="24"/>
        </w:rPr>
        <w:t>未能出具身份证明的或</w:t>
      </w:r>
      <w:r>
        <w:rPr>
          <w:rFonts w:hint="eastAsia" w:ascii="宋体" w:hAnsi="宋体"/>
          <w:kern w:val="0"/>
          <w:sz w:val="24"/>
        </w:rPr>
        <w:t>提供的身份证明与营业执照不一致的；</w:t>
      </w:r>
      <w:r>
        <w:rPr>
          <w:rFonts w:hint="eastAsia" w:ascii="宋体" w:hAnsi="宋体"/>
          <w:sz w:val="24"/>
        </w:rPr>
        <w:t>授权代表</w:t>
      </w:r>
      <w:r>
        <w:rPr>
          <w:rFonts w:hint="eastAsia" w:ascii="宋体" w:hAnsi="宋体"/>
          <w:kern w:val="0"/>
          <w:sz w:val="24"/>
        </w:rPr>
        <w:t>无《法定代表人授权委托书》</w:t>
      </w:r>
      <w:r>
        <w:rPr>
          <w:rFonts w:ascii="宋体" w:hAnsi="宋体"/>
          <w:kern w:val="0"/>
          <w:sz w:val="24"/>
        </w:rPr>
        <w:t>或</w:t>
      </w:r>
      <w:r>
        <w:rPr>
          <w:rFonts w:hint="eastAsia" w:ascii="宋体" w:hAnsi="宋体"/>
          <w:kern w:val="0"/>
          <w:sz w:val="24"/>
        </w:rPr>
        <w:t>《法定代表人授权委托书》</w:t>
      </w:r>
      <w:r>
        <w:rPr>
          <w:rFonts w:ascii="宋体" w:hAnsi="宋体"/>
          <w:kern w:val="0"/>
          <w:sz w:val="24"/>
        </w:rPr>
        <w:t>填写错误</w:t>
      </w:r>
      <w:r>
        <w:rPr>
          <w:rFonts w:hint="eastAsia" w:ascii="宋体" w:hAnsi="宋体"/>
          <w:kern w:val="0"/>
          <w:sz w:val="24"/>
        </w:rPr>
        <w:t>或</w:t>
      </w:r>
      <w:r>
        <w:rPr>
          <w:rFonts w:hint="eastAsia" w:ascii="宋体" w:hAnsi="宋体"/>
          <w:sz w:val="24"/>
        </w:rPr>
        <w:t>未能出具身份证明的</w:t>
      </w:r>
      <w:r>
        <w:rPr>
          <w:rFonts w:hint="eastAsia" w:ascii="宋体" w:hAnsi="宋体"/>
          <w:kern w:val="0"/>
          <w:sz w:val="24"/>
        </w:rPr>
        <w:t>；</w:t>
      </w:r>
    </w:p>
    <w:p>
      <w:pPr>
        <w:snapToGrid w:val="0"/>
        <w:spacing w:line="440" w:lineRule="exact"/>
        <w:jc w:val="left"/>
        <w:rPr>
          <w:rFonts w:ascii="宋体" w:hAnsi="宋体"/>
          <w:kern w:val="0"/>
          <w:sz w:val="24"/>
        </w:rPr>
      </w:pPr>
      <w:r>
        <w:rPr>
          <w:rFonts w:ascii="宋体" w:hAnsi="宋体"/>
          <w:kern w:val="0"/>
          <w:sz w:val="24"/>
        </w:rPr>
        <w:t>5</w:t>
      </w:r>
      <w:r>
        <w:rPr>
          <w:rFonts w:hint="eastAsia" w:ascii="宋体" w:hAnsi="宋体"/>
          <w:kern w:val="0"/>
          <w:sz w:val="24"/>
        </w:rPr>
        <w:t>.</w:t>
      </w:r>
      <w:r>
        <w:rPr>
          <w:rFonts w:ascii="宋体" w:hAnsi="宋体"/>
          <w:kern w:val="0"/>
          <w:sz w:val="24"/>
        </w:rPr>
        <w:t>5</w:t>
      </w:r>
      <w:r>
        <w:rPr>
          <w:rFonts w:hint="eastAsia" w:ascii="宋体" w:hAnsi="宋体"/>
          <w:kern w:val="0"/>
          <w:sz w:val="24"/>
        </w:rPr>
        <w:t>授权代表非投标单位正式职工的（以</w:t>
      </w:r>
      <w:r>
        <w:rPr>
          <w:rFonts w:ascii="宋体" w:hAnsi="宋体"/>
          <w:kern w:val="0"/>
          <w:sz w:val="24"/>
        </w:rPr>
        <w:t>社保证明</w:t>
      </w:r>
      <w:r>
        <w:rPr>
          <w:rFonts w:hint="eastAsia" w:ascii="宋体" w:hAnsi="宋体"/>
          <w:kern w:val="0"/>
          <w:sz w:val="24"/>
        </w:rPr>
        <w:t>为准，如授权代表为</w:t>
      </w:r>
      <w:r>
        <w:rPr>
          <w:rFonts w:ascii="宋体" w:hAnsi="宋体"/>
          <w:kern w:val="0"/>
          <w:sz w:val="24"/>
        </w:rPr>
        <w:t>离退休返聘人员的，</w:t>
      </w:r>
      <w:r>
        <w:rPr>
          <w:rFonts w:hint="eastAsia" w:ascii="宋体" w:hAnsi="宋体"/>
          <w:kern w:val="0"/>
          <w:sz w:val="24"/>
        </w:rPr>
        <w:t>需提供</w:t>
      </w:r>
      <w:r>
        <w:rPr>
          <w:rFonts w:ascii="宋体" w:hAnsi="宋体"/>
          <w:kern w:val="0"/>
          <w:sz w:val="24"/>
        </w:rPr>
        <w:t>退休证明及单位聘用证明</w:t>
      </w:r>
      <w:r>
        <w:rPr>
          <w:rFonts w:hint="eastAsia" w:ascii="宋体" w:hAnsi="宋体"/>
          <w:kern w:val="0"/>
          <w:sz w:val="24"/>
        </w:rPr>
        <w:t>）</w:t>
      </w:r>
      <w:r>
        <w:rPr>
          <w:rFonts w:ascii="宋体" w:hAnsi="宋体"/>
          <w:kern w:val="0"/>
          <w:sz w:val="24"/>
        </w:rPr>
        <w:t>，</w:t>
      </w:r>
      <w:r>
        <w:rPr>
          <w:rFonts w:hint="eastAsia" w:ascii="宋体" w:hAnsi="宋体"/>
          <w:kern w:val="0"/>
          <w:sz w:val="24"/>
        </w:rPr>
        <w:t>法定代表人</w:t>
      </w:r>
      <w:r>
        <w:rPr>
          <w:rFonts w:ascii="宋体" w:hAnsi="宋体"/>
          <w:kern w:val="0"/>
          <w:sz w:val="24"/>
        </w:rPr>
        <w:t>或</w:t>
      </w:r>
      <w:r>
        <w:rPr>
          <w:rFonts w:hint="eastAsia" w:ascii="宋体" w:hAnsi="宋体"/>
          <w:kern w:val="0"/>
          <w:sz w:val="24"/>
        </w:rPr>
        <w:t>个体工商户</w:t>
      </w:r>
      <w:r>
        <w:rPr>
          <w:rFonts w:ascii="宋体" w:hAnsi="宋体"/>
          <w:kern w:val="0"/>
          <w:sz w:val="24"/>
        </w:rPr>
        <w:t>经营者</w:t>
      </w:r>
      <w:r>
        <w:rPr>
          <w:rFonts w:hint="eastAsia" w:ascii="宋体" w:hAnsi="宋体"/>
          <w:kern w:val="0"/>
          <w:sz w:val="24"/>
        </w:rPr>
        <w:t>参加开标会</w:t>
      </w:r>
      <w:r>
        <w:rPr>
          <w:rFonts w:ascii="宋体" w:hAnsi="宋体"/>
          <w:kern w:val="0"/>
          <w:sz w:val="24"/>
        </w:rPr>
        <w:t>的</w:t>
      </w:r>
      <w:r>
        <w:rPr>
          <w:rFonts w:hint="eastAsia" w:ascii="宋体" w:hAnsi="宋体"/>
          <w:kern w:val="0"/>
          <w:sz w:val="24"/>
        </w:rPr>
        <w:t>除外；</w:t>
      </w:r>
    </w:p>
    <w:p>
      <w:pPr>
        <w:snapToGrid w:val="0"/>
        <w:spacing w:line="440" w:lineRule="exact"/>
        <w:jc w:val="left"/>
        <w:rPr>
          <w:rFonts w:ascii="宋体" w:hAnsi="宋体"/>
          <w:kern w:val="0"/>
          <w:sz w:val="24"/>
        </w:rPr>
      </w:pPr>
      <w:r>
        <w:rPr>
          <w:rFonts w:ascii="宋体" w:hAnsi="宋体"/>
          <w:kern w:val="0"/>
          <w:sz w:val="24"/>
        </w:rPr>
        <w:t>5</w:t>
      </w:r>
      <w:r>
        <w:rPr>
          <w:rFonts w:hint="eastAsia" w:ascii="宋体" w:hAnsi="宋体"/>
          <w:kern w:val="0"/>
          <w:sz w:val="24"/>
        </w:rPr>
        <w:t>.</w:t>
      </w:r>
      <w:r>
        <w:rPr>
          <w:rFonts w:ascii="宋体" w:hAnsi="宋体"/>
          <w:kern w:val="0"/>
          <w:sz w:val="24"/>
        </w:rPr>
        <w:t>6投标文件制作出现如下情况：</w:t>
      </w:r>
    </w:p>
    <w:p>
      <w:pPr>
        <w:snapToGrid w:val="0"/>
        <w:spacing w:line="440" w:lineRule="exact"/>
        <w:ind w:firstLine="480" w:firstLineChars="200"/>
        <w:jc w:val="left"/>
        <w:rPr>
          <w:rFonts w:ascii="宋体" w:hAnsi="宋体"/>
          <w:kern w:val="0"/>
          <w:sz w:val="24"/>
        </w:rPr>
      </w:pPr>
      <w:r>
        <w:rPr>
          <w:rFonts w:ascii="宋体" w:hAnsi="宋体"/>
          <w:sz w:val="24"/>
        </w:rPr>
        <w:t>5.6</w:t>
      </w:r>
      <w:r>
        <w:rPr>
          <w:rFonts w:hint="eastAsia" w:ascii="宋体" w:hAnsi="宋体"/>
          <w:kern w:val="0"/>
          <w:sz w:val="24"/>
        </w:rPr>
        <w:t>.1未按采购文件要求制作“资格文件”的；</w:t>
      </w:r>
    </w:p>
    <w:p>
      <w:pPr>
        <w:snapToGrid w:val="0"/>
        <w:spacing w:line="440" w:lineRule="exact"/>
        <w:ind w:firstLine="480" w:firstLineChars="200"/>
        <w:jc w:val="left"/>
        <w:rPr>
          <w:rFonts w:ascii="宋体" w:hAnsi="宋体"/>
          <w:sz w:val="24"/>
        </w:rPr>
      </w:pPr>
      <w:r>
        <w:rPr>
          <w:rFonts w:ascii="宋体" w:hAnsi="宋体"/>
          <w:sz w:val="24"/>
        </w:rPr>
        <w:t>5.6</w:t>
      </w:r>
      <w:r>
        <w:rPr>
          <w:rFonts w:hint="eastAsia" w:ascii="宋体" w:hAnsi="宋体"/>
          <w:sz w:val="24"/>
        </w:rPr>
        <w:t>.2报价一经涂改，未在涂改处加盖投标单位公章或者未经法定代表人或其授权代表签字或盖章的；</w:t>
      </w:r>
    </w:p>
    <w:p>
      <w:pPr>
        <w:snapToGrid w:val="0"/>
        <w:spacing w:line="440" w:lineRule="exact"/>
        <w:ind w:firstLine="480" w:firstLineChars="200"/>
        <w:jc w:val="left"/>
        <w:rPr>
          <w:rFonts w:ascii="宋体" w:hAnsi="宋体"/>
          <w:sz w:val="24"/>
        </w:rPr>
      </w:pPr>
      <w:r>
        <w:rPr>
          <w:rFonts w:ascii="宋体" w:hAnsi="宋体"/>
          <w:sz w:val="24"/>
        </w:rPr>
        <w:t>5.6</w:t>
      </w:r>
      <w:r>
        <w:rPr>
          <w:rFonts w:hint="eastAsia" w:ascii="宋体" w:hAnsi="宋体"/>
          <w:sz w:val="24"/>
        </w:rPr>
        <w:t>.3“资格文件”或“商务和技术文件”</w:t>
      </w:r>
      <w:r>
        <w:rPr>
          <w:rFonts w:ascii="宋体" w:hAnsi="宋体"/>
          <w:sz w:val="24"/>
        </w:rPr>
        <w:t>或证明材料原件</w:t>
      </w:r>
      <w:r>
        <w:rPr>
          <w:rFonts w:hint="eastAsia" w:ascii="宋体" w:hAnsi="宋体"/>
          <w:sz w:val="24"/>
        </w:rPr>
        <w:t>中出现用于价格分评审的投标报价的（采购文件另有规定的参与“商务和技术文件”评审的报价除外）；</w:t>
      </w:r>
    </w:p>
    <w:p>
      <w:pPr>
        <w:snapToGrid w:val="0"/>
        <w:spacing w:line="440" w:lineRule="exact"/>
        <w:ind w:firstLine="480" w:firstLineChars="200"/>
        <w:jc w:val="left"/>
        <w:rPr>
          <w:rFonts w:ascii="宋体" w:hAnsi="宋体"/>
          <w:sz w:val="24"/>
        </w:rPr>
      </w:pPr>
      <w:r>
        <w:rPr>
          <w:rFonts w:ascii="宋体" w:hAnsi="宋体"/>
          <w:sz w:val="24"/>
        </w:rPr>
        <w:t>5.6</w:t>
      </w:r>
      <w:r>
        <w:rPr>
          <w:rFonts w:hint="eastAsia" w:ascii="宋体" w:hAnsi="宋体"/>
          <w:sz w:val="24"/>
        </w:rPr>
        <w:t>.4对招标服务或技术或产品等要求未详细应答或应答内容不全、有缺失的,经评审委员会认定为无法评审的；</w:t>
      </w:r>
    </w:p>
    <w:p>
      <w:pPr>
        <w:snapToGrid w:val="0"/>
        <w:spacing w:line="440" w:lineRule="exact"/>
        <w:ind w:firstLine="480" w:firstLineChars="200"/>
        <w:jc w:val="left"/>
        <w:rPr>
          <w:rFonts w:ascii="宋体" w:hAnsi="宋体"/>
          <w:sz w:val="24"/>
        </w:rPr>
      </w:pPr>
      <w:r>
        <w:rPr>
          <w:rFonts w:ascii="宋体" w:hAnsi="宋体"/>
          <w:sz w:val="24"/>
        </w:rPr>
        <w:t>5.6</w:t>
      </w:r>
      <w:r>
        <w:rPr>
          <w:rFonts w:hint="eastAsia" w:ascii="宋体" w:hAnsi="宋体"/>
          <w:sz w:val="24"/>
        </w:rPr>
        <w:t>.5关键信息填写不完整或字迹不能辨认或有漏项的，经评审委员会认定属于重大偏差的；</w:t>
      </w:r>
    </w:p>
    <w:p>
      <w:pPr>
        <w:snapToGrid w:val="0"/>
        <w:spacing w:line="440" w:lineRule="exact"/>
        <w:ind w:firstLine="480" w:firstLineChars="200"/>
        <w:jc w:val="left"/>
        <w:rPr>
          <w:rFonts w:ascii="宋体" w:hAnsi="宋体"/>
          <w:sz w:val="24"/>
        </w:rPr>
      </w:pPr>
      <w:r>
        <w:rPr>
          <w:rFonts w:ascii="宋体" w:hAnsi="宋体"/>
          <w:sz w:val="24"/>
        </w:rPr>
        <w:t>5.6</w:t>
      </w:r>
      <w:r>
        <w:rPr>
          <w:rFonts w:hint="eastAsia" w:ascii="宋体" w:hAnsi="宋体"/>
          <w:sz w:val="24"/>
        </w:rPr>
        <w:t>.6未按采购文件规定要求签署盖章的。</w:t>
      </w:r>
    </w:p>
    <w:p>
      <w:pPr>
        <w:snapToGrid w:val="0"/>
        <w:spacing w:line="440" w:lineRule="exact"/>
        <w:jc w:val="left"/>
        <w:rPr>
          <w:rFonts w:ascii="宋体" w:hAnsi="宋体"/>
          <w:sz w:val="24"/>
        </w:rPr>
      </w:pPr>
      <w:r>
        <w:rPr>
          <w:rFonts w:ascii="宋体" w:hAnsi="宋体"/>
          <w:kern w:val="0"/>
          <w:sz w:val="24"/>
        </w:rPr>
        <w:t>5.7</w:t>
      </w:r>
      <w:r>
        <w:rPr>
          <w:rFonts w:hint="eastAsia" w:ascii="宋体" w:hAnsi="宋体"/>
          <w:sz w:val="24"/>
        </w:rPr>
        <w:t>投标文件与项目不符或内容严重不全</w:t>
      </w:r>
      <w:r>
        <w:rPr>
          <w:rFonts w:ascii="宋体" w:hAnsi="宋体"/>
          <w:sz w:val="24"/>
        </w:rPr>
        <w:t>或就同一项目</w:t>
      </w:r>
      <w:r>
        <w:rPr>
          <w:rFonts w:hint="eastAsia" w:ascii="宋体" w:hAnsi="宋体"/>
          <w:sz w:val="24"/>
        </w:rPr>
        <w:t>递交</w:t>
      </w:r>
      <w:r>
        <w:rPr>
          <w:rFonts w:ascii="宋体" w:hAnsi="宋体"/>
          <w:sz w:val="24"/>
        </w:rPr>
        <w:t>多份明显</w:t>
      </w:r>
      <w:r>
        <w:rPr>
          <w:rFonts w:hint="eastAsia" w:ascii="宋体" w:hAnsi="宋体"/>
          <w:sz w:val="24"/>
        </w:rPr>
        <w:t>内容不同的投标</w:t>
      </w:r>
      <w:r>
        <w:rPr>
          <w:rFonts w:ascii="宋体" w:hAnsi="宋体"/>
          <w:sz w:val="24"/>
        </w:rPr>
        <w:t>文件的</w:t>
      </w:r>
      <w:r>
        <w:rPr>
          <w:rFonts w:hint="eastAsia" w:ascii="宋体" w:hAnsi="宋体"/>
          <w:sz w:val="24"/>
        </w:rPr>
        <w:t>；</w:t>
      </w:r>
    </w:p>
    <w:p>
      <w:pPr>
        <w:snapToGrid w:val="0"/>
        <w:spacing w:line="440" w:lineRule="exact"/>
        <w:jc w:val="left"/>
        <w:rPr>
          <w:rFonts w:ascii="宋体" w:hAnsi="宋体"/>
          <w:sz w:val="24"/>
        </w:rPr>
      </w:pPr>
      <w:r>
        <w:rPr>
          <w:rFonts w:ascii="宋体" w:hAnsi="宋体"/>
          <w:kern w:val="0"/>
          <w:sz w:val="24"/>
        </w:rPr>
        <w:t>5.8</w:t>
      </w:r>
      <w:r>
        <w:rPr>
          <w:rFonts w:hint="eastAsia" w:ascii="宋体" w:hAnsi="宋体"/>
          <w:sz w:val="24"/>
        </w:rPr>
        <w:t>未按照</w:t>
      </w:r>
      <w:r>
        <w:rPr>
          <w:rFonts w:ascii="宋体" w:hAnsi="宋体"/>
          <w:sz w:val="24"/>
        </w:rPr>
        <w:t>采购</w:t>
      </w:r>
      <w:r>
        <w:rPr>
          <w:rFonts w:hint="eastAsia" w:ascii="宋体" w:hAnsi="宋体"/>
          <w:sz w:val="24"/>
        </w:rPr>
        <w:t>文件规定要求密封封装、签署、盖章的；</w:t>
      </w:r>
    </w:p>
    <w:p>
      <w:pPr>
        <w:tabs>
          <w:tab w:val="left" w:pos="3870"/>
          <w:tab w:val="left" w:pos="4085"/>
        </w:tabs>
        <w:snapToGrid w:val="0"/>
        <w:spacing w:line="440" w:lineRule="exact"/>
        <w:jc w:val="left"/>
        <w:rPr>
          <w:rFonts w:ascii="宋体" w:hAnsi="宋体"/>
          <w:kern w:val="0"/>
          <w:sz w:val="24"/>
        </w:rPr>
      </w:pPr>
      <w:r>
        <w:rPr>
          <w:rFonts w:ascii="宋体" w:hAnsi="宋体"/>
          <w:sz w:val="24"/>
        </w:rPr>
        <w:t>5.9</w:t>
      </w:r>
      <w:r>
        <w:rPr>
          <w:rFonts w:hint="eastAsia" w:ascii="宋体" w:hAnsi="宋体"/>
          <w:kern w:val="0"/>
          <w:sz w:val="24"/>
        </w:rPr>
        <w:t>投标</w:t>
      </w:r>
      <w:r>
        <w:rPr>
          <w:rFonts w:ascii="宋体" w:hAnsi="宋体"/>
          <w:kern w:val="0"/>
          <w:sz w:val="24"/>
        </w:rPr>
        <w:t>响应</w:t>
      </w:r>
      <w:r>
        <w:rPr>
          <w:rFonts w:hint="eastAsia" w:ascii="宋体" w:hAnsi="宋体"/>
          <w:kern w:val="0"/>
          <w:sz w:val="24"/>
        </w:rPr>
        <w:t>文件含有采购人不能接受的附加条件</w:t>
      </w:r>
      <w:r>
        <w:rPr>
          <w:rFonts w:ascii="宋体" w:hAnsi="宋体"/>
          <w:kern w:val="0"/>
          <w:sz w:val="24"/>
        </w:rPr>
        <w:t>的</w:t>
      </w:r>
      <w:r>
        <w:rPr>
          <w:rFonts w:hint="eastAsia" w:ascii="宋体" w:hAnsi="宋体"/>
          <w:kern w:val="0"/>
          <w:sz w:val="24"/>
        </w:rPr>
        <w:t>；</w:t>
      </w:r>
    </w:p>
    <w:p>
      <w:pPr>
        <w:tabs>
          <w:tab w:val="left" w:pos="3870"/>
          <w:tab w:val="left" w:pos="4085"/>
        </w:tabs>
        <w:snapToGrid w:val="0"/>
        <w:spacing w:line="440" w:lineRule="exact"/>
        <w:jc w:val="left"/>
        <w:rPr>
          <w:rFonts w:ascii="宋体" w:hAnsi="宋体"/>
          <w:kern w:val="0"/>
          <w:sz w:val="24"/>
        </w:rPr>
      </w:pPr>
      <w:r>
        <w:rPr>
          <w:rFonts w:ascii="宋体" w:hAnsi="宋体"/>
          <w:kern w:val="0"/>
          <w:sz w:val="24"/>
        </w:rPr>
        <w:t>5.</w:t>
      </w:r>
      <w:r>
        <w:rPr>
          <w:rFonts w:hint="eastAsia" w:ascii="宋体" w:hAnsi="宋体"/>
          <w:kern w:val="0"/>
          <w:sz w:val="24"/>
        </w:rPr>
        <w:t>10</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宋体" w:hAnsi="宋体"/>
          <w:sz w:val="24"/>
        </w:rPr>
      </w:pPr>
      <w:r>
        <w:rPr>
          <w:rFonts w:ascii="宋体" w:hAnsi="宋体"/>
          <w:sz w:val="24"/>
        </w:rPr>
        <w:t>5.11</w:t>
      </w:r>
      <w:r>
        <w:rPr>
          <w:rFonts w:hint="eastAsia" w:ascii="宋体" w:hAnsi="宋体"/>
          <w:sz w:val="24"/>
        </w:rPr>
        <w:t>报价超过招标文件中规定的预算金额</w:t>
      </w:r>
      <w:r>
        <w:rPr>
          <w:rFonts w:ascii="宋体" w:hAnsi="宋体"/>
          <w:sz w:val="24"/>
        </w:rPr>
        <w:t>或</w:t>
      </w:r>
      <w:r>
        <w:rPr>
          <w:rFonts w:hint="eastAsia" w:ascii="宋体" w:hAnsi="宋体"/>
          <w:sz w:val="24"/>
        </w:rPr>
        <w:t>最高限价</w:t>
      </w:r>
      <w:r>
        <w:rPr>
          <w:rFonts w:ascii="宋体" w:hAnsi="宋体"/>
          <w:sz w:val="24"/>
        </w:rPr>
        <w:t>（包括单价限价等采购文件规定的各类限价）</w:t>
      </w:r>
      <w:r>
        <w:rPr>
          <w:rFonts w:hint="eastAsia" w:ascii="宋体" w:hAnsi="宋体"/>
          <w:sz w:val="24"/>
        </w:rPr>
        <w:t>的；</w:t>
      </w:r>
    </w:p>
    <w:p>
      <w:pPr>
        <w:tabs>
          <w:tab w:val="left" w:pos="3870"/>
          <w:tab w:val="left" w:pos="4085"/>
        </w:tabs>
        <w:snapToGrid w:val="0"/>
        <w:spacing w:line="440" w:lineRule="exact"/>
        <w:jc w:val="left"/>
        <w:rPr>
          <w:rFonts w:ascii="宋体" w:hAnsi="宋体"/>
          <w:sz w:val="24"/>
        </w:rPr>
      </w:pPr>
      <w:r>
        <w:rPr>
          <w:rFonts w:ascii="宋体" w:hAnsi="宋体"/>
          <w:sz w:val="24"/>
        </w:rPr>
        <w:t>5.12</w:t>
      </w:r>
      <w:r>
        <w:rPr>
          <w:rFonts w:hint="eastAsia" w:ascii="宋体" w:hAnsi="宋体"/>
          <w:sz w:val="24"/>
        </w:rPr>
        <w:t>供应商对根据修正原则修正后的报价不确认的；</w:t>
      </w:r>
    </w:p>
    <w:p>
      <w:pPr>
        <w:tabs>
          <w:tab w:val="left" w:pos="3870"/>
          <w:tab w:val="left" w:pos="4085"/>
        </w:tabs>
        <w:snapToGrid w:val="0"/>
        <w:spacing w:line="440" w:lineRule="exact"/>
        <w:jc w:val="left"/>
        <w:rPr>
          <w:rFonts w:ascii="宋体" w:hAnsi="宋体"/>
          <w:sz w:val="24"/>
        </w:rPr>
      </w:pPr>
      <w:r>
        <w:rPr>
          <w:rFonts w:ascii="宋体" w:hAnsi="宋体"/>
          <w:sz w:val="24"/>
        </w:rPr>
        <w:t>5.13</w:t>
      </w:r>
      <w:r>
        <w:rPr>
          <w:rFonts w:hint="eastAsia" w:ascii="宋体" w:hAnsi="宋体"/>
          <w:sz w:val="24"/>
        </w:rPr>
        <w:t>重要信息前后不一致，经评审委员会询标后仍然无法评审的；</w:t>
      </w:r>
    </w:p>
    <w:p>
      <w:pPr>
        <w:tabs>
          <w:tab w:val="left" w:pos="3870"/>
          <w:tab w:val="left" w:pos="4085"/>
        </w:tabs>
        <w:snapToGrid w:val="0"/>
        <w:spacing w:line="440" w:lineRule="exact"/>
        <w:jc w:val="left"/>
        <w:rPr>
          <w:rFonts w:ascii="宋体" w:hAnsi="宋体"/>
          <w:sz w:val="24"/>
        </w:rPr>
      </w:pPr>
      <w:r>
        <w:rPr>
          <w:rFonts w:ascii="宋体" w:hAnsi="宋体"/>
          <w:sz w:val="24"/>
        </w:rPr>
        <w:t>5.14</w:t>
      </w:r>
      <w:r>
        <w:rPr>
          <w:rFonts w:hint="eastAsia" w:ascii="宋体" w:hAnsi="宋体"/>
          <w:sz w:val="24"/>
        </w:rPr>
        <w:t>供应商提供虚假材料投标的（包括但不限于以下情节）；</w:t>
      </w:r>
    </w:p>
    <w:p>
      <w:pPr>
        <w:tabs>
          <w:tab w:val="left" w:pos="3870"/>
          <w:tab w:val="left" w:pos="4085"/>
        </w:tabs>
        <w:snapToGrid w:val="0"/>
        <w:spacing w:line="440" w:lineRule="exact"/>
        <w:ind w:firstLine="470" w:firstLineChars="196"/>
        <w:jc w:val="left"/>
        <w:rPr>
          <w:rFonts w:ascii="宋体" w:hAnsi="宋体"/>
          <w:sz w:val="24"/>
        </w:rPr>
      </w:pPr>
      <w:r>
        <w:rPr>
          <w:rFonts w:ascii="宋体" w:hAnsi="宋体"/>
          <w:sz w:val="24"/>
        </w:rPr>
        <w:t>5.14</w:t>
      </w:r>
      <w:r>
        <w:rPr>
          <w:rFonts w:hint="eastAsia" w:ascii="宋体" w:hAnsi="宋体"/>
          <w:sz w:val="24"/>
        </w:rPr>
        <w:t>.1使用伪造、变造的许可证件；</w:t>
      </w:r>
    </w:p>
    <w:p>
      <w:pPr>
        <w:tabs>
          <w:tab w:val="left" w:pos="3870"/>
          <w:tab w:val="left" w:pos="4085"/>
        </w:tabs>
        <w:snapToGrid w:val="0"/>
        <w:spacing w:line="440" w:lineRule="exact"/>
        <w:jc w:val="left"/>
        <w:rPr>
          <w:rFonts w:ascii="宋体" w:hAnsi="宋体"/>
          <w:sz w:val="24"/>
        </w:rPr>
      </w:pPr>
      <w:r>
        <w:rPr>
          <w:rFonts w:ascii="宋体" w:hAnsi="宋体"/>
          <w:sz w:val="24"/>
        </w:rPr>
        <w:t>5.14</w:t>
      </w:r>
      <w:r>
        <w:rPr>
          <w:rFonts w:hint="eastAsia" w:ascii="宋体" w:hAnsi="宋体"/>
          <w:sz w:val="24"/>
        </w:rPr>
        <w:t>.2提供虚假的财务状况或者业绩；</w:t>
      </w:r>
    </w:p>
    <w:p>
      <w:pPr>
        <w:tabs>
          <w:tab w:val="left" w:pos="3870"/>
          <w:tab w:val="left" w:pos="4085"/>
        </w:tabs>
        <w:snapToGrid w:val="0"/>
        <w:spacing w:line="440" w:lineRule="exact"/>
        <w:jc w:val="left"/>
        <w:rPr>
          <w:rFonts w:ascii="宋体" w:hAnsi="宋体"/>
          <w:sz w:val="24"/>
        </w:rPr>
      </w:pPr>
      <w:r>
        <w:rPr>
          <w:rFonts w:ascii="宋体" w:hAnsi="宋体"/>
          <w:sz w:val="24"/>
        </w:rPr>
        <w:t>5.14</w:t>
      </w:r>
      <w:r>
        <w:rPr>
          <w:rFonts w:hint="eastAsia" w:ascii="宋体" w:hAnsi="宋体"/>
          <w:sz w:val="24"/>
        </w:rPr>
        <w:t>.3提供虚假的项目负责人或者主要技术人员简历、劳动关系证明；</w:t>
      </w:r>
    </w:p>
    <w:p>
      <w:pPr>
        <w:tabs>
          <w:tab w:val="left" w:pos="3870"/>
          <w:tab w:val="left" w:pos="4085"/>
        </w:tabs>
        <w:snapToGrid w:val="0"/>
        <w:spacing w:line="440" w:lineRule="exact"/>
        <w:jc w:val="left"/>
        <w:rPr>
          <w:rFonts w:ascii="宋体" w:hAnsi="宋体"/>
          <w:sz w:val="24"/>
        </w:rPr>
      </w:pPr>
      <w:r>
        <w:rPr>
          <w:rFonts w:ascii="宋体" w:hAnsi="宋体"/>
          <w:sz w:val="24"/>
        </w:rPr>
        <w:t>5.14</w:t>
      </w:r>
      <w:r>
        <w:rPr>
          <w:rFonts w:hint="eastAsia" w:ascii="宋体" w:hAnsi="宋体"/>
          <w:sz w:val="24"/>
        </w:rPr>
        <w:t>.4提供虚假的信用状况；</w:t>
      </w:r>
    </w:p>
    <w:p>
      <w:pPr>
        <w:tabs>
          <w:tab w:val="left" w:pos="3870"/>
          <w:tab w:val="left" w:pos="4085"/>
        </w:tabs>
        <w:snapToGrid w:val="0"/>
        <w:spacing w:line="440" w:lineRule="exact"/>
        <w:ind w:firstLine="480"/>
        <w:jc w:val="left"/>
        <w:rPr>
          <w:rFonts w:ascii="宋体" w:hAnsi="宋体"/>
          <w:sz w:val="24"/>
        </w:rPr>
      </w:pPr>
      <w:r>
        <w:rPr>
          <w:rFonts w:ascii="宋体" w:hAnsi="宋体"/>
          <w:sz w:val="24"/>
        </w:rPr>
        <w:t>5.14</w:t>
      </w:r>
      <w:r>
        <w:rPr>
          <w:rFonts w:hint="eastAsia" w:ascii="宋体" w:hAnsi="宋体"/>
          <w:sz w:val="24"/>
        </w:rPr>
        <w:t>.5其他弄虚作假的行为。</w:t>
      </w:r>
    </w:p>
    <w:p>
      <w:pPr>
        <w:tabs>
          <w:tab w:val="left" w:pos="3870"/>
          <w:tab w:val="left" w:pos="4085"/>
        </w:tabs>
        <w:snapToGrid w:val="0"/>
        <w:spacing w:line="440" w:lineRule="exact"/>
        <w:jc w:val="left"/>
        <w:rPr>
          <w:rFonts w:ascii="宋体" w:hAnsi="宋体"/>
          <w:sz w:val="24"/>
        </w:rPr>
      </w:pPr>
      <w:r>
        <w:rPr>
          <w:rFonts w:ascii="宋体" w:hAnsi="宋体"/>
          <w:sz w:val="24"/>
        </w:rPr>
        <w:t>5.15供应商串通投标的。</w:t>
      </w:r>
    </w:p>
    <w:p>
      <w:pPr>
        <w:tabs>
          <w:tab w:val="left" w:pos="3870"/>
          <w:tab w:val="left" w:pos="4085"/>
        </w:tabs>
        <w:snapToGrid w:val="0"/>
        <w:spacing w:line="440" w:lineRule="exact"/>
        <w:ind w:firstLine="480" w:firstLineChars="200"/>
        <w:jc w:val="left"/>
        <w:rPr>
          <w:rFonts w:ascii="宋体" w:hAnsi="宋体"/>
          <w:sz w:val="24"/>
        </w:rPr>
      </w:pPr>
      <w:r>
        <w:rPr>
          <w:rFonts w:hint="eastAsia" w:ascii="宋体" w:hAnsi="宋体"/>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宋体" w:hAnsi="宋体"/>
          <w:sz w:val="24"/>
        </w:rPr>
      </w:pPr>
      <w:r>
        <w:rPr>
          <w:rFonts w:ascii="宋体" w:hAnsi="宋体"/>
          <w:sz w:val="24"/>
        </w:rPr>
        <w:t>5.15</w:t>
      </w:r>
      <w:r>
        <w:rPr>
          <w:rFonts w:hint="eastAsia" w:ascii="宋体" w:hAnsi="宋体"/>
          <w:sz w:val="24"/>
        </w:rPr>
        <w:t>.1不同供应商的投标文件由同一单位或者个人编制；</w:t>
      </w:r>
    </w:p>
    <w:p>
      <w:pPr>
        <w:tabs>
          <w:tab w:val="left" w:pos="3870"/>
          <w:tab w:val="left" w:pos="4085"/>
        </w:tabs>
        <w:snapToGrid w:val="0"/>
        <w:spacing w:line="440" w:lineRule="exact"/>
        <w:ind w:firstLine="422" w:firstLineChars="176"/>
        <w:jc w:val="left"/>
        <w:rPr>
          <w:rFonts w:ascii="宋体" w:hAnsi="宋体"/>
          <w:sz w:val="24"/>
        </w:rPr>
      </w:pPr>
      <w:r>
        <w:rPr>
          <w:rFonts w:ascii="宋体" w:hAnsi="宋体"/>
          <w:sz w:val="24"/>
        </w:rPr>
        <w:t>5.15</w:t>
      </w:r>
      <w:r>
        <w:rPr>
          <w:rFonts w:hint="eastAsia" w:ascii="宋体" w:hAnsi="宋体"/>
          <w:sz w:val="24"/>
        </w:rPr>
        <w:t>.2不同供应商委托同一单位或者个人办理投标事宜；</w:t>
      </w:r>
    </w:p>
    <w:p>
      <w:pPr>
        <w:tabs>
          <w:tab w:val="left" w:pos="3870"/>
          <w:tab w:val="left" w:pos="4085"/>
        </w:tabs>
        <w:snapToGrid w:val="0"/>
        <w:spacing w:line="440" w:lineRule="exact"/>
        <w:ind w:firstLine="422" w:firstLineChars="176"/>
        <w:jc w:val="left"/>
        <w:rPr>
          <w:rFonts w:ascii="宋体" w:hAnsi="宋体"/>
          <w:sz w:val="24"/>
        </w:rPr>
      </w:pPr>
      <w:r>
        <w:rPr>
          <w:rFonts w:ascii="宋体" w:hAnsi="宋体"/>
          <w:sz w:val="24"/>
        </w:rPr>
        <w:t>5.15</w:t>
      </w:r>
      <w:r>
        <w:rPr>
          <w:rFonts w:hint="eastAsia" w:ascii="宋体" w:hAnsi="宋体"/>
          <w:sz w:val="24"/>
        </w:rPr>
        <w:t>.3不同供应商的投标文件载明的项目管理成员或者联系人员为同一人；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sz w:val="24"/>
        </w:rPr>
      </w:pPr>
      <w:r>
        <w:rPr>
          <w:rFonts w:ascii="宋体" w:hAnsi="宋体"/>
          <w:sz w:val="24"/>
        </w:rPr>
        <w:t>5.15</w:t>
      </w:r>
      <w:r>
        <w:rPr>
          <w:rFonts w:hint="eastAsia" w:ascii="宋体" w:hAnsi="宋体"/>
          <w:sz w:val="24"/>
        </w:rPr>
        <w:t>.4不同供应商的投标文件异常一致或者投标报价呈规律性差异；</w:t>
      </w:r>
    </w:p>
    <w:p>
      <w:pPr>
        <w:tabs>
          <w:tab w:val="left" w:pos="3870"/>
          <w:tab w:val="left" w:pos="4085"/>
        </w:tabs>
        <w:snapToGrid w:val="0"/>
        <w:spacing w:line="440" w:lineRule="exact"/>
        <w:ind w:firstLine="422" w:firstLineChars="176"/>
        <w:jc w:val="left"/>
        <w:rPr>
          <w:rFonts w:ascii="宋体" w:hAnsi="宋体"/>
          <w:sz w:val="24"/>
        </w:rPr>
      </w:pPr>
      <w:r>
        <w:rPr>
          <w:rFonts w:ascii="宋体" w:hAnsi="宋体"/>
          <w:sz w:val="24"/>
        </w:rPr>
        <w:t>5.15</w:t>
      </w:r>
      <w:r>
        <w:rPr>
          <w:rFonts w:hint="eastAsia" w:ascii="宋体" w:hAnsi="宋体"/>
          <w:sz w:val="24"/>
        </w:rPr>
        <w:t>.5不同供应商的投标文件相互混装；</w:t>
      </w:r>
    </w:p>
    <w:p>
      <w:pPr>
        <w:tabs>
          <w:tab w:val="left" w:pos="3870"/>
          <w:tab w:val="left" w:pos="4085"/>
        </w:tabs>
        <w:snapToGrid w:val="0"/>
        <w:spacing w:line="440" w:lineRule="exact"/>
        <w:ind w:firstLine="422" w:firstLineChars="176"/>
        <w:jc w:val="left"/>
        <w:rPr>
          <w:rFonts w:ascii="宋体" w:hAnsi="宋体"/>
          <w:sz w:val="24"/>
        </w:rPr>
      </w:pPr>
      <w:r>
        <w:rPr>
          <w:rFonts w:ascii="宋体" w:hAnsi="宋体"/>
          <w:sz w:val="24"/>
        </w:rPr>
        <w:t>5.15.6不同供应商的投标保证金从同一单位或者个人的账户转出。</w:t>
      </w:r>
    </w:p>
    <w:p>
      <w:pPr>
        <w:tabs>
          <w:tab w:val="left" w:pos="3870"/>
          <w:tab w:val="left" w:pos="4085"/>
        </w:tabs>
        <w:snapToGrid w:val="0"/>
        <w:spacing w:line="440" w:lineRule="exact"/>
        <w:jc w:val="left"/>
        <w:rPr>
          <w:rFonts w:ascii="宋体" w:hAnsi="宋体"/>
          <w:sz w:val="24"/>
        </w:rPr>
      </w:pPr>
      <w:r>
        <w:rPr>
          <w:rFonts w:ascii="宋体" w:hAnsi="宋体"/>
          <w:sz w:val="24"/>
        </w:rPr>
        <w:t>5.16属于《中华人民共和国政府采购法实施条例》第七十四条规定的</w:t>
      </w:r>
      <w:r>
        <w:rPr>
          <w:rFonts w:hint="eastAsia" w:ascii="宋体" w:hAnsi="宋体"/>
          <w:sz w:val="24"/>
        </w:rPr>
        <w:t>恶意串通</w:t>
      </w:r>
      <w:r>
        <w:rPr>
          <w:rFonts w:ascii="宋体" w:hAnsi="宋体"/>
          <w:sz w:val="24"/>
        </w:rPr>
        <w:t>情形的</w:t>
      </w:r>
      <w:r>
        <w:rPr>
          <w:rFonts w:hint="eastAsia" w:ascii="宋体" w:hAnsi="宋体"/>
          <w:sz w:val="24"/>
        </w:rPr>
        <w:t>，其投标无效：</w:t>
      </w:r>
    </w:p>
    <w:p>
      <w:pPr>
        <w:tabs>
          <w:tab w:val="left" w:pos="3870"/>
          <w:tab w:val="left" w:pos="4085"/>
        </w:tabs>
        <w:snapToGrid w:val="0"/>
        <w:spacing w:line="440" w:lineRule="exact"/>
        <w:jc w:val="left"/>
        <w:rPr>
          <w:rFonts w:ascii="宋体" w:hAnsi="宋体"/>
          <w:sz w:val="24"/>
        </w:rPr>
      </w:pPr>
      <w:r>
        <w:rPr>
          <w:rFonts w:ascii="宋体" w:hAnsi="宋体"/>
          <w:sz w:val="24"/>
        </w:rPr>
        <w:t>5.17联合体投标的，联合体各方在同一招标项目中以自己名义单独投标或者参加其他联合体投标的，相关投标均无效。</w:t>
      </w:r>
    </w:p>
    <w:p>
      <w:pPr>
        <w:snapToGrid w:val="0"/>
        <w:spacing w:line="440" w:lineRule="exact"/>
        <w:rPr>
          <w:rFonts w:ascii="宋体" w:hAnsi="宋体"/>
          <w:sz w:val="24"/>
        </w:rPr>
      </w:pPr>
      <w:r>
        <w:rPr>
          <w:rFonts w:ascii="宋体" w:hAnsi="宋体"/>
          <w:sz w:val="24"/>
        </w:rPr>
        <w:t>5.18</w:t>
      </w:r>
      <w:r>
        <w:rPr>
          <w:rFonts w:hint="eastAsia" w:ascii="宋体" w:hAnsi="宋体"/>
          <w:sz w:val="24"/>
        </w:rPr>
        <w:t>违反法律、法规</w:t>
      </w:r>
      <w:r>
        <w:rPr>
          <w:rFonts w:ascii="宋体" w:hAnsi="宋体"/>
          <w:sz w:val="24"/>
        </w:rPr>
        <w:t>及本采购文件规定的其他无效投标</w:t>
      </w:r>
      <w:r>
        <w:rPr>
          <w:rFonts w:hint="eastAsia" w:ascii="宋体" w:hAnsi="宋体"/>
          <w:sz w:val="24"/>
        </w:rPr>
        <w:t>情形。</w:t>
      </w:r>
    </w:p>
    <w:p>
      <w:pPr>
        <w:spacing w:line="480" w:lineRule="exact"/>
        <w:jc w:val="left"/>
        <w:rPr>
          <w:rFonts w:ascii="宋体" w:hAnsi="宋体" w:cs="宋体"/>
          <w:b/>
          <w:bCs/>
          <w:sz w:val="24"/>
        </w:rPr>
      </w:pPr>
      <w:r>
        <w:rPr>
          <w:rFonts w:ascii="宋体" w:hAnsi="宋体" w:cs="宋体"/>
          <w:b/>
          <w:bCs/>
          <w:sz w:val="24"/>
        </w:rPr>
        <w:t>6.定标</w:t>
      </w:r>
    </w:p>
    <w:p>
      <w:pPr>
        <w:widowControl/>
        <w:snapToGrid w:val="0"/>
        <w:spacing w:line="480" w:lineRule="exact"/>
        <w:rPr>
          <w:rFonts w:ascii="宋体" w:hAnsi="宋体" w:cs="宋体"/>
          <w:sz w:val="24"/>
        </w:rPr>
      </w:pPr>
      <w:r>
        <w:rPr>
          <w:rFonts w:ascii="宋体" w:hAnsi="宋体" w:cs="宋体"/>
          <w:sz w:val="24"/>
        </w:rPr>
        <w:t>6.1</w:t>
      </w:r>
      <w:r>
        <w:rPr>
          <w:rFonts w:hint="eastAsia" w:ascii="宋体" w:hAnsi="宋体" w:cs="宋体"/>
          <w:sz w:val="24"/>
        </w:rPr>
        <w:t>采购人在收到评标报告之日起</w:t>
      </w:r>
      <w:r>
        <w:rPr>
          <w:rFonts w:ascii="宋体" w:hAnsi="宋体" w:cs="宋体"/>
          <w:sz w:val="24"/>
        </w:rPr>
        <w:t>5</w:t>
      </w:r>
      <w:r>
        <w:rPr>
          <w:rFonts w:hint="eastAsia" w:ascii="宋体" w:hAnsi="宋体" w:cs="宋体"/>
          <w:sz w:val="24"/>
        </w:rPr>
        <w:t>个工作日内</w:t>
      </w:r>
      <w:r>
        <w:rPr>
          <w:rFonts w:ascii="宋体" w:hAnsi="宋体" w:cs="宋体"/>
          <w:sz w:val="24"/>
        </w:rPr>
        <w:t>在评审报告推荐的中标或成交候选人中按顺序确定中标或成交供应商</w:t>
      </w:r>
      <w:r>
        <w:rPr>
          <w:rFonts w:hint="eastAsia" w:ascii="宋体" w:hAnsi="宋体" w:cs="宋体"/>
          <w:sz w:val="24"/>
        </w:rPr>
        <w:t>。</w:t>
      </w:r>
    </w:p>
    <w:p>
      <w:pPr>
        <w:widowControl/>
        <w:snapToGrid w:val="0"/>
        <w:spacing w:line="480" w:lineRule="exact"/>
        <w:rPr>
          <w:rFonts w:ascii="宋体" w:hAnsi="宋体"/>
          <w:kern w:val="0"/>
          <w:sz w:val="24"/>
        </w:rPr>
      </w:pPr>
      <w:r>
        <w:rPr>
          <w:rFonts w:ascii="宋体" w:hAnsi="宋体" w:cs="宋体"/>
          <w:sz w:val="24"/>
        </w:rPr>
        <w:t>6.2采购代理机构在采购人确认中标或成交供应商后2个工作日内发布中标公告。中标公告与采购公告发布网址一致。中标公告期限为一个工作日。</w:t>
      </w:r>
    </w:p>
    <w:p>
      <w:pPr>
        <w:spacing w:line="480" w:lineRule="exact"/>
        <w:jc w:val="left"/>
        <w:rPr>
          <w:rFonts w:ascii="宋体" w:hAnsi="宋体" w:cs="宋体"/>
          <w:b/>
          <w:bCs/>
          <w:sz w:val="24"/>
        </w:rPr>
      </w:pPr>
      <w:r>
        <w:rPr>
          <w:rFonts w:ascii="宋体" w:hAnsi="宋体" w:cs="宋体"/>
          <w:b/>
          <w:bCs/>
          <w:sz w:val="24"/>
        </w:rPr>
        <w:t>7.中标通知书的申领</w:t>
      </w:r>
    </w:p>
    <w:p>
      <w:pPr>
        <w:widowControl/>
        <w:snapToGrid w:val="0"/>
        <w:spacing w:line="480" w:lineRule="exact"/>
        <w:rPr>
          <w:rFonts w:ascii="宋体" w:hAnsi="宋体"/>
          <w:kern w:val="0"/>
          <w:sz w:val="24"/>
        </w:rPr>
      </w:pPr>
      <w:r>
        <w:rPr>
          <w:rFonts w:ascii="宋体" w:hAnsi="宋体"/>
          <w:kern w:val="0"/>
          <w:sz w:val="24"/>
        </w:rPr>
        <w:t>7.1本项目中标通知书在采购代理机构处领取。</w:t>
      </w:r>
    </w:p>
    <w:p>
      <w:pPr>
        <w:widowControl/>
        <w:snapToGrid w:val="0"/>
        <w:spacing w:line="480" w:lineRule="exact"/>
        <w:rPr>
          <w:rFonts w:ascii="宋体" w:hAnsi="宋体"/>
          <w:kern w:val="0"/>
          <w:sz w:val="24"/>
        </w:rPr>
      </w:pPr>
      <w:r>
        <w:rPr>
          <w:rFonts w:ascii="宋体" w:hAnsi="宋体"/>
          <w:kern w:val="0"/>
          <w:sz w:val="24"/>
        </w:rPr>
        <w:t>7.2中标通知书在中标公告发布的同时发出。</w:t>
      </w:r>
    </w:p>
    <w:p>
      <w:pPr>
        <w:widowControl/>
        <w:snapToGrid w:val="0"/>
        <w:spacing w:line="480" w:lineRule="exact"/>
        <w:rPr>
          <w:rFonts w:ascii="宋体" w:hAnsi="宋体"/>
          <w:kern w:val="0"/>
          <w:sz w:val="24"/>
        </w:rPr>
      </w:pPr>
      <w:r>
        <w:rPr>
          <w:rFonts w:ascii="宋体" w:hAnsi="宋体"/>
          <w:kern w:val="0"/>
          <w:sz w:val="24"/>
        </w:rPr>
        <w:t>7.3中标通知书发出后，采购人不得违法改变中标结果，中标人无正当理由不得放弃中标。</w:t>
      </w:r>
    </w:p>
    <w:p>
      <w:pPr>
        <w:widowControl/>
        <w:snapToGrid w:val="0"/>
        <w:spacing w:line="480" w:lineRule="exact"/>
        <w:rPr>
          <w:rFonts w:ascii="宋体" w:hAnsi="宋体"/>
          <w:kern w:val="0"/>
          <w:sz w:val="24"/>
        </w:rPr>
      </w:pPr>
      <w:r>
        <w:rPr>
          <w:rFonts w:ascii="宋体" w:hAnsi="宋体"/>
          <w:kern w:val="0"/>
          <w:sz w:val="24"/>
        </w:rPr>
        <w:t>7.4中标通知书的领取不妨碍相关质疑投诉的提出和处置，中标结果在法定情形内允许改变。</w:t>
      </w:r>
    </w:p>
    <w:p>
      <w:pPr>
        <w:pStyle w:val="3"/>
        <w:numPr>
          <w:ilvl w:val="0"/>
          <w:numId w:val="0"/>
        </w:numPr>
        <w:ind w:left="992"/>
        <w:jc w:val="center"/>
        <w:rPr>
          <w:rFonts w:ascii="宋体" w:hAnsi="宋体" w:eastAsia="宋体"/>
        </w:rPr>
      </w:pPr>
      <w:bookmarkStart w:id="8" w:name="_Toc83838333"/>
      <w:r>
        <w:rPr>
          <w:rFonts w:ascii="宋体" w:hAnsi="宋体" w:eastAsia="宋体"/>
        </w:rPr>
        <w:t>五、合同签订及履约</w:t>
      </w:r>
      <w:bookmarkEnd w:id="8"/>
    </w:p>
    <w:p>
      <w:pPr>
        <w:spacing w:line="480" w:lineRule="exact"/>
        <w:jc w:val="left"/>
        <w:rPr>
          <w:rFonts w:ascii="宋体" w:hAnsi="宋体" w:cs="宋体"/>
          <w:b/>
          <w:bCs/>
          <w:sz w:val="24"/>
        </w:rPr>
      </w:pPr>
      <w:r>
        <w:rPr>
          <w:rFonts w:ascii="宋体" w:hAnsi="宋体" w:cs="宋体"/>
          <w:b/>
          <w:bCs/>
          <w:sz w:val="24"/>
        </w:rPr>
        <w:t>1.合同签订</w:t>
      </w:r>
    </w:p>
    <w:p>
      <w:pPr>
        <w:widowControl/>
        <w:snapToGrid w:val="0"/>
        <w:spacing w:line="480" w:lineRule="exact"/>
        <w:rPr>
          <w:rFonts w:ascii="宋体" w:hAnsi="宋体"/>
          <w:kern w:val="0"/>
          <w:sz w:val="24"/>
        </w:rPr>
      </w:pPr>
      <w:r>
        <w:rPr>
          <w:rFonts w:ascii="宋体" w:hAnsi="宋体"/>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宋体" w:hAnsi="宋体"/>
          <w:kern w:val="0"/>
          <w:sz w:val="24"/>
        </w:rPr>
      </w:pPr>
      <w:r>
        <w:rPr>
          <w:rFonts w:ascii="宋体" w:hAnsi="宋体"/>
          <w:kern w:val="0"/>
          <w:sz w:val="24"/>
        </w:rPr>
        <w:t>1.2采购人和中标人不得向对方提出任何不合理的要求作为签订合同的条件。</w:t>
      </w:r>
    </w:p>
    <w:p>
      <w:pPr>
        <w:widowControl/>
        <w:snapToGrid w:val="0"/>
        <w:spacing w:line="480" w:lineRule="exact"/>
        <w:rPr>
          <w:rFonts w:ascii="宋体" w:hAnsi="宋体"/>
          <w:kern w:val="0"/>
          <w:sz w:val="24"/>
        </w:rPr>
      </w:pPr>
      <w:r>
        <w:rPr>
          <w:rFonts w:ascii="宋体" w:hAnsi="宋体"/>
          <w:kern w:val="0"/>
          <w:sz w:val="24"/>
        </w:rPr>
        <w:t>1.3采购人和中标人需在投标有效期内签订采购合同。投标有效期允许延长，但需征得中标人同意。</w:t>
      </w:r>
    </w:p>
    <w:p>
      <w:pPr>
        <w:spacing w:line="440" w:lineRule="exact"/>
        <w:jc w:val="left"/>
        <w:rPr>
          <w:rFonts w:ascii="宋体" w:hAnsi="宋体"/>
          <w:b/>
          <w:sz w:val="24"/>
        </w:rPr>
      </w:pPr>
      <w:r>
        <w:rPr>
          <w:rFonts w:ascii="宋体" w:hAnsi="宋体"/>
          <w:b/>
          <w:sz w:val="24"/>
        </w:rPr>
        <w:t>2</w:t>
      </w:r>
      <w:r>
        <w:rPr>
          <w:rFonts w:hint="eastAsia" w:ascii="宋体" w:hAnsi="宋体"/>
          <w:b/>
          <w:sz w:val="24"/>
        </w:rPr>
        <w:t>．履约保证金</w:t>
      </w:r>
    </w:p>
    <w:p>
      <w:pPr>
        <w:spacing w:line="440" w:lineRule="exact"/>
        <w:jc w:val="left"/>
        <w:rPr>
          <w:rFonts w:ascii="宋体" w:hAnsi="宋体"/>
          <w:sz w:val="24"/>
        </w:rPr>
      </w:pPr>
      <w:r>
        <w:rPr>
          <w:rFonts w:ascii="宋体" w:hAnsi="宋体"/>
          <w:sz w:val="24"/>
        </w:rPr>
        <w:t>2</w:t>
      </w:r>
      <w:r>
        <w:rPr>
          <w:rFonts w:hint="eastAsia" w:ascii="宋体" w:hAnsi="宋体"/>
          <w:sz w:val="24"/>
        </w:rPr>
        <w:t>.1</w:t>
      </w:r>
      <w:r>
        <w:rPr>
          <w:rFonts w:ascii="宋体" w:hAnsi="宋体"/>
          <w:sz w:val="24"/>
        </w:rPr>
        <w:t>采购合同签订的同时，中标人应当以支票、汇票、本票或者金融机构、担保机构出具的保函等非现金形式交纳履约保证金。</w:t>
      </w:r>
    </w:p>
    <w:p>
      <w:pPr>
        <w:spacing w:line="440" w:lineRule="exact"/>
        <w:jc w:val="left"/>
        <w:rPr>
          <w:rFonts w:ascii="宋体" w:hAnsi="宋体"/>
          <w:sz w:val="24"/>
        </w:rPr>
      </w:pPr>
      <w:r>
        <w:rPr>
          <w:rFonts w:ascii="宋体" w:hAnsi="宋体"/>
          <w:sz w:val="24"/>
        </w:rPr>
        <w:t>2</w:t>
      </w:r>
      <w:r>
        <w:rPr>
          <w:rFonts w:hint="eastAsia" w:ascii="宋体" w:hAnsi="宋体"/>
          <w:sz w:val="24"/>
        </w:rPr>
        <w:t>.2供应商在履行完合同约定事项后，采购人应及时退还履约保证金。</w:t>
      </w:r>
      <w:r>
        <w:rPr>
          <w:rFonts w:ascii="宋体" w:hAnsi="宋体"/>
          <w:sz w:val="24"/>
        </w:rPr>
        <w:t>采购人验收不合格的，不予退还履约保证金。</w:t>
      </w:r>
    </w:p>
    <w:p>
      <w:pPr>
        <w:spacing w:line="440" w:lineRule="exact"/>
        <w:jc w:val="left"/>
        <w:rPr>
          <w:rFonts w:ascii="宋体" w:hAnsi="宋体"/>
          <w:sz w:val="24"/>
        </w:rPr>
      </w:pPr>
      <w:r>
        <w:rPr>
          <w:rFonts w:ascii="宋体" w:hAnsi="宋体"/>
          <w:sz w:val="24"/>
        </w:rPr>
        <w:t>2.</w:t>
      </w:r>
      <w:r>
        <w:rPr>
          <w:rFonts w:hint="eastAsia" w:ascii="宋体" w:hAnsi="宋体"/>
          <w:sz w:val="24"/>
        </w:rPr>
        <w:t>3供应商以银行、保险公司出具保函形式提交履约保证金的，采购人不得拒收。</w:t>
      </w:r>
    </w:p>
    <w:p>
      <w:pPr>
        <w:spacing w:line="440" w:lineRule="exact"/>
        <w:jc w:val="left"/>
        <w:rPr>
          <w:rFonts w:ascii="宋体" w:hAnsi="宋体"/>
          <w:sz w:val="24"/>
        </w:rPr>
      </w:pPr>
      <w:r>
        <w:rPr>
          <w:rFonts w:ascii="宋体" w:hAnsi="宋体"/>
          <w:sz w:val="24"/>
        </w:rPr>
        <w:t>2.4履约保证金不得超过合同金额的5%。</w:t>
      </w:r>
    </w:p>
    <w:p>
      <w:pPr>
        <w:spacing w:line="440" w:lineRule="exact"/>
        <w:jc w:val="left"/>
        <w:rPr>
          <w:rFonts w:ascii="宋体" w:hAnsi="宋体"/>
          <w:b/>
          <w:sz w:val="24"/>
        </w:rPr>
      </w:pPr>
      <w:r>
        <w:rPr>
          <w:rFonts w:ascii="宋体" w:hAnsi="宋体"/>
          <w:b/>
          <w:sz w:val="24"/>
        </w:rPr>
        <w:t>3</w:t>
      </w:r>
      <w:r>
        <w:rPr>
          <w:rFonts w:hint="eastAsia" w:ascii="宋体" w:hAnsi="宋体"/>
          <w:b/>
          <w:sz w:val="24"/>
        </w:rPr>
        <w:t>．合同备案</w:t>
      </w:r>
    </w:p>
    <w:p>
      <w:pPr>
        <w:spacing w:line="440" w:lineRule="exact"/>
        <w:jc w:val="left"/>
        <w:rPr>
          <w:rFonts w:ascii="宋体" w:hAnsi="宋体"/>
          <w:b/>
          <w:bCs/>
          <w:sz w:val="24"/>
        </w:rPr>
      </w:pPr>
      <w:r>
        <w:rPr>
          <w:rFonts w:ascii="宋体" w:hAnsi="宋体"/>
          <w:b/>
          <w:bCs/>
          <w:sz w:val="24"/>
        </w:rPr>
        <w:t>3</w:t>
      </w:r>
      <w:r>
        <w:rPr>
          <w:rFonts w:hint="eastAsia" w:ascii="宋体" w:hAnsi="宋体"/>
          <w:b/>
          <w:bCs/>
          <w:sz w:val="24"/>
        </w:rPr>
        <w:t>.1中标人应当自采购合同签订之日起3个工作日内，将采购合同原件报</w:t>
      </w:r>
      <w:r>
        <w:rPr>
          <w:rFonts w:ascii="宋体" w:hAnsi="宋体"/>
          <w:b/>
          <w:bCs/>
          <w:sz w:val="24"/>
        </w:rPr>
        <w:t>采购代理机构</w:t>
      </w:r>
      <w:r>
        <w:rPr>
          <w:rFonts w:hint="eastAsia" w:ascii="宋体" w:hAnsi="宋体"/>
          <w:b/>
          <w:bCs/>
          <w:sz w:val="24"/>
        </w:rPr>
        <w:t>备案</w:t>
      </w:r>
      <w:r>
        <w:rPr>
          <w:rFonts w:ascii="宋体" w:hAnsi="宋体"/>
          <w:b/>
          <w:bCs/>
          <w:sz w:val="24"/>
        </w:rPr>
        <w:t>存档</w:t>
      </w:r>
      <w:r>
        <w:rPr>
          <w:rFonts w:hint="eastAsia" w:ascii="宋体" w:hAnsi="宋体"/>
          <w:b/>
          <w:bCs/>
          <w:sz w:val="24"/>
        </w:rPr>
        <w:t>。</w:t>
      </w:r>
    </w:p>
    <w:p>
      <w:pPr>
        <w:spacing w:line="440" w:lineRule="exact"/>
        <w:jc w:val="left"/>
        <w:rPr>
          <w:rFonts w:ascii="宋体" w:hAnsi="宋体"/>
          <w:b/>
          <w:sz w:val="24"/>
        </w:rPr>
      </w:pPr>
      <w:r>
        <w:rPr>
          <w:rFonts w:ascii="宋体" w:hAnsi="宋体"/>
          <w:b/>
          <w:sz w:val="24"/>
        </w:rPr>
        <w:t>4</w:t>
      </w:r>
      <w:r>
        <w:rPr>
          <w:rFonts w:hint="eastAsia" w:ascii="宋体" w:hAnsi="宋体"/>
          <w:b/>
          <w:sz w:val="24"/>
        </w:rPr>
        <w:t>.</w:t>
      </w:r>
      <w:r>
        <w:rPr>
          <w:rFonts w:ascii="宋体" w:hAnsi="宋体"/>
          <w:b/>
          <w:sz w:val="24"/>
        </w:rPr>
        <w:t>履约</w:t>
      </w:r>
      <w:r>
        <w:rPr>
          <w:rFonts w:hint="eastAsia" w:ascii="宋体" w:hAnsi="宋体"/>
          <w:b/>
          <w:sz w:val="24"/>
        </w:rPr>
        <w:t>验收</w:t>
      </w:r>
    </w:p>
    <w:p>
      <w:pPr>
        <w:spacing w:line="440" w:lineRule="exact"/>
        <w:jc w:val="left"/>
        <w:rPr>
          <w:rFonts w:ascii="宋体" w:hAnsi="宋体"/>
          <w:sz w:val="24"/>
        </w:rPr>
      </w:pPr>
      <w:r>
        <w:rPr>
          <w:rFonts w:ascii="宋体" w:hAnsi="宋体"/>
          <w:sz w:val="24"/>
        </w:rPr>
        <w:t>4</w:t>
      </w:r>
      <w:r>
        <w:rPr>
          <w:rFonts w:hint="eastAsia" w:ascii="宋体" w:hAnsi="宋体"/>
          <w:sz w:val="24"/>
        </w:rPr>
        <w:t>.1采购人</w:t>
      </w:r>
      <w:r>
        <w:rPr>
          <w:rFonts w:ascii="宋体" w:hAnsi="宋体"/>
          <w:sz w:val="24"/>
        </w:rPr>
        <w:t>自行</w:t>
      </w:r>
      <w:r>
        <w:rPr>
          <w:rFonts w:hint="eastAsia" w:ascii="宋体" w:hAnsi="宋体"/>
          <w:sz w:val="24"/>
        </w:rPr>
        <w:t>组织</w:t>
      </w:r>
      <w:r>
        <w:rPr>
          <w:rFonts w:ascii="宋体" w:hAnsi="宋体"/>
          <w:sz w:val="24"/>
        </w:rPr>
        <w:t>或委托采购代理机构</w:t>
      </w:r>
      <w:r>
        <w:rPr>
          <w:rFonts w:hint="eastAsia" w:ascii="宋体" w:hAnsi="宋体"/>
          <w:sz w:val="24"/>
        </w:rPr>
        <w:t>对供应商</w:t>
      </w:r>
      <w:r>
        <w:rPr>
          <w:rFonts w:ascii="宋体" w:hAnsi="宋体"/>
          <w:sz w:val="24"/>
        </w:rPr>
        <w:t>进行</w:t>
      </w:r>
      <w:r>
        <w:rPr>
          <w:rFonts w:hint="eastAsia" w:ascii="宋体" w:hAnsi="宋体"/>
          <w:sz w:val="24"/>
        </w:rPr>
        <w:t>履约验收</w:t>
      </w:r>
      <w:r>
        <w:rPr>
          <w:rFonts w:ascii="宋体" w:hAnsi="宋体"/>
          <w:sz w:val="24"/>
        </w:rPr>
        <w:t>，出具验收书，存档备查</w:t>
      </w:r>
      <w:r>
        <w:rPr>
          <w:rFonts w:hint="eastAsia" w:ascii="宋体" w:hAnsi="宋体"/>
          <w:sz w:val="24"/>
        </w:rPr>
        <w:t>。如果发现与合同中要求不符，供应商须承担由此发生的一切损失和费用，并承担相应的法律责任。</w:t>
      </w:r>
    </w:p>
    <w:p>
      <w:pPr>
        <w:spacing w:line="440" w:lineRule="exact"/>
        <w:jc w:val="left"/>
        <w:rPr>
          <w:rFonts w:ascii="宋体" w:hAnsi="宋体"/>
          <w:sz w:val="24"/>
        </w:rPr>
      </w:pPr>
      <w:r>
        <w:rPr>
          <w:rFonts w:ascii="宋体" w:hAnsi="宋体"/>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宋体" w:hAnsi="宋体"/>
          <w:sz w:val="24"/>
        </w:rPr>
      </w:pPr>
      <w:r>
        <w:rPr>
          <w:rFonts w:ascii="宋体" w:hAnsi="宋体"/>
          <w:sz w:val="24"/>
        </w:rPr>
        <w:t>4.3</w:t>
      </w:r>
      <w:r>
        <w:rPr>
          <w:rFonts w:hint="eastAsia" w:ascii="宋体" w:hAnsi="宋体"/>
          <w:sz w:val="24"/>
        </w:rPr>
        <w:t>采购人可以邀请参加本项目的其他供应商或者第三方机构参与验收。参与验收的供应商或者第三方机构的意见作为验收书的参考资料一并存档。</w:t>
      </w:r>
    </w:p>
    <w:p>
      <w:pPr>
        <w:spacing w:line="440" w:lineRule="exact"/>
        <w:jc w:val="left"/>
        <w:rPr>
          <w:rFonts w:ascii="宋体" w:hAnsi="宋体"/>
          <w:sz w:val="24"/>
        </w:rPr>
      </w:pPr>
      <w:r>
        <w:rPr>
          <w:rFonts w:ascii="宋体" w:hAnsi="宋体"/>
          <w:sz w:val="24"/>
        </w:rPr>
        <w:t>4.4政府向社会公众提供的公共服务项目验收时应当邀请服务对象参与并出具意见，验收结果应当向社会公告。</w:t>
      </w:r>
    </w:p>
    <w:p>
      <w:pPr>
        <w:spacing w:line="440" w:lineRule="exact"/>
        <w:jc w:val="left"/>
        <w:rPr>
          <w:rFonts w:ascii="宋体" w:hAnsi="宋体"/>
          <w:sz w:val="24"/>
        </w:rPr>
      </w:pPr>
      <w:r>
        <w:rPr>
          <w:rFonts w:ascii="宋体" w:hAnsi="宋体"/>
          <w:sz w:val="24"/>
        </w:rPr>
        <w:t>4.5采购合同的履行、违约责任和解决争议的方式等适用《中华人民共和国合同法》。</w:t>
      </w:r>
    </w:p>
    <w:p>
      <w:pPr>
        <w:spacing w:line="440" w:lineRule="exact"/>
        <w:jc w:val="left"/>
        <w:rPr>
          <w:rFonts w:ascii="宋体" w:hAnsi="宋体"/>
          <w:sz w:val="24"/>
        </w:rPr>
      </w:pPr>
      <w:r>
        <w:rPr>
          <w:rFonts w:ascii="宋体" w:hAnsi="宋体"/>
          <w:sz w:val="24"/>
        </w:rPr>
        <w:t>4.6供应商在履约过程中有政府采购法律法规规定的违法违规情形的，采购人应当及时报告本项目采购监督部门。</w:t>
      </w:r>
    </w:p>
    <w:p>
      <w:pPr>
        <w:spacing w:line="440" w:lineRule="exact"/>
        <w:jc w:val="left"/>
        <w:rPr>
          <w:rFonts w:ascii="宋体" w:hAnsi="宋体"/>
          <w:b/>
          <w:sz w:val="24"/>
        </w:rPr>
      </w:pPr>
      <w:r>
        <w:rPr>
          <w:rFonts w:hint="eastAsia" w:ascii="宋体" w:hAnsi="宋体"/>
          <w:b/>
          <w:sz w:val="24"/>
        </w:rPr>
        <w:t xml:space="preserve">5. </w:t>
      </w:r>
      <w:r>
        <w:rPr>
          <w:rFonts w:ascii="宋体" w:hAnsi="宋体"/>
          <w:b/>
          <w:sz w:val="24"/>
        </w:rPr>
        <w:t>履约检查</w:t>
      </w:r>
    </w:p>
    <w:p>
      <w:pPr>
        <w:spacing w:line="440" w:lineRule="exact"/>
        <w:ind w:firstLine="480" w:firstLineChars="200"/>
        <w:jc w:val="left"/>
        <w:rPr>
          <w:rFonts w:ascii="宋体" w:hAnsi="宋体"/>
          <w:sz w:val="24"/>
        </w:rPr>
      </w:pPr>
      <w:r>
        <w:rPr>
          <w:rFonts w:hint="eastAsia" w:ascii="宋体" w:hAnsi="宋体"/>
          <w:sz w:val="24"/>
        </w:rPr>
        <w:t>采购机构将联合采购监管部门不定期对合同的履约情况进行检查，发现未按合同规定进行履约的，有弄虚作假，偷工减料，以次充好</w:t>
      </w:r>
      <w:r>
        <w:rPr>
          <w:rFonts w:ascii="宋体" w:hAnsi="宋体"/>
          <w:sz w:val="24"/>
        </w:rPr>
        <w:t>、服务不达标</w:t>
      </w:r>
      <w:r>
        <w:rPr>
          <w:rFonts w:hint="eastAsia" w:ascii="宋体" w:hAnsi="宋体"/>
          <w:sz w:val="24"/>
        </w:rPr>
        <w:t>等情形，达不到国家、行业有关标准</w:t>
      </w:r>
      <w:r>
        <w:rPr>
          <w:rFonts w:ascii="宋体" w:hAnsi="宋体"/>
          <w:sz w:val="24"/>
        </w:rPr>
        <w:t>和采购</w:t>
      </w:r>
      <w:r>
        <w:rPr>
          <w:rFonts w:hint="eastAsia" w:ascii="宋体" w:hAnsi="宋体"/>
          <w:sz w:val="24"/>
        </w:rPr>
        <w:t>文件规定</w:t>
      </w:r>
      <w:r>
        <w:rPr>
          <w:rFonts w:ascii="宋体" w:hAnsi="宋体"/>
          <w:sz w:val="24"/>
        </w:rPr>
        <w:t>或有违采购合同</w:t>
      </w:r>
      <w:r>
        <w:rPr>
          <w:rFonts w:hint="eastAsia" w:ascii="宋体" w:hAnsi="宋体"/>
          <w:sz w:val="24"/>
        </w:rPr>
        <w:t>的，一经查实，由采购监督部门给予相应处罚。</w:t>
      </w: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snapToGrid w:val="0"/>
        <w:spacing w:line="800" w:lineRule="exact"/>
        <w:ind w:firstLine="1608" w:firstLineChars="445"/>
        <w:rPr>
          <w:rFonts w:hint="eastAsia"/>
          <w:b/>
          <w:sz w:val="36"/>
          <w:szCs w:val="36"/>
        </w:rPr>
      </w:pPr>
    </w:p>
    <w:p>
      <w:pPr>
        <w:pStyle w:val="2"/>
        <w:numPr>
          <w:ilvl w:val="0"/>
          <w:numId w:val="0"/>
        </w:numPr>
        <w:ind w:left="425"/>
        <w:jc w:val="center"/>
        <w:rPr>
          <w:rFonts w:ascii="宋体" w:hAnsi="宋体" w:eastAsia="宋体"/>
        </w:rPr>
      </w:pPr>
      <w:bookmarkStart w:id="9" w:name="_Toc83838334"/>
      <w:r>
        <w:rPr>
          <w:rFonts w:ascii="宋体" w:hAnsi="宋体" w:eastAsia="宋体"/>
        </w:rPr>
        <w:t>第三章  采购需求</w:t>
      </w:r>
      <w:bookmarkEnd w:id="9"/>
    </w:p>
    <w:p>
      <w:pPr>
        <w:pStyle w:val="3"/>
        <w:numPr>
          <w:ilvl w:val="0"/>
          <w:numId w:val="0"/>
        </w:numPr>
        <w:ind w:left="992"/>
        <w:jc w:val="center"/>
        <w:rPr>
          <w:rFonts w:ascii="宋体" w:hAnsi="宋体" w:eastAsia="宋体"/>
        </w:rPr>
      </w:pPr>
      <w:bookmarkStart w:id="10" w:name="_Toc83838335"/>
      <w:r>
        <w:rPr>
          <w:rFonts w:ascii="宋体" w:hAnsi="宋体" w:eastAsia="宋体"/>
        </w:rPr>
        <w:t>一、服务清单及要求</w:t>
      </w:r>
      <w:bookmarkEnd w:id="10"/>
    </w:p>
    <w:p>
      <w:pPr>
        <w:snapToGrid w:val="0"/>
        <w:spacing w:line="360" w:lineRule="auto"/>
        <w:rPr>
          <w:rFonts w:ascii="宋体" w:hAnsi="宋体"/>
          <w:b/>
          <w:sz w:val="24"/>
        </w:rPr>
      </w:pPr>
      <w:r>
        <w:rPr>
          <w:rFonts w:ascii="宋体" w:hAnsi="宋体"/>
          <w:b/>
          <w:sz w:val="24"/>
          <w:u w:val="wave"/>
        </w:rPr>
        <w:t>相关声明</w:t>
      </w:r>
      <w:r>
        <w:rPr>
          <w:rFonts w:ascii="宋体" w:hAnsi="宋体"/>
          <w:b/>
          <w:sz w:val="24"/>
        </w:rPr>
        <w:t>：</w:t>
      </w:r>
      <w:r>
        <w:rPr>
          <w:rFonts w:ascii="宋体" w:hAnsi="宋体"/>
          <w:b/>
          <w:sz w:val="24"/>
          <w:u w:val="wave"/>
        </w:rPr>
        <w:t>以下1-7条款如标段内另有说明的</w:t>
      </w:r>
      <w:r>
        <w:rPr>
          <w:rFonts w:ascii="宋体" w:hAnsi="宋体"/>
          <w:b/>
          <w:sz w:val="24"/>
        </w:rPr>
        <w:t>，</w:t>
      </w:r>
      <w:r>
        <w:rPr>
          <w:rFonts w:ascii="宋体" w:hAnsi="宋体"/>
          <w:b/>
          <w:sz w:val="24"/>
          <w:u w:val="wave"/>
        </w:rPr>
        <w:t>则按标内要求执行</w:t>
      </w:r>
      <w:r>
        <w:rPr>
          <w:rFonts w:ascii="宋体" w:hAnsi="宋体"/>
          <w:b/>
          <w:sz w:val="24"/>
        </w:rPr>
        <w:t>。</w:t>
      </w:r>
    </w:p>
    <w:p>
      <w:pPr>
        <w:pStyle w:val="123"/>
        <w:widowControl w:val="0"/>
        <w:spacing w:after="0" w:afterLines="0" w:line="360" w:lineRule="auto"/>
        <w:ind w:firstLine="0" w:firstLineChars="0"/>
        <w:rPr>
          <w:rFonts w:ascii="宋体" w:hAnsi="宋体"/>
          <w:b/>
          <w:szCs w:val="24"/>
        </w:rPr>
      </w:pPr>
      <w:r>
        <w:rPr>
          <w:rFonts w:ascii="宋体" w:hAnsi="宋体"/>
          <w:b/>
          <w:szCs w:val="24"/>
        </w:rPr>
        <w:t>1.设备（材料）要求</w:t>
      </w:r>
    </w:p>
    <w:p>
      <w:pPr>
        <w:tabs>
          <w:tab w:val="left" w:pos="1365"/>
        </w:tabs>
        <w:spacing w:line="360" w:lineRule="auto"/>
        <w:jc w:val="left"/>
        <w:rPr>
          <w:rFonts w:ascii="宋体" w:hAnsi="宋体"/>
          <w:sz w:val="24"/>
        </w:rPr>
      </w:pPr>
      <w:r>
        <w:rPr>
          <w:rFonts w:ascii="宋体" w:hAnsi="宋体"/>
          <w:sz w:val="24"/>
        </w:rPr>
        <w:t>1.1投标人投标提供的设备必须是厂商原装的、全新的，型号、性能及指标符合国家及招标文件提出的有关技术、质量、安全标准。</w:t>
      </w:r>
    </w:p>
    <w:p>
      <w:pPr>
        <w:tabs>
          <w:tab w:val="left" w:pos="1365"/>
        </w:tabs>
        <w:spacing w:line="360" w:lineRule="auto"/>
        <w:jc w:val="left"/>
        <w:rPr>
          <w:rFonts w:ascii="宋体" w:hAnsi="宋体"/>
          <w:sz w:val="24"/>
        </w:rPr>
      </w:pPr>
      <w:r>
        <w:rPr>
          <w:rFonts w:ascii="宋体" w:hAnsi="宋体"/>
          <w:sz w:val="24"/>
        </w:rPr>
        <w:t>1.2所有设备在开箱检验时必须完好，无破损，配置与装箱单相符。数量、质量及性能不低于本需求书中提出的要求。</w:t>
      </w:r>
    </w:p>
    <w:p>
      <w:pPr>
        <w:tabs>
          <w:tab w:val="left" w:pos="1365"/>
        </w:tabs>
        <w:spacing w:line="360" w:lineRule="auto"/>
        <w:jc w:val="left"/>
        <w:rPr>
          <w:rFonts w:ascii="宋体" w:hAnsi="宋体"/>
          <w:sz w:val="24"/>
        </w:rPr>
      </w:pPr>
      <w:r>
        <w:rPr>
          <w:rFonts w:ascii="宋体" w:hAnsi="宋体"/>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360" w:lineRule="auto"/>
        <w:jc w:val="left"/>
        <w:rPr>
          <w:rFonts w:ascii="宋体" w:hAnsi="宋体"/>
          <w:sz w:val="24"/>
        </w:rPr>
      </w:pPr>
      <w:r>
        <w:rPr>
          <w:rFonts w:ascii="宋体" w:hAnsi="宋体"/>
          <w:sz w:val="24"/>
        </w:rPr>
        <w:t>1.4对于影响设备正常工作的必要组成部分，无论在技术规范中指出与否，投标人都应提供并在投标文件中明确列出。</w:t>
      </w:r>
    </w:p>
    <w:p>
      <w:pPr>
        <w:tabs>
          <w:tab w:val="left" w:pos="1365"/>
        </w:tabs>
        <w:spacing w:line="360" w:lineRule="auto"/>
        <w:jc w:val="left"/>
        <w:rPr>
          <w:rFonts w:ascii="宋体" w:hAnsi="宋体"/>
          <w:sz w:val="24"/>
        </w:rPr>
      </w:pPr>
      <w:r>
        <w:rPr>
          <w:rFonts w:ascii="宋体" w:hAnsi="宋体"/>
          <w:sz w:val="24"/>
        </w:rPr>
        <w:t>1.5所有货物提供出厂合格证等质量证明文件，国外生产的必须有合法的进货渠道证明，如海关报关单、原产地证明、商检证明等。</w:t>
      </w:r>
    </w:p>
    <w:p>
      <w:pPr>
        <w:tabs>
          <w:tab w:val="left" w:pos="1365"/>
        </w:tabs>
        <w:spacing w:line="360" w:lineRule="auto"/>
        <w:jc w:val="left"/>
        <w:rPr>
          <w:rFonts w:ascii="宋体" w:hAnsi="宋体"/>
          <w:sz w:val="24"/>
        </w:rPr>
      </w:pPr>
      <w:r>
        <w:rPr>
          <w:rFonts w:ascii="宋体" w:hAnsi="宋体"/>
          <w:sz w:val="24"/>
        </w:rPr>
        <w:t>1.6所有货物到现场安装使用前，招标人将进行抽样检验或试验。</w:t>
      </w:r>
    </w:p>
    <w:p>
      <w:pPr>
        <w:pStyle w:val="123"/>
        <w:widowControl w:val="0"/>
        <w:spacing w:after="0" w:afterLines="0" w:line="360" w:lineRule="auto"/>
        <w:ind w:firstLine="0" w:firstLineChars="0"/>
        <w:rPr>
          <w:rFonts w:ascii="宋体" w:hAnsi="宋体"/>
          <w:b/>
          <w:szCs w:val="24"/>
        </w:rPr>
      </w:pPr>
      <w:r>
        <w:rPr>
          <w:rFonts w:ascii="宋体" w:hAnsi="宋体"/>
          <w:b/>
          <w:szCs w:val="24"/>
        </w:rPr>
        <w:t>2.数量调整</w:t>
      </w:r>
    </w:p>
    <w:p>
      <w:pPr>
        <w:pStyle w:val="123"/>
        <w:widowControl w:val="0"/>
        <w:spacing w:after="0" w:afterLines="0" w:line="360" w:lineRule="auto"/>
        <w:ind w:firstLine="480"/>
        <w:rPr>
          <w:rFonts w:ascii="宋体" w:hAnsi="宋体"/>
          <w:szCs w:val="24"/>
        </w:rPr>
      </w:pPr>
      <w:r>
        <w:rPr>
          <w:rFonts w:ascii="宋体" w:hAnsi="宋体"/>
          <w:szCs w:val="24"/>
        </w:rPr>
        <w:t>招标人保留在签约时调整部分方案及定购设备数量和服务的权力，投标人应对系统方案中设备和服务明细报价，按投标单价不变的前提下进行调整，双方不得拒绝。</w:t>
      </w:r>
    </w:p>
    <w:p>
      <w:pPr>
        <w:pStyle w:val="123"/>
        <w:widowControl w:val="0"/>
        <w:spacing w:after="0" w:afterLines="0" w:line="360" w:lineRule="auto"/>
        <w:ind w:firstLine="480"/>
        <w:rPr>
          <w:rFonts w:ascii="宋体" w:hAnsi="宋体"/>
          <w:szCs w:val="24"/>
        </w:rPr>
      </w:pPr>
      <w:r>
        <w:rPr>
          <w:rFonts w:ascii="宋体" w:hAnsi="宋体"/>
          <w:szCs w:val="24"/>
        </w:rPr>
        <w:t>如遇本次招标没有涉及的设备或服务时，由中标人提供申请，招标人确认后实施。</w:t>
      </w:r>
    </w:p>
    <w:p>
      <w:pPr>
        <w:pStyle w:val="123"/>
        <w:widowControl w:val="0"/>
        <w:spacing w:after="0" w:afterLines="0" w:line="360" w:lineRule="auto"/>
        <w:ind w:firstLine="0" w:firstLineChars="0"/>
        <w:rPr>
          <w:rFonts w:ascii="宋体" w:hAnsi="宋体"/>
          <w:b/>
          <w:szCs w:val="24"/>
        </w:rPr>
      </w:pPr>
      <w:r>
        <w:rPr>
          <w:rFonts w:ascii="宋体" w:hAnsi="宋体"/>
          <w:b/>
          <w:szCs w:val="24"/>
        </w:rPr>
        <w:t>3.安装及调试、验收</w:t>
      </w:r>
    </w:p>
    <w:p>
      <w:pPr>
        <w:pStyle w:val="123"/>
        <w:widowControl w:val="0"/>
        <w:spacing w:after="0" w:afterLines="0" w:line="360" w:lineRule="auto"/>
        <w:ind w:firstLine="480"/>
        <w:rPr>
          <w:rFonts w:ascii="宋体" w:hAnsi="宋体"/>
          <w:szCs w:val="24"/>
        </w:rPr>
      </w:pPr>
      <w:r>
        <w:rPr>
          <w:rFonts w:ascii="宋体" w:hAnsi="宋体"/>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360" w:lineRule="auto"/>
        <w:jc w:val="left"/>
        <w:rPr>
          <w:rFonts w:ascii="宋体" w:hAnsi="宋体"/>
          <w:sz w:val="24"/>
        </w:rPr>
      </w:pPr>
      <w:r>
        <w:rPr>
          <w:rFonts w:ascii="宋体" w:hAnsi="宋体"/>
          <w:sz w:val="24"/>
        </w:rPr>
        <w:t>3.1中标人负责设备的安装、调试。</w:t>
      </w:r>
    </w:p>
    <w:p>
      <w:pPr>
        <w:tabs>
          <w:tab w:val="left" w:pos="1365"/>
        </w:tabs>
        <w:spacing w:line="360" w:lineRule="auto"/>
        <w:jc w:val="left"/>
        <w:rPr>
          <w:rFonts w:ascii="宋体" w:hAnsi="宋体"/>
          <w:sz w:val="24"/>
        </w:rPr>
      </w:pPr>
      <w:r>
        <w:rPr>
          <w:rFonts w:ascii="宋体" w:hAnsi="宋体"/>
          <w:sz w:val="24"/>
        </w:rPr>
        <w:t>3.2调试所需专用工具设施物料由中标人自备、自费运到现场，完工后自费搬走。</w:t>
      </w:r>
    </w:p>
    <w:p>
      <w:pPr>
        <w:tabs>
          <w:tab w:val="left" w:pos="1365"/>
        </w:tabs>
        <w:spacing w:line="360" w:lineRule="auto"/>
        <w:jc w:val="left"/>
        <w:rPr>
          <w:rFonts w:ascii="宋体" w:hAnsi="宋体"/>
          <w:sz w:val="24"/>
        </w:rPr>
      </w:pPr>
      <w:r>
        <w:rPr>
          <w:rFonts w:ascii="宋体" w:hAnsi="宋体"/>
          <w:sz w:val="24"/>
        </w:rPr>
        <w:t>3.3安装完成后，进行调试、验收按国家有关规范标准（国家无验收规范标准的按双方合同规定的要求）进行。</w:t>
      </w:r>
    </w:p>
    <w:p>
      <w:pPr>
        <w:tabs>
          <w:tab w:val="left" w:pos="1365"/>
        </w:tabs>
        <w:spacing w:line="360" w:lineRule="auto"/>
        <w:jc w:val="left"/>
        <w:rPr>
          <w:rFonts w:ascii="宋体" w:hAnsi="宋体"/>
          <w:sz w:val="24"/>
        </w:rPr>
      </w:pPr>
      <w:r>
        <w:rPr>
          <w:rFonts w:ascii="宋体" w:hAnsi="宋体"/>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360" w:lineRule="auto"/>
        <w:jc w:val="left"/>
        <w:rPr>
          <w:rFonts w:ascii="宋体" w:hAnsi="宋体"/>
          <w:sz w:val="24"/>
        </w:rPr>
      </w:pPr>
      <w:r>
        <w:rPr>
          <w:rFonts w:ascii="宋体" w:hAnsi="宋体"/>
          <w:sz w:val="24"/>
        </w:rPr>
        <w:t>3.5所有的招标设备应按照国家有关技术标准在制造厂检查和试验合格，以表明其运行性能、安全性能以及设备材料和结构在电气、机械上的完整性。</w:t>
      </w:r>
    </w:p>
    <w:p>
      <w:pPr>
        <w:pStyle w:val="123"/>
        <w:widowControl w:val="0"/>
        <w:spacing w:after="0" w:afterLines="0" w:line="360" w:lineRule="auto"/>
        <w:ind w:firstLine="0" w:firstLineChars="0"/>
        <w:rPr>
          <w:rFonts w:ascii="宋体" w:hAnsi="宋体"/>
          <w:b/>
          <w:szCs w:val="24"/>
        </w:rPr>
      </w:pPr>
      <w:r>
        <w:rPr>
          <w:rFonts w:ascii="宋体" w:hAnsi="宋体"/>
          <w:b/>
          <w:szCs w:val="24"/>
        </w:rPr>
        <w:t>4.技术培训</w:t>
      </w:r>
    </w:p>
    <w:p>
      <w:pPr>
        <w:spacing w:line="360" w:lineRule="auto"/>
        <w:rPr>
          <w:rFonts w:ascii="宋体" w:hAnsi="宋体"/>
          <w:sz w:val="24"/>
        </w:rPr>
      </w:pPr>
      <w:r>
        <w:rPr>
          <w:rFonts w:ascii="宋体" w:hAnsi="宋体"/>
          <w:sz w:val="24"/>
        </w:rPr>
        <w:t>4.1中标人须对招标人的技术人员培训。投标人须在投标文件中提供详细的培训计划，包括培训内容、培训时间、培训费用等。</w:t>
      </w:r>
    </w:p>
    <w:p>
      <w:pPr>
        <w:spacing w:line="360" w:lineRule="auto"/>
        <w:rPr>
          <w:rFonts w:ascii="宋体" w:hAnsi="宋体"/>
          <w:sz w:val="24"/>
        </w:rPr>
      </w:pPr>
      <w:r>
        <w:rPr>
          <w:rFonts w:ascii="宋体" w:hAnsi="宋体"/>
          <w:sz w:val="24"/>
        </w:rPr>
        <w:t>4.2中标人提供的负责培训的人员应具备同类设备五年以上的经验。</w:t>
      </w:r>
    </w:p>
    <w:p>
      <w:pPr>
        <w:spacing w:line="360" w:lineRule="auto"/>
        <w:rPr>
          <w:rFonts w:ascii="宋体" w:hAnsi="宋体"/>
          <w:sz w:val="24"/>
        </w:rPr>
      </w:pPr>
      <w:r>
        <w:rPr>
          <w:rFonts w:ascii="宋体" w:hAnsi="宋体"/>
          <w:sz w:val="24"/>
        </w:rPr>
        <w:t xml:space="preserve">4.3技术培训费用应包含在投标总价中。    </w:t>
      </w:r>
    </w:p>
    <w:p>
      <w:pPr>
        <w:spacing w:line="360" w:lineRule="auto"/>
        <w:rPr>
          <w:rFonts w:ascii="宋体" w:hAnsi="宋体"/>
          <w:sz w:val="24"/>
        </w:rPr>
      </w:pPr>
      <w:r>
        <w:rPr>
          <w:rFonts w:ascii="宋体" w:hAnsi="宋体"/>
          <w:sz w:val="24"/>
        </w:rPr>
        <w:t>4.4技术培训至少应包括下列内容：</w:t>
      </w:r>
    </w:p>
    <w:p>
      <w:pPr>
        <w:pStyle w:val="20"/>
        <w:widowControl w:val="0"/>
        <w:numPr>
          <w:ilvl w:val="0"/>
          <w:numId w:val="0"/>
        </w:numPr>
        <w:spacing w:after="0" w:afterLines="0" w:line="360" w:lineRule="auto"/>
        <w:rPr>
          <w:rFonts w:ascii="宋体" w:hAnsi="宋体"/>
          <w:szCs w:val="24"/>
        </w:rPr>
      </w:pPr>
      <w:r>
        <w:rPr>
          <w:rFonts w:ascii="宋体" w:hAnsi="宋体"/>
          <w:szCs w:val="24"/>
        </w:rPr>
        <w:t>4.4.1原理、构成和功能的描述。</w:t>
      </w:r>
    </w:p>
    <w:p>
      <w:pPr>
        <w:pStyle w:val="20"/>
        <w:widowControl w:val="0"/>
        <w:numPr>
          <w:ilvl w:val="0"/>
          <w:numId w:val="0"/>
        </w:numPr>
        <w:spacing w:after="0" w:afterLines="0" w:line="360" w:lineRule="auto"/>
        <w:rPr>
          <w:rFonts w:ascii="宋体" w:hAnsi="宋体"/>
          <w:szCs w:val="24"/>
        </w:rPr>
      </w:pPr>
      <w:r>
        <w:rPr>
          <w:rFonts w:ascii="宋体" w:hAnsi="宋体"/>
          <w:szCs w:val="24"/>
        </w:rPr>
        <w:t>4.4.2常见故障的处理或排除。</w:t>
      </w:r>
    </w:p>
    <w:p>
      <w:pPr>
        <w:pStyle w:val="20"/>
        <w:widowControl w:val="0"/>
        <w:numPr>
          <w:ilvl w:val="0"/>
          <w:numId w:val="0"/>
        </w:numPr>
        <w:spacing w:after="0" w:afterLines="0" w:line="360" w:lineRule="auto"/>
        <w:rPr>
          <w:rFonts w:ascii="宋体" w:hAnsi="宋体"/>
          <w:szCs w:val="24"/>
        </w:rPr>
      </w:pPr>
      <w:r>
        <w:rPr>
          <w:rFonts w:ascii="宋体" w:hAnsi="宋体"/>
          <w:szCs w:val="24"/>
        </w:rPr>
        <w:t>4.4.3各系统部件（设备）的检查、调整和维护。</w:t>
      </w:r>
    </w:p>
    <w:p>
      <w:pPr>
        <w:pStyle w:val="20"/>
        <w:widowControl w:val="0"/>
        <w:numPr>
          <w:ilvl w:val="0"/>
          <w:numId w:val="0"/>
        </w:numPr>
        <w:spacing w:after="0" w:afterLines="0" w:line="360" w:lineRule="auto"/>
        <w:rPr>
          <w:rFonts w:ascii="宋体" w:hAnsi="宋体"/>
          <w:szCs w:val="24"/>
        </w:rPr>
      </w:pPr>
      <w:r>
        <w:rPr>
          <w:rFonts w:ascii="宋体" w:hAnsi="宋体"/>
          <w:szCs w:val="24"/>
        </w:rPr>
        <w:t>4.4.4对使用者关于设备基本操作技能的培训。</w:t>
      </w:r>
    </w:p>
    <w:p>
      <w:pPr>
        <w:pStyle w:val="20"/>
        <w:widowControl w:val="0"/>
        <w:numPr>
          <w:ilvl w:val="0"/>
          <w:numId w:val="0"/>
        </w:numPr>
        <w:spacing w:after="0" w:afterLines="0" w:line="360" w:lineRule="auto"/>
        <w:rPr>
          <w:rFonts w:ascii="宋体" w:hAnsi="宋体"/>
          <w:b/>
          <w:szCs w:val="24"/>
        </w:rPr>
      </w:pPr>
      <w:r>
        <w:rPr>
          <w:rFonts w:ascii="宋体" w:hAnsi="宋体"/>
          <w:b/>
          <w:szCs w:val="24"/>
        </w:rPr>
        <w:t>5.售后服务</w:t>
      </w:r>
    </w:p>
    <w:p>
      <w:pPr>
        <w:pStyle w:val="4"/>
        <w:spacing w:line="360" w:lineRule="auto"/>
        <w:ind w:firstLine="0" w:firstLineChars="0"/>
        <w:rPr>
          <w:rFonts w:ascii="宋体" w:hAnsi="宋体"/>
          <w:sz w:val="24"/>
        </w:rPr>
      </w:pPr>
      <w:r>
        <w:rPr>
          <w:rFonts w:ascii="宋体" w:hAnsi="宋体"/>
          <w:sz w:val="24"/>
        </w:rPr>
        <w:t>5.1在售后维保期间，投标人应免费处理发生的故障，并进行正常保养。</w:t>
      </w:r>
    </w:p>
    <w:p>
      <w:pPr>
        <w:tabs>
          <w:tab w:val="left" w:pos="3870"/>
          <w:tab w:val="left" w:pos="4085"/>
        </w:tabs>
        <w:snapToGrid w:val="0"/>
        <w:spacing w:line="360" w:lineRule="auto"/>
        <w:jc w:val="left"/>
        <w:rPr>
          <w:rFonts w:ascii="宋体" w:hAnsi="宋体"/>
          <w:sz w:val="24"/>
        </w:rPr>
      </w:pPr>
      <w:r>
        <w:rPr>
          <w:rFonts w:ascii="宋体" w:hAnsi="宋体"/>
          <w:sz w:val="24"/>
        </w:rPr>
        <w:t>5.2中标人必须有可靠的售后服务保障包括但不限于在</w:t>
      </w:r>
      <w:r>
        <w:rPr>
          <w:rFonts w:ascii="宋体" w:hAnsi="宋体"/>
          <w:b/>
          <w:sz w:val="24"/>
          <w:u w:val="single"/>
        </w:rPr>
        <w:t>绍兴附近</w:t>
      </w:r>
      <w:r>
        <w:rPr>
          <w:rFonts w:ascii="宋体" w:hAnsi="宋体"/>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360" w:lineRule="auto"/>
        <w:jc w:val="left"/>
        <w:rPr>
          <w:rFonts w:ascii="宋体" w:hAnsi="宋体"/>
          <w:b/>
          <w:kern w:val="0"/>
          <w:sz w:val="24"/>
          <w:u w:val="wave"/>
        </w:rPr>
      </w:pPr>
      <w:r>
        <w:rPr>
          <w:rFonts w:ascii="宋体" w:hAnsi="宋体"/>
          <w:b/>
          <w:sz w:val="24"/>
        </w:rPr>
        <w:t>6. 服务要求</w:t>
      </w:r>
    </w:p>
    <w:p>
      <w:pPr>
        <w:tabs>
          <w:tab w:val="left" w:pos="3870"/>
          <w:tab w:val="left" w:pos="4085"/>
        </w:tabs>
        <w:snapToGrid w:val="0"/>
        <w:spacing w:line="360" w:lineRule="auto"/>
        <w:jc w:val="left"/>
        <w:rPr>
          <w:rFonts w:ascii="宋体" w:hAnsi="宋体"/>
          <w:sz w:val="24"/>
        </w:rPr>
      </w:pPr>
      <w:r>
        <w:rPr>
          <w:rFonts w:ascii="宋体" w:hAnsi="宋体"/>
          <w:sz w:val="24"/>
        </w:rPr>
        <w:t>6.1设备包修期内（各标项内已有要求的除外），如出现故障，中标人在接到电话6小时内到达采购人指定地点，</w:t>
      </w:r>
    </w:p>
    <w:p>
      <w:pPr>
        <w:tabs>
          <w:tab w:val="left" w:pos="3870"/>
          <w:tab w:val="left" w:pos="4085"/>
        </w:tabs>
        <w:snapToGrid w:val="0"/>
        <w:spacing w:line="360" w:lineRule="auto"/>
        <w:jc w:val="left"/>
        <w:rPr>
          <w:rFonts w:ascii="宋体" w:hAnsi="宋体"/>
          <w:sz w:val="24"/>
        </w:rPr>
      </w:pPr>
      <w:r>
        <w:rPr>
          <w:rFonts w:ascii="宋体" w:hAnsi="宋体"/>
          <w:sz w:val="24"/>
        </w:rPr>
        <w:t>6.2 中标人提供的设备，必须符合招标文件及其投标文件规定的要求，如有不符，采购人可以无条件退货，造成的损失由中标人承担。</w:t>
      </w:r>
    </w:p>
    <w:p>
      <w:pPr>
        <w:tabs>
          <w:tab w:val="left" w:pos="3870"/>
          <w:tab w:val="left" w:pos="4085"/>
        </w:tabs>
        <w:snapToGrid w:val="0"/>
        <w:spacing w:line="360" w:lineRule="auto"/>
        <w:jc w:val="left"/>
        <w:rPr>
          <w:rFonts w:ascii="宋体" w:hAnsi="宋体"/>
          <w:sz w:val="24"/>
        </w:rPr>
      </w:pPr>
      <w:r>
        <w:rPr>
          <w:rFonts w:ascii="宋体" w:hAnsi="宋体"/>
          <w:sz w:val="24"/>
        </w:rPr>
        <w:t>6.3 中标人、供货人名称必须一致，否则作违约处理，其履约保证金或投标保证金不予退还。</w:t>
      </w:r>
    </w:p>
    <w:p>
      <w:pPr>
        <w:snapToGrid w:val="0"/>
        <w:spacing w:line="360" w:lineRule="auto"/>
        <w:jc w:val="left"/>
        <w:rPr>
          <w:rFonts w:ascii="宋体" w:hAnsi="宋体"/>
          <w:b/>
          <w:sz w:val="24"/>
        </w:rPr>
      </w:pPr>
      <w:r>
        <w:rPr>
          <w:rFonts w:ascii="宋体" w:hAnsi="宋体"/>
          <w:b/>
          <w:sz w:val="24"/>
        </w:rPr>
        <w:t>7. 项目实施人员费用</w:t>
      </w:r>
    </w:p>
    <w:p>
      <w:pPr>
        <w:snapToGrid w:val="0"/>
        <w:spacing w:line="360" w:lineRule="auto"/>
        <w:jc w:val="left"/>
        <w:rPr>
          <w:rFonts w:hint="eastAsia" w:ascii="宋体" w:hAnsi="宋体"/>
          <w:sz w:val="24"/>
        </w:rPr>
      </w:pPr>
      <w:r>
        <w:rPr>
          <w:rFonts w:ascii="宋体" w:hAnsi="宋体"/>
          <w:sz w:val="24"/>
        </w:rPr>
        <w:t xml:space="preserve">   中标人应自行承担选派专业人员的住宿、就餐和交通等费用。</w:t>
      </w:r>
      <w:bookmarkStart w:id="11" w:name="_Toc81372964"/>
      <w:bookmarkStart w:id="12" w:name="_Toc84325981"/>
      <w:bookmarkStart w:id="13" w:name="_Toc80157775"/>
      <w:bookmarkStart w:id="14" w:name="_Toc81372787"/>
    </w:p>
    <w:p>
      <w:pPr>
        <w:snapToGrid w:val="0"/>
        <w:spacing w:line="360" w:lineRule="auto"/>
        <w:jc w:val="left"/>
        <w:rPr>
          <w:rFonts w:hint="eastAsia" w:ascii="宋体" w:hAnsi="宋体"/>
          <w:b/>
          <w:sz w:val="24"/>
        </w:rPr>
      </w:pPr>
      <w:r>
        <w:rPr>
          <w:rFonts w:ascii="宋体" w:hAnsi="宋体"/>
          <w:b/>
          <w:sz w:val="24"/>
        </w:rPr>
        <w:t>8.招标项目设备名称及数量：</w:t>
      </w:r>
    </w:p>
    <w:p>
      <w:pPr>
        <w:snapToGrid w:val="0"/>
        <w:spacing w:line="360" w:lineRule="auto"/>
        <w:jc w:val="left"/>
        <w:rPr>
          <w:rFonts w:hint="eastAsia" w:ascii="宋体" w:hAnsi="宋体"/>
          <w:b/>
          <w:sz w:val="24"/>
          <w:bdr w:val="single" w:color="auto" w:sz="4" w:space="0"/>
        </w:rPr>
      </w:pPr>
      <w:r>
        <w:rPr>
          <w:rFonts w:hint="eastAsia" w:ascii="宋体" w:hAnsi="宋体"/>
          <w:b/>
          <w:sz w:val="24"/>
          <w:bdr w:val="single" w:color="auto" w:sz="4" w:space="0"/>
        </w:rPr>
        <w:t xml:space="preserve"> 01标</w:t>
      </w:r>
    </w:p>
    <w:p>
      <w:pPr>
        <w:pStyle w:val="3"/>
        <w:numPr>
          <w:ilvl w:val="0"/>
          <w:numId w:val="0"/>
        </w:numPr>
        <w:tabs>
          <w:tab w:val="clear" w:pos="1145"/>
        </w:tabs>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项目概况</w:t>
      </w:r>
    </w:p>
    <w:p>
      <w:pPr>
        <w:numPr>
          <w:ilvl w:val="0"/>
          <w:numId w:val="11"/>
        </w:numPr>
        <w:spacing w:line="360" w:lineRule="auto"/>
        <w:rPr>
          <w:rFonts w:ascii="宋体" w:hAnsi="宋体"/>
          <w:b/>
          <w:sz w:val="24"/>
        </w:rPr>
      </w:pPr>
      <w:r>
        <w:rPr>
          <w:rFonts w:ascii="宋体" w:hAnsi="宋体"/>
          <w:b/>
          <w:sz w:val="24"/>
        </w:rPr>
        <w:t>项目简介</w:t>
      </w:r>
    </w:p>
    <w:p>
      <w:pPr>
        <w:spacing w:line="440" w:lineRule="exact"/>
        <w:ind w:firstLine="480" w:firstLineChars="200"/>
        <w:rPr>
          <w:rFonts w:ascii="仿宋_GB2312" w:eastAsia="仿宋_GB2312"/>
          <w:sz w:val="24"/>
        </w:rPr>
      </w:pPr>
      <w:r>
        <w:rPr>
          <w:rFonts w:ascii="宋体" w:hAnsi="宋体"/>
          <w:sz w:val="24"/>
        </w:rPr>
        <w:t>智安小区建设是建设社会治安防控体系、构建和谐社会和平安社会的重要组成部分。为推进智安小区建设，构筑基层社会管理和服务体系，国家下发了多个政策文件指导平安建设，包括：中共中央、国务院《中共中央国务院关于实施乡村振兴战略的意见》</w:t>
      </w:r>
      <w:r>
        <w:rPr>
          <w:rFonts w:hint="eastAsia" w:ascii="宋体" w:hAnsi="宋体"/>
          <w:sz w:val="24"/>
        </w:rPr>
        <w:t>、</w:t>
      </w:r>
      <w:r>
        <w:rPr>
          <w:rFonts w:ascii="宋体" w:hAnsi="宋体"/>
          <w:sz w:val="24"/>
        </w:rPr>
        <w:t>九部委《关于加强公共安全视频监控建设联网应用工作的若干意见》、</w:t>
      </w:r>
      <w:r>
        <w:rPr>
          <w:rFonts w:hint="eastAsia" w:ascii="宋体" w:hAnsi="宋体"/>
          <w:sz w:val="24"/>
        </w:rPr>
        <w:t>省委办公厅、省政府办公厅《关于加强社会治安防控体系建设的实施意见》，</w:t>
      </w:r>
      <w:r>
        <w:rPr>
          <w:rFonts w:ascii="宋体" w:hAnsi="宋体"/>
          <w:sz w:val="24"/>
        </w:rPr>
        <w:t>对于加强小区治安防控网建设，深化城乡社区**战略，全面提高社区治安综合治理水平提出了要求。智安小区建设围绕小区综合治理业务需求和国家政策文件要求，以智能感知系统建设为重点、信息化为支撑，创新小区治理机制。</w:t>
      </w:r>
      <w:r>
        <w:rPr>
          <w:rFonts w:hint="eastAsia" w:ascii="宋体" w:hAnsi="宋体"/>
          <w:sz w:val="24"/>
        </w:rPr>
        <w:t>结合我区实际情况，特制定本实施方案。</w:t>
      </w:r>
    </w:p>
    <w:p>
      <w:pPr>
        <w:numPr>
          <w:ilvl w:val="0"/>
          <w:numId w:val="11"/>
        </w:numPr>
        <w:spacing w:line="360" w:lineRule="auto"/>
        <w:rPr>
          <w:rFonts w:ascii="宋体" w:hAnsi="宋体"/>
          <w:b/>
          <w:sz w:val="24"/>
        </w:rPr>
      </w:pPr>
      <w:r>
        <w:rPr>
          <w:rFonts w:ascii="宋体" w:hAnsi="宋体"/>
          <w:b/>
          <w:sz w:val="24"/>
        </w:rPr>
        <w:t>建设目标</w:t>
      </w:r>
    </w:p>
    <w:p>
      <w:pPr>
        <w:spacing w:line="360" w:lineRule="auto"/>
        <w:ind w:firstLine="480"/>
        <w:rPr>
          <w:rFonts w:ascii="宋体" w:hAnsi="宋体"/>
          <w:sz w:val="24"/>
        </w:rPr>
      </w:pPr>
      <w:r>
        <w:rPr>
          <w:rFonts w:ascii="宋体" w:hAnsi="宋体"/>
          <w:sz w:val="24"/>
        </w:rPr>
        <w:t>依照相关国家政策规范，从“公共安全”、“社区治理”两个维度出发，做到信息掌握到位、治安防控到位。通过人员管理、车辆管理等物联感知系统，建立起“人防部署到位、物防设施完善、技术手段先进、应急处置高效”的集管理、防范、控制于一体的小区治安保障体系，对各类事件做到预知、预判、预防、预警和有效处置，切实加强社区的安全保障能力和应急响应能力。同时，通过越城区智安小区管控平台汇聚整合各类物联感知信息资源，建立跨区域共享服务平台，解决社区信息采集单一、无法实时与上级部门共享数据等问题，实现更精细的社会治理。整体工作进程安排如下：</w:t>
      </w:r>
    </w:p>
    <w:p>
      <w:pPr>
        <w:spacing w:line="360" w:lineRule="auto"/>
        <w:ind w:firstLine="480"/>
        <w:rPr>
          <w:rFonts w:ascii="宋体" w:hAnsi="宋体"/>
          <w:sz w:val="24"/>
        </w:rPr>
      </w:pPr>
      <w:r>
        <w:rPr>
          <w:rFonts w:ascii="宋体" w:hAnsi="宋体"/>
          <w:sz w:val="24"/>
        </w:rPr>
        <w:t>定点：挑选越城区重点小区进行全面勘察，以全面管理进出人员、车辆为核心，建立小区治安防护圈。选址主要考虑各个小区的人员进出口、车辆出入口。各感知点位彼此关联，形成小区治安防护圈，对进出的人车进行全面采集，以达到最佳防控效果。</w:t>
      </w:r>
    </w:p>
    <w:p>
      <w:pPr>
        <w:spacing w:line="360" w:lineRule="auto"/>
        <w:ind w:firstLine="480"/>
        <w:rPr>
          <w:rFonts w:ascii="宋体" w:hAnsi="宋体"/>
          <w:sz w:val="24"/>
        </w:rPr>
      </w:pPr>
      <w:r>
        <w:rPr>
          <w:rFonts w:ascii="宋体" w:hAnsi="宋体"/>
          <w:sz w:val="24"/>
        </w:rPr>
        <w:t>（2）建设：招投标工作完成后，根据招标文件要求中标单位按时完成建设工作，由绍兴市公安局越城区分局负责工程的验收考核。</w:t>
      </w:r>
    </w:p>
    <w:p>
      <w:pPr>
        <w:numPr>
          <w:ilvl w:val="0"/>
          <w:numId w:val="11"/>
        </w:numPr>
        <w:spacing w:line="360" w:lineRule="auto"/>
        <w:rPr>
          <w:rFonts w:ascii="宋体" w:hAnsi="宋体"/>
          <w:b/>
          <w:sz w:val="24"/>
        </w:rPr>
      </w:pPr>
      <w:r>
        <w:rPr>
          <w:rFonts w:ascii="宋体" w:hAnsi="宋体"/>
          <w:b/>
          <w:sz w:val="24"/>
        </w:rPr>
        <w:t>采购原则</w:t>
      </w:r>
    </w:p>
    <w:p>
      <w:pPr>
        <w:spacing w:line="360" w:lineRule="auto"/>
        <w:ind w:firstLine="480"/>
        <w:rPr>
          <w:rFonts w:ascii="宋体" w:hAnsi="宋体"/>
          <w:sz w:val="24"/>
        </w:rPr>
      </w:pPr>
      <w:r>
        <w:rPr>
          <w:rFonts w:ascii="宋体" w:hAnsi="宋体"/>
          <w:sz w:val="24"/>
        </w:rPr>
        <w:t>（1）本着“实用、可靠、先进、经济”的原则，充分利用现有资源，结合采购人的具体情况和实际工作需求进行配置。</w:t>
      </w:r>
    </w:p>
    <w:p>
      <w:pPr>
        <w:spacing w:line="360" w:lineRule="auto"/>
        <w:ind w:firstLine="480"/>
        <w:rPr>
          <w:rFonts w:ascii="宋体" w:hAnsi="宋体"/>
          <w:sz w:val="24"/>
        </w:rPr>
      </w:pPr>
      <w:r>
        <w:rPr>
          <w:rFonts w:ascii="宋体" w:hAnsi="宋体"/>
          <w:sz w:val="24"/>
        </w:rPr>
        <w:t>（2）在技术和系统容量上留有充分扩展余地，在较长时间内保持系统的先进性。</w:t>
      </w:r>
    </w:p>
    <w:p>
      <w:pPr>
        <w:numPr>
          <w:ilvl w:val="0"/>
          <w:numId w:val="12"/>
        </w:numPr>
        <w:spacing w:line="360" w:lineRule="auto"/>
        <w:rPr>
          <w:rFonts w:ascii="宋体" w:hAnsi="宋体"/>
          <w:sz w:val="24"/>
        </w:rPr>
      </w:pPr>
      <w:r>
        <w:rPr>
          <w:rFonts w:ascii="宋体" w:hAnsi="宋体"/>
          <w:sz w:val="24"/>
        </w:rPr>
        <w:t>本项目按照绍兴市公安局越城区分局提出的建设标准，提供相应的技术服务。</w:t>
      </w:r>
    </w:p>
    <w:p>
      <w:pPr>
        <w:pStyle w:val="3"/>
        <w:numPr>
          <w:ilvl w:val="0"/>
          <w:numId w:val="0"/>
        </w:numPr>
        <w:tabs>
          <w:tab w:val="clear" w:pos="1145"/>
        </w:tabs>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项目技术要求</w:t>
      </w:r>
    </w:p>
    <w:p>
      <w:pPr>
        <w:numPr>
          <w:ilvl w:val="0"/>
          <w:numId w:val="13"/>
        </w:numPr>
        <w:spacing w:line="360" w:lineRule="auto"/>
        <w:rPr>
          <w:rFonts w:ascii="宋体" w:hAnsi="宋体"/>
          <w:b/>
          <w:sz w:val="24"/>
        </w:rPr>
      </w:pPr>
      <w:r>
        <w:rPr>
          <w:rFonts w:ascii="宋体" w:hAnsi="宋体"/>
          <w:b/>
          <w:sz w:val="24"/>
        </w:rPr>
        <w:t>总体要求</w:t>
      </w:r>
    </w:p>
    <w:p>
      <w:pPr>
        <w:spacing w:line="360" w:lineRule="auto"/>
        <w:ind w:firstLine="480"/>
        <w:rPr>
          <w:rFonts w:ascii="宋体" w:hAnsi="宋体"/>
          <w:sz w:val="24"/>
        </w:rPr>
      </w:pPr>
      <w:r>
        <w:rPr>
          <w:rFonts w:hint="eastAsia" w:ascii="宋体" w:hAnsi="宋体"/>
          <w:sz w:val="24"/>
        </w:rPr>
        <w:t>本次招标需在通信运营商或有线电视网络运营商城域专网(VPN)建设一套社会面小区接入平台，用于接入小区视频监控和车辆数据，在运营商城域专网进行统一云存储，并通过安全边界接入越城公安视频共享平台。各个小区的人脸视频数据、人脸抓拍数据、智慧感知数据直接接入越城公安视频专网，并对原有的视频云存储等后端服务进行按需扩容，进行统一的视频数据存储，最终视频、人脸、车辆、智慧感知等数据通过安全边界统一在公安信息网数据汇聚平台进行数据统一汇聚，并推送至越城区智安小区管控平台，实现对所有小区的治安防控管理。</w:t>
      </w:r>
    </w:p>
    <w:p>
      <w:pPr>
        <w:spacing w:line="360" w:lineRule="auto"/>
        <w:ind w:firstLine="480"/>
        <w:rPr>
          <w:rFonts w:hint="eastAsia" w:ascii="宋体" w:hAnsi="宋体"/>
          <w:sz w:val="24"/>
        </w:rPr>
      </w:pPr>
      <w:r>
        <w:rPr>
          <w:rFonts w:hint="eastAsia" w:ascii="宋体" w:hAnsi="宋体"/>
          <w:sz w:val="24"/>
        </w:rPr>
        <w:t>本系统建设须满足《绍兴市公安机关“智安小区”建设技术规范》中的相关技术要求。</w:t>
      </w:r>
    </w:p>
    <w:p>
      <w:pPr>
        <w:spacing w:line="360" w:lineRule="auto"/>
        <w:ind w:firstLine="480"/>
        <w:rPr>
          <w:rFonts w:hint="eastAsia" w:ascii="宋体" w:hAnsi="宋体"/>
          <w:sz w:val="24"/>
        </w:rPr>
      </w:pPr>
      <w:r>
        <w:rPr>
          <w:rFonts w:hint="eastAsia" w:ascii="宋体" w:hAnsi="宋体"/>
          <w:sz w:val="24"/>
        </w:rPr>
        <w:t>本系统建设须满足《绍兴市公安机关“智安小区”建设技术规范》中的相关技术要求。越城区智安小区管控平台数据汇聚、清洗、治理后，应按标准实时推送至市级智安小区总平台。</w:t>
      </w:r>
    </w:p>
    <w:p>
      <w:pPr>
        <w:spacing w:line="360" w:lineRule="auto"/>
        <w:ind w:firstLine="480"/>
        <w:rPr>
          <w:rFonts w:hint="eastAsia" w:ascii="宋体" w:hAnsi="宋体"/>
          <w:sz w:val="24"/>
        </w:rPr>
      </w:pPr>
      <w:r>
        <w:rPr>
          <w:rFonts w:hint="eastAsia" w:ascii="宋体" w:hAnsi="宋体"/>
          <w:sz w:val="24"/>
        </w:rPr>
        <w:t>1.1  视频监控系统支持通过GB/T28181-2016的协议接入视频流数据</w:t>
      </w:r>
    </w:p>
    <w:p>
      <w:pPr>
        <w:spacing w:line="360" w:lineRule="auto"/>
        <w:ind w:firstLine="480"/>
        <w:rPr>
          <w:rFonts w:hint="eastAsia" w:ascii="宋体" w:hAnsi="宋体"/>
          <w:sz w:val="24"/>
        </w:rPr>
      </w:pPr>
      <w:r>
        <w:rPr>
          <w:rFonts w:hint="eastAsia" w:ascii="宋体" w:hAnsi="宋体"/>
          <w:sz w:val="24"/>
        </w:rPr>
        <w:t>1.2  人脸抓拍图像信息应支持根据GA/T1400.x的协议要求</w:t>
      </w:r>
    </w:p>
    <w:p>
      <w:pPr>
        <w:spacing w:line="360" w:lineRule="auto"/>
        <w:ind w:firstLine="480"/>
        <w:rPr>
          <w:rFonts w:hint="eastAsia" w:ascii="宋体" w:hAnsi="宋体"/>
          <w:sz w:val="24"/>
        </w:rPr>
      </w:pPr>
      <w:r>
        <w:rPr>
          <w:rFonts w:hint="eastAsia" w:ascii="宋体" w:hAnsi="宋体"/>
          <w:sz w:val="24"/>
        </w:rPr>
        <w:t>1.3  车辆图像信息应支持根据GA/T1400.x的协议要求</w:t>
      </w:r>
    </w:p>
    <w:p>
      <w:pPr>
        <w:spacing w:line="360" w:lineRule="auto"/>
        <w:ind w:firstLine="480"/>
        <w:rPr>
          <w:rFonts w:ascii="宋体" w:hAnsi="宋体"/>
          <w:sz w:val="24"/>
        </w:rPr>
      </w:pPr>
      <w:r>
        <w:rPr>
          <w:rFonts w:hint="eastAsia" w:ascii="宋体" w:hAnsi="宋体"/>
          <w:sz w:val="24"/>
        </w:rPr>
        <w:t>1.4  WIFI探针采集上传数据应符合GAWA3011.6-205的要求</w:t>
      </w:r>
    </w:p>
    <w:p>
      <w:pPr>
        <w:spacing w:line="360" w:lineRule="auto"/>
        <w:ind w:firstLine="480"/>
        <w:rPr>
          <w:rFonts w:hint="eastAsia" w:ascii="宋体" w:hAnsi="宋体"/>
          <w:sz w:val="24"/>
        </w:rPr>
      </w:pPr>
      <w:r>
        <w:drawing>
          <wp:inline distT="0" distB="0" distL="114300" distR="114300">
            <wp:extent cx="4941570" cy="4043680"/>
            <wp:effectExtent l="0" t="0" r="11430" b="13970"/>
            <wp:docPr id="1" name="图片 1" descr="20200913-越城区智安小区系统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913-越城区智安小区系统拓扑图"/>
                    <pic:cNvPicPr>
                      <a:picLocks noChangeAspect="1"/>
                    </pic:cNvPicPr>
                  </pic:nvPicPr>
                  <pic:blipFill>
                    <a:blip r:embed="rId15"/>
                    <a:stretch>
                      <a:fillRect/>
                    </a:stretch>
                  </pic:blipFill>
                  <pic:spPr>
                    <a:xfrm>
                      <a:off x="0" y="0"/>
                      <a:ext cx="4941570" cy="4043680"/>
                    </a:xfrm>
                    <a:prstGeom prst="rect">
                      <a:avLst/>
                    </a:prstGeom>
                    <a:noFill/>
                    <a:ln>
                      <a:noFill/>
                    </a:ln>
                  </pic:spPr>
                </pic:pic>
              </a:graphicData>
            </a:graphic>
          </wp:inline>
        </w:drawing>
      </w:r>
    </w:p>
    <w:p>
      <w:pPr>
        <w:spacing w:line="360" w:lineRule="auto"/>
        <w:ind w:firstLine="480"/>
        <w:rPr>
          <w:rFonts w:ascii="宋体" w:hAnsi="宋体"/>
          <w:sz w:val="24"/>
        </w:rPr>
      </w:pPr>
      <w:r>
        <w:rPr>
          <w:rFonts w:ascii="宋体" w:hAnsi="宋体"/>
          <w:sz w:val="24"/>
        </w:rPr>
        <w:t>其中前端采集感知系统采用高清数字网络的方式，按照“既满足需求，又适度超前”的设计原则，以光纤网络为基础，实现全数字化信号传输。</w:t>
      </w:r>
    </w:p>
    <w:p>
      <w:pPr>
        <w:numPr>
          <w:ilvl w:val="0"/>
          <w:numId w:val="13"/>
        </w:numPr>
        <w:spacing w:line="360" w:lineRule="auto"/>
        <w:rPr>
          <w:rFonts w:ascii="宋体" w:hAnsi="宋体"/>
          <w:b/>
          <w:sz w:val="24"/>
        </w:rPr>
      </w:pPr>
      <w:r>
        <w:rPr>
          <w:rFonts w:ascii="宋体" w:hAnsi="宋体"/>
          <w:b/>
          <w:sz w:val="24"/>
        </w:rPr>
        <w:t>系统总体建设要求</w:t>
      </w:r>
    </w:p>
    <w:p>
      <w:pPr>
        <w:pStyle w:val="199"/>
        <w:numPr>
          <w:ilvl w:val="0"/>
          <w:numId w:val="14"/>
        </w:numPr>
        <w:spacing w:line="360" w:lineRule="auto"/>
        <w:rPr>
          <w:rFonts w:ascii="宋体" w:hAnsi="宋体"/>
          <w:b/>
          <w:sz w:val="24"/>
          <w:szCs w:val="24"/>
        </w:rPr>
      </w:pPr>
      <w:r>
        <w:rPr>
          <w:rFonts w:ascii="宋体" w:hAnsi="宋体"/>
          <w:b/>
          <w:sz w:val="24"/>
          <w:szCs w:val="24"/>
        </w:rPr>
        <w:t>总体建设需求</w:t>
      </w:r>
    </w:p>
    <w:p>
      <w:pPr>
        <w:spacing w:line="360" w:lineRule="auto"/>
        <w:ind w:firstLine="480"/>
        <w:rPr>
          <w:rFonts w:ascii="宋体" w:hAnsi="宋体"/>
          <w:sz w:val="24"/>
        </w:rPr>
      </w:pPr>
      <w:r>
        <w:rPr>
          <w:rFonts w:ascii="宋体" w:hAnsi="宋体"/>
          <w:sz w:val="24"/>
        </w:rPr>
        <w:t>本次越城区智安小区建设主要依托于在小区建设人脸识别、车辆抓拍前端感知系统，在不影响小区居民正常生活的基础之上，采集公安治安防控所需要的数据，并接入到视频专网</w:t>
      </w:r>
      <w:r>
        <w:rPr>
          <w:rFonts w:hint="eastAsia" w:ascii="宋体" w:hAnsi="宋体"/>
          <w:sz w:val="24"/>
        </w:rPr>
        <w:t>或城域网</w:t>
      </w:r>
      <w:r>
        <w:rPr>
          <w:rFonts w:ascii="宋体" w:hAnsi="宋体"/>
          <w:sz w:val="24"/>
        </w:rPr>
        <w:t>，完成数据的采集。</w:t>
      </w:r>
    </w:p>
    <w:p>
      <w:pPr>
        <w:spacing w:line="360" w:lineRule="auto"/>
        <w:ind w:firstLine="480"/>
        <w:rPr>
          <w:rFonts w:ascii="宋体" w:hAnsi="宋体"/>
          <w:sz w:val="24"/>
        </w:rPr>
      </w:pPr>
      <w:r>
        <w:rPr>
          <w:rFonts w:ascii="宋体" w:hAnsi="宋体"/>
          <w:sz w:val="24"/>
        </w:rPr>
        <w:t>越城区智安小区管控平台应能够满足对小区汇聚上来的人脸、车辆进行管理，开展小区管理的实战应用。</w:t>
      </w:r>
    </w:p>
    <w:p>
      <w:pPr>
        <w:numPr>
          <w:ilvl w:val="0"/>
          <w:numId w:val="13"/>
        </w:numPr>
        <w:spacing w:line="360" w:lineRule="auto"/>
        <w:rPr>
          <w:rFonts w:ascii="宋体" w:hAnsi="宋体"/>
          <w:b/>
          <w:sz w:val="24"/>
        </w:rPr>
      </w:pPr>
      <w:r>
        <w:rPr>
          <w:rFonts w:ascii="宋体" w:hAnsi="宋体"/>
          <w:b/>
          <w:sz w:val="24"/>
        </w:rPr>
        <w:t>人脸识别系统建设要求</w:t>
      </w:r>
    </w:p>
    <w:p>
      <w:pPr>
        <w:pStyle w:val="199"/>
        <w:numPr>
          <w:ilvl w:val="0"/>
          <w:numId w:val="15"/>
        </w:numPr>
        <w:spacing w:line="360" w:lineRule="auto"/>
        <w:rPr>
          <w:rFonts w:ascii="宋体" w:hAnsi="宋体"/>
          <w:sz w:val="24"/>
          <w:szCs w:val="24"/>
        </w:rPr>
      </w:pPr>
      <w:r>
        <w:rPr>
          <w:rFonts w:ascii="宋体" w:hAnsi="宋体"/>
          <w:sz w:val="24"/>
          <w:szCs w:val="24"/>
        </w:rPr>
        <w:t>系统概述</w:t>
      </w:r>
    </w:p>
    <w:p>
      <w:pPr>
        <w:spacing w:line="360" w:lineRule="auto"/>
        <w:ind w:firstLine="420" w:firstLineChars="175"/>
        <w:rPr>
          <w:rFonts w:ascii="宋体" w:hAnsi="宋体"/>
          <w:sz w:val="24"/>
        </w:rPr>
      </w:pPr>
      <w:r>
        <w:rPr>
          <w:rFonts w:ascii="宋体" w:hAnsi="宋体"/>
          <w:sz w:val="24"/>
        </w:rPr>
        <w:t>本次建设中将在指定小区的各个人员出入口处设立人脸抓拍机，以采集各出入口处进出人员人脸信息。</w:t>
      </w:r>
    </w:p>
    <w:p>
      <w:pPr>
        <w:spacing w:line="360" w:lineRule="auto"/>
        <w:ind w:firstLine="420" w:firstLineChars="175"/>
        <w:rPr>
          <w:rFonts w:ascii="宋体" w:hAnsi="宋体"/>
          <w:sz w:val="24"/>
        </w:rPr>
      </w:pPr>
      <w:r>
        <w:rPr>
          <w:rFonts w:ascii="宋体" w:hAnsi="宋体"/>
          <w:sz w:val="24"/>
        </w:rPr>
        <w:t>各抓拍人脸信息以供后端平台用作实时预警、检索以及数据碰撞等作用，前端设备数量详见清单，后端服务器建设在中心平台。</w:t>
      </w:r>
      <w:r>
        <w:rPr>
          <w:rFonts w:hint="eastAsia" w:ascii="宋体" w:hAnsi="宋体"/>
          <w:sz w:val="24"/>
        </w:rPr>
        <w:t>人脸抓拍数据要求无缝接入原有的人脸抓拍系统，本次项目新建的人脸抓拍数据要求与原有的人脸抓拍数据进行统一的存储及应用。</w:t>
      </w:r>
    </w:p>
    <w:p>
      <w:pPr>
        <w:spacing w:line="360" w:lineRule="auto"/>
        <w:ind w:firstLine="420" w:firstLineChars="175"/>
        <w:rPr>
          <w:rFonts w:ascii="宋体" w:hAnsi="宋体"/>
          <w:sz w:val="24"/>
        </w:rPr>
      </w:pPr>
    </w:p>
    <w:p>
      <w:pPr>
        <w:numPr>
          <w:ilvl w:val="0"/>
          <w:numId w:val="15"/>
        </w:numPr>
        <w:spacing w:line="360" w:lineRule="auto"/>
        <w:rPr>
          <w:rFonts w:ascii="宋体" w:hAnsi="宋体"/>
          <w:kern w:val="0"/>
          <w:sz w:val="24"/>
        </w:rPr>
      </w:pPr>
      <w:r>
        <w:rPr>
          <w:rFonts w:ascii="宋体" w:hAnsi="宋体"/>
          <w:kern w:val="0"/>
          <w:sz w:val="24"/>
        </w:rPr>
        <w:t>系统组成</w:t>
      </w:r>
    </w:p>
    <w:p>
      <w:pPr>
        <w:spacing w:line="360" w:lineRule="auto"/>
        <w:ind w:firstLine="420" w:firstLineChars="175"/>
        <w:rPr>
          <w:rFonts w:ascii="宋体" w:hAnsi="宋体"/>
          <w:sz w:val="24"/>
        </w:rPr>
      </w:pPr>
      <w:r>
        <w:rPr>
          <w:rFonts w:ascii="宋体" w:hAnsi="宋体"/>
          <w:sz w:val="24"/>
        </w:rPr>
        <w:t>针对具体人员信息采集监控点位的实际情况，摄像机部署于监控立杆，网络传输设备、光纤盒、电源等部署于室外机箱。</w:t>
      </w:r>
    </w:p>
    <w:p>
      <w:pPr>
        <w:pStyle w:val="199"/>
        <w:numPr>
          <w:ilvl w:val="0"/>
          <w:numId w:val="15"/>
        </w:numPr>
        <w:spacing w:line="360" w:lineRule="auto"/>
        <w:rPr>
          <w:rFonts w:ascii="宋体" w:hAnsi="宋体"/>
          <w:sz w:val="24"/>
          <w:szCs w:val="24"/>
        </w:rPr>
      </w:pPr>
      <w:r>
        <w:rPr>
          <w:rFonts w:ascii="宋体" w:hAnsi="宋体"/>
          <w:sz w:val="24"/>
          <w:szCs w:val="24"/>
        </w:rPr>
        <w:t>部署场景分类</w:t>
      </w:r>
    </w:p>
    <w:p>
      <w:pPr>
        <w:spacing w:line="360" w:lineRule="auto"/>
        <w:ind w:firstLine="420" w:firstLineChars="175"/>
        <w:rPr>
          <w:rFonts w:ascii="宋体" w:hAnsi="宋体"/>
          <w:sz w:val="24"/>
        </w:rPr>
      </w:pPr>
      <w:r>
        <w:rPr>
          <w:rFonts w:ascii="宋体" w:hAnsi="宋体"/>
          <w:sz w:val="24"/>
        </w:rPr>
        <w:t>对于通道式的人员进出场景，部署枪型人脸抓拍机，满足对通道人员抓拍的全覆盖；</w:t>
      </w:r>
    </w:p>
    <w:p>
      <w:pPr>
        <w:spacing w:line="360" w:lineRule="auto"/>
        <w:ind w:firstLine="420" w:firstLineChars="175"/>
        <w:rPr>
          <w:rFonts w:ascii="宋体" w:hAnsi="宋体"/>
          <w:sz w:val="24"/>
        </w:rPr>
      </w:pPr>
      <w:r>
        <w:rPr>
          <w:rFonts w:ascii="宋体" w:hAnsi="宋体"/>
          <w:sz w:val="24"/>
        </w:rPr>
        <w:t>对于人车混行的通道式场景，部署人脸-车辆双图像抓拍机，满足通道的大场景监控，以及对场景内人、车的捕获；</w:t>
      </w:r>
    </w:p>
    <w:p>
      <w:pPr>
        <w:spacing w:line="360" w:lineRule="auto"/>
        <w:ind w:firstLine="420" w:firstLineChars="175"/>
        <w:rPr>
          <w:rFonts w:ascii="宋体" w:hAnsi="宋体"/>
          <w:sz w:val="24"/>
        </w:rPr>
      </w:pPr>
      <w:r>
        <w:rPr>
          <w:rFonts w:ascii="宋体" w:hAnsi="宋体"/>
          <w:sz w:val="24"/>
        </w:rPr>
        <w:t>对于小区门口等开阔型大场景，部署枪球联动摄像机，实现大场景和细节监控、人脸抓拍，还可用于抓拍未经人员道闸出入入小区人员、如通过车辆道闸出入等情况进行记录，强化社区出入口人员管控措施。</w:t>
      </w:r>
    </w:p>
    <w:p>
      <w:pPr>
        <w:pStyle w:val="199"/>
        <w:numPr>
          <w:ilvl w:val="0"/>
          <w:numId w:val="15"/>
        </w:numPr>
        <w:spacing w:line="360" w:lineRule="auto"/>
        <w:rPr>
          <w:rFonts w:ascii="宋体" w:hAnsi="宋体"/>
          <w:sz w:val="24"/>
          <w:szCs w:val="24"/>
        </w:rPr>
      </w:pPr>
      <w:r>
        <w:rPr>
          <w:rFonts w:ascii="宋体" w:hAnsi="宋体"/>
          <w:sz w:val="24"/>
          <w:szCs w:val="24"/>
        </w:rPr>
        <w:t>部署环境要求</w:t>
      </w:r>
    </w:p>
    <w:p>
      <w:pPr>
        <w:spacing w:line="360" w:lineRule="auto"/>
        <w:ind w:firstLine="420" w:firstLineChars="175"/>
        <w:rPr>
          <w:rFonts w:ascii="宋体" w:hAnsi="宋体"/>
          <w:sz w:val="24"/>
        </w:rPr>
      </w:pPr>
      <w:r>
        <w:rPr>
          <w:rFonts w:ascii="宋体" w:hAnsi="宋体"/>
          <w:sz w:val="24"/>
        </w:rPr>
        <w:t>人脸识别准确率受前端设备安装位置、现场光照（如过暗、过亮）等因素影响较大，为保证人脸抓拍单元采集效果，对环境要求建议如下：</w:t>
      </w:r>
    </w:p>
    <w:p>
      <w:pPr>
        <w:spacing w:line="360" w:lineRule="auto"/>
        <w:ind w:firstLine="420" w:firstLineChars="175"/>
        <w:rPr>
          <w:rFonts w:ascii="宋体" w:hAnsi="宋体"/>
          <w:sz w:val="24"/>
        </w:rPr>
      </w:pPr>
      <w:r>
        <w:rPr>
          <w:rFonts w:ascii="宋体" w:hAnsi="宋体"/>
          <w:sz w:val="24"/>
        </w:rPr>
        <w:t>选择合适监控点的人员通道安装环境，以确保人员具有唯一的通行方向，抓拍到该方向上经过人员的正脸；</w:t>
      </w:r>
    </w:p>
    <w:p>
      <w:pPr>
        <w:spacing w:line="360" w:lineRule="auto"/>
        <w:ind w:firstLine="420" w:firstLineChars="175"/>
        <w:rPr>
          <w:rFonts w:ascii="宋体" w:hAnsi="宋体"/>
          <w:sz w:val="24"/>
        </w:rPr>
      </w:pPr>
      <w:r>
        <w:rPr>
          <w:rFonts w:ascii="宋体" w:hAnsi="宋体"/>
          <w:sz w:val="24"/>
        </w:rPr>
        <w:t>目标区域周围漫反射，无闪烁，光照不低于100Lux，人脸区域光照均匀，无明显高光或反差，前端设备应避免强光直射或逆光安装，若需逆光安装，则应降低人脸区域对比度；如果现场的光线不满足上述任意一条要求，应通过遮挡光线或者补光的方法优化现场的光照条件。</w:t>
      </w:r>
    </w:p>
    <w:p>
      <w:pPr>
        <w:pStyle w:val="199"/>
        <w:numPr>
          <w:ilvl w:val="0"/>
          <w:numId w:val="15"/>
        </w:numPr>
        <w:spacing w:line="360" w:lineRule="auto"/>
        <w:rPr>
          <w:rFonts w:ascii="宋体" w:hAnsi="宋体"/>
          <w:sz w:val="24"/>
          <w:szCs w:val="24"/>
        </w:rPr>
      </w:pPr>
      <w:r>
        <w:rPr>
          <w:rFonts w:ascii="宋体" w:hAnsi="宋体"/>
          <w:sz w:val="24"/>
          <w:szCs w:val="24"/>
        </w:rPr>
        <w:t>系统功能</w:t>
      </w:r>
    </w:p>
    <w:p>
      <w:pPr>
        <w:spacing w:line="360" w:lineRule="auto"/>
        <w:ind w:firstLine="420" w:firstLineChars="175"/>
        <w:rPr>
          <w:rFonts w:ascii="宋体" w:hAnsi="宋体"/>
          <w:sz w:val="24"/>
        </w:rPr>
      </w:pPr>
      <w:r>
        <w:rPr>
          <w:rFonts w:ascii="宋体" w:hAnsi="宋体"/>
          <w:sz w:val="24"/>
        </w:rPr>
        <w:t>人脸抓拍机内嵌人脸算法，支持人脸抓拍功能，能够对经过设定区域的行人进行人脸检测和人脸跟踪，利用人脸质量评分算法从人脸数据中筛选出一张最优的人脸图像作为该行人的抓拍图像，详细功能如下：</w:t>
      </w:r>
    </w:p>
    <w:p>
      <w:pPr>
        <w:spacing w:line="360" w:lineRule="auto"/>
        <w:ind w:firstLine="420" w:firstLineChars="175"/>
        <w:rPr>
          <w:rFonts w:ascii="宋体" w:hAnsi="宋体"/>
          <w:sz w:val="24"/>
        </w:rPr>
      </w:pPr>
      <w:r>
        <w:rPr>
          <w:rFonts w:ascii="宋体" w:hAnsi="宋体"/>
          <w:sz w:val="24"/>
        </w:rPr>
        <w:t>支持同时对画面中15个以上的人脸进行检测和抓拍；</w:t>
      </w:r>
    </w:p>
    <w:p>
      <w:pPr>
        <w:spacing w:line="360" w:lineRule="auto"/>
        <w:ind w:firstLine="420" w:firstLineChars="175"/>
        <w:rPr>
          <w:rFonts w:ascii="宋体" w:hAnsi="宋体"/>
          <w:sz w:val="24"/>
        </w:rPr>
      </w:pPr>
      <w:r>
        <w:rPr>
          <w:rFonts w:ascii="宋体" w:hAnsi="宋体"/>
          <w:sz w:val="24"/>
        </w:rPr>
        <w:t>人脸抓拍准确率90%以上；</w:t>
      </w:r>
    </w:p>
    <w:p>
      <w:pPr>
        <w:spacing w:line="360" w:lineRule="auto"/>
        <w:ind w:firstLine="420" w:firstLineChars="175"/>
        <w:rPr>
          <w:rFonts w:ascii="宋体" w:hAnsi="宋体"/>
          <w:sz w:val="24"/>
        </w:rPr>
      </w:pPr>
      <w:r>
        <w:rPr>
          <w:rFonts w:ascii="宋体" w:hAnsi="宋体"/>
          <w:sz w:val="24"/>
        </w:rPr>
        <w:t>内置基于人脸的性别分类功能；</w:t>
      </w:r>
    </w:p>
    <w:p>
      <w:pPr>
        <w:spacing w:line="360" w:lineRule="auto"/>
        <w:ind w:firstLine="420" w:firstLineChars="175"/>
        <w:rPr>
          <w:rFonts w:ascii="宋体" w:hAnsi="宋体"/>
          <w:sz w:val="24"/>
        </w:rPr>
      </w:pPr>
      <w:r>
        <w:rPr>
          <w:rFonts w:ascii="宋体" w:hAnsi="宋体"/>
          <w:sz w:val="24"/>
        </w:rPr>
        <w:t>内置基于人脸的年龄段分类功能；</w:t>
      </w:r>
    </w:p>
    <w:p>
      <w:pPr>
        <w:spacing w:line="360" w:lineRule="auto"/>
        <w:ind w:firstLine="420" w:firstLineChars="175"/>
        <w:rPr>
          <w:rFonts w:ascii="宋体" w:hAnsi="宋体"/>
          <w:sz w:val="24"/>
        </w:rPr>
      </w:pPr>
      <w:r>
        <w:rPr>
          <w:rFonts w:ascii="宋体" w:hAnsi="宋体"/>
          <w:sz w:val="24"/>
        </w:rPr>
        <w:t>支持通道内的人脸检测、分类（年龄、性别）、捕获；</w:t>
      </w:r>
    </w:p>
    <w:p>
      <w:pPr>
        <w:spacing w:line="360" w:lineRule="auto"/>
        <w:ind w:firstLine="420" w:firstLineChars="175"/>
        <w:rPr>
          <w:rFonts w:ascii="宋体" w:hAnsi="宋体"/>
          <w:sz w:val="24"/>
        </w:rPr>
      </w:pPr>
      <w:r>
        <w:rPr>
          <w:rFonts w:ascii="宋体" w:hAnsi="宋体"/>
          <w:sz w:val="24"/>
        </w:rPr>
        <w:t>支持人脸图像优选功能，输出捕获的最佳人脸图像；</w:t>
      </w:r>
    </w:p>
    <w:p>
      <w:pPr>
        <w:spacing w:line="360" w:lineRule="auto"/>
        <w:ind w:firstLine="420" w:firstLineChars="175"/>
        <w:rPr>
          <w:rFonts w:ascii="宋体" w:hAnsi="宋体"/>
          <w:sz w:val="24"/>
        </w:rPr>
      </w:pPr>
      <w:r>
        <w:rPr>
          <w:rFonts w:ascii="宋体" w:hAnsi="宋体"/>
          <w:sz w:val="24"/>
        </w:rPr>
        <w:t>支持人脸区域自动曝光功能，能够根据外部不同场景以及光照变化自动控制调节曝光参数，确保在逆光等情况下抓拍人脸仍较为清晰。</w:t>
      </w:r>
    </w:p>
    <w:p>
      <w:pPr>
        <w:numPr>
          <w:ilvl w:val="0"/>
          <w:numId w:val="13"/>
        </w:numPr>
        <w:spacing w:line="360" w:lineRule="auto"/>
        <w:rPr>
          <w:rFonts w:ascii="宋体" w:hAnsi="宋体"/>
          <w:b/>
          <w:sz w:val="24"/>
        </w:rPr>
      </w:pPr>
      <w:r>
        <w:rPr>
          <w:rFonts w:ascii="宋体" w:hAnsi="宋体"/>
          <w:b/>
          <w:sz w:val="24"/>
        </w:rPr>
        <w:t>车辆抓拍系统建设要求</w:t>
      </w:r>
    </w:p>
    <w:p>
      <w:pPr>
        <w:pStyle w:val="199"/>
        <w:numPr>
          <w:ilvl w:val="0"/>
          <w:numId w:val="16"/>
        </w:numPr>
        <w:spacing w:line="360" w:lineRule="auto"/>
        <w:rPr>
          <w:rFonts w:ascii="宋体" w:hAnsi="宋体"/>
          <w:sz w:val="24"/>
          <w:szCs w:val="24"/>
        </w:rPr>
      </w:pPr>
      <w:r>
        <w:rPr>
          <w:rFonts w:ascii="宋体" w:hAnsi="宋体"/>
          <w:sz w:val="24"/>
          <w:szCs w:val="24"/>
        </w:rPr>
        <w:t>系统概述</w:t>
      </w:r>
    </w:p>
    <w:p>
      <w:pPr>
        <w:spacing w:line="360" w:lineRule="auto"/>
        <w:ind w:firstLine="420" w:firstLineChars="175"/>
        <w:rPr>
          <w:rFonts w:ascii="宋体" w:hAnsi="宋体"/>
          <w:sz w:val="24"/>
        </w:rPr>
      </w:pPr>
      <w:r>
        <w:rPr>
          <w:rFonts w:ascii="宋体" w:hAnsi="宋体"/>
          <w:sz w:val="24"/>
        </w:rPr>
        <w:t>本次建设将在智安小区中的主要车辆通道部署车辆抓拍机，根据街道、社区路网环境、治安形势特点及发案规律，采用科学合理的布点规划，结合“防控圈+防控口”的布点模型，通过灵活配置卡口前端感知设备，实现车辆最后一公里管控，实现机动车辆的实时监控。采用车辆识别系统提供车辆号牌等视频结构化数据，在具有道路监控功能的基础上，具有机动车通行记录、机动车特征属性（车牌号码、车牌颜色）自动提取、特征属性视频标签自动叠加等功能，解决传统的视频监控模式海量视频录像堆砌在中心，需要大量人力投入进行人工查证的问题；同时促成监控业务模式从事后查证到主动视频防控的质的飞跃。为监控业务模式从事后查证到主动视频防控的模式转变提供了技术手段。</w:t>
      </w:r>
    </w:p>
    <w:p>
      <w:pPr>
        <w:pStyle w:val="199"/>
        <w:numPr>
          <w:ilvl w:val="0"/>
          <w:numId w:val="16"/>
        </w:numPr>
        <w:spacing w:line="360" w:lineRule="auto"/>
        <w:rPr>
          <w:rFonts w:ascii="宋体" w:hAnsi="宋体"/>
          <w:sz w:val="24"/>
          <w:szCs w:val="24"/>
        </w:rPr>
      </w:pPr>
      <w:r>
        <w:rPr>
          <w:rFonts w:ascii="宋体" w:hAnsi="宋体"/>
          <w:sz w:val="24"/>
          <w:szCs w:val="24"/>
        </w:rPr>
        <w:t>系统组成</w:t>
      </w:r>
    </w:p>
    <w:p>
      <w:pPr>
        <w:spacing w:line="360" w:lineRule="auto"/>
        <w:ind w:firstLine="420" w:firstLineChars="175"/>
        <w:rPr>
          <w:rFonts w:ascii="宋体" w:hAnsi="宋体"/>
          <w:sz w:val="24"/>
        </w:rPr>
      </w:pPr>
      <w:r>
        <w:rPr>
          <w:rFonts w:ascii="宋体" w:hAnsi="宋体"/>
          <w:sz w:val="24"/>
        </w:rPr>
        <w:t>车辆抓拍单元负责完成道路机动车的信息采集、识别、分类上传，包括车辆照片、车牌号码与车牌颜色等，主要由抓拍单元组成。</w:t>
      </w:r>
    </w:p>
    <w:p>
      <w:pPr>
        <w:pStyle w:val="199"/>
        <w:numPr>
          <w:ilvl w:val="0"/>
          <w:numId w:val="16"/>
        </w:numPr>
        <w:spacing w:line="360" w:lineRule="auto"/>
        <w:rPr>
          <w:rFonts w:ascii="宋体" w:hAnsi="宋体"/>
          <w:sz w:val="24"/>
          <w:szCs w:val="24"/>
        </w:rPr>
      </w:pPr>
      <w:r>
        <w:rPr>
          <w:rFonts w:ascii="宋体" w:hAnsi="宋体"/>
          <w:sz w:val="24"/>
          <w:szCs w:val="24"/>
        </w:rPr>
        <w:t>部署场景分类</w:t>
      </w:r>
    </w:p>
    <w:p>
      <w:pPr>
        <w:spacing w:line="360" w:lineRule="auto"/>
        <w:ind w:firstLine="420" w:firstLineChars="175"/>
        <w:rPr>
          <w:rFonts w:hint="eastAsia" w:ascii="宋体" w:hAnsi="宋体"/>
          <w:sz w:val="24"/>
        </w:rPr>
      </w:pPr>
      <w:r>
        <w:rPr>
          <w:rFonts w:ascii="宋体" w:hAnsi="宋体"/>
          <w:sz w:val="24"/>
        </w:rPr>
        <w:t>对于已建设车辆出入口道闸系统的小区，采用车辆信息采集器，将原有道闸系统相机拍摄采集的车辆车牌号码，进出时间，照片等数据上传到数据采集转发平台；</w:t>
      </w:r>
    </w:p>
    <w:p>
      <w:pPr>
        <w:spacing w:line="360" w:lineRule="auto"/>
        <w:ind w:firstLine="420" w:firstLineChars="175"/>
        <w:rPr>
          <w:rFonts w:ascii="宋体" w:hAnsi="宋体"/>
          <w:sz w:val="24"/>
        </w:rPr>
      </w:pPr>
      <w:r>
        <w:rPr>
          <w:rFonts w:ascii="宋体" w:hAnsi="宋体"/>
          <w:sz w:val="24"/>
        </w:rPr>
        <w:t>对于未建设车辆出入口道闸系统的小区，需在原有的车辆出入口道闸就近安装低位车辆出入口抓拍机，实现车头细节图片抓拍；</w:t>
      </w:r>
    </w:p>
    <w:p>
      <w:pPr>
        <w:spacing w:line="360" w:lineRule="auto"/>
        <w:ind w:firstLine="420" w:firstLineChars="175"/>
        <w:rPr>
          <w:rFonts w:ascii="宋体" w:hAnsi="宋体"/>
          <w:sz w:val="24"/>
        </w:rPr>
      </w:pPr>
      <w:r>
        <w:rPr>
          <w:rFonts w:ascii="宋体" w:hAnsi="宋体"/>
          <w:sz w:val="24"/>
        </w:rPr>
        <w:t>对于不方便建设低位杆的场景，则选择在小区主要车辆通道安装高杆车辆卡口抓拍机，实现视频监控以及车辆图片的抓拍；</w:t>
      </w:r>
    </w:p>
    <w:p>
      <w:pPr>
        <w:spacing w:line="360" w:lineRule="auto"/>
        <w:ind w:firstLine="420" w:firstLineChars="175"/>
        <w:rPr>
          <w:rFonts w:ascii="宋体" w:hAnsi="宋体"/>
          <w:sz w:val="24"/>
        </w:rPr>
      </w:pPr>
      <w:r>
        <w:rPr>
          <w:rFonts w:ascii="宋体" w:hAnsi="宋体"/>
          <w:sz w:val="24"/>
        </w:rPr>
        <w:t>对于人车混行的通道式场景，部署人脸-车辆双图像抓拍机，满足通道的大场景监控，以及对场景内人、车的捕获；</w:t>
      </w:r>
    </w:p>
    <w:p>
      <w:pPr>
        <w:spacing w:line="360" w:lineRule="auto"/>
        <w:ind w:firstLine="420" w:firstLineChars="175"/>
        <w:rPr>
          <w:rFonts w:ascii="宋体" w:hAnsi="宋体"/>
          <w:sz w:val="24"/>
        </w:rPr>
      </w:pPr>
      <w:r>
        <w:rPr>
          <w:rFonts w:ascii="宋体" w:hAnsi="宋体"/>
          <w:sz w:val="24"/>
        </w:rPr>
        <w:t>对于小区门口等开阔型大场景，部署枪球联动摄像机，实现大场景和细节监控、车辆抓拍，满足车辆抓拍不遗漏。</w:t>
      </w:r>
    </w:p>
    <w:p>
      <w:pPr>
        <w:pStyle w:val="199"/>
        <w:numPr>
          <w:ilvl w:val="0"/>
          <w:numId w:val="16"/>
        </w:numPr>
        <w:spacing w:line="360" w:lineRule="auto"/>
        <w:rPr>
          <w:rFonts w:ascii="宋体" w:hAnsi="宋体"/>
          <w:sz w:val="24"/>
          <w:szCs w:val="24"/>
        </w:rPr>
      </w:pPr>
      <w:r>
        <w:rPr>
          <w:rFonts w:ascii="宋体" w:hAnsi="宋体"/>
          <w:sz w:val="24"/>
          <w:szCs w:val="24"/>
        </w:rPr>
        <w:t>系统功能</w:t>
      </w:r>
    </w:p>
    <w:p>
      <w:pPr>
        <w:spacing w:line="360" w:lineRule="auto"/>
        <w:ind w:firstLine="422" w:firstLineChars="175"/>
        <w:rPr>
          <w:rFonts w:ascii="宋体" w:hAnsi="宋体"/>
          <w:sz w:val="24"/>
        </w:rPr>
      </w:pPr>
      <w:r>
        <w:rPr>
          <w:rFonts w:ascii="宋体" w:hAnsi="宋体"/>
          <w:b/>
          <w:sz w:val="24"/>
        </w:rPr>
        <w:t>机动车通行记录抓拍：</w:t>
      </w:r>
      <w:r>
        <w:rPr>
          <w:rFonts w:ascii="宋体" w:hAnsi="宋体"/>
          <w:sz w:val="24"/>
        </w:rPr>
        <w:t>系统能够对通过智慧监控点视频检测分析区域的机动车进行自动记录，抓拍1张照片并生成一条机动车通行记录。</w:t>
      </w:r>
    </w:p>
    <w:p>
      <w:pPr>
        <w:spacing w:line="360" w:lineRule="auto"/>
        <w:ind w:firstLine="422" w:firstLineChars="175"/>
        <w:rPr>
          <w:rFonts w:ascii="宋体" w:hAnsi="宋体"/>
          <w:sz w:val="24"/>
        </w:rPr>
      </w:pPr>
      <w:r>
        <w:rPr>
          <w:rFonts w:ascii="宋体" w:hAnsi="宋体"/>
          <w:b/>
          <w:sz w:val="24"/>
        </w:rPr>
        <w:t>机动车车牌识别：</w:t>
      </w:r>
      <w:r>
        <w:rPr>
          <w:rFonts w:ascii="宋体" w:hAnsi="宋体"/>
          <w:sz w:val="24"/>
        </w:rPr>
        <w:t>系统通过机动车号牌定位、字符切分、字符匹配和图像预处理实现号牌自动识别功能。可识别“92式”“02式”民用车牌和军车、警车等特殊号牌，可以识别车牌颜色。系统可以识别蓝、黄、黑、白、绿五种号牌颜色，并可根据不同的号牌颜色区分车辆类型。</w:t>
      </w:r>
    </w:p>
    <w:p>
      <w:pPr>
        <w:tabs>
          <w:tab w:val="left" w:pos="840"/>
        </w:tabs>
        <w:spacing w:line="360" w:lineRule="auto"/>
        <w:ind w:firstLine="422" w:firstLineChars="175"/>
        <w:rPr>
          <w:rFonts w:ascii="宋体" w:hAnsi="宋体"/>
          <w:sz w:val="24"/>
        </w:rPr>
      </w:pPr>
      <w:r>
        <w:rPr>
          <w:rFonts w:ascii="宋体" w:hAnsi="宋体"/>
          <w:b/>
          <w:sz w:val="24"/>
        </w:rPr>
        <w:t>视频标签自动叠加：</w:t>
      </w:r>
      <w:r>
        <w:rPr>
          <w:rFonts w:ascii="宋体" w:hAnsi="宋体"/>
          <w:sz w:val="24"/>
        </w:rPr>
        <w:t>系统自动将车牌号码、车牌颜色等车辆特征属性信息的识别结果以视频标签的形式叠加到录像视频流中并与抓拍的图片进行关联。</w:t>
      </w:r>
    </w:p>
    <w:p>
      <w:pPr>
        <w:pStyle w:val="78"/>
        <w:ind w:firstLine="482"/>
        <w:rPr>
          <w:sz w:val="24"/>
          <w:lang w:eastAsia="zh-CN"/>
        </w:rPr>
      </w:pPr>
      <w:r>
        <w:rPr>
          <w:b/>
          <w:sz w:val="24"/>
        </w:rPr>
        <w:t>录像视频及图片快速检索：</w:t>
      </w:r>
      <w:r>
        <w:rPr>
          <w:sz w:val="24"/>
        </w:rPr>
        <w:t>用户可根据车辆号牌、车牌颜色等车辆特征属性信息结合通行地点、通行时间进行精确或模糊条件查询，快速检索定位到所需关注的对象的录像视频及图片。</w:t>
      </w:r>
      <w:r>
        <w:rPr>
          <w:rFonts w:hint="eastAsia"/>
          <w:sz w:val="24"/>
          <w:lang w:eastAsia="zh-CN"/>
        </w:rPr>
        <w:t>车辆抓拍数据要求无缝接入公安视频专网原有的车辆管理系统，本次项目新建的车辆抓拍数据要求与原有的车辆抓拍数据进行统一的存储及应用。</w:t>
      </w:r>
    </w:p>
    <w:p>
      <w:pPr>
        <w:numPr>
          <w:ilvl w:val="0"/>
          <w:numId w:val="13"/>
        </w:numPr>
        <w:spacing w:line="360" w:lineRule="auto"/>
        <w:rPr>
          <w:rFonts w:ascii="宋体" w:hAnsi="宋体"/>
          <w:b/>
          <w:sz w:val="24"/>
        </w:rPr>
      </w:pPr>
      <w:r>
        <w:rPr>
          <w:rFonts w:ascii="宋体" w:hAnsi="宋体"/>
          <w:b/>
          <w:sz w:val="24"/>
        </w:rPr>
        <w:t>智能感知系统建设要求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50"/>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8508" w:type="dxa"/>
            <w:gridSpan w:val="3"/>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rPr>
                <w:rFonts w:ascii="宋体" w:hAnsi="宋体"/>
                <w:b/>
                <w:sz w:val="24"/>
              </w:rPr>
            </w:pPr>
            <w:r>
              <w:rPr>
                <w:rFonts w:hint="eastAsia" w:ascii="宋体" w:hAnsi="宋体"/>
                <w:b/>
                <w:sz w:val="24"/>
              </w:rPr>
              <w:t>前端要求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trPr>
        <w:tc>
          <w:tcPr>
            <w:tcW w:w="2093" w:type="dxa"/>
            <w:gridSpan w:val="2"/>
            <w:tcBorders>
              <w:top w:val="single" w:color="auto" w:sz="4" w:space="0"/>
              <w:left w:val="single" w:color="auto" w:sz="4" w:space="0"/>
              <w:right w:val="single" w:color="auto" w:sz="4" w:space="0"/>
            </w:tcBorders>
            <w:shd w:val="clear" w:color="000000" w:fill="auto"/>
            <w:noWrap w:val="0"/>
            <w:vAlign w:val="center"/>
          </w:tcPr>
          <w:p>
            <w:pPr>
              <w:snapToGrid w:val="0"/>
              <w:spacing w:line="360" w:lineRule="auto"/>
              <w:jc w:val="center"/>
              <w:rPr>
                <w:rFonts w:ascii="宋体" w:hAnsi="宋体"/>
                <w:b/>
                <w:sz w:val="24"/>
              </w:rPr>
            </w:pPr>
            <w:r>
              <w:rPr>
                <w:rFonts w:hint="eastAsia" w:ascii="宋体" w:hAnsi="宋体"/>
                <w:b/>
                <w:sz w:val="24"/>
              </w:rPr>
              <w:t>安装方式</w:t>
            </w:r>
          </w:p>
        </w:tc>
        <w:tc>
          <w:tcPr>
            <w:tcW w:w="64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rPr>
                <w:rFonts w:ascii="宋体" w:hAnsi="宋体"/>
                <w:sz w:val="24"/>
              </w:rPr>
            </w:pPr>
            <w:r>
              <w:rPr>
                <w:rFonts w:hint="eastAsia" w:ascii="宋体" w:hAnsi="宋体"/>
                <w:sz w:val="24"/>
              </w:rPr>
              <w:t>壁挂式或抱箍式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209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供电方式</w:t>
            </w:r>
          </w:p>
        </w:tc>
        <w:tc>
          <w:tcPr>
            <w:tcW w:w="64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rPr>
                <w:rFonts w:ascii="宋体" w:hAnsi="宋体"/>
                <w:sz w:val="24"/>
              </w:rPr>
            </w:pPr>
            <w:r>
              <w:rPr>
                <w:rFonts w:hint="eastAsia" w:ascii="宋体" w:hAnsi="宋体"/>
                <w:sz w:val="24"/>
              </w:rPr>
              <w:t>220VAC/48VDC，支持POE供电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trPr>
        <w:tc>
          <w:tcPr>
            <w:tcW w:w="2093" w:type="dxa"/>
            <w:gridSpan w:val="2"/>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设备接口</w:t>
            </w:r>
          </w:p>
        </w:tc>
        <w:tc>
          <w:tcPr>
            <w:tcW w:w="6415" w:type="dxa"/>
            <w:noWrap w:val="0"/>
            <w:vAlign w:val="center"/>
          </w:tcPr>
          <w:p>
            <w:pPr>
              <w:spacing w:line="360" w:lineRule="auto"/>
              <w:rPr>
                <w:rFonts w:ascii="宋体" w:hAnsi="宋体"/>
                <w:sz w:val="24"/>
              </w:rPr>
            </w:pPr>
            <w:r>
              <w:rPr>
                <w:rFonts w:hint="eastAsia" w:ascii="宋体" w:hAnsi="宋体"/>
                <w:sz w:val="24"/>
              </w:rPr>
              <w:t>支持2个以上10/100M BaseT以太网接口，其中一个为本地配置接口，另一个为支持POE模式的通信口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08" w:type="dxa"/>
            <w:gridSpan w:val="3"/>
            <w:noWrap w:val="0"/>
            <w:vAlign w:val="center"/>
          </w:tcPr>
          <w:p>
            <w:pPr>
              <w:widowControl/>
              <w:snapToGrid w:val="0"/>
              <w:spacing w:line="360" w:lineRule="auto"/>
              <w:jc w:val="left"/>
              <w:rPr>
                <w:rFonts w:ascii="宋体" w:hAnsi="宋体"/>
                <w:b/>
                <w:sz w:val="24"/>
              </w:rPr>
            </w:pPr>
            <w:r>
              <w:rPr>
                <w:rFonts w:hint="eastAsia" w:ascii="宋体" w:hAnsi="宋体"/>
                <w:b/>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trPr>
        <w:tc>
          <w:tcPr>
            <w:tcW w:w="2043" w:type="dxa"/>
            <w:noWrap w:val="0"/>
            <w:vAlign w:val="center"/>
          </w:tcPr>
          <w:p>
            <w:pPr>
              <w:widowControl/>
              <w:snapToGrid w:val="0"/>
              <w:spacing w:line="360" w:lineRule="auto"/>
              <w:jc w:val="center"/>
              <w:rPr>
                <w:rFonts w:ascii="宋体" w:hAnsi="宋体" w:cs="宋体"/>
                <w:b/>
                <w:kern w:val="0"/>
                <w:sz w:val="24"/>
              </w:rPr>
            </w:pPr>
            <w:r>
              <w:rPr>
                <w:rFonts w:hint="eastAsia" w:ascii="宋体" w:hAnsi="宋体" w:cs="宋体"/>
                <w:b/>
                <w:kern w:val="0"/>
                <w:sz w:val="24"/>
              </w:rPr>
              <w:t>数据回传</w:t>
            </w:r>
          </w:p>
        </w:tc>
        <w:tc>
          <w:tcPr>
            <w:tcW w:w="6465" w:type="dxa"/>
            <w:gridSpan w:val="2"/>
            <w:noWrap w:val="0"/>
            <w:vAlign w:val="center"/>
          </w:tcPr>
          <w:p>
            <w:pPr>
              <w:spacing w:line="360" w:lineRule="auto"/>
              <w:rPr>
                <w:rFonts w:ascii="宋体" w:hAnsi="宋体"/>
                <w:sz w:val="24"/>
              </w:rPr>
            </w:pPr>
            <w:r>
              <w:rPr>
                <w:rFonts w:hint="eastAsia" w:ascii="宋体" w:hAnsi="宋体"/>
                <w:sz w:val="24"/>
              </w:rPr>
              <w:t>支持有线网络回传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kern w:val="0"/>
                <w:sz w:val="24"/>
              </w:rPr>
            </w:pPr>
            <w:r>
              <w:rPr>
                <w:rFonts w:hint="eastAsia" w:ascii="宋体" w:hAnsi="宋体" w:cs="宋体"/>
                <w:b/>
                <w:kern w:val="0"/>
                <w:sz w:val="24"/>
              </w:rPr>
              <w:t>管理特性</w:t>
            </w:r>
          </w:p>
        </w:tc>
        <w:tc>
          <w:tcPr>
            <w:tcW w:w="6465" w:type="dxa"/>
            <w:gridSpan w:val="2"/>
            <w:noWrap w:val="0"/>
            <w:vAlign w:val="center"/>
          </w:tcPr>
          <w:p>
            <w:pPr>
              <w:spacing w:line="360" w:lineRule="auto"/>
              <w:rPr>
                <w:rFonts w:ascii="宋体" w:hAnsi="宋体"/>
                <w:sz w:val="24"/>
              </w:rPr>
            </w:pPr>
            <w:r>
              <w:rPr>
                <w:rFonts w:hint="eastAsia" w:ascii="宋体" w:hAnsi="宋体"/>
                <w:sz w:val="24"/>
              </w:rPr>
              <w:t>支持自动升级，支持远程维护、在线状况、离线报警，可采用挂墙、挂杆安装。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kern w:val="0"/>
                <w:sz w:val="24"/>
              </w:rPr>
            </w:pPr>
            <w:r>
              <w:rPr>
                <w:rFonts w:hint="eastAsia" w:ascii="宋体" w:hAnsi="宋体" w:cs="宋体"/>
                <w:b/>
                <w:kern w:val="0"/>
                <w:sz w:val="24"/>
              </w:rPr>
              <w:t>数据安全性</w:t>
            </w:r>
          </w:p>
        </w:tc>
        <w:tc>
          <w:tcPr>
            <w:tcW w:w="6465" w:type="dxa"/>
            <w:gridSpan w:val="2"/>
            <w:noWrap w:val="0"/>
            <w:vAlign w:val="center"/>
          </w:tcPr>
          <w:p>
            <w:pPr>
              <w:spacing w:line="360" w:lineRule="auto"/>
              <w:rPr>
                <w:rFonts w:ascii="宋体" w:hAnsi="宋体"/>
                <w:sz w:val="24"/>
              </w:rPr>
            </w:pPr>
            <w:r>
              <w:rPr>
                <w:rFonts w:hint="eastAsia" w:ascii="宋体" w:hAnsi="宋体"/>
                <w:sz w:val="24"/>
              </w:rPr>
              <w:t>数据传输采用符合国标的加密传输。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08" w:type="dxa"/>
            <w:gridSpan w:val="3"/>
            <w:noWrap w:val="0"/>
            <w:vAlign w:val="center"/>
          </w:tcPr>
          <w:p>
            <w:pPr>
              <w:widowControl/>
              <w:snapToGrid w:val="0"/>
              <w:spacing w:line="360" w:lineRule="auto"/>
              <w:jc w:val="left"/>
              <w:rPr>
                <w:rFonts w:ascii="宋体" w:hAnsi="宋体"/>
                <w:b/>
                <w:sz w:val="24"/>
              </w:rPr>
            </w:pPr>
            <w:r>
              <w:rPr>
                <w:rFonts w:hint="eastAsia" w:ascii="宋体" w:hAnsi="宋体"/>
                <w:b/>
                <w:sz w:val="24"/>
              </w:rPr>
              <w:t>终端采集数据要求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终端采集数据</w:t>
            </w:r>
          </w:p>
        </w:tc>
        <w:tc>
          <w:tcPr>
            <w:tcW w:w="6465" w:type="dxa"/>
            <w:gridSpan w:val="2"/>
            <w:noWrap w:val="0"/>
            <w:vAlign w:val="center"/>
          </w:tcPr>
          <w:p>
            <w:pPr>
              <w:spacing w:line="360" w:lineRule="auto"/>
              <w:rPr>
                <w:rFonts w:ascii="宋体" w:hAnsi="宋体"/>
                <w:sz w:val="24"/>
              </w:rPr>
            </w:pPr>
            <w:r>
              <w:rPr>
                <w:rFonts w:hint="eastAsia" w:ascii="宋体" w:hAnsi="宋体"/>
                <w:sz w:val="24"/>
              </w:rPr>
              <w:t>网络地址、终端设备类型、厂家类型、采集时间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热点采集数据</w:t>
            </w:r>
          </w:p>
        </w:tc>
        <w:tc>
          <w:tcPr>
            <w:tcW w:w="6465" w:type="dxa"/>
            <w:gridSpan w:val="2"/>
            <w:noWrap w:val="0"/>
            <w:vAlign w:val="center"/>
          </w:tcPr>
          <w:p>
            <w:pPr>
              <w:spacing w:line="360" w:lineRule="auto"/>
              <w:rPr>
                <w:rFonts w:ascii="宋体" w:hAnsi="宋体"/>
                <w:sz w:val="24"/>
              </w:rPr>
            </w:pPr>
            <w:r>
              <w:rPr>
                <w:rFonts w:hint="eastAsia" w:ascii="宋体" w:hAnsi="宋体"/>
                <w:sz w:val="24"/>
              </w:rPr>
              <w:t>网络地址、加密类型、SSID、最后采集时间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5" w:hRule="atLeast"/>
        </w:trPr>
        <w:tc>
          <w:tcPr>
            <w:tcW w:w="2043" w:type="dxa"/>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采集终端与热点关系</w:t>
            </w:r>
          </w:p>
        </w:tc>
        <w:tc>
          <w:tcPr>
            <w:tcW w:w="6465" w:type="dxa"/>
            <w:gridSpan w:val="2"/>
            <w:noWrap w:val="0"/>
            <w:vAlign w:val="center"/>
          </w:tcPr>
          <w:p>
            <w:pPr>
              <w:spacing w:line="360" w:lineRule="auto"/>
              <w:rPr>
                <w:rFonts w:ascii="宋体" w:hAnsi="宋体"/>
                <w:sz w:val="24"/>
              </w:rPr>
            </w:pPr>
            <w:r>
              <w:rPr>
                <w:rFonts w:hint="eastAsia" w:ascii="宋体" w:hAnsi="宋体"/>
                <w:sz w:val="24"/>
              </w:rPr>
              <w:t>连接天数、连接次数、最后连接时间、历史连接关系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08" w:type="dxa"/>
            <w:gridSpan w:val="3"/>
            <w:noWrap w:val="0"/>
            <w:vAlign w:val="center"/>
          </w:tcPr>
          <w:p>
            <w:pPr>
              <w:widowControl/>
              <w:snapToGrid w:val="0"/>
              <w:spacing w:line="360" w:lineRule="auto"/>
              <w:jc w:val="left"/>
              <w:rPr>
                <w:rFonts w:ascii="宋体" w:hAnsi="宋体" w:cs="宋体"/>
                <w:kern w:val="0"/>
                <w:sz w:val="24"/>
              </w:rPr>
            </w:pPr>
            <w:r>
              <w:rPr>
                <w:rFonts w:hint="eastAsia" w:ascii="宋体" w:hAnsi="宋体"/>
                <w:b/>
                <w:sz w:val="24"/>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restart"/>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扫描能力</w:t>
            </w:r>
          </w:p>
        </w:tc>
        <w:tc>
          <w:tcPr>
            <w:tcW w:w="6465" w:type="dxa"/>
            <w:gridSpan w:val="2"/>
            <w:noWrap w:val="0"/>
            <w:vAlign w:val="center"/>
          </w:tcPr>
          <w:p>
            <w:pPr>
              <w:spacing w:line="360" w:lineRule="auto"/>
              <w:rPr>
                <w:rFonts w:ascii="宋体" w:hAnsi="宋体"/>
                <w:sz w:val="24"/>
              </w:rPr>
            </w:pPr>
            <w:r>
              <w:rPr>
                <w:rFonts w:hint="eastAsia" w:ascii="宋体" w:hAnsi="宋体"/>
                <w:sz w:val="24"/>
              </w:rPr>
              <w:t>设备并发处理能力&gt;1000/秒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continue"/>
            <w:noWrap w:val="0"/>
            <w:vAlign w:val="center"/>
          </w:tcPr>
          <w:p>
            <w:pPr>
              <w:widowControl/>
              <w:snapToGrid w:val="0"/>
              <w:spacing w:line="360" w:lineRule="auto"/>
              <w:jc w:val="center"/>
              <w:rPr>
                <w:rFonts w:ascii="宋体" w:hAnsi="宋体" w:cs="宋体"/>
                <w:b/>
                <w:bCs/>
                <w:kern w:val="0"/>
                <w:sz w:val="24"/>
              </w:rPr>
            </w:pPr>
          </w:p>
        </w:tc>
        <w:tc>
          <w:tcPr>
            <w:tcW w:w="6465" w:type="dxa"/>
            <w:gridSpan w:val="2"/>
            <w:noWrap w:val="0"/>
            <w:vAlign w:val="center"/>
          </w:tcPr>
          <w:p>
            <w:pPr>
              <w:spacing w:line="360" w:lineRule="auto"/>
              <w:rPr>
                <w:rFonts w:ascii="宋体" w:hAnsi="宋体"/>
                <w:sz w:val="24"/>
              </w:rPr>
            </w:pPr>
            <w:r>
              <w:rPr>
                <w:rFonts w:hint="eastAsia" w:ascii="宋体" w:hAnsi="宋体"/>
                <w:sz w:val="24"/>
              </w:rPr>
              <w:t>定向天线扫描能力不低于100米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continue"/>
            <w:noWrap w:val="0"/>
            <w:vAlign w:val="center"/>
          </w:tcPr>
          <w:p>
            <w:pPr>
              <w:widowControl/>
              <w:snapToGrid w:val="0"/>
              <w:spacing w:line="360" w:lineRule="auto"/>
              <w:jc w:val="center"/>
              <w:rPr>
                <w:rFonts w:ascii="宋体" w:hAnsi="宋体" w:cs="宋体"/>
                <w:b/>
                <w:bCs/>
                <w:kern w:val="0"/>
                <w:sz w:val="24"/>
              </w:rPr>
            </w:pPr>
          </w:p>
        </w:tc>
        <w:tc>
          <w:tcPr>
            <w:tcW w:w="6465" w:type="dxa"/>
            <w:gridSpan w:val="2"/>
            <w:noWrap w:val="0"/>
            <w:vAlign w:val="center"/>
          </w:tcPr>
          <w:p>
            <w:pPr>
              <w:spacing w:line="360" w:lineRule="auto"/>
              <w:rPr>
                <w:rFonts w:ascii="宋体" w:hAnsi="宋体"/>
                <w:sz w:val="24"/>
              </w:rPr>
            </w:pPr>
            <w:r>
              <w:rPr>
                <w:rFonts w:hint="eastAsia" w:ascii="宋体" w:hAnsi="宋体"/>
                <w:sz w:val="24"/>
              </w:rPr>
              <w:t>全向天线扫描能力不低于50米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扫描频率</w:t>
            </w:r>
          </w:p>
        </w:tc>
        <w:tc>
          <w:tcPr>
            <w:tcW w:w="6465" w:type="dxa"/>
            <w:gridSpan w:val="2"/>
            <w:noWrap w:val="0"/>
            <w:vAlign w:val="center"/>
          </w:tcPr>
          <w:p>
            <w:pPr>
              <w:spacing w:line="360" w:lineRule="auto"/>
              <w:rPr>
                <w:rFonts w:ascii="宋体" w:hAnsi="宋体"/>
                <w:sz w:val="24"/>
              </w:rPr>
            </w:pPr>
            <w:r>
              <w:rPr>
                <w:rFonts w:hint="eastAsia" w:ascii="宋体" w:hAnsi="宋体"/>
                <w:sz w:val="24"/>
              </w:rPr>
              <w:t>每秒1万次扫描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restart"/>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数据上报频率</w:t>
            </w:r>
          </w:p>
        </w:tc>
        <w:tc>
          <w:tcPr>
            <w:tcW w:w="6465" w:type="dxa"/>
            <w:gridSpan w:val="2"/>
            <w:noWrap w:val="0"/>
            <w:vAlign w:val="center"/>
          </w:tcPr>
          <w:p>
            <w:pPr>
              <w:spacing w:line="360" w:lineRule="auto"/>
              <w:rPr>
                <w:rFonts w:ascii="宋体" w:hAnsi="宋体"/>
                <w:sz w:val="24"/>
              </w:rPr>
            </w:pPr>
            <w:r>
              <w:rPr>
                <w:rFonts w:hint="eastAsia" w:ascii="宋体" w:hAnsi="宋体"/>
                <w:sz w:val="24"/>
              </w:rPr>
              <w:t>支持采集数据报文压缩上传，节约流量费用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continue"/>
            <w:noWrap w:val="0"/>
            <w:vAlign w:val="center"/>
          </w:tcPr>
          <w:p>
            <w:pPr>
              <w:widowControl/>
              <w:snapToGrid w:val="0"/>
              <w:spacing w:line="360" w:lineRule="auto"/>
              <w:jc w:val="center"/>
              <w:rPr>
                <w:rFonts w:ascii="宋体" w:hAnsi="宋体" w:cs="宋体"/>
                <w:b/>
                <w:bCs/>
                <w:kern w:val="0"/>
                <w:sz w:val="24"/>
              </w:rPr>
            </w:pPr>
          </w:p>
        </w:tc>
        <w:tc>
          <w:tcPr>
            <w:tcW w:w="6465" w:type="dxa"/>
            <w:gridSpan w:val="2"/>
            <w:noWrap w:val="0"/>
            <w:vAlign w:val="center"/>
          </w:tcPr>
          <w:p>
            <w:pPr>
              <w:spacing w:line="360" w:lineRule="auto"/>
              <w:rPr>
                <w:rFonts w:ascii="宋体" w:hAnsi="宋体"/>
                <w:sz w:val="24"/>
              </w:rPr>
            </w:pPr>
            <w:r>
              <w:rPr>
                <w:rFonts w:hint="eastAsia" w:ascii="宋体" w:hAnsi="宋体"/>
                <w:sz w:val="24"/>
              </w:rPr>
              <w:t>上传间隔1-15分钟</w:t>
            </w:r>
            <w:r>
              <w:rPr>
                <w:rFonts w:ascii="宋体" w:hAnsi="宋体"/>
                <w:sz w:val="24"/>
              </w:rPr>
              <w:t xml:space="preserve"> </w:t>
            </w:r>
          </w:p>
        </w:tc>
      </w:tr>
    </w:tbl>
    <w:p>
      <w:pPr>
        <w:pStyle w:val="78"/>
        <w:ind w:firstLine="480"/>
        <w:rPr>
          <w:sz w:val="24"/>
        </w:rPr>
      </w:pPr>
      <w:r>
        <w:rPr>
          <w:rFonts w:hint="eastAsia"/>
          <w:sz w:val="24"/>
        </w:rPr>
        <w:t>平台功能要求：支持数据汇集及存储、支持数据检索、支持历史数据查询、支持系统日志记录查询、支持数据导入及导出</w:t>
      </w:r>
    </w:p>
    <w:p>
      <w:pPr>
        <w:numPr>
          <w:ilvl w:val="0"/>
          <w:numId w:val="13"/>
        </w:numPr>
        <w:spacing w:line="360" w:lineRule="auto"/>
        <w:rPr>
          <w:rFonts w:ascii="宋体" w:hAnsi="宋体"/>
          <w:b/>
          <w:sz w:val="24"/>
        </w:rPr>
      </w:pPr>
      <w:r>
        <w:rPr>
          <w:rFonts w:ascii="宋体" w:hAnsi="宋体"/>
          <w:b/>
          <w:sz w:val="24"/>
        </w:rPr>
        <w:t>后端存储建设要求</w:t>
      </w:r>
    </w:p>
    <w:p>
      <w:pPr>
        <w:pStyle w:val="199"/>
        <w:numPr>
          <w:ilvl w:val="0"/>
          <w:numId w:val="17"/>
        </w:numPr>
        <w:spacing w:line="360" w:lineRule="auto"/>
        <w:rPr>
          <w:rFonts w:ascii="宋体" w:hAnsi="宋体"/>
          <w:sz w:val="24"/>
          <w:szCs w:val="24"/>
        </w:rPr>
      </w:pPr>
      <w:r>
        <w:rPr>
          <w:rFonts w:ascii="宋体" w:hAnsi="宋体"/>
          <w:sz w:val="24"/>
          <w:szCs w:val="24"/>
        </w:rPr>
        <w:t>系统概述</w:t>
      </w:r>
    </w:p>
    <w:p>
      <w:pPr>
        <w:pStyle w:val="78"/>
        <w:ind w:firstLine="480"/>
        <w:rPr>
          <w:rFonts w:hint="eastAsia"/>
          <w:sz w:val="24"/>
          <w:lang w:eastAsia="zh-CN"/>
        </w:rPr>
      </w:pPr>
      <w:r>
        <w:rPr>
          <w:sz w:val="24"/>
        </w:rPr>
        <w:t>本次越城区智安小区建设中，后端存储将采用集中存储于</w:t>
      </w:r>
      <w:r>
        <w:rPr>
          <w:rFonts w:hint="eastAsia"/>
          <w:sz w:val="24"/>
        </w:rPr>
        <w:t>中标方中心机房</w:t>
      </w:r>
      <w:r>
        <w:rPr>
          <w:sz w:val="24"/>
        </w:rPr>
        <w:t>的方式部署，将视频流、人脸图片、车辆图片进行一定时间的存储，满足公安应用的需求。</w:t>
      </w:r>
    </w:p>
    <w:p>
      <w:pPr>
        <w:pStyle w:val="78"/>
        <w:ind w:firstLine="480"/>
        <w:rPr>
          <w:rFonts w:hint="eastAsia"/>
          <w:sz w:val="24"/>
          <w:lang w:eastAsia="zh-CN"/>
        </w:rPr>
      </w:pPr>
      <w:r>
        <w:rPr>
          <w:rFonts w:hint="eastAsia"/>
          <w:sz w:val="24"/>
        </w:rPr>
        <w:t>本次项目人脸抓拍系统相关的后端服务器，如解析设备、大数据服务器、云存储等需要和原有人脸系统的后端服务器放在统一机房，使系统运行稳定性达到最佳。</w:t>
      </w:r>
    </w:p>
    <w:p>
      <w:pPr>
        <w:pStyle w:val="199"/>
        <w:numPr>
          <w:ilvl w:val="0"/>
          <w:numId w:val="17"/>
        </w:numPr>
        <w:spacing w:line="360" w:lineRule="auto"/>
        <w:rPr>
          <w:rFonts w:ascii="宋体" w:hAnsi="宋体"/>
          <w:sz w:val="24"/>
          <w:szCs w:val="24"/>
        </w:rPr>
      </w:pPr>
      <w:r>
        <w:rPr>
          <w:rFonts w:ascii="宋体" w:hAnsi="宋体"/>
          <w:sz w:val="24"/>
          <w:szCs w:val="24"/>
        </w:rPr>
        <w:t>建设需求</w:t>
      </w:r>
    </w:p>
    <w:p>
      <w:pPr>
        <w:pStyle w:val="78"/>
        <w:ind w:firstLine="480"/>
        <w:rPr>
          <w:sz w:val="24"/>
        </w:rPr>
      </w:pPr>
      <w:r>
        <w:rPr>
          <w:rFonts w:hint="eastAsia"/>
          <w:sz w:val="24"/>
        </w:rPr>
        <w:t>本次建设中，视频流的存储周期（不含车辆）按照30天计算，人脸大小图、车辆大小图存储周期按照180天计算。</w:t>
      </w:r>
    </w:p>
    <w:p>
      <w:pPr>
        <w:numPr>
          <w:ilvl w:val="0"/>
          <w:numId w:val="13"/>
        </w:numPr>
        <w:spacing w:line="360" w:lineRule="auto"/>
        <w:rPr>
          <w:rFonts w:ascii="宋体" w:hAnsi="宋体"/>
          <w:b/>
          <w:sz w:val="24"/>
        </w:rPr>
      </w:pPr>
      <w:r>
        <w:rPr>
          <w:rFonts w:ascii="宋体" w:hAnsi="宋体"/>
          <w:b/>
          <w:sz w:val="24"/>
        </w:rPr>
        <w:t>越城区智安小区管控平台建设要求</w:t>
      </w:r>
    </w:p>
    <w:p>
      <w:pPr>
        <w:pStyle w:val="199"/>
        <w:numPr>
          <w:ilvl w:val="0"/>
          <w:numId w:val="18"/>
        </w:numPr>
        <w:spacing w:line="360" w:lineRule="auto"/>
        <w:rPr>
          <w:rFonts w:ascii="宋体" w:hAnsi="宋体"/>
          <w:sz w:val="24"/>
          <w:szCs w:val="24"/>
        </w:rPr>
      </w:pPr>
      <w:r>
        <w:rPr>
          <w:rFonts w:ascii="宋体" w:hAnsi="宋体"/>
          <w:sz w:val="24"/>
          <w:szCs w:val="24"/>
        </w:rPr>
        <w:t>系统概述</w:t>
      </w:r>
    </w:p>
    <w:p>
      <w:pPr>
        <w:pStyle w:val="78"/>
        <w:ind w:firstLine="480"/>
        <w:rPr>
          <w:rFonts w:hint="eastAsia"/>
          <w:sz w:val="24"/>
        </w:rPr>
      </w:pPr>
      <w:r>
        <w:rPr>
          <w:rFonts w:hint="eastAsia"/>
          <w:sz w:val="24"/>
        </w:rPr>
        <w:t>越城区智安小区管控平台部署于公安信息网内，</w:t>
      </w:r>
      <w:r>
        <w:rPr>
          <w:sz w:val="24"/>
        </w:rPr>
        <w:t>各个小区的</w:t>
      </w:r>
      <w:r>
        <w:rPr>
          <w:rFonts w:hint="eastAsia"/>
          <w:sz w:val="24"/>
        </w:rPr>
        <w:t>高清监控</w:t>
      </w:r>
      <w:r>
        <w:rPr>
          <w:sz w:val="24"/>
        </w:rPr>
        <w:t>、车数据通过通信运营商或有线电视网络运营商</w:t>
      </w:r>
      <w:r>
        <w:rPr>
          <w:rFonts w:hint="eastAsia"/>
          <w:sz w:val="24"/>
        </w:rPr>
        <w:t>城域网(VPN)</w:t>
      </w:r>
      <w:r>
        <w:rPr>
          <w:sz w:val="24"/>
        </w:rPr>
        <w:t xml:space="preserve"> 进行汇聚、存储</w:t>
      </w:r>
      <w:r>
        <w:rPr>
          <w:rFonts w:hint="eastAsia"/>
          <w:sz w:val="24"/>
        </w:rPr>
        <w:t>；</w:t>
      </w:r>
      <w:r>
        <w:rPr>
          <w:sz w:val="24"/>
        </w:rPr>
        <w:t>各个小区的</w:t>
      </w:r>
      <w:r>
        <w:rPr>
          <w:rFonts w:hint="eastAsia"/>
          <w:sz w:val="24"/>
        </w:rPr>
        <w:t>人、智慧感知数据</w:t>
      </w:r>
      <w:r>
        <w:rPr>
          <w:sz w:val="24"/>
        </w:rPr>
        <w:t>通过公安视频</w:t>
      </w:r>
      <w:r>
        <w:rPr>
          <w:rFonts w:hint="eastAsia"/>
          <w:sz w:val="24"/>
        </w:rPr>
        <w:t>专网</w:t>
      </w:r>
      <w:r>
        <w:rPr>
          <w:sz w:val="24"/>
        </w:rPr>
        <w:t>进行汇聚、存储</w:t>
      </w:r>
      <w:r>
        <w:rPr>
          <w:rFonts w:hint="eastAsia"/>
          <w:sz w:val="24"/>
        </w:rPr>
        <w:t>，最终</w:t>
      </w:r>
      <w:r>
        <w:rPr>
          <w:sz w:val="24"/>
        </w:rPr>
        <w:t>汇聚</w:t>
      </w:r>
      <w:r>
        <w:rPr>
          <w:rFonts w:hint="eastAsia"/>
          <w:sz w:val="24"/>
        </w:rPr>
        <w:t>至公安信息</w:t>
      </w:r>
      <w:r>
        <w:rPr>
          <w:sz w:val="24"/>
        </w:rPr>
        <w:t>网</w:t>
      </w:r>
      <w:r>
        <w:rPr>
          <w:rFonts w:hint="eastAsia"/>
          <w:sz w:val="24"/>
        </w:rPr>
        <w:t>，经过专用网络隔离设备推送至越城区智安小区管控平台，实现对小区人员、车辆的管理应用需求。</w:t>
      </w:r>
    </w:p>
    <w:p>
      <w:pPr>
        <w:pStyle w:val="78"/>
        <w:ind w:firstLine="480"/>
        <w:rPr>
          <w:rFonts w:hint="eastAsia"/>
          <w:sz w:val="24"/>
          <w:lang w:eastAsia="zh-CN"/>
        </w:rPr>
      </w:pPr>
      <w:r>
        <w:rPr>
          <w:rFonts w:hint="eastAsia"/>
          <w:sz w:val="24"/>
        </w:rPr>
        <w:t>现阶段</w:t>
      </w:r>
      <w:r>
        <w:rPr>
          <w:rFonts w:hint="eastAsia"/>
          <w:sz w:val="24"/>
          <w:lang w:eastAsia="zh-CN"/>
        </w:rPr>
        <w:t>的</w:t>
      </w:r>
      <w:r>
        <w:rPr>
          <w:rFonts w:hint="eastAsia"/>
          <w:sz w:val="24"/>
        </w:rPr>
        <w:t>系统是一个整体的架构，不再是烟囱式的系统，各个对象模块之间形成一个有机的无缝对接，所有数据可以做到很好的融会贯通。通信运营商或有线电视网络运营商城域网汇聚的人、车等数据可推送至越城区综合信息指挥中心</w:t>
      </w:r>
      <w:r>
        <w:rPr>
          <w:rFonts w:hint="eastAsia"/>
          <w:sz w:val="24"/>
          <w:lang w:eastAsia="zh-CN"/>
        </w:rPr>
        <w:t>。</w:t>
      </w:r>
    </w:p>
    <w:p>
      <w:pPr>
        <w:pStyle w:val="199"/>
        <w:numPr>
          <w:ilvl w:val="0"/>
          <w:numId w:val="18"/>
        </w:numPr>
        <w:spacing w:line="360" w:lineRule="auto"/>
        <w:rPr>
          <w:rFonts w:hint="eastAsia" w:ascii="宋体" w:hAnsi="宋体"/>
          <w:sz w:val="24"/>
          <w:szCs w:val="24"/>
        </w:rPr>
      </w:pPr>
      <w:r>
        <w:rPr>
          <w:rFonts w:ascii="宋体" w:hAnsi="宋体"/>
          <w:sz w:val="24"/>
          <w:szCs w:val="24"/>
        </w:rPr>
        <w:t>系统功能</w:t>
      </w:r>
    </w:p>
    <w:p>
      <w:pPr>
        <w:pStyle w:val="78"/>
        <w:ind w:firstLine="436" w:firstLineChars="181"/>
        <w:rPr>
          <w:rFonts w:hint="eastAsia"/>
          <w:b/>
          <w:sz w:val="24"/>
          <w:lang w:eastAsia="zh-CN"/>
        </w:rPr>
      </w:pPr>
      <w:r>
        <w:rPr>
          <w:rFonts w:hint="eastAsia"/>
          <w:b/>
          <w:sz w:val="24"/>
        </w:rPr>
        <w:t>综合查询</w:t>
      </w:r>
    </w:p>
    <w:p>
      <w:pPr>
        <w:pStyle w:val="78"/>
        <w:ind w:firstLine="480"/>
        <w:rPr>
          <w:rFonts w:hint="eastAsia"/>
          <w:sz w:val="24"/>
          <w:lang w:eastAsia="zh-CN"/>
        </w:rPr>
      </w:pPr>
      <w:r>
        <w:rPr>
          <w:rFonts w:hint="eastAsia"/>
          <w:sz w:val="24"/>
        </w:rPr>
        <w:t>综合查询功能模块以人、车、智慧感知、小区、设备为查询基础，根据信息类型不同来模糊查询用户所需要的相关信息，以列表的方式展示查询结果。用户也可以通过高级搜索，对查询结果进行精确查询和筛选。</w:t>
      </w:r>
    </w:p>
    <w:p>
      <w:pPr>
        <w:pStyle w:val="78"/>
        <w:ind w:firstLine="436" w:firstLineChars="181"/>
        <w:rPr>
          <w:rFonts w:hint="eastAsia"/>
          <w:b/>
          <w:sz w:val="24"/>
          <w:lang w:eastAsia="zh-CN"/>
        </w:rPr>
      </w:pPr>
      <w:r>
        <w:rPr>
          <w:rFonts w:hint="eastAsia"/>
          <w:b/>
          <w:sz w:val="24"/>
          <w:lang w:eastAsia="zh-CN"/>
        </w:rPr>
        <w:t xml:space="preserve">案件研判 </w:t>
      </w:r>
    </w:p>
    <w:p>
      <w:pPr>
        <w:pStyle w:val="78"/>
        <w:ind w:firstLine="480"/>
        <w:rPr>
          <w:rFonts w:hint="eastAsia"/>
          <w:sz w:val="24"/>
          <w:lang w:eastAsia="zh-CN"/>
        </w:rPr>
      </w:pPr>
      <w:r>
        <w:rPr>
          <w:rFonts w:hint="eastAsia"/>
          <w:sz w:val="24"/>
        </w:rPr>
        <w:t>案件中心功能模块以人、车和终端智慧感知为重要信息基础，客户可查看最新案件推送，也可查看历史案件。根据案发地点、案发时间段计算案发地范围内的人、车和终端智慧感知，并自动为客户筛选出可疑目标，提供侦查方向。</w:t>
      </w:r>
    </w:p>
    <w:p>
      <w:pPr>
        <w:pStyle w:val="78"/>
        <w:ind w:firstLine="436" w:firstLineChars="181"/>
        <w:rPr>
          <w:rFonts w:hint="eastAsia"/>
          <w:b/>
          <w:sz w:val="24"/>
          <w:lang w:eastAsia="zh-CN"/>
        </w:rPr>
      </w:pPr>
      <w:r>
        <w:rPr>
          <w:rFonts w:hint="eastAsia"/>
          <w:b/>
          <w:sz w:val="24"/>
          <w:lang w:eastAsia="zh-CN"/>
        </w:rPr>
        <w:t xml:space="preserve">轨迹研判 </w:t>
      </w:r>
    </w:p>
    <w:p>
      <w:pPr>
        <w:pStyle w:val="78"/>
        <w:ind w:firstLine="480"/>
        <w:rPr>
          <w:rFonts w:hint="eastAsia"/>
          <w:sz w:val="24"/>
          <w:lang w:eastAsia="zh-CN"/>
        </w:rPr>
      </w:pPr>
      <w:r>
        <w:rPr>
          <w:rFonts w:hint="eastAsia"/>
          <w:sz w:val="24"/>
        </w:rPr>
        <w:t>轨迹分析功能模块依托地图，通过用户输入的身份、车辆或终端智慧感知信息和时间范围，在地图上展示该目标的轨迹，轨迹由各个轨迹点连接而成，轨迹点即采集机具。通过轨迹分析，可以总结出该人员的行为特点和日常活动规律，并通过几轮的图片研判，确认该目标的身份信息。</w:t>
      </w:r>
    </w:p>
    <w:p>
      <w:pPr>
        <w:pStyle w:val="78"/>
        <w:ind w:firstLine="436" w:firstLineChars="181"/>
        <w:rPr>
          <w:rFonts w:hint="eastAsia"/>
          <w:b/>
          <w:sz w:val="24"/>
          <w:lang w:eastAsia="zh-CN"/>
        </w:rPr>
      </w:pPr>
      <w:r>
        <w:rPr>
          <w:rFonts w:hint="eastAsia"/>
          <w:b/>
          <w:sz w:val="24"/>
          <w:lang w:eastAsia="zh-CN"/>
        </w:rPr>
        <w:t>区域碰撞</w:t>
      </w:r>
    </w:p>
    <w:p>
      <w:pPr>
        <w:pStyle w:val="78"/>
        <w:ind w:firstLine="480"/>
        <w:rPr>
          <w:rFonts w:hint="eastAsia"/>
          <w:sz w:val="24"/>
          <w:lang w:eastAsia="zh-CN"/>
        </w:rPr>
      </w:pPr>
      <w:r>
        <w:rPr>
          <w:rFonts w:hint="eastAsia"/>
          <w:sz w:val="24"/>
        </w:rPr>
        <w:t>区域碰撞作为技战法之一，用户可通过几个区域的碰撞，找出同时出现在这几个区域的目标，从而找出嫌疑人的身份信息、车辆信息及终端智慧感知信息；</w:t>
      </w:r>
    </w:p>
    <w:p>
      <w:pPr>
        <w:pStyle w:val="78"/>
        <w:ind w:firstLine="436" w:firstLineChars="181"/>
        <w:rPr>
          <w:rFonts w:hint="eastAsia"/>
          <w:b/>
          <w:sz w:val="24"/>
          <w:lang w:eastAsia="zh-CN"/>
        </w:rPr>
      </w:pPr>
      <w:r>
        <w:rPr>
          <w:rFonts w:hint="eastAsia"/>
          <w:b/>
          <w:sz w:val="24"/>
          <w:lang w:eastAsia="zh-CN"/>
        </w:rPr>
        <w:t xml:space="preserve">布控预警 </w:t>
      </w:r>
    </w:p>
    <w:p>
      <w:pPr>
        <w:pStyle w:val="78"/>
        <w:ind w:firstLine="480"/>
        <w:rPr>
          <w:rFonts w:hint="eastAsia"/>
          <w:sz w:val="24"/>
          <w:lang w:eastAsia="zh-CN"/>
        </w:rPr>
      </w:pPr>
      <w:r>
        <w:rPr>
          <w:rFonts w:hint="eastAsia"/>
          <w:sz w:val="24"/>
        </w:rPr>
        <w:t>布控预警功能模块用于用户布控人脸、身份证、车辆、车辆照片和终端智慧感知，用户可以从案件中心创建布控，也可以在布控预警模块中创建布控任务。</w:t>
      </w:r>
    </w:p>
    <w:p>
      <w:pPr>
        <w:pStyle w:val="78"/>
        <w:ind w:firstLine="436" w:firstLineChars="181"/>
        <w:rPr>
          <w:rFonts w:hint="eastAsia"/>
          <w:b/>
          <w:sz w:val="24"/>
          <w:lang w:eastAsia="zh-CN"/>
        </w:rPr>
      </w:pPr>
      <w:r>
        <w:rPr>
          <w:rFonts w:hint="eastAsia"/>
          <w:b/>
          <w:sz w:val="24"/>
          <w:lang w:eastAsia="zh-CN"/>
        </w:rPr>
        <w:t>同行分析</w:t>
      </w:r>
    </w:p>
    <w:p>
      <w:pPr>
        <w:pStyle w:val="78"/>
        <w:ind w:firstLine="480"/>
        <w:rPr>
          <w:rFonts w:hint="eastAsia"/>
          <w:sz w:val="24"/>
          <w:lang w:eastAsia="zh-CN"/>
        </w:rPr>
      </w:pPr>
      <w:r>
        <w:rPr>
          <w:rFonts w:hint="eastAsia"/>
          <w:sz w:val="24"/>
        </w:rPr>
        <w:t>用户在轨迹研判生成轨迹后，点击同行分析，查看同行目标。地图上展示原目标的轨迹。点击同行人员，可查看同行人员在原研判时间范围内的同行轨迹。</w:t>
      </w:r>
    </w:p>
    <w:p>
      <w:pPr>
        <w:numPr>
          <w:ilvl w:val="0"/>
          <w:numId w:val="13"/>
        </w:numPr>
        <w:spacing w:line="360" w:lineRule="auto"/>
        <w:rPr>
          <w:rFonts w:ascii="宋体" w:hAnsi="宋体"/>
          <w:b/>
          <w:sz w:val="24"/>
        </w:rPr>
      </w:pPr>
      <w:r>
        <w:rPr>
          <w:rFonts w:ascii="宋体" w:hAnsi="宋体"/>
          <w:b/>
          <w:sz w:val="24"/>
        </w:rPr>
        <w:t>智安小区建设列表</w:t>
      </w:r>
    </w:p>
    <w:p>
      <w:pPr>
        <w:pStyle w:val="78"/>
        <w:ind w:firstLine="480"/>
        <w:rPr>
          <w:rFonts w:hint="eastAsia"/>
          <w:sz w:val="24"/>
          <w:lang w:eastAsia="zh-CN"/>
        </w:rPr>
      </w:pPr>
      <w:r>
        <w:rPr>
          <w:sz w:val="24"/>
        </w:rPr>
        <w:t>本次越城区智安小区的建设总共涉及越城区</w:t>
      </w:r>
      <w:r>
        <w:rPr>
          <w:rFonts w:hint="eastAsia"/>
          <w:sz w:val="24"/>
        </w:rPr>
        <w:t>14</w:t>
      </w:r>
      <w:r>
        <w:rPr>
          <w:rFonts w:hint="eastAsia"/>
          <w:sz w:val="24"/>
          <w:lang w:eastAsia="zh-CN"/>
        </w:rPr>
        <w:t>4</w:t>
      </w:r>
      <w:r>
        <w:rPr>
          <w:rFonts w:hint="eastAsia"/>
          <w:sz w:val="24"/>
        </w:rPr>
        <w:t>个小区</w:t>
      </w:r>
      <w:r>
        <w:rPr>
          <w:rFonts w:hint="eastAsia"/>
          <w:sz w:val="24"/>
          <w:lang w:eastAsia="zh-CN"/>
        </w:rPr>
        <w:t>新建和125个区块反向补点</w:t>
      </w:r>
      <w:r>
        <w:rPr>
          <w:sz w:val="24"/>
        </w:rPr>
        <w:t>，分别由封闭式、半封闭式、开放式三种类型的小区组成。</w:t>
      </w:r>
    </w:p>
    <w:p>
      <w:pPr>
        <w:pStyle w:val="78"/>
        <w:ind w:firstLine="480"/>
        <w:rPr>
          <w:rFonts w:hint="eastAsia"/>
          <w:sz w:val="24"/>
          <w:lang w:eastAsia="zh-CN"/>
        </w:rPr>
      </w:pPr>
      <w:r>
        <w:rPr>
          <w:rFonts w:hint="eastAsia"/>
          <w:sz w:val="24"/>
          <w:lang w:eastAsia="zh-CN"/>
        </w:rPr>
        <w:t>(1)</w:t>
      </w:r>
      <w:r>
        <w:rPr>
          <w:rFonts w:hint="eastAsia"/>
          <w:sz w:val="24"/>
        </w:rPr>
        <w:t>14</w:t>
      </w:r>
      <w:r>
        <w:rPr>
          <w:rFonts w:hint="eastAsia"/>
          <w:sz w:val="24"/>
          <w:lang w:eastAsia="zh-CN"/>
        </w:rPr>
        <w:t>4</w:t>
      </w:r>
      <w:r>
        <w:rPr>
          <w:rFonts w:hint="eastAsia"/>
          <w:sz w:val="24"/>
        </w:rPr>
        <w:t>个小区</w:t>
      </w:r>
      <w:r>
        <w:rPr>
          <w:rFonts w:hint="eastAsia"/>
          <w:sz w:val="24"/>
          <w:lang w:eastAsia="zh-CN"/>
        </w:rPr>
        <w:t>新建列表:</w:t>
      </w:r>
    </w:p>
    <w:tbl>
      <w:tblPr>
        <w:tblStyle w:val="42"/>
        <w:tblW w:w="8804" w:type="dxa"/>
        <w:tblInd w:w="93" w:type="dxa"/>
        <w:tblLayout w:type="autofit"/>
        <w:tblCellMar>
          <w:top w:w="0" w:type="dxa"/>
          <w:left w:w="108" w:type="dxa"/>
          <w:bottom w:w="0" w:type="dxa"/>
          <w:right w:w="108" w:type="dxa"/>
        </w:tblCellMar>
      </w:tblPr>
      <w:tblGrid>
        <w:gridCol w:w="800"/>
        <w:gridCol w:w="1100"/>
        <w:gridCol w:w="4494"/>
        <w:gridCol w:w="1276"/>
        <w:gridCol w:w="1134"/>
      </w:tblGrid>
      <w:tr>
        <w:tblPrEx>
          <w:tblCellMar>
            <w:top w:w="0" w:type="dxa"/>
            <w:left w:w="108" w:type="dxa"/>
            <w:bottom w:w="0" w:type="dxa"/>
            <w:right w:w="108" w:type="dxa"/>
          </w:tblCellMar>
        </w:tblPrEx>
        <w:trPr>
          <w:wBefore w:w="0" w:type="dxa"/>
          <w:wAfter w:w="0" w:type="dxa"/>
          <w:trHeight w:val="585"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4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小区名称</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小区类型</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智能监控数量</w:t>
            </w:r>
          </w:p>
        </w:tc>
      </w:tr>
      <w:tr>
        <w:tblPrEx>
          <w:tblCellMar>
            <w:top w:w="0" w:type="dxa"/>
            <w:left w:w="108" w:type="dxa"/>
            <w:bottom w:w="0" w:type="dxa"/>
            <w:right w:w="108" w:type="dxa"/>
          </w:tblCellMar>
        </w:tblPrEx>
        <w:trPr>
          <w:wBefore w:w="0" w:type="dxa"/>
          <w:wAfter w:w="0" w:type="dxa"/>
          <w:trHeight w:val="585" w:hRule="atLeast"/>
        </w:trPr>
        <w:tc>
          <w:tcPr>
            <w:tcW w:w="767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数据统计</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858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青甸湖小区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泗龙苑小区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月谭公寓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绿城小区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江南明珠园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半岛花园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欣业嘉园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西小园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聚金园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景瑞上府</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镜湖时代</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唯美花园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镜湖莲庄</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强头家园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鹅池小区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三川小区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东浦</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天悦城</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南岸花园西区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国际华城</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丹桂公寓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越东小区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百兴花园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百乐花园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百安花园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天谛公寓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太阳公寓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西湖花园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时代世纪城</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水乡明都</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名城阳光园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锦洋西苑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洋江名苑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昌明花园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华秦铂湾</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百商苑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望江小区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锦江半岛</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金湖湾</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南岸花园东区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文昌雅苑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瑞禾明庭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丽景华庭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锦程文苑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文汇园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阳光城</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江南名苑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恒联锦园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锦水湾</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斗门</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金地艺境</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海滨景园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海湾国际</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海德景园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通港苑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滨江苑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阳光苑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宝华庄园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海峰苑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万峰一期</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万峰二期</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万峰三期</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万峰四期</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新城公寓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海湾公寓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轩月苑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万峰公寓楼</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沥海</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滨海花园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山水名家</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后墅坊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横湖坊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段家汇</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安心坊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界树坊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肖港坊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永兴坊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海樾府</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蓬莱坊</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蚌潭小区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佳源广场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金群家园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曲屯家园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大树江小区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灵北公寓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湖东小区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御和园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协兴小区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冠友小区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力博公寓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汇馨湾</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大滩六号</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山水人家</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香滨半岛</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白鹭金滩</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绍兴天下</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山水华庭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金色家园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天御花园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赞成美林</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外滩梅园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金时花园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镜悦府</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金色蓝庭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灵芝</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大庆景苑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兰花苑</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丽都花园</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滨河公寓</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东江小区</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香江名邸</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京联观湖</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林立欣园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天御湾</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碧波康庭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九城公园里</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中冶梧桐园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十里锦苑</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锦都学府</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越厦公寓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西洋溇公寓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云海人家</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东昌公寓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东方明珠</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恒润嘉苑</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小小名潭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新安人家</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中渠赞成.悦贤府</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银湖湾</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滨湖里</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宝龙世家</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越携公馆</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柏丽湾</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观樾诚品</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观澜悠步</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马山</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御宾府</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金瓯公寓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鲁易小区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海棠府</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绿姿公寓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碧波庄园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碧川公寓</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鲁易大厦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上亭路住商楼</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孙端</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教工宿舍楼</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陶堰</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桃花源</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陶堰</w:t>
            </w:r>
          </w:p>
        </w:tc>
        <w:tc>
          <w:tcPr>
            <w:tcW w:w="44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鉴湖印象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bl>
    <w:p>
      <w:pPr>
        <w:pStyle w:val="78"/>
        <w:ind w:firstLine="480"/>
        <w:rPr>
          <w:rFonts w:hint="eastAsia"/>
          <w:sz w:val="24"/>
          <w:lang w:eastAsia="zh-CN"/>
        </w:rPr>
      </w:pPr>
      <w:r>
        <w:rPr>
          <w:rFonts w:hint="eastAsia"/>
          <w:sz w:val="24"/>
          <w:lang w:eastAsia="zh-CN"/>
        </w:rPr>
        <w:t xml:space="preserve"> (2)125个区块反向补点列表:</w:t>
      </w:r>
    </w:p>
    <w:tbl>
      <w:tblPr>
        <w:tblStyle w:val="42"/>
        <w:tblW w:w="8804" w:type="dxa"/>
        <w:tblInd w:w="93" w:type="dxa"/>
        <w:tblLayout w:type="autofit"/>
        <w:tblCellMar>
          <w:top w:w="0" w:type="dxa"/>
          <w:left w:w="108" w:type="dxa"/>
          <w:bottom w:w="0" w:type="dxa"/>
          <w:right w:w="108" w:type="dxa"/>
        </w:tblCellMar>
      </w:tblPr>
      <w:tblGrid>
        <w:gridCol w:w="840"/>
        <w:gridCol w:w="1018"/>
        <w:gridCol w:w="142"/>
        <w:gridCol w:w="4394"/>
        <w:gridCol w:w="1276"/>
        <w:gridCol w:w="1134"/>
      </w:tblGrid>
      <w:tr>
        <w:tblPrEx>
          <w:tblCellMar>
            <w:top w:w="0" w:type="dxa"/>
            <w:left w:w="108" w:type="dxa"/>
            <w:bottom w:w="0" w:type="dxa"/>
            <w:right w:w="108" w:type="dxa"/>
          </w:tblCellMar>
        </w:tblPrEx>
        <w:trPr>
          <w:wBefore w:w="0" w:type="dxa"/>
          <w:wAfter w:w="0" w:type="dxa"/>
          <w:trHeight w:val="57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43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区域名称</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小区类型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智能监控数量</w:t>
            </w:r>
          </w:p>
        </w:tc>
      </w:tr>
      <w:tr>
        <w:tblPrEx>
          <w:tblCellMar>
            <w:top w:w="0" w:type="dxa"/>
            <w:left w:w="108" w:type="dxa"/>
            <w:bottom w:w="0" w:type="dxa"/>
            <w:right w:w="108" w:type="dxa"/>
          </w:tblCellMar>
        </w:tblPrEx>
        <w:trPr>
          <w:wBefore w:w="0" w:type="dxa"/>
          <w:wAfter w:w="0" w:type="dxa"/>
          <w:trHeight w:val="278" w:hRule="atLeast"/>
        </w:trPr>
        <w:tc>
          <w:tcPr>
            <w:tcW w:w="76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      数据统计</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598</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北海</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西湖新村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城南</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天镜南苑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东湖</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滋江家园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东浦</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天悦城</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斗门</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江望名苑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富盛</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新纪元公寓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皋埠</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富中府</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稽山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浪港新村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鉴湖</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春风公寓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灵芝</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润沁花园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马山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越中新天地</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孙端</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星河苑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陶堰</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新江南景园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八字桥公寓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白果小区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白马新村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北海花园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北海西村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北海苑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大达小区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大江住宅</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党校宿舍</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东方银座</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东街住商楼</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东连河小区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东双桥公寓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府山文锦苑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府山银都花园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府山银苑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翰林越府小区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机关宿舍</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锦江文华</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镜中园小区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马弄</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名都苑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汽运宿舍</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勤业小区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人民公寓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日月花园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绍钢三村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石家池小区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书圣故里别墅区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唐皇苑北区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天宇大厦</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王家台门</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望越中央花园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卫校宿舍</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萧山街小区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新世纪公寓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星源名都</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兴文公寓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永和家园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月池坊</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越府名园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越秀花苑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长桥小区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百草园公寓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百合风华</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朝晖苑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大龙市场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大明公寓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大树名园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丁香苑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东郭门新村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东南景园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东昇苑北区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东昇苑南区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渡东小区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桂园新村浙涤小区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恒远小区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洪都苑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花园新村北区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花园新村南区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环城东路2108号</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稽山桂花园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嘉禾花园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锦绣花园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镜水花园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罗东公寓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罗门北村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罗门西村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青藤苑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鲁兴公寓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若耶溪小区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绍兴第二医院</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天丰华府</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望龙公寓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西咸欢新村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金昌越府</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燕甸园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毓兰华庭东区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毓兰华庭西区</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89"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越州公寓</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枕河人家</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半封闭</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迪荡</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鞋子畈</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北海路-相家桥-西小路-胜利西路-武勋坊</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大梅园弄</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东池花园</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东大池小区-香桥公寓-海关宿舍区块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杜家弄</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府山横街-仓桥直街区块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环城西路-胜利西路-府山西路-偏门直街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建安-电力宿舍</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日晖弄</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绍钢五村</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胜利路北-府山西路-环城西路区块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试弄</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四建-公交宿舍</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唐皇苑南区-胜利东路178-轻纺城楼群区块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相家桥-西小路区块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香粉弄</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新建北路237-239区块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永昌庙弄-长桥直街-东池路-胜利东路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府山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渔化桥公寓区块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环城西路-滨河路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116</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鲁迅路-解放路-和畅堂-环城西路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117</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鲁迅路-中兴路-延安路-解放路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118</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人民路-环城东路-鲁迅路-建功路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14</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119</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人民路-建功路-鲁迅路-中兴路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120</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人民路-解放路-鲁迅西路-府山直街</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121</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人民路-中兴路-西咸欢河沿-解放路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19</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122</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人民西路356号</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123</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延安路-建功路-投醪河路-中兴路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124</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延安路-鲁迅路-建功路-中兴路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wBefore w:w="0" w:type="dxa"/>
          <w:wAfter w:w="0" w:type="dxa"/>
          <w:trHeight w:val="270"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125</w:t>
            </w:r>
          </w:p>
        </w:tc>
        <w:tc>
          <w:tcPr>
            <w:tcW w:w="10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塔山</w:t>
            </w:r>
          </w:p>
        </w:tc>
        <w:tc>
          <w:tcPr>
            <w:tcW w:w="453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延安路-中兴路-投醪河路-解放路</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开放</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r>
    </w:tbl>
    <w:p>
      <w:pPr>
        <w:pStyle w:val="78"/>
        <w:ind w:firstLine="480"/>
        <w:rPr>
          <w:rFonts w:hint="eastAsia"/>
          <w:sz w:val="24"/>
          <w:lang w:eastAsia="zh-CN"/>
        </w:rPr>
      </w:pPr>
    </w:p>
    <w:p>
      <w:pPr>
        <w:pStyle w:val="3"/>
        <w:tabs>
          <w:tab w:val="left" w:pos="360"/>
          <w:tab w:val="clear" w:pos="1145"/>
        </w:tabs>
        <w:spacing w:line="440" w:lineRule="exact"/>
        <w:ind w:left="482" w:hanging="482" w:hangingChars="200"/>
        <w:rPr>
          <w:rFonts w:ascii="Times New Roman" w:hAnsi="Times New Roman" w:eastAsia="宋体"/>
          <w:sz w:val="24"/>
          <w:szCs w:val="24"/>
        </w:rPr>
        <w:sectPr>
          <w:footerReference r:id="rId5" w:type="default"/>
          <w:footerReference r:id="rId6" w:type="even"/>
          <w:pgSz w:w="11906" w:h="16838"/>
          <w:pgMar w:top="1418" w:right="1418" w:bottom="1418" w:left="1701" w:header="851" w:footer="851" w:gutter="0"/>
          <w:cols w:space="720" w:num="1"/>
          <w:titlePg/>
          <w:docGrid w:type="lines" w:linePitch="312" w:charSpace="0"/>
        </w:sectPr>
      </w:pPr>
    </w:p>
    <w:p>
      <w:pPr>
        <w:pStyle w:val="3"/>
        <w:numPr>
          <w:ilvl w:val="0"/>
          <w:numId w:val="0"/>
        </w:numPr>
        <w:tabs>
          <w:tab w:val="clear" w:pos="1145"/>
        </w:tabs>
        <w:spacing w:line="440" w:lineRule="exact"/>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系统参数要求</w:t>
      </w:r>
      <w:bookmarkStart w:id="15" w:name="_Toc461626979"/>
    </w:p>
    <w:tbl>
      <w:tblPr>
        <w:tblStyle w:val="42"/>
        <w:tblW w:w="13820" w:type="dxa"/>
        <w:tblInd w:w="93" w:type="dxa"/>
        <w:tblLayout w:type="autofit"/>
        <w:tblCellMar>
          <w:top w:w="0" w:type="dxa"/>
          <w:left w:w="108" w:type="dxa"/>
          <w:bottom w:w="0" w:type="dxa"/>
          <w:right w:w="108" w:type="dxa"/>
        </w:tblCellMar>
      </w:tblPr>
      <w:tblGrid>
        <w:gridCol w:w="820"/>
        <w:gridCol w:w="2920"/>
        <w:gridCol w:w="2700"/>
        <w:gridCol w:w="4720"/>
        <w:gridCol w:w="1080"/>
        <w:gridCol w:w="1580"/>
      </w:tblGrid>
      <w:tr>
        <w:tblPrEx>
          <w:tblCellMar>
            <w:top w:w="0" w:type="dxa"/>
            <w:left w:w="108" w:type="dxa"/>
            <w:bottom w:w="0" w:type="dxa"/>
            <w:right w:w="108" w:type="dxa"/>
          </w:tblCellMar>
        </w:tblPrEx>
        <w:trPr>
          <w:wBefore w:w="0" w:type="dxa"/>
          <w:wAfter w:w="0" w:type="dxa"/>
          <w:trHeight w:val="60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9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设备名称</w:t>
            </w:r>
          </w:p>
        </w:tc>
        <w:tc>
          <w:tcPr>
            <w:tcW w:w="27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品牌</w:t>
            </w:r>
          </w:p>
        </w:tc>
        <w:tc>
          <w:tcPr>
            <w:tcW w:w="47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技术规格</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15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一、前端主设备部分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400万人脸抓拍网络摄像机（核心产品）</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具有400万像素 CMOS传感器</w:t>
            </w:r>
            <w:r>
              <w:rPr>
                <w:rFonts w:hint="eastAsia" w:ascii="宋体" w:hAnsi="宋体" w:cs="宋体"/>
                <w:kern w:val="0"/>
                <w:sz w:val="20"/>
                <w:szCs w:val="20"/>
              </w:rPr>
              <w:br w:type="textWrapping"/>
            </w:r>
            <w:r>
              <w:rPr>
                <w:rFonts w:hint="eastAsia" w:ascii="宋体" w:hAnsi="宋体" w:cs="宋体"/>
                <w:kern w:val="0"/>
                <w:sz w:val="20"/>
                <w:szCs w:val="20"/>
              </w:rPr>
              <w:t>具有不小于1/1.8"靶面尺寸，内置GPU芯片</w:t>
            </w:r>
            <w:r>
              <w:rPr>
                <w:rFonts w:hint="eastAsia" w:ascii="宋体" w:hAnsi="宋体" w:cs="宋体"/>
                <w:kern w:val="0"/>
                <w:sz w:val="20"/>
                <w:szCs w:val="20"/>
              </w:rPr>
              <w:br w:type="textWrapping"/>
            </w:r>
            <w:r>
              <w:rPr>
                <w:rFonts w:hint="eastAsia" w:ascii="宋体" w:hAnsi="宋体" w:cs="宋体"/>
                <w:kern w:val="0"/>
                <w:sz w:val="20"/>
                <w:szCs w:val="20"/>
              </w:rPr>
              <w:t>▲最低照度彩色不大于0.0002 lx，黑白不大于0.0001 lx（需提供具有CNAS或CMA标志的第三方检测机构出具的检测报告证明）</w:t>
            </w:r>
          </w:p>
          <w:p>
            <w:pPr>
              <w:widowControl/>
              <w:jc w:val="left"/>
              <w:rPr>
                <w:rFonts w:ascii="宋体" w:hAnsi="宋体" w:cs="宋体"/>
                <w:kern w:val="0"/>
                <w:sz w:val="20"/>
                <w:szCs w:val="20"/>
              </w:rPr>
            </w:pPr>
            <w:r>
              <w:rPr>
                <w:rFonts w:hint="eastAsia" w:ascii="宋体" w:hAnsi="宋体" w:cs="宋体"/>
                <w:kern w:val="0"/>
                <w:sz w:val="20"/>
                <w:szCs w:val="20"/>
              </w:rPr>
              <w:t>支持H.264、H.265、MJPEG视频编码格式</w:t>
            </w:r>
            <w:r>
              <w:rPr>
                <w:rFonts w:hint="eastAsia" w:ascii="宋体" w:hAnsi="宋体" w:cs="宋体"/>
                <w:kern w:val="0"/>
                <w:sz w:val="20"/>
                <w:szCs w:val="20"/>
              </w:rPr>
              <w:br w:type="textWrapping"/>
            </w:r>
            <w:r>
              <w:rPr>
                <w:rFonts w:hint="eastAsia" w:ascii="宋体" w:hAnsi="宋体" w:cs="宋体"/>
                <w:kern w:val="0"/>
                <w:sz w:val="20"/>
                <w:szCs w:val="20"/>
              </w:rPr>
              <w:t>▲内置混合补光灯，可对红外灯及白光灯功率进行调节（需提供具有CNAS或CMA标志的第三方检测机构出具的检测报告证明）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信噪比不小于58dB（需提供具有CNAS或CMA标志的第三方检测机构出具的检测报告证明）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同时支持检测不少于30个人脸，支持检测、跟踪、评分</w:t>
            </w:r>
            <w:r>
              <w:rPr>
                <w:rFonts w:hint="eastAsia" w:ascii="宋体" w:hAnsi="宋体" w:cs="宋体"/>
                <w:kern w:val="0"/>
                <w:sz w:val="20"/>
                <w:szCs w:val="20"/>
              </w:rPr>
              <w:br w:type="textWrapping"/>
            </w:r>
            <w:r>
              <w:rPr>
                <w:rFonts w:hint="eastAsia" w:ascii="宋体" w:hAnsi="宋体" w:cs="宋体"/>
                <w:kern w:val="0"/>
                <w:sz w:val="20"/>
                <w:szCs w:val="20"/>
              </w:rPr>
              <w:t>支持上传背景大图以及人脸小图</w:t>
            </w:r>
            <w:r>
              <w:rPr>
                <w:rFonts w:hint="eastAsia" w:ascii="宋体" w:hAnsi="宋体" w:cs="宋体"/>
                <w:kern w:val="0"/>
                <w:sz w:val="20"/>
                <w:szCs w:val="20"/>
              </w:rPr>
              <w:br w:type="textWrapping"/>
            </w:r>
            <w:r>
              <w:rPr>
                <w:rFonts w:hint="eastAsia" w:ascii="宋体" w:hAnsi="宋体" w:cs="宋体"/>
                <w:kern w:val="0"/>
                <w:sz w:val="20"/>
                <w:szCs w:val="20"/>
              </w:rPr>
              <w:t>具有低温低气压适应性，可在不低于-45℃和气压70kPa环境下正常工作</w:t>
            </w:r>
            <w:r>
              <w:rPr>
                <w:rFonts w:hint="eastAsia" w:ascii="宋体" w:hAnsi="宋体" w:cs="宋体"/>
                <w:kern w:val="0"/>
                <w:sz w:val="20"/>
                <w:szCs w:val="20"/>
              </w:rPr>
              <w:br w:type="textWrapping"/>
            </w:r>
            <w:r>
              <w:rPr>
                <w:rFonts w:hint="eastAsia" w:ascii="宋体" w:hAnsi="宋体" w:cs="宋体"/>
                <w:kern w:val="0"/>
                <w:sz w:val="20"/>
                <w:szCs w:val="20"/>
              </w:rPr>
              <w:t>需同时支持DC12V和POE供电，且在不小于DC12V±30%范围内变化时可以正常工作</w:t>
            </w:r>
            <w:r>
              <w:rPr>
                <w:rFonts w:hint="eastAsia" w:ascii="宋体" w:hAnsi="宋体" w:cs="宋体"/>
                <w:kern w:val="0"/>
                <w:sz w:val="20"/>
                <w:szCs w:val="20"/>
              </w:rPr>
              <w:br w:type="textWrapping"/>
            </w:r>
            <w:r>
              <w:rPr>
                <w:rFonts w:hint="eastAsia" w:ascii="宋体" w:hAnsi="宋体" w:cs="宋体"/>
                <w:kern w:val="0"/>
                <w:sz w:val="20"/>
                <w:szCs w:val="20"/>
              </w:rPr>
              <w:t>需支持本地SD卡存储，最大支持256G，并支持存储卡可使用时长显示</w:t>
            </w:r>
            <w:r>
              <w:rPr>
                <w:rFonts w:hint="eastAsia" w:ascii="宋体" w:hAnsi="宋体" w:cs="宋体"/>
                <w:kern w:val="0"/>
                <w:sz w:val="20"/>
                <w:szCs w:val="20"/>
              </w:rPr>
              <w:br w:type="textWrapping"/>
            </w:r>
            <w:r>
              <w:rPr>
                <w:rFonts w:hint="eastAsia" w:ascii="宋体" w:hAnsi="宋体" w:cs="宋体"/>
                <w:kern w:val="0"/>
                <w:sz w:val="20"/>
                <w:szCs w:val="20"/>
              </w:rPr>
              <w:t>支持透雾自动切换功能，当检测到雾的浓度达到设定的阈值时，可自动在算法透雾和光学透雾之间进行切换</w:t>
            </w:r>
            <w:r>
              <w:rPr>
                <w:rFonts w:hint="eastAsia" w:ascii="宋体" w:hAnsi="宋体" w:cs="宋体"/>
                <w:kern w:val="0"/>
                <w:sz w:val="20"/>
                <w:szCs w:val="20"/>
              </w:rPr>
              <w:br w:type="textWrapping"/>
            </w:r>
            <w:r>
              <w:rPr>
                <w:rFonts w:hint="eastAsia" w:ascii="宋体" w:hAnsi="宋体" w:cs="宋体"/>
                <w:kern w:val="0"/>
                <w:sz w:val="20"/>
                <w:szCs w:val="20"/>
              </w:rPr>
              <w:t>需支持IP67防尘防水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843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800万人脸抓拍网络摄像机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具有800万像素 CMOS传感器</w:t>
            </w:r>
          </w:p>
          <w:p>
            <w:pPr>
              <w:widowControl/>
              <w:jc w:val="left"/>
              <w:rPr>
                <w:rFonts w:hint="eastAsia" w:ascii="宋体" w:hAnsi="宋体" w:cs="宋体"/>
                <w:kern w:val="0"/>
                <w:sz w:val="20"/>
                <w:szCs w:val="20"/>
              </w:rPr>
            </w:pPr>
            <w:r>
              <w:rPr>
                <w:rFonts w:hint="eastAsia" w:ascii="宋体" w:hAnsi="宋体" w:cs="宋体"/>
                <w:kern w:val="0"/>
                <w:sz w:val="20"/>
                <w:szCs w:val="20"/>
              </w:rPr>
              <w:t>具有不小于1/1.8"靶面尺寸，内置GPU芯片</w:t>
            </w:r>
          </w:p>
          <w:p>
            <w:pPr>
              <w:widowControl/>
              <w:jc w:val="left"/>
              <w:rPr>
                <w:rFonts w:hint="eastAsia" w:ascii="宋体" w:hAnsi="宋体" w:cs="宋体"/>
                <w:kern w:val="0"/>
                <w:sz w:val="20"/>
                <w:szCs w:val="20"/>
              </w:rPr>
            </w:pPr>
            <w:r>
              <w:rPr>
                <w:rFonts w:hint="eastAsia" w:ascii="宋体" w:hAnsi="宋体" w:cs="宋体"/>
                <w:kern w:val="0"/>
                <w:sz w:val="20"/>
                <w:szCs w:val="20"/>
              </w:rPr>
              <w:t>最低照度彩色不大于0.001 lx，黑白不大于0.0001 lx，最大亮度鉴别等级（灰度等级）不小于11级</w:t>
            </w:r>
          </w:p>
          <w:p>
            <w:pPr>
              <w:widowControl/>
              <w:jc w:val="left"/>
              <w:rPr>
                <w:rFonts w:ascii="宋体" w:hAnsi="宋体" w:cs="宋体"/>
                <w:kern w:val="0"/>
                <w:sz w:val="20"/>
                <w:szCs w:val="20"/>
              </w:rPr>
            </w:pPr>
            <w:r>
              <w:rPr>
                <w:rFonts w:hint="eastAsia" w:ascii="宋体" w:hAnsi="宋体" w:cs="宋体"/>
                <w:kern w:val="0"/>
                <w:sz w:val="20"/>
                <w:szCs w:val="20"/>
              </w:rPr>
              <w:t>支持H.264、H.265、MJPEG视频编码格式</w:t>
            </w:r>
            <w:r>
              <w:rPr>
                <w:rFonts w:hint="eastAsia" w:ascii="宋体" w:hAnsi="宋体" w:cs="宋体"/>
                <w:kern w:val="0"/>
                <w:sz w:val="20"/>
                <w:szCs w:val="20"/>
              </w:rPr>
              <w:br w:type="textWrapping"/>
            </w:r>
            <w:r>
              <w:rPr>
                <w:rFonts w:hint="eastAsia" w:ascii="宋体" w:hAnsi="宋体" w:cs="宋体"/>
                <w:kern w:val="0"/>
                <w:sz w:val="20"/>
                <w:szCs w:val="20"/>
              </w:rPr>
              <w:t>内置混合补光灯，可对红外灯及白光灯功率进行调节</w:t>
            </w:r>
            <w:r>
              <w:rPr>
                <w:rFonts w:hint="eastAsia" w:ascii="宋体" w:hAnsi="宋体" w:cs="宋体"/>
                <w:kern w:val="0"/>
                <w:sz w:val="20"/>
                <w:szCs w:val="20"/>
              </w:rPr>
              <w:br w:type="textWrapping"/>
            </w:r>
            <w:r>
              <w:rPr>
                <w:rFonts w:hint="eastAsia" w:ascii="宋体" w:hAnsi="宋体" w:cs="宋体"/>
                <w:kern w:val="0"/>
                <w:sz w:val="20"/>
                <w:szCs w:val="20"/>
              </w:rPr>
              <w:t>支持同时检测不少于30张人脸，对运动人脸进行检测、跟踪、抓拍、评分、筛选，输出最优的人脸抓图</w:t>
            </w:r>
            <w:r>
              <w:rPr>
                <w:rFonts w:hint="eastAsia" w:ascii="宋体" w:hAnsi="宋体" w:cs="宋体"/>
                <w:kern w:val="0"/>
                <w:sz w:val="20"/>
                <w:szCs w:val="20"/>
              </w:rPr>
              <w:br w:type="textWrapping"/>
            </w:r>
            <w:r>
              <w:rPr>
                <w:rFonts w:hint="eastAsia" w:ascii="宋体" w:hAnsi="宋体" w:cs="宋体"/>
                <w:kern w:val="0"/>
                <w:sz w:val="20"/>
                <w:szCs w:val="20"/>
              </w:rPr>
              <w:t>支持人脸小图自定义可设置</w:t>
            </w:r>
            <w:r>
              <w:rPr>
                <w:rFonts w:hint="eastAsia" w:ascii="宋体" w:hAnsi="宋体" w:cs="宋体"/>
                <w:kern w:val="0"/>
                <w:sz w:val="20"/>
                <w:szCs w:val="20"/>
              </w:rPr>
              <w:br w:type="textWrapping"/>
            </w:r>
            <w:r>
              <w:rPr>
                <w:rFonts w:hint="eastAsia" w:ascii="宋体" w:hAnsi="宋体" w:cs="宋体"/>
                <w:kern w:val="0"/>
                <w:sz w:val="20"/>
                <w:szCs w:val="20"/>
              </w:rPr>
              <w:t>支持快速抓拍和最佳抓拍</w:t>
            </w:r>
            <w:r>
              <w:rPr>
                <w:rFonts w:hint="eastAsia" w:ascii="宋体" w:hAnsi="宋体" w:cs="宋体"/>
                <w:kern w:val="0"/>
                <w:sz w:val="20"/>
                <w:szCs w:val="20"/>
              </w:rPr>
              <w:br w:type="textWrapping"/>
            </w:r>
            <w:r>
              <w:rPr>
                <w:rFonts w:hint="eastAsia" w:ascii="宋体" w:hAnsi="宋体" w:cs="宋体"/>
                <w:kern w:val="0"/>
                <w:sz w:val="20"/>
                <w:szCs w:val="20"/>
              </w:rPr>
              <w:t>信噪比不小于58dB</w:t>
            </w:r>
            <w:r>
              <w:rPr>
                <w:rFonts w:hint="eastAsia" w:ascii="宋体" w:hAnsi="宋体" w:cs="宋体"/>
                <w:kern w:val="0"/>
                <w:sz w:val="20"/>
                <w:szCs w:val="20"/>
              </w:rPr>
              <w:br w:type="textWrapping"/>
            </w:r>
            <w:r>
              <w:rPr>
                <w:rFonts w:hint="eastAsia" w:ascii="宋体" w:hAnsi="宋体" w:cs="宋体"/>
                <w:kern w:val="0"/>
                <w:sz w:val="20"/>
                <w:szCs w:val="20"/>
              </w:rPr>
              <w:t>设备水平中心分辨力不小于2000TVL</w:t>
            </w:r>
            <w:r>
              <w:rPr>
                <w:rFonts w:hint="eastAsia" w:ascii="宋体" w:hAnsi="宋体" w:cs="宋体"/>
                <w:kern w:val="0"/>
                <w:sz w:val="20"/>
                <w:szCs w:val="20"/>
              </w:rPr>
              <w:br w:type="textWrapping"/>
            </w:r>
            <w:r>
              <w:rPr>
                <w:rFonts w:hint="eastAsia" w:ascii="宋体" w:hAnsi="宋体" w:cs="宋体"/>
                <w:kern w:val="0"/>
                <w:sz w:val="20"/>
                <w:szCs w:val="20"/>
              </w:rPr>
              <w:t>具有低温低气压适应性，可在不低于-45℃和气压70kPa环境下正常工作</w:t>
            </w:r>
            <w:r>
              <w:rPr>
                <w:rFonts w:hint="eastAsia" w:ascii="宋体" w:hAnsi="宋体" w:cs="宋体"/>
                <w:kern w:val="0"/>
                <w:sz w:val="20"/>
                <w:szCs w:val="20"/>
              </w:rPr>
              <w:br w:type="textWrapping"/>
            </w:r>
            <w:r>
              <w:rPr>
                <w:rFonts w:hint="eastAsia" w:ascii="宋体" w:hAnsi="宋体" w:cs="宋体"/>
                <w:kern w:val="0"/>
                <w:sz w:val="20"/>
                <w:szCs w:val="20"/>
              </w:rPr>
              <w:t>需支持本地SD卡存储，最大支持128G，并支持存储卡可使用时长显示</w:t>
            </w:r>
            <w:r>
              <w:rPr>
                <w:rFonts w:hint="eastAsia" w:ascii="宋体" w:hAnsi="宋体" w:cs="宋体"/>
                <w:kern w:val="0"/>
                <w:sz w:val="20"/>
                <w:szCs w:val="20"/>
              </w:rPr>
              <w:br w:type="textWrapping"/>
            </w:r>
            <w:r>
              <w:rPr>
                <w:rFonts w:hint="eastAsia" w:ascii="宋体" w:hAnsi="宋体" w:cs="宋体"/>
                <w:kern w:val="0"/>
                <w:sz w:val="20"/>
                <w:szCs w:val="20"/>
              </w:rPr>
              <w:t>支持透雾自动切换功能，当检测到雾的浓度达到设定的阈值时，可自动在算法透雾和光学透雾之间进行切换</w:t>
            </w:r>
            <w:r>
              <w:rPr>
                <w:rFonts w:hint="eastAsia" w:ascii="宋体" w:hAnsi="宋体" w:cs="宋体"/>
                <w:kern w:val="0"/>
                <w:sz w:val="20"/>
                <w:szCs w:val="20"/>
              </w:rPr>
              <w:br w:type="textWrapping"/>
            </w:r>
            <w:r>
              <w:rPr>
                <w:rFonts w:hint="eastAsia" w:ascii="宋体" w:hAnsi="宋体" w:cs="宋体"/>
                <w:kern w:val="0"/>
                <w:sz w:val="20"/>
                <w:szCs w:val="20"/>
              </w:rPr>
              <w:t>需支持IP67防尘防水</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189</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400万枪球联动摄像机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400万枪球联动摄像机</w:t>
            </w:r>
            <w:r>
              <w:rPr>
                <w:rFonts w:hint="eastAsia" w:ascii="宋体" w:hAnsi="宋体" w:cs="宋体"/>
                <w:kern w:val="0"/>
                <w:sz w:val="20"/>
                <w:szCs w:val="20"/>
              </w:rPr>
              <w:br w:type="textWrapping"/>
            </w:r>
            <w:r>
              <w:rPr>
                <w:rFonts w:hint="eastAsia" w:ascii="宋体" w:hAnsi="宋体" w:cs="宋体"/>
                <w:kern w:val="0"/>
                <w:sz w:val="20"/>
                <w:szCs w:val="20"/>
              </w:rPr>
              <w:t>摄像机镜头靶面尺寸均不小于1/1.8英寸，内置不少于2个GPU芯片</w:t>
            </w:r>
            <w:r>
              <w:rPr>
                <w:rFonts w:hint="eastAsia" w:ascii="宋体" w:hAnsi="宋体" w:cs="宋体"/>
                <w:kern w:val="0"/>
                <w:sz w:val="20"/>
                <w:szCs w:val="20"/>
              </w:rPr>
              <w:br w:type="textWrapping"/>
            </w:r>
            <w:r>
              <w:rPr>
                <w:rFonts w:hint="eastAsia" w:ascii="宋体" w:hAnsi="宋体" w:cs="宋体"/>
                <w:kern w:val="0"/>
                <w:sz w:val="20"/>
                <w:szCs w:val="20"/>
              </w:rPr>
              <w:t>两路视频输出分别支持分辨率设置为2560x1440，帧率设置为25fps，分辨力不小于1500线</w:t>
            </w:r>
            <w:r>
              <w:rPr>
                <w:rFonts w:hint="eastAsia" w:ascii="宋体" w:hAnsi="宋体" w:cs="宋体"/>
                <w:kern w:val="0"/>
                <w:sz w:val="20"/>
                <w:szCs w:val="20"/>
              </w:rPr>
              <w:br w:type="textWrapping"/>
            </w:r>
            <w:r>
              <w:rPr>
                <w:rFonts w:hint="eastAsia" w:ascii="宋体" w:hAnsi="宋体" w:cs="宋体"/>
                <w:kern w:val="0"/>
                <w:sz w:val="20"/>
                <w:szCs w:val="20"/>
              </w:rPr>
              <w:t>支持最低照度可达彩色0.0002Lux，黑白0.0001Lux</w:t>
            </w:r>
            <w:r>
              <w:rPr>
                <w:rFonts w:hint="eastAsia" w:ascii="宋体" w:hAnsi="宋体" w:cs="宋体"/>
                <w:kern w:val="0"/>
                <w:sz w:val="20"/>
                <w:szCs w:val="20"/>
              </w:rPr>
              <w:br w:type="textWrapping"/>
            </w:r>
            <w:r>
              <w:rPr>
                <w:rFonts w:hint="eastAsia" w:ascii="宋体" w:hAnsi="宋体" w:cs="宋体"/>
                <w:kern w:val="0"/>
                <w:sz w:val="20"/>
                <w:szCs w:val="20"/>
              </w:rPr>
              <w:t>支持快速聚焦功能，设备对监控区域内的移动目标进行跟踪录像，录像通过单帧回放时应能保证每帧画面清晰稳定</w:t>
            </w:r>
            <w:r>
              <w:rPr>
                <w:rFonts w:hint="eastAsia" w:ascii="宋体" w:hAnsi="宋体" w:cs="宋体"/>
                <w:kern w:val="0"/>
                <w:sz w:val="20"/>
                <w:szCs w:val="20"/>
              </w:rPr>
              <w:br w:type="textWrapping"/>
            </w:r>
            <w:r>
              <w:rPr>
                <w:rFonts w:hint="eastAsia" w:ascii="宋体" w:hAnsi="宋体" w:cs="宋体"/>
                <w:kern w:val="0"/>
                <w:sz w:val="20"/>
                <w:szCs w:val="20"/>
              </w:rPr>
              <w:t>支持检出两眼瞳距20像素点以上的人脸图片，人脸检出率不小于99%，支持单场景同时检出不少于30张人脸图片，并支持面部跟踪</w:t>
            </w:r>
            <w:r>
              <w:rPr>
                <w:rFonts w:hint="eastAsia" w:ascii="宋体" w:hAnsi="宋体" w:cs="宋体"/>
                <w:kern w:val="0"/>
                <w:sz w:val="20"/>
                <w:szCs w:val="20"/>
              </w:rPr>
              <w:br w:type="textWrapping"/>
            </w:r>
            <w:r>
              <w:rPr>
                <w:rFonts w:hint="eastAsia" w:ascii="宋体" w:hAnsi="宋体" w:cs="宋体"/>
                <w:kern w:val="0"/>
                <w:sz w:val="20"/>
                <w:szCs w:val="20"/>
              </w:rPr>
              <w:t>设备可对30米处的行人进行人脸抓拍，并可生成分辨率不小于110×120的人脸图片,图片中人脸两眼瞳距应≥40像素</w:t>
            </w:r>
            <w:r>
              <w:rPr>
                <w:rFonts w:hint="eastAsia" w:ascii="宋体" w:hAnsi="宋体" w:cs="宋体"/>
                <w:kern w:val="0"/>
                <w:sz w:val="20"/>
                <w:szCs w:val="20"/>
              </w:rPr>
              <w:br w:type="textWrapping"/>
            </w:r>
            <w:r>
              <w:rPr>
                <w:rFonts w:hint="eastAsia" w:ascii="宋体" w:hAnsi="宋体" w:cs="宋体"/>
                <w:kern w:val="0"/>
                <w:sz w:val="20"/>
                <w:szCs w:val="20"/>
              </w:rPr>
              <w:t>在距离设备30米处，人脸抓拍准确率不小于95%，人体抓拍准确率不小于95%</w:t>
            </w:r>
            <w:r>
              <w:rPr>
                <w:rFonts w:hint="eastAsia" w:ascii="宋体" w:hAnsi="宋体" w:cs="宋体"/>
                <w:kern w:val="0"/>
                <w:sz w:val="20"/>
                <w:szCs w:val="20"/>
              </w:rPr>
              <w:br w:type="textWrapping"/>
            </w:r>
            <w:r>
              <w:rPr>
                <w:rFonts w:hint="eastAsia" w:ascii="宋体" w:hAnsi="宋体" w:cs="宋体"/>
                <w:kern w:val="0"/>
                <w:sz w:val="20"/>
                <w:szCs w:val="20"/>
              </w:rPr>
              <w:t>设备支持对出现在监控场景内的人脸进行检测，并显示评分</w:t>
            </w:r>
            <w:r>
              <w:rPr>
                <w:rFonts w:hint="eastAsia" w:ascii="宋体" w:hAnsi="宋体" w:cs="宋体"/>
                <w:kern w:val="0"/>
                <w:sz w:val="20"/>
                <w:szCs w:val="20"/>
              </w:rPr>
              <w:br w:type="textWrapping"/>
            </w:r>
            <w:r>
              <w:rPr>
                <w:rFonts w:hint="eastAsia" w:ascii="宋体" w:hAnsi="宋体" w:cs="宋体"/>
                <w:kern w:val="0"/>
                <w:sz w:val="20"/>
                <w:szCs w:val="20"/>
              </w:rPr>
              <w:t>通道1检测到且框出移动目标至通道2摄像机开始转动的时间不大于0.2秒</w:t>
            </w:r>
          </w:p>
          <w:p>
            <w:pPr>
              <w:widowControl/>
              <w:jc w:val="left"/>
              <w:rPr>
                <w:rFonts w:ascii="宋体" w:hAnsi="宋体" w:cs="宋体"/>
                <w:kern w:val="0"/>
                <w:sz w:val="20"/>
                <w:szCs w:val="20"/>
              </w:rPr>
            </w:pPr>
            <w:r>
              <w:rPr>
                <w:rFonts w:hint="eastAsia" w:ascii="宋体" w:hAnsi="宋体" w:cs="宋体"/>
                <w:kern w:val="0"/>
                <w:sz w:val="20"/>
                <w:szCs w:val="20"/>
              </w:rPr>
              <w:t>设备细节画面支持快速聚焦，从聚焦开始到聚焦结束用时不超过0.01s</w:t>
            </w:r>
            <w:r>
              <w:rPr>
                <w:rFonts w:hint="eastAsia" w:ascii="宋体" w:hAnsi="宋体" w:cs="宋体"/>
                <w:kern w:val="0"/>
                <w:sz w:val="20"/>
                <w:szCs w:val="20"/>
              </w:rPr>
              <w:br w:type="textWrapping"/>
            </w:r>
            <w:r>
              <w:rPr>
                <w:rFonts w:hint="eastAsia" w:ascii="宋体" w:hAnsi="宋体" w:cs="宋体"/>
                <w:kern w:val="0"/>
                <w:sz w:val="20"/>
                <w:szCs w:val="20"/>
              </w:rPr>
              <w:t>防护等级不低于 IP66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400万人车双图像摄像机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400万人车双图像摄像机</w:t>
            </w:r>
            <w:r>
              <w:rPr>
                <w:rFonts w:hint="eastAsia" w:ascii="宋体" w:hAnsi="宋体" w:cs="宋体"/>
                <w:kern w:val="0"/>
                <w:sz w:val="20"/>
                <w:szCs w:val="20"/>
              </w:rPr>
              <w:br w:type="textWrapping"/>
            </w:r>
            <w:r>
              <w:rPr>
                <w:rFonts w:hint="eastAsia" w:ascii="宋体" w:hAnsi="宋体" w:cs="宋体"/>
                <w:kern w:val="0"/>
                <w:sz w:val="20"/>
                <w:szCs w:val="20"/>
              </w:rPr>
              <w:t>内置双镜头，图像传感器均不小于1/1.8"靶面尺寸</w:t>
            </w:r>
            <w:r>
              <w:rPr>
                <w:rFonts w:hint="eastAsia" w:ascii="宋体" w:hAnsi="宋体" w:cs="宋体"/>
                <w:kern w:val="0"/>
                <w:sz w:val="20"/>
                <w:szCs w:val="20"/>
              </w:rPr>
              <w:br w:type="textWrapping"/>
            </w:r>
            <w:r>
              <w:rPr>
                <w:rFonts w:hint="eastAsia" w:ascii="宋体" w:hAnsi="宋体" w:cs="宋体"/>
                <w:kern w:val="0"/>
                <w:sz w:val="20"/>
                <w:szCs w:val="20"/>
              </w:rPr>
              <w:t>双镜头均具有不小于400万像素 CMOS传感器，内置GPU芯片</w:t>
            </w:r>
            <w:r>
              <w:rPr>
                <w:rFonts w:hint="eastAsia" w:ascii="宋体" w:hAnsi="宋体" w:cs="宋体"/>
                <w:kern w:val="0"/>
                <w:sz w:val="20"/>
                <w:szCs w:val="20"/>
              </w:rPr>
              <w:br w:type="textWrapping"/>
            </w:r>
            <w:r>
              <w:rPr>
                <w:rFonts w:hint="eastAsia" w:ascii="宋体" w:hAnsi="宋体" w:cs="宋体"/>
                <w:kern w:val="0"/>
                <w:sz w:val="20"/>
                <w:szCs w:val="20"/>
              </w:rPr>
              <w:t>内置混合补光灯，支持混合补光、白光补光和关闭模式，可根据被摄物的距离自动调节混合灯亮度</w:t>
            </w:r>
            <w:r>
              <w:rPr>
                <w:rFonts w:hint="eastAsia" w:ascii="宋体" w:hAnsi="宋体" w:cs="宋体"/>
                <w:kern w:val="0"/>
                <w:sz w:val="20"/>
                <w:szCs w:val="20"/>
              </w:rPr>
              <w:br w:type="textWrapping"/>
            </w:r>
            <w:r>
              <w:rPr>
                <w:rFonts w:hint="eastAsia" w:ascii="宋体" w:hAnsi="宋体" w:cs="宋体"/>
                <w:kern w:val="0"/>
                <w:sz w:val="20"/>
                <w:szCs w:val="20"/>
              </w:rPr>
              <w:t>最低照度彩色不大于0.0002 lx，黑白不大于0.0001 lx</w:t>
            </w:r>
            <w:r>
              <w:rPr>
                <w:rFonts w:hint="eastAsia" w:ascii="宋体" w:hAnsi="宋体" w:cs="宋体"/>
                <w:kern w:val="0"/>
                <w:sz w:val="20"/>
                <w:szCs w:val="20"/>
              </w:rPr>
              <w:br w:type="textWrapping"/>
            </w:r>
            <w:r>
              <w:rPr>
                <w:rFonts w:hint="eastAsia" w:ascii="宋体" w:hAnsi="宋体" w:cs="宋体"/>
                <w:kern w:val="0"/>
                <w:sz w:val="20"/>
                <w:szCs w:val="20"/>
              </w:rPr>
              <w:t>信噪比不小于60dB</w:t>
            </w:r>
            <w:r>
              <w:rPr>
                <w:rFonts w:hint="eastAsia" w:ascii="宋体" w:hAnsi="宋体" w:cs="宋体"/>
                <w:kern w:val="0"/>
                <w:sz w:val="20"/>
                <w:szCs w:val="20"/>
              </w:rPr>
              <w:br w:type="textWrapping"/>
            </w:r>
            <w:r>
              <w:rPr>
                <w:rFonts w:hint="eastAsia" w:ascii="宋体" w:hAnsi="宋体" w:cs="宋体"/>
                <w:kern w:val="0"/>
                <w:sz w:val="20"/>
                <w:szCs w:val="20"/>
              </w:rPr>
              <w:t>在分辨率1920x1080 @ 25fps，延时不大于70ms</w:t>
            </w:r>
            <w:r>
              <w:rPr>
                <w:rFonts w:hint="eastAsia" w:ascii="宋体" w:hAnsi="宋体" w:cs="宋体"/>
                <w:kern w:val="0"/>
                <w:sz w:val="20"/>
                <w:szCs w:val="20"/>
              </w:rPr>
              <w:br w:type="textWrapping"/>
            </w:r>
            <w:r>
              <w:rPr>
                <w:rFonts w:hint="eastAsia" w:ascii="宋体" w:hAnsi="宋体" w:cs="宋体"/>
                <w:kern w:val="0"/>
                <w:sz w:val="20"/>
                <w:szCs w:val="20"/>
              </w:rPr>
              <w:t>在2560x1440 @ 25fps下，清晰度均不小于1400TVL</w:t>
            </w:r>
            <w:r>
              <w:rPr>
                <w:rFonts w:hint="eastAsia" w:ascii="宋体" w:hAnsi="宋体" w:cs="宋体"/>
                <w:kern w:val="0"/>
                <w:sz w:val="20"/>
                <w:szCs w:val="20"/>
              </w:rPr>
              <w:br w:type="textWrapping"/>
            </w:r>
            <w:r>
              <w:rPr>
                <w:rFonts w:hint="eastAsia" w:ascii="宋体" w:hAnsi="宋体" w:cs="宋体"/>
                <w:kern w:val="0"/>
                <w:sz w:val="20"/>
                <w:szCs w:val="20"/>
              </w:rPr>
              <w:t>支持检出两眼瞳距20像素点以上的人脸图片</w:t>
            </w:r>
            <w:r>
              <w:rPr>
                <w:rFonts w:hint="eastAsia" w:ascii="宋体" w:hAnsi="宋体" w:cs="宋体"/>
                <w:kern w:val="0"/>
                <w:sz w:val="20"/>
                <w:szCs w:val="20"/>
              </w:rPr>
              <w:br w:type="textWrapping"/>
            </w:r>
            <w:r>
              <w:rPr>
                <w:rFonts w:hint="eastAsia" w:ascii="宋体" w:hAnsi="宋体" w:cs="宋体"/>
                <w:kern w:val="0"/>
                <w:sz w:val="20"/>
                <w:szCs w:val="20"/>
              </w:rPr>
              <w:t>支持侧脸过滤功能，可过滤上下、左右角度达到预设值的人脸</w:t>
            </w:r>
            <w:r>
              <w:rPr>
                <w:rFonts w:hint="eastAsia" w:ascii="宋体" w:hAnsi="宋体" w:cs="宋体"/>
                <w:kern w:val="0"/>
                <w:sz w:val="20"/>
                <w:szCs w:val="20"/>
              </w:rPr>
              <w:br w:type="textWrapping"/>
            </w:r>
            <w:r>
              <w:rPr>
                <w:rFonts w:hint="eastAsia" w:ascii="宋体" w:hAnsi="宋体" w:cs="宋体"/>
                <w:kern w:val="0"/>
                <w:sz w:val="20"/>
                <w:szCs w:val="20"/>
              </w:rPr>
              <w:t>支持单场景同时检出不少于40张人脸图片，并支持面部跟踪</w:t>
            </w:r>
          </w:p>
          <w:p>
            <w:pPr>
              <w:widowControl/>
              <w:jc w:val="left"/>
              <w:rPr>
                <w:rFonts w:ascii="宋体" w:hAnsi="宋体" w:cs="宋体"/>
                <w:kern w:val="0"/>
                <w:sz w:val="20"/>
                <w:szCs w:val="20"/>
              </w:rPr>
            </w:pPr>
            <w:r>
              <w:rPr>
                <w:rFonts w:hint="eastAsia" w:ascii="宋体" w:hAnsi="宋体" w:cs="宋体"/>
                <w:kern w:val="0"/>
                <w:sz w:val="20"/>
                <w:szCs w:val="20"/>
              </w:rPr>
              <w:t>不低于IP66防护等级</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微卡口</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400万监控单元</w:t>
            </w:r>
            <w:r>
              <w:rPr>
                <w:rFonts w:hint="eastAsia" w:ascii="宋体" w:hAnsi="宋体" w:cs="宋体"/>
                <w:kern w:val="0"/>
                <w:sz w:val="20"/>
                <w:szCs w:val="20"/>
              </w:rPr>
              <w:br w:type="textWrapping"/>
            </w:r>
            <w:r>
              <w:rPr>
                <w:rFonts w:hint="eastAsia" w:ascii="宋体" w:hAnsi="宋体" w:cs="宋体"/>
                <w:kern w:val="0"/>
                <w:sz w:val="20"/>
                <w:szCs w:val="20"/>
              </w:rPr>
              <w:t>包含高清一体化嵌入式摄像机、高清镜头、室外防护罩、网络信号防雷器、电源适配器等</w:t>
            </w:r>
            <w:r>
              <w:rPr>
                <w:rFonts w:hint="eastAsia" w:ascii="宋体" w:hAnsi="宋体" w:cs="宋体"/>
                <w:kern w:val="0"/>
                <w:sz w:val="20"/>
                <w:szCs w:val="20"/>
              </w:rPr>
              <w:br w:type="textWrapping"/>
            </w:r>
            <w:r>
              <w:rPr>
                <w:rFonts w:hint="eastAsia" w:ascii="宋体" w:hAnsi="宋体" w:cs="宋体"/>
                <w:kern w:val="0"/>
                <w:sz w:val="20"/>
                <w:szCs w:val="20"/>
              </w:rPr>
              <w:t>传感器类型：1/1.8"CMOS</w:t>
            </w:r>
            <w:r>
              <w:rPr>
                <w:rFonts w:hint="eastAsia" w:ascii="宋体" w:hAnsi="宋体" w:cs="宋体"/>
                <w:kern w:val="0"/>
                <w:sz w:val="20"/>
                <w:szCs w:val="20"/>
              </w:rPr>
              <w:br w:type="textWrapping"/>
            </w:r>
            <w:r>
              <w:rPr>
                <w:rFonts w:hint="eastAsia" w:ascii="宋体" w:hAnsi="宋体" w:cs="宋体"/>
                <w:kern w:val="0"/>
                <w:sz w:val="20"/>
                <w:szCs w:val="20"/>
              </w:rPr>
              <w:t>单幅图像分辨率不小于2712×1536</w:t>
            </w:r>
            <w:r>
              <w:rPr>
                <w:rFonts w:hint="eastAsia" w:ascii="宋体" w:hAnsi="宋体" w:cs="宋体"/>
                <w:kern w:val="0"/>
                <w:sz w:val="20"/>
                <w:szCs w:val="20"/>
              </w:rPr>
              <w:br w:type="textWrapping"/>
            </w:r>
            <w:r>
              <w:rPr>
                <w:rFonts w:hint="eastAsia" w:ascii="宋体" w:hAnsi="宋体" w:cs="宋体"/>
                <w:kern w:val="0"/>
                <w:sz w:val="20"/>
                <w:szCs w:val="20"/>
              </w:rPr>
              <w:t>支持新能源车牌识别功能</w:t>
            </w:r>
            <w:r>
              <w:rPr>
                <w:rFonts w:hint="eastAsia" w:ascii="宋体" w:hAnsi="宋体" w:cs="宋体"/>
                <w:kern w:val="0"/>
                <w:sz w:val="20"/>
                <w:szCs w:val="20"/>
              </w:rPr>
              <w:br w:type="textWrapping"/>
            </w:r>
            <w:r>
              <w:rPr>
                <w:rFonts w:hint="eastAsia" w:ascii="宋体" w:hAnsi="宋体" w:cs="宋体"/>
                <w:kern w:val="0"/>
                <w:sz w:val="20"/>
                <w:szCs w:val="20"/>
              </w:rPr>
              <w:t>护罩玻璃透光率≥99%</w:t>
            </w:r>
            <w:r>
              <w:rPr>
                <w:rFonts w:hint="eastAsia" w:ascii="宋体" w:hAnsi="宋体" w:cs="宋体"/>
                <w:kern w:val="0"/>
                <w:sz w:val="20"/>
                <w:szCs w:val="20"/>
              </w:rPr>
              <w:br w:type="textWrapping"/>
            </w:r>
            <w:r>
              <w:rPr>
                <w:rFonts w:hint="eastAsia" w:ascii="宋体" w:hAnsi="宋体" w:cs="宋体"/>
                <w:kern w:val="0"/>
                <w:sz w:val="20"/>
                <w:szCs w:val="20"/>
              </w:rPr>
              <w:t>支持主码流同时输出不少于30路1920×1080、2Mbps的25帧/s图像以提供客户端浏览</w:t>
            </w:r>
            <w:r>
              <w:rPr>
                <w:rFonts w:hint="eastAsia" w:ascii="宋体" w:hAnsi="宋体" w:cs="宋体"/>
                <w:kern w:val="0"/>
                <w:sz w:val="20"/>
                <w:szCs w:val="20"/>
              </w:rPr>
              <w:br w:type="textWrapping"/>
            </w:r>
            <w:r>
              <w:rPr>
                <w:rFonts w:hint="eastAsia" w:ascii="宋体" w:hAnsi="宋体" w:cs="宋体"/>
                <w:kern w:val="0"/>
                <w:sz w:val="20"/>
                <w:szCs w:val="20"/>
              </w:rPr>
              <w:t>支持车辆捕获抓拍功能，在天气晴朗无雾，号牌无遮挡、无污损，白天环境光照度不低于200lx，晚上辅助光照度不高于30lx的条件下测试，白天和晚上的捕获率均≥99%</w:t>
            </w:r>
            <w:r>
              <w:rPr>
                <w:rFonts w:hint="eastAsia" w:ascii="宋体" w:hAnsi="宋体" w:cs="宋体"/>
                <w:kern w:val="0"/>
                <w:sz w:val="20"/>
                <w:szCs w:val="20"/>
              </w:rPr>
              <w:br w:type="textWrapping"/>
            </w:r>
            <w:r>
              <w:rPr>
                <w:rFonts w:hint="eastAsia" w:ascii="宋体" w:hAnsi="宋体" w:cs="宋体"/>
                <w:kern w:val="0"/>
                <w:sz w:val="20"/>
                <w:szCs w:val="20"/>
              </w:rPr>
              <w:t>支持13种车身颜色识别，包括：黑、白、灰、红、绿、蓝、黄、粉、紫、棕、青、金、橙；白天车身颜色识别准确率≥99%;晚上车身颜色识别准确率≥97%。</w:t>
            </w:r>
            <w:r>
              <w:rPr>
                <w:rFonts w:hint="eastAsia" w:ascii="宋体" w:hAnsi="宋体" w:cs="宋体"/>
                <w:kern w:val="0"/>
                <w:sz w:val="20"/>
                <w:szCs w:val="20"/>
              </w:rPr>
              <w:br w:type="textWrapping"/>
            </w:r>
            <w:r>
              <w:rPr>
                <w:rFonts w:hint="eastAsia" w:ascii="宋体" w:hAnsi="宋体" w:cs="宋体"/>
                <w:kern w:val="0"/>
                <w:sz w:val="20"/>
                <w:szCs w:val="20"/>
              </w:rPr>
              <w:t>支持低置信度过滤功能，可过滤置信度低的车牌；支持多拍过滤功能，可设置多拍过滤时间段为0-320000ms，在此时间段内多次经过的车辆只抓拍一次</w:t>
            </w:r>
            <w:r>
              <w:rPr>
                <w:rFonts w:hint="eastAsia" w:ascii="宋体" w:hAnsi="宋体" w:cs="宋体"/>
                <w:kern w:val="0"/>
                <w:sz w:val="20"/>
                <w:szCs w:val="20"/>
              </w:rPr>
              <w:br w:type="textWrapping"/>
            </w:r>
            <w:r>
              <w:rPr>
                <w:rFonts w:hint="eastAsia" w:ascii="宋体" w:hAnsi="宋体" w:cs="宋体"/>
                <w:kern w:val="0"/>
                <w:sz w:val="20"/>
                <w:szCs w:val="20"/>
              </w:rPr>
              <w:t>设备可将监控画面中指定区域设置为行人/非机动车禁行区域，当行人/非机动车禁行区域内出现行人/非机动车目标时，设备可跟踪标识、框选提示、抓拍图片、给出报警提示，并可将对同一目标的两张抓拍图片合成一张图片</w:t>
            </w:r>
            <w:r>
              <w:rPr>
                <w:rFonts w:hint="eastAsia" w:ascii="宋体" w:hAnsi="宋体" w:cs="宋体"/>
                <w:kern w:val="0"/>
                <w:sz w:val="20"/>
                <w:szCs w:val="20"/>
              </w:rPr>
              <w:br w:type="textWrapping"/>
            </w:r>
            <w:r>
              <w:rPr>
                <w:rFonts w:hint="eastAsia" w:ascii="宋体" w:hAnsi="宋体" w:cs="宋体"/>
                <w:kern w:val="0"/>
                <w:sz w:val="20"/>
                <w:szCs w:val="20"/>
              </w:rPr>
              <w:t>支持正向和背向的摩托车、非机动车未带头盔检测</w:t>
            </w:r>
            <w:r>
              <w:rPr>
                <w:rFonts w:hint="eastAsia" w:ascii="宋体" w:hAnsi="宋体" w:cs="宋体"/>
                <w:kern w:val="0"/>
                <w:sz w:val="20"/>
                <w:szCs w:val="20"/>
              </w:rPr>
              <w:br w:type="textWrapping"/>
            </w:r>
            <w:r>
              <w:rPr>
                <w:rFonts w:hint="eastAsia" w:ascii="宋体" w:hAnsi="宋体" w:cs="宋体"/>
                <w:kern w:val="0"/>
                <w:sz w:val="20"/>
                <w:szCs w:val="20"/>
              </w:rPr>
              <w:t>车辆子品牌识别功能：车头方向，可识别不低于6600种车辆子品牌；车尾方向，可识别不低于3600种车辆子品牌；白天识别准确率≥99%，晚上识别准确率≥99%。</w:t>
            </w:r>
            <w:r>
              <w:rPr>
                <w:rFonts w:hint="eastAsia" w:ascii="宋体" w:hAnsi="宋体" w:cs="宋体"/>
                <w:kern w:val="0"/>
                <w:sz w:val="20"/>
                <w:szCs w:val="20"/>
              </w:rPr>
              <w:br w:type="textWrapping"/>
            </w:r>
            <w:r>
              <w:rPr>
                <w:rFonts w:hint="eastAsia" w:ascii="宋体" w:hAnsi="宋体" w:cs="宋体"/>
                <w:kern w:val="0"/>
                <w:sz w:val="20"/>
                <w:szCs w:val="20"/>
              </w:rPr>
              <w:t>支持固定OSD叠加功能，支持在屏幕左上、左中、左下、中上、中下、右上、右中、右下位置进行叠加，位置可调；叠加字体大小不受视频主、副码流影响。</w:t>
            </w:r>
            <w:r>
              <w:rPr>
                <w:rFonts w:hint="eastAsia" w:ascii="宋体" w:hAnsi="宋体" w:cs="宋体"/>
                <w:kern w:val="0"/>
                <w:sz w:val="20"/>
                <w:szCs w:val="20"/>
              </w:rPr>
              <w:br w:type="textWrapping"/>
            </w:r>
            <w:r>
              <w:rPr>
                <w:rFonts w:hint="eastAsia" w:ascii="宋体" w:hAnsi="宋体" w:cs="宋体"/>
                <w:kern w:val="0"/>
                <w:sz w:val="20"/>
                <w:szCs w:val="20"/>
              </w:rPr>
              <w:t>支持正向/背向行驶车辆抓拍，车辆检测绿框可跟随移动；支持抓拍优选功能，优选状态下上报最优抓图</w:t>
            </w:r>
            <w:r>
              <w:rPr>
                <w:rFonts w:hint="eastAsia" w:ascii="宋体" w:hAnsi="宋体" w:cs="宋体"/>
                <w:kern w:val="0"/>
                <w:sz w:val="20"/>
                <w:szCs w:val="20"/>
              </w:rPr>
              <w:br w:type="textWrapping"/>
            </w:r>
            <w:r>
              <w:rPr>
                <w:rFonts w:hint="eastAsia" w:ascii="宋体" w:hAnsi="宋体" w:cs="宋体"/>
                <w:kern w:val="0"/>
                <w:sz w:val="20"/>
                <w:szCs w:val="20"/>
              </w:rPr>
              <w:t>支持识别背光、高速运动、雾（雨）天等场景，并能在开启状态下自动对背光及高速运动自适应调整相应的图像参数，对雾（雨）天场景可在20s内识别并调整参数</w:t>
            </w:r>
            <w:r>
              <w:rPr>
                <w:rFonts w:hint="eastAsia" w:ascii="宋体" w:hAnsi="宋体" w:cs="宋体"/>
                <w:kern w:val="0"/>
                <w:sz w:val="20"/>
                <w:szCs w:val="20"/>
              </w:rPr>
              <w:br w:type="textWrapping"/>
            </w:r>
            <w:r>
              <w:rPr>
                <w:rFonts w:hint="eastAsia" w:ascii="宋体" w:hAnsi="宋体" w:cs="宋体"/>
                <w:kern w:val="0"/>
                <w:sz w:val="20"/>
                <w:szCs w:val="20"/>
              </w:rPr>
              <w:t>设备可识别351种机动车品牌标志，白天识别准确率≥99%，夜晚识别准确率≥99%。</w:t>
            </w:r>
            <w:r>
              <w:rPr>
                <w:rFonts w:hint="eastAsia" w:ascii="宋体" w:hAnsi="宋体" w:cs="宋体"/>
                <w:kern w:val="0"/>
                <w:sz w:val="20"/>
                <w:szCs w:val="20"/>
              </w:rPr>
              <w:br w:type="textWrapping"/>
            </w:r>
            <w:r>
              <w:rPr>
                <w:rFonts w:hint="eastAsia" w:ascii="宋体" w:hAnsi="宋体" w:cs="宋体"/>
                <w:kern w:val="0"/>
                <w:sz w:val="20"/>
                <w:szCs w:val="20"/>
              </w:rPr>
              <w:t>可通过IE浏览器设置人脸抓拍模式为最佳抓拍模式/快速抓拍模式；在最佳抓拍模式时，可设置抓拍次数、抓拍帧数间隔及抓拍阈值，次数可设置为1次~10次，间隔帧数可设置为1帧~255帧，抓拍阈值可设置为0~20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400万高清监控</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400万1/1.8"CMOS 低照度筒型网络摄像机</w:t>
            </w:r>
            <w:r>
              <w:rPr>
                <w:rFonts w:hint="eastAsia" w:ascii="宋体" w:hAnsi="宋体" w:cs="宋体"/>
                <w:kern w:val="0"/>
                <w:sz w:val="20"/>
                <w:szCs w:val="20"/>
              </w:rPr>
              <w:br w:type="textWrapping"/>
            </w:r>
            <w:r>
              <w:rPr>
                <w:rFonts w:hint="eastAsia" w:ascii="宋体" w:hAnsi="宋体" w:cs="宋体"/>
                <w:kern w:val="0"/>
                <w:sz w:val="20"/>
                <w:szCs w:val="20"/>
              </w:rPr>
              <w:t>最低照度:彩色：0.0005 Lux@（F1.0，AGC ON），0 Lux with Light</w:t>
            </w:r>
            <w:r>
              <w:rPr>
                <w:rFonts w:hint="eastAsia" w:ascii="宋体" w:hAnsi="宋体" w:cs="宋体"/>
                <w:kern w:val="0"/>
                <w:sz w:val="20"/>
                <w:szCs w:val="20"/>
              </w:rPr>
              <w:br w:type="textWrapping"/>
            </w:r>
            <w:r>
              <w:rPr>
                <w:rFonts w:hint="eastAsia" w:ascii="宋体" w:hAnsi="宋体" w:cs="宋体"/>
                <w:kern w:val="0"/>
                <w:sz w:val="20"/>
                <w:szCs w:val="20"/>
              </w:rPr>
              <w:t>视频压缩标准:H.265/H.264/MJPEG</w:t>
            </w:r>
            <w:r>
              <w:rPr>
                <w:rFonts w:hint="eastAsia" w:ascii="宋体" w:hAnsi="宋体" w:cs="宋体"/>
                <w:kern w:val="0"/>
                <w:sz w:val="20"/>
                <w:szCs w:val="20"/>
              </w:rPr>
              <w:br w:type="textWrapping"/>
            </w:r>
            <w:r>
              <w:rPr>
                <w:rFonts w:hint="eastAsia" w:ascii="宋体" w:hAnsi="宋体" w:cs="宋体"/>
                <w:kern w:val="0"/>
                <w:sz w:val="20"/>
                <w:szCs w:val="20"/>
              </w:rPr>
              <w:t>最大图像尺寸:2560 × 1440</w:t>
            </w:r>
            <w:r>
              <w:rPr>
                <w:rFonts w:hint="eastAsia" w:ascii="宋体" w:hAnsi="宋体" w:cs="宋体"/>
                <w:kern w:val="0"/>
                <w:sz w:val="20"/>
                <w:szCs w:val="20"/>
              </w:rPr>
              <w:br w:type="textWrapping"/>
            </w:r>
            <w:r>
              <w:rPr>
                <w:rFonts w:hint="eastAsia" w:ascii="宋体" w:hAnsi="宋体" w:cs="宋体"/>
                <w:kern w:val="0"/>
                <w:sz w:val="20"/>
                <w:szCs w:val="20"/>
              </w:rPr>
              <w:t>存储功能支持NAS</w:t>
            </w:r>
            <w:r>
              <w:rPr>
                <w:rFonts w:hint="eastAsia" w:ascii="宋体" w:hAnsi="宋体" w:cs="宋体"/>
                <w:kern w:val="0"/>
                <w:sz w:val="20"/>
                <w:szCs w:val="20"/>
              </w:rPr>
              <w:br w:type="textWrapping"/>
            </w:r>
            <w:r>
              <w:rPr>
                <w:rFonts w:hint="eastAsia" w:ascii="宋体" w:hAnsi="宋体" w:cs="宋体"/>
                <w:kern w:val="0"/>
                <w:sz w:val="20"/>
                <w:szCs w:val="20"/>
              </w:rPr>
              <w:t>通讯接口:1个RJ45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工作温度和湿度:-30 ℃~60 ℃，湿度小于95%</w:t>
            </w:r>
            <w:r>
              <w:rPr>
                <w:rFonts w:hint="eastAsia" w:ascii="宋体" w:hAnsi="宋体" w:cs="宋体"/>
                <w:kern w:val="0"/>
                <w:sz w:val="20"/>
                <w:szCs w:val="20"/>
              </w:rPr>
              <w:br w:type="textWrapping"/>
            </w:r>
            <w:r>
              <w:rPr>
                <w:rFonts w:hint="eastAsia" w:ascii="宋体" w:hAnsi="宋体" w:cs="宋体"/>
                <w:kern w:val="0"/>
                <w:sz w:val="20"/>
                <w:szCs w:val="20"/>
              </w:rPr>
              <w:t>电源供应:DC：12 V ± 25%，支持防反接保护</w:t>
            </w:r>
            <w:r>
              <w:rPr>
                <w:rFonts w:hint="eastAsia" w:ascii="宋体" w:hAnsi="宋体" w:cs="宋体"/>
                <w:kern w:val="0"/>
                <w:sz w:val="20"/>
                <w:szCs w:val="20"/>
              </w:rPr>
              <w:br w:type="textWrapping"/>
            </w:r>
            <w:r>
              <w:rPr>
                <w:rFonts w:hint="eastAsia" w:ascii="宋体" w:hAnsi="宋体" w:cs="宋体"/>
                <w:kern w:val="0"/>
                <w:sz w:val="20"/>
                <w:szCs w:val="20"/>
              </w:rPr>
              <w:t>防护等级不低于IP67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无极灯</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普尔、莱特斯、海康威视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整灯功率：40W±15%</w:t>
            </w:r>
            <w:r>
              <w:rPr>
                <w:rFonts w:hint="eastAsia" w:ascii="宋体" w:hAnsi="宋体" w:cs="宋体"/>
                <w:kern w:val="0"/>
                <w:sz w:val="20"/>
                <w:szCs w:val="20"/>
              </w:rPr>
              <w:br w:type="textWrapping"/>
            </w:r>
            <w:r>
              <w:rPr>
                <w:rFonts w:hint="eastAsia" w:ascii="宋体" w:hAnsi="宋体" w:cs="宋体"/>
                <w:kern w:val="0"/>
                <w:sz w:val="20"/>
                <w:szCs w:val="20"/>
              </w:rPr>
              <w:t>色温：4000K±200K,</w:t>
            </w:r>
            <w:r>
              <w:rPr>
                <w:rFonts w:hint="eastAsia" w:ascii="宋体" w:hAnsi="宋体" w:cs="宋体"/>
                <w:kern w:val="0"/>
                <w:sz w:val="20"/>
                <w:szCs w:val="20"/>
              </w:rPr>
              <w:br w:type="textWrapping"/>
            </w:r>
            <w:r>
              <w:rPr>
                <w:rFonts w:hint="eastAsia" w:ascii="宋体" w:hAnsi="宋体" w:cs="宋体"/>
                <w:kern w:val="0"/>
                <w:sz w:val="20"/>
                <w:szCs w:val="20"/>
              </w:rPr>
              <w:t>显色指数：≥90</w:t>
            </w:r>
            <w:r>
              <w:rPr>
                <w:rFonts w:hint="eastAsia" w:ascii="宋体" w:hAnsi="宋体" w:cs="宋体"/>
                <w:kern w:val="0"/>
                <w:sz w:val="20"/>
                <w:szCs w:val="20"/>
              </w:rPr>
              <w:br w:type="textWrapping"/>
            </w:r>
            <w:r>
              <w:rPr>
                <w:rFonts w:hint="eastAsia" w:ascii="宋体" w:hAnsi="宋体" w:cs="宋体"/>
                <w:kern w:val="0"/>
                <w:sz w:val="20"/>
                <w:szCs w:val="20"/>
              </w:rPr>
              <w:t>发光角度：＞90度</w:t>
            </w:r>
            <w:r>
              <w:rPr>
                <w:rFonts w:hint="eastAsia" w:ascii="宋体" w:hAnsi="宋体" w:cs="宋体"/>
                <w:kern w:val="0"/>
                <w:sz w:val="20"/>
                <w:szCs w:val="20"/>
              </w:rPr>
              <w:br w:type="textWrapping"/>
            </w:r>
            <w:r>
              <w:rPr>
                <w:rFonts w:hint="eastAsia" w:ascii="宋体" w:hAnsi="宋体" w:cs="宋体"/>
                <w:kern w:val="0"/>
                <w:sz w:val="20"/>
                <w:szCs w:val="20"/>
              </w:rPr>
              <w:t>工作电压：180VAC～250VAC 50HZ</w:t>
            </w:r>
            <w:r>
              <w:rPr>
                <w:rFonts w:hint="eastAsia" w:ascii="宋体" w:hAnsi="宋体" w:cs="宋体"/>
                <w:kern w:val="0"/>
                <w:sz w:val="20"/>
                <w:szCs w:val="20"/>
              </w:rPr>
              <w:br w:type="textWrapping"/>
            </w:r>
            <w:r>
              <w:rPr>
                <w:rFonts w:hint="eastAsia" w:ascii="宋体" w:hAnsi="宋体" w:cs="宋体"/>
                <w:kern w:val="0"/>
                <w:sz w:val="20"/>
                <w:szCs w:val="20"/>
              </w:rPr>
              <w:t>日夜转换：自带光敏控制开关</w:t>
            </w:r>
            <w:r>
              <w:rPr>
                <w:rFonts w:hint="eastAsia" w:ascii="宋体" w:hAnsi="宋体" w:cs="宋体"/>
                <w:kern w:val="0"/>
                <w:sz w:val="20"/>
                <w:szCs w:val="20"/>
              </w:rPr>
              <w:br w:type="textWrapping"/>
            </w:r>
            <w:r>
              <w:rPr>
                <w:rFonts w:hint="eastAsia" w:ascii="宋体" w:hAnsi="宋体" w:cs="宋体"/>
                <w:kern w:val="0"/>
                <w:sz w:val="20"/>
                <w:szCs w:val="20"/>
              </w:rPr>
              <w:t>防护等级：IP65</w:t>
            </w:r>
            <w:r>
              <w:rPr>
                <w:rFonts w:hint="eastAsia" w:ascii="宋体" w:hAnsi="宋体" w:cs="宋体"/>
                <w:kern w:val="0"/>
                <w:sz w:val="20"/>
                <w:szCs w:val="20"/>
              </w:rPr>
              <w:br w:type="textWrapping"/>
            </w:r>
            <w:r>
              <w:rPr>
                <w:rFonts w:hint="eastAsia" w:ascii="宋体" w:hAnsi="宋体" w:cs="宋体"/>
                <w:kern w:val="0"/>
                <w:sz w:val="20"/>
                <w:szCs w:val="20"/>
              </w:rPr>
              <w:t>工作环境温度：-25℃～+50℃，1、过压、欠压、过流、欠流、浸水等故障检测，</w:t>
            </w:r>
            <w:r>
              <w:rPr>
                <w:rFonts w:hint="eastAsia" w:ascii="宋体" w:hAnsi="宋体" w:cs="宋体"/>
                <w:kern w:val="0"/>
                <w:sz w:val="20"/>
                <w:szCs w:val="20"/>
              </w:rPr>
              <w:br w:type="textWrapping"/>
            </w:r>
            <w:r>
              <w:rPr>
                <w:rFonts w:hint="eastAsia" w:ascii="宋体" w:hAnsi="宋体" w:cs="宋体"/>
                <w:kern w:val="0"/>
                <w:sz w:val="20"/>
                <w:szCs w:val="20"/>
              </w:rPr>
              <w:t>2、断电实时检测，3、预留远控接入端口。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701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二、前端辅材部分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墙装不锈钢设备箱</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防水、散热、含三插等不锈钢定制</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抱杆不锈钢设备箱</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防水、散热、含三插等不锈钢定制</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778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抱杆箱抱箍</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卡口杆、治安杆、路灯杆等杆挂箱抱</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778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普通监控跳杆</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整体热镀锌+喷塑，Ф76管，挑臂长度根据各路口实际，L=1～4米。</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标准枪机支架</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六角治安立杆</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Q235钢板六角形折边，整体热镀锌+喷塑，直杆壁厚为4mm,挑臂壁厚为3mm优质冷钢板。直杆外径Ф220～150，H=5-6米，挑臂长度根据各路口实际，L=1～6米。</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基础的挖掘和浇注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C30混凝土浇注，含基础预埋铁件</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普通圆立杆</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主杆φ76mm等径 , 厚度3mm; 副杆φ48mm等径, 厚度3mm, 镀锌管</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586</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基础的挖掘和浇注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C30混凝土浇注，含基础预埋铁件</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586</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摄像机其他配件</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镀锌</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监控铭牌制作</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按《绍兴市视频监控点位命名规范》制作</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1456</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前端辅助材料</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各类抱箍、支架、空开及各类接插件管线等</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1456</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三、前端电力及设备安装调试部分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外场监控前端市电接入费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Φ32PE管埋地敷设和手孔的设置，在横穿各类道路的敷设Φ32镀锌钢管及道路、绿化挖掘的修复及赔偿、电源接入、电力局申请电力表等。</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内场监控前端市电接入费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含管线、及电力电缆、赔偿及电源接入、电力局申请电力表等</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1383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智能监控安装调试</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含各类设备的线路布放、破路修复、埋管、安装调试等</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1456</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四、三年电费、维保、网络</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外挂无极灯前端设备电费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3年电费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内置补光灯前端设备电费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3年电费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755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智能监控三年维保</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三年维保</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1456</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视频专网</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100M视频专网、3年租费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1456</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五、智慧感知系统部分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智慧感知系统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爱赛德、华进、海康威视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移动终端采集、无线路由器信息采集、无线路由器与移动终端关联关系采集、移动终端使用不加密无线路由器上网行为、虚拟身份信息采集，采集设备POE供电</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503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前端网络、电力、施工及维护</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含三年网络费用、电费、维护、电力施工、维护及配套设备箱管线等</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503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越界系统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玖鼎、国盛、云动力</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支持有线网(互联网或者专网)、无线网进行数据回传、自动扫频重启时频点会根据扫频结果更新、Ø</w:t>
            </w:r>
            <w:r>
              <w:rPr>
                <w:rFonts w:hint="eastAsia" w:ascii="宋体" w:hAnsi="宋体" w:cs="仿宋"/>
                <w:kern w:val="0"/>
                <w:sz w:val="20"/>
                <w:szCs w:val="20"/>
              </w:rPr>
              <w:t xml:space="preserve"> </w:t>
            </w:r>
            <w:r>
              <w:rPr>
                <w:rFonts w:hint="eastAsia" w:ascii="宋体" w:hAnsi="宋体" w:cs="宋体"/>
                <w:kern w:val="0"/>
                <w:sz w:val="20"/>
                <w:szCs w:val="20"/>
              </w:rPr>
              <w:t>支持对侦码历史数据存储、导出功能、支持GPS经纬度信息实时上报功能、Ø</w:t>
            </w:r>
            <w:r>
              <w:rPr>
                <w:rFonts w:hint="eastAsia" w:ascii="宋体" w:hAnsi="宋体" w:cs="仿宋"/>
                <w:kern w:val="0"/>
                <w:sz w:val="20"/>
                <w:szCs w:val="20"/>
              </w:rPr>
              <w:t xml:space="preserve"> </w:t>
            </w:r>
            <w:r>
              <w:rPr>
                <w:rFonts w:hint="eastAsia" w:ascii="宋体" w:hAnsi="宋体" w:cs="宋体"/>
                <w:kern w:val="0"/>
                <w:sz w:val="20"/>
                <w:szCs w:val="20"/>
              </w:rPr>
              <w:t>支持工作频段、LAC自增间隔、LAC等基本参数配置</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五、信息化系统部分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200万高清摄像机（含电源）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200万1/2.8”CMOS筒型网络摄像机或日夜型半球型网络摄像机红外30米，支持H.265编码、含12V2A电源</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94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人脸抓拍机</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200万 1/1.8" CMOS筒型网络摄像机</w:t>
            </w:r>
            <w:r>
              <w:rPr>
                <w:rFonts w:hint="eastAsia" w:ascii="宋体" w:hAnsi="宋体" w:cs="宋体"/>
                <w:kern w:val="0"/>
                <w:sz w:val="20"/>
                <w:szCs w:val="20"/>
              </w:rPr>
              <w:br w:type="textWrapping"/>
            </w:r>
            <w:r>
              <w:rPr>
                <w:rFonts w:hint="eastAsia" w:ascii="宋体" w:hAnsi="宋体" w:cs="宋体"/>
                <w:kern w:val="0"/>
                <w:sz w:val="20"/>
                <w:szCs w:val="20"/>
              </w:rPr>
              <w:t>支持三种智能资源模式切换：混合目标检测-全结构化模式（默认）、混合目标检测-比对模式，人脸抓拍，混合目标检测(全结构化模式)</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32路8盘位NVR</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支持80M/160M/200M网络接入带宽</w:t>
            </w:r>
            <w:r>
              <w:rPr>
                <w:rFonts w:hint="eastAsia" w:ascii="宋体" w:hAnsi="宋体" w:cs="宋体"/>
                <w:kern w:val="0"/>
                <w:sz w:val="20"/>
                <w:szCs w:val="20"/>
              </w:rPr>
              <w:br w:type="textWrapping"/>
            </w:r>
            <w:r>
              <w:rPr>
                <w:rFonts w:hint="eastAsia" w:ascii="宋体" w:hAnsi="宋体" w:cs="宋体"/>
                <w:kern w:val="0"/>
                <w:sz w:val="20"/>
                <w:szCs w:val="20"/>
              </w:rPr>
              <w:t>支持最大500M像素接入</w:t>
            </w:r>
            <w:r>
              <w:rPr>
                <w:rFonts w:hint="eastAsia" w:ascii="宋体" w:hAnsi="宋体" w:cs="宋体"/>
                <w:kern w:val="0"/>
                <w:sz w:val="20"/>
                <w:szCs w:val="20"/>
              </w:rPr>
              <w:br w:type="textWrapping"/>
            </w:r>
            <w:r>
              <w:rPr>
                <w:rFonts w:hint="eastAsia" w:ascii="宋体" w:hAnsi="宋体" w:cs="宋体"/>
                <w:kern w:val="0"/>
                <w:sz w:val="20"/>
                <w:szCs w:val="20"/>
              </w:rPr>
              <w:t>支持HDMI/VGA高清输出</w:t>
            </w:r>
            <w:r>
              <w:rPr>
                <w:rFonts w:hint="eastAsia" w:ascii="宋体" w:hAnsi="宋体" w:cs="宋体"/>
                <w:kern w:val="0"/>
                <w:sz w:val="20"/>
                <w:szCs w:val="20"/>
              </w:rPr>
              <w:br w:type="textWrapping"/>
            </w:r>
            <w:r>
              <w:rPr>
                <w:rFonts w:hint="eastAsia" w:ascii="宋体" w:hAnsi="宋体" w:cs="宋体"/>
                <w:kern w:val="0"/>
                <w:sz w:val="20"/>
                <w:szCs w:val="20"/>
              </w:rPr>
              <w:t>支持4SATA</w:t>
            </w:r>
            <w:r>
              <w:rPr>
                <w:rFonts w:hint="eastAsia" w:ascii="宋体" w:hAnsi="宋体" w:cs="宋体"/>
                <w:kern w:val="0"/>
                <w:sz w:val="20"/>
                <w:szCs w:val="20"/>
              </w:rPr>
              <w:br w:type="textWrapping"/>
            </w:r>
            <w:r>
              <w:rPr>
                <w:rFonts w:hint="eastAsia" w:ascii="宋体" w:hAnsi="宋体" w:cs="宋体"/>
                <w:kern w:val="0"/>
                <w:sz w:val="20"/>
                <w:szCs w:val="20"/>
              </w:rPr>
              <w:t>支持2个1000M网口</w:t>
            </w:r>
            <w:r>
              <w:rPr>
                <w:rFonts w:hint="eastAsia" w:ascii="宋体" w:hAnsi="宋体" w:cs="宋体"/>
                <w:kern w:val="0"/>
                <w:sz w:val="20"/>
                <w:szCs w:val="20"/>
              </w:rPr>
              <w:br w:type="textWrapping"/>
            </w:r>
            <w:r>
              <w:rPr>
                <w:rFonts w:hint="eastAsia" w:ascii="宋体" w:hAnsi="宋体" w:cs="宋体"/>
                <w:kern w:val="0"/>
                <w:sz w:val="20"/>
                <w:szCs w:val="20"/>
              </w:rPr>
              <w:t>支持2个USB 2.0，1个USB 3.0，支持8/16/16路同步回放</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存储服务器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CPU: 2*E5-2640V4、内存：12*16GB、阵列卡:RAID430 1G卡、</w:t>
            </w:r>
            <w:r>
              <w:rPr>
                <w:rFonts w:hint="eastAsia" w:ascii="宋体" w:hAnsi="宋体" w:cs="宋体"/>
                <w:kern w:val="0"/>
                <w:sz w:val="20"/>
                <w:szCs w:val="20"/>
              </w:rPr>
              <w:br w:type="textWrapping"/>
            </w:r>
            <w:r>
              <w:rPr>
                <w:rFonts w:hint="eastAsia" w:ascii="宋体" w:hAnsi="宋体" w:cs="宋体"/>
                <w:kern w:val="0"/>
                <w:sz w:val="20"/>
                <w:szCs w:val="20"/>
              </w:rPr>
              <w:t>磁盘:2*300G SSD(RAID1),12*1.2T SAS 10k rpm (RAID1)、网卡:  &gt;=2个 1000Mbps、电源:2*460W</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网络存储设备</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机架式/8U48盘位/SATA硬盘/可接SAS扩展柜(必须下单备注)/1536Mbps接入带宽/64位多核处理器、4GB（标配，可扩展至32G）2个千兆数据网口，1个千兆管理网口/冗余电源/支持流媒体1:1:1接入存储转发/视频流、图片、SMART、视频文件混合直写/智能事件检索、精确定位、浓缩播放、内含38块8T3.5寸企业级硬盘</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小间距LED拼接控制器输入板</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网络解码板,单板解码2路800w低帧率，2路600w，2路500W，8路1080P，16路720P或32路D1</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综合安防管理系统 (DS)（含服务器）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提供系统内的组织、人员、车辆、用户、角色、认证、区域等的配置和管理。已包含：图上监控、事件联动、视频网管。</w:t>
            </w:r>
            <w:r>
              <w:rPr>
                <w:rFonts w:hint="eastAsia" w:ascii="宋体" w:hAnsi="宋体" w:cs="宋体"/>
                <w:kern w:val="0"/>
                <w:sz w:val="20"/>
                <w:szCs w:val="20"/>
              </w:rPr>
              <w:br w:type="textWrapping"/>
            </w:r>
            <w:r>
              <w:rPr>
                <w:rFonts w:hint="eastAsia" w:ascii="宋体" w:hAnsi="宋体" w:cs="宋体"/>
                <w:kern w:val="0"/>
                <w:sz w:val="20"/>
                <w:szCs w:val="20"/>
              </w:rPr>
              <w:t>服务器参数：E5-2630 V4(10核2.2GHz)×1/16GB DDR4×2/1TB SATA×2/SAS_HBA/DVD/1GbE×4/冗电/导轨/2U/Windows Server 2008 R2简体中文标准版激活码  1、电源：高效能550W铂金1+1 冗余电源；2、电源电压 200-240V/50Hz；3、机箱尺寸：87.8mm(高)×448mm(宽)×794.4mm(深)； 4、重量 最大35 千克（不含导轨）；</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24口管理交换机</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海康、大华、H3C</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L2以太网交换机主机,支持24个10/100/1000BASE-T电口,支持4个1000BASE-X SFP端口,支持AC</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笔记本</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联想、DELL、华为</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15/8g/256g/WIN10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监控电脑</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联想、DELL、华为</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GTI 视频剪辑设计制图台式电脑主机 I7-9700K 32G 2T+512G 定制 RTX2080Ti 11G 正版WIN10含34寸 2K超宽屏显示器</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操作电脑</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联想、DELL、华为</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15/8g/128g/1T含27寸弧形LED显示屏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门禁系统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5套采用7英寸LCD触摸显示屏，200万像素双目摄像头，3套指纹门禁系统、配套辅材及施工</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室内全彩显示系统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海康/大华/海佳彩亮</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面积18.7㎡、物理点间距（Pixels Pitch）4mm</w:t>
            </w:r>
            <w:r>
              <w:rPr>
                <w:rFonts w:hint="eastAsia" w:ascii="宋体" w:hAnsi="宋体" w:cs="宋体"/>
                <w:kern w:val="0"/>
                <w:sz w:val="20"/>
                <w:szCs w:val="20"/>
              </w:rPr>
              <w:br w:type="textWrapping"/>
            </w:r>
            <w:r>
              <w:rPr>
                <w:rFonts w:hint="eastAsia" w:ascii="宋体" w:hAnsi="宋体" w:cs="宋体"/>
                <w:kern w:val="0"/>
                <w:sz w:val="20"/>
                <w:szCs w:val="20"/>
              </w:rPr>
              <w:t>控制方式（Control Mode）同步控制（或异步控制）</w:t>
            </w:r>
            <w:r>
              <w:rPr>
                <w:rFonts w:hint="eastAsia" w:ascii="宋体" w:hAnsi="宋体" w:cs="宋体"/>
                <w:kern w:val="0"/>
                <w:sz w:val="20"/>
                <w:szCs w:val="20"/>
              </w:rPr>
              <w:br w:type="textWrapping"/>
            </w:r>
            <w:r>
              <w:rPr>
                <w:rFonts w:hint="eastAsia" w:ascii="宋体" w:hAnsi="宋体" w:cs="宋体"/>
                <w:kern w:val="0"/>
                <w:sz w:val="20"/>
                <w:szCs w:val="20"/>
              </w:rPr>
              <w:t>并配套视频处理器及辅助材料</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无线AP系统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海康/大华/H3C</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6套运行商级300M室内吸顶无线AP、并配套4端口千兆POE供电无线AC控制器、无线授权、辅材及施工</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4K广告发布机系统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海康/大华/楚色</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信息发布终端，4K视频输出，无线有线多种联系方式，含信息发布系统、辅材及施工</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UPS系统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科士达、科华</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2套高频在线式、20KW,UPS主机、64节电池配套电池柜及辅材施工</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应急配套辅材及施工</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含临时设备安装调试、拆除搬运等车辆及人工</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智能化辅助材料</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含六类线、超五类线、配线架、理线架、条线、管线、线槽、模块等、智能化所需其他相关材料</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智能化系统集成费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含三年质保</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七、运营商城域网-后端</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小区汇聚平台服务器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小区汇聚平台软件</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平台软件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数据库服务器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小区汇聚平台组件服务器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数据对接服务器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云存储软件</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云存储存储节点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机架式36盘位</w:t>
            </w:r>
            <w:r>
              <w:rPr>
                <w:rFonts w:hint="eastAsia" w:ascii="宋体" w:hAnsi="宋体" w:cs="宋体"/>
                <w:kern w:val="0"/>
                <w:sz w:val="20"/>
                <w:szCs w:val="20"/>
              </w:rPr>
              <w:br w:type="textWrapping"/>
            </w:r>
            <w:r>
              <w:rPr>
                <w:rFonts w:hint="eastAsia" w:ascii="宋体" w:hAnsi="宋体" w:cs="宋体"/>
                <w:kern w:val="0"/>
                <w:sz w:val="20"/>
                <w:szCs w:val="20"/>
              </w:rPr>
              <w:t>64位多核处理器</w:t>
            </w:r>
            <w:r>
              <w:rPr>
                <w:rFonts w:hint="eastAsia" w:ascii="宋体" w:hAnsi="宋体" w:cs="宋体"/>
                <w:kern w:val="0"/>
                <w:sz w:val="20"/>
                <w:szCs w:val="20"/>
              </w:rPr>
              <w:br w:type="textWrapping"/>
            </w:r>
            <w:r>
              <w:rPr>
                <w:rFonts w:hint="eastAsia" w:ascii="宋体" w:hAnsi="宋体" w:cs="宋体"/>
                <w:kern w:val="0"/>
                <w:sz w:val="20"/>
                <w:szCs w:val="20"/>
              </w:rPr>
              <w:t>16GB缓存及以上</w:t>
            </w:r>
            <w:r>
              <w:rPr>
                <w:rFonts w:hint="eastAsia" w:ascii="宋体" w:hAnsi="宋体" w:cs="宋体"/>
                <w:kern w:val="0"/>
                <w:sz w:val="20"/>
                <w:szCs w:val="20"/>
              </w:rPr>
              <w:br w:type="textWrapping"/>
            </w:r>
            <w:r>
              <w:rPr>
                <w:rFonts w:hint="eastAsia" w:ascii="宋体" w:hAnsi="宋体" w:cs="宋体"/>
                <w:kern w:val="0"/>
                <w:sz w:val="20"/>
                <w:szCs w:val="20"/>
              </w:rPr>
              <w:t>36块8T企业级SATA磁盘</w:t>
            </w:r>
            <w:r>
              <w:rPr>
                <w:rFonts w:hint="eastAsia" w:ascii="宋体" w:hAnsi="宋体" w:cs="宋体"/>
                <w:kern w:val="0"/>
                <w:sz w:val="20"/>
                <w:szCs w:val="20"/>
              </w:rPr>
              <w:br w:type="textWrapping"/>
            </w:r>
            <w:r>
              <w:rPr>
                <w:rFonts w:hint="eastAsia" w:ascii="宋体" w:hAnsi="宋体" w:cs="宋体"/>
                <w:kern w:val="0"/>
                <w:sz w:val="20"/>
                <w:szCs w:val="20"/>
              </w:rPr>
              <w:t>2个或以上千兆网口；支持网络RAID</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硬盘录像机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4U标准机架式IP存储/X86架构/嵌入式软硬件设计/全插拔模块化无线缆设计/128路H.265、H.264混合接入/512M接入/512M存储/512M转发/24盘位/1个eSATA/Raid/2个HDMI、1个VGA，HDMI双4K异源输出/20路1080P或5路4K H.265、H.264混合解码/报警16进8出/4个千兆网口/1个USB2.0，2个USB3.0/Smart 2.0/整机热备/VQD视频质量诊断/SMD（普通IPC区域入侵、越界侦测检测）</w:t>
            </w:r>
            <w:r>
              <w:rPr>
                <w:rFonts w:hint="eastAsia" w:ascii="宋体" w:hAnsi="宋体" w:cs="宋体"/>
                <w:kern w:val="0"/>
                <w:sz w:val="20"/>
                <w:szCs w:val="20"/>
              </w:rPr>
              <w:br w:type="textWrapping"/>
            </w:r>
            <w:r>
              <w:rPr>
                <w:rFonts w:hint="eastAsia" w:ascii="宋体" w:hAnsi="宋体" w:cs="宋体"/>
                <w:kern w:val="0"/>
                <w:sz w:val="20"/>
                <w:szCs w:val="20"/>
              </w:rPr>
              <w:t>选配扩展板可增加的接口：报警32进16出/4个千兆光口/8个RS-485串行接口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硬盘</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希捷、西数、海康威视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 HDD,8TB,7200RPM, 256MB, SATA 6Gb/s</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4114×2/256GB DDR4/240G SSD×2+480G SSD×6+4T 7.2K SATA×2/SAS_HBA×2/10GbE×2/1GbE×2/550W(1+1)/2U/16DIMM</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大数据存储及应用分析节点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全对称分布式架构，最大节点扩展≥2048，最大集群数量≥16；配置CPU≥4210(2.2GHz/10核/)*2，配置内存≥256G DDR4-2666，内存最高≥1.5TB，内存插槽最大插槽数≥24，支持内存智能巡检；硬盘配置≥480G SSD*2、1.92T SSD*1、8T 7.2K SATA*35，配置万兆光口≥6（含6个万兆多模模块）；支持块、文件、对象与大数据等存储类型；支持iSCSI，NFS, CIFS，FTP，HTTP，HDFS，S3，Swift等存储协议；数据冗余2-6个副本，N+1到N+4纠删码；每TB数据重构时间＜30分钟；支持精简配置、厚配置、链路聚合、数据自动均衡、智能负载均衡、性能Qos、数据重构QoS、故障域、保护域、快照、SSD缓存加速、卷拷贝、克隆、远程异步复制、自动分层、一致性校验、安全认证、数据加密、主机漏洞扫描、AI预测；兼容POSIX标准接口，Windows、Linux、UNIX、Mac OS、Vmware ESXi等操作系统，KVM、vSphere、Xen、Hyper-V等虚拟化平台，兼容Oracle、SQL Server、MySQL等数据库，兼容OpenStack平台；支持WORM、多版本管理、远程异步复制、分段上传、配额、ACL权限控制、Policy策略、自定义标签、对象加密、对象追加修改、多租户、跨域访问、生命周期管理；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华三、华为、中兴</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最大支持交换容量≥86Tbps；最大支持整机包转发能力≥24000Mpps</w:t>
            </w:r>
            <w:r>
              <w:rPr>
                <w:rFonts w:hint="eastAsia" w:ascii="宋体" w:hAnsi="宋体" w:cs="宋体"/>
                <w:kern w:val="0"/>
                <w:sz w:val="20"/>
                <w:szCs w:val="20"/>
              </w:rPr>
              <w:br w:type="textWrapping"/>
            </w:r>
            <w:r>
              <w:rPr>
                <w:rFonts w:hint="eastAsia" w:ascii="宋体" w:hAnsi="宋体" w:cs="宋体"/>
                <w:kern w:val="0"/>
                <w:sz w:val="20"/>
                <w:szCs w:val="20"/>
              </w:rPr>
              <w:t>业务插槽位数量≥6，主控槽位≥2；支持冗余电源模块≥2；支持主控板1+1冗余；</w:t>
            </w:r>
            <w:r>
              <w:rPr>
                <w:rFonts w:hint="eastAsia" w:ascii="宋体" w:hAnsi="宋体" w:cs="宋体"/>
                <w:kern w:val="0"/>
                <w:sz w:val="20"/>
                <w:szCs w:val="20"/>
              </w:rPr>
              <w:br w:type="textWrapping"/>
            </w:r>
            <w:r>
              <w:rPr>
                <w:rFonts w:hint="eastAsia" w:ascii="宋体" w:hAnsi="宋体" w:cs="宋体"/>
                <w:kern w:val="0"/>
                <w:sz w:val="20"/>
                <w:szCs w:val="20"/>
              </w:rPr>
              <w:t>提高槽位利用率和业务可靠性，单槽位能够同时提供千兆光口、千兆电口、万兆光口，且实际可用端口总数≥48提供商用板卡的官网链接截图证明</w:t>
            </w:r>
            <w:r>
              <w:rPr>
                <w:rFonts w:hint="eastAsia" w:ascii="宋体" w:hAnsi="宋体" w:cs="宋体"/>
                <w:kern w:val="0"/>
                <w:sz w:val="20"/>
                <w:szCs w:val="20"/>
              </w:rPr>
              <w:br w:type="textWrapping"/>
            </w:r>
            <w:r>
              <w:rPr>
                <w:rFonts w:hint="eastAsia" w:ascii="宋体" w:hAnsi="宋体" w:cs="宋体"/>
                <w:kern w:val="0"/>
                <w:sz w:val="20"/>
                <w:szCs w:val="20"/>
              </w:rPr>
              <w:t>支持多业务融合板卡，能够和设备紧耦和无需外部连线，支持内联端口备份提升可靠性</w:t>
            </w:r>
          </w:p>
          <w:p>
            <w:pPr>
              <w:widowControl/>
              <w:jc w:val="left"/>
              <w:rPr>
                <w:rFonts w:hint="eastAsia" w:ascii="宋体" w:hAnsi="宋体" w:cs="宋体"/>
                <w:kern w:val="0"/>
                <w:sz w:val="20"/>
                <w:szCs w:val="20"/>
              </w:rPr>
            </w:pPr>
            <w:r>
              <w:rPr>
                <w:rFonts w:hint="eastAsia" w:ascii="宋体" w:hAnsi="宋体" w:cs="宋体"/>
                <w:kern w:val="0"/>
                <w:sz w:val="20"/>
                <w:szCs w:val="20"/>
              </w:rPr>
              <w:t>▲支持内置图形管理化功能，能够实现通过图形化界面设备配置及命令一键下发和版本智能升级，提供第三方权威测试报告作为证明</w:t>
            </w:r>
            <w:r>
              <w:rPr>
                <w:rFonts w:hint="eastAsia" w:ascii="宋体" w:hAnsi="宋体" w:cs="宋体"/>
                <w:kern w:val="0"/>
                <w:sz w:val="20"/>
                <w:szCs w:val="20"/>
              </w:rPr>
              <w:br w:type="textWrapping"/>
            </w:r>
            <w:r>
              <w:rPr>
                <w:rFonts w:hint="eastAsia" w:ascii="宋体" w:hAnsi="宋体" w:cs="宋体"/>
                <w:kern w:val="0"/>
                <w:sz w:val="20"/>
                <w:szCs w:val="20"/>
              </w:rPr>
              <w:t>每端口支持8个优先级队列，3个丢弃优先级，支持SP、WRR、SP+WRR三种队列调度算法</w:t>
            </w:r>
            <w:r>
              <w:rPr>
                <w:rFonts w:hint="eastAsia" w:ascii="宋体" w:hAnsi="宋体" w:cs="宋体"/>
                <w:kern w:val="0"/>
                <w:sz w:val="20"/>
                <w:szCs w:val="20"/>
              </w:rPr>
              <w:br w:type="textWrapping"/>
            </w:r>
            <w:r>
              <w:rPr>
                <w:rFonts w:hint="eastAsia" w:ascii="宋体" w:hAnsi="宋体" w:cs="宋体"/>
                <w:kern w:val="0"/>
                <w:sz w:val="20"/>
                <w:szCs w:val="20"/>
              </w:rPr>
              <w:t>支持精细化的流量监管，粒度可达8K；支持流量整形Shapping；支持WRED拥塞避免；支持802.1p、TOS、DSCP、EXP优先级映射</w:t>
            </w:r>
            <w:r>
              <w:rPr>
                <w:rFonts w:hint="eastAsia" w:ascii="宋体" w:hAnsi="宋体" w:cs="宋体"/>
                <w:kern w:val="0"/>
                <w:sz w:val="20"/>
                <w:szCs w:val="20"/>
              </w:rPr>
              <w:br w:type="textWrapping"/>
            </w:r>
            <w:r>
              <w:rPr>
                <w:rFonts w:hint="eastAsia" w:ascii="宋体" w:hAnsi="宋体" w:cs="宋体"/>
                <w:kern w:val="0"/>
                <w:sz w:val="20"/>
                <w:szCs w:val="20"/>
              </w:rPr>
              <w:t>支持双向ACL，ACL≥4K；支持端口ACL；支持VLAN ACL</w:t>
            </w:r>
            <w:r>
              <w:rPr>
                <w:rFonts w:hint="eastAsia" w:ascii="宋体" w:hAnsi="宋体" w:cs="宋体"/>
                <w:kern w:val="0"/>
                <w:sz w:val="20"/>
                <w:szCs w:val="20"/>
              </w:rPr>
              <w:br w:type="textWrapping"/>
            </w:r>
            <w:r>
              <w:rPr>
                <w:rFonts w:hint="eastAsia" w:ascii="宋体" w:hAnsi="宋体" w:cs="宋体"/>
                <w:kern w:val="0"/>
                <w:sz w:val="20"/>
                <w:szCs w:val="20"/>
              </w:rPr>
              <w:t>支持FLOGI/PLOGI和DCBX功能，提供工信部权威第三方测试报告</w:t>
            </w:r>
            <w:r>
              <w:rPr>
                <w:rFonts w:hint="eastAsia" w:ascii="宋体" w:hAnsi="宋体" w:cs="宋体"/>
                <w:kern w:val="0"/>
                <w:sz w:val="20"/>
                <w:szCs w:val="20"/>
              </w:rPr>
              <w:br w:type="textWrapping"/>
            </w:r>
            <w:r>
              <w:rPr>
                <w:rFonts w:hint="eastAsia" w:ascii="宋体" w:hAnsi="宋体" w:cs="宋体"/>
                <w:kern w:val="0"/>
                <w:sz w:val="20"/>
                <w:szCs w:val="20"/>
              </w:rPr>
              <w:t>支持支持有线无线虚拟化一体管理</w:t>
            </w:r>
          </w:p>
          <w:p>
            <w:pPr>
              <w:widowControl/>
              <w:jc w:val="left"/>
              <w:rPr>
                <w:rFonts w:ascii="宋体" w:hAnsi="宋体" w:cs="宋体"/>
                <w:kern w:val="0"/>
                <w:sz w:val="20"/>
                <w:szCs w:val="20"/>
              </w:rPr>
            </w:pPr>
            <w:r>
              <w:rPr>
                <w:rFonts w:hint="eastAsia" w:ascii="宋体" w:hAnsi="宋体" w:cs="宋体"/>
                <w:kern w:val="0"/>
                <w:sz w:val="20"/>
                <w:szCs w:val="20"/>
              </w:rPr>
              <w:t>支持普通模式和Openflow 模式切换；支持多控制器（EQUAL模式、主备模式）；支持多表流水线；支持Group table；支持Meter</w:t>
            </w:r>
            <w:r>
              <w:rPr>
                <w:rFonts w:hint="eastAsia" w:ascii="宋体" w:hAnsi="宋体" w:cs="宋体"/>
                <w:kern w:val="0"/>
                <w:sz w:val="20"/>
                <w:szCs w:val="20"/>
              </w:rPr>
              <w:br w:type="textWrapping"/>
            </w:r>
            <w:r>
              <w:rPr>
                <w:rFonts w:hint="eastAsia" w:ascii="宋体" w:hAnsi="宋体" w:cs="宋体"/>
                <w:kern w:val="0"/>
                <w:sz w:val="20"/>
                <w:szCs w:val="20"/>
              </w:rPr>
              <w:t>支持基于1588V2和802.1AS的PTP功能，提供第三方权威测试报告</w:t>
            </w:r>
            <w:r>
              <w:rPr>
                <w:rFonts w:hint="eastAsia" w:ascii="宋体" w:hAnsi="宋体" w:cs="宋体"/>
                <w:kern w:val="0"/>
                <w:sz w:val="20"/>
                <w:szCs w:val="20"/>
              </w:rPr>
              <w:br w:type="textWrapping"/>
            </w:r>
            <w:r>
              <w:rPr>
                <w:rFonts w:hint="eastAsia" w:ascii="宋体" w:hAnsi="宋体" w:cs="宋体"/>
                <w:kern w:val="0"/>
                <w:sz w:val="20"/>
                <w:szCs w:val="20"/>
              </w:rPr>
              <w:t>支持BFD，BFD for VRRP/BGP/IS-IS/OSPF/RSVP/LDP/RIP/静态路由</w:t>
            </w:r>
            <w:r>
              <w:rPr>
                <w:rFonts w:hint="eastAsia" w:ascii="宋体" w:hAnsi="宋体" w:cs="宋体"/>
                <w:kern w:val="0"/>
                <w:sz w:val="20"/>
                <w:szCs w:val="20"/>
              </w:rPr>
              <w:br w:type="textWrapping"/>
            </w:r>
            <w:r>
              <w:rPr>
                <w:rFonts w:hint="eastAsia" w:ascii="宋体" w:hAnsi="宋体" w:cs="宋体"/>
                <w:kern w:val="0"/>
                <w:sz w:val="20"/>
                <w:szCs w:val="20"/>
              </w:rPr>
              <w:t>为提高网络可靠性并简化运维成本，要求投标设备支持真实业务流的实时检测技术，秒级快速故障定位</w:t>
            </w:r>
            <w:r>
              <w:rPr>
                <w:rFonts w:hint="eastAsia" w:ascii="宋体" w:hAnsi="宋体" w:cs="宋体"/>
                <w:kern w:val="0"/>
                <w:sz w:val="20"/>
                <w:szCs w:val="20"/>
              </w:rPr>
              <w:br w:type="textWrapping"/>
            </w:r>
            <w:r>
              <w:rPr>
                <w:rFonts w:hint="eastAsia" w:ascii="宋体" w:hAnsi="宋体" w:cs="宋体"/>
                <w:kern w:val="0"/>
                <w:sz w:val="20"/>
                <w:szCs w:val="20"/>
              </w:rPr>
              <w:t>支持双引擎快速倒换，实现50ms的引擎故障主备切换时间，支持热补丁功能，可在线进行补丁升级</w:t>
            </w:r>
            <w:r>
              <w:rPr>
                <w:rFonts w:hint="eastAsia" w:ascii="宋体" w:hAnsi="宋体" w:cs="宋体"/>
                <w:kern w:val="0"/>
                <w:sz w:val="20"/>
                <w:szCs w:val="20"/>
              </w:rPr>
              <w:br w:type="textWrapping"/>
            </w:r>
            <w:r>
              <w:rPr>
                <w:rFonts w:hint="eastAsia" w:ascii="宋体" w:hAnsi="宋体" w:cs="宋体"/>
                <w:kern w:val="0"/>
                <w:sz w:val="20"/>
                <w:szCs w:val="20"/>
              </w:rPr>
              <w:t>▲为了便于以后的业务扩展，核心设备支持独立式的应用控制业务板卡、负载均衡业务板卡、入侵防御业务板卡、无线控制器业务板卡等（非复合板）；提供官网配置截图，并提供详细板卡截图和链接同时加盖原厂盖章。</w:t>
            </w:r>
            <w:r>
              <w:rPr>
                <w:rFonts w:hint="eastAsia" w:ascii="宋体" w:hAnsi="宋体" w:cs="宋体"/>
                <w:kern w:val="0"/>
                <w:sz w:val="20"/>
                <w:szCs w:val="20"/>
              </w:rPr>
              <w:br w:type="textWrapping"/>
            </w:r>
            <w:r>
              <w:rPr>
                <w:rFonts w:hint="eastAsia" w:ascii="宋体" w:hAnsi="宋体" w:cs="宋体"/>
                <w:kern w:val="0"/>
                <w:sz w:val="20"/>
                <w:szCs w:val="20"/>
              </w:rPr>
              <w:t>支持RPR功能，收敛时间≤50ms</w:t>
            </w:r>
            <w:r>
              <w:rPr>
                <w:rFonts w:hint="eastAsia" w:ascii="宋体" w:hAnsi="宋体" w:cs="宋体"/>
                <w:kern w:val="0"/>
                <w:sz w:val="20"/>
                <w:szCs w:val="20"/>
              </w:rPr>
              <w:br w:type="textWrapping"/>
            </w:r>
            <w:r>
              <w:rPr>
                <w:rFonts w:hint="eastAsia" w:ascii="宋体" w:hAnsi="宋体" w:cs="宋体"/>
                <w:kern w:val="0"/>
                <w:sz w:val="20"/>
                <w:szCs w:val="20"/>
              </w:rPr>
              <w:t>实际配置：48千兆电口、16千兆光口，16万兆光口，万兆虚拟化线缆2根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华三、华为、中兴</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24个千兆电接口和4万兆SFP+光接口</w:t>
            </w:r>
            <w:r>
              <w:rPr>
                <w:rFonts w:hint="eastAsia" w:ascii="宋体" w:hAnsi="宋体" w:cs="宋体"/>
                <w:kern w:val="0"/>
                <w:sz w:val="20"/>
                <w:szCs w:val="20"/>
              </w:rPr>
              <w:br w:type="textWrapping"/>
            </w:r>
            <w:r>
              <w:rPr>
                <w:rFonts w:hint="eastAsia" w:ascii="宋体" w:hAnsi="宋体" w:cs="宋体"/>
                <w:kern w:val="0"/>
                <w:sz w:val="20"/>
                <w:szCs w:val="20"/>
              </w:rPr>
              <w:t>交换容量≥3.36Tbps，转发性能≥126Mpps；</w:t>
            </w:r>
            <w:r>
              <w:rPr>
                <w:rFonts w:hint="eastAsia" w:ascii="宋体" w:hAnsi="宋体" w:cs="宋体"/>
                <w:kern w:val="0"/>
                <w:sz w:val="20"/>
                <w:szCs w:val="20"/>
              </w:rPr>
              <w:br w:type="textWrapping"/>
            </w:r>
            <w:r>
              <w:rPr>
                <w:rFonts w:hint="eastAsia" w:ascii="宋体" w:hAnsi="宋体" w:cs="宋体"/>
                <w:kern w:val="0"/>
                <w:sz w:val="20"/>
                <w:szCs w:val="20"/>
              </w:rPr>
              <w:t>支持Openflow 1.3标准</w:t>
            </w:r>
            <w:r>
              <w:rPr>
                <w:rFonts w:hint="eastAsia" w:ascii="宋体" w:hAnsi="宋体" w:cs="宋体"/>
                <w:kern w:val="0"/>
                <w:sz w:val="20"/>
                <w:szCs w:val="20"/>
              </w:rPr>
              <w:br w:type="textWrapping"/>
            </w:r>
            <w:r>
              <w:rPr>
                <w:rFonts w:hint="eastAsia" w:ascii="宋体" w:hAnsi="宋体" w:cs="宋体"/>
                <w:kern w:val="0"/>
                <w:sz w:val="20"/>
                <w:szCs w:val="20"/>
              </w:rPr>
              <w:t>支持静态路由、RIP、RIPng、OSPF;</w:t>
            </w:r>
            <w:r>
              <w:rPr>
                <w:rFonts w:hint="eastAsia" w:ascii="宋体" w:hAnsi="宋体" w:cs="宋体"/>
                <w:kern w:val="0"/>
                <w:sz w:val="20"/>
                <w:szCs w:val="20"/>
              </w:rPr>
              <w:br w:type="textWrapping"/>
            </w:r>
            <w:r>
              <w:rPr>
                <w:rFonts w:hint="eastAsia" w:ascii="宋体" w:hAnsi="宋体" w:cs="宋体"/>
                <w:kern w:val="0"/>
                <w:sz w:val="20"/>
                <w:szCs w:val="20"/>
              </w:rPr>
              <w:t>支持最大9台设备虚拟化成一台逻辑设备；支持完善的堆叠分裂检测机制，堆叠分裂后能自动完成MAC和IP地址的重配置，无需手动干预</w:t>
            </w:r>
            <w:r>
              <w:rPr>
                <w:rFonts w:hint="eastAsia" w:ascii="宋体" w:hAnsi="宋体" w:cs="宋体"/>
                <w:kern w:val="0"/>
                <w:sz w:val="20"/>
                <w:szCs w:val="20"/>
              </w:rPr>
              <w:br w:type="textWrapping"/>
            </w:r>
            <w:r>
              <w:rPr>
                <w:rFonts w:hint="eastAsia" w:ascii="宋体" w:hAnsi="宋体" w:cs="宋体"/>
                <w:kern w:val="0"/>
                <w:sz w:val="20"/>
                <w:szCs w:val="20"/>
              </w:rPr>
              <w:t>支持本地端口镜像和远程端口镜像RSPAN；支持流镜像，同时支持N：M的端口镜像（M大于1）</w:t>
            </w:r>
            <w:r>
              <w:rPr>
                <w:rFonts w:hint="eastAsia" w:ascii="宋体" w:hAnsi="宋体" w:cs="宋体"/>
                <w:kern w:val="0"/>
                <w:sz w:val="20"/>
                <w:szCs w:val="20"/>
              </w:rPr>
              <w:br w:type="textWrapping"/>
            </w:r>
            <w:r>
              <w:rPr>
                <w:rFonts w:hint="eastAsia" w:ascii="宋体" w:hAnsi="宋体" w:cs="宋体"/>
                <w:kern w:val="0"/>
                <w:sz w:val="20"/>
                <w:szCs w:val="20"/>
              </w:rPr>
              <w:t>支持内置防雷技术，提供≥10KV业务端口防雷能力。</w:t>
            </w:r>
            <w:r>
              <w:rPr>
                <w:rFonts w:hint="eastAsia" w:ascii="宋体" w:hAnsi="宋体" w:cs="宋体"/>
                <w:kern w:val="0"/>
                <w:sz w:val="20"/>
                <w:szCs w:val="20"/>
              </w:rPr>
              <w:br w:type="textWrapping"/>
            </w:r>
            <w:r>
              <w:rPr>
                <w:rFonts w:hint="eastAsia" w:ascii="宋体" w:hAnsi="宋体" w:cs="宋体"/>
                <w:kern w:val="0"/>
                <w:sz w:val="20"/>
                <w:szCs w:val="20"/>
              </w:rPr>
              <w:t>支持纵向虚拟化</w:t>
            </w:r>
            <w:r>
              <w:rPr>
                <w:rFonts w:hint="eastAsia" w:ascii="宋体" w:hAnsi="宋体" w:cs="宋体"/>
                <w:kern w:val="0"/>
                <w:sz w:val="20"/>
                <w:szCs w:val="20"/>
              </w:rPr>
              <w:br w:type="textWrapping"/>
            </w:r>
            <w:r>
              <w:rPr>
                <w:rFonts w:hint="eastAsia" w:ascii="宋体" w:hAnsi="宋体" w:cs="宋体"/>
                <w:kern w:val="0"/>
                <w:sz w:val="20"/>
                <w:szCs w:val="20"/>
              </w:rPr>
              <w:t>采用节能芯片架构设计方案，实现低功耗，降低用户维护成本，采用多种绿色节能设计，端口自动节能，如果在一段时间内接口状态始终为down，则系统自动停止对该接口供电，自动进入节能模式；符合IEEE 802.3az（EEE）节能标准；端口定时down功能（Schedule job）；支持端口休眠，关闭没有应用的端口，节省能源；。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操作电脑(台式)</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惠普、联想、戴尔</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CPU:i5  内存:8G 硬盘：1TB+256G SSD 显卡：2G独显</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操作电脑(笔记本)</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惠普、联想、戴尔</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CPU:i5  内存:8G 硬盘：512G SSD 显卡：4G独显 网口：带10/100/1000M有线网口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机房租费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机柜租赁及电力配套3年</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只/3年</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机房辅材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机房系统集成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八、视频专网-后端</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小区汇聚平台组件服务器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小区汇聚平台软件扩容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平台软件扩容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数据对接服务器</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云存储管理节点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2U机架式服务器</w:t>
            </w:r>
            <w:r>
              <w:rPr>
                <w:rFonts w:hint="eastAsia" w:ascii="宋体" w:hAnsi="宋体" w:cs="宋体"/>
                <w:kern w:val="0"/>
                <w:sz w:val="20"/>
                <w:szCs w:val="20"/>
              </w:rPr>
              <w:br w:type="textWrapping"/>
            </w:r>
            <w:r>
              <w:rPr>
                <w:rFonts w:hint="eastAsia" w:ascii="宋体" w:hAnsi="宋体" w:cs="宋体"/>
                <w:kern w:val="0"/>
                <w:sz w:val="20"/>
                <w:szCs w:val="20"/>
              </w:rPr>
              <w:t>64位多核处理器（核数≧12）</w:t>
            </w:r>
            <w:r>
              <w:rPr>
                <w:rFonts w:hint="eastAsia" w:ascii="宋体" w:hAnsi="宋体" w:cs="宋体"/>
                <w:kern w:val="0"/>
                <w:sz w:val="20"/>
                <w:szCs w:val="20"/>
              </w:rPr>
              <w:br w:type="textWrapping"/>
            </w:r>
            <w:r>
              <w:rPr>
                <w:rFonts w:hint="eastAsia" w:ascii="宋体" w:hAnsi="宋体" w:cs="宋体"/>
                <w:kern w:val="0"/>
                <w:sz w:val="20"/>
                <w:szCs w:val="20"/>
              </w:rPr>
              <w:t>内存不小于32GB内存</w:t>
            </w:r>
            <w:r>
              <w:rPr>
                <w:rFonts w:hint="eastAsia" w:ascii="宋体" w:hAnsi="宋体" w:cs="宋体"/>
                <w:kern w:val="0"/>
                <w:sz w:val="20"/>
                <w:szCs w:val="20"/>
              </w:rPr>
              <w:br w:type="textWrapping"/>
            </w:r>
            <w:r>
              <w:rPr>
                <w:rFonts w:hint="eastAsia" w:ascii="宋体" w:hAnsi="宋体" w:cs="宋体"/>
                <w:kern w:val="0"/>
                <w:sz w:val="20"/>
                <w:szCs w:val="20"/>
              </w:rPr>
              <w:t>内置不少于3个热插拔480GB SSD硬盘</w:t>
            </w:r>
            <w:r>
              <w:rPr>
                <w:rFonts w:hint="eastAsia" w:ascii="宋体" w:hAnsi="宋体" w:cs="宋体"/>
                <w:kern w:val="0"/>
                <w:sz w:val="20"/>
                <w:szCs w:val="20"/>
              </w:rPr>
              <w:br w:type="textWrapping"/>
            </w:r>
            <w:r>
              <w:rPr>
                <w:rFonts w:hint="eastAsia" w:ascii="宋体" w:hAnsi="宋体" w:cs="宋体"/>
                <w:kern w:val="0"/>
                <w:sz w:val="20"/>
                <w:szCs w:val="20"/>
              </w:rPr>
              <w:t>支持不少于2个千兆网口</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云存储软件</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云存储存储节点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机架式36盘位</w:t>
            </w:r>
            <w:r>
              <w:rPr>
                <w:rFonts w:hint="eastAsia" w:ascii="宋体" w:hAnsi="宋体" w:cs="宋体"/>
                <w:kern w:val="0"/>
                <w:sz w:val="20"/>
                <w:szCs w:val="20"/>
              </w:rPr>
              <w:br w:type="textWrapping"/>
            </w:r>
            <w:r>
              <w:rPr>
                <w:rFonts w:hint="eastAsia" w:ascii="宋体" w:hAnsi="宋体" w:cs="宋体"/>
                <w:kern w:val="0"/>
                <w:sz w:val="20"/>
                <w:szCs w:val="20"/>
              </w:rPr>
              <w:t>64位多核处理器</w:t>
            </w:r>
            <w:r>
              <w:rPr>
                <w:rFonts w:hint="eastAsia" w:ascii="宋体" w:hAnsi="宋体" w:cs="宋体"/>
                <w:kern w:val="0"/>
                <w:sz w:val="20"/>
                <w:szCs w:val="20"/>
              </w:rPr>
              <w:br w:type="textWrapping"/>
            </w:r>
            <w:r>
              <w:rPr>
                <w:rFonts w:hint="eastAsia" w:ascii="宋体" w:hAnsi="宋体" w:cs="宋体"/>
                <w:kern w:val="0"/>
                <w:sz w:val="20"/>
                <w:szCs w:val="20"/>
              </w:rPr>
              <w:t>16GB缓存及以上</w:t>
            </w:r>
            <w:r>
              <w:rPr>
                <w:rFonts w:hint="eastAsia" w:ascii="宋体" w:hAnsi="宋体" w:cs="宋体"/>
                <w:kern w:val="0"/>
                <w:sz w:val="20"/>
                <w:szCs w:val="20"/>
              </w:rPr>
              <w:br w:type="textWrapping"/>
            </w:r>
            <w:r>
              <w:rPr>
                <w:rFonts w:hint="eastAsia" w:ascii="宋体" w:hAnsi="宋体" w:cs="宋体"/>
                <w:kern w:val="0"/>
                <w:sz w:val="20"/>
                <w:szCs w:val="20"/>
              </w:rPr>
              <w:t>36块8T企业级SATA磁盘</w:t>
            </w:r>
            <w:r>
              <w:rPr>
                <w:rFonts w:hint="eastAsia" w:ascii="宋体" w:hAnsi="宋体" w:cs="宋体"/>
                <w:kern w:val="0"/>
                <w:sz w:val="20"/>
                <w:szCs w:val="20"/>
              </w:rPr>
              <w:br w:type="textWrapping"/>
            </w:r>
            <w:r>
              <w:rPr>
                <w:rFonts w:hint="eastAsia" w:ascii="宋体" w:hAnsi="宋体" w:cs="宋体"/>
                <w:kern w:val="0"/>
                <w:sz w:val="20"/>
                <w:szCs w:val="20"/>
              </w:rPr>
              <w:t>一套云存储系统可对外提供多种类型数据混合存储，同时支持分布式流式存储，分布式对象存储、分布式文件存储、分布式块存储</w:t>
            </w:r>
          </w:p>
          <w:p>
            <w:pPr>
              <w:widowControl/>
              <w:jc w:val="left"/>
              <w:rPr>
                <w:rFonts w:hint="eastAsia" w:ascii="宋体" w:hAnsi="宋体" w:cs="宋体"/>
                <w:kern w:val="0"/>
                <w:sz w:val="20"/>
                <w:szCs w:val="20"/>
              </w:rPr>
            </w:pPr>
            <w:r>
              <w:rPr>
                <w:rFonts w:hint="eastAsia" w:ascii="宋体" w:hAnsi="宋体" w:cs="宋体"/>
                <w:kern w:val="0"/>
                <w:sz w:val="20"/>
                <w:szCs w:val="20"/>
              </w:rPr>
              <w:t>支持在管理节点全部故障、存储节点出现批量故障时，只要存在一台有效的存储，业务就不会中断</w:t>
            </w:r>
          </w:p>
          <w:p>
            <w:pPr>
              <w:widowControl/>
              <w:jc w:val="left"/>
              <w:rPr>
                <w:rFonts w:ascii="宋体" w:hAnsi="宋体" w:cs="宋体"/>
                <w:kern w:val="0"/>
                <w:sz w:val="20"/>
                <w:szCs w:val="20"/>
              </w:rPr>
            </w:pPr>
            <w:r>
              <w:rPr>
                <w:rFonts w:hint="eastAsia" w:ascii="宋体" w:hAnsi="宋体" w:cs="宋体"/>
                <w:kern w:val="0"/>
                <w:sz w:val="20"/>
                <w:szCs w:val="20"/>
              </w:rPr>
              <w:t>▲存储设备根据自身业务量，自适应重构速度，如当前设备空间资源较为充裕时，重构速度较高，若存储设备读写压力上来后，重构速度自动降低（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2个或以上千兆网口；支持网络RAID</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云存储存储节点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机架式36盘位</w:t>
            </w:r>
            <w:r>
              <w:rPr>
                <w:rFonts w:hint="eastAsia" w:ascii="宋体" w:hAnsi="宋体" w:cs="宋体"/>
                <w:kern w:val="0"/>
                <w:sz w:val="20"/>
                <w:szCs w:val="20"/>
              </w:rPr>
              <w:br w:type="textWrapping"/>
            </w:r>
            <w:r>
              <w:rPr>
                <w:rFonts w:hint="eastAsia" w:ascii="宋体" w:hAnsi="宋体" w:cs="宋体"/>
                <w:kern w:val="0"/>
                <w:sz w:val="20"/>
                <w:szCs w:val="20"/>
              </w:rPr>
              <w:t>64位多核处理器</w:t>
            </w:r>
            <w:r>
              <w:rPr>
                <w:rFonts w:hint="eastAsia" w:ascii="宋体" w:hAnsi="宋体" w:cs="宋体"/>
                <w:kern w:val="0"/>
                <w:sz w:val="20"/>
                <w:szCs w:val="20"/>
              </w:rPr>
              <w:br w:type="textWrapping"/>
            </w:r>
            <w:r>
              <w:rPr>
                <w:rFonts w:hint="eastAsia" w:ascii="宋体" w:hAnsi="宋体" w:cs="宋体"/>
                <w:kern w:val="0"/>
                <w:sz w:val="20"/>
                <w:szCs w:val="20"/>
              </w:rPr>
              <w:t>16GB缓存及以上</w:t>
            </w:r>
            <w:r>
              <w:rPr>
                <w:rFonts w:hint="eastAsia" w:ascii="宋体" w:hAnsi="宋体" w:cs="宋体"/>
                <w:kern w:val="0"/>
                <w:sz w:val="20"/>
                <w:szCs w:val="20"/>
              </w:rPr>
              <w:br w:type="textWrapping"/>
            </w:r>
            <w:r>
              <w:rPr>
                <w:rFonts w:hint="eastAsia" w:ascii="宋体" w:hAnsi="宋体" w:cs="宋体"/>
                <w:kern w:val="0"/>
                <w:sz w:val="20"/>
                <w:szCs w:val="20"/>
              </w:rPr>
              <w:t>36块8T企业级SATA磁盘</w:t>
            </w:r>
            <w:r>
              <w:rPr>
                <w:rFonts w:hint="eastAsia" w:ascii="宋体" w:hAnsi="宋体" w:cs="宋体"/>
                <w:kern w:val="0"/>
                <w:sz w:val="20"/>
                <w:szCs w:val="20"/>
              </w:rPr>
              <w:br w:type="textWrapping"/>
            </w:r>
            <w:r>
              <w:rPr>
                <w:rFonts w:hint="eastAsia" w:ascii="宋体" w:hAnsi="宋体" w:cs="宋体"/>
                <w:kern w:val="0"/>
                <w:sz w:val="20"/>
                <w:szCs w:val="20"/>
              </w:rPr>
              <w:t>2个或以上千兆网口；支持网络RAID</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图片云存储存储节点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机架式36盘位</w:t>
            </w:r>
            <w:r>
              <w:rPr>
                <w:rFonts w:hint="eastAsia" w:ascii="宋体" w:hAnsi="宋体" w:cs="宋体"/>
                <w:kern w:val="0"/>
                <w:sz w:val="20"/>
                <w:szCs w:val="20"/>
              </w:rPr>
              <w:br w:type="textWrapping"/>
            </w:r>
            <w:r>
              <w:rPr>
                <w:rFonts w:hint="eastAsia" w:ascii="宋体" w:hAnsi="宋体" w:cs="宋体"/>
                <w:kern w:val="0"/>
                <w:sz w:val="20"/>
                <w:szCs w:val="20"/>
              </w:rPr>
              <w:t>双路64位多核处理器</w:t>
            </w:r>
            <w:r>
              <w:rPr>
                <w:rFonts w:hint="eastAsia" w:ascii="宋体" w:hAnsi="宋体" w:cs="宋体"/>
                <w:kern w:val="0"/>
                <w:sz w:val="20"/>
                <w:szCs w:val="20"/>
              </w:rPr>
              <w:br w:type="textWrapping"/>
            </w:r>
            <w:r>
              <w:rPr>
                <w:rFonts w:hint="eastAsia" w:ascii="宋体" w:hAnsi="宋体" w:cs="宋体"/>
                <w:kern w:val="0"/>
                <w:sz w:val="20"/>
                <w:szCs w:val="20"/>
              </w:rPr>
              <w:t>内存32GB缓存及以上</w:t>
            </w:r>
            <w:r>
              <w:rPr>
                <w:rFonts w:hint="eastAsia" w:ascii="宋体" w:hAnsi="宋体" w:cs="宋体"/>
                <w:kern w:val="0"/>
                <w:sz w:val="20"/>
                <w:szCs w:val="20"/>
              </w:rPr>
              <w:br w:type="textWrapping"/>
            </w:r>
            <w:r>
              <w:rPr>
                <w:rFonts w:hint="eastAsia" w:ascii="宋体" w:hAnsi="宋体" w:cs="宋体"/>
                <w:kern w:val="0"/>
                <w:sz w:val="20"/>
                <w:szCs w:val="20"/>
              </w:rPr>
              <w:t>36块6T企业级SATA磁盘</w:t>
            </w:r>
            <w:r>
              <w:rPr>
                <w:rFonts w:hint="eastAsia" w:ascii="宋体" w:hAnsi="宋体" w:cs="宋体"/>
                <w:kern w:val="0"/>
                <w:sz w:val="20"/>
                <w:szCs w:val="20"/>
              </w:rPr>
              <w:br w:type="textWrapping"/>
            </w:r>
            <w:r>
              <w:rPr>
                <w:rFonts w:hint="eastAsia" w:ascii="宋体" w:hAnsi="宋体" w:cs="宋体"/>
                <w:kern w:val="0"/>
                <w:sz w:val="20"/>
                <w:szCs w:val="20"/>
              </w:rPr>
              <w:t>支持不少于4个千兆网口</w:t>
            </w:r>
            <w:r>
              <w:rPr>
                <w:rFonts w:hint="eastAsia" w:ascii="宋体" w:hAnsi="宋体" w:cs="宋体"/>
                <w:kern w:val="0"/>
                <w:sz w:val="20"/>
                <w:szCs w:val="20"/>
              </w:rPr>
              <w:br w:type="textWrapping"/>
            </w:r>
            <w:r>
              <w:rPr>
                <w:rFonts w:hint="eastAsia" w:ascii="宋体" w:hAnsi="宋体" w:cs="宋体"/>
                <w:kern w:val="0"/>
                <w:sz w:val="20"/>
                <w:szCs w:val="20"/>
              </w:rPr>
              <w:t>内置不少于2颗SSD图片加速盘</w:t>
            </w:r>
            <w:r>
              <w:rPr>
                <w:rFonts w:hint="eastAsia" w:ascii="宋体" w:hAnsi="宋体" w:cs="宋体"/>
                <w:kern w:val="0"/>
                <w:sz w:val="20"/>
                <w:szCs w:val="20"/>
              </w:rPr>
              <w:br w:type="textWrapping"/>
            </w:r>
            <w:r>
              <w:rPr>
                <w:rFonts w:hint="eastAsia" w:ascii="宋体" w:hAnsi="宋体" w:cs="宋体"/>
                <w:kern w:val="0"/>
                <w:sz w:val="20"/>
                <w:szCs w:val="20"/>
              </w:rPr>
              <w:t>▲支持按照设备可用容量实现负载均衡，各存储节点上存储的数据量在稳定状态下保持均衡，差距小于5%（需提供具有CNAS或CMA标志的第三方检测机构出具的检测报告证明）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▲支持按照接入任务数实现自动负载均衡，支持前端设备自动分配到存储节点。各节点间读写任务数差距±1（需提供具有CNAS或CMA标志的第三方检测机构出具的检测报告证明）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▲支持4+1、8+2、12+3等多种纠删码容错方式向上升级容错方式（需提供具有CNAS或CMA标志的第三方检测机构出具的检测报告证明）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分析服务器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标准机架式服务器</w:t>
            </w:r>
            <w:r>
              <w:rPr>
                <w:rFonts w:hint="eastAsia" w:ascii="宋体" w:hAnsi="宋体" w:cs="宋体"/>
                <w:kern w:val="0"/>
                <w:sz w:val="20"/>
                <w:szCs w:val="20"/>
              </w:rPr>
              <w:br w:type="textWrapping"/>
            </w:r>
            <w:r>
              <w:rPr>
                <w:rFonts w:hint="eastAsia" w:ascii="宋体" w:hAnsi="宋体" w:cs="宋体"/>
                <w:kern w:val="0"/>
                <w:sz w:val="20"/>
                <w:szCs w:val="20"/>
              </w:rPr>
              <w:t>CPU不低于16核2.1Ghz</w:t>
            </w:r>
            <w:r>
              <w:rPr>
                <w:rFonts w:hint="eastAsia" w:ascii="宋体" w:hAnsi="宋体" w:cs="宋体"/>
                <w:kern w:val="0"/>
                <w:sz w:val="20"/>
                <w:szCs w:val="20"/>
              </w:rPr>
              <w:br w:type="textWrapping"/>
            </w:r>
            <w:r>
              <w:rPr>
                <w:rFonts w:hint="eastAsia" w:ascii="宋体" w:hAnsi="宋体" w:cs="宋体"/>
                <w:kern w:val="0"/>
                <w:sz w:val="20"/>
                <w:szCs w:val="20"/>
              </w:rPr>
              <w:t>GPU不少于4张T4卡</w:t>
            </w:r>
            <w:r>
              <w:rPr>
                <w:rFonts w:hint="eastAsia" w:ascii="宋体" w:hAnsi="宋体" w:cs="宋体"/>
                <w:kern w:val="0"/>
                <w:sz w:val="20"/>
                <w:szCs w:val="20"/>
              </w:rPr>
              <w:br w:type="textWrapping"/>
            </w:r>
            <w:r>
              <w:rPr>
                <w:rFonts w:hint="eastAsia" w:ascii="宋体" w:hAnsi="宋体" w:cs="宋体"/>
                <w:kern w:val="0"/>
                <w:sz w:val="20"/>
                <w:szCs w:val="20"/>
              </w:rPr>
              <w:t>内存不小于128G</w:t>
            </w:r>
            <w:r>
              <w:rPr>
                <w:rFonts w:hint="eastAsia" w:ascii="宋体" w:hAnsi="宋体" w:cs="宋体"/>
                <w:kern w:val="0"/>
                <w:sz w:val="20"/>
                <w:szCs w:val="20"/>
              </w:rPr>
              <w:br w:type="textWrapping"/>
            </w:r>
            <w:r>
              <w:rPr>
                <w:rFonts w:hint="eastAsia" w:ascii="宋体" w:hAnsi="宋体" w:cs="宋体"/>
                <w:kern w:val="0"/>
                <w:sz w:val="20"/>
                <w:szCs w:val="20"/>
              </w:rPr>
              <w:t>硬盘不少于480GB SSD，可支持8块3.5/2.5寸SATA硬盘或SSD，支持热插拔</w:t>
            </w:r>
            <w:r>
              <w:rPr>
                <w:rFonts w:hint="eastAsia" w:ascii="宋体" w:hAnsi="宋体" w:cs="宋体"/>
                <w:kern w:val="0"/>
                <w:sz w:val="20"/>
                <w:szCs w:val="20"/>
              </w:rPr>
              <w:br w:type="textWrapping"/>
            </w:r>
            <w:r>
              <w:rPr>
                <w:rFonts w:hint="eastAsia" w:ascii="宋体" w:hAnsi="宋体" w:cs="宋体"/>
                <w:kern w:val="0"/>
                <w:sz w:val="20"/>
                <w:szCs w:val="20"/>
              </w:rPr>
              <w:t>网口不少于4个千兆网口</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4114×2/256GB DDR4/240G SSD×2+480G SSD×6+4T 7.2K SATA×2/SAS_HBA×2/10GbE×2/1GbE×2/550W(1+1)/2U/16DIMM</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华三、华为、中兴</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24个千兆电接口和4万兆SFP+光接口</w:t>
            </w:r>
            <w:r>
              <w:rPr>
                <w:rFonts w:hint="eastAsia" w:ascii="宋体" w:hAnsi="宋体" w:cs="宋体"/>
                <w:kern w:val="0"/>
                <w:sz w:val="20"/>
                <w:szCs w:val="20"/>
              </w:rPr>
              <w:br w:type="textWrapping"/>
            </w:r>
            <w:r>
              <w:rPr>
                <w:rFonts w:hint="eastAsia" w:ascii="宋体" w:hAnsi="宋体" w:cs="宋体"/>
                <w:kern w:val="0"/>
                <w:sz w:val="20"/>
                <w:szCs w:val="20"/>
              </w:rPr>
              <w:t>交换容量≥3.36Tbps，转发性能≥126Mpps；</w:t>
            </w:r>
            <w:r>
              <w:rPr>
                <w:rFonts w:hint="eastAsia" w:ascii="宋体" w:hAnsi="宋体" w:cs="宋体"/>
                <w:kern w:val="0"/>
                <w:sz w:val="20"/>
                <w:szCs w:val="20"/>
              </w:rPr>
              <w:br w:type="textWrapping"/>
            </w:r>
            <w:r>
              <w:rPr>
                <w:rFonts w:hint="eastAsia" w:ascii="宋体" w:hAnsi="宋体" w:cs="宋体"/>
                <w:kern w:val="0"/>
                <w:sz w:val="20"/>
                <w:szCs w:val="20"/>
              </w:rPr>
              <w:t>支持Openflow 1.3标准</w:t>
            </w:r>
            <w:r>
              <w:rPr>
                <w:rFonts w:hint="eastAsia" w:ascii="宋体" w:hAnsi="宋体" w:cs="宋体"/>
                <w:kern w:val="0"/>
                <w:sz w:val="20"/>
                <w:szCs w:val="20"/>
              </w:rPr>
              <w:br w:type="textWrapping"/>
            </w:r>
            <w:r>
              <w:rPr>
                <w:rFonts w:hint="eastAsia" w:ascii="宋体" w:hAnsi="宋体" w:cs="宋体"/>
                <w:kern w:val="0"/>
                <w:sz w:val="20"/>
                <w:szCs w:val="20"/>
              </w:rPr>
              <w:t>支持静态路由、RIP、RIPng、OSPF;</w:t>
            </w:r>
            <w:r>
              <w:rPr>
                <w:rFonts w:hint="eastAsia" w:ascii="宋体" w:hAnsi="宋体" w:cs="宋体"/>
                <w:kern w:val="0"/>
                <w:sz w:val="20"/>
                <w:szCs w:val="20"/>
              </w:rPr>
              <w:br w:type="textWrapping"/>
            </w:r>
            <w:r>
              <w:rPr>
                <w:rFonts w:hint="eastAsia" w:ascii="宋体" w:hAnsi="宋体" w:cs="宋体"/>
                <w:kern w:val="0"/>
                <w:sz w:val="20"/>
                <w:szCs w:val="20"/>
              </w:rPr>
              <w:t>支持最大9台设备虚拟化成一台逻辑设备；支持完善的堆叠分裂检测机制，堆叠分裂后能自动完成MAC和IP地址的重配置，无需手动干预</w:t>
            </w:r>
            <w:r>
              <w:rPr>
                <w:rFonts w:hint="eastAsia" w:ascii="宋体" w:hAnsi="宋体" w:cs="宋体"/>
                <w:kern w:val="0"/>
                <w:sz w:val="20"/>
                <w:szCs w:val="20"/>
              </w:rPr>
              <w:br w:type="textWrapping"/>
            </w:r>
            <w:r>
              <w:rPr>
                <w:rFonts w:hint="eastAsia" w:ascii="宋体" w:hAnsi="宋体" w:cs="宋体"/>
                <w:kern w:val="0"/>
                <w:sz w:val="20"/>
                <w:szCs w:val="20"/>
              </w:rPr>
              <w:t>支持本地端口镜像和远程端口镜像RSPAN；支持流镜像，同时支持N：M的端口镜像（M大于1）</w:t>
            </w:r>
            <w:r>
              <w:rPr>
                <w:rFonts w:hint="eastAsia" w:ascii="宋体" w:hAnsi="宋体" w:cs="宋体"/>
                <w:kern w:val="0"/>
                <w:sz w:val="20"/>
                <w:szCs w:val="20"/>
              </w:rPr>
              <w:br w:type="textWrapping"/>
            </w:r>
            <w:r>
              <w:rPr>
                <w:rFonts w:hint="eastAsia" w:ascii="宋体" w:hAnsi="宋体" w:cs="宋体"/>
                <w:kern w:val="0"/>
                <w:sz w:val="20"/>
                <w:szCs w:val="20"/>
              </w:rPr>
              <w:t>支持内置防雷技术，提供≥10KV业务端口防雷能力。</w:t>
            </w:r>
            <w:r>
              <w:rPr>
                <w:rFonts w:hint="eastAsia" w:ascii="宋体" w:hAnsi="宋体" w:cs="宋体"/>
                <w:kern w:val="0"/>
                <w:sz w:val="20"/>
                <w:szCs w:val="20"/>
              </w:rPr>
              <w:br w:type="textWrapping"/>
            </w:r>
            <w:r>
              <w:rPr>
                <w:rFonts w:hint="eastAsia" w:ascii="宋体" w:hAnsi="宋体" w:cs="宋体"/>
                <w:kern w:val="0"/>
                <w:sz w:val="20"/>
                <w:szCs w:val="20"/>
              </w:rPr>
              <w:t>支持纵向虚拟化</w:t>
            </w:r>
            <w:r>
              <w:rPr>
                <w:rFonts w:hint="eastAsia" w:ascii="宋体" w:hAnsi="宋体" w:cs="宋体"/>
                <w:kern w:val="0"/>
                <w:sz w:val="20"/>
                <w:szCs w:val="20"/>
              </w:rPr>
              <w:br w:type="textWrapping"/>
            </w:r>
            <w:r>
              <w:rPr>
                <w:rFonts w:hint="eastAsia" w:ascii="宋体" w:hAnsi="宋体" w:cs="宋体"/>
                <w:kern w:val="0"/>
                <w:sz w:val="20"/>
                <w:szCs w:val="20"/>
              </w:rPr>
              <w:t>采用节能芯片架构设计方案，实现低功耗，降低用户维护成本，采用多种绿色节能设计，端口自动节能，如果在一段时间内接口状态始终为down，则系统自动停止对该接口供电，自动进入节能模式；符合IEEE 802.3az（EEE）节能标准；端口定时down功能（Schedule job）；支持端口休眠，关闭没有应用的端口，节省能源。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48口接入交换机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华三、华为、中兴</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交换容量≥3.36Tbps，转发性能≥100Mpps，48个千兆电口，4个万兆光口；</w:t>
            </w:r>
            <w:r>
              <w:rPr>
                <w:rFonts w:hint="eastAsia" w:ascii="宋体" w:hAnsi="宋体" w:cs="宋体"/>
                <w:kern w:val="0"/>
                <w:sz w:val="20"/>
                <w:szCs w:val="20"/>
              </w:rPr>
              <w:br w:type="textWrapping"/>
            </w:r>
            <w:r>
              <w:rPr>
                <w:rFonts w:hint="eastAsia" w:ascii="宋体" w:hAnsi="宋体" w:cs="宋体"/>
                <w:kern w:val="0"/>
                <w:sz w:val="20"/>
                <w:szCs w:val="20"/>
              </w:rPr>
              <w:t>支持Openflow 1.3标准，提供官网链接及截图；提供认证证书</w:t>
            </w:r>
            <w:r>
              <w:rPr>
                <w:rFonts w:hint="eastAsia" w:ascii="宋体" w:hAnsi="宋体" w:cs="宋体"/>
                <w:kern w:val="0"/>
                <w:sz w:val="20"/>
                <w:szCs w:val="20"/>
              </w:rPr>
              <w:br w:type="textWrapping"/>
            </w:r>
            <w:r>
              <w:rPr>
                <w:rFonts w:hint="eastAsia" w:ascii="宋体" w:hAnsi="宋体" w:cs="宋体"/>
                <w:kern w:val="0"/>
                <w:sz w:val="20"/>
                <w:szCs w:val="20"/>
              </w:rPr>
              <w:t>支持静态路由、RIP、RIPng、OSPF,提供国际权威第三方测试报告;</w:t>
            </w:r>
            <w:r>
              <w:rPr>
                <w:rFonts w:hint="eastAsia" w:ascii="宋体" w:hAnsi="宋体" w:cs="宋体"/>
                <w:kern w:val="0"/>
                <w:sz w:val="20"/>
                <w:szCs w:val="20"/>
              </w:rPr>
              <w:br w:type="textWrapping"/>
            </w:r>
            <w:r>
              <w:rPr>
                <w:rFonts w:hint="eastAsia" w:ascii="宋体" w:hAnsi="宋体" w:cs="宋体"/>
                <w:kern w:val="0"/>
                <w:sz w:val="20"/>
                <w:szCs w:val="20"/>
              </w:rPr>
              <w:t>支持最大9台设备虚拟化成一台逻辑设备（提供官网截图证明和第三方权威测试报告），支持完善的堆叠分裂检测机制，堆叠分裂后能自动完成MAC和IP地址的重配置，无需手动干预，要求提供权威机构颁发的测试报告</w:t>
            </w:r>
            <w:r>
              <w:rPr>
                <w:rFonts w:hint="eastAsia" w:ascii="宋体" w:hAnsi="宋体" w:cs="宋体"/>
                <w:kern w:val="0"/>
                <w:sz w:val="20"/>
                <w:szCs w:val="20"/>
              </w:rPr>
              <w:br w:type="textWrapping"/>
            </w:r>
            <w:r>
              <w:rPr>
                <w:rFonts w:hint="eastAsia" w:ascii="宋体" w:hAnsi="宋体" w:cs="宋体"/>
                <w:kern w:val="0"/>
                <w:sz w:val="20"/>
                <w:szCs w:val="20"/>
              </w:rPr>
              <w:t>支持本地端口镜像和远程端口镜像RSPAN；支持流镜像，同时支持N：M的端口镜像（M大于1），要求提供权威机构颁发的测试报告；</w:t>
            </w:r>
            <w:r>
              <w:rPr>
                <w:rFonts w:hint="eastAsia" w:ascii="宋体" w:hAnsi="宋体" w:cs="宋体"/>
                <w:kern w:val="0"/>
                <w:sz w:val="20"/>
                <w:szCs w:val="20"/>
              </w:rPr>
              <w:br w:type="textWrapping"/>
            </w:r>
            <w:r>
              <w:rPr>
                <w:rFonts w:hint="eastAsia" w:ascii="宋体" w:hAnsi="宋体" w:cs="宋体"/>
                <w:kern w:val="0"/>
                <w:sz w:val="20"/>
                <w:szCs w:val="20"/>
              </w:rPr>
              <w:t>▲支持RRPP（快速环网保护协议），环网故障恢复时间不超过50ms；支持Smartlink，收敛时间≤50ms，支持RSTP功能：收敛时间≤50ms，支持MSTP功能；收敛时间≤50ms支持PVST功能：收敛时间≤50ms。要求提供第三方检测报告.</w:t>
            </w:r>
            <w:r>
              <w:rPr>
                <w:rFonts w:hint="eastAsia" w:ascii="宋体" w:hAnsi="宋体" w:cs="宋体"/>
                <w:kern w:val="0"/>
                <w:sz w:val="20"/>
                <w:szCs w:val="20"/>
              </w:rPr>
              <w:br w:type="textWrapping"/>
            </w:r>
            <w:r>
              <w:rPr>
                <w:rFonts w:hint="eastAsia" w:ascii="宋体" w:hAnsi="宋体" w:cs="宋体"/>
                <w:kern w:val="0"/>
                <w:sz w:val="20"/>
                <w:szCs w:val="20"/>
              </w:rPr>
              <w:t>▲为了便于设备管理，需支持管理中心特性，提供官网链接和截图作为证明，要求提供第三方检测报告.本次投标交换机需要和核心交换机同品牌</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机房租费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机柜租赁及电力配套3年</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只/3年</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机房辅材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机房系统集成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九、公安信息网-后端</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小区应用平台服务器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【4114×2/64GB DDR4/600G 10K SAS×2（RAID_1）/SAS_HBA/1GbE×2+10GbE×2】×2/800W铂金(1+1) /2U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小区汇聚平台软件扩容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平台软件扩容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平台数据库服务器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【4114×2/64GB DDR4/600G 10K SAS×2（RAID_1）/SAS_HBA/1GbE×2+10GbE×2】×2/800W铂金(1+1) /2U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小区应用平台组件服务器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4114×2/32G DDR4×4/4T 7.2K SAS×4+ S4500 480G SSD×1+ S4500 240G SSD×1/RAID_2G/1GbE*2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数据对接服务器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图片云存储存储节点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机架式36盘位</w:t>
            </w:r>
            <w:r>
              <w:rPr>
                <w:rFonts w:hint="eastAsia" w:ascii="宋体" w:hAnsi="宋体" w:cs="宋体"/>
                <w:kern w:val="0"/>
                <w:sz w:val="20"/>
                <w:szCs w:val="20"/>
              </w:rPr>
              <w:br w:type="textWrapping"/>
            </w:r>
            <w:r>
              <w:rPr>
                <w:rFonts w:hint="eastAsia" w:ascii="宋体" w:hAnsi="宋体" w:cs="宋体"/>
                <w:kern w:val="0"/>
                <w:sz w:val="20"/>
                <w:szCs w:val="20"/>
              </w:rPr>
              <w:t>双路64位多核处理器</w:t>
            </w:r>
            <w:r>
              <w:rPr>
                <w:rFonts w:hint="eastAsia" w:ascii="宋体" w:hAnsi="宋体" w:cs="宋体"/>
                <w:kern w:val="0"/>
                <w:sz w:val="20"/>
                <w:szCs w:val="20"/>
              </w:rPr>
              <w:br w:type="textWrapping"/>
            </w:r>
            <w:r>
              <w:rPr>
                <w:rFonts w:hint="eastAsia" w:ascii="宋体" w:hAnsi="宋体" w:cs="宋体"/>
                <w:kern w:val="0"/>
                <w:sz w:val="20"/>
                <w:szCs w:val="20"/>
              </w:rPr>
              <w:t>内存32GB缓存及以上</w:t>
            </w:r>
            <w:r>
              <w:rPr>
                <w:rFonts w:hint="eastAsia" w:ascii="宋体" w:hAnsi="宋体" w:cs="宋体"/>
                <w:kern w:val="0"/>
                <w:sz w:val="20"/>
                <w:szCs w:val="20"/>
              </w:rPr>
              <w:br w:type="textWrapping"/>
            </w:r>
            <w:r>
              <w:rPr>
                <w:rFonts w:hint="eastAsia" w:ascii="宋体" w:hAnsi="宋体" w:cs="宋体"/>
                <w:kern w:val="0"/>
                <w:sz w:val="20"/>
                <w:szCs w:val="20"/>
              </w:rPr>
              <w:t>36块6T企业级SATA磁盘</w:t>
            </w:r>
            <w:r>
              <w:rPr>
                <w:rFonts w:hint="eastAsia" w:ascii="宋体" w:hAnsi="宋体" w:cs="宋体"/>
                <w:kern w:val="0"/>
                <w:sz w:val="20"/>
                <w:szCs w:val="20"/>
              </w:rPr>
              <w:br w:type="textWrapping"/>
            </w:r>
            <w:r>
              <w:rPr>
                <w:rFonts w:hint="eastAsia" w:ascii="宋体" w:hAnsi="宋体" w:cs="宋体"/>
                <w:kern w:val="0"/>
                <w:sz w:val="20"/>
                <w:szCs w:val="20"/>
              </w:rPr>
              <w:t>支持不少于4个千兆网口</w:t>
            </w:r>
            <w:r>
              <w:rPr>
                <w:rFonts w:hint="eastAsia" w:ascii="宋体" w:hAnsi="宋体" w:cs="宋体"/>
                <w:kern w:val="0"/>
                <w:sz w:val="20"/>
                <w:szCs w:val="20"/>
              </w:rPr>
              <w:br w:type="textWrapping"/>
            </w:r>
            <w:r>
              <w:rPr>
                <w:rFonts w:hint="eastAsia" w:ascii="宋体" w:hAnsi="宋体" w:cs="宋体"/>
                <w:kern w:val="0"/>
                <w:sz w:val="20"/>
                <w:szCs w:val="20"/>
              </w:rPr>
              <w:t>内置不少于2颗SSD图片加速盘</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云存储软件</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4114×2/256GB DDR4/240G SSD×2+480G SSD×6+4T 7.2K SATA×2/SAS_HBA×2/10GbE×2/1GbE×2/550W(1+1)/2U/16DIMM</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大数据综合节点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4116(12核2.1GHz)×2/256GB DDR4/600G 10K SAS×2+ 480G SSD×2+ 4TB 7.2K SATA×2/SAS_HBA/1GbE×2+10GbE×2/550W(1+1)/2U/16DIMM</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大数据计算存储节点</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4114(10核2.2GHz)×2/256GB DDR4/600G 10K SAS×2 + 960G SSD×4+ 6TB 7.2K SATA×8/RAID_4G/1GbE×2+10GbE×2/550W(1+1)/2U/16DIMM</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大数据存储及应用分析节点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全对称分布式架构，最大节点扩展≥2048，最大集群数量≥16；配置CPU≥4210(2.2GHz/10核/)*2，配置内存≥256G DDR4-2666，内存最高≥1.5TB，内存插槽最大插槽数≥24，支持内存智能巡检；硬盘配置≥480G SSD*2、1.92T SSD*1、6T 7.2K SATA*35，配置万兆光口≥6（含6个万兆多模模块）；支持块、文件、对象与大数据等存储类型；支持iSCSI，NFS, CIFS，FTP，HTTP，HDFS，S3，Swift等存储协议；数据冗余2-6个副本，N+1到N+4纠删码；每TB数据重构时间＜30分钟；支持精简配置、厚配置、链路聚合、数据自动均衡、智能负载均衡、性能Qos、数据重构QoS、故障域、保护域、快照、SSD缓存加速、卷拷贝、克隆、远程异步复制、自动分层、一致性校验、安全认证、数据加密、主机漏洞扫描、AI预测；兼容POSIX标准接口，Windows、Linux、UNIX、Mac OS、Vmware ESXi等操作系统，KVM、vSphere、Xen、Hyper-V等虚拟化平台，兼容Oracle、SQL Server、MySQL等数据库，兼容OpenStack平台；支持WORM、多版本管理、远程异步复制、分段上传、配额、ACL权限控制、Policy策略、自定义标签、对象加密、对象追加修改、多租户、跨域访问、生命周期管理；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人脸比对服务器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4U机架式标准机箱服务器</w:t>
            </w:r>
            <w:r>
              <w:rPr>
                <w:rFonts w:hint="eastAsia" w:ascii="宋体" w:hAnsi="宋体" w:cs="宋体"/>
                <w:kern w:val="0"/>
                <w:sz w:val="20"/>
                <w:szCs w:val="20"/>
              </w:rPr>
              <w:br w:type="textWrapping"/>
            </w:r>
            <w:r>
              <w:rPr>
                <w:rFonts w:hint="eastAsia" w:ascii="宋体" w:hAnsi="宋体" w:cs="宋体"/>
                <w:kern w:val="0"/>
                <w:sz w:val="20"/>
                <w:szCs w:val="20"/>
              </w:rPr>
              <w:t>不少于2个64位多核处理器</w:t>
            </w:r>
            <w:r>
              <w:rPr>
                <w:rFonts w:hint="eastAsia" w:ascii="宋体" w:hAnsi="宋体" w:cs="宋体"/>
                <w:kern w:val="0"/>
                <w:sz w:val="20"/>
                <w:szCs w:val="20"/>
              </w:rPr>
              <w:br w:type="textWrapping"/>
            </w:r>
            <w:r>
              <w:rPr>
                <w:rFonts w:hint="eastAsia" w:ascii="宋体" w:hAnsi="宋体" w:cs="宋体"/>
                <w:kern w:val="0"/>
                <w:sz w:val="20"/>
                <w:szCs w:val="20"/>
              </w:rPr>
              <w:t>GPU卡不少于2张 P40卡</w:t>
            </w:r>
            <w:r>
              <w:rPr>
                <w:rFonts w:hint="eastAsia" w:ascii="宋体" w:hAnsi="宋体" w:cs="宋体"/>
                <w:kern w:val="0"/>
                <w:sz w:val="20"/>
                <w:szCs w:val="20"/>
              </w:rPr>
              <w:br w:type="textWrapping"/>
            </w:r>
            <w:r>
              <w:rPr>
                <w:rFonts w:hint="eastAsia" w:ascii="宋体" w:hAnsi="宋体" w:cs="宋体"/>
                <w:kern w:val="0"/>
                <w:sz w:val="20"/>
                <w:szCs w:val="20"/>
              </w:rPr>
              <w:t>内存不小于384G</w:t>
            </w:r>
            <w:r>
              <w:rPr>
                <w:rFonts w:hint="eastAsia" w:ascii="宋体" w:hAnsi="宋体" w:cs="宋体"/>
                <w:kern w:val="0"/>
                <w:sz w:val="20"/>
                <w:szCs w:val="20"/>
              </w:rPr>
              <w:br w:type="textWrapping"/>
            </w:r>
            <w:r>
              <w:rPr>
                <w:rFonts w:hint="eastAsia" w:ascii="宋体" w:hAnsi="宋体" w:cs="宋体"/>
                <w:kern w:val="0"/>
                <w:sz w:val="20"/>
                <w:szCs w:val="20"/>
              </w:rPr>
              <w:t>硬盘不少于240G SSD*1，480G SSD*1</w:t>
            </w:r>
            <w:r>
              <w:rPr>
                <w:rFonts w:hint="eastAsia" w:ascii="宋体" w:hAnsi="宋体" w:cs="宋体"/>
                <w:kern w:val="0"/>
                <w:sz w:val="20"/>
                <w:szCs w:val="20"/>
              </w:rPr>
              <w:br w:type="textWrapping"/>
            </w:r>
            <w:r>
              <w:rPr>
                <w:rFonts w:hint="eastAsia" w:ascii="宋体" w:hAnsi="宋体" w:cs="宋体"/>
                <w:kern w:val="0"/>
                <w:sz w:val="20"/>
                <w:szCs w:val="20"/>
              </w:rPr>
              <w:t>接口不少于2个千兆网络接口</w:t>
            </w:r>
            <w:r>
              <w:rPr>
                <w:rFonts w:hint="eastAsia" w:ascii="宋体" w:hAnsi="宋体" w:cs="宋体"/>
                <w:kern w:val="0"/>
                <w:sz w:val="20"/>
                <w:szCs w:val="20"/>
              </w:rPr>
              <w:br w:type="textWrapping"/>
            </w:r>
            <w:r>
              <w:rPr>
                <w:rFonts w:hint="eastAsia" w:ascii="宋体" w:hAnsi="宋体" w:cs="宋体"/>
                <w:kern w:val="0"/>
                <w:sz w:val="20"/>
                <w:szCs w:val="20"/>
              </w:rPr>
              <w:t>支持名单库容量（40个并发/秒）：1.2亿</w:t>
            </w:r>
            <w:r>
              <w:rPr>
                <w:rFonts w:hint="eastAsia" w:ascii="宋体" w:hAnsi="宋体" w:cs="宋体"/>
                <w:kern w:val="0"/>
                <w:sz w:val="20"/>
                <w:szCs w:val="20"/>
              </w:rPr>
              <w:br w:type="textWrapping"/>
            </w:r>
            <w:r>
              <w:rPr>
                <w:rFonts w:hint="eastAsia" w:ascii="宋体" w:hAnsi="宋体" w:cs="宋体"/>
                <w:kern w:val="0"/>
                <w:sz w:val="20"/>
                <w:szCs w:val="20"/>
              </w:rPr>
              <w:t>支持并发分析性能（6000万名单库）：80个/秒</w:t>
            </w:r>
            <w:r>
              <w:rPr>
                <w:rFonts w:hint="eastAsia" w:ascii="宋体" w:hAnsi="宋体" w:cs="宋体"/>
                <w:kern w:val="0"/>
                <w:sz w:val="20"/>
                <w:szCs w:val="20"/>
              </w:rPr>
              <w:br w:type="textWrapping"/>
            </w:r>
            <w:r>
              <w:rPr>
                <w:rFonts w:hint="eastAsia" w:ascii="宋体" w:hAnsi="宋体" w:cs="宋体"/>
                <w:kern w:val="0"/>
                <w:sz w:val="20"/>
                <w:szCs w:val="20"/>
              </w:rPr>
              <w:t>支持冗余电源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人脸分析服务器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标准机架式服务器</w:t>
            </w:r>
            <w:r>
              <w:rPr>
                <w:rFonts w:hint="eastAsia" w:ascii="宋体" w:hAnsi="宋体" w:cs="宋体"/>
                <w:kern w:val="0"/>
                <w:sz w:val="20"/>
                <w:szCs w:val="20"/>
              </w:rPr>
              <w:br w:type="textWrapping"/>
            </w:r>
            <w:r>
              <w:rPr>
                <w:rFonts w:hint="eastAsia" w:ascii="宋体" w:hAnsi="宋体" w:cs="宋体"/>
                <w:kern w:val="0"/>
                <w:sz w:val="20"/>
                <w:szCs w:val="20"/>
              </w:rPr>
              <w:t>集成高性能64位CPU</w:t>
            </w:r>
            <w:r>
              <w:rPr>
                <w:rFonts w:hint="eastAsia" w:ascii="宋体" w:hAnsi="宋体" w:cs="宋体"/>
                <w:kern w:val="0"/>
                <w:sz w:val="20"/>
                <w:szCs w:val="20"/>
              </w:rPr>
              <w:br w:type="textWrapping"/>
            </w:r>
            <w:r>
              <w:rPr>
                <w:rFonts w:hint="eastAsia" w:ascii="宋体" w:hAnsi="宋体" w:cs="宋体"/>
                <w:kern w:val="0"/>
                <w:sz w:val="20"/>
                <w:szCs w:val="20"/>
              </w:rPr>
              <w:t>集成专业级GPU芯片；</w:t>
            </w:r>
            <w:r>
              <w:rPr>
                <w:rFonts w:hint="eastAsia" w:ascii="宋体" w:hAnsi="宋体" w:cs="宋体"/>
                <w:kern w:val="0"/>
                <w:sz w:val="20"/>
                <w:szCs w:val="20"/>
              </w:rPr>
              <w:br w:type="textWrapping"/>
            </w:r>
            <w:r>
              <w:rPr>
                <w:rFonts w:hint="eastAsia" w:ascii="宋体" w:hAnsi="宋体" w:cs="宋体"/>
                <w:kern w:val="0"/>
                <w:sz w:val="20"/>
                <w:szCs w:val="20"/>
              </w:rPr>
              <w:t>内存不小于8G</w:t>
            </w:r>
            <w:r>
              <w:rPr>
                <w:rFonts w:hint="eastAsia" w:ascii="宋体" w:hAnsi="宋体" w:cs="宋体"/>
                <w:kern w:val="0"/>
                <w:sz w:val="20"/>
                <w:szCs w:val="20"/>
              </w:rPr>
              <w:br w:type="textWrapping"/>
            </w:r>
            <w:r>
              <w:rPr>
                <w:rFonts w:hint="eastAsia" w:ascii="宋体" w:hAnsi="宋体" w:cs="宋体"/>
                <w:kern w:val="0"/>
                <w:sz w:val="20"/>
                <w:szCs w:val="20"/>
              </w:rPr>
              <w:t>硬盘不少于240G SSD * 1</w:t>
            </w:r>
            <w:r>
              <w:rPr>
                <w:rFonts w:hint="eastAsia" w:ascii="宋体" w:hAnsi="宋体" w:cs="宋体"/>
                <w:kern w:val="0"/>
                <w:sz w:val="20"/>
                <w:szCs w:val="20"/>
              </w:rPr>
              <w:br w:type="textWrapping"/>
            </w:r>
            <w:r>
              <w:rPr>
                <w:rFonts w:hint="eastAsia" w:ascii="宋体" w:hAnsi="宋体" w:cs="宋体"/>
                <w:kern w:val="0"/>
                <w:sz w:val="20"/>
                <w:szCs w:val="20"/>
              </w:rPr>
              <w:t>数据接口不少于4个千兆网口</w:t>
            </w:r>
            <w:r>
              <w:rPr>
                <w:rFonts w:hint="eastAsia" w:ascii="宋体" w:hAnsi="宋体" w:cs="宋体"/>
                <w:kern w:val="0"/>
                <w:sz w:val="20"/>
                <w:szCs w:val="20"/>
              </w:rPr>
              <w:br w:type="textWrapping"/>
            </w:r>
            <w:r>
              <w:rPr>
                <w:rFonts w:hint="eastAsia" w:ascii="宋体" w:hAnsi="宋体" w:cs="宋体"/>
                <w:kern w:val="0"/>
                <w:sz w:val="20"/>
                <w:szCs w:val="20"/>
              </w:rPr>
              <w:t>▲大数据写入情况下，人脸图片建模速度不低于80张/S，人脸图片建模成功率不低于99%（需提供具有CNAS或CMA标志的第三方检测机构出具的检测报告证明）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支持1600W像素人脸图片导入识别</w:t>
            </w:r>
            <w:r>
              <w:rPr>
                <w:rFonts w:hint="eastAsia" w:ascii="宋体" w:hAnsi="宋体" w:cs="宋体"/>
                <w:kern w:val="0"/>
                <w:sz w:val="20"/>
                <w:szCs w:val="20"/>
              </w:rPr>
              <w:br w:type="textWrapping"/>
            </w:r>
            <w:r>
              <w:rPr>
                <w:rFonts w:hint="eastAsia" w:ascii="宋体" w:hAnsi="宋体" w:cs="宋体"/>
                <w:kern w:val="0"/>
                <w:sz w:val="20"/>
                <w:szCs w:val="20"/>
              </w:rPr>
              <w:t>支持100万库容的黑名单库</w:t>
            </w:r>
            <w:r>
              <w:rPr>
                <w:rFonts w:hint="eastAsia" w:ascii="宋体" w:hAnsi="宋体" w:cs="宋体"/>
                <w:kern w:val="0"/>
                <w:sz w:val="20"/>
                <w:szCs w:val="20"/>
              </w:rPr>
              <w:br w:type="textWrapping"/>
            </w:r>
            <w:r>
              <w:rPr>
                <w:rFonts w:hint="eastAsia" w:ascii="宋体" w:hAnsi="宋体" w:cs="宋体"/>
                <w:kern w:val="0"/>
                <w:sz w:val="20"/>
                <w:szCs w:val="20"/>
              </w:rPr>
              <w:t>支持识别和分析瞳距大于等于40像素的人脸图片</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平台服务器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机需国产自主研发品牌，节点、模块同一品牌；提供最近三年IDC全球服务器市场销售量及金额排名前3位，提供IDC证明；可配置≥3块双宽或8块单宽GPU卡；支持最高≥5-50°C标准工作温度；支持防火墙、IPS、防病毒和QoS的安全功能，支持国密VPN算法；配置CPU≥4114(2.2GHz/10核/)*2；内存≥256G DDR4-2933，内存最高≥3TB，内存插槽最大插槽数≥24，支持内存智能巡检；硬盘配置≥600G 10K SAS*2、1.8T 7.2K SATA*3，硬盘高安全保障支持配置raid5；配置12Gb SAS HBA卡；配置千兆电口口≥4；配置冗余电源；主机需无缝兼容并被纳管到原有社会面平台，并提供详细技术方案；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通用服务器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机需国产自主研发品牌，节点、模块同一品牌；提供最近三年IDC全球服务器市场销售量及金额排名前3位，提供IDC证明；可配置≥3块双宽或8块单宽GPU卡；支持最高≥5-50°C标准工作温度；支持防火墙、IPS、防病毒和QoS的安全功能，支持国密VPN算法；配置CPU≥4114(2.2GHz/10核/)*2；内存≥256G DDR4-2933，内存最高≥3TB，内存插槽最大插槽数≥24，支持内存智能巡检；硬盘配置≥600G 10K SAS*2、2T 7.2K SATA*4，硬盘高安全保障支持配置raid5；配置12Gb SAS HBA卡；配置万兆卡光口≥2；配置千兆电口口≥4；配置冗余电源；主机需无缝兼容并被纳管到原有社会面平台，并提供详细技术方案；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大数据服务器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机需国产自主研发品牌，节点、模块同一品牌；提供最近三年IDC全球服务器市场销售量及金额排名前3位，提供IDC证明；可配置≥3块双宽或8块单宽GPU卡；支持最高≥5-50°C标准工作温度；支持防火墙、IPS、防病毒和QoS的安全功能，支持国密VPN算法；配置CPU≥4214(2.1GHz/12核/)*2；内存≥256G DDR4-2933，内存最高≥3TB，内存插槽最大插槽数≥24，支持内存智能巡检；硬盘配置≥600G 10K SAS*2、1.8T 7.2K SATA*3，硬盘高安全保障支持配置raid5；配置12Gb SAS HBA卡；配置万兆卡光口≥2；配置千兆电口口≥4；配置冗余电源；主机需无缝兼容并被纳管到原有社会面平台，并提供详细技术方案；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应用服务器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机需国产自主研发品牌，节点、模块同一品牌；提供最近三年IDC全球服务器市场销售量及金额排名前3位，提供IDC证明；可配置≥3块双宽或8块单宽GPU卡；支持最高≥5-50°C标准工作温度；支持防火墙、IPS、防病毒和QoS的安全功能，支持国密VPN算法；配置CPU≥4214(2.1GHz/12核/)*2；内存≥256G DDR4-2933，内存最高≥3TB，内存插槽最大插槽数≥24，支持内存智能巡检；硬盘配置≥600G 10K SAS*2、1.8T 7.2K SATA*4，硬盘高安全保障支持配置raid5；配置12Gb SAS HBA卡；配置万兆卡光口≥2；配置千兆电口口≥4；配置冗余电源；主机需无缝兼容并被纳管到原有社会面平台，并提供详细技术方案；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华三、华为、中兴</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24个千兆电接口和4万兆SFP+光接口</w:t>
            </w:r>
            <w:r>
              <w:rPr>
                <w:rFonts w:hint="eastAsia" w:ascii="宋体" w:hAnsi="宋体" w:cs="宋体"/>
                <w:kern w:val="0"/>
                <w:sz w:val="20"/>
                <w:szCs w:val="20"/>
              </w:rPr>
              <w:br w:type="textWrapping"/>
            </w:r>
            <w:r>
              <w:rPr>
                <w:rFonts w:hint="eastAsia" w:ascii="宋体" w:hAnsi="宋体" w:cs="宋体"/>
                <w:kern w:val="0"/>
                <w:sz w:val="20"/>
                <w:szCs w:val="20"/>
              </w:rPr>
              <w:t>交换容量≥3.36Tbps，转发性能≥126Mpps；</w:t>
            </w:r>
            <w:r>
              <w:rPr>
                <w:rFonts w:hint="eastAsia" w:ascii="宋体" w:hAnsi="宋体" w:cs="宋体"/>
                <w:kern w:val="0"/>
                <w:sz w:val="20"/>
                <w:szCs w:val="20"/>
              </w:rPr>
              <w:br w:type="textWrapping"/>
            </w:r>
            <w:r>
              <w:rPr>
                <w:rFonts w:hint="eastAsia" w:ascii="宋体" w:hAnsi="宋体" w:cs="宋体"/>
                <w:kern w:val="0"/>
                <w:sz w:val="20"/>
                <w:szCs w:val="20"/>
              </w:rPr>
              <w:t>支持Openflow 1.3标准</w:t>
            </w:r>
            <w:r>
              <w:rPr>
                <w:rFonts w:hint="eastAsia" w:ascii="宋体" w:hAnsi="宋体" w:cs="宋体"/>
                <w:kern w:val="0"/>
                <w:sz w:val="20"/>
                <w:szCs w:val="20"/>
              </w:rPr>
              <w:br w:type="textWrapping"/>
            </w:r>
            <w:r>
              <w:rPr>
                <w:rFonts w:hint="eastAsia" w:ascii="宋体" w:hAnsi="宋体" w:cs="宋体"/>
                <w:kern w:val="0"/>
                <w:sz w:val="20"/>
                <w:szCs w:val="20"/>
              </w:rPr>
              <w:t>支持静态路由、RIP、RIPng、OSPF;</w:t>
            </w:r>
            <w:r>
              <w:rPr>
                <w:rFonts w:hint="eastAsia" w:ascii="宋体" w:hAnsi="宋体" w:cs="宋体"/>
                <w:kern w:val="0"/>
                <w:sz w:val="20"/>
                <w:szCs w:val="20"/>
              </w:rPr>
              <w:br w:type="textWrapping"/>
            </w:r>
            <w:r>
              <w:rPr>
                <w:rFonts w:hint="eastAsia" w:ascii="宋体" w:hAnsi="宋体" w:cs="宋体"/>
                <w:kern w:val="0"/>
                <w:sz w:val="20"/>
                <w:szCs w:val="20"/>
              </w:rPr>
              <w:t>支持最大9台设备虚拟化成一台逻辑设备；支持完善的堆叠分裂检测机制，堆叠分裂后能自动完成MAC和IP地址的重配置，无需手动干预</w:t>
            </w:r>
            <w:r>
              <w:rPr>
                <w:rFonts w:hint="eastAsia" w:ascii="宋体" w:hAnsi="宋体" w:cs="宋体"/>
                <w:kern w:val="0"/>
                <w:sz w:val="20"/>
                <w:szCs w:val="20"/>
              </w:rPr>
              <w:br w:type="textWrapping"/>
            </w:r>
            <w:r>
              <w:rPr>
                <w:rFonts w:hint="eastAsia" w:ascii="宋体" w:hAnsi="宋体" w:cs="宋体"/>
                <w:kern w:val="0"/>
                <w:sz w:val="20"/>
                <w:szCs w:val="20"/>
              </w:rPr>
              <w:t>支持本地端口镜像和远程端口镜像RSPAN；支持流镜像，同时支持N：M的端口镜像（M大于1）</w:t>
            </w:r>
            <w:r>
              <w:rPr>
                <w:rFonts w:hint="eastAsia" w:ascii="宋体" w:hAnsi="宋体" w:cs="宋体"/>
                <w:kern w:val="0"/>
                <w:sz w:val="20"/>
                <w:szCs w:val="20"/>
              </w:rPr>
              <w:br w:type="textWrapping"/>
            </w:r>
            <w:r>
              <w:rPr>
                <w:rFonts w:hint="eastAsia" w:ascii="宋体" w:hAnsi="宋体" w:cs="宋体"/>
                <w:kern w:val="0"/>
                <w:sz w:val="20"/>
                <w:szCs w:val="20"/>
              </w:rPr>
              <w:t>支持内置防雷技术，提供≥10KV业务端口防雷能力。</w:t>
            </w:r>
            <w:r>
              <w:rPr>
                <w:rFonts w:hint="eastAsia" w:ascii="宋体" w:hAnsi="宋体" w:cs="宋体"/>
                <w:kern w:val="0"/>
                <w:sz w:val="20"/>
                <w:szCs w:val="20"/>
              </w:rPr>
              <w:br w:type="textWrapping"/>
            </w:r>
            <w:r>
              <w:rPr>
                <w:rFonts w:hint="eastAsia" w:ascii="宋体" w:hAnsi="宋体" w:cs="宋体"/>
                <w:kern w:val="0"/>
                <w:sz w:val="20"/>
                <w:szCs w:val="20"/>
              </w:rPr>
              <w:t>支持纵向虚拟化</w:t>
            </w:r>
            <w:r>
              <w:rPr>
                <w:rFonts w:hint="eastAsia" w:ascii="宋体" w:hAnsi="宋体" w:cs="宋体"/>
                <w:kern w:val="0"/>
                <w:sz w:val="20"/>
                <w:szCs w:val="20"/>
              </w:rPr>
              <w:br w:type="textWrapping"/>
            </w:r>
            <w:r>
              <w:rPr>
                <w:rFonts w:hint="eastAsia" w:ascii="宋体" w:hAnsi="宋体" w:cs="宋体"/>
                <w:kern w:val="0"/>
                <w:sz w:val="20"/>
                <w:szCs w:val="20"/>
              </w:rPr>
              <w:t>采用节能芯片架构设计方案，实现低功耗，降低用户维护成本，采用多种绿色节能设计，端口自动节能，如果在一段时间内接口状态始终为down，则系统自动停止对该接口供电，自动进入节能模式；符合IEEE 802.3az（EEE）节能标准；端口定时down功能（Schedule job）；支持端口休眠，关闭没有应用的端口，节省能源。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机房租费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机柜租赁及电力配套3年</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只/3年</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机房辅材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机房系统集成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十、公安网-智安小区应用平台</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智安小区应用平台</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国产定制</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定制600个小区智安小区应用平台（管控）</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十一、智慧感知平台</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汇聚服务器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支持全系列Intel skylake/caselake至强系列处理器，配置CPU≥4114(2.2GHz/10核/)*2；内存≥64G DDR4-2666，内存最高≥3TB，内存插槽最大插槽数≥24，支持内存智能巡检；支持2.5" SAS/SATA/SSD热插拔硬盘;M.2热插拔硬盘，此次硬盘配置≥2.5"1.2T  10K SAS*2，硬盘高安全保障支持配置raid5，配置后冗余一个硬盘槽位；配置12Gb SAS HBA卡；配置万兆Mezz卡光口≥4；可无缝扩容支持P6和P4 GPU插卡；整机需国产自主研发品牌，节点、模块同一品牌；提供最近三年IDC全球刀片服务器市场销售量及金额排名前3位，提供IDC证明；整机无缝兼容并被纳管到原有社会面平台，并提供详细技术方案；整机高度不高于12U，支持≥16个半宽单高计算节点，背板带宽≥42T，支持≥6+2业务网上行互联模块；配置≥6个冗余电源，支持N+1冗余；配置冗余风扇，支持N+1冗余；配置≥2个冗余管理引擎，并支持跨主机节点管理；主机工作温度≥45度；配置≥2块冗余以太网互联模块，单块支持≥16个万兆+4个40GB的上行端口，≥34个对内万兆互联端口，两块需配置并实现虚拟化堆叠功能</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存储服务器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支持全系列Intel skylake/caselake至强系列处理器，配置CPU≥4114(2.2GHz/10核/)*2；内存≥192G DDR4-2666，内存最高≥3TB，内存插槽最大插槽数≥24，支持内存智能巡检；支持2.5"SAS/SATA/SSD热插拔硬盘;支持M.2热插拔硬盘；硬盘最大可配≥14块2.5" SAS/SATA/SSD硬盘，≥9块2.5" Nvme硬盘，≥2块M.2硬盘；此次硬盘配置≥480G SSD*2、1.2T 10K SAS*10，硬盘高安全保障支持配置raid5；配置12Gb SAS HBA卡；配置万兆Mezz卡光口≥4；可无缝扩容≥2块P6或P4 GPU插卡；工作温度≥45度；主机需无缝兼容并被纳管到原有社会面平台，并提供详细技术方案；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应用服务器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支持全系列Intel skylake/caselake至强系列处理器，配置CPU≥4114(2.2GHz/10核/)*2；内存≥192G DDR4-2666，内存最高≥3TB，内存插槽最大插槽数≥24，支持内存智能巡检；支持2.5"SAS/SATA/SSD热插拔硬盘;支持M.2热插拔硬盘；硬盘最大可配≥14块2.5" SAS/SATA/SSD硬盘，≥9块2.5" Nvme硬盘，≥2块M.2硬盘；此次硬盘配置≥480G SSD*2、1.2T 10K SAS*10，硬盘高安全保障支持配置raid5；配置12Gb SAS HBA卡；配置万兆Mezz卡光口≥4；可无缝扩容≥2块P6或P4 GPU插卡；工作温度≥45度；主机需无缝兼容并被纳管到原有社会面平台，并提供详细技术方案；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WEB系统服务器</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整机需国产自主研发品牌，节点、模块同一品牌；可配置≥3块双宽或8块单宽GPU卡；支持最高≥5-50°C标准工作温度；支持防火墙、IPS、防病毒和QoS的安全功能，支持国密VPN算法；配置CPU≥4114(2.2GHz/10核/)*2；内存≥96G DDR4-2933，内存最高≥3TB，内存插槽最大插槽数≥24，支持内存智能巡检；硬盘配置≥480G SSD*2*2、1.2T 10K SAS*6，硬盘高安全保障支持配置raid5；配置12Gb SAS HBA卡；配置万兆卡光口≥2；配置千兆电口口≥4；配置冗余电源；主机需无缝兼容并被纳管到原有社会面平台，并提供详细技术方案；</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华三、华为、中兴</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24个千兆电接口和4万兆SFP+光接口</w:t>
            </w:r>
            <w:r>
              <w:rPr>
                <w:rFonts w:hint="eastAsia" w:ascii="宋体" w:hAnsi="宋体" w:cs="宋体"/>
                <w:kern w:val="0"/>
                <w:sz w:val="20"/>
                <w:szCs w:val="20"/>
              </w:rPr>
              <w:br w:type="textWrapping"/>
            </w:r>
            <w:r>
              <w:rPr>
                <w:rFonts w:hint="eastAsia" w:ascii="宋体" w:hAnsi="宋体" w:cs="宋体"/>
                <w:kern w:val="0"/>
                <w:sz w:val="20"/>
                <w:szCs w:val="20"/>
              </w:rPr>
              <w:t>交换容量≥3.36Tbps，转发性能≥126Mpps；</w:t>
            </w:r>
            <w:r>
              <w:rPr>
                <w:rFonts w:hint="eastAsia" w:ascii="宋体" w:hAnsi="宋体" w:cs="宋体"/>
                <w:kern w:val="0"/>
                <w:sz w:val="20"/>
                <w:szCs w:val="20"/>
              </w:rPr>
              <w:br w:type="textWrapping"/>
            </w:r>
            <w:r>
              <w:rPr>
                <w:rFonts w:hint="eastAsia" w:ascii="宋体" w:hAnsi="宋体" w:cs="宋体"/>
                <w:kern w:val="0"/>
                <w:sz w:val="20"/>
                <w:szCs w:val="20"/>
              </w:rPr>
              <w:t>支持Openflow 1.3标准</w:t>
            </w:r>
            <w:r>
              <w:rPr>
                <w:rFonts w:hint="eastAsia" w:ascii="宋体" w:hAnsi="宋体" w:cs="宋体"/>
                <w:kern w:val="0"/>
                <w:sz w:val="20"/>
                <w:szCs w:val="20"/>
              </w:rPr>
              <w:br w:type="textWrapping"/>
            </w:r>
            <w:r>
              <w:rPr>
                <w:rFonts w:hint="eastAsia" w:ascii="宋体" w:hAnsi="宋体" w:cs="宋体"/>
                <w:kern w:val="0"/>
                <w:sz w:val="20"/>
                <w:szCs w:val="20"/>
              </w:rPr>
              <w:t>支持静态路由、RIP、RIPng、OSPF;</w:t>
            </w:r>
            <w:r>
              <w:rPr>
                <w:rFonts w:hint="eastAsia" w:ascii="宋体" w:hAnsi="宋体" w:cs="宋体"/>
                <w:kern w:val="0"/>
                <w:sz w:val="20"/>
                <w:szCs w:val="20"/>
              </w:rPr>
              <w:br w:type="textWrapping"/>
            </w:r>
            <w:r>
              <w:rPr>
                <w:rFonts w:hint="eastAsia" w:ascii="宋体" w:hAnsi="宋体" w:cs="宋体"/>
                <w:kern w:val="0"/>
                <w:sz w:val="20"/>
                <w:szCs w:val="20"/>
              </w:rPr>
              <w:t>支持最大9台设备虚拟化成一台逻辑设备；支持完善的堆叠分裂检测机制，堆叠分裂后能自动完成MAC和IP地址的重配置，无需手动干预</w:t>
            </w:r>
            <w:r>
              <w:rPr>
                <w:rFonts w:hint="eastAsia" w:ascii="宋体" w:hAnsi="宋体" w:cs="宋体"/>
                <w:kern w:val="0"/>
                <w:sz w:val="20"/>
                <w:szCs w:val="20"/>
              </w:rPr>
              <w:br w:type="textWrapping"/>
            </w:r>
            <w:r>
              <w:rPr>
                <w:rFonts w:hint="eastAsia" w:ascii="宋体" w:hAnsi="宋体" w:cs="宋体"/>
                <w:kern w:val="0"/>
                <w:sz w:val="20"/>
                <w:szCs w:val="20"/>
              </w:rPr>
              <w:t>支持本地端口镜像和远程端口镜像RSPAN；支持流镜像，同时支持N：M的端口镜像（M大于1）</w:t>
            </w:r>
            <w:r>
              <w:rPr>
                <w:rFonts w:hint="eastAsia" w:ascii="宋体" w:hAnsi="宋体" w:cs="宋体"/>
                <w:kern w:val="0"/>
                <w:sz w:val="20"/>
                <w:szCs w:val="20"/>
              </w:rPr>
              <w:br w:type="textWrapping"/>
            </w:r>
            <w:r>
              <w:rPr>
                <w:rFonts w:hint="eastAsia" w:ascii="宋体" w:hAnsi="宋体" w:cs="宋体"/>
                <w:kern w:val="0"/>
                <w:sz w:val="20"/>
                <w:szCs w:val="20"/>
              </w:rPr>
              <w:t>支持内置防雷技术，提供≥10KV业务端口防雷能力。</w:t>
            </w:r>
            <w:r>
              <w:rPr>
                <w:rFonts w:hint="eastAsia" w:ascii="宋体" w:hAnsi="宋体" w:cs="宋体"/>
                <w:kern w:val="0"/>
                <w:sz w:val="20"/>
                <w:szCs w:val="20"/>
              </w:rPr>
              <w:br w:type="textWrapping"/>
            </w:r>
            <w:r>
              <w:rPr>
                <w:rFonts w:hint="eastAsia" w:ascii="宋体" w:hAnsi="宋体" w:cs="宋体"/>
                <w:kern w:val="0"/>
                <w:sz w:val="20"/>
                <w:szCs w:val="20"/>
              </w:rPr>
              <w:t>支持纵向虚拟化</w:t>
            </w:r>
            <w:r>
              <w:rPr>
                <w:rFonts w:hint="eastAsia" w:ascii="宋体" w:hAnsi="宋体" w:cs="宋体"/>
                <w:kern w:val="0"/>
                <w:sz w:val="20"/>
                <w:szCs w:val="20"/>
              </w:rPr>
              <w:br w:type="textWrapping"/>
            </w:r>
            <w:r>
              <w:rPr>
                <w:rFonts w:hint="eastAsia" w:ascii="宋体" w:hAnsi="宋体" w:cs="宋体"/>
                <w:kern w:val="0"/>
                <w:sz w:val="20"/>
                <w:szCs w:val="20"/>
              </w:rPr>
              <w:t>采用节能芯片架构设计方案，实现低功耗，降低用户维护成本，采用多种绿色节能设计，端口自动节能，如果在一段时间内接口状态始终为down，则系统自动停止对该接口供电，自动进入节能模式；符合IEEE 802.3az（EEE）节能标准；端口定时down功能（Schedule job）；支持端口休眠，关闭没有应用的端口，节省能源；。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机房租费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机柜租赁及电力配套3年</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只/3年</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机房辅材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机房系统集成</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十二、运营商城域网安全</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防火墙</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华三、天融信、山石网科</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采用非X86多核架构，具备可插拔冗余电源模块，可插拔冗余风扇模块（多核架构需提供证明材料）</w:t>
            </w:r>
            <w:r>
              <w:rPr>
                <w:rFonts w:hint="eastAsia" w:ascii="宋体" w:hAnsi="宋体" w:cs="宋体"/>
                <w:kern w:val="0"/>
                <w:sz w:val="20"/>
                <w:szCs w:val="20"/>
              </w:rPr>
              <w:br w:type="textWrapping"/>
            </w:r>
            <w:r>
              <w:rPr>
                <w:rFonts w:hint="eastAsia" w:ascii="宋体" w:hAnsi="宋体" w:cs="宋体"/>
                <w:kern w:val="0"/>
                <w:sz w:val="20"/>
                <w:szCs w:val="20"/>
              </w:rPr>
              <w:t>配置14个千兆电口,8个千兆以太网光口,8个万兆接口</w:t>
            </w:r>
            <w:r>
              <w:rPr>
                <w:rFonts w:hint="eastAsia" w:ascii="宋体" w:hAnsi="宋体" w:cs="宋体"/>
                <w:kern w:val="0"/>
                <w:sz w:val="20"/>
                <w:szCs w:val="20"/>
              </w:rPr>
              <w:br w:type="textWrapping"/>
            </w:r>
            <w:r>
              <w:rPr>
                <w:rFonts w:hint="eastAsia" w:ascii="宋体" w:hAnsi="宋体" w:cs="宋体"/>
                <w:kern w:val="0"/>
                <w:sz w:val="20"/>
                <w:szCs w:val="20"/>
              </w:rPr>
              <w:t>性能要求 整机吞吐量≥20G,并发连接数≥1600万，每秒新建连接数≥50/s，并配置防病毒，IPS功能三年升级授权</w:t>
            </w:r>
            <w:r>
              <w:rPr>
                <w:rFonts w:hint="eastAsia" w:ascii="宋体" w:hAnsi="宋体" w:cs="宋体"/>
                <w:kern w:val="0"/>
                <w:sz w:val="20"/>
                <w:szCs w:val="20"/>
              </w:rPr>
              <w:br w:type="textWrapping"/>
            </w:r>
            <w:r>
              <w:rPr>
                <w:rFonts w:hint="eastAsia" w:ascii="宋体" w:hAnsi="宋体" w:cs="宋体"/>
                <w:kern w:val="0"/>
                <w:sz w:val="20"/>
                <w:szCs w:val="20"/>
              </w:rPr>
              <w:t>支持实现路由模式、透明（网桥）模式、混合模式,支持静态路由、策略路由、RIP、OSPF、BGP等路由协议,支持实现一对一、多对一、多对多等多种形式的NAT，实现DNS、FTP、H.323等多种NAT ALG功能。 NAT地址池支持动态探测和可用地址分配。</w:t>
            </w:r>
            <w:r>
              <w:rPr>
                <w:rFonts w:hint="eastAsia" w:ascii="宋体" w:hAnsi="宋体" w:cs="宋体"/>
                <w:kern w:val="0"/>
                <w:sz w:val="20"/>
                <w:szCs w:val="20"/>
              </w:rPr>
              <w:br w:type="textWrapping"/>
            </w:r>
            <w:r>
              <w:rPr>
                <w:rFonts w:hint="eastAsia" w:ascii="宋体" w:hAnsi="宋体" w:cs="宋体"/>
                <w:kern w:val="0"/>
                <w:sz w:val="20"/>
                <w:szCs w:val="20"/>
              </w:rPr>
              <w:t xml:space="preserve">实现高性能IPSec、L2TP、GRE VPN、SSL VPN等功能。支持IPsec VPN隧道自动建立，无需流量触发；支持IPsec VPN智能选路，根据应用和隧道质量调度流量。（提供功能截图） </w:t>
            </w:r>
            <w:r>
              <w:rPr>
                <w:rFonts w:hint="eastAsia" w:ascii="宋体" w:hAnsi="宋体" w:cs="宋体"/>
                <w:kern w:val="0"/>
                <w:sz w:val="20"/>
                <w:szCs w:val="20"/>
              </w:rPr>
              <w:br w:type="textWrapping"/>
            </w:r>
            <w:r>
              <w:rPr>
                <w:rFonts w:hint="eastAsia" w:ascii="宋体" w:hAnsi="宋体" w:cs="宋体"/>
                <w:kern w:val="0"/>
                <w:sz w:val="20"/>
                <w:szCs w:val="20"/>
              </w:rPr>
              <w:t>可针对HTTP/HTTPS的安全策略来专门为Web应用提供保护。对来自Web应用程序客户端的各类请求进行内容检测和验证，确保其安全性与合法性，对非法的请求予以实时阻断，从而对各类网站进行有效防护。</w:t>
            </w:r>
            <w:r>
              <w:rPr>
                <w:rFonts w:hint="eastAsia" w:ascii="宋体" w:hAnsi="宋体" w:cs="宋体"/>
                <w:kern w:val="0"/>
                <w:sz w:val="20"/>
                <w:szCs w:val="20"/>
              </w:rPr>
              <w:br w:type="textWrapping"/>
            </w:r>
            <w:r>
              <w:rPr>
                <w:rFonts w:hint="eastAsia" w:ascii="宋体" w:hAnsi="宋体" w:cs="宋体"/>
                <w:kern w:val="0"/>
                <w:sz w:val="20"/>
                <w:szCs w:val="20"/>
              </w:rPr>
              <w:t>支持sql注入、跨站脚本、远程代码执行、字符编码等攻击的防护，支持对网络设备、网页服务器、数据库等设备的专属特征分类，支持CC攻击防护，可基于检测请求报文头的X-forward-for字段，以获取真正的源IP地址（提供功能截图）</w:t>
            </w:r>
            <w:r>
              <w:rPr>
                <w:rFonts w:hint="eastAsia" w:ascii="宋体" w:hAnsi="宋体" w:cs="宋体"/>
                <w:kern w:val="0"/>
                <w:sz w:val="20"/>
                <w:szCs w:val="20"/>
              </w:rPr>
              <w:br w:type="textWrapping"/>
            </w:r>
            <w:r>
              <w:rPr>
                <w:rFonts w:hint="eastAsia" w:ascii="宋体" w:hAnsi="宋体" w:cs="宋体"/>
                <w:kern w:val="0"/>
                <w:sz w:val="20"/>
                <w:szCs w:val="20"/>
              </w:rPr>
              <w:t xml:space="preserve">▲支持至少5000条以上的应用识别，且提示风险类型及风险级别，便于用户根据实际情况进行上网行为管理。（提供产品配置界面截图） </w:t>
            </w:r>
            <w:r>
              <w:rPr>
                <w:rFonts w:hint="eastAsia" w:ascii="宋体" w:hAnsi="宋体" w:cs="宋体"/>
                <w:kern w:val="0"/>
                <w:sz w:val="20"/>
                <w:szCs w:val="20"/>
              </w:rPr>
              <w:br w:type="textWrapping"/>
            </w:r>
            <w:r>
              <w:rPr>
                <w:rFonts w:hint="eastAsia" w:ascii="宋体" w:hAnsi="宋体" w:cs="宋体"/>
                <w:kern w:val="0"/>
                <w:sz w:val="20"/>
                <w:szCs w:val="20"/>
              </w:rPr>
              <w:t>终端识别</w:t>
            </w:r>
            <w:r>
              <w:rPr>
                <w:rFonts w:hint="eastAsia" w:ascii="宋体" w:hAnsi="宋体" w:cs="宋体"/>
                <w:kern w:val="0"/>
                <w:sz w:val="20"/>
                <w:szCs w:val="20"/>
              </w:rPr>
              <w:br w:type="textWrapping"/>
            </w:r>
            <w:r>
              <w:rPr>
                <w:rFonts w:hint="eastAsia" w:ascii="宋体" w:hAnsi="宋体" w:cs="宋体"/>
                <w:kern w:val="0"/>
                <w:sz w:val="20"/>
                <w:szCs w:val="20"/>
              </w:rPr>
              <w:t xml:space="preserve">当终端流量流经设备时，设备可以分析并提取出终端信息，例如终端的厂商、型号等，并支持在终端信息发生变更时（比如将原厂商的摄像头换为其他厂商的摄像头）向用户发送日志，提示用户。（提供产品配置界面截图） </w:t>
            </w:r>
            <w:r>
              <w:rPr>
                <w:rFonts w:hint="eastAsia" w:ascii="宋体" w:hAnsi="宋体" w:cs="宋体"/>
                <w:kern w:val="0"/>
                <w:sz w:val="20"/>
                <w:szCs w:val="20"/>
              </w:rPr>
              <w:br w:type="textWrapping"/>
            </w:r>
            <w:r>
              <w:rPr>
                <w:rFonts w:hint="eastAsia" w:ascii="宋体" w:hAnsi="宋体" w:cs="宋体"/>
                <w:kern w:val="0"/>
                <w:sz w:val="20"/>
                <w:szCs w:val="20"/>
              </w:rPr>
              <w:t xml:space="preserve">支持云端防病毒，为保证检测时效性，特征缓存数至少保证20万条且缓存保留时间不应少于700分钟（提供产品配置界面截图） </w:t>
            </w:r>
            <w:r>
              <w:rPr>
                <w:rFonts w:hint="eastAsia" w:ascii="宋体" w:hAnsi="宋体" w:cs="宋体"/>
                <w:kern w:val="0"/>
                <w:sz w:val="20"/>
                <w:szCs w:val="20"/>
              </w:rPr>
              <w:br w:type="textWrapping"/>
            </w:r>
            <w:r>
              <w:rPr>
                <w:rFonts w:hint="eastAsia" w:ascii="宋体" w:hAnsi="宋体" w:cs="宋体"/>
                <w:kern w:val="0"/>
                <w:sz w:val="20"/>
                <w:szCs w:val="20"/>
              </w:rPr>
              <w:t xml:space="preserve">支持HTTPS加密流量的安全检测，支持TCP代理和SSL代理，且代理策略中可同时配置多类过滤条件，具体包括：源安全域、目的安全域、源地址、目的地址、用户和服务。一类过滤条件可以配置多个匹配项（提供产品配置界面截图） </w:t>
            </w:r>
            <w:r>
              <w:rPr>
                <w:rFonts w:hint="eastAsia" w:ascii="宋体" w:hAnsi="宋体" w:cs="宋体"/>
                <w:kern w:val="0"/>
                <w:sz w:val="20"/>
                <w:szCs w:val="20"/>
              </w:rPr>
              <w:br w:type="textWrapping"/>
            </w:r>
            <w:r>
              <w:rPr>
                <w:rFonts w:hint="eastAsia" w:ascii="宋体" w:hAnsi="宋体" w:cs="宋体"/>
                <w:kern w:val="0"/>
                <w:sz w:val="20"/>
                <w:szCs w:val="20"/>
              </w:rPr>
              <w:t xml:space="preserve">支持多出口智能选路，支持基于链路权重、带宽、配置优先级、链路质量、用户业务、运营商、域名、时间、DSCP、PPPoE、DNS、地址加权HASH等智能选路方式 </w:t>
            </w:r>
            <w:r>
              <w:rPr>
                <w:rFonts w:hint="eastAsia" w:ascii="宋体" w:hAnsi="宋体" w:cs="宋体"/>
                <w:kern w:val="0"/>
                <w:sz w:val="20"/>
                <w:szCs w:val="20"/>
              </w:rPr>
              <w:br w:type="textWrapping"/>
            </w:r>
            <w:r>
              <w:rPr>
                <w:rFonts w:hint="eastAsia" w:ascii="宋体" w:hAnsi="宋体" w:cs="宋体"/>
                <w:kern w:val="0"/>
                <w:sz w:val="20"/>
                <w:szCs w:val="20"/>
              </w:rPr>
              <w:t xml:space="preserve">支持DNS透明代理功能，可基于负载均衡算法代理内网用户进行DNS请求转发，避免单运营商DNS解析出现单一链路流量过载，平衡多条运营商线路的带宽利用率。（需提供设备功能界面截图证明） </w:t>
            </w:r>
            <w:r>
              <w:rPr>
                <w:rFonts w:hint="eastAsia" w:ascii="宋体" w:hAnsi="宋体" w:cs="宋体"/>
                <w:kern w:val="0"/>
                <w:sz w:val="20"/>
                <w:szCs w:val="20"/>
              </w:rPr>
              <w:br w:type="textWrapping"/>
            </w:r>
            <w:r>
              <w:rPr>
                <w:rFonts w:hint="eastAsia" w:ascii="宋体" w:hAnsi="宋体" w:cs="宋体"/>
                <w:kern w:val="0"/>
                <w:sz w:val="20"/>
                <w:szCs w:val="20"/>
              </w:rPr>
              <w:t xml:space="preserve">支持全局负载功能，支持就近性探测末班的配置（提供产品配置界面截图） </w:t>
            </w:r>
            <w:r>
              <w:rPr>
                <w:rFonts w:hint="eastAsia" w:ascii="宋体" w:hAnsi="宋体" w:cs="宋体"/>
                <w:kern w:val="0"/>
                <w:sz w:val="20"/>
                <w:szCs w:val="20"/>
              </w:rPr>
              <w:br w:type="textWrapping"/>
            </w:r>
            <w:r>
              <w:rPr>
                <w:rFonts w:hint="eastAsia" w:ascii="宋体" w:hAnsi="宋体" w:cs="宋体"/>
                <w:kern w:val="0"/>
                <w:sz w:val="20"/>
                <w:szCs w:val="20"/>
              </w:rPr>
              <w:t xml:space="preserve">支持流量自学习功能，可设置自学习时间，并自动生成DDoS防范策略。（提供功能截图） </w:t>
            </w:r>
            <w:r>
              <w:rPr>
                <w:rFonts w:hint="eastAsia" w:ascii="宋体" w:hAnsi="宋体" w:cs="宋体"/>
                <w:kern w:val="0"/>
                <w:sz w:val="20"/>
                <w:szCs w:val="20"/>
              </w:rPr>
              <w:br w:type="textWrapping"/>
            </w:r>
            <w:r>
              <w:rPr>
                <w:rFonts w:hint="eastAsia" w:ascii="宋体" w:hAnsi="宋体" w:cs="宋体"/>
                <w:kern w:val="0"/>
                <w:sz w:val="20"/>
                <w:szCs w:val="20"/>
              </w:rPr>
              <w:t xml:space="preserve">支持基于接口及IP的报文捕获，并将捕获到的报文生成Wireshark（一种网络封包分析软件）可识别的.cap后缀文件，保存到本地或外部服务器，供用户分析诊断出入设备的流量。（提供产品配置界面截图） </w:t>
            </w:r>
            <w:r>
              <w:rPr>
                <w:rFonts w:hint="eastAsia" w:ascii="宋体" w:hAnsi="宋体" w:cs="宋体"/>
                <w:kern w:val="0"/>
                <w:sz w:val="20"/>
                <w:szCs w:val="20"/>
              </w:rPr>
              <w:br w:type="textWrapping"/>
            </w:r>
            <w:r>
              <w:rPr>
                <w:rFonts w:hint="eastAsia" w:ascii="宋体" w:hAnsi="宋体" w:cs="宋体"/>
                <w:kern w:val="0"/>
                <w:sz w:val="20"/>
                <w:szCs w:val="20"/>
              </w:rPr>
              <w:t xml:space="preserve">支持丢包统计功能，用与分析和记录设备的转发流程和安全业务模块（如：攻击防范、会话管理和连接数限制等）丢弃报文的详细原因，通过查看各个模块丢弃报文的详细原因，有利于管理员对网络故障的快速排查和定位。提供产品配置界面截图） </w:t>
            </w:r>
            <w:r>
              <w:rPr>
                <w:rFonts w:hint="eastAsia" w:ascii="宋体" w:hAnsi="宋体" w:cs="宋体"/>
                <w:kern w:val="0"/>
                <w:sz w:val="20"/>
                <w:szCs w:val="20"/>
              </w:rPr>
              <w:br w:type="textWrapping"/>
            </w:r>
            <w:r>
              <w:rPr>
                <w:rFonts w:hint="eastAsia" w:ascii="宋体" w:hAnsi="宋体" w:cs="宋体"/>
                <w:kern w:val="0"/>
                <w:sz w:val="20"/>
                <w:szCs w:val="20"/>
              </w:rPr>
              <w:t xml:space="preserve">支持IPsec故障诊断功能，应支持至少三种诊断模式：数据流、接口、IP地址。用于检测IPsec连接的状态，当IPsec连接发生故障时，可以协助用户排查IPsec配置中的问题，并提供可能的原因。（提供功能截图） </w:t>
            </w:r>
            <w:r>
              <w:rPr>
                <w:rFonts w:hint="eastAsia" w:ascii="宋体" w:hAnsi="宋体" w:cs="宋体"/>
                <w:kern w:val="0"/>
                <w:sz w:val="20"/>
                <w:szCs w:val="20"/>
              </w:rPr>
              <w:br w:type="textWrapping"/>
            </w:r>
            <w:r>
              <w:rPr>
                <w:rFonts w:hint="eastAsia" w:ascii="宋体" w:hAnsi="宋体" w:cs="宋体"/>
                <w:kern w:val="0"/>
                <w:sz w:val="20"/>
                <w:szCs w:val="20"/>
              </w:rPr>
              <w:t xml:space="preserve">国密算法 支持国密SM2/3/4算法。（提供功能截图） </w:t>
            </w:r>
            <w:r>
              <w:rPr>
                <w:rFonts w:hint="eastAsia" w:ascii="宋体" w:hAnsi="宋体" w:cs="宋体"/>
                <w:kern w:val="0"/>
                <w:sz w:val="20"/>
                <w:szCs w:val="20"/>
              </w:rPr>
              <w:br w:type="textWrapping"/>
            </w:r>
            <w:r>
              <w:rPr>
                <w:rFonts w:hint="eastAsia" w:ascii="宋体" w:hAnsi="宋体" w:cs="宋体"/>
                <w:kern w:val="0"/>
                <w:sz w:val="20"/>
                <w:szCs w:val="20"/>
              </w:rPr>
              <w:t>▲所投设备须支持虚拟防火墙功能：支持虚拟防火墙的创建、启动、关闭、删除功能；可独立分配CPU/内存等计算资源；虚拟防火墙可独立管理，独立保存配置；虚拟防火墙具备独立会话管理、NAT、路由等功能，支持2台设备堆叠成一台设备使用，实现统一管理，统一配置，所投设备支持高可靠性（包含主备/主主模式）部署，上述功能要求须提国家相关部委认可的第三方实验室测试报告证明，提供报告复印件</w:t>
            </w:r>
            <w:r>
              <w:rPr>
                <w:rFonts w:hint="eastAsia" w:ascii="宋体" w:hAnsi="宋体" w:cs="宋体"/>
                <w:kern w:val="0"/>
                <w:sz w:val="20"/>
                <w:szCs w:val="20"/>
              </w:rPr>
              <w:br w:type="textWrapping"/>
            </w:r>
            <w:r>
              <w:rPr>
                <w:rFonts w:hint="eastAsia" w:ascii="宋体" w:hAnsi="宋体" w:cs="宋体"/>
                <w:kern w:val="0"/>
                <w:sz w:val="20"/>
                <w:szCs w:val="20"/>
              </w:rPr>
              <w:t>提供开放API接口（RESTful，NetConf），可编程管理防火墙，不再仅依赖网管软件。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安全数据交换系统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视频安全接入系统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十三、视频专网安全</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安全数据交换系统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视频安全接入系统</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利用原有项目设备</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wBefore w:w="0" w:type="dxa"/>
          <w:wAfter w:w="0" w:type="dxa"/>
          <w:trHeight w:val="600" w:hRule="atLeast"/>
        </w:trPr>
        <w:tc>
          <w:tcPr>
            <w:tcW w:w="1382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十四、监理费用</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监理费</w:t>
            </w:r>
          </w:p>
        </w:tc>
        <w:tc>
          <w:tcPr>
            <w:tcW w:w="27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1标段+2标段</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笔</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bl>
    <w:p>
      <w:pPr>
        <w:pStyle w:val="4"/>
        <w:sectPr>
          <w:pgSz w:w="16838" w:h="11906" w:orient="landscape"/>
          <w:pgMar w:top="1701" w:right="1418" w:bottom="1418" w:left="1418" w:header="851" w:footer="851" w:gutter="0"/>
          <w:cols w:space="720" w:num="1"/>
          <w:titlePg/>
          <w:docGrid w:type="lines" w:linePitch="312" w:charSpace="0"/>
        </w:sectPr>
      </w:pPr>
    </w:p>
    <w:p>
      <w:pPr>
        <w:pStyle w:val="78"/>
        <w:ind w:firstLine="480" w:firstLineChars="0"/>
        <w:rPr>
          <w:rFonts w:hint="eastAsia" w:eastAsia="仿宋_GB2312"/>
          <w:b/>
          <w:kern w:val="44"/>
          <w:sz w:val="44"/>
          <w:szCs w:val="20"/>
        </w:rPr>
      </w:pPr>
      <w:r>
        <w:rPr>
          <w:b/>
          <w:bCs/>
          <w:sz w:val="24"/>
        </w:rPr>
        <w:t>注：对应参数需提供检测报告、</w:t>
      </w:r>
      <w:r>
        <w:rPr>
          <w:rFonts w:hint="eastAsia"/>
          <w:b/>
          <w:bCs/>
          <w:sz w:val="24"/>
        </w:rPr>
        <w:t>厂家功能承诺函</w:t>
      </w:r>
      <w:r>
        <w:rPr>
          <w:rFonts w:hint="eastAsia"/>
          <w:b/>
          <w:bCs/>
          <w:sz w:val="24"/>
          <w:lang w:eastAsia="zh-CN"/>
        </w:rPr>
        <w:t>、</w:t>
      </w:r>
      <w:r>
        <w:rPr>
          <w:b/>
          <w:bCs/>
          <w:sz w:val="24"/>
        </w:rPr>
        <w:t>对应截图作为确认依据，投标时提供复印件并加盖</w:t>
      </w:r>
      <w:r>
        <w:rPr>
          <w:rFonts w:hint="eastAsia"/>
          <w:b/>
          <w:bCs/>
          <w:sz w:val="24"/>
          <w:lang w:eastAsia="zh-CN"/>
        </w:rPr>
        <w:t>投标人</w:t>
      </w:r>
      <w:r>
        <w:rPr>
          <w:b/>
          <w:bCs/>
          <w:sz w:val="24"/>
        </w:rPr>
        <w:t>公章。</w:t>
      </w:r>
      <w:bookmarkEnd w:id="11"/>
      <w:bookmarkEnd w:id="12"/>
      <w:bookmarkEnd w:id="13"/>
      <w:bookmarkEnd w:id="14"/>
      <w:bookmarkEnd w:id="15"/>
    </w:p>
    <w:p>
      <w:pPr>
        <w:snapToGrid w:val="0"/>
        <w:spacing w:line="580" w:lineRule="exact"/>
        <w:jc w:val="left"/>
        <w:rPr>
          <w:rFonts w:hint="eastAsia" w:ascii="宋体" w:hAnsi="宋体"/>
          <w:b/>
          <w:kern w:val="44"/>
          <w:sz w:val="24"/>
          <w:bdr w:val="single" w:color="auto" w:sz="4" w:space="0"/>
        </w:rPr>
      </w:pPr>
      <w:r>
        <w:rPr>
          <w:rFonts w:hint="eastAsia" w:ascii="宋体" w:hAnsi="宋体"/>
          <w:b/>
          <w:kern w:val="44"/>
          <w:sz w:val="24"/>
          <w:bdr w:val="single" w:color="auto" w:sz="4" w:space="0"/>
        </w:rPr>
        <w:t>02标</w:t>
      </w:r>
    </w:p>
    <w:p>
      <w:pPr>
        <w:pStyle w:val="3"/>
        <w:numPr>
          <w:ilvl w:val="0"/>
          <w:numId w:val="0"/>
        </w:numPr>
        <w:tabs>
          <w:tab w:val="clear" w:pos="1145"/>
        </w:tabs>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项目概况</w:t>
      </w:r>
    </w:p>
    <w:p>
      <w:pPr>
        <w:numPr>
          <w:ilvl w:val="0"/>
          <w:numId w:val="19"/>
        </w:numPr>
        <w:spacing w:line="360" w:lineRule="auto"/>
        <w:rPr>
          <w:rFonts w:ascii="宋体" w:hAnsi="宋体"/>
          <w:b/>
          <w:sz w:val="24"/>
        </w:rPr>
      </w:pPr>
      <w:r>
        <w:rPr>
          <w:rFonts w:ascii="宋体" w:hAnsi="宋体"/>
          <w:b/>
          <w:sz w:val="24"/>
        </w:rPr>
        <w:t>项目简介</w:t>
      </w:r>
    </w:p>
    <w:p>
      <w:pPr>
        <w:spacing w:line="440" w:lineRule="exact"/>
        <w:ind w:firstLine="480" w:firstLineChars="200"/>
        <w:rPr>
          <w:rFonts w:ascii="仿宋_GB2312" w:eastAsia="仿宋_GB2312"/>
          <w:sz w:val="24"/>
        </w:rPr>
      </w:pPr>
      <w:r>
        <w:rPr>
          <w:rFonts w:ascii="宋体" w:hAnsi="宋体"/>
          <w:sz w:val="24"/>
        </w:rPr>
        <w:t>智安小区建设</w:t>
      </w:r>
      <w:r>
        <w:rPr>
          <w:rFonts w:hint="eastAsia" w:ascii="宋体" w:hAnsi="宋体"/>
          <w:sz w:val="24"/>
        </w:rPr>
        <w:t>和社会面停车场车辆数据采集联网</w:t>
      </w:r>
      <w:r>
        <w:rPr>
          <w:rFonts w:ascii="宋体" w:hAnsi="宋体"/>
          <w:sz w:val="24"/>
        </w:rPr>
        <w:t>是建设社会治安防控体系、构建和谐社会和平安社会的重要组成部分。为推进智安小区建设，构筑基层社会管理和服务体系，国家下发了多个政策文件指导平安建设，包括：中共中央、国务院《中共中央国务院关于实施乡村振兴战略的意见》</w:t>
      </w:r>
      <w:r>
        <w:rPr>
          <w:rFonts w:hint="eastAsia" w:ascii="宋体" w:hAnsi="宋体"/>
          <w:sz w:val="24"/>
        </w:rPr>
        <w:t>、</w:t>
      </w:r>
      <w:r>
        <w:rPr>
          <w:rFonts w:ascii="宋体" w:hAnsi="宋体"/>
          <w:sz w:val="24"/>
        </w:rPr>
        <w:t>九部委《关于加强公共安全视频监控建设联网应用工作的若干意见》、</w:t>
      </w:r>
      <w:r>
        <w:rPr>
          <w:rFonts w:hint="eastAsia" w:ascii="宋体" w:hAnsi="宋体"/>
          <w:sz w:val="24"/>
        </w:rPr>
        <w:t>省委办公厅、省政府办公厅《关于加强社会治安防控体系建设的实施意见》，</w:t>
      </w:r>
      <w:r>
        <w:rPr>
          <w:rFonts w:ascii="宋体" w:hAnsi="宋体"/>
          <w:sz w:val="24"/>
        </w:rPr>
        <w:t>对于加强小区</w:t>
      </w:r>
      <w:r>
        <w:rPr>
          <w:rFonts w:hint="eastAsia" w:ascii="宋体" w:hAnsi="宋体"/>
          <w:sz w:val="24"/>
        </w:rPr>
        <w:t>和社会面停车场</w:t>
      </w:r>
      <w:r>
        <w:rPr>
          <w:rFonts w:ascii="宋体" w:hAnsi="宋体"/>
          <w:sz w:val="24"/>
        </w:rPr>
        <w:t>治安防控网建设，深化城乡社区**战略，全面提高社区治安综合治理水平提出了要求。</w:t>
      </w:r>
      <w:r>
        <w:rPr>
          <w:rFonts w:hint="eastAsia" w:ascii="宋体" w:hAnsi="宋体"/>
          <w:sz w:val="24"/>
        </w:rPr>
        <w:t>结合我区实际情况，特制定本实施方案。</w:t>
      </w:r>
    </w:p>
    <w:p>
      <w:pPr>
        <w:numPr>
          <w:ilvl w:val="0"/>
          <w:numId w:val="19"/>
        </w:numPr>
        <w:spacing w:line="360" w:lineRule="auto"/>
        <w:rPr>
          <w:rFonts w:ascii="宋体" w:hAnsi="宋体"/>
          <w:b/>
          <w:sz w:val="24"/>
        </w:rPr>
      </w:pPr>
      <w:r>
        <w:rPr>
          <w:rFonts w:ascii="宋体" w:hAnsi="宋体"/>
          <w:b/>
          <w:sz w:val="24"/>
        </w:rPr>
        <w:t>建设目标</w:t>
      </w:r>
    </w:p>
    <w:p>
      <w:pPr>
        <w:spacing w:line="360" w:lineRule="auto"/>
        <w:ind w:firstLine="480"/>
        <w:rPr>
          <w:rFonts w:ascii="宋体" w:hAnsi="宋体"/>
          <w:sz w:val="24"/>
        </w:rPr>
      </w:pPr>
      <w:r>
        <w:rPr>
          <w:rFonts w:ascii="宋体" w:hAnsi="宋体"/>
          <w:sz w:val="24"/>
        </w:rPr>
        <w:t>依照相关国家政策规范，从“公共安全”、“社区治理”两个维度出发，做到信息掌握到位、治安防控到位。通过人员管理、车辆管理等物联感知系统，建立起“人防部署到位、物防设施完善、技术手段先进、应急处置高效”的集管理、防范、控制于一体的小区治安保障体系，对各类事件做到预知、预判、预防、预警和有效处置，切实加强社区的安全保障能力和应急响应能力。同时，通过</w:t>
      </w:r>
      <w:r>
        <w:rPr>
          <w:rFonts w:hint="eastAsia" w:ascii="宋体" w:hAnsi="宋体"/>
          <w:sz w:val="24"/>
        </w:rPr>
        <w:t>绍兴市公安局</w:t>
      </w:r>
      <w:r>
        <w:rPr>
          <w:rFonts w:ascii="宋体" w:hAnsi="宋体"/>
          <w:sz w:val="24"/>
        </w:rPr>
        <w:t>越城区</w:t>
      </w:r>
      <w:r>
        <w:rPr>
          <w:rFonts w:hint="eastAsia" w:ascii="宋体" w:hAnsi="宋体"/>
          <w:sz w:val="24"/>
        </w:rPr>
        <w:t>分局</w:t>
      </w:r>
      <w:r>
        <w:rPr>
          <w:rFonts w:ascii="宋体" w:hAnsi="宋体"/>
          <w:sz w:val="24"/>
        </w:rPr>
        <w:t>平台汇聚整合各类物联感知信息资源，建立跨区域共享服务平台，解决社区信息采集单一、无法实时与上级部门共享数据等问题，实现更精细的社会治理。整体工作进程安排如下：</w:t>
      </w:r>
    </w:p>
    <w:p>
      <w:pPr>
        <w:spacing w:line="360" w:lineRule="auto"/>
        <w:ind w:firstLine="480"/>
        <w:rPr>
          <w:rFonts w:ascii="宋体" w:hAnsi="宋体"/>
          <w:sz w:val="24"/>
        </w:rPr>
      </w:pPr>
      <w:r>
        <w:rPr>
          <w:rFonts w:hint="eastAsia" w:ascii="宋体" w:hAnsi="宋体"/>
          <w:sz w:val="24"/>
        </w:rPr>
        <w:t>（1）</w:t>
      </w:r>
      <w:r>
        <w:rPr>
          <w:rFonts w:ascii="宋体" w:hAnsi="宋体"/>
          <w:sz w:val="24"/>
        </w:rPr>
        <w:t>定点：挑选越城区重点小区进行全面勘察，以全面管理进出人员、车辆为核心，建立小区治安防护圈。选址主要考虑各个小区的人员进出口、车辆出入口。各感知点位彼此关联，形成小区治安防护圈，对进出的人车进行全面采集，以达到最佳防控效果。</w:t>
      </w:r>
    </w:p>
    <w:p>
      <w:pPr>
        <w:spacing w:line="360" w:lineRule="auto"/>
        <w:ind w:firstLine="480"/>
        <w:rPr>
          <w:rFonts w:ascii="宋体" w:hAnsi="宋体"/>
          <w:sz w:val="24"/>
        </w:rPr>
      </w:pPr>
      <w:r>
        <w:rPr>
          <w:rFonts w:ascii="宋体" w:hAnsi="宋体"/>
          <w:sz w:val="24"/>
        </w:rPr>
        <w:t>（2）建设：招投标工作完成后，根据招标文件要求中标单位按时完成建设工作，由绍兴市公安局越城区分局负责工程的验收考核。</w:t>
      </w:r>
    </w:p>
    <w:p>
      <w:pPr>
        <w:numPr>
          <w:ilvl w:val="0"/>
          <w:numId w:val="19"/>
        </w:numPr>
        <w:spacing w:line="360" w:lineRule="auto"/>
        <w:rPr>
          <w:rFonts w:ascii="宋体" w:hAnsi="宋体"/>
          <w:b/>
          <w:sz w:val="24"/>
        </w:rPr>
      </w:pPr>
      <w:r>
        <w:rPr>
          <w:rFonts w:ascii="宋体" w:hAnsi="宋体"/>
          <w:b/>
          <w:sz w:val="24"/>
        </w:rPr>
        <w:t>采购原则</w:t>
      </w:r>
    </w:p>
    <w:p>
      <w:pPr>
        <w:spacing w:line="360" w:lineRule="auto"/>
        <w:ind w:firstLine="480"/>
        <w:rPr>
          <w:rFonts w:ascii="宋体" w:hAnsi="宋体"/>
          <w:sz w:val="24"/>
        </w:rPr>
      </w:pPr>
      <w:r>
        <w:rPr>
          <w:rFonts w:ascii="宋体" w:hAnsi="宋体"/>
          <w:sz w:val="24"/>
        </w:rPr>
        <w:t>（1）本着“实用、可靠、先进、经济”的原则，充分利用现有资源，结合采购人的具体情况和实际工作需求进行配置。</w:t>
      </w:r>
    </w:p>
    <w:p>
      <w:pPr>
        <w:spacing w:line="360" w:lineRule="auto"/>
        <w:ind w:firstLine="480"/>
        <w:rPr>
          <w:rFonts w:ascii="宋体" w:hAnsi="宋体"/>
          <w:sz w:val="24"/>
        </w:rPr>
      </w:pPr>
      <w:r>
        <w:rPr>
          <w:rFonts w:ascii="宋体" w:hAnsi="宋体"/>
          <w:sz w:val="24"/>
        </w:rPr>
        <w:t>（2）在技术和系统容量上留有充分扩展余地，在较长时间内保持系统的先进性。</w:t>
      </w:r>
    </w:p>
    <w:p>
      <w:pPr>
        <w:spacing w:line="360" w:lineRule="auto"/>
        <w:ind w:firstLine="480"/>
        <w:rPr>
          <w:rFonts w:ascii="宋体" w:hAnsi="宋体"/>
          <w:sz w:val="24"/>
        </w:rPr>
      </w:pPr>
      <w:r>
        <w:rPr>
          <w:rFonts w:ascii="宋体" w:hAnsi="宋体"/>
          <w:sz w:val="24"/>
        </w:rPr>
        <w:t>（3）本项目按照绍兴市公安局越城区分局提出的建设标准，提供相应的技术服务。</w:t>
      </w:r>
    </w:p>
    <w:p>
      <w:pPr>
        <w:pStyle w:val="3"/>
        <w:numPr>
          <w:ilvl w:val="0"/>
          <w:numId w:val="0"/>
        </w:numPr>
        <w:tabs>
          <w:tab w:val="clear" w:pos="1145"/>
        </w:tabs>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项目技术要求</w:t>
      </w:r>
    </w:p>
    <w:p>
      <w:pPr>
        <w:numPr>
          <w:ilvl w:val="0"/>
          <w:numId w:val="20"/>
        </w:numPr>
        <w:spacing w:line="360" w:lineRule="auto"/>
        <w:rPr>
          <w:rFonts w:ascii="宋体" w:hAnsi="宋体"/>
          <w:b/>
          <w:sz w:val="24"/>
        </w:rPr>
      </w:pPr>
      <w:r>
        <w:rPr>
          <w:rFonts w:ascii="宋体" w:hAnsi="宋体"/>
          <w:b/>
          <w:sz w:val="24"/>
        </w:rPr>
        <w:t>总体要求</w:t>
      </w:r>
    </w:p>
    <w:p>
      <w:pPr>
        <w:spacing w:line="360" w:lineRule="auto"/>
        <w:ind w:firstLine="480"/>
        <w:rPr>
          <w:rFonts w:ascii="宋体" w:hAnsi="宋体"/>
          <w:sz w:val="24"/>
        </w:rPr>
      </w:pPr>
      <w:r>
        <w:rPr>
          <w:rFonts w:ascii="宋体" w:hAnsi="宋体"/>
          <w:sz w:val="24"/>
        </w:rPr>
        <w:t>本次招标</w:t>
      </w:r>
      <w:r>
        <w:rPr>
          <w:sz w:val="24"/>
        </w:rPr>
        <w:t>各个小区的</w:t>
      </w:r>
      <w:r>
        <w:rPr>
          <w:rFonts w:hint="eastAsia"/>
          <w:sz w:val="24"/>
        </w:rPr>
        <w:t>高清监控</w:t>
      </w:r>
      <w:r>
        <w:rPr>
          <w:sz w:val="24"/>
        </w:rPr>
        <w:t>、车数据通过通信运营商或有线电视网络运营商</w:t>
      </w:r>
      <w:r>
        <w:rPr>
          <w:rFonts w:hint="eastAsia"/>
          <w:sz w:val="24"/>
        </w:rPr>
        <w:t>城域网</w:t>
      </w:r>
      <w:r>
        <w:rPr>
          <w:rFonts w:hint="eastAsia" w:ascii="宋体" w:hAnsi="宋体"/>
          <w:sz w:val="24"/>
        </w:rPr>
        <w:t>(VPN)</w:t>
      </w:r>
      <w:r>
        <w:rPr>
          <w:sz w:val="24"/>
        </w:rPr>
        <w:t xml:space="preserve"> 进行汇聚</w:t>
      </w:r>
      <w:r>
        <w:rPr>
          <w:rFonts w:hint="eastAsia"/>
          <w:sz w:val="24"/>
        </w:rPr>
        <w:t>；</w:t>
      </w:r>
      <w:r>
        <w:rPr>
          <w:sz w:val="24"/>
        </w:rPr>
        <w:t>各个小区的</w:t>
      </w:r>
      <w:r>
        <w:rPr>
          <w:rFonts w:hint="eastAsia"/>
          <w:sz w:val="24"/>
        </w:rPr>
        <w:t>人、智慧感知数据</w:t>
      </w:r>
      <w:r>
        <w:rPr>
          <w:sz w:val="24"/>
        </w:rPr>
        <w:t>通过公安视频</w:t>
      </w:r>
      <w:r>
        <w:rPr>
          <w:rFonts w:hint="eastAsia"/>
          <w:sz w:val="24"/>
        </w:rPr>
        <w:t>专网</w:t>
      </w:r>
      <w:r>
        <w:rPr>
          <w:sz w:val="24"/>
        </w:rPr>
        <w:t>进行汇聚</w:t>
      </w:r>
      <w:r>
        <w:rPr>
          <w:rFonts w:hint="eastAsia"/>
          <w:sz w:val="24"/>
        </w:rPr>
        <w:t>；推送至本项目1标段中标方</w:t>
      </w:r>
      <w:r>
        <w:rPr>
          <w:rFonts w:hint="eastAsia" w:ascii="宋体" w:hAnsi="宋体"/>
          <w:sz w:val="24"/>
        </w:rPr>
        <w:t>中心机房</w:t>
      </w:r>
      <w:r>
        <w:rPr>
          <w:rFonts w:ascii="宋体" w:hAnsi="宋体"/>
          <w:sz w:val="24"/>
        </w:rPr>
        <w:t>。</w:t>
      </w:r>
    </w:p>
    <w:p>
      <w:pPr>
        <w:spacing w:line="360" w:lineRule="auto"/>
        <w:ind w:firstLine="480"/>
        <w:rPr>
          <w:rFonts w:ascii="宋体" w:hAnsi="宋体"/>
          <w:sz w:val="24"/>
        </w:rPr>
      </w:pPr>
      <w:r>
        <w:rPr>
          <w:rFonts w:ascii="宋体" w:hAnsi="宋体"/>
          <w:sz w:val="24"/>
        </w:rPr>
        <w:t>其中前端采集感知系统采用高清数字网络的方式，按照“既满足需求，又适度超前”的设计原则，以光纤网络为基础，实现全数字化信号传输。</w:t>
      </w:r>
    </w:p>
    <w:p>
      <w:pPr>
        <w:numPr>
          <w:ilvl w:val="0"/>
          <w:numId w:val="20"/>
        </w:numPr>
        <w:spacing w:line="360" w:lineRule="auto"/>
        <w:rPr>
          <w:rFonts w:ascii="宋体" w:hAnsi="宋体"/>
          <w:b/>
          <w:sz w:val="24"/>
        </w:rPr>
      </w:pPr>
      <w:r>
        <w:rPr>
          <w:rFonts w:ascii="宋体" w:hAnsi="宋体"/>
          <w:b/>
          <w:sz w:val="24"/>
        </w:rPr>
        <w:t>系统总体建设要求</w:t>
      </w:r>
    </w:p>
    <w:p>
      <w:pPr>
        <w:pStyle w:val="199"/>
        <w:spacing w:line="360" w:lineRule="auto"/>
        <w:ind w:left="0" w:firstLine="354" w:firstLineChars="147"/>
        <w:rPr>
          <w:rFonts w:ascii="宋体" w:hAnsi="宋体"/>
          <w:b/>
          <w:sz w:val="24"/>
          <w:szCs w:val="24"/>
        </w:rPr>
      </w:pPr>
      <w:r>
        <w:rPr>
          <w:rFonts w:hint="eastAsia" w:ascii="宋体" w:hAnsi="宋体"/>
          <w:b/>
          <w:sz w:val="24"/>
          <w:szCs w:val="24"/>
        </w:rPr>
        <w:t>（1）</w:t>
      </w:r>
      <w:r>
        <w:rPr>
          <w:rFonts w:ascii="宋体" w:hAnsi="宋体"/>
          <w:b/>
          <w:sz w:val="24"/>
          <w:szCs w:val="24"/>
        </w:rPr>
        <w:t>总体建设需求</w:t>
      </w:r>
    </w:p>
    <w:p>
      <w:pPr>
        <w:spacing w:line="360" w:lineRule="auto"/>
        <w:ind w:firstLine="480"/>
        <w:rPr>
          <w:rFonts w:ascii="宋体" w:hAnsi="宋体"/>
          <w:sz w:val="24"/>
        </w:rPr>
      </w:pPr>
      <w:r>
        <w:rPr>
          <w:rFonts w:ascii="宋体" w:hAnsi="宋体"/>
          <w:sz w:val="24"/>
        </w:rPr>
        <w:t>本次</w:t>
      </w:r>
      <w:r>
        <w:rPr>
          <w:rFonts w:hint="eastAsia" w:ascii="宋体" w:hAnsi="宋体"/>
          <w:sz w:val="24"/>
        </w:rPr>
        <w:t>越城区小区及社会面停车场车辆数据采集联网</w:t>
      </w:r>
      <w:r>
        <w:rPr>
          <w:rFonts w:ascii="宋体" w:hAnsi="宋体"/>
          <w:sz w:val="24"/>
        </w:rPr>
        <w:t>建设主要依托于在小区</w:t>
      </w:r>
      <w:r>
        <w:rPr>
          <w:rFonts w:hint="eastAsia" w:ascii="宋体" w:hAnsi="宋体"/>
          <w:sz w:val="24"/>
        </w:rPr>
        <w:t>及社会面停车场车辆</w:t>
      </w:r>
      <w:r>
        <w:rPr>
          <w:rFonts w:ascii="宋体" w:hAnsi="宋体"/>
          <w:sz w:val="24"/>
        </w:rPr>
        <w:t>建设人脸识别、车辆抓拍前端感知系统，在不影响居民正常生活的基础之上，采集公安治安防控所需要的数据，并</w:t>
      </w:r>
      <w:r>
        <w:rPr>
          <w:rFonts w:hint="eastAsia" w:ascii="宋体" w:hAnsi="宋体"/>
          <w:sz w:val="24"/>
        </w:rPr>
        <w:t>根据实际情况</w:t>
      </w:r>
      <w:r>
        <w:rPr>
          <w:rFonts w:ascii="宋体" w:hAnsi="宋体"/>
          <w:sz w:val="24"/>
        </w:rPr>
        <w:t>接入到视频专网</w:t>
      </w:r>
      <w:r>
        <w:rPr>
          <w:rFonts w:hint="eastAsia" w:ascii="宋体" w:hAnsi="宋体"/>
          <w:sz w:val="24"/>
        </w:rPr>
        <w:t>或城域网</w:t>
      </w:r>
      <w:r>
        <w:rPr>
          <w:rFonts w:ascii="宋体" w:hAnsi="宋体"/>
          <w:sz w:val="24"/>
        </w:rPr>
        <w:t>，完成数据的采集。</w:t>
      </w:r>
    </w:p>
    <w:p>
      <w:pPr>
        <w:numPr>
          <w:ilvl w:val="0"/>
          <w:numId w:val="20"/>
        </w:numPr>
        <w:spacing w:line="360" w:lineRule="auto"/>
        <w:rPr>
          <w:rFonts w:ascii="宋体" w:hAnsi="宋体"/>
          <w:b/>
          <w:sz w:val="24"/>
        </w:rPr>
      </w:pPr>
      <w:r>
        <w:rPr>
          <w:rFonts w:ascii="宋体" w:hAnsi="宋体"/>
          <w:b/>
          <w:sz w:val="24"/>
        </w:rPr>
        <w:t>人脸识别系统建设要求</w:t>
      </w:r>
    </w:p>
    <w:p>
      <w:pPr>
        <w:pStyle w:val="199"/>
        <w:spacing w:line="360" w:lineRule="auto"/>
        <w:ind w:left="0" w:firstLine="360" w:firstLineChars="150"/>
        <w:rPr>
          <w:rFonts w:ascii="宋体" w:hAnsi="宋体"/>
          <w:sz w:val="24"/>
          <w:szCs w:val="24"/>
        </w:rPr>
      </w:pPr>
      <w:r>
        <w:rPr>
          <w:rFonts w:hint="eastAsia" w:ascii="宋体" w:hAnsi="宋体"/>
          <w:sz w:val="24"/>
          <w:szCs w:val="24"/>
        </w:rPr>
        <w:t>（1）</w:t>
      </w:r>
      <w:r>
        <w:rPr>
          <w:rFonts w:ascii="宋体" w:hAnsi="宋体"/>
          <w:sz w:val="24"/>
          <w:szCs w:val="24"/>
        </w:rPr>
        <w:t>系统概述</w:t>
      </w:r>
    </w:p>
    <w:p>
      <w:pPr>
        <w:spacing w:line="360" w:lineRule="auto"/>
        <w:ind w:firstLine="420" w:firstLineChars="175"/>
        <w:rPr>
          <w:rFonts w:ascii="宋体" w:hAnsi="宋体"/>
          <w:sz w:val="24"/>
        </w:rPr>
      </w:pPr>
      <w:r>
        <w:rPr>
          <w:rFonts w:ascii="宋体" w:hAnsi="宋体"/>
          <w:sz w:val="24"/>
        </w:rPr>
        <w:t>本次建设中将在指定小区的各个人员出入口处设立人脸抓拍机，以采集各出入口处进出人员人脸信息。</w:t>
      </w:r>
    </w:p>
    <w:p>
      <w:pPr>
        <w:spacing w:line="360" w:lineRule="auto"/>
        <w:ind w:firstLine="420" w:firstLineChars="175"/>
        <w:rPr>
          <w:rFonts w:ascii="宋体" w:hAnsi="宋体"/>
          <w:sz w:val="24"/>
        </w:rPr>
      </w:pPr>
      <w:r>
        <w:rPr>
          <w:rFonts w:ascii="宋体" w:hAnsi="宋体"/>
          <w:sz w:val="24"/>
        </w:rPr>
        <w:t>各抓拍人脸信息以供后端平台用作实时预警、检索以及数据碰撞等作用，前端设备数量详见清单，后端服务器建设在中心平台。</w:t>
      </w:r>
    </w:p>
    <w:p>
      <w:pPr>
        <w:spacing w:line="360" w:lineRule="auto"/>
        <w:ind w:firstLine="360" w:firstLineChars="150"/>
        <w:rPr>
          <w:rFonts w:ascii="宋体" w:hAnsi="宋体"/>
          <w:kern w:val="0"/>
          <w:sz w:val="24"/>
        </w:rPr>
      </w:pPr>
      <w:r>
        <w:rPr>
          <w:rFonts w:hint="eastAsia" w:ascii="宋体" w:hAnsi="宋体"/>
          <w:kern w:val="0"/>
          <w:sz w:val="24"/>
        </w:rPr>
        <w:t>（2）</w:t>
      </w:r>
      <w:r>
        <w:rPr>
          <w:rFonts w:ascii="宋体" w:hAnsi="宋体"/>
          <w:kern w:val="0"/>
          <w:sz w:val="24"/>
        </w:rPr>
        <w:t>系统组成</w:t>
      </w:r>
    </w:p>
    <w:p>
      <w:pPr>
        <w:spacing w:line="360" w:lineRule="auto"/>
        <w:ind w:firstLine="420" w:firstLineChars="175"/>
        <w:rPr>
          <w:rFonts w:ascii="宋体" w:hAnsi="宋体"/>
          <w:sz w:val="24"/>
        </w:rPr>
      </w:pPr>
      <w:r>
        <w:rPr>
          <w:rFonts w:ascii="宋体" w:hAnsi="宋体"/>
          <w:sz w:val="24"/>
        </w:rPr>
        <w:t>针对具体人员信息采集监控点位的实际情况，摄像机部署于监控立杆，网络传输设备、光纤盒、电源等部署于室外机箱。</w:t>
      </w:r>
    </w:p>
    <w:p>
      <w:pPr>
        <w:pStyle w:val="199"/>
        <w:spacing w:line="360" w:lineRule="auto"/>
        <w:ind w:left="0" w:firstLine="360" w:firstLineChars="150"/>
        <w:rPr>
          <w:rFonts w:ascii="宋体" w:hAnsi="宋体"/>
          <w:sz w:val="24"/>
          <w:szCs w:val="24"/>
        </w:rPr>
      </w:pPr>
      <w:r>
        <w:rPr>
          <w:rFonts w:hint="eastAsia" w:ascii="宋体" w:hAnsi="宋体"/>
          <w:sz w:val="24"/>
          <w:szCs w:val="24"/>
        </w:rPr>
        <w:t>（3）</w:t>
      </w:r>
      <w:r>
        <w:rPr>
          <w:rFonts w:ascii="宋体" w:hAnsi="宋体"/>
          <w:sz w:val="24"/>
          <w:szCs w:val="24"/>
        </w:rPr>
        <w:t>部署场景分类</w:t>
      </w:r>
    </w:p>
    <w:p>
      <w:pPr>
        <w:spacing w:line="360" w:lineRule="auto"/>
        <w:ind w:firstLine="420" w:firstLineChars="175"/>
        <w:rPr>
          <w:rFonts w:ascii="宋体" w:hAnsi="宋体"/>
          <w:sz w:val="24"/>
        </w:rPr>
      </w:pPr>
      <w:r>
        <w:rPr>
          <w:rFonts w:ascii="宋体" w:hAnsi="宋体"/>
          <w:sz w:val="24"/>
        </w:rPr>
        <w:t>对于通道式的人员进出场景，部署枪型人脸抓拍机，满足对通道人员抓拍的全覆盖；</w:t>
      </w:r>
    </w:p>
    <w:p>
      <w:pPr>
        <w:spacing w:line="360" w:lineRule="auto"/>
        <w:ind w:firstLine="420" w:firstLineChars="175"/>
        <w:rPr>
          <w:rFonts w:ascii="宋体" w:hAnsi="宋体"/>
          <w:sz w:val="24"/>
        </w:rPr>
      </w:pPr>
      <w:r>
        <w:rPr>
          <w:rFonts w:ascii="宋体" w:hAnsi="宋体"/>
          <w:sz w:val="24"/>
        </w:rPr>
        <w:t>对于人车混行的通道式场景，部署人脸-车辆双图像抓拍机，满足通道的大场景监控，以及对场景内人、车的捕获；</w:t>
      </w:r>
    </w:p>
    <w:p>
      <w:pPr>
        <w:spacing w:line="360" w:lineRule="auto"/>
        <w:ind w:firstLine="420" w:firstLineChars="175"/>
        <w:rPr>
          <w:rFonts w:ascii="宋体" w:hAnsi="宋体"/>
          <w:sz w:val="24"/>
        </w:rPr>
      </w:pPr>
      <w:r>
        <w:rPr>
          <w:rFonts w:ascii="宋体" w:hAnsi="宋体"/>
          <w:sz w:val="24"/>
        </w:rPr>
        <w:t>对于小区门口等开阔型大场景，部署枪球联动摄像机，实现大场景和细节监控、人脸抓拍，还可用于抓拍未经人员道闸出入入小区人员、如通过车辆道闸出入等情况进行记录，强化社区出入口人员管控措施。</w:t>
      </w:r>
    </w:p>
    <w:p>
      <w:pPr>
        <w:pStyle w:val="199"/>
        <w:spacing w:line="360" w:lineRule="auto"/>
        <w:ind w:left="0" w:firstLine="480" w:firstLineChars="200"/>
        <w:rPr>
          <w:rFonts w:ascii="宋体" w:hAnsi="宋体"/>
          <w:sz w:val="24"/>
          <w:szCs w:val="24"/>
        </w:rPr>
      </w:pPr>
      <w:r>
        <w:rPr>
          <w:rFonts w:hint="eastAsia" w:ascii="宋体" w:hAnsi="宋体"/>
          <w:sz w:val="24"/>
          <w:szCs w:val="24"/>
        </w:rPr>
        <w:t>（4）</w:t>
      </w:r>
      <w:r>
        <w:rPr>
          <w:rFonts w:ascii="宋体" w:hAnsi="宋体"/>
          <w:sz w:val="24"/>
          <w:szCs w:val="24"/>
        </w:rPr>
        <w:t>部署环境要求</w:t>
      </w:r>
    </w:p>
    <w:p>
      <w:pPr>
        <w:spacing w:line="360" w:lineRule="auto"/>
        <w:ind w:firstLine="420" w:firstLineChars="175"/>
        <w:rPr>
          <w:rFonts w:ascii="宋体" w:hAnsi="宋体"/>
          <w:sz w:val="24"/>
        </w:rPr>
      </w:pPr>
      <w:r>
        <w:rPr>
          <w:rFonts w:ascii="宋体" w:hAnsi="宋体"/>
          <w:sz w:val="24"/>
        </w:rPr>
        <w:t>人脸识别准确率受前端设备安装位置、现场光照（如过暗、过亮）等因素影响较大，为保证人脸抓拍单元采集效果，对环境要求建议如下：</w:t>
      </w:r>
    </w:p>
    <w:p>
      <w:pPr>
        <w:spacing w:line="360" w:lineRule="auto"/>
        <w:ind w:firstLine="420" w:firstLineChars="175"/>
        <w:rPr>
          <w:rFonts w:ascii="宋体" w:hAnsi="宋体"/>
          <w:sz w:val="24"/>
        </w:rPr>
      </w:pPr>
      <w:r>
        <w:rPr>
          <w:rFonts w:ascii="宋体" w:hAnsi="宋体"/>
          <w:sz w:val="24"/>
        </w:rPr>
        <w:t>选择合适监控点的人员通道安装环境，以确保人员具有唯一的通行方向，抓拍到该方向上经过人员的正脸；</w:t>
      </w:r>
    </w:p>
    <w:p>
      <w:pPr>
        <w:spacing w:line="360" w:lineRule="auto"/>
        <w:ind w:firstLine="420" w:firstLineChars="175"/>
        <w:rPr>
          <w:rFonts w:ascii="宋体" w:hAnsi="宋体"/>
          <w:sz w:val="24"/>
        </w:rPr>
      </w:pPr>
      <w:r>
        <w:rPr>
          <w:rFonts w:ascii="宋体" w:hAnsi="宋体"/>
          <w:sz w:val="24"/>
        </w:rPr>
        <w:t>目标区域周围漫反射，无闪烁，光照不低于100Lux，人脸区域光照均匀，无明显高光或反差，前端设备应避免强光直射或逆光安装，若需逆光安装，则应降低人脸区域对比度；如果现场的光线不满足上述任意一条要求，应通过遮挡光线或者补光的方法优化现场的光照条件。</w:t>
      </w:r>
    </w:p>
    <w:p>
      <w:pPr>
        <w:pStyle w:val="199"/>
        <w:spacing w:line="360" w:lineRule="auto"/>
        <w:rPr>
          <w:rFonts w:ascii="宋体" w:hAnsi="宋体"/>
          <w:sz w:val="24"/>
          <w:szCs w:val="24"/>
        </w:rPr>
      </w:pPr>
      <w:r>
        <w:rPr>
          <w:rFonts w:hint="eastAsia" w:ascii="宋体" w:hAnsi="宋体"/>
          <w:sz w:val="24"/>
          <w:szCs w:val="24"/>
        </w:rPr>
        <w:t>（5）</w:t>
      </w:r>
      <w:r>
        <w:rPr>
          <w:rFonts w:ascii="宋体" w:hAnsi="宋体"/>
          <w:sz w:val="24"/>
          <w:szCs w:val="24"/>
        </w:rPr>
        <w:t>系统功能</w:t>
      </w:r>
    </w:p>
    <w:p>
      <w:pPr>
        <w:spacing w:line="360" w:lineRule="auto"/>
        <w:ind w:firstLine="420" w:firstLineChars="175"/>
        <w:rPr>
          <w:rFonts w:ascii="宋体" w:hAnsi="宋体"/>
          <w:sz w:val="24"/>
        </w:rPr>
      </w:pPr>
      <w:r>
        <w:rPr>
          <w:rFonts w:ascii="宋体" w:hAnsi="宋体"/>
          <w:sz w:val="24"/>
        </w:rPr>
        <w:t>人脸抓拍机内嵌人脸算法，支持人脸抓拍功能，能够对经过设定区域的行人进行人脸检测和人脸跟踪，利用人脸质量评分算法从人脸数据中筛选出一张最优的人脸图像作为该行人的抓拍图像，详细功能如下：</w:t>
      </w:r>
    </w:p>
    <w:p>
      <w:pPr>
        <w:spacing w:line="360" w:lineRule="auto"/>
        <w:ind w:firstLine="420" w:firstLineChars="175"/>
        <w:rPr>
          <w:rFonts w:ascii="宋体" w:hAnsi="宋体"/>
          <w:sz w:val="24"/>
        </w:rPr>
      </w:pPr>
      <w:r>
        <w:rPr>
          <w:rFonts w:ascii="宋体" w:hAnsi="宋体"/>
          <w:sz w:val="24"/>
        </w:rPr>
        <w:t>支持同时对画面中15个以上的人脸进行检测和抓拍；</w:t>
      </w:r>
    </w:p>
    <w:p>
      <w:pPr>
        <w:spacing w:line="360" w:lineRule="auto"/>
        <w:ind w:firstLine="420" w:firstLineChars="175"/>
        <w:rPr>
          <w:rFonts w:ascii="宋体" w:hAnsi="宋体"/>
          <w:sz w:val="24"/>
        </w:rPr>
      </w:pPr>
      <w:r>
        <w:rPr>
          <w:rFonts w:ascii="宋体" w:hAnsi="宋体"/>
          <w:sz w:val="24"/>
        </w:rPr>
        <w:t>人脸抓拍准确率90%以上；</w:t>
      </w:r>
    </w:p>
    <w:p>
      <w:pPr>
        <w:spacing w:line="360" w:lineRule="auto"/>
        <w:ind w:firstLine="420" w:firstLineChars="175"/>
        <w:rPr>
          <w:rFonts w:ascii="宋体" w:hAnsi="宋体"/>
          <w:sz w:val="24"/>
        </w:rPr>
      </w:pPr>
      <w:r>
        <w:rPr>
          <w:rFonts w:ascii="宋体" w:hAnsi="宋体"/>
          <w:sz w:val="24"/>
        </w:rPr>
        <w:t>内置基于人脸的性别分类功能；</w:t>
      </w:r>
    </w:p>
    <w:p>
      <w:pPr>
        <w:spacing w:line="360" w:lineRule="auto"/>
        <w:ind w:firstLine="420" w:firstLineChars="175"/>
        <w:rPr>
          <w:rFonts w:ascii="宋体" w:hAnsi="宋体"/>
          <w:sz w:val="24"/>
        </w:rPr>
      </w:pPr>
      <w:r>
        <w:rPr>
          <w:rFonts w:ascii="宋体" w:hAnsi="宋体"/>
          <w:sz w:val="24"/>
        </w:rPr>
        <w:t>内置基于人脸的年龄段分类功能；</w:t>
      </w:r>
    </w:p>
    <w:p>
      <w:pPr>
        <w:spacing w:line="360" w:lineRule="auto"/>
        <w:ind w:firstLine="420" w:firstLineChars="175"/>
        <w:rPr>
          <w:rFonts w:ascii="宋体" w:hAnsi="宋体"/>
          <w:sz w:val="24"/>
        </w:rPr>
      </w:pPr>
      <w:r>
        <w:rPr>
          <w:rFonts w:ascii="宋体" w:hAnsi="宋体"/>
          <w:sz w:val="24"/>
        </w:rPr>
        <w:t>支持通道内的人脸检测、分类（年龄、性别）、捕获；</w:t>
      </w:r>
    </w:p>
    <w:p>
      <w:pPr>
        <w:spacing w:line="360" w:lineRule="auto"/>
        <w:ind w:firstLine="420" w:firstLineChars="175"/>
        <w:rPr>
          <w:rFonts w:ascii="宋体" w:hAnsi="宋体"/>
          <w:sz w:val="24"/>
        </w:rPr>
      </w:pPr>
      <w:r>
        <w:rPr>
          <w:rFonts w:ascii="宋体" w:hAnsi="宋体"/>
          <w:sz w:val="24"/>
        </w:rPr>
        <w:t>支持人脸图像优选功能，输出捕获的最佳人脸图像；</w:t>
      </w:r>
    </w:p>
    <w:p>
      <w:pPr>
        <w:spacing w:line="360" w:lineRule="auto"/>
        <w:ind w:firstLine="420" w:firstLineChars="175"/>
        <w:rPr>
          <w:rFonts w:ascii="宋体" w:hAnsi="宋体"/>
          <w:sz w:val="24"/>
        </w:rPr>
      </w:pPr>
      <w:r>
        <w:rPr>
          <w:rFonts w:ascii="宋体" w:hAnsi="宋体"/>
          <w:sz w:val="24"/>
        </w:rPr>
        <w:t>支持人脸区域自动曝光功能，能够根据外部不同场景以及光照变化自动控制调节曝光参数，确保在逆光等情况下抓拍人脸仍较为清晰。</w:t>
      </w:r>
    </w:p>
    <w:p>
      <w:pPr>
        <w:numPr>
          <w:ilvl w:val="0"/>
          <w:numId w:val="20"/>
        </w:numPr>
        <w:spacing w:line="360" w:lineRule="auto"/>
        <w:rPr>
          <w:rFonts w:ascii="宋体" w:hAnsi="宋体"/>
          <w:b/>
          <w:sz w:val="24"/>
        </w:rPr>
      </w:pPr>
      <w:r>
        <w:rPr>
          <w:rFonts w:ascii="宋体" w:hAnsi="宋体"/>
          <w:b/>
          <w:sz w:val="24"/>
        </w:rPr>
        <w:t>车辆抓拍系统建设要求</w:t>
      </w:r>
    </w:p>
    <w:p>
      <w:pPr>
        <w:pStyle w:val="199"/>
        <w:spacing w:line="360" w:lineRule="auto"/>
        <w:rPr>
          <w:rFonts w:ascii="宋体" w:hAnsi="宋体"/>
          <w:sz w:val="24"/>
          <w:szCs w:val="24"/>
        </w:rPr>
      </w:pPr>
      <w:r>
        <w:rPr>
          <w:rFonts w:hint="eastAsia" w:ascii="宋体" w:hAnsi="宋体"/>
          <w:sz w:val="24"/>
          <w:szCs w:val="24"/>
        </w:rPr>
        <w:t>（1）</w:t>
      </w:r>
      <w:r>
        <w:rPr>
          <w:rFonts w:ascii="宋体" w:hAnsi="宋体"/>
          <w:sz w:val="24"/>
          <w:szCs w:val="24"/>
        </w:rPr>
        <w:t>系统概述</w:t>
      </w:r>
    </w:p>
    <w:p>
      <w:pPr>
        <w:spacing w:line="360" w:lineRule="auto"/>
        <w:ind w:firstLine="420" w:firstLineChars="175"/>
        <w:rPr>
          <w:rFonts w:ascii="宋体" w:hAnsi="宋体"/>
          <w:sz w:val="24"/>
        </w:rPr>
      </w:pPr>
      <w:r>
        <w:rPr>
          <w:rFonts w:ascii="宋体" w:hAnsi="宋体"/>
          <w:sz w:val="24"/>
        </w:rPr>
        <w:t>本次建设将在智安小区中的主要车辆通道部署车辆抓拍机，根据街道、社区路网环境、治安形势特点及发案规律，采用科学合理的布点规划，结合“防控圈+防控口”的布点模型，通过灵活配置卡口前端感知设备，实现车辆最后一公里管控，实现机动车辆的实时监控。采用车辆识别系统提供车辆号牌等视频结构化数据，在具有道路监控功能的基础上，具有机动车通行记录、机动车特征属性（车牌号码、车牌颜色）自动提取、特征属性视频标签自动叠加等功能，解决传统的视频监控模式海量视频录像堆砌在中心，需要大量人力投入进行人工查证的问题；同时促成监控业务模式从事后查证到主动视频防控的质的飞跃。为监控业务模式从事后查证到主动视频防控的模式转变提供了技术手段。</w:t>
      </w:r>
    </w:p>
    <w:p>
      <w:pPr>
        <w:pStyle w:val="199"/>
        <w:spacing w:line="360" w:lineRule="auto"/>
        <w:ind w:left="840"/>
        <w:rPr>
          <w:rFonts w:ascii="宋体" w:hAnsi="宋体"/>
          <w:sz w:val="24"/>
          <w:szCs w:val="24"/>
        </w:rPr>
      </w:pPr>
      <w:r>
        <w:rPr>
          <w:rFonts w:hint="eastAsia" w:ascii="宋体" w:hAnsi="宋体"/>
          <w:sz w:val="24"/>
          <w:szCs w:val="24"/>
        </w:rPr>
        <w:t>（2）</w:t>
      </w:r>
      <w:r>
        <w:rPr>
          <w:rFonts w:ascii="宋体" w:hAnsi="宋体"/>
          <w:sz w:val="24"/>
          <w:szCs w:val="24"/>
        </w:rPr>
        <w:t>系统组成</w:t>
      </w:r>
    </w:p>
    <w:p>
      <w:pPr>
        <w:spacing w:line="360" w:lineRule="auto"/>
        <w:ind w:firstLine="420" w:firstLineChars="175"/>
        <w:rPr>
          <w:rFonts w:ascii="宋体" w:hAnsi="宋体"/>
          <w:sz w:val="24"/>
        </w:rPr>
      </w:pPr>
      <w:r>
        <w:rPr>
          <w:rFonts w:ascii="宋体" w:hAnsi="宋体"/>
          <w:sz w:val="24"/>
        </w:rPr>
        <w:t>车辆抓拍单元负责完成道路机动车的信息采集、识别、分类上传，包括车辆照片、车牌号码与车牌颜色等，主要由抓拍单元组成。</w:t>
      </w:r>
    </w:p>
    <w:p>
      <w:pPr>
        <w:pStyle w:val="199"/>
        <w:spacing w:line="360" w:lineRule="auto"/>
        <w:ind w:left="840"/>
        <w:rPr>
          <w:rFonts w:ascii="宋体" w:hAnsi="宋体"/>
          <w:sz w:val="24"/>
          <w:szCs w:val="24"/>
        </w:rPr>
      </w:pPr>
      <w:r>
        <w:rPr>
          <w:rFonts w:hint="eastAsia" w:ascii="宋体" w:hAnsi="宋体"/>
          <w:sz w:val="24"/>
          <w:szCs w:val="24"/>
        </w:rPr>
        <w:t>（3）</w:t>
      </w:r>
      <w:r>
        <w:rPr>
          <w:rFonts w:ascii="宋体" w:hAnsi="宋体"/>
          <w:sz w:val="24"/>
          <w:szCs w:val="24"/>
        </w:rPr>
        <w:t>部署场景分类</w:t>
      </w:r>
    </w:p>
    <w:p>
      <w:pPr>
        <w:spacing w:line="360" w:lineRule="auto"/>
        <w:ind w:firstLine="420" w:firstLineChars="175"/>
        <w:rPr>
          <w:rFonts w:hint="eastAsia" w:ascii="宋体" w:hAnsi="宋体"/>
          <w:sz w:val="24"/>
        </w:rPr>
      </w:pPr>
      <w:r>
        <w:rPr>
          <w:rFonts w:ascii="宋体" w:hAnsi="宋体"/>
          <w:sz w:val="24"/>
        </w:rPr>
        <w:t>对于已建设车辆出入口道闸系统的小区，采用车辆信息采集器，将原有道闸系统相机拍摄采集的车辆车牌号码，进出时间，照片等数据上传到数据采集转发平台；</w:t>
      </w:r>
    </w:p>
    <w:p>
      <w:pPr>
        <w:spacing w:line="360" w:lineRule="auto"/>
        <w:ind w:firstLine="420" w:firstLineChars="175"/>
        <w:rPr>
          <w:rFonts w:ascii="宋体" w:hAnsi="宋体"/>
          <w:sz w:val="24"/>
        </w:rPr>
      </w:pPr>
      <w:r>
        <w:rPr>
          <w:rFonts w:ascii="宋体" w:hAnsi="宋体"/>
          <w:sz w:val="24"/>
        </w:rPr>
        <w:t>对于已未建设车辆出入口道闸系统的小区，需在原有的车辆出入口道闸就近安装低位车辆出入口抓拍机，实现车头细节图片抓拍；</w:t>
      </w:r>
    </w:p>
    <w:p>
      <w:pPr>
        <w:spacing w:line="360" w:lineRule="auto"/>
        <w:ind w:firstLine="420" w:firstLineChars="175"/>
        <w:rPr>
          <w:rFonts w:ascii="宋体" w:hAnsi="宋体"/>
          <w:sz w:val="24"/>
        </w:rPr>
      </w:pPr>
      <w:r>
        <w:rPr>
          <w:rFonts w:ascii="宋体" w:hAnsi="宋体"/>
          <w:sz w:val="24"/>
        </w:rPr>
        <w:t>对于不方便建设低位杆的场景，则选择在小区主要车辆通道安装高杆车辆卡口抓拍机，实现视频监控以及车辆图片的抓拍；</w:t>
      </w:r>
    </w:p>
    <w:p>
      <w:pPr>
        <w:spacing w:line="360" w:lineRule="auto"/>
        <w:ind w:firstLine="420" w:firstLineChars="175"/>
        <w:rPr>
          <w:rFonts w:ascii="宋体" w:hAnsi="宋体"/>
          <w:sz w:val="24"/>
        </w:rPr>
      </w:pPr>
      <w:r>
        <w:rPr>
          <w:rFonts w:ascii="宋体" w:hAnsi="宋体"/>
          <w:sz w:val="24"/>
        </w:rPr>
        <w:t>对于人车混行的通道式场景，部署人脸-车辆双图像抓拍机，满足通道的大场景监控，以及对场景内人、车的捕获；</w:t>
      </w:r>
    </w:p>
    <w:p>
      <w:pPr>
        <w:spacing w:line="360" w:lineRule="auto"/>
        <w:ind w:firstLine="420" w:firstLineChars="175"/>
        <w:rPr>
          <w:rFonts w:ascii="宋体" w:hAnsi="宋体"/>
          <w:sz w:val="24"/>
        </w:rPr>
      </w:pPr>
      <w:r>
        <w:rPr>
          <w:rFonts w:ascii="宋体" w:hAnsi="宋体"/>
          <w:sz w:val="24"/>
        </w:rPr>
        <w:t>对于小区门口等开阔型大场景，部署枪球联动摄像机，实现大场景和细节监控、车辆抓拍，满足车辆抓拍不遗漏。</w:t>
      </w:r>
    </w:p>
    <w:p>
      <w:pPr>
        <w:pStyle w:val="199"/>
        <w:spacing w:line="360" w:lineRule="auto"/>
        <w:ind w:left="840"/>
        <w:rPr>
          <w:rFonts w:ascii="宋体" w:hAnsi="宋体"/>
          <w:sz w:val="24"/>
          <w:szCs w:val="24"/>
        </w:rPr>
      </w:pPr>
      <w:r>
        <w:rPr>
          <w:rFonts w:hint="eastAsia" w:ascii="宋体" w:hAnsi="宋体"/>
          <w:sz w:val="24"/>
          <w:szCs w:val="24"/>
        </w:rPr>
        <w:t>（4）</w:t>
      </w:r>
      <w:r>
        <w:rPr>
          <w:rFonts w:ascii="宋体" w:hAnsi="宋体"/>
          <w:sz w:val="24"/>
          <w:szCs w:val="24"/>
        </w:rPr>
        <w:t>系统功能</w:t>
      </w:r>
    </w:p>
    <w:p>
      <w:pPr>
        <w:spacing w:line="360" w:lineRule="auto"/>
        <w:ind w:firstLine="422" w:firstLineChars="175"/>
        <w:rPr>
          <w:rFonts w:ascii="宋体" w:hAnsi="宋体"/>
          <w:sz w:val="24"/>
        </w:rPr>
      </w:pPr>
      <w:r>
        <w:rPr>
          <w:rFonts w:ascii="宋体" w:hAnsi="宋体"/>
          <w:b/>
          <w:sz w:val="24"/>
        </w:rPr>
        <w:t>机动车通行记录抓拍：</w:t>
      </w:r>
      <w:r>
        <w:rPr>
          <w:rFonts w:ascii="宋体" w:hAnsi="宋体"/>
          <w:sz w:val="24"/>
        </w:rPr>
        <w:t>系统能够对通过智慧监控点视频检测分析区域的机动车进行自动记录，抓拍1张照片并生成一条机动车通行记录。</w:t>
      </w:r>
    </w:p>
    <w:p>
      <w:pPr>
        <w:spacing w:line="360" w:lineRule="auto"/>
        <w:ind w:firstLine="422" w:firstLineChars="175"/>
        <w:rPr>
          <w:rFonts w:ascii="宋体" w:hAnsi="宋体"/>
          <w:sz w:val="24"/>
        </w:rPr>
      </w:pPr>
      <w:r>
        <w:rPr>
          <w:rFonts w:ascii="宋体" w:hAnsi="宋体"/>
          <w:b/>
          <w:sz w:val="24"/>
        </w:rPr>
        <w:t>机动车车牌识别：</w:t>
      </w:r>
      <w:r>
        <w:rPr>
          <w:rFonts w:ascii="宋体" w:hAnsi="宋体"/>
          <w:sz w:val="24"/>
        </w:rPr>
        <w:t>系统通过机动车号牌定位、字符切分、字符匹配和图像预处理实现号牌自动识别功能。可识别“92式”“02式”民用车牌和军车、警车等特殊号牌，可以识别车牌颜色。系统可以识别蓝、黄、黑、白、绿五种号牌颜色，并可根据不同的号牌颜色区分车辆类型。</w:t>
      </w:r>
    </w:p>
    <w:p>
      <w:pPr>
        <w:tabs>
          <w:tab w:val="left" w:pos="840"/>
        </w:tabs>
        <w:spacing w:line="360" w:lineRule="auto"/>
        <w:ind w:firstLine="422" w:firstLineChars="175"/>
        <w:rPr>
          <w:rFonts w:ascii="宋体" w:hAnsi="宋体"/>
          <w:sz w:val="24"/>
        </w:rPr>
      </w:pPr>
      <w:r>
        <w:rPr>
          <w:rFonts w:ascii="宋体" w:hAnsi="宋体"/>
          <w:b/>
          <w:sz w:val="24"/>
        </w:rPr>
        <w:t>视频标签自动叠加：</w:t>
      </w:r>
      <w:r>
        <w:rPr>
          <w:rFonts w:ascii="宋体" w:hAnsi="宋体"/>
          <w:sz w:val="24"/>
        </w:rPr>
        <w:t>系统自动将车牌号码、车牌颜色等车辆特征属性信息的识别结果以视频标签的形式叠加到录像视频流中并与抓拍的图片进行关联。</w:t>
      </w:r>
    </w:p>
    <w:p>
      <w:pPr>
        <w:tabs>
          <w:tab w:val="left" w:pos="840"/>
        </w:tabs>
        <w:spacing w:line="360" w:lineRule="auto"/>
        <w:ind w:firstLine="422" w:firstLineChars="175"/>
        <w:rPr>
          <w:rFonts w:ascii="宋体" w:hAnsi="宋体"/>
          <w:sz w:val="24"/>
        </w:rPr>
      </w:pPr>
      <w:r>
        <w:rPr>
          <w:rFonts w:ascii="宋体" w:hAnsi="宋体"/>
          <w:b/>
          <w:sz w:val="24"/>
        </w:rPr>
        <w:t>录像视频及图片快速检索：</w:t>
      </w:r>
      <w:r>
        <w:rPr>
          <w:rFonts w:ascii="宋体" w:hAnsi="宋体"/>
          <w:sz w:val="24"/>
        </w:rPr>
        <w:t>用户可根据车辆号牌、车牌颜色等车辆特征属性信息结合通行地点、通行时间进行精确或模糊条件查询，快速检索定位到所需关注的对象的录像视频及图片。</w:t>
      </w:r>
    </w:p>
    <w:p>
      <w:pPr>
        <w:numPr>
          <w:ilvl w:val="0"/>
          <w:numId w:val="20"/>
        </w:numPr>
        <w:spacing w:line="360" w:lineRule="auto"/>
        <w:rPr>
          <w:rFonts w:ascii="宋体" w:hAnsi="宋体"/>
          <w:b/>
          <w:sz w:val="24"/>
        </w:rPr>
      </w:pPr>
      <w:r>
        <w:rPr>
          <w:rFonts w:ascii="宋体" w:hAnsi="宋体"/>
          <w:b/>
          <w:sz w:val="24"/>
        </w:rPr>
        <w:t>智能感知系统建设要求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50"/>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 w:hRule="atLeast"/>
        </w:trPr>
        <w:tc>
          <w:tcPr>
            <w:tcW w:w="8508" w:type="dxa"/>
            <w:gridSpan w:val="3"/>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rPr>
                <w:rFonts w:ascii="宋体" w:hAnsi="宋体"/>
                <w:b/>
                <w:sz w:val="24"/>
              </w:rPr>
            </w:pPr>
            <w:r>
              <w:rPr>
                <w:rFonts w:hint="eastAsia" w:ascii="宋体" w:hAnsi="宋体"/>
                <w:b/>
                <w:sz w:val="24"/>
              </w:rPr>
              <w:t>前端要求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trPr>
        <w:tc>
          <w:tcPr>
            <w:tcW w:w="2093" w:type="dxa"/>
            <w:gridSpan w:val="2"/>
            <w:tcBorders>
              <w:top w:val="single" w:color="auto" w:sz="4" w:space="0"/>
              <w:left w:val="single" w:color="auto" w:sz="4" w:space="0"/>
              <w:right w:val="single" w:color="auto" w:sz="4" w:space="0"/>
            </w:tcBorders>
            <w:shd w:val="clear" w:color="000000" w:fill="auto"/>
            <w:noWrap w:val="0"/>
            <w:vAlign w:val="center"/>
          </w:tcPr>
          <w:p>
            <w:pPr>
              <w:snapToGrid w:val="0"/>
              <w:spacing w:line="360" w:lineRule="auto"/>
              <w:jc w:val="center"/>
              <w:rPr>
                <w:rFonts w:ascii="宋体" w:hAnsi="宋体"/>
                <w:b/>
                <w:sz w:val="24"/>
              </w:rPr>
            </w:pPr>
            <w:r>
              <w:rPr>
                <w:rFonts w:hint="eastAsia" w:ascii="宋体" w:hAnsi="宋体"/>
                <w:b/>
                <w:sz w:val="24"/>
              </w:rPr>
              <w:t>安装方式</w:t>
            </w:r>
          </w:p>
        </w:tc>
        <w:tc>
          <w:tcPr>
            <w:tcW w:w="64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rPr>
                <w:rFonts w:ascii="宋体" w:hAnsi="宋体"/>
                <w:sz w:val="24"/>
              </w:rPr>
            </w:pPr>
            <w:r>
              <w:rPr>
                <w:rFonts w:hint="eastAsia" w:ascii="宋体" w:hAnsi="宋体"/>
                <w:sz w:val="24"/>
              </w:rPr>
              <w:t>壁挂式或抱箍式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 w:hRule="atLeast"/>
        </w:trPr>
        <w:tc>
          <w:tcPr>
            <w:tcW w:w="2093" w:type="dxa"/>
            <w:gridSpan w:val="2"/>
            <w:tcBorders>
              <w:top w:val="single" w:color="auto" w:sz="4" w:space="0"/>
              <w:left w:val="single" w:color="auto" w:sz="4" w:space="0"/>
              <w:bottom w:val="single" w:color="auto" w:sz="4" w:space="0"/>
              <w:right w:val="single" w:color="auto" w:sz="4" w:space="0"/>
            </w:tcBorders>
            <w:shd w:val="clear" w:color="000000" w:fill="auto"/>
            <w:noWrap w:val="0"/>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供电方式</w:t>
            </w:r>
          </w:p>
        </w:tc>
        <w:tc>
          <w:tcPr>
            <w:tcW w:w="641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rPr>
                <w:rFonts w:ascii="宋体" w:hAnsi="宋体"/>
                <w:sz w:val="24"/>
              </w:rPr>
            </w:pPr>
            <w:r>
              <w:rPr>
                <w:rFonts w:hint="eastAsia" w:ascii="宋体" w:hAnsi="宋体"/>
                <w:sz w:val="24"/>
              </w:rPr>
              <w:t>220VAC/48VDC，支持POE供电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trPr>
        <w:tc>
          <w:tcPr>
            <w:tcW w:w="2093" w:type="dxa"/>
            <w:gridSpan w:val="2"/>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设备接口</w:t>
            </w:r>
          </w:p>
        </w:tc>
        <w:tc>
          <w:tcPr>
            <w:tcW w:w="6415" w:type="dxa"/>
            <w:noWrap w:val="0"/>
            <w:vAlign w:val="center"/>
          </w:tcPr>
          <w:p>
            <w:pPr>
              <w:spacing w:line="360" w:lineRule="auto"/>
              <w:rPr>
                <w:rFonts w:ascii="宋体" w:hAnsi="宋体"/>
                <w:sz w:val="24"/>
              </w:rPr>
            </w:pPr>
            <w:r>
              <w:rPr>
                <w:rFonts w:hint="eastAsia" w:ascii="宋体" w:hAnsi="宋体"/>
                <w:sz w:val="24"/>
              </w:rPr>
              <w:t>支持2个以上10/100M BaseT以太网接口，其中一个为本地配置接口，另一个为支持POE模式的通信口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08" w:type="dxa"/>
            <w:gridSpan w:val="3"/>
            <w:noWrap w:val="0"/>
            <w:vAlign w:val="center"/>
          </w:tcPr>
          <w:p>
            <w:pPr>
              <w:widowControl/>
              <w:snapToGrid w:val="0"/>
              <w:spacing w:line="360" w:lineRule="auto"/>
              <w:jc w:val="left"/>
              <w:rPr>
                <w:rFonts w:ascii="宋体" w:hAnsi="宋体"/>
                <w:b/>
                <w:sz w:val="24"/>
              </w:rPr>
            </w:pPr>
            <w:r>
              <w:rPr>
                <w:rFonts w:hint="eastAsia" w:ascii="宋体" w:hAnsi="宋体"/>
                <w:b/>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trPr>
        <w:tc>
          <w:tcPr>
            <w:tcW w:w="2043" w:type="dxa"/>
            <w:noWrap w:val="0"/>
            <w:vAlign w:val="center"/>
          </w:tcPr>
          <w:p>
            <w:pPr>
              <w:widowControl/>
              <w:snapToGrid w:val="0"/>
              <w:spacing w:line="360" w:lineRule="auto"/>
              <w:jc w:val="center"/>
              <w:rPr>
                <w:rFonts w:ascii="宋体" w:hAnsi="宋体" w:cs="宋体"/>
                <w:b/>
                <w:kern w:val="0"/>
                <w:sz w:val="24"/>
              </w:rPr>
            </w:pPr>
            <w:r>
              <w:rPr>
                <w:rFonts w:hint="eastAsia" w:ascii="宋体" w:hAnsi="宋体" w:cs="宋体"/>
                <w:b/>
                <w:kern w:val="0"/>
                <w:sz w:val="24"/>
              </w:rPr>
              <w:t>数据回传</w:t>
            </w:r>
          </w:p>
        </w:tc>
        <w:tc>
          <w:tcPr>
            <w:tcW w:w="6465" w:type="dxa"/>
            <w:gridSpan w:val="2"/>
            <w:noWrap w:val="0"/>
            <w:vAlign w:val="center"/>
          </w:tcPr>
          <w:p>
            <w:pPr>
              <w:spacing w:line="360" w:lineRule="auto"/>
              <w:rPr>
                <w:rFonts w:ascii="宋体" w:hAnsi="宋体"/>
                <w:sz w:val="24"/>
              </w:rPr>
            </w:pPr>
            <w:r>
              <w:rPr>
                <w:rFonts w:hint="eastAsia" w:ascii="宋体" w:hAnsi="宋体"/>
                <w:sz w:val="24"/>
              </w:rPr>
              <w:t>支持有线网络回传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kern w:val="0"/>
                <w:sz w:val="24"/>
              </w:rPr>
            </w:pPr>
            <w:r>
              <w:rPr>
                <w:rFonts w:hint="eastAsia" w:ascii="宋体" w:hAnsi="宋体" w:cs="宋体"/>
                <w:b/>
                <w:kern w:val="0"/>
                <w:sz w:val="24"/>
              </w:rPr>
              <w:t>管理特性</w:t>
            </w:r>
          </w:p>
        </w:tc>
        <w:tc>
          <w:tcPr>
            <w:tcW w:w="6465" w:type="dxa"/>
            <w:gridSpan w:val="2"/>
            <w:noWrap w:val="0"/>
            <w:vAlign w:val="center"/>
          </w:tcPr>
          <w:p>
            <w:pPr>
              <w:spacing w:line="360" w:lineRule="auto"/>
              <w:rPr>
                <w:rFonts w:ascii="宋体" w:hAnsi="宋体"/>
                <w:sz w:val="24"/>
              </w:rPr>
            </w:pPr>
            <w:r>
              <w:rPr>
                <w:rFonts w:hint="eastAsia" w:ascii="宋体" w:hAnsi="宋体"/>
                <w:sz w:val="24"/>
              </w:rPr>
              <w:t>支持自动升级，支持远程维护、在线状况、离线报警，可采用挂墙、挂杆安装。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kern w:val="0"/>
                <w:sz w:val="24"/>
              </w:rPr>
            </w:pPr>
            <w:r>
              <w:rPr>
                <w:rFonts w:hint="eastAsia" w:ascii="宋体" w:hAnsi="宋体" w:cs="宋体"/>
                <w:b/>
                <w:kern w:val="0"/>
                <w:sz w:val="24"/>
              </w:rPr>
              <w:t>数据安全性</w:t>
            </w:r>
          </w:p>
        </w:tc>
        <w:tc>
          <w:tcPr>
            <w:tcW w:w="6465" w:type="dxa"/>
            <w:gridSpan w:val="2"/>
            <w:noWrap w:val="0"/>
            <w:vAlign w:val="center"/>
          </w:tcPr>
          <w:p>
            <w:pPr>
              <w:spacing w:line="360" w:lineRule="auto"/>
              <w:rPr>
                <w:rFonts w:ascii="宋体" w:hAnsi="宋体"/>
                <w:sz w:val="24"/>
              </w:rPr>
            </w:pPr>
            <w:r>
              <w:rPr>
                <w:rFonts w:hint="eastAsia" w:ascii="宋体" w:hAnsi="宋体"/>
                <w:sz w:val="24"/>
              </w:rPr>
              <w:t>数据传输采用符合国标的加密传输。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08" w:type="dxa"/>
            <w:gridSpan w:val="3"/>
            <w:noWrap w:val="0"/>
            <w:vAlign w:val="center"/>
          </w:tcPr>
          <w:p>
            <w:pPr>
              <w:widowControl/>
              <w:snapToGrid w:val="0"/>
              <w:spacing w:line="360" w:lineRule="auto"/>
              <w:jc w:val="left"/>
              <w:rPr>
                <w:rFonts w:ascii="宋体" w:hAnsi="宋体"/>
                <w:b/>
                <w:sz w:val="24"/>
              </w:rPr>
            </w:pPr>
            <w:r>
              <w:rPr>
                <w:rFonts w:hint="eastAsia" w:ascii="宋体" w:hAnsi="宋体"/>
                <w:b/>
                <w:sz w:val="24"/>
              </w:rPr>
              <w:t>终端采集数据要求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终端采集数据</w:t>
            </w:r>
          </w:p>
        </w:tc>
        <w:tc>
          <w:tcPr>
            <w:tcW w:w="6465" w:type="dxa"/>
            <w:gridSpan w:val="2"/>
            <w:noWrap w:val="0"/>
            <w:vAlign w:val="center"/>
          </w:tcPr>
          <w:p>
            <w:pPr>
              <w:spacing w:line="360" w:lineRule="auto"/>
              <w:rPr>
                <w:rFonts w:ascii="宋体" w:hAnsi="宋体"/>
                <w:sz w:val="24"/>
              </w:rPr>
            </w:pPr>
            <w:r>
              <w:rPr>
                <w:rFonts w:hint="eastAsia" w:ascii="宋体" w:hAnsi="宋体"/>
                <w:sz w:val="24"/>
              </w:rPr>
              <w:t>网络地址、终端设备类型、厂家类型、采集时间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热点采集数据</w:t>
            </w:r>
          </w:p>
        </w:tc>
        <w:tc>
          <w:tcPr>
            <w:tcW w:w="6465" w:type="dxa"/>
            <w:gridSpan w:val="2"/>
            <w:noWrap w:val="0"/>
            <w:vAlign w:val="center"/>
          </w:tcPr>
          <w:p>
            <w:pPr>
              <w:spacing w:line="360" w:lineRule="auto"/>
              <w:rPr>
                <w:rFonts w:ascii="宋体" w:hAnsi="宋体"/>
                <w:sz w:val="24"/>
              </w:rPr>
            </w:pPr>
            <w:r>
              <w:rPr>
                <w:rFonts w:hint="eastAsia" w:ascii="宋体" w:hAnsi="宋体"/>
                <w:sz w:val="24"/>
              </w:rPr>
              <w:t>网络地址、加密类型、SSID、最后采集时间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5" w:hRule="atLeast"/>
        </w:trPr>
        <w:tc>
          <w:tcPr>
            <w:tcW w:w="2043" w:type="dxa"/>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采集终端与热点关系</w:t>
            </w:r>
          </w:p>
        </w:tc>
        <w:tc>
          <w:tcPr>
            <w:tcW w:w="6465" w:type="dxa"/>
            <w:gridSpan w:val="2"/>
            <w:noWrap w:val="0"/>
            <w:vAlign w:val="center"/>
          </w:tcPr>
          <w:p>
            <w:pPr>
              <w:spacing w:line="360" w:lineRule="auto"/>
              <w:rPr>
                <w:rFonts w:ascii="宋体" w:hAnsi="宋体"/>
                <w:sz w:val="24"/>
              </w:rPr>
            </w:pPr>
            <w:r>
              <w:rPr>
                <w:rFonts w:hint="eastAsia" w:ascii="宋体" w:hAnsi="宋体"/>
                <w:sz w:val="24"/>
              </w:rPr>
              <w:t>连接天数、连接次数、最后连接时间、历史连接关系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508" w:type="dxa"/>
            <w:gridSpan w:val="3"/>
            <w:noWrap w:val="0"/>
            <w:vAlign w:val="center"/>
          </w:tcPr>
          <w:p>
            <w:pPr>
              <w:widowControl/>
              <w:snapToGrid w:val="0"/>
              <w:spacing w:line="360" w:lineRule="auto"/>
              <w:jc w:val="left"/>
              <w:rPr>
                <w:rFonts w:ascii="宋体" w:hAnsi="宋体" w:cs="宋体"/>
                <w:kern w:val="0"/>
                <w:sz w:val="24"/>
              </w:rPr>
            </w:pPr>
            <w:r>
              <w:rPr>
                <w:rFonts w:hint="eastAsia" w:ascii="宋体" w:hAnsi="宋体"/>
                <w:b/>
                <w:sz w:val="24"/>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restart"/>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扫描能力</w:t>
            </w:r>
          </w:p>
        </w:tc>
        <w:tc>
          <w:tcPr>
            <w:tcW w:w="6465" w:type="dxa"/>
            <w:gridSpan w:val="2"/>
            <w:noWrap w:val="0"/>
            <w:vAlign w:val="center"/>
          </w:tcPr>
          <w:p>
            <w:pPr>
              <w:spacing w:line="360" w:lineRule="auto"/>
              <w:rPr>
                <w:rFonts w:ascii="宋体" w:hAnsi="宋体"/>
                <w:sz w:val="24"/>
              </w:rPr>
            </w:pPr>
            <w:r>
              <w:rPr>
                <w:rFonts w:hint="eastAsia" w:ascii="宋体" w:hAnsi="宋体"/>
                <w:sz w:val="24"/>
              </w:rPr>
              <w:t>设备并发处理能力&gt;1000/秒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continue"/>
            <w:noWrap w:val="0"/>
            <w:vAlign w:val="center"/>
          </w:tcPr>
          <w:p>
            <w:pPr>
              <w:widowControl/>
              <w:snapToGrid w:val="0"/>
              <w:spacing w:line="360" w:lineRule="auto"/>
              <w:jc w:val="center"/>
              <w:rPr>
                <w:rFonts w:ascii="宋体" w:hAnsi="宋体" w:cs="宋体"/>
                <w:b/>
                <w:bCs/>
                <w:kern w:val="0"/>
                <w:sz w:val="24"/>
              </w:rPr>
            </w:pPr>
          </w:p>
        </w:tc>
        <w:tc>
          <w:tcPr>
            <w:tcW w:w="6465" w:type="dxa"/>
            <w:gridSpan w:val="2"/>
            <w:noWrap w:val="0"/>
            <w:vAlign w:val="center"/>
          </w:tcPr>
          <w:p>
            <w:pPr>
              <w:spacing w:line="360" w:lineRule="auto"/>
              <w:rPr>
                <w:rFonts w:ascii="宋体" w:hAnsi="宋体"/>
                <w:sz w:val="24"/>
              </w:rPr>
            </w:pPr>
            <w:r>
              <w:rPr>
                <w:rFonts w:hint="eastAsia" w:ascii="宋体" w:hAnsi="宋体"/>
                <w:sz w:val="24"/>
              </w:rPr>
              <w:t>定向天线扫描能力不低于100米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continue"/>
            <w:noWrap w:val="0"/>
            <w:vAlign w:val="center"/>
          </w:tcPr>
          <w:p>
            <w:pPr>
              <w:widowControl/>
              <w:snapToGrid w:val="0"/>
              <w:spacing w:line="360" w:lineRule="auto"/>
              <w:jc w:val="center"/>
              <w:rPr>
                <w:rFonts w:ascii="宋体" w:hAnsi="宋体" w:cs="宋体"/>
                <w:b/>
                <w:bCs/>
                <w:kern w:val="0"/>
                <w:sz w:val="24"/>
              </w:rPr>
            </w:pPr>
          </w:p>
        </w:tc>
        <w:tc>
          <w:tcPr>
            <w:tcW w:w="6465" w:type="dxa"/>
            <w:gridSpan w:val="2"/>
            <w:noWrap w:val="0"/>
            <w:vAlign w:val="center"/>
          </w:tcPr>
          <w:p>
            <w:pPr>
              <w:spacing w:line="360" w:lineRule="auto"/>
              <w:rPr>
                <w:rFonts w:ascii="宋体" w:hAnsi="宋体"/>
                <w:sz w:val="24"/>
              </w:rPr>
            </w:pPr>
            <w:r>
              <w:rPr>
                <w:rFonts w:hint="eastAsia" w:ascii="宋体" w:hAnsi="宋体"/>
                <w:sz w:val="24"/>
              </w:rPr>
              <w:t>全向天线扫描能力不低于50米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noWrap w:val="0"/>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扫描频率</w:t>
            </w:r>
          </w:p>
        </w:tc>
        <w:tc>
          <w:tcPr>
            <w:tcW w:w="6465" w:type="dxa"/>
            <w:gridSpan w:val="2"/>
            <w:noWrap w:val="0"/>
            <w:vAlign w:val="center"/>
          </w:tcPr>
          <w:p>
            <w:pPr>
              <w:spacing w:line="360" w:lineRule="auto"/>
              <w:rPr>
                <w:rFonts w:ascii="宋体" w:hAnsi="宋体"/>
                <w:sz w:val="24"/>
              </w:rPr>
            </w:pPr>
            <w:r>
              <w:rPr>
                <w:rFonts w:hint="eastAsia" w:ascii="宋体" w:hAnsi="宋体"/>
                <w:sz w:val="24"/>
              </w:rPr>
              <w:t>每秒1万次扫描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restart"/>
            <w:noWrap w:val="0"/>
            <w:vAlign w:val="center"/>
          </w:tcPr>
          <w:p>
            <w:pPr>
              <w:widowControl/>
              <w:snapToGrid w:val="0"/>
              <w:spacing w:line="360" w:lineRule="auto"/>
              <w:jc w:val="center"/>
              <w:rPr>
                <w:rFonts w:ascii="宋体" w:hAnsi="宋体" w:cs="宋体"/>
                <w:b/>
                <w:bCs/>
                <w:kern w:val="0"/>
                <w:sz w:val="24"/>
              </w:rPr>
            </w:pPr>
            <w:r>
              <w:rPr>
                <w:rFonts w:hint="eastAsia" w:ascii="宋体" w:hAnsi="宋体" w:cs="宋体"/>
                <w:b/>
                <w:bCs/>
                <w:kern w:val="0"/>
                <w:sz w:val="24"/>
              </w:rPr>
              <w:t>数据上报频率</w:t>
            </w:r>
          </w:p>
        </w:tc>
        <w:tc>
          <w:tcPr>
            <w:tcW w:w="6465" w:type="dxa"/>
            <w:gridSpan w:val="2"/>
            <w:noWrap w:val="0"/>
            <w:vAlign w:val="center"/>
          </w:tcPr>
          <w:p>
            <w:pPr>
              <w:spacing w:line="360" w:lineRule="auto"/>
              <w:rPr>
                <w:rFonts w:ascii="宋体" w:hAnsi="宋体"/>
                <w:sz w:val="24"/>
              </w:rPr>
            </w:pPr>
            <w:r>
              <w:rPr>
                <w:rFonts w:hint="eastAsia" w:ascii="宋体" w:hAnsi="宋体"/>
                <w:sz w:val="24"/>
              </w:rPr>
              <w:t>支持采集数据报文压缩上传，节约流量费用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2043" w:type="dxa"/>
            <w:vMerge w:val="continue"/>
            <w:noWrap w:val="0"/>
            <w:vAlign w:val="center"/>
          </w:tcPr>
          <w:p>
            <w:pPr>
              <w:widowControl/>
              <w:snapToGrid w:val="0"/>
              <w:spacing w:line="360" w:lineRule="auto"/>
              <w:jc w:val="center"/>
              <w:rPr>
                <w:rFonts w:ascii="宋体" w:hAnsi="宋体" w:cs="宋体"/>
                <w:b/>
                <w:bCs/>
                <w:kern w:val="0"/>
                <w:sz w:val="24"/>
              </w:rPr>
            </w:pPr>
          </w:p>
        </w:tc>
        <w:tc>
          <w:tcPr>
            <w:tcW w:w="6465" w:type="dxa"/>
            <w:gridSpan w:val="2"/>
            <w:noWrap w:val="0"/>
            <w:vAlign w:val="center"/>
          </w:tcPr>
          <w:p>
            <w:pPr>
              <w:spacing w:line="360" w:lineRule="auto"/>
              <w:rPr>
                <w:rFonts w:ascii="宋体" w:hAnsi="宋体"/>
                <w:sz w:val="24"/>
              </w:rPr>
            </w:pPr>
            <w:r>
              <w:rPr>
                <w:rFonts w:hint="eastAsia" w:ascii="宋体" w:hAnsi="宋体"/>
                <w:sz w:val="24"/>
              </w:rPr>
              <w:t>上传间隔1-15分钟</w:t>
            </w:r>
            <w:r>
              <w:rPr>
                <w:rFonts w:ascii="宋体" w:hAnsi="宋体"/>
                <w:sz w:val="24"/>
              </w:rPr>
              <w:t xml:space="preserve"> </w:t>
            </w:r>
          </w:p>
        </w:tc>
      </w:tr>
    </w:tbl>
    <w:p>
      <w:pPr>
        <w:pStyle w:val="78"/>
        <w:ind w:firstLine="480"/>
        <w:rPr>
          <w:sz w:val="24"/>
        </w:rPr>
      </w:pPr>
      <w:r>
        <w:rPr>
          <w:rFonts w:hint="eastAsia"/>
          <w:sz w:val="24"/>
        </w:rPr>
        <w:t>平台功能要求：支持数据汇集及存储、支持数据检索、支持历史数据查询、支持系统日志记录查询、支持数据导入及导出。</w:t>
      </w:r>
    </w:p>
    <w:p>
      <w:pPr>
        <w:numPr>
          <w:ilvl w:val="0"/>
          <w:numId w:val="20"/>
        </w:numPr>
        <w:spacing w:line="360" w:lineRule="auto"/>
        <w:rPr>
          <w:rFonts w:ascii="宋体" w:hAnsi="宋体"/>
          <w:b/>
          <w:sz w:val="24"/>
        </w:rPr>
      </w:pPr>
      <w:r>
        <w:rPr>
          <w:rFonts w:hint="eastAsia" w:ascii="宋体" w:hAnsi="宋体"/>
          <w:b/>
          <w:sz w:val="24"/>
        </w:rPr>
        <w:t>小区及社会面停车场车辆数据采集联网</w:t>
      </w:r>
      <w:r>
        <w:rPr>
          <w:rFonts w:ascii="宋体" w:hAnsi="宋体"/>
          <w:b/>
          <w:sz w:val="24"/>
        </w:rPr>
        <w:t>平台建设要求</w:t>
      </w:r>
    </w:p>
    <w:p>
      <w:pPr>
        <w:pStyle w:val="199"/>
        <w:spacing w:line="360" w:lineRule="auto"/>
        <w:ind w:left="1129"/>
        <w:rPr>
          <w:rFonts w:ascii="宋体" w:hAnsi="宋体"/>
          <w:sz w:val="24"/>
          <w:szCs w:val="24"/>
        </w:rPr>
      </w:pPr>
      <w:r>
        <w:rPr>
          <w:rFonts w:hint="eastAsia" w:ascii="宋体" w:hAnsi="宋体"/>
          <w:sz w:val="24"/>
          <w:szCs w:val="24"/>
        </w:rPr>
        <w:t>（1）</w:t>
      </w:r>
      <w:r>
        <w:rPr>
          <w:rFonts w:ascii="宋体" w:hAnsi="宋体"/>
          <w:sz w:val="24"/>
          <w:szCs w:val="24"/>
        </w:rPr>
        <w:t>系统概述</w:t>
      </w:r>
    </w:p>
    <w:p>
      <w:pPr>
        <w:pStyle w:val="219"/>
        <w:spacing w:beforeLines="0" w:afterLines="0" w:line="440" w:lineRule="exact"/>
        <w:ind w:firstLine="480"/>
        <w:rPr>
          <w:rFonts w:ascii="宋体" w:hAnsi="宋体" w:cs="宋体"/>
        </w:rPr>
      </w:pPr>
      <w:r>
        <w:rPr>
          <w:rFonts w:hint="eastAsia" w:ascii="宋体" w:hAnsi="宋体" w:cs="宋体"/>
        </w:rPr>
        <w:t>对于业主已建设车辆道闸系统的小区，要求在不影响原有车场系统正常运营的基础上，具备车辆车脸信息采集功能,对各种摄像机抓拍到的车辆照片进行读取，提取停车场进出车辆的车牌号，车牌颜色，进出场时间，进出口、进出通道、进出场车辆照片等信息输送至数据采集分析转发平台，接入系统停车场时间必须和接入数据库一致，并转发至公安视频专网车辆大数据平台，与卡口车辆结构化数据无缝对接，实现区域车辆的管理立体化、可视化和可控化。</w:t>
      </w:r>
    </w:p>
    <w:p>
      <w:pPr>
        <w:pStyle w:val="78"/>
        <w:ind w:firstLine="0" w:firstLineChars="0"/>
        <w:rPr>
          <w:rFonts w:hint="eastAsia"/>
          <w:sz w:val="24"/>
        </w:rPr>
      </w:pPr>
      <w:r>
        <w:rPr>
          <w:rFonts w:hint="eastAsia"/>
          <w:sz w:val="24"/>
        </w:rPr>
        <w:t xml:space="preserve">     </w:t>
      </w:r>
      <w:r>
        <w:rPr>
          <w:rFonts w:hint="eastAsia"/>
          <w:sz w:val="24"/>
          <w:lang w:eastAsia="zh-CN"/>
        </w:rPr>
        <w:t xml:space="preserve">    </w:t>
      </w:r>
      <w:r>
        <w:rPr>
          <w:rFonts w:hint="eastAsia"/>
          <w:sz w:val="24"/>
        </w:rPr>
        <w:t>（2）</w:t>
      </w:r>
      <w:r>
        <w:rPr>
          <w:sz w:val="24"/>
        </w:rPr>
        <w:t>系统功能</w:t>
      </w:r>
    </w:p>
    <w:p>
      <w:pPr>
        <w:spacing w:line="500" w:lineRule="exact"/>
        <w:rPr>
          <w:rFonts w:ascii="宋体" w:hAnsi="宋体"/>
          <w:sz w:val="24"/>
        </w:rPr>
      </w:pPr>
      <w:r>
        <w:rPr>
          <w:rFonts w:hint="eastAsia" w:ascii="宋体" w:hAnsi="宋体"/>
          <w:sz w:val="24"/>
        </w:rPr>
        <w:t xml:space="preserve">     停车场数据采集系统组成示意见下图所示，整套系统由几个网络搭建而成。停车场数据采集设备通过运营商</w:t>
      </w:r>
      <w:r>
        <w:rPr>
          <w:rFonts w:ascii="宋体" w:hAnsi="宋体"/>
          <w:sz w:val="24"/>
        </w:rPr>
        <w:t>网络接入采集分析转发平台</w:t>
      </w:r>
      <w:r>
        <w:rPr>
          <w:rFonts w:hint="eastAsia" w:ascii="宋体" w:hAnsi="宋体"/>
          <w:sz w:val="24"/>
        </w:rPr>
        <w:t>，再通过运营商与公安机房的专用线路和数据网闸将数据输送至公安视频专网，本项目所需的光缆及网络设备费用需由中标方提供。</w:t>
      </w:r>
    </w:p>
    <w:p>
      <w:pPr>
        <w:ind w:left="709"/>
      </w:pPr>
      <w:r>
        <w:rPr>
          <w:lang/>
        </w:rPr>
        <w:drawing>
          <wp:inline distT="0" distB="0" distL="114300" distR="114300">
            <wp:extent cx="5274945" cy="2399665"/>
            <wp:effectExtent l="0" t="0" r="1905" b="635"/>
            <wp:docPr id="2" name="图片 1" descr="C:\Users\Administrator\Desktop\拓扑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拓扑图.png"/>
                    <pic:cNvPicPr>
                      <a:picLocks noChangeAspect="1"/>
                    </pic:cNvPicPr>
                  </pic:nvPicPr>
                  <pic:blipFill>
                    <a:blip r:embed="rId16"/>
                    <a:stretch>
                      <a:fillRect/>
                    </a:stretch>
                  </pic:blipFill>
                  <pic:spPr>
                    <a:xfrm>
                      <a:off x="0" y="0"/>
                      <a:ext cx="5274945" cy="2399665"/>
                    </a:xfrm>
                    <a:prstGeom prst="rect">
                      <a:avLst/>
                    </a:prstGeom>
                    <a:noFill/>
                    <a:ln>
                      <a:noFill/>
                    </a:ln>
                  </pic:spPr>
                </pic:pic>
              </a:graphicData>
            </a:graphic>
          </wp:inline>
        </w:drawing>
      </w:r>
    </w:p>
    <w:p>
      <w:pPr>
        <w:pStyle w:val="78"/>
        <w:ind w:firstLine="480"/>
        <w:rPr>
          <w:sz w:val="24"/>
        </w:rPr>
      </w:pPr>
    </w:p>
    <w:p>
      <w:pPr>
        <w:numPr>
          <w:ilvl w:val="0"/>
          <w:numId w:val="20"/>
        </w:numPr>
        <w:spacing w:line="360" w:lineRule="auto"/>
        <w:rPr>
          <w:rFonts w:ascii="宋体" w:hAnsi="宋体"/>
          <w:b/>
          <w:sz w:val="24"/>
        </w:rPr>
      </w:pPr>
      <w:r>
        <w:rPr>
          <w:rFonts w:ascii="宋体" w:hAnsi="宋体"/>
          <w:b/>
          <w:sz w:val="24"/>
        </w:rPr>
        <w:t>智安小区建设列表</w:t>
      </w:r>
    </w:p>
    <w:p>
      <w:pPr>
        <w:pStyle w:val="78"/>
        <w:ind w:firstLine="480"/>
        <w:rPr>
          <w:rFonts w:hint="eastAsia"/>
          <w:sz w:val="24"/>
        </w:rPr>
      </w:pPr>
      <w:r>
        <w:rPr>
          <w:sz w:val="24"/>
        </w:rPr>
        <w:t>本次越城区智安小区的建设总共涉及越城区</w:t>
      </w:r>
      <w:r>
        <w:rPr>
          <w:rFonts w:hint="eastAsia"/>
          <w:sz w:val="24"/>
        </w:rPr>
        <w:t>180个小区停车数据和139个社会停车场数据联网</w:t>
      </w:r>
      <w:r>
        <w:rPr>
          <w:sz w:val="24"/>
        </w:rPr>
        <w:t>，分别由封闭式小区、半封闭式小区、开放式小区三种类型的小区组成。</w:t>
      </w:r>
    </w:p>
    <w:p>
      <w:pPr>
        <w:pStyle w:val="78"/>
        <w:ind w:firstLine="480"/>
        <w:rPr>
          <w:rFonts w:hint="eastAsia"/>
          <w:sz w:val="24"/>
        </w:rPr>
      </w:pPr>
      <w:r>
        <w:rPr>
          <w:rFonts w:hint="eastAsia"/>
          <w:sz w:val="24"/>
        </w:rPr>
        <w:t>(1) 180个小区停车数据联网列表:</w:t>
      </w:r>
    </w:p>
    <w:tbl>
      <w:tblPr>
        <w:tblStyle w:val="42"/>
        <w:tblW w:w="9220" w:type="dxa"/>
        <w:tblInd w:w="93" w:type="dxa"/>
        <w:tblLayout w:type="autofit"/>
        <w:tblCellMar>
          <w:top w:w="0" w:type="dxa"/>
          <w:left w:w="108" w:type="dxa"/>
          <w:bottom w:w="0" w:type="dxa"/>
          <w:right w:w="108" w:type="dxa"/>
        </w:tblCellMar>
      </w:tblPr>
      <w:tblGrid>
        <w:gridCol w:w="720"/>
        <w:gridCol w:w="1700"/>
        <w:gridCol w:w="1300"/>
        <w:gridCol w:w="880"/>
        <w:gridCol w:w="920"/>
        <w:gridCol w:w="860"/>
        <w:gridCol w:w="840"/>
        <w:gridCol w:w="940"/>
        <w:gridCol w:w="1060"/>
      </w:tblGrid>
      <w:tr>
        <w:tblPrEx>
          <w:tblCellMar>
            <w:top w:w="0" w:type="dxa"/>
            <w:left w:w="108" w:type="dxa"/>
            <w:bottom w:w="0" w:type="dxa"/>
            <w:right w:w="108" w:type="dxa"/>
          </w:tblCellMar>
        </w:tblPrEx>
        <w:trPr>
          <w:wBefore w:w="0" w:type="dxa"/>
          <w:wAfter w:w="0" w:type="dxa"/>
          <w:trHeight w:val="270"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7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小区名称</w:t>
            </w:r>
          </w:p>
        </w:tc>
        <w:tc>
          <w:tcPr>
            <w:tcW w:w="13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辖区***</w:t>
            </w:r>
          </w:p>
        </w:tc>
        <w:tc>
          <w:tcPr>
            <w:tcW w:w="8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进口数</w:t>
            </w:r>
          </w:p>
        </w:tc>
        <w:tc>
          <w:tcPr>
            <w:tcW w:w="92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出口数</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通道数</w:t>
            </w:r>
          </w:p>
        </w:tc>
        <w:tc>
          <w:tcPr>
            <w:tcW w:w="8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大门数</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相机数量</w:t>
            </w:r>
          </w:p>
        </w:tc>
        <w:tc>
          <w:tcPr>
            <w:tcW w:w="10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怡兰轩</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凤江花园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俞家锦苑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水墨澜庭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临江雅苑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瀛洲名苑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景都花园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内温馨花园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同一小区</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外温馨花园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0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阳明华都园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一门进口双摄</w:t>
            </w:r>
          </w:p>
        </w:tc>
      </w:tr>
      <w:tr>
        <w:tblPrEx>
          <w:tblCellMar>
            <w:top w:w="0" w:type="dxa"/>
            <w:left w:w="108" w:type="dxa"/>
            <w:bottom w:w="0" w:type="dxa"/>
            <w:right w:w="108" w:type="dxa"/>
          </w:tblCellMar>
        </w:tblPrEx>
        <w:trPr>
          <w:wBefore w:w="0" w:type="dxa"/>
          <w:wAfter w:w="0" w:type="dxa"/>
          <w:trHeight w:val="96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润和南岸花城</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东区1门进出双摄；西区只有2个进口探头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缇香名邸</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凤山名园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润和庄园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进口双摄</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名爵府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蓝盾公寓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中成公寓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华通花园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时代凤凰岛</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进口双摄</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玲珑湾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江家溇公寓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城南***</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4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新港小区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禹陵公寓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一出口双摄，东门因疫情关闭</w:t>
            </w:r>
          </w:p>
        </w:tc>
      </w:tr>
      <w:tr>
        <w:tblPrEx>
          <w:tblCellMar>
            <w:top w:w="0" w:type="dxa"/>
            <w:left w:w="108" w:type="dxa"/>
            <w:bottom w:w="0" w:type="dxa"/>
            <w:right w:w="108" w:type="dxa"/>
          </w:tblCellMar>
        </w:tblPrEx>
        <w:trPr>
          <w:wBefore w:w="0" w:type="dxa"/>
          <w:wAfter w:w="0" w:type="dxa"/>
          <w:trHeight w:val="72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涂山公寓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进口双摄(出口无探头)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大城小院</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一江两岸</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曹江臻苑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涂山花园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峰泽景园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越秀花园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东方绿苑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涵碧庄园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三和锦苑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若耶方舟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香格里拉</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东江银湾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进口双摄</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金色东江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地库只有一个进口探头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东泽庄园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两个小区内部互通</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东泽博园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0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宝业四季园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进口4个探头</w:t>
            </w:r>
          </w:p>
        </w:tc>
      </w:tr>
      <w:tr>
        <w:tblPrEx>
          <w:tblCellMar>
            <w:top w:w="0" w:type="dxa"/>
            <w:left w:w="108" w:type="dxa"/>
            <w:bottom w:w="0" w:type="dxa"/>
            <w:right w:w="108" w:type="dxa"/>
          </w:tblCellMar>
        </w:tblPrEx>
        <w:trPr>
          <w:wBefore w:w="0" w:type="dxa"/>
          <w:wAfter w:w="0" w:type="dxa"/>
          <w:trHeight w:val="72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玉园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有个大门通道现在暂时不用</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御香园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森海豪庭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融创越州府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恒大珺睿府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稽山***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润和天地</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昌安东村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昌安新村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一个进出口</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建材城</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人民东路179号汽车城</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金港湾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桂花苑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nil"/>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银滩花园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家宜花园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岑草园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72名座</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盛世名苑二期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御景华庭三期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御景华庭四期南区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御景华庭四期北区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御景华庭五期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江南世家</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大地香樟园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香湖岛</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水岸香堤</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颐东华庭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金地兰悦</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世禾新村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星尚悦湖苑一期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世茂天樾一期</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迪荡***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锦江半岛</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世纪广场东区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南岸花园西区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金湖湾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南岸花园东区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国际华城</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丹桂公寓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文昌雅苑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越东小区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瑞禾明庭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百兴</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百乐</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百安花园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丽景华庭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锦程文苑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天谛公寓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文汇园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水乡明都</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名城阳光园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锦洋西苑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洋江名苑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江南名苑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昌明花园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恒联锦园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华秦铂湾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金地艺境</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斗门***</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青甸湖小区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泗龙苑小区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江南明珠园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半岛花园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欣业佳园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镜湖时代</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唯美花园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镜湖莲庄</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强头小区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天悦城</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东浦***</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一品星泽湾小区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东湖庄园北区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东湖庄园南区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东郡园南区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东郡园北区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凤鸣湾小区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东晶佳园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中亚香郡园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银墅湾小区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金宇园小区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皋埠***</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龙马春天</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合成景园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南池鉴园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沁芳名苑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进口双摄</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枫林华庭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进出口双摄</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彩虹名家</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南山郡</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大家阳光里</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铭丰臻园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骆家葑村公寓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御锦园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东门进出双摄</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海棠府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孙端***</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绿姿公寓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孙端***</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碧波庄园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孙端***</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日馨家园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富盛***</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冠友小区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汇馨湾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大滩六号</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山水名家</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山水人家</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香滨半岛</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白鹭金滩</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绍兴天下</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山水华庭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后墅坊</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横湖坊</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段家汇</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只有进口探头</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安心坊</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界树坊</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肖港坊</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永兴坊</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金色家园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海樾府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佳源广场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金群家园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赞成美林</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外滩梅园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金时花园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曲屯家苑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大树江小区</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镜悦府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金色蓝庭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大庆景苑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御和园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灵芝***</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香江名邸</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京联观湖</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林立欣园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天御湾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碧波康庭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九城公园里</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中冶梧桐园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十里锦苑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西洋溇公寓</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171</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小小名潭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172</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新安人家</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173</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中渠赞成.悦贤府</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174</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银湖湾</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越携公馆</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马山***</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176</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桃花源</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陶堰***</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177</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鉴湖印象</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陶堰***</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178</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海湾国际</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沥海***</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179</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海德景园</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沥海***</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270" w:hRule="atLeast"/>
        </w:trPr>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c>
          <w:tcPr>
            <w:tcW w:w="1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滨江苑</w:t>
            </w:r>
          </w:p>
        </w:tc>
        <w:tc>
          <w:tcPr>
            <w:tcW w:w="13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沥海***</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630" w:hRule="atLeast"/>
        </w:trPr>
        <w:tc>
          <w:tcPr>
            <w:tcW w:w="3720"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293</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280</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542</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277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614</w:t>
            </w:r>
          </w:p>
        </w:tc>
        <w:tc>
          <w:tcPr>
            <w:tcW w:w="10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pStyle w:val="78"/>
        <w:ind w:firstLine="0" w:firstLineChars="0"/>
        <w:rPr>
          <w:rFonts w:hint="eastAsia"/>
          <w:sz w:val="24"/>
        </w:rPr>
      </w:pPr>
      <w:r>
        <w:rPr>
          <w:rFonts w:hint="eastAsia"/>
          <w:sz w:val="24"/>
        </w:rPr>
        <w:t>(2)1</w:t>
      </w:r>
      <w:r>
        <w:rPr>
          <w:sz w:val="24"/>
        </w:rPr>
        <w:t>39</w:t>
      </w:r>
      <w:r>
        <w:rPr>
          <w:rFonts w:hint="eastAsia"/>
          <w:sz w:val="24"/>
        </w:rPr>
        <w:t>个社会停车场列表:</w:t>
      </w:r>
    </w:p>
    <w:tbl>
      <w:tblPr>
        <w:tblStyle w:val="42"/>
        <w:tblW w:w="8662" w:type="dxa"/>
        <w:tblInd w:w="93" w:type="dxa"/>
        <w:tblLayout w:type="autofit"/>
        <w:tblCellMar>
          <w:top w:w="0" w:type="dxa"/>
          <w:left w:w="108" w:type="dxa"/>
          <w:bottom w:w="0" w:type="dxa"/>
          <w:right w:w="108" w:type="dxa"/>
        </w:tblCellMar>
      </w:tblPr>
      <w:tblGrid>
        <w:gridCol w:w="582"/>
        <w:gridCol w:w="1560"/>
        <w:gridCol w:w="992"/>
        <w:gridCol w:w="992"/>
        <w:gridCol w:w="992"/>
        <w:gridCol w:w="993"/>
        <w:gridCol w:w="1275"/>
        <w:gridCol w:w="1276"/>
      </w:tblGrid>
      <w:tr>
        <w:tblPrEx>
          <w:tblCellMar>
            <w:top w:w="0" w:type="dxa"/>
            <w:left w:w="108" w:type="dxa"/>
            <w:bottom w:w="0" w:type="dxa"/>
            <w:right w:w="108" w:type="dxa"/>
          </w:tblCellMar>
        </w:tblPrEx>
        <w:trPr>
          <w:wBefore w:w="0" w:type="dxa"/>
          <w:wAfter w:w="0" w:type="dxa"/>
          <w:trHeight w:val="27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点位名称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进口数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出口数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通道数</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大门数</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相机数量</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水联大厦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4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时代大厦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只有进口探头</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中成大厦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假日新天地停车场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八佰伴停车场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城市广场地面停车场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进口双摄</w:t>
            </w:r>
          </w:p>
        </w:tc>
      </w:tr>
      <w:tr>
        <w:tblPrEx>
          <w:tblCellMar>
            <w:top w:w="0" w:type="dxa"/>
            <w:left w:w="108" w:type="dxa"/>
            <w:bottom w:w="0" w:type="dxa"/>
            <w:right w:w="108" w:type="dxa"/>
          </w:tblCellMar>
        </w:tblPrEx>
        <w:trPr>
          <w:wBefore w:w="0" w:type="dxa"/>
          <w:wAfter w:w="0" w:type="dxa"/>
          <w:trHeight w:val="3278"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城市广场立体停车库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进口3摄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城市广场地库(胜利西路)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月池坊停车场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81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鲁迅电影城停车场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暂时未使用，进出杆子立起</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绍兴大剧院停车场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绍兴市国商大厦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银座电脑城停车场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54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南都酒店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只有1个进口探头</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中惠百货地下停车场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进出皆双摄</w:t>
            </w:r>
          </w:p>
        </w:tc>
      </w:tr>
      <w:tr>
        <w:tblPrEx>
          <w:tblCellMar>
            <w:top w:w="0" w:type="dxa"/>
            <w:left w:w="108" w:type="dxa"/>
            <w:bottom w:w="0" w:type="dxa"/>
            <w:right w:w="108" w:type="dxa"/>
          </w:tblCellMar>
        </w:tblPrEx>
        <w:trPr>
          <w:wBefore w:w="0" w:type="dxa"/>
          <w:wAfter w:w="0" w:type="dxa"/>
          <w:trHeight w:val="81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天宇大厦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只有一个进口探头立在那里</w:t>
            </w:r>
          </w:p>
        </w:tc>
      </w:tr>
      <w:tr>
        <w:tblPrEx>
          <w:tblCellMar>
            <w:top w:w="0" w:type="dxa"/>
            <w:left w:w="108" w:type="dxa"/>
            <w:bottom w:w="0" w:type="dxa"/>
            <w:right w:w="108" w:type="dxa"/>
          </w:tblCellMar>
        </w:tblPrEx>
        <w:trPr>
          <w:wBefore w:w="0" w:type="dxa"/>
          <w:wAfter w:w="0" w:type="dxa"/>
          <w:trHeight w:val="81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绍兴市妇幼保健院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2个进口一个绿色通道</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红太阳写字楼停车场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兴虹文化创意园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一门进出双摄</w:t>
            </w:r>
          </w:p>
        </w:tc>
      </w:tr>
      <w:tr>
        <w:tblPrEx>
          <w:tblCellMar>
            <w:top w:w="0" w:type="dxa"/>
            <w:left w:w="108" w:type="dxa"/>
            <w:bottom w:w="0" w:type="dxa"/>
            <w:right w:w="108" w:type="dxa"/>
          </w:tblCellMar>
        </w:tblPrEx>
        <w:trPr>
          <w:wBefore w:w="0" w:type="dxa"/>
          <w:wAfter w:w="0" w:type="dxa"/>
          <w:trHeight w:val="114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世纪联华地下停车场(人民中路)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绍兴市中医院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有个出口现在关闭</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怡莱酒店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正元阁足道</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进口双摄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绍兴越城区图书馆停车场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越国文化博物馆地下停车场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越国文化博物馆地面停车场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114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开元曼居停车场(中兴南路)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绍兴第二医院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鲁迅故里停车场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咸亨酒店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进出双摄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塔山文化广场停车场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惠丰和畅</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银泰城(金帝店)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咸亨大酒店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进口3摄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金时代广场地库停车场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王子商业街停车场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秦望大酒店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铭康大厦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39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绍兴冠城商业广场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绍兴第七人民医院</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绍兴博物馆</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越王城广场停车场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大龙农贸市场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泓城大厦</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昌安西街立体停车场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绍兴世贸天际中心停车场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迪荡湖公园停车场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越城区人民医院</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49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绍兴开元名都大酒店(迪荡)</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裕泉大厦</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剡溪路停车场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砥砺文化创业园</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十里荷塘</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梦幻水世界</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镜湖湿地公园1号停车场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镜湖湿地公园2号停车场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镜湖湿地公园3号停车场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镜湖湿地公园4号停车场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绍兴奥体中心</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东街广场地下停车场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绍兴国际大酒店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颐高广场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入口双摄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绍兴工程职业培训学校</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越城区婚姻登记处</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绍兴银行总行</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绍兴人民医院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绍兴中金豪生酒店停车场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月丽大厦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天龙大厦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世茂湖滨新天地停车场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北辰广场2幢停车场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鼎盛时代大厦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财源中心停车场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出口双摄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博览·财智大厦停车场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黄金时代</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梅龙湖公园停车场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国茂大厦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金昌·昆仑国际东区停车场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79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金昌·昆仑国际西区停车场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汇银大厦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中富大厦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迅腾大厦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龙湖大厦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中汇大厦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滨江大厦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滨江大厦外围商铺停车场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尚1051文化创意园停车场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东城智库停车场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89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百草园足浴中心停车场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波影·风光大酒店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景尚商务酒店停车场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中国染料城停车场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绍剧艺术中心停车场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出口双摄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越城区行政中心</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海纳百川休闲主题酒店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1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联合大厦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地面1进1出；地库1进1出</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晶汇大厦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紫金广场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99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环宇集团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越发大厦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入口双摄</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巨星大厦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北辰商务大厦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星源国际</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蓝海大厦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4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鑫海大厦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地面入口双摄</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华地汇鑫大厦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入口双摄</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香谢大厦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中实大厦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入口双摄</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金滩大厦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星城大厦</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进口双摄</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赞成美林地面商铺外围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陶然名苑（鉴湖印象）地库</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富中府</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高新区人民医院</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江南世家旁边停车场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行政服务中心</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科信建设</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大桥饭店</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119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世贸广场</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东城文化创意</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迪荡便民中心</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新湖园地库</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渝众大厦</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天元国际</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滨海创意园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技术产业园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东森商业广场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滨海服务行政中心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129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宝龙广场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130</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国际华城外围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131</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袍江医院</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132</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南岸花园外围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1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133</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大观园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1个进口，1个出口双摄</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134</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大禹陵</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8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135</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富甲堂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136</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华盛高端宴会中心</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137</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东方御花园酒店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855"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138</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行政服务社保中心(城南)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570" w:hRule="atLeast"/>
        </w:trPr>
        <w:tc>
          <w:tcPr>
            <w:tcW w:w="58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139</w:t>
            </w:r>
          </w:p>
        </w:tc>
        <w:tc>
          <w:tcPr>
            <w:tcW w:w="15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袍江大润发</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wBefore w:w="0" w:type="dxa"/>
          <w:wAfter w:w="0" w:type="dxa"/>
          <w:trHeight w:val="270" w:hRule="atLeast"/>
        </w:trPr>
        <w:tc>
          <w:tcPr>
            <w:tcW w:w="2142"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371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490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pStyle w:val="78"/>
        <w:ind w:firstLine="0" w:firstLineChars="0"/>
        <w:rPr>
          <w:rFonts w:hint="eastAsia"/>
          <w:sz w:val="24"/>
        </w:rPr>
      </w:pPr>
    </w:p>
    <w:p>
      <w:pPr>
        <w:pStyle w:val="78"/>
        <w:ind w:firstLine="0" w:firstLineChars="0"/>
        <w:rPr>
          <w:rFonts w:hint="eastAsia"/>
          <w:sz w:val="24"/>
        </w:rPr>
      </w:pPr>
      <w:r>
        <w:rPr>
          <w:rFonts w:hint="eastAsia"/>
          <w:sz w:val="24"/>
        </w:rPr>
        <w:t>(3) 177个小区新建列表:</w:t>
      </w:r>
    </w:p>
    <w:tbl>
      <w:tblPr>
        <w:tblStyle w:val="42"/>
        <w:tblW w:w="8517" w:type="dxa"/>
        <w:tblInd w:w="96" w:type="dxa"/>
        <w:tblLayout w:type="autofit"/>
        <w:tblCellMar>
          <w:top w:w="0" w:type="dxa"/>
          <w:left w:w="108" w:type="dxa"/>
          <w:bottom w:w="0" w:type="dxa"/>
          <w:right w:w="108" w:type="dxa"/>
        </w:tblCellMar>
      </w:tblPr>
      <w:tblGrid>
        <w:gridCol w:w="800"/>
        <w:gridCol w:w="1622"/>
        <w:gridCol w:w="2268"/>
        <w:gridCol w:w="2126"/>
        <w:gridCol w:w="1701"/>
      </w:tblGrid>
      <w:tr>
        <w:tblPrEx>
          <w:tblCellMar>
            <w:top w:w="0" w:type="dxa"/>
            <w:left w:w="108" w:type="dxa"/>
            <w:bottom w:w="0" w:type="dxa"/>
            <w:right w:w="108" w:type="dxa"/>
          </w:tblCellMar>
        </w:tblPrEx>
        <w:trPr>
          <w:wBefore w:w="0" w:type="dxa"/>
          <w:wAfter w:w="0" w:type="dxa"/>
          <w:trHeight w:val="585"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6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小区名称</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小区类型</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智能监控数量</w:t>
            </w:r>
          </w:p>
        </w:tc>
      </w:tr>
      <w:tr>
        <w:tblPrEx>
          <w:tblCellMar>
            <w:top w:w="0" w:type="dxa"/>
            <w:left w:w="108" w:type="dxa"/>
            <w:bottom w:w="0" w:type="dxa"/>
            <w:right w:w="108" w:type="dxa"/>
          </w:tblCellMar>
        </w:tblPrEx>
        <w:trPr>
          <w:wBefore w:w="0" w:type="dxa"/>
          <w:wAfter w:w="0" w:type="dxa"/>
          <w:trHeight w:val="501" w:hRule="atLeast"/>
        </w:trPr>
        <w:tc>
          <w:tcPr>
            <w:tcW w:w="6816" w:type="dxa"/>
            <w:gridSpan w:val="4"/>
            <w:tcBorders>
              <w:top w:val="single" w:color="auto" w:sz="4" w:space="0"/>
              <w:left w:val="single" w:color="auto" w:sz="8" w:space="0"/>
              <w:bottom w:val="nil"/>
              <w:right w:val="single" w:color="000000"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数据统计</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6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凤江花园</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繁荣公寓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俞家锦苑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长城教苑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念亩头新娄畈</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状元新村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长城新村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水墨澜庭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临江雅苑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瀛洲名苑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宏森花园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景都花园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景泰嘉苑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内温馨花园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外温馨花园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越厦花园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阳明华都园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润和南岸花城</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缇香名邸</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凤山名园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碧水南苑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润和庄园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沁雨园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南江枫林东区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南江枫林西区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名爵府</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蓝盾公寓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润和苑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中南公寓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中成公寓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朝阳新村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城郊新村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翠苑新村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蔡江公寓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越都新村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明大家园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建设新村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龙珠花园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绿洲新村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时代凤凰岛</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玲珑湾</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江家溇</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外山公寓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怡兰轩</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凤江住商楼</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南风苑小区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华通新村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桥南小区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城南</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南门新村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洞桥小区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昌安住商楼</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祭坛后</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润和天地</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昌安东村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昌安新村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绍钢新村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建材城</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汽车城</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都泗门32号</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昌安家园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家宜花园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蕺山新村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迪东公寓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金港湾</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桂花苑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龙洲花园环秀苑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银滩花园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岑草园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72名座</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盛世名苑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御景华庭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江南世家</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大地香樟园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香湖岛</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人才公寓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水岸香堤</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颐和雅苑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运河首府</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颐东华庭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新湖园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金地兰悦</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剡溪花园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世禾新村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星尚悦湖苑一期</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迪荡</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世茂天樾一期</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香莲公寓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星泽湾</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东湖庄园北区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东湖庄园南区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东郡园南区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东郡园北区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凤鸣湾</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天赐良缘</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东晶佳园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中亚香郡园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银海豪庭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龙景名园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银墅湾</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观河景园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金宇园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银春新苑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樊江公寓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皋埠</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银兴花园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大众公寓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丰越别墅</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长沼公寓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世纪花园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华清公寓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阳光新村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东盛市场小区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西畈公寓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新港小区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敦煌新村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禹陵公寓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永丰公寓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越新公寓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涂山公寓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五泄公寓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门前江小区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美东新都小区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玫瑰苑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久利苑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九洲花苑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贝斯特</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绍兴日报社宿舍</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秀水花园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舜江花园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德泽苑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大城小院</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一江两岸</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曹江臻苑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涂山花园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峰泽景园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越秀花园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东方绿苑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朝峰苑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渡东电力小区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涵碧庄园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三和锦苑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若耶方舟</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香格里拉</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东江银湾</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金色东江</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东泽庄园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东泽博园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宝业四季园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玉园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御香园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森海豪庭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融创越州府</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稽山</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恒大珺睿府</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合成景园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南池鉴园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沁芳名苑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枫林华庭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彩虹名家</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南山郡</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御锦园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大家阳光里</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铭丰臻园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骆家葑公寓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上谢墅村安置小区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半封闭式小区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南池村安置小区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秦望村安置小区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谢墅村安置小区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坡塘村安置小区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芳泉村安置小区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栖凫村安置小区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王家葑村安置小区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丰乐村安置小区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玉屏村安置小区</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龙马春天</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鉴湖</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金水公寓</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富盛</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惠泽苑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富盛</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日馨家园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富盛</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美地馨园</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r>
        <w:tblPrEx>
          <w:tblCellMar>
            <w:top w:w="0" w:type="dxa"/>
            <w:left w:w="108" w:type="dxa"/>
            <w:bottom w:w="0" w:type="dxa"/>
            <w:right w:w="108" w:type="dxa"/>
          </w:tblCellMar>
        </w:tblPrEx>
        <w:trPr>
          <w:wBefore w:w="0" w:type="dxa"/>
          <w:wAfter w:w="0" w:type="dxa"/>
          <w:trHeight w:val="37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62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富盛</w:t>
            </w:r>
          </w:p>
        </w:tc>
        <w:tc>
          <w:tcPr>
            <w:tcW w:w="226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丰盛苑</w:t>
            </w:r>
          </w:p>
        </w:tc>
        <w:tc>
          <w:tcPr>
            <w:tcW w:w="2126"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开放式小区</w:t>
            </w:r>
          </w:p>
        </w:tc>
        <w:tc>
          <w:tcPr>
            <w:tcW w:w="170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r>
    </w:tbl>
    <w:p>
      <w:pPr>
        <w:pStyle w:val="78"/>
        <w:ind w:firstLine="0" w:firstLineChars="0"/>
        <w:rPr>
          <w:rFonts w:hint="eastAsia"/>
          <w:sz w:val="24"/>
        </w:rPr>
      </w:pPr>
      <w:r>
        <w:rPr>
          <w:rFonts w:hint="eastAsia"/>
          <w:sz w:val="24"/>
        </w:rPr>
        <w:t xml:space="preserve"> </w:t>
      </w:r>
    </w:p>
    <w:p>
      <w:pPr>
        <w:pStyle w:val="3"/>
        <w:numPr>
          <w:ilvl w:val="0"/>
          <w:numId w:val="0"/>
        </w:numPr>
        <w:tabs>
          <w:tab w:val="clear" w:pos="1145"/>
        </w:tabs>
        <w:spacing w:line="440" w:lineRule="exact"/>
        <w:ind w:left="992" w:hanging="567"/>
        <w:rPr>
          <w:rFonts w:ascii="Times New Roman" w:hAnsi="Times New Roman" w:eastAsia="宋体"/>
          <w:sz w:val="24"/>
          <w:szCs w:val="24"/>
        </w:rPr>
        <w:sectPr>
          <w:footerReference r:id="rId7" w:type="default"/>
          <w:footerReference r:id="rId8" w:type="even"/>
          <w:pgSz w:w="11906" w:h="16838"/>
          <w:pgMar w:top="1418" w:right="1418" w:bottom="1418" w:left="1701" w:header="851" w:footer="851" w:gutter="0"/>
          <w:cols w:space="720" w:num="1"/>
          <w:titlePg/>
          <w:docGrid w:type="lines" w:linePitch="312" w:charSpace="0"/>
        </w:sectPr>
      </w:pPr>
    </w:p>
    <w:p>
      <w:pPr>
        <w:pStyle w:val="3"/>
        <w:numPr>
          <w:ilvl w:val="0"/>
          <w:numId w:val="0"/>
        </w:numPr>
        <w:tabs>
          <w:tab w:val="clear" w:pos="1145"/>
        </w:tabs>
        <w:spacing w:line="440" w:lineRule="exact"/>
        <w:ind w:left="482"/>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系统参数要求</w:t>
      </w:r>
    </w:p>
    <w:p>
      <w:pPr>
        <w:pStyle w:val="4"/>
      </w:pPr>
    </w:p>
    <w:tbl>
      <w:tblPr>
        <w:tblStyle w:val="42"/>
        <w:tblW w:w="13403" w:type="dxa"/>
        <w:tblInd w:w="93" w:type="dxa"/>
        <w:tblLayout w:type="autofit"/>
        <w:tblCellMar>
          <w:top w:w="0" w:type="dxa"/>
          <w:left w:w="108" w:type="dxa"/>
          <w:bottom w:w="0" w:type="dxa"/>
          <w:right w:w="108" w:type="dxa"/>
        </w:tblCellMar>
      </w:tblPr>
      <w:tblGrid>
        <w:gridCol w:w="820"/>
        <w:gridCol w:w="2920"/>
        <w:gridCol w:w="2700"/>
        <w:gridCol w:w="4720"/>
        <w:gridCol w:w="1080"/>
        <w:gridCol w:w="1100"/>
        <w:gridCol w:w="63"/>
      </w:tblGrid>
      <w:tr>
        <w:tblPrEx>
          <w:tblCellMar>
            <w:top w:w="0" w:type="dxa"/>
            <w:left w:w="108" w:type="dxa"/>
            <w:bottom w:w="0" w:type="dxa"/>
            <w:right w:w="108" w:type="dxa"/>
          </w:tblCellMar>
        </w:tblPrEx>
        <w:trPr>
          <w:wBefore w:w="0" w:type="dxa"/>
          <w:wAfter w:w="0" w:type="dxa"/>
          <w:trHeight w:val="600" w:hRule="atLeast"/>
        </w:trPr>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29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设备名称</w:t>
            </w:r>
          </w:p>
        </w:tc>
        <w:tc>
          <w:tcPr>
            <w:tcW w:w="2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品牌</w:t>
            </w:r>
          </w:p>
        </w:tc>
        <w:tc>
          <w:tcPr>
            <w:tcW w:w="472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技术规格</w:t>
            </w:r>
          </w:p>
        </w:tc>
        <w:tc>
          <w:tcPr>
            <w:tcW w:w="108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116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r>
      <w:tr>
        <w:tblPrEx>
          <w:tblCellMar>
            <w:top w:w="0" w:type="dxa"/>
            <w:left w:w="108" w:type="dxa"/>
            <w:bottom w:w="0" w:type="dxa"/>
            <w:right w:w="108" w:type="dxa"/>
          </w:tblCellMar>
        </w:tblPrEx>
        <w:trPr>
          <w:wBefore w:w="0" w:type="dxa"/>
          <w:wAfter w:w="0" w:type="dxa"/>
          <w:trHeight w:val="600" w:hRule="atLeast"/>
        </w:trPr>
        <w:tc>
          <w:tcPr>
            <w:tcW w:w="13403"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一、前端主设备部分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400万人脸抓拍网络摄像机（核心产品）</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具有400万像素 CMOS传感器</w:t>
            </w:r>
            <w:r>
              <w:rPr>
                <w:rFonts w:hint="eastAsia" w:ascii="宋体" w:hAnsi="宋体" w:cs="宋体"/>
                <w:kern w:val="0"/>
                <w:sz w:val="20"/>
                <w:szCs w:val="20"/>
              </w:rPr>
              <w:br w:type="textWrapping"/>
            </w:r>
            <w:r>
              <w:rPr>
                <w:rFonts w:hint="eastAsia" w:ascii="宋体" w:hAnsi="宋体" w:cs="宋体"/>
                <w:kern w:val="0"/>
                <w:sz w:val="20"/>
                <w:szCs w:val="20"/>
              </w:rPr>
              <w:t>具有不小于1/1.8"靶面尺寸，内置GPU芯片</w:t>
            </w:r>
            <w:r>
              <w:rPr>
                <w:rFonts w:hint="eastAsia" w:ascii="宋体" w:hAnsi="宋体" w:cs="宋体"/>
                <w:kern w:val="0"/>
                <w:sz w:val="20"/>
                <w:szCs w:val="20"/>
              </w:rPr>
              <w:br w:type="textWrapping"/>
            </w:r>
            <w:r>
              <w:rPr>
                <w:rFonts w:hint="eastAsia" w:ascii="宋体" w:hAnsi="宋体" w:cs="宋体"/>
                <w:kern w:val="0"/>
                <w:sz w:val="20"/>
                <w:szCs w:val="20"/>
              </w:rPr>
              <w:t>▲最低照度彩色不大于0.0002 lx，黑白不大于0.0001 lx（需提供具有CNAS或CMA标志的第三方检测机构出具的检测报告证明）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支持H.264、H.265、MJPEG视频编码格式</w:t>
            </w:r>
            <w:r>
              <w:rPr>
                <w:rFonts w:hint="eastAsia" w:ascii="宋体" w:hAnsi="宋体" w:cs="宋体"/>
                <w:kern w:val="0"/>
                <w:sz w:val="20"/>
                <w:szCs w:val="20"/>
              </w:rPr>
              <w:br w:type="textWrapping"/>
            </w:r>
            <w:r>
              <w:rPr>
                <w:rFonts w:hint="eastAsia" w:ascii="宋体" w:hAnsi="宋体" w:cs="宋体"/>
                <w:kern w:val="0"/>
                <w:sz w:val="20"/>
                <w:szCs w:val="20"/>
              </w:rPr>
              <w:t>▲内置混合补光灯，可对红外灯及白光灯功率进行调节（需提供具有CNAS或CMA标志的第三方检测机构出具的检测报告证明）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同时支持检测不少于30个人脸，支持检测、跟踪、评分</w:t>
            </w:r>
            <w:r>
              <w:rPr>
                <w:rFonts w:hint="eastAsia" w:ascii="宋体" w:hAnsi="宋体" w:cs="宋体"/>
                <w:kern w:val="0"/>
                <w:sz w:val="20"/>
                <w:szCs w:val="20"/>
              </w:rPr>
              <w:br w:type="textWrapping"/>
            </w:r>
            <w:r>
              <w:rPr>
                <w:rFonts w:hint="eastAsia" w:ascii="宋体" w:hAnsi="宋体" w:cs="宋体"/>
                <w:kern w:val="0"/>
                <w:sz w:val="20"/>
                <w:szCs w:val="20"/>
              </w:rPr>
              <w:t>支持上传背景大图以及人脸小图</w:t>
            </w:r>
            <w:r>
              <w:rPr>
                <w:rFonts w:hint="eastAsia" w:ascii="宋体" w:hAnsi="宋体" w:cs="宋体"/>
                <w:kern w:val="0"/>
                <w:sz w:val="20"/>
                <w:szCs w:val="20"/>
              </w:rPr>
              <w:br w:type="textWrapping"/>
            </w:r>
            <w:r>
              <w:rPr>
                <w:rFonts w:hint="eastAsia" w:ascii="宋体" w:hAnsi="宋体" w:cs="宋体"/>
                <w:kern w:val="0"/>
                <w:sz w:val="20"/>
                <w:szCs w:val="20"/>
              </w:rPr>
              <w:t>具有低温低气压适应性，可在不低于-45℃和气压70kPa环境下正常工作</w:t>
            </w:r>
            <w:r>
              <w:rPr>
                <w:rFonts w:hint="eastAsia" w:ascii="宋体" w:hAnsi="宋体" w:cs="宋体"/>
                <w:kern w:val="0"/>
                <w:sz w:val="20"/>
                <w:szCs w:val="20"/>
              </w:rPr>
              <w:br w:type="textWrapping"/>
            </w:r>
            <w:r>
              <w:rPr>
                <w:rFonts w:hint="eastAsia" w:ascii="宋体" w:hAnsi="宋体" w:cs="宋体"/>
                <w:kern w:val="0"/>
                <w:sz w:val="20"/>
                <w:szCs w:val="20"/>
              </w:rPr>
              <w:t>需同时支持DC12V和POE供电，且在不小于DC12V±30%范围内变化时可以正常工作</w:t>
            </w:r>
            <w:r>
              <w:rPr>
                <w:rFonts w:hint="eastAsia" w:ascii="宋体" w:hAnsi="宋体" w:cs="宋体"/>
                <w:kern w:val="0"/>
                <w:sz w:val="20"/>
                <w:szCs w:val="20"/>
              </w:rPr>
              <w:br w:type="textWrapping"/>
            </w:r>
            <w:r>
              <w:rPr>
                <w:rFonts w:hint="eastAsia" w:ascii="宋体" w:hAnsi="宋体" w:cs="宋体"/>
                <w:kern w:val="0"/>
                <w:sz w:val="20"/>
                <w:szCs w:val="20"/>
              </w:rPr>
              <w:t>需支持本地SD卡存储，最大支持256G，并支持存储卡可使用时长显示</w:t>
            </w:r>
            <w:r>
              <w:rPr>
                <w:rFonts w:hint="eastAsia" w:ascii="宋体" w:hAnsi="宋体" w:cs="宋体"/>
                <w:kern w:val="0"/>
                <w:sz w:val="20"/>
                <w:szCs w:val="20"/>
              </w:rPr>
              <w:br w:type="textWrapping"/>
            </w:r>
            <w:r>
              <w:rPr>
                <w:rFonts w:hint="eastAsia" w:ascii="宋体" w:hAnsi="宋体" w:cs="宋体"/>
                <w:kern w:val="0"/>
                <w:sz w:val="20"/>
                <w:szCs w:val="20"/>
              </w:rPr>
              <w:t>支持透雾自动切换功能，当检测到雾的浓度达到设定的阈值时，可自动在算法透雾和光学透雾之间进行切换</w:t>
            </w:r>
            <w:r>
              <w:rPr>
                <w:rFonts w:hint="eastAsia" w:ascii="宋体" w:hAnsi="宋体" w:cs="宋体"/>
                <w:kern w:val="0"/>
                <w:sz w:val="20"/>
                <w:szCs w:val="20"/>
              </w:rPr>
              <w:br w:type="textWrapping"/>
            </w:r>
            <w:r>
              <w:rPr>
                <w:rFonts w:hint="eastAsia" w:ascii="宋体" w:hAnsi="宋体" w:cs="宋体"/>
                <w:kern w:val="0"/>
                <w:sz w:val="20"/>
                <w:szCs w:val="20"/>
              </w:rPr>
              <w:t>需支持IP67防尘防水</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494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800万人脸抓拍网络摄像机</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具有800万像素 CMOS传感器</w:t>
            </w:r>
          </w:p>
          <w:p>
            <w:pPr>
              <w:widowControl/>
              <w:jc w:val="center"/>
              <w:rPr>
                <w:rFonts w:ascii="宋体" w:hAnsi="宋体" w:cs="宋体"/>
                <w:kern w:val="0"/>
                <w:sz w:val="20"/>
                <w:szCs w:val="20"/>
              </w:rPr>
            </w:pPr>
            <w:r>
              <w:rPr>
                <w:rFonts w:hint="eastAsia" w:ascii="宋体" w:hAnsi="宋体" w:cs="宋体"/>
                <w:kern w:val="0"/>
                <w:sz w:val="20"/>
                <w:szCs w:val="20"/>
              </w:rPr>
              <w:t>▲具有不小于1/1.8"靶面尺寸，内置GPU芯片（需提供具有CNAS或CMA标志的第三方检测机构出具的检测报告证明）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▲最低照度彩色不大于0.001 lx，黑白不大于0.0001 lx，最大亮度鉴别等级（灰度等级）不小于11级</w:t>
            </w:r>
            <w:r>
              <w:rPr>
                <w:rFonts w:hint="eastAsia" w:ascii="宋体" w:hAnsi="宋体" w:cs="宋体"/>
                <w:kern w:val="0"/>
                <w:sz w:val="20"/>
                <w:szCs w:val="20"/>
              </w:rPr>
              <w:br w:type="textWrapping"/>
            </w:r>
            <w:r>
              <w:rPr>
                <w:rFonts w:hint="eastAsia" w:ascii="宋体" w:hAnsi="宋体" w:cs="宋体"/>
                <w:kern w:val="0"/>
                <w:sz w:val="20"/>
                <w:szCs w:val="20"/>
              </w:rPr>
              <w:t>支持H.264、H.265、MJPEG视频编码格式</w:t>
            </w:r>
            <w:r>
              <w:rPr>
                <w:rFonts w:hint="eastAsia" w:ascii="宋体" w:hAnsi="宋体" w:cs="宋体"/>
                <w:kern w:val="0"/>
                <w:sz w:val="20"/>
                <w:szCs w:val="20"/>
              </w:rPr>
              <w:br w:type="textWrapping"/>
            </w:r>
            <w:r>
              <w:rPr>
                <w:rFonts w:hint="eastAsia" w:ascii="宋体" w:hAnsi="宋体" w:cs="宋体"/>
                <w:kern w:val="0"/>
                <w:sz w:val="20"/>
                <w:szCs w:val="20"/>
              </w:rPr>
              <w:t>内置混合补光灯，可对红外灯及白光灯功率进行调节</w:t>
            </w:r>
            <w:r>
              <w:rPr>
                <w:rFonts w:hint="eastAsia" w:ascii="宋体" w:hAnsi="宋体" w:cs="宋体"/>
                <w:kern w:val="0"/>
                <w:sz w:val="20"/>
                <w:szCs w:val="20"/>
              </w:rPr>
              <w:br w:type="textWrapping"/>
            </w:r>
            <w:r>
              <w:rPr>
                <w:rFonts w:hint="eastAsia" w:ascii="宋体" w:hAnsi="宋体" w:cs="宋体"/>
                <w:kern w:val="0"/>
                <w:sz w:val="20"/>
                <w:szCs w:val="20"/>
              </w:rPr>
              <w:t>支持同时检测不少于30张人脸，对运动人脸进行检测、跟踪、抓拍、评分、筛选，输出最优的人脸抓图</w:t>
            </w:r>
            <w:r>
              <w:rPr>
                <w:rFonts w:hint="eastAsia" w:ascii="宋体" w:hAnsi="宋体" w:cs="宋体"/>
                <w:kern w:val="0"/>
                <w:sz w:val="20"/>
                <w:szCs w:val="20"/>
              </w:rPr>
              <w:br w:type="textWrapping"/>
            </w:r>
            <w:r>
              <w:rPr>
                <w:rFonts w:hint="eastAsia" w:ascii="宋体" w:hAnsi="宋体" w:cs="宋体"/>
                <w:kern w:val="0"/>
                <w:sz w:val="20"/>
                <w:szCs w:val="20"/>
              </w:rPr>
              <w:t>支持人脸小图自定义可设置</w:t>
            </w:r>
            <w:r>
              <w:rPr>
                <w:rFonts w:hint="eastAsia" w:ascii="宋体" w:hAnsi="宋体" w:cs="宋体"/>
                <w:kern w:val="0"/>
                <w:sz w:val="20"/>
                <w:szCs w:val="20"/>
              </w:rPr>
              <w:br w:type="textWrapping"/>
            </w:r>
            <w:r>
              <w:rPr>
                <w:rFonts w:hint="eastAsia" w:ascii="宋体" w:hAnsi="宋体" w:cs="宋体"/>
                <w:kern w:val="0"/>
                <w:sz w:val="20"/>
                <w:szCs w:val="20"/>
              </w:rPr>
              <w:t>支持快速抓拍和最佳抓拍</w:t>
            </w:r>
            <w:r>
              <w:rPr>
                <w:rFonts w:hint="eastAsia" w:ascii="宋体" w:hAnsi="宋体" w:cs="宋体"/>
                <w:kern w:val="0"/>
                <w:sz w:val="20"/>
                <w:szCs w:val="20"/>
              </w:rPr>
              <w:br w:type="textWrapping"/>
            </w:r>
            <w:r>
              <w:rPr>
                <w:rFonts w:hint="eastAsia" w:ascii="宋体" w:hAnsi="宋体" w:cs="宋体"/>
                <w:kern w:val="0"/>
                <w:sz w:val="20"/>
                <w:szCs w:val="20"/>
              </w:rPr>
              <w:t>信噪比不小于58dB</w:t>
            </w:r>
            <w:r>
              <w:rPr>
                <w:rFonts w:hint="eastAsia" w:ascii="宋体" w:hAnsi="宋体" w:cs="宋体"/>
                <w:kern w:val="0"/>
                <w:sz w:val="20"/>
                <w:szCs w:val="20"/>
              </w:rPr>
              <w:br w:type="textWrapping"/>
            </w:r>
            <w:r>
              <w:rPr>
                <w:rFonts w:hint="eastAsia" w:ascii="宋体" w:hAnsi="宋体" w:cs="宋体"/>
                <w:kern w:val="0"/>
                <w:sz w:val="20"/>
                <w:szCs w:val="20"/>
              </w:rPr>
              <w:t>设备水平中心分辨力不小于2000TVL</w:t>
            </w:r>
            <w:r>
              <w:rPr>
                <w:rFonts w:hint="eastAsia" w:ascii="宋体" w:hAnsi="宋体" w:cs="宋体"/>
                <w:kern w:val="0"/>
                <w:sz w:val="20"/>
                <w:szCs w:val="20"/>
              </w:rPr>
              <w:br w:type="textWrapping"/>
            </w:r>
            <w:r>
              <w:rPr>
                <w:rFonts w:hint="eastAsia" w:ascii="宋体" w:hAnsi="宋体" w:cs="宋体"/>
                <w:kern w:val="0"/>
                <w:sz w:val="20"/>
                <w:szCs w:val="20"/>
              </w:rPr>
              <w:t>具有低温低气压适应性，可在不低于-45℃和气压70kPa环境下正常工作</w:t>
            </w:r>
            <w:r>
              <w:rPr>
                <w:rFonts w:hint="eastAsia" w:ascii="宋体" w:hAnsi="宋体" w:cs="宋体"/>
                <w:kern w:val="0"/>
                <w:sz w:val="20"/>
                <w:szCs w:val="20"/>
              </w:rPr>
              <w:br w:type="textWrapping"/>
            </w:r>
            <w:r>
              <w:rPr>
                <w:rFonts w:hint="eastAsia" w:ascii="宋体" w:hAnsi="宋体" w:cs="宋体"/>
                <w:kern w:val="0"/>
                <w:sz w:val="20"/>
                <w:szCs w:val="20"/>
              </w:rPr>
              <w:t>需支持本地SD卡存储，最大支持128G，并支持存储卡可使用时长显示</w:t>
            </w:r>
            <w:r>
              <w:rPr>
                <w:rFonts w:hint="eastAsia" w:ascii="宋体" w:hAnsi="宋体" w:cs="宋体"/>
                <w:kern w:val="0"/>
                <w:sz w:val="20"/>
                <w:szCs w:val="20"/>
              </w:rPr>
              <w:br w:type="textWrapping"/>
            </w:r>
            <w:r>
              <w:rPr>
                <w:rFonts w:hint="eastAsia" w:ascii="宋体" w:hAnsi="宋体" w:cs="宋体"/>
                <w:kern w:val="0"/>
                <w:sz w:val="20"/>
                <w:szCs w:val="20"/>
              </w:rPr>
              <w:t>支持透雾自动切换功能，当检测到雾的浓度达到设定的阈值时，可自动在算法透雾和光学透雾之间进行切换</w:t>
            </w:r>
            <w:r>
              <w:rPr>
                <w:rFonts w:hint="eastAsia" w:ascii="宋体" w:hAnsi="宋体" w:cs="宋体"/>
                <w:kern w:val="0"/>
                <w:sz w:val="20"/>
                <w:szCs w:val="20"/>
              </w:rPr>
              <w:br w:type="textWrapping"/>
            </w:r>
            <w:r>
              <w:rPr>
                <w:rFonts w:hint="eastAsia" w:ascii="宋体" w:hAnsi="宋体" w:cs="宋体"/>
                <w:kern w:val="0"/>
                <w:sz w:val="20"/>
                <w:szCs w:val="20"/>
              </w:rPr>
              <w:t>需支持IP67防尘防水</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221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400万枪球联动摄像机</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400万枪球联动摄像机</w:t>
            </w:r>
            <w:r>
              <w:rPr>
                <w:rFonts w:hint="eastAsia" w:ascii="宋体" w:hAnsi="宋体" w:cs="宋体"/>
                <w:kern w:val="0"/>
                <w:sz w:val="20"/>
                <w:szCs w:val="20"/>
              </w:rPr>
              <w:br w:type="textWrapping"/>
            </w:r>
            <w:r>
              <w:rPr>
                <w:rFonts w:hint="eastAsia" w:ascii="宋体" w:hAnsi="宋体" w:cs="宋体"/>
                <w:kern w:val="0"/>
                <w:sz w:val="20"/>
                <w:szCs w:val="20"/>
              </w:rPr>
              <w:t>摄像机镜头靶面尺寸均不小于1/1.8英寸，内置不少于2个GPU芯片</w:t>
            </w:r>
            <w:r>
              <w:rPr>
                <w:rFonts w:hint="eastAsia" w:ascii="宋体" w:hAnsi="宋体" w:cs="宋体"/>
                <w:kern w:val="0"/>
                <w:sz w:val="20"/>
                <w:szCs w:val="20"/>
              </w:rPr>
              <w:br w:type="textWrapping"/>
            </w:r>
            <w:r>
              <w:rPr>
                <w:rFonts w:hint="eastAsia" w:ascii="宋体" w:hAnsi="宋体" w:cs="宋体"/>
                <w:kern w:val="0"/>
                <w:sz w:val="20"/>
                <w:szCs w:val="20"/>
              </w:rPr>
              <w:t>▲两路视频输出分别支持分辨率设置为2560x1440，帧率设置为25fps，分辨力不小于1500线（需提供具有CNAS或CMA标志的第三方检测机构出具的检测报告证明）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支持最低照度可达彩色0.0002Lux，黑白0.0001Lux</w:t>
            </w:r>
            <w:r>
              <w:rPr>
                <w:rFonts w:hint="eastAsia" w:ascii="宋体" w:hAnsi="宋体" w:cs="宋体"/>
                <w:kern w:val="0"/>
                <w:sz w:val="20"/>
                <w:szCs w:val="20"/>
              </w:rPr>
              <w:br w:type="textWrapping"/>
            </w:r>
            <w:r>
              <w:rPr>
                <w:rFonts w:hint="eastAsia" w:ascii="宋体" w:hAnsi="宋体" w:cs="宋体"/>
                <w:kern w:val="0"/>
                <w:sz w:val="20"/>
                <w:szCs w:val="20"/>
              </w:rPr>
              <w:t>▲支持快速聚焦功能，设备对监控区域内的移动目标进行跟踪录像，录像通过单帧回放时应能保证每帧画面清晰稳定（需提供具有CNAS或CMA标志的第三方检测机构出具的检测报告证明）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▲支持检出两眼瞳距20像素点以上的人脸图片，人脸检出率不小于99%，支持单场景同时检出不少于30张人脸图片，并支持面部跟踪（需提供具有CNAS或CMA标志的第三方检测机构出具的检测报告证明）</w:t>
            </w:r>
          </w:p>
          <w:p>
            <w:pPr>
              <w:widowControl/>
              <w:jc w:val="center"/>
              <w:rPr>
                <w:rFonts w:hint="eastAsia" w:ascii="宋体" w:hAnsi="宋体" w:cs="宋体"/>
                <w:kern w:val="0"/>
                <w:sz w:val="20"/>
                <w:szCs w:val="20"/>
              </w:rPr>
            </w:pPr>
            <w:r>
              <w:rPr>
                <w:rFonts w:hint="eastAsia" w:ascii="宋体" w:hAnsi="宋体" w:cs="宋体"/>
                <w:kern w:val="0"/>
                <w:sz w:val="20"/>
                <w:szCs w:val="20"/>
              </w:rPr>
              <w:t>设备可对30米处的行人进行人脸抓拍，并可生成分辨率不小于110×120的人脸图片,图片中人脸两眼瞳距应≥40像素</w:t>
            </w:r>
            <w:r>
              <w:rPr>
                <w:rFonts w:hint="eastAsia" w:ascii="宋体" w:hAnsi="宋体" w:cs="宋体"/>
                <w:kern w:val="0"/>
                <w:sz w:val="20"/>
                <w:szCs w:val="20"/>
              </w:rPr>
              <w:br w:type="textWrapping"/>
            </w:r>
            <w:r>
              <w:rPr>
                <w:rFonts w:hint="eastAsia" w:ascii="宋体" w:hAnsi="宋体" w:cs="宋体"/>
                <w:kern w:val="0"/>
                <w:sz w:val="20"/>
                <w:szCs w:val="20"/>
              </w:rPr>
              <w:t>在距离设备30米处，人脸抓拍准确率不小于95%，人体抓拍准确率不小于95%</w:t>
            </w:r>
            <w:r>
              <w:rPr>
                <w:rFonts w:hint="eastAsia" w:ascii="宋体" w:hAnsi="宋体" w:cs="宋体"/>
                <w:kern w:val="0"/>
                <w:sz w:val="20"/>
                <w:szCs w:val="20"/>
              </w:rPr>
              <w:br w:type="textWrapping"/>
            </w:r>
            <w:r>
              <w:rPr>
                <w:rFonts w:hint="eastAsia" w:ascii="宋体" w:hAnsi="宋体" w:cs="宋体"/>
                <w:kern w:val="0"/>
                <w:sz w:val="20"/>
                <w:szCs w:val="20"/>
              </w:rPr>
              <w:t>设备支持对出现在监控场景内的人脸进行检测，并显示评分</w:t>
            </w:r>
            <w:r>
              <w:rPr>
                <w:rFonts w:hint="eastAsia" w:ascii="宋体" w:hAnsi="宋体" w:cs="宋体"/>
                <w:kern w:val="0"/>
                <w:sz w:val="20"/>
                <w:szCs w:val="20"/>
              </w:rPr>
              <w:br w:type="textWrapping"/>
            </w:r>
            <w:r>
              <w:rPr>
                <w:rFonts w:hint="eastAsia" w:ascii="宋体" w:hAnsi="宋体" w:cs="宋体"/>
                <w:kern w:val="0"/>
                <w:sz w:val="20"/>
                <w:szCs w:val="20"/>
              </w:rPr>
              <w:t>通道1检测到且框出移动目标至通道2摄像机开始转动的时间不大于0.2秒</w:t>
            </w:r>
          </w:p>
          <w:p>
            <w:pPr>
              <w:widowControl/>
              <w:jc w:val="center"/>
              <w:rPr>
                <w:rFonts w:ascii="宋体" w:hAnsi="宋体" w:cs="宋体"/>
                <w:kern w:val="0"/>
                <w:sz w:val="20"/>
                <w:szCs w:val="20"/>
              </w:rPr>
            </w:pPr>
            <w:r>
              <w:rPr>
                <w:rFonts w:hint="eastAsia" w:ascii="宋体" w:hAnsi="宋体" w:cs="宋体"/>
                <w:kern w:val="0"/>
                <w:sz w:val="20"/>
                <w:szCs w:val="20"/>
              </w:rPr>
              <w:t>设备细节画面支持快速聚焦，从聚焦开始到聚焦结束用时不超过0.01s</w:t>
            </w:r>
            <w:r>
              <w:rPr>
                <w:rFonts w:hint="eastAsia" w:ascii="宋体" w:hAnsi="宋体" w:cs="宋体"/>
                <w:kern w:val="0"/>
                <w:sz w:val="20"/>
                <w:szCs w:val="20"/>
              </w:rPr>
              <w:br w:type="textWrapping"/>
            </w:r>
            <w:r>
              <w:rPr>
                <w:rFonts w:hint="eastAsia" w:ascii="宋体" w:hAnsi="宋体" w:cs="宋体"/>
                <w:kern w:val="0"/>
                <w:sz w:val="20"/>
                <w:szCs w:val="20"/>
              </w:rPr>
              <w:t>防护等级不低于 IP66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400万人车双图像摄像机</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400万人车双图像摄像机</w:t>
            </w:r>
            <w:r>
              <w:rPr>
                <w:rFonts w:hint="eastAsia" w:ascii="宋体" w:hAnsi="宋体" w:cs="宋体"/>
                <w:kern w:val="0"/>
                <w:sz w:val="20"/>
                <w:szCs w:val="20"/>
              </w:rPr>
              <w:br w:type="textWrapping"/>
            </w:r>
            <w:r>
              <w:rPr>
                <w:rFonts w:hint="eastAsia" w:ascii="宋体" w:hAnsi="宋体" w:cs="宋体"/>
                <w:kern w:val="0"/>
                <w:sz w:val="20"/>
                <w:szCs w:val="20"/>
              </w:rPr>
              <w:t>内置双镜头，图像传感器均不小于1/1.8"靶面尺寸</w:t>
            </w:r>
            <w:r>
              <w:rPr>
                <w:rFonts w:hint="eastAsia" w:ascii="宋体" w:hAnsi="宋体" w:cs="宋体"/>
                <w:kern w:val="0"/>
                <w:sz w:val="20"/>
                <w:szCs w:val="20"/>
              </w:rPr>
              <w:br w:type="textWrapping"/>
            </w:r>
            <w:r>
              <w:rPr>
                <w:rFonts w:hint="eastAsia" w:ascii="宋体" w:hAnsi="宋体" w:cs="宋体"/>
                <w:kern w:val="0"/>
                <w:sz w:val="20"/>
                <w:szCs w:val="20"/>
              </w:rPr>
              <w:t>▲双镜头均具有不小于400万像素 CMOS传感器，内置GPU芯片（需提供具有CNAS或CMA标志的第三方检测机构出具的检测报告证明）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内置混合补光灯，支持混合补光、白光补光和关闭模式，可根据被摄物的距离自动调节混合灯亮度</w:t>
            </w:r>
            <w:r>
              <w:rPr>
                <w:rFonts w:hint="eastAsia" w:ascii="宋体" w:hAnsi="宋体" w:cs="宋体"/>
                <w:kern w:val="0"/>
                <w:sz w:val="20"/>
                <w:szCs w:val="20"/>
              </w:rPr>
              <w:br w:type="textWrapping"/>
            </w:r>
            <w:r>
              <w:rPr>
                <w:rFonts w:hint="eastAsia" w:ascii="宋体" w:hAnsi="宋体" w:cs="宋体"/>
                <w:kern w:val="0"/>
                <w:sz w:val="20"/>
                <w:szCs w:val="20"/>
              </w:rPr>
              <w:t>最低照度彩色不大于0.0002 lx，黑白不大于0.0001 lx</w:t>
            </w:r>
            <w:r>
              <w:rPr>
                <w:rFonts w:hint="eastAsia" w:ascii="宋体" w:hAnsi="宋体" w:cs="宋体"/>
                <w:kern w:val="0"/>
                <w:sz w:val="20"/>
                <w:szCs w:val="20"/>
              </w:rPr>
              <w:br w:type="textWrapping"/>
            </w:r>
            <w:r>
              <w:rPr>
                <w:rFonts w:hint="eastAsia" w:ascii="宋体" w:hAnsi="宋体" w:cs="宋体"/>
                <w:kern w:val="0"/>
                <w:sz w:val="20"/>
                <w:szCs w:val="20"/>
              </w:rPr>
              <w:t>信噪比不小于60dB</w:t>
            </w:r>
            <w:r>
              <w:rPr>
                <w:rFonts w:hint="eastAsia" w:ascii="宋体" w:hAnsi="宋体" w:cs="宋体"/>
                <w:kern w:val="0"/>
                <w:sz w:val="20"/>
                <w:szCs w:val="20"/>
              </w:rPr>
              <w:br w:type="textWrapping"/>
            </w:r>
            <w:r>
              <w:rPr>
                <w:rFonts w:hint="eastAsia" w:ascii="宋体" w:hAnsi="宋体" w:cs="宋体"/>
                <w:kern w:val="0"/>
                <w:sz w:val="20"/>
                <w:szCs w:val="20"/>
              </w:rPr>
              <w:t>在分辨率1920x1080 @ 25fps，延时不大于70ms</w:t>
            </w:r>
            <w:r>
              <w:rPr>
                <w:rFonts w:hint="eastAsia" w:ascii="宋体" w:hAnsi="宋体" w:cs="宋体"/>
                <w:kern w:val="0"/>
                <w:sz w:val="20"/>
                <w:szCs w:val="20"/>
              </w:rPr>
              <w:br w:type="textWrapping"/>
            </w:r>
            <w:r>
              <w:rPr>
                <w:rFonts w:hint="eastAsia" w:ascii="宋体" w:hAnsi="宋体" w:cs="宋体"/>
                <w:kern w:val="0"/>
                <w:sz w:val="20"/>
                <w:szCs w:val="20"/>
              </w:rPr>
              <w:t>在2560x1440 @ 25fps下，清晰度均不小于1400TVL</w:t>
            </w:r>
            <w:r>
              <w:rPr>
                <w:rFonts w:hint="eastAsia" w:ascii="宋体" w:hAnsi="宋体" w:cs="宋体"/>
                <w:kern w:val="0"/>
                <w:sz w:val="20"/>
                <w:szCs w:val="20"/>
              </w:rPr>
              <w:br w:type="textWrapping"/>
            </w:r>
            <w:r>
              <w:rPr>
                <w:rFonts w:hint="eastAsia" w:ascii="宋体" w:hAnsi="宋体" w:cs="宋体"/>
                <w:kern w:val="0"/>
                <w:sz w:val="20"/>
                <w:szCs w:val="20"/>
              </w:rPr>
              <w:t>▲支持检出两眼瞳距20像素点以上的人脸图片</w:t>
            </w:r>
            <w:r>
              <w:rPr>
                <w:rFonts w:hint="eastAsia" w:ascii="宋体" w:hAnsi="宋体" w:cs="宋体"/>
                <w:kern w:val="0"/>
                <w:sz w:val="20"/>
                <w:szCs w:val="20"/>
              </w:rPr>
              <w:br w:type="textWrapping"/>
            </w:r>
            <w:r>
              <w:rPr>
                <w:rFonts w:hint="eastAsia" w:ascii="宋体" w:hAnsi="宋体" w:cs="宋体"/>
                <w:kern w:val="0"/>
                <w:sz w:val="20"/>
                <w:szCs w:val="20"/>
              </w:rPr>
              <w:t>支持侧脸过滤功能，可过滤上下、左右角度达到预设值的人脸（需提供具有CNAS或CMA标志的第三方检测机构出具的检测报告证明）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▲支持单场景同时检出不少于40张人脸图片，并支持面部跟踪（需提供具有CNAS或CMA标志的第三方检测机构出具的检测报告证明）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不低于IP66防护等级</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微卡口</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400万监控单元</w:t>
            </w:r>
            <w:r>
              <w:rPr>
                <w:rFonts w:hint="eastAsia" w:ascii="宋体" w:hAnsi="宋体" w:cs="宋体"/>
                <w:kern w:val="0"/>
                <w:sz w:val="20"/>
                <w:szCs w:val="20"/>
              </w:rPr>
              <w:br w:type="textWrapping"/>
            </w:r>
            <w:r>
              <w:rPr>
                <w:rFonts w:hint="eastAsia" w:ascii="宋体" w:hAnsi="宋体" w:cs="宋体"/>
                <w:kern w:val="0"/>
                <w:sz w:val="20"/>
                <w:szCs w:val="20"/>
              </w:rPr>
              <w:t>包含高清一体化嵌入式摄像机、高清镜头、室外防护罩、网络信号防雷器、电源适配器等</w:t>
            </w:r>
            <w:r>
              <w:rPr>
                <w:rFonts w:hint="eastAsia" w:ascii="宋体" w:hAnsi="宋体" w:cs="宋体"/>
                <w:kern w:val="0"/>
                <w:sz w:val="20"/>
                <w:szCs w:val="20"/>
              </w:rPr>
              <w:br w:type="textWrapping"/>
            </w:r>
            <w:r>
              <w:rPr>
                <w:rFonts w:hint="eastAsia" w:ascii="宋体" w:hAnsi="宋体" w:cs="宋体"/>
                <w:kern w:val="0"/>
                <w:sz w:val="20"/>
                <w:szCs w:val="20"/>
              </w:rPr>
              <w:t>传感器类型：1/1.8"CMOS</w:t>
            </w:r>
            <w:r>
              <w:rPr>
                <w:rFonts w:hint="eastAsia" w:ascii="宋体" w:hAnsi="宋体" w:cs="宋体"/>
                <w:kern w:val="0"/>
                <w:sz w:val="20"/>
                <w:szCs w:val="20"/>
              </w:rPr>
              <w:br w:type="textWrapping"/>
            </w:r>
            <w:r>
              <w:rPr>
                <w:rFonts w:hint="eastAsia" w:ascii="宋体" w:hAnsi="宋体" w:cs="宋体"/>
                <w:kern w:val="0"/>
                <w:sz w:val="20"/>
                <w:szCs w:val="20"/>
              </w:rPr>
              <w:t>单幅图像分辨率不小于2712×1536</w:t>
            </w:r>
            <w:r>
              <w:rPr>
                <w:rFonts w:hint="eastAsia" w:ascii="宋体" w:hAnsi="宋体" w:cs="宋体"/>
                <w:kern w:val="0"/>
                <w:sz w:val="20"/>
                <w:szCs w:val="20"/>
              </w:rPr>
              <w:br w:type="textWrapping"/>
            </w:r>
            <w:r>
              <w:rPr>
                <w:rFonts w:hint="eastAsia" w:ascii="宋体" w:hAnsi="宋体" w:cs="宋体"/>
                <w:kern w:val="0"/>
                <w:sz w:val="20"/>
                <w:szCs w:val="20"/>
              </w:rPr>
              <w:t>支持新能源车牌识别功能</w:t>
            </w:r>
            <w:r>
              <w:rPr>
                <w:rFonts w:hint="eastAsia" w:ascii="宋体" w:hAnsi="宋体" w:cs="宋体"/>
                <w:kern w:val="0"/>
                <w:sz w:val="20"/>
                <w:szCs w:val="20"/>
              </w:rPr>
              <w:br w:type="textWrapping"/>
            </w:r>
            <w:r>
              <w:rPr>
                <w:rFonts w:hint="eastAsia" w:ascii="宋体" w:hAnsi="宋体" w:cs="宋体"/>
                <w:kern w:val="0"/>
                <w:sz w:val="20"/>
                <w:szCs w:val="20"/>
              </w:rPr>
              <w:t>护罩玻璃透光率≥99%</w:t>
            </w:r>
            <w:r>
              <w:rPr>
                <w:rFonts w:hint="eastAsia" w:ascii="宋体" w:hAnsi="宋体" w:cs="宋体"/>
                <w:kern w:val="0"/>
                <w:sz w:val="20"/>
                <w:szCs w:val="20"/>
              </w:rPr>
              <w:br w:type="textWrapping"/>
            </w:r>
            <w:r>
              <w:rPr>
                <w:rFonts w:hint="eastAsia" w:ascii="宋体" w:hAnsi="宋体" w:cs="宋体"/>
                <w:kern w:val="0"/>
                <w:sz w:val="20"/>
                <w:szCs w:val="20"/>
              </w:rPr>
              <w:t>支持主码流同时输出不少于30路1920×1080、2Mbps的25帧/s图像以提供客户端浏览</w:t>
            </w:r>
            <w:r>
              <w:rPr>
                <w:rFonts w:hint="eastAsia" w:ascii="宋体" w:hAnsi="宋体" w:cs="宋体"/>
                <w:kern w:val="0"/>
                <w:sz w:val="20"/>
                <w:szCs w:val="20"/>
              </w:rPr>
              <w:br w:type="textWrapping"/>
            </w:r>
            <w:r>
              <w:rPr>
                <w:rFonts w:hint="eastAsia" w:ascii="宋体" w:hAnsi="宋体" w:cs="宋体"/>
                <w:kern w:val="0"/>
                <w:sz w:val="20"/>
                <w:szCs w:val="20"/>
              </w:rPr>
              <w:t>▲支持车辆捕获抓拍功能，在天气晴朗无雾，号牌无遮挡、无污损，白天环境光照度不低于200lx，晚上辅助光照度不高于30lx的条件下测试，白天和晚上的捕获率均≥99%（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13种车身颜色识别，包括：黑、白、灰、红、绿、蓝、黄、粉、紫、棕、青、金、橙；白天车身颜色识别准确率≥99%;晚上车身颜色识别准确率≥97%。（需提供具有CNAS或CMA标志的第三方检测机构出具的检测报告证明）</w:t>
            </w:r>
            <w:r>
              <w:rPr>
                <w:rFonts w:hint="eastAsia" w:ascii="宋体" w:hAnsi="宋体" w:cs="宋体"/>
                <w:kern w:val="0"/>
                <w:sz w:val="20"/>
                <w:szCs w:val="20"/>
              </w:rPr>
              <w:br w:type="textWrapping"/>
            </w:r>
            <w:r>
              <w:rPr>
                <w:rFonts w:hint="eastAsia" w:ascii="宋体" w:hAnsi="宋体" w:cs="宋体"/>
                <w:kern w:val="0"/>
                <w:sz w:val="20"/>
                <w:szCs w:val="20"/>
              </w:rPr>
              <w:t>支持低置信度过滤功能，可过滤置信度低的车牌；支持多拍过滤功能，可设置多拍过滤时间段为0-320000ms，在此时间段内多次经过的车辆只抓拍一次</w:t>
            </w:r>
            <w:r>
              <w:rPr>
                <w:rFonts w:hint="eastAsia" w:ascii="宋体" w:hAnsi="宋体" w:cs="宋体"/>
                <w:kern w:val="0"/>
                <w:sz w:val="20"/>
                <w:szCs w:val="20"/>
              </w:rPr>
              <w:br w:type="textWrapping"/>
            </w:r>
            <w:r>
              <w:rPr>
                <w:rFonts w:hint="eastAsia" w:ascii="宋体" w:hAnsi="宋体" w:cs="宋体"/>
                <w:kern w:val="0"/>
                <w:sz w:val="20"/>
                <w:szCs w:val="20"/>
              </w:rPr>
              <w:t>设备可将监控画面中指定区域设置为行人/非机动车禁行区域，当行人/非机动车禁行区域内出现行人/非机动车目标时，设备可跟踪标识、框选提示、抓拍图片、给出报警提示，并可将对同一目标的两张抓拍图片合成一张图片</w:t>
            </w:r>
            <w:r>
              <w:rPr>
                <w:rFonts w:hint="eastAsia" w:ascii="宋体" w:hAnsi="宋体" w:cs="宋体"/>
                <w:kern w:val="0"/>
                <w:sz w:val="20"/>
                <w:szCs w:val="20"/>
              </w:rPr>
              <w:br w:type="textWrapping"/>
            </w:r>
            <w:r>
              <w:rPr>
                <w:rFonts w:hint="eastAsia" w:ascii="宋体" w:hAnsi="宋体" w:cs="宋体"/>
                <w:kern w:val="0"/>
                <w:sz w:val="20"/>
                <w:szCs w:val="20"/>
              </w:rPr>
              <w:t>支持正向和背向的摩托车、非机动车未带头盔检测</w:t>
            </w:r>
            <w:r>
              <w:rPr>
                <w:rFonts w:hint="eastAsia" w:ascii="宋体" w:hAnsi="宋体" w:cs="宋体"/>
                <w:kern w:val="0"/>
                <w:sz w:val="20"/>
                <w:szCs w:val="20"/>
              </w:rPr>
              <w:br w:type="textWrapping"/>
            </w:r>
            <w:r>
              <w:rPr>
                <w:rFonts w:hint="eastAsia" w:ascii="宋体" w:hAnsi="宋体" w:cs="宋体"/>
                <w:kern w:val="0"/>
                <w:sz w:val="20"/>
                <w:szCs w:val="20"/>
              </w:rPr>
              <w:t>车辆子品牌识别功能：车头方向，可识别不低于6600种车辆子品牌；车尾方向，可识别不低于3600种车辆子品牌；白天识别准确率≥99%，晚上识别准确率≥99%。</w:t>
            </w:r>
            <w:r>
              <w:rPr>
                <w:rFonts w:hint="eastAsia" w:ascii="宋体" w:hAnsi="宋体" w:cs="宋体"/>
                <w:kern w:val="0"/>
                <w:sz w:val="20"/>
                <w:szCs w:val="20"/>
              </w:rPr>
              <w:br w:type="textWrapping"/>
            </w:r>
            <w:r>
              <w:rPr>
                <w:rFonts w:hint="eastAsia" w:ascii="宋体" w:hAnsi="宋体" w:cs="宋体"/>
                <w:kern w:val="0"/>
                <w:sz w:val="20"/>
                <w:szCs w:val="20"/>
              </w:rPr>
              <w:t>支持固定OSD叠加功能，支持在屏幕左上、左中、左下、中上、中下、右上、右中、右下位置进行叠加，位置可调；叠加字体大小不受视频主、副码流影响。</w:t>
            </w:r>
            <w:r>
              <w:rPr>
                <w:rFonts w:hint="eastAsia" w:ascii="宋体" w:hAnsi="宋体" w:cs="宋体"/>
                <w:kern w:val="0"/>
                <w:sz w:val="20"/>
                <w:szCs w:val="20"/>
              </w:rPr>
              <w:br w:type="textWrapping"/>
            </w:r>
            <w:r>
              <w:rPr>
                <w:rFonts w:hint="eastAsia" w:ascii="宋体" w:hAnsi="宋体" w:cs="宋体"/>
                <w:kern w:val="0"/>
                <w:sz w:val="20"/>
                <w:szCs w:val="20"/>
              </w:rPr>
              <w:t>支持正向/背向行驶车辆抓拍，车辆检测绿框可跟随移动；支持抓拍优选功能，优选状态下上报最优抓图</w:t>
            </w:r>
            <w:r>
              <w:rPr>
                <w:rFonts w:hint="eastAsia" w:ascii="宋体" w:hAnsi="宋体" w:cs="宋体"/>
                <w:kern w:val="0"/>
                <w:sz w:val="20"/>
                <w:szCs w:val="20"/>
              </w:rPr>
              <w:br w:type="textWrapping"/>
            </w:r>
            <w:r>
              <w:rPr>
                <w:rFonts w:hint="eastAsia" w:ascii="宋体" w:hAnsi="宋体" w:cs="宋体"/>
                <w:kern w:val="0"/>
                <w:sz w:val="20"/>
                <w:szCs w:val="20"/>
              </w:rPr>
              <w:t>支持识别背光、高速运动、雾（雨）天等场景，并能在开启状态下自动对背光及高速运动自适应调整相应的图像参数，对雾（雨）天场景可在20s内识别并调整参数</w:t>
            </w:r>
            <w:r>
              <w:rPr>
                <w:rFonts w:hint="eastAsia" w:ascii="宋体" w:hAnsi="宋体" w:cs="宋体"/>
                <w:kern w:val="0"/>
                <w:sz w:val="20"/>
                <w:szCs w:val="20"/>
              </w:rPr>
              <w:br w:type="textWrapping"/>
            </w:r>
            <w:r>
              <w:rPr>
                <w:rFonts w:hint="eastAsia" w:ascii="宋体" w:hAnsi="宋体" w:cs="宋体"/>
                <w:kern w:val="0"/>
                <w:sz w:val="20"/>
                <w:szCs w:val="20"/>
              </w:rPr>
              <w:t>设备可识别351种机动车品牌标志，白天识别准确率≥99%，夜晚识别准确率≥99%。</w:t>
            </w:r>
            <w:r>
              <w:rPr>
                <w:rFonts w:hint="eastAsia" w:ascii="宋体" w:hAnsi="宋体" w:cs="宋体"/>
                <w:kern w:val="0"/>
                <w:sz w:val="20"/>
                <w:szCs w:val="20"/>
              </w:rPr>
              <w:br w:type="textWrapping"/>
            </w:r>
            <w:r>
              <w:rPr>
                <w:rFonts w:hint="eastAsia" w:ascii="宋体" w:hAnsi="宋体" w:cs="宋体"/>
                <w:kern w:val="0"/>
                <w:sz w:val="20"/>
                <w:szCs w:val="20"/>
              </w:rPr>
              <w:t>可通过IE浏览器设置人脸抓拍模式为最佳抓拍模式/快速抓拍模式；在最佳抓拍模式时，可设置抓拍次数、抓拍帧数间隔及抓拍阈值，次数可设置为1次~10次，间隔帧数可设置为1帧~255帧，抓拍阈值可设置为0~20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300万虚拟抓拍</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300万高清抓拍单元</w:t>
            </w:r>
            <w:r>
              <w:rPr>
                <w:rFonts w:hint="eastAsia" w:ascii="宋体" w:hAnsi="宋体" w:cs="宋体"/>
                <w:kern w:val="0"/>
                <w:sz w:val="20"/>
                <w:szCs w:val="20"/>
              </w:rPr>
              <w:br w:type="textWrapping"/>
            </w:r>
            <w:r>
              <w:rPr>
                <w:rFonts w:hint="eastAsia" w:ascii="宋体" w:hAnsi="宋体" w:cs="宋体"/>
                <w:kern w:val="0"/>
                <w:sz w:val="20"/>
                <w:szCs w:val="20"/>
              </w:rPr>
              <w:t>包含高清一体化嵌入式摄像机、高清镜头、室外防护罩、相机内置网络信号防雷器、电源适配器等</w:t>
            </w:r>
            <w:r>
              <w:rPr>
                <w:rFonts w:hint="eastAsia" w:ascii="宋体" w:hAnsi="宋体" w:cs="宋体"/>
                <w:kern w:val="0"/>
                <w:sz w:val="20"/>
                <w:szCs w:val="20"/>
              </w:rPr>
              <w:br w:type="textWrapping"/>
            </w:r>
            <w:r>
              <w:rPr>
                <w:rFonts w:hint="eastAsia" w:ascii="宋体" w:hAnsi="宋体" w:cs="宋体"/>
                <w:kern w:val="0"/>
                <w:sz w:val="20"/>
                <w:szCs w:val="20"/>
              </w:rPr>
              <w:t>采用1/1.8英寸GMOS，采用深度学习芯片</w:t>
            </w:r>
            <w:r>
              <w:rPr>
                <w:rFonts w:hint="eastAsia" w:ascii="宋体" w:hAnsi="宋体" w:cs="宋体"/>
                <w:kern w:val="0"/>
                <w:sz w:val="20"/>
                <w:szCs w:val="20"/>
              </w:rPr>
              <w:br w:type="textWrapping"/>
            </w:r>
            <w:r>
              <w:rPr>
                <w:rFonts w:hint="eastAsia" w:ascii="宋体" w:hAnsi="宋体" w:cs="宋体"/>
                <w:kern w:val="0"/>
                <w:sz w:val="20"/>
                <w:szCs w:val="20"/>
              </w:rPr>
              <w:t>最大图像尺寸：最大可支持2064*2056</w:t>
            </w:r>
            <w:r>
              <w:rPr>
                <w:rFonts w:hint="eastAsia" w:ascii="宋体" w:hAnsi="宋体" w:cs="宋体"/>
                <w:kern w:val="0"/>
                <w:sz w:val="20"/>
                <w:szCs w:val="20"/>
              </w:rPr>
              <w:br w:type="textWrapping"/>
            </w:r>
            <w:r>
              <w:rPr>
                <w:rFonts w:hint="eastAsia" w:ascii="宋体" w:hAnsi="宋体" w:cs="宋体"/>
                <w:kern w:val="0"/>
                <w:sz w:val="20"/>
                <w:szCs w:val="20"/>
              </w:rPr>
              <w:t>视频帧率：在1～50fps可调</w:t>
            </w:r>
            <w:r>
              <w:rPr>
                <w:rFonts w:hint="eastAsia" w:ascii="宋体" w:hAnsi="宋体" w:cs="宋体"/>
                <w:kern w:val="0"/>
                <w:sz w:val="20"/>
                <w:szCs w:val="20"/>
              </w:rPr>
              <w:br w:type="textWrapping"/>
            </w:r>
            <w:r>
              <w:rPr>
                <w:rFonts w:hint="eastAsia" w:ascii="宋体" w:hAnsi="宋体" w:cs="宋体"/>
                <w:kern w:val="0"/>
                <w:sz w:val="20"/>
                <w:szCs w:val="20"/>
              </w:rPr>
              <w:t>视频压缩支持H.265、H.264、M-JPEG</w:t>
            </w:r>
            <w:r>
              <w:rPr>
                <w:rFonts w:hint="eastAsia" w:ascii="宋体" w:hAnsi="宋体" w:cs="宋体"/>
                <w:kern w:val="0"/>
                <w:sz w:val="20"/>
                <w:szCs w:val="20"/>
              </w:rPr>
              <w:br w:type="textWrapping"/>
            </w:r>
            <w:r>
              <w:rPr>
                <w:rFonts w:hint="eastAsia" w:ascii="宋体" w:hAnsi="宋体" w:cs="宋体"/>
                <w:kern w:val="0"/>
                <w:sz w:val="20"/>
                <w:szCs w:val="20"/>
              </w:rPr>
              <w:t>分辨力：彩色≥1400TVL</w:t>
            </w:r>
            <w:r>
              <w:rPr>
                <w:rFonts w:hint="eastAsia" w:ascii="宋体" w:hAnsi="宋体" w:cs="宋体"/>
                <w:kern w:val="0"/>
                <w:sz w:val="20"/>
                <w:szCs w:val="20"/>
              </w:rPr>
              <w:br w:type="textWrapping"/>
            </w:r>
            <w:r>
              <w:rPr>
                <w:rFonts w:hint="eastAsia" w:ascii="宋体" w:hAnsi="宋体" w:cs="宋体"/>
                <w:kern w:val="0"/>
                <w:sz w:val="20"/>
                <w:szCs w:val="20"/>
              </w:rPr>
              <w:t>设备可识别351种机动车品牌标志，白天识别准确率≥99%，夜晚识别准确率≥99%</w:t>
            </w:r>
            <w:r>
              <w:rPr>
                <w:rFonts w:hint="eastAsia" w:ascii="宋体" w:hAnsi="宋体" w:cs="宋体"/>
                <w:kern w:val="0"/>
                <w:sz w:val="20"/>
                <w:szCs w:val="20"/>
              </w:rPr>
              <w:br w:type="textWrapping"/>
            </w:r>
            <w:r>
              <w:rPr>
                <w:rFonts w:hint="eastAsia" w:ascii="宋体" w:hAnsi="宋体" w:cs="宋体"/>
                <w:kern w:val="0"/>
                <w:sz w:val="20"/>
                <w:szCs w:val="20"/>
              </w:rPr>
              <w:t>支持对设定区域内的机动车、非机动车是否悬挂车牌的情况进行检测并显示</w:t>
            </w:r>
            <w:r>
              <w:rPr>
                <w:rFonts w:hint="eastAsia" w:ascii="宋体" w:hAnsi="宋体" w:cs="宋体"/>
                <w:kern w:val="0"/>
                <w:sz w:val="20"/>
                <w:szCs w:val="20"/>
              </w:rPr>
              <w:br w:type="textWrapping"/>
            </w:r>
            <w:r>
              <w:rPr>
                <w:rFonts w:hint="eastAsia" w:ascii="宋体" w:hAnsi="宋体" w:cs="宋体"/>
                <w:kern w:val="0"/>
                <w:sz w:val="20"/>
                <w:szCs w:val="20"/>
              </w:rPr>
              <w:t>设备可对监控画面中非机动车车牌进行检测和识别，并将识别结果叠加在OSD上进行显示</w:t>
            </w:r>
            <w:r>
              <w:rPr>
                <w:rFonts w:hint="eastAsia" w:ascii="宋体" w:hAnsi="宋体" w:cs="宋体"/>
                <w:kern w:val="0"/>
                <w:sz w:val="20"/>
                <w:szCs w:val="20"/>
              </w:rPr>
              <w:br w:type="textWrapping"/>
            </w:r>
            <w:r>
              <w:rPr>
                <w:rFonts w:hint="eastAsia" w:ascii="宋体" w:hAnsi="宋体" w:cs="宋体"/>
                <w:kern w:val="0"/>
                <w:sz w:val="20"/>
                <w:szCs w:val="20"/>
              </w:rPr>
              <w:t>支持数字降噪、透雾、感兴趣区域增强、信噪比、宽动态、快门自适应等功能</w:t>
            </w:r>
            <w:r>
              <w:rPr>
                <w:rFonts w:hint="eastAsia" w:ascii="宋体" w:hAnsi="宋体" w:cs="宋体"/>
                <w:kern w:val="0"/>
                <w:sz w:val="20"/>
                <w:szCs w:val="20"/>
              </w:rPr>
              <w:br w:type="textWrapping"/>
            </w:r>
            <w:r>
              <w:rPr>
                <w:rFonts w:hint="eastAsia" w:ascii="宋体" w:hAnsi="宋体" w:cs="宋体"/>
                <w:kern w:val="0"/>
                <w:sz w:val="20"/>
                <w:szCs w:val="20"/>
              </w:rPr>
              <w:t>支持多拍过滤功能，可设置多拍过滤时间段为0-320000ms，在此时间段内多次经过的车辆只抓拍一次</w:t>
            </w:r>
            <w:r>
              <w:rPr>
                <w:rFonts w:hint="eastAsia" w:ascii="宋体" w:hAnsi="宋体" w:cs="宋体"/>
                <w:kern w:val="0"/>
                <w:sz w:val="20"/>
                <w:szCs w:val="20"/>
              </w:rPr>
              <w:br w:type="textWrapping"/>
            </w:r>
            <w:r>
              <w:rPr>
                <w:rFonts w:hint="eastAsia" w:ascii="宋体" w:hAnsi="宋体" w:cs="宋体"/>
                <w:kern w:val="0"/>
                <w:sz w:val="20"/>
                <w:szCs w:val="20"/>
              </w:rPr>
              <w:t>支持设置多帧识别功能开启/关闭</w:t>
            </w:r>
            <w:r>
              <w:rPr>
                <w:rFonts w:hint="eastAsia" w:ascii="宋体" w:hAnsi="宋体" w:cs="宋体"/>
                <w:kern w:val="0"/>
                <w:sz w:val="20"/>
                <w:szCs w:val="20"/>
              </w:rPr>
              <w:br w:type="textWrapping"/>
            </w:r>
            <w:r>
              <w:rPr>
                <w:rFonts w:hint="eastAsia" w:ascii="宋体" w:hAnsi="宋体" w:cs="宋体"/>
                <w:kern w:val="0"/>
                <w:sz w:val="20"/>
                <w:szCs w:val="20"/>
              </w:rPr>
              <w:t>外壳防护等级应不低于IP66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900万虚拟抓拍</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900万高清抓拍单元</w:t>
            </w:r>
            <w:r>
              <w:rPr>
                <w:rFonts w:hint="eastAsia" w:ascii="宋体" w:hAnsi="宋体" w:cs="宋体"/>
                <w:kern w:val="0"/>
                <w:sz w:val="20"/>
                <w:szCs w:val="20"/>
              </w:rPr>
              <w:br w:type="textWrapping"/>
            </w:r>
            <w:r>
              <w:rPr>
                <w:rFonts w:hint="eastAsia" w:ascii="宋体" w:hAnsi="宋体" w:cs="宋体"/>
                <w:kern w:val="0"/>
                <w:sz w:val="20"/>
                <w:szCs w:val="20"/>
              </w:rPr>
              <w:t>包含高清一体化嵌入式摄像机、高清镜头、室外防护罩、相机内置网络信号防雷器、电源适配器等</w:t>
            </w:r>
            <w:r>
              <w:rPr>
                <w:rFonts w:hint="eastAsia" w:ascii="宋体" w:hAnsi="宋体" w:cs="宋体"/>
                <w:kern w:val="0"/>
                <w:sz w:val="20"/>
                <w:szCs w:val="20"/>
              </w:rPr>
              <w:br w:type="textWrapping"/>
            </w:r>
            <w:r>
              <w:rPr>
                <w:rFonts w:hint="eastAsia" w:ascii="宋体" w:hAnsi="宋体" w:cs="宋体"/>
                <w:kern w:val="0"/>
                <w:sz w:val="20"/>
                <w:szCs w:val="20"/>
              </w:rPr>
              <w:t>设备应采用深度学习芯片</w:t>
            </w:r>
            <w:r>
              <w:rPr>
                <w:rFonts w:hint="eastAsia" w:ascii="宋体" w:hAnsi="宋体" w:cs="宋体"/>
                <w:kern w:val="0"/>
                <w:sz w:val="20"/>
                <w:szCs w:val="20"/>
              </w:rPr>
              <w:br w:type="textWrapping"/>
            </w:r>
            <w:r>
              <w:rPr>
                <w:rFonts w:hint="eastAsia" w:ascii="宋体" w:hAnsi="宋体" w:cs="宋体"/>
                <w:kern w:val="0"/>
                <w:sz w:val="20"/>
                <w:szCs w:val="20"/>
              </w:rPr>
              <w:t>支持主码流同时输出不少于30路4096×2160、2Mbps的25帧/s图像</w:t>
            </w:r>
            <w:r>
              <w:rPr>
                <w:rFonts w:hint="eastAsia" w:ascii="宋体" w:hAnsi="宋体" w:cs="宋体"/>
                <w:kern w:val="0"/>
                <w:sz w:val="20"/>
                <w:szCs w:val="20"/>
              </w:rPr>
              <w:br w:type="textWrapping"/>
            </w:r>
            <w:r>
              <w:rPr>
                <w:rFonts w:hint="eastAsia" w:ascii="宋体" w:hAnsi="宋体" w:cs="宋体"/>
                <w:kern w:val="0"/>
                <w:sz w:val="20"/>
                <w:szCs w:val="20"/>
              </w:rPr>
              <w:t>最大图像尺寸：≥4096×2160像素，字符叠加时最大可支持4096×2800</w:t>
            </w:r>
            <w:r>
              <w:rPr>
                <w:rFonts w:hint="eastAsia" w:ascii="宋体" w:hAnsi="宋体" w:cs="宋体"/>
                <w:kern w:val="0"/>
                <w:sz w:val="20"/>
                <w:szCs w:val="20"/>
              </w:rPr>
              <w:br w:type="textWrapping"/>
            </w:r>
            <w:r>
              <w:rPr>
                <w:rFonts w:hint="eastAsia" w:ascii="宋体" w:hAnsi="宋体" w:cs="宋体"/>
                <w:kern w:val="0"/>
                <w:sz w:val="20"/>
                <w:szCs w:val="20"/>
              </w:rPr>
              <w:t>视频帧率：在1～25fps可调</w:t>
            </w:r>
            <w:r>
              <w:rPr>
                <w:rFonts w:hint="eastAsia" w:ascii="宋体" w:hAnsi="宋体" w:cs="宋体"/>
                <w:kern w:val="0"/>
                <w:sz w:val="20"/>
                <w:szCs w:val="20"/>
              </w:rPr>
              <w:br w:type="textWrapping"/>
            </w:r>
            <w:r>
              <w:rPr>
                <w:rFonts w:hint="eastAsia" w:ascii="宋体" w:hAnsi="宋体" w:cs="宋体"/>
                <w:kern w:val="0"/>
                <w:sz w:val="20"/>
                <w:szCs w:val="20"/>
              </w:rPr>
              <w:t>护罩玻璃透光率≥99%</w:t>
            </w:r>
            <w:r>
              <w:rPr>
                <w:rFonts w:hint="eastAsia" w:ascii="宋体" w:hAnsi="宋体" w:cs="宋体"/>
                <w:kern w:val="0"/>
                <w:sz w:val="20"/>
                <w:szCs w:val="20"/>
              </w:rPr>
              <w:br w:type="textWrapping"/>
            </w:r>
            <w:r>
              <w:rPr>
                <w:rFonts w:hint="eastAsia" w:ascii="宋体" w:hAnsi="宋体" w:cs="宋体"/>
                <w:kern w:val="0"/>
                <w:sz w:val="20"/>
                <w:szCs w:val="20"/>
              </w:rPr>
              <w:t>视频压缩支持H.265、H.264、M-JPEG</w:t>
            </w:r>
            <w:r>
              <w:rPr>
                <w:rFonts w:hint="eastAsia" w:ascii="宋体" w:hAnsi="宋体" w:cs="宋体"/>
                <w:kern w:val="0"/>
                <w:sz w:val="20"/>
                <w:szCs w:val="20"/>
              </w:rPr>
              <w:br w:type="textWrapping"/>
            </w:r>
            <w:r>
              <w:rPr>
                <w:rFonts w:hint="eastAsia" w:ascii="宋体" w:hAnsi="宋体" w:cs="宋体"/>
                <w:kern w:val="0"/>
                <w:sz w:val="20"/>
                <w:szCs w:val="20"/>
              </w:rPr>
              <w:t>支持正向/背向行驶车辆抓拍，车辆检测绿框可跟随移动；支持抓拍优选功能，优选状态下上报最优抓图</w:t>
            </w:r>
            <w:r>
              <w:rPr>
                <w:rFonts w:hint="eastAsia" w:ascii="宋体" w:hAnsi="宋体" w:cs="宋体"/>
                <w:kern w:val="0"/>
                <w:sz w:val="20"/>
                <w:szCs w:val="20"/>
              </w:rPr>
              <w:br w:type="textWrapping"/>
            </w:r>
            <w:r>
              <w:rPr>
                <w:rFonts w:hint="eastAsia" w:ascii="宋体" w:hAnsi="宋体" w:cs="宋体"/>
                <w:kern w:val="0"/>
                <w:sz w:val="20"/>
                <w:szCs w:val="20"/>
              </w:rPr>
              <w:t>支持识别车头6600种车辆子品牌，车尾3600种车辆子品牌，在天气晴朗无雾，号牌无遮挡、无污损，白天环境光照度不低于200lx，晚上辅助光照度不高于30lx的条件下测试，白天识别准确率均98%，白晚上的识别准确率均≥96%</w:t>
            </w:r>
            <w:r>
              <w:rPr>
                <w:rFonts w:hint="eastAsia" w:ascii="宋体" w:hAnsi="宋体" w:cs="宋体"/>
                <w:kern w:val="0"/>
                <w:sz w:val="20"/>
                <w:szCs w:val="20"/>
              </w:rPr>
              <w:br w:type="textWrapping"/>
            </w:r>
            <w:r>
              <w:rPr>
                <w:rFonts w:hint="eastAsia" w:ascii="宋体" w:hAnsi="宋体" w:cs="宋体"/>
                <w:kern w:val="0"/>
                <w:sz w:val="20"/>
                <w:szCs w:val="20"/>
              </w:rPr>
              <w:t>支持固定OSD叠加功能，支持在屏幕左上、左中、左下、中上、中下、右上、右中、右下位置进行叠加，位置可调；叠加字体大小不受视频主、副码流影响</w:t>
            </w:r>
            <w:r>
              <w:rPr>
                <w:rFonts w:hint="eastAsia" w:ascii="宋体" w:hAnsi="宋体" w:cs="宋体"/>
                <w:kern w:val="0"/>
                <w:sz w:val="20"/>
                <w:szCs w:val="20"/>
              </w:rPr>
              <w:br w:type="textWrapping"/>
            </w:r>
            <w:r>
              <w:rPr>
                <w:rFonts w:hint="eastAsia" w:ascii="宋体" w:hAnsi="宋体" w:cs="宋体"/>
                <w:kern w:val="0"/>
                <w:sz w:val="20"/>
                <w:szCs w:val="20"/>
              </w:rPr>
              <w:t>支持对设定区域内的机动车、非机动车是否悬挂车牌的情况进行检测并显示</w:t>
            </w:r>
            <w:r>
              <w:rPr>
                <w:rFonts w:hint="eastAsia" w:ascii="宋体" w:hAnsi="宋体" w:cs="宋体"/>
                <w:kern w:val="0"/>
                <w:sz w:val="20"/>
                <w:szCs w:val="20"/>
              </w:rPr>
              <w:br w:type="textWrapping"/>
            </w:r>
            <w:r>
              <w:rPr>
                <w:rFonts w:hint="eastAsia" w:ascii="宋体" w:hAnsi="宋体" w:cs="宋体"/>
                <w:kern w:val="0"/>
                <w:sz w:val="20"/>
                <w:szCs w:val="20"/>
              </w:rPr>
              <w:t>支持多拍过滤功能，可设置多拍过滤时间段为0-320000ms，在此时间段内多次经过的车辆只抓拍一次</w:t>
            </w:r>
            <w:r>
              <w:rPr>
                <w:rFonts w:hint="eastAsia" w:ascii="宋体" w:hAnsi="宋体" w:cs="宋体"/>
                <w:kern w:val="0"/>
                <w:sz w:val="20"/>
                <w:szCs w:val="20"/>
              </w:rPr>
              <w:br w:type="textWrapping"/>
            </w:r>
            <w:r>
              <w:rPr>
                <w:rFonts w:hint="eastAsia" w:ascii="宋体" w:hAnsi="宋体" w:cs="宋体"/>
                <w:kern w:val="0"/>
                <w:sz w:val="20"/>
                <w:szCs w:val="20"/>
              </w:rPr>
              <w:t>外壳防护等级应不低于IP66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400万高清监控</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海康威视、大华、宇视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400万1/1.8"CMOS 低照度筒型网络摄像机</w:t>
            </w:r>
            <w:r>
              <w:rPr>
                <w:rFonts w:hint="eastAsia" w:ascii="宋体" w:hAnsi="宋体" w:cs="宋体"/>
                <w:kern w:val="0"/>
                <w:sz w:val="20"/>
                <w:szCs w:val="20"/>
              </w:rPr>
              <w:br w:type="textWrapping"/>
            </w:r>
            <w:r>
              <w:rPr>
                <w:rFonts w:hint="eastAsia" w:ascii="宋体" w:hAnsi="宋体" w:cs="宋体"/>
                <w:kern w:val="0"/>
                <w:sz w:val="20"/>
                <w:szCs w:val="20"/>
              </w:rPr>
              <w:t>最低照度:彩色：0.0005 Lux@（F1.0，AGC ON），0 Lux with Light</w:t>
            </w:r>
            <w:r>
              <w:rPr>
                <w:rFonts w:hint="eastAsia" w:ascii="宋体" w:hAnsi="宋体" w:cs="宋体"/>
                <w:kern w:val="0"/>
                <w:sz w:val="20"/>
                <w:szCs w:val="20"/>
              </w:rPr>
              <w:br w:type="textWrapping"/>
            </w:r>
            <w:r>
              <w:rPr>
                <w:rFonts w:hint="eastAsia" w:ascii="宋体" w:hAnsi="宋体" w:cs="宋体"/>
                <w:kern w:val="0"/>
                <w:sz w:val="20"/>
                <w:szCs w:val="20"/>
              </w:rPr>
              <w:t>视频压缩标准:H.265/H.264/MJPEG</w:t>
            </w:r>
            <w:r>
              <w:rPr>
                <w:rFonts w:hint="eastAsia" w:ascii="宋体" w:hAnsi="宋体" w:cs="宋体"/>
                <w:kern w:val="0"/>
                <w:sz w:val="20"/>
                <w:szCs w:val="20"/>
              </w:rPr>
              <w:br w:type="textWrapping"/>
            </w:r>
            <w:r>
              <w:rPr>
                <w:rFonts w:hint="eastAsia" w:ascii="宋体" w:hAnsi="宋体" w:cs="宋体"/>
                <w:kern w:val="0"/>
                <w:sz w:val="20"/>
                <w:szCs w:val="20"/>
              </w:rPr>
              <w:t>最大图像尺寸:2560 × 1440</w:t>
            </w:r>
            <w:r>
              <w:rPr>
                <w:rFonts w:hint="eastAsia" w:ascii="宋体" w:hAnsi="宋体" w:cs="宋体"/>
                <w:kern w:val="0"/>
                <w:sz w:val="20"/>
                <w:szCs w:val="20"/>
              </w:rPr>
              <w:br w:type="textWrapping"/>
            </w:r>
            <w:r>
              <w:rPr>
                <w:rFonts w:hint="eastAsia" w:ascii="宋体" w:hAnsi="宋体" w:cs="宋体"/>
                <w:kern w:val="0"/>
                <w:sz w:val="20"/>
                <w:szCs w:val="20"/>
              </w:rPr>
              <w:t>存储功能支持NAS</w:t>
            </w:r>
            <w:r>
              <w:rPr>
                <w:rFonts w:hint="eastAsia" w:ascii="宋体" w:hAnsi="宋体" w:cs="宋体"/>
                <w:kern w:val="0"/>
                <w:sz w:val="20"/>
                <w:szCs w:val="20"/>
              </w:rPr>
              <w:br w:type="textWrapping"/>
            </w:r>
            <w:r>
              <w:rPr>
                <w:rFonts w:hint="eastAsia" w:ascii="宋体" w:hAnsi="宋体" w:cs="宋体"/>
                <w:kern w:val="0"/>
                <w:sz w:val="20"/>
                <w:szCs w:val="20"/>
              </w:rPr>
              <w:t>通讯接口:1个RJ45 10 M/100 M自适应以太网口</w:t>
            </w:r>
            <w:r>
              <w:rPr>
                <w:rFonts w:hint="eastAsia" w:ascii="宋体" w:hAnsi="宋体" w:cs="宋体"/>
                <w:kern w:val="0"/>
                <w:sz w:val="20"/>
                <w:szCs w:val="20"/>
              </w:rPr>
              <w:br w:type="textWrapping"/>
            </w:r>
            <w:r>
              <w:rPr>
                <w:rFonts w:hint="eastAsia" w:ascii="宋体" w:hAnsi="宋体" w:cs="宋体"/>
                <w:kern w:val="0"/>
                <w:sz w:val="20"/>
                <w:szCs w:val="20"/>
              </w:rPr>
              <w:t>工作温度和湿度:-30 ℃~60 ℃，湿度小于95%</w:t>
            </w:r>
            <w:r>
              <w:rPr>
                <w:rFonts w:hint="eastAsia" w:ascii="宋体" w:hAnsi="宋体" w:cs="宋体"/>
                <w:kern w:val="0"/>
                <w:sz w:val="20"/>
                <w:szCs w:val="20"/>
              </w:rPr>
              <w:br w:type="textWrapping"/>
            </w:r>
            <w:r>
              <w:rPr>
                <w:rFonts w:hint="eastAsia" w:ascii="宋体" w:hAnsi="宋体" w:cs="宋体"/>
                <w:kern w:val="0"/>
                <w:sz w:val="20"/>
                <w:szCs w:val="20"/>
              </w:rPr>
              <w:t>电源供应:DC：12 V ± 25%，支持防反接保护</w:t>
            </w:r>
            <w:r>
              <w:rPr>
                <w:rFonts w:hint="eastAsia" w:ascii="宋体" w:hAnsi="宋体" w:cs="宋体"/>
                <w:kern w:val="0"/>
                <w:sz w:val="20"/>
                <w:szCs w:val="20"/>
              </w:rPr>
              <w:br w:type="textWrapping"/>
            </w:r>
            <w:r>
              <w:rPr>
                <w:rFonts w:hint="eastAsia" w:ascii="宋体" w:hAnsi="宋体" w:cs="宋体"/>
                <w:kern w:val="0"/>
                <w:sz w:val="20"/>
                <w:szCs w:val="20"/>
              </w:rPr>
              <w:t>防护等级不低于IP67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爆闪灯</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普尔、莱特斯、海康威视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白光爆闪灯</w:t>
            </w:r>
            <w:r>
              <w:rPr>
                <w:rFonts w:hint="eastAsia" w:ascii="宋体" w:hAnsi="宋体" w:cs="宋体"/>
                <w:kern w:val="0"/>
                <w:sz w:val="20"/>
                <w:szCs w:val="20"/>
              </w:rPr>
              <w:br w:type="textWrapping"/>
            </w:r>
            <w:r>
              <w:rPr>
                <w:rFonts w:hint="eastAsia" w:ascii="宋体" w:hAnsi="宋体" w:cs="宋体"/>
                <w:kern w:val="0"/>
                <w:sz w:val="20"/>
                <w:szCs w:val="20"/>
              </w:rPr>
              <w:t>单车道气体爆闪灯，单次闪光能量≥200J</w:t>
            </w:r>
            <w:r>
              <w:rPr>
                <w:rFonts w:hint="eastAsia" w:ascii="宋体" w:hAnsi="宋体" w:cs="宋体"/>
                <w:kern w:val="0"/>
                <w:sz w:val="20"/>
                <w:szCs w:val="20"/>
              </w:rPr>
              <w:br w:type="textWrapping"/>
            </w:r>
            <w:r>
              <w:rPr>
                <w:rFonts w:hint="eastAsia" w:ascii="宋体" w:hAnsi="宋体" w:cs="宋体"/>
                <w:kern w:val="0"/>
                <w:sz w:val="20"/>
                <w:szCs w:val="20"/>
              </w:rPr>
              <w:t>回电时间＜67ms，支持5V电平量触发</w:t>
            </w:r>
            <w:r>
              <w:rPr>
                <w:rFonts w:hint="eastAsia" w:ascii="宋体" w:hAnsi="宋体" w:cs="宋体"/>
                <w:kern w:val="0"/>
                <w:sz w:val="20"/>
                <w:szCs w:val="20"/>
              </w:rPr>
              <w:br w:type="textWrapping"/>
            </w:r>
            <w:r>
              <w:rPr>
                <w:rFonts w:hint="eastAsia" w:ascii="宋体" w:hAnsi="宋体" w:cs="宋体"/>
                <w:kern w:val="0"/>
                <w:sz w:val="20"/>
                <w:szCs w:val="20"/>
              </w:rPr>
              <w:t>有效补光距离16m～25m</w:t>
            </w:r>
            <w:r>
              <w:rPr>
                <w:rFonts w:hint="eastAsia" w:ascii="宋体" w:hAnsi="宋体" w:cs="宋体"/>
                <w:kern w:val="0"/>
                <w:sz w:val="20"/>
                <w:szCs w:val="20"/>
              </w:rPr>
              <w:br w:type="textWrapping"/>
            </w:r>
            <w:r>
              <w:rPr>
                <w:rFonts w:hint="eastAsia" w:ascii="宋体" w:hAnsi="宋体" w:cs="宋体"/>
                <w:kern w:val="0"/>
                <w:sz w:val="20"/>
                <w:szCs w:val="20"/>
              </w:rPr>
              <w:t>工作环境-25～+70℃</w:t>
            </w:r>
            <w:r>
              <w:rPr>
                <w:rFonts w:hint="eastAsia" w:ascii="宋体" w:hAnsi="宋体" w:cs="宋体"/>
                <w:kern w:val="0"/>
                <w:sz w:val="20"/>
                <w:szCs w:val="20"/>
              </w:rPr>
              <w:br w:type="textWrapping"/>
            </w:r>
            <w:r>
              <w:rPr>
                <w:rFonts w:hint="eastAsia" w:ascii="宋体" w:hAnsi="宋体" w:cs="宋体"/>
                <w:kern w:val="0"/>
                <w:sz w:val="20"/>
                <w:szCs w:val="20"/>
              </w:rPr>
              <w:t>具有脉冲保护功能，屏蔽≥3Hz持续性的脉冲信号</w:t>
            </w:r>
            <w:r>
              <w:rPr>
                <w:rFonts w:hint="eastAsia" w:ascii="宋体" w:hAnsi="宋体" w:cs="宋体"/>
                <w:kern w:val="0"/>
                <w:sz w:val="20"/>
                <w:szCs w:val="20"/>
              </w:rPr>
              <w:br w:type="textWrapping"/>
            </w:r>
            <w:r>
              <w:rPr>
                <w:rFonts w:hint="eastAsia" w:ascii="宋体" w:hAnsi="宋体" w:cs="宋体"/>
                <w:kern w:val="0"/>
                <w:sz w:val="20"/>
                <w:szCs w:val="20"/>
              </w:rPr>
              <w:t>闪光次数≥2000万次</w:t>
            </w:r>
            <w:r>
              <w:rPr>
                <w:rFonts w:hint="eastAsia" w:ascii="宋体" w:hAnsi="宋体" w:cs="宋体"/>
                <w:kern w:val="0"/>
                <w:sz w:val="20"/>
                <w:szCs w:val="20"/>
              </w:rPr>
              <w:br w:type="textWrapping"/>
            </w:r>
            <w:r>
              <w:rPr>
                <w:rFonts w:hint="eastAsia" w:ascii="宋体" w:hAnsi="宋体" w:cs="宋体"/>
                <w:kern w:val="0"/>
                <w:sz w:val="20"/>
                <w:szCs w:val="20"/>
              </w:rPr>
              <w:t>需带光栅，可有效减少周边光污染</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r>
      <w:tr>
        <w:tblPrEx>
          <w:tblCellMar>
            <w:top w:w="0" w:type="dxa"/>
            <w:left w:w="108" w:type="dxa"/>
            <w:bottom w:w="0" w:type="dxa"/>
            <w:right w:w="108" w:type="dxa"/>
          </w:tblCellMar>
        </w:tblPrEx>
        <w:trPr>
          <w:wBefore w:w="0" w:type="dxa"/>
          <w:wAfter w:w="0" w:type="dxa"/>
          <w:trHeight w:val="645"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无极灯</w:t>
            </w:r>
          </w:p>
        </w:tc>
        <w:tc>
          <w:tcPr>
            <w:tcW w:w="2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普尔、莱特斯、海康威视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整灯功率：40W±15%</w:t>
            </w:r>
            <w:r>
              <w:rPr>
                <w:rFonts w:hint="eastAsia" w:ascii="宋体" w:hAnsi="宋体" w:cs="宋体"/>
                <w:kern w:val="0"/>
                <w:sz w:val="20"/>
                <w:szCs w:val="20"/>
              </w:rPr>
              <w:br w:type="textWrapping"/>
            </w:r>
            <w:r>
              <w:rPr>
                <w:rFonts w:hint="eastAsia" w:ascii="宋体" w:hAnsi="宋体" w:cs="宋体"/>
                <w:kern w:val="0"/>
                <w:sz w:val="20"/>
                <w:szCs w:val="20"/>
              </w:rPr>
              <w:t>色温：4000K±200K,</w:t>
            </w:r>
            <w:r>
              <w:rPr>
                <w:rFonts w:hint="eastAsia" w:ascii="宋体" w:hAnsi="宋体" w:cs="宋体"/>
                <w:kern w:val="0"/>
                <w:sz w:val="20"/>
                <w:szCs w:val="20"/>
              </w:rPr>
              <w:br w:type="textWrapping"/>
            </w:r>
            <w:r>
              <w:rPr>
                <w:rFonts w:hint="eastAsia" w:ascii="宋体" w:hAnsi="宋体" w:cs="宋体"/>
                <w:kern w:val="0"/>
                <w:sz w:val="20"/>
                <w:szCs w:val="20"/>
              </w:rPr>
              <w:t>显色指数：≥90</w:t>
            </w:r>
            <w:r>
              <w:rPr>
                <w:rFonts w:hint="eastAsia" w:ascii="宋体" w:hAnsi="宋体" w:cs="宋体"/>
                <w:kern w:val="0"/>
                <w:sz w:val="20"/>
                <w:szCs w:val="20"/>
              </w:rPr>
              <w:br w:type="textWrapping"/>
            </w:r>
            <w:r>
              <w:rPr>
                <w:rFonts w:hint="eastAsia" w:ascii="宋体" w:hAnsi="宋体" w:cs="宋体"/>
                <w:kern w:val="0"/>
                <w:sz w:val="20"/>
                <w:szCs w:val="20"/>
              </w:rPr>
              <w:t>发光角度：＞90度</w:t>
            </w:r>
            <w:r>
              <w:rPr>
                <w:rFonts w:hint="eastAsia" w:ascii="宋体" w:hAnsi="宋体" w:cs="宋体"/>
                <w:kern w:val="0"/>
                <w:sz w:val="20"/>
                <w:szCs w:val="20"/>
              </w:rPr>
              <w:br w:type="textWrapping"/>
            </w:r>
            <w:r>
              <w:rPr>
                <w:rFonts w:hint="eastAsia" w:ascii="宋体" w:hAnsi="宋体" w:cs="宋体"/>
                <w:kern w:val="0"/>
                <w:sz w:val="20"/>
                <w:szCs w:val="20"/>
              </w:rPr>
              <w:t>工作电压：180VAC～250VAC 50HZ</w:t>
            </w:r>
            <w:r>
              <w:rPr>
                <w:rFonts w:hint="eastAsia" w:ascii="宋体" w:hAnsi="宋体" w:cs="宋体"/>
                <w:kern w:val="0"/>
                <w:sz w:val="20"/>
                <w:szCs w:val="20"/>
              </w:rPr>
              <w:br w:type="textWrapping"/>
            </w:r>
            <w:r>
              <w:rPr>
                <w:rFonts w:hint="eastAsia" w:ascii="宋体" w:hAnsi="宋体" w:cs="宋体"/>
                <w:kern w:val="0"/>
                <w:sz w:val="20"/>
                <w:szCs w:val="20"/>
              </w:rPr>
              <w:t>日夜转换：自带光敏控制开关</w:t>
            </w:r>
            <w:r>
              <w:rPr>
                <w:rFonts w:hint="eastAsia" w:ascii="宋体" w:hAnsi="宋体" w:cs="宋体"/>
                <w:kern w:val="0"/>
                <w:sz w:val="20"/>
                <w:szCs w:val="20"/>
              </w:rPr>
              <w:br w:type="textWrapping"/>
            </w:r>
            <w:r>
              <w:rPr>
                <w:rFonts w:hint="eastAsia" w:ascii="宋体" w:hAnsi="宋体" w:cs="宋体"/>
                <w:kern w:val="0"/>
                <w:sz w:val="20"/>
                <w:szCs w:val="20"/>
              </w:rPr>
              <w:t>防护等级：IP65</w:t>
            </w:r>
            <w:r>
              <w:rPr>
                <w:rFonts w:hint="eastAsia" w:ascii="宋体" w:hAnsi="宋体" w:cs="宋体"/>
                <w:kern w:val="0"/>
                <w:sz w:val="20"/>
                <w:szCs w:val="20"/>
              </w:rPr>
              <w:br w:type="textWrapping"/>
            </w:r>
            <w:r>
              <w:rPr>
                <w:rFonts w:hint="eastAsia" w:ascii="宋体" w:hAnsi="宋体" w:cs="宋体"/>
                <w:kern w:val="0"/>
                <w:sz w:val="20"/>
                <w:szCs w:val="20"/>
              </w:rPr>
              <w:t>工作环境温度：-25℃～+50℃，1、过压、欠压、过流、欠流、浸水等故障检测，</w:t>
            </w:r>
            <w:r>
              <w:rPr>
                <w:rFonts w:hint="eastAsia" w:ascii="宋体" w:hAnsi="宋体" w:cs="宋体"/>
                <w:kern w:val="0"/>
                <w:sz w:val="20"/>
                <w:szCs w:val="20"/>
              </w:rPr>
              <w:br w:type="textWrapping"/>
            </w:r>
            <w:r>
              <w:rPr>
                <w:rFonts w:hint="eastAsia" w:ascii="宋体" w:hAnsi="宋体" w:cs="宋体"/>
                <w:kern w:val="0"/>
                <w:sz w:val="20"/>
                <w:szCs w:val="20"/>
              </w:rPr>
              <w:t>2、断电实时检测，3、预留远控接入端口。</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547</w:t>
            </w:r>
          </w:p>
        </w:tc>
      </w:tr>
      <w:tr>
        <w:tblPrEx>
          <w:tblCellMar>
            <w:top w:w="0" w:type="dxa"/>
            <w:left w:w="108" w:type="dxa"/>
            <w:bottom w:w="0" w:type="dxa"/>
            <w:right w:w="108" w:type="dxa"/>
          </w:tblCellMar>
        </w:tblPrEx>
        <w:trPr>
          <w:wBefore w:w="0" w:type="dxa"/>
          <w:wAfter w:w="0" w:type="dxa"/>
          <w:trHeight w:val="600" w:hRule="atLeast"/>
        </w:trPr>
        <w:tc>
          <w:tcPr>
            <w:tcW w:w="13403"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二、前端辅材部分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墙装不锈钢设备箱</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防水、散热、含三插等不锈钢定制</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252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抱杆不锈钢设备箱</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防水、散热、含三插等不锈钢定制</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504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抱杆箱抱箍</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卡口杆、治安杆、路灯杆等杆挂箱抱</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付</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504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普通监控跳杆</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整体热镀锌+喷塑，Ф76管，挑臂长度根据各路口实际，L=1～4米。</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234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标准枪机支架</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八角卡口立杆</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整体热镀锌，八角主杆Φ360-320*6800*8mm，横杆Φ240-110*6000～12000*6mm</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卡口杆基础的挖掘和浇注</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C30混凝土浇注，含基础预埋铁件</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六角治安立杆</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Q235钢板六角形折边，整体热镀锌+喷塑，直杆壁厚为4mm,挑臂壁厚为3mm优质冷钢板。直杆外径Ф220～150，H=5-6米，挑臂长度根据各路口实际，L=1～6米。</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基础的挖掘和浇注</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C30混凝土浇注，含基础预埋铁件</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普通圆立杆</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主杆φ76mm等径 , 厚度3mm; 副杆φ48mm等径, 厚度3mm, 镀锌管</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380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基础的挖掘和浇注</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C30混凝土浇注，含基础预埋铁件</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380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摄像机其他配件</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镀锌</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174</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监控铭牌制作</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按《绍兴市视频监控点位命名规范》制作</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958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前端辅助材料</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各类抱箍、支架、空开及各类接插件管线等</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958</w:t>
            </w:r>
          </w:p>
        </w:tc>
      </w:tr>
      <w:tr>
        <w:tblPrEx>
          <w:tblCellMar>
            <w:top w:w="0" w:type="dxa"/>
            <w:left w:w="108" w:type="dxa"/>
            <w:bottom w:w="0" w:type="dxa"/>
            <w:right w:w="108" w:type="dxa"/>
          </w:tblCellMar>
        </w:tblPrEx>
        <w:trPr>
          <w:wBefore w:w="0" w:type="dxa"/>
          <w:wAfter w:w="0" w:type="dxa"/>
          <w:trHeight w:val="600" w:hRule="atLeast"/>
        </w:trPr>
        <w:tc>
          <w:tcPr>
            <w:tcW w:w="13403"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三、前端电力及设备安装调试部分</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外场监控前端市电接入费</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Φ32PE管埋地敷设和手孔的设置，在横穿各类道路的敷设Φ32镀锌钢管及道路、绿化挖掘的修复及赔偿、电源接入、电力局申请电力表等。</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内场监控前端市电接入费</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含管线、及电力电缆、赔偿及电源接入、电力局申请电力表等</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910</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智能监控安装调试</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含各类设备的线路布放、破路修复、埋管、安装调试等</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958</w:t>
            </w:r>
          </w:p>
        </w:tc>
      </w:tr>
      <w:tr>
        <w:tblPrEx>
          <w:tblCellMar>
            <w:top w:w="0" w:type="dxa"/>
            <w:left w:w="108" w:type="dxa"/>
            <w:bottom w:w="0" w:type="dxa"/>
            <w:right w:w="108" w:type="dxa"/>
          </w:tblCellMar>
        </w:tblPrEx>
        <w:trPr>
          <w:wBefore w:w="0" w:type="dxa"/>
          <w:wAfter w:w="0" w:type="dxa"/>
          <w:trHeight w:val="600" w:hRule="atLeast"/>
        </w:trPr>
        <w:tc>
          <w:tcPr>
            <w:tcW w:w="13403"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四、三年电费、维保、网络</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外挂无极灯前端设备电费</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3年电费</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547</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内置补光灯前端设备电费</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3年电费</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411</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智能监控三年维保</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三年维保</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958</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视频专网</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100M视频专网、3年租费</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958</w:t>
            </w:r>
          </w:p>
        </w:tc>
      </w:tr>
      <w:tr>
        <w:tblPrEx>
          <w:tblCellMar>
            <w:top w:w="0" w:type="dxa"/>
            <w:left w:w="108" w:type="dxa"/>
            <w:bottom w:w="0" w:type="dxa"/>
            <w:right w:w="108" w:type="dxa"/>
          </w:tblCellMar>
        </w:tblPrEx>
        <w:trPr>
          <w:wBefore w:w="0" w:type="dxa"/>
          <w:wAfter w:w="0" w:type="dxa"/>
          <w:trHeight w:val="600" w:hRule="atLeast"/>
        </w:trPr>
        <w:tc>
          <w:tcPr>
            <w:tcW w:w="13403"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五、智慧感知系统部分</w:t>
            </w:r>
          </w:p>
        </w:tc>
      </w:tr>
      <w:tr>
        <w:tblPrEx>
          <w:tblCellMar>
            <w:top w:w="0" w:type="dxa"/>
            <w:left w:w="108" w:type="dxa"/>
            <w:bottom w:w="0" w:type="dxa"/>
            <w:right w:w="108" w:type="dxa"/>
          </w:tblCellMar>
        </w:tblPrEx>
        <w:trPr>
          <w:wBefore w:w="0" w:type="dxa"/>
          <w:wAfter w:w="0" w:type="dxa"/>
          <w:trHeight w:val="866"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智慧感知系统</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爱赛德、华进、海康威视</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移动终端采集、无线路由器信息采集、无线路由器与移动终端关联关系采集、移动终端使用不加密无线路由器上网行为、虚拟身份信息采集，采集设备POE供电</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572</w:t>
            </w:r>
          </w:p>
        </w:tc>
      </w:tr>
      <w:tr>
        <w:tblPrEx>
          <w:tblCellMar>
            <w:top w:w="0" w:type="dxa"/>
            <w:left w:w="108" w:type="dxa"/>
            <w:bottom w:w="0" w:type="dxa"/>
            <w:right w:w="108" w:type="dxa"/>
          </w:tblCellMar>
        </w:tblPrEx>
        <w:trPr>
          <w:wBefore w:w="0" w:type="dxa"/>
          <w:wAfter w:w="0" w:type="dxa"/>
          <w:trHeight w:val="600" w:hRule="atLeast"/>
        </w:trPr>
        <w:tc>
          <w:tcPr>
            <w:tcW w:w="82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9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前端网络、电力、施工及维护</w:t>
            </w:r>
          </w:p>
        </w:tc>
        <w:tc>
          <w:tcPr>
            <w:tcW w:w="2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国产</w:t>
            </w:r>
          </w:p>
        </w:tc>
        <w:tc>
          <w:tcPr>
            <w:tcW w:w="4720" w:type="dxa"/>
            <w:tcBorders>
              <w:top w:val="nil"/>
              <w:left w:val="nil"/>
              <w:bottom w:val="single" w:color="auto" w:sz="4" w:space="0"/>
              <w:right w:val="single" w:color="auto" w:sz="4" w:space="0"/>
            </w:tcBorders>
            <w:shd w:val="clear" w:color="000000" w:fill="FFFFFF"/>
            <w:noWrap w:val="0"/>
            <w:vAlign w:val="top"/>
          </w:tcPr>
          <w:p>
            <w:pPr>
              <w:widowControl/>
              <w:jc w:val="center"/>
              <w:rPr>
                <w:rFonts w:ascii="宋体" w:hAnsi="宋体" w:cs="宋体"/>
                <w:kern w:val="0"/>
                <w:sz w:val="20"/>
                <w:szCs w:val="20"/>
              </w:rPr>
            </w:pPr>
            <w:r>
              <w:rPr>
                <w:rFonts w:hint="eastAsia" w:ascii="宋体" w:hAnsi="宋体" w:cs="宋体"/>
                <w:kern w:val="0"/>
                <w:sz w:val="20"/>
                <w:szCs w:val="20"/>
              </w:rPr>
              <w:t>含三年网络费用、电费、维护、电力施工、维护及配套设备箱管线等</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16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572</w:t>
            </w:r>
          </w:p>
        </w:tc>
      </w:tr>
      <w:tr>
        <w:tblPrEx>
          <w:shd w:val="clear" w:color="auto" w:fill="FFFFFF"/>
          <w:tblCellMar>
            <w:top w:w="0" w:type="dxa"/>
            <w:left w:w="108" w:type="dxa"/>
            <w:bottom w:w="0" w:type="dxa"/>
            <w:right w:w="108" w:type="dxa"/>
          </w:tblCellMar>
        </w:tblPrEx>
        <w:trPr>
          <w:gridAfter w:val="1"/>
          <w:wBefore w:w="0" w:type="dxa"/>
          <w:wAfter w:w="63" w:type="dxa"/>
          <w:trHeight w:val="413" w:hRule="atLeast"/>
        </w:trPr>
        <w:tc>
          <w:tcPr>
            <w:tcW w:w="1334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b/>
                <w:bCs/>
                <w:kern w:val="0"/>
                <w:sz w:val="20"/>
                <w:szCs w:val="20"/>
              </w:rPr>
              <w:t>六、车辆信息采集前端采集部分</w:t>
            </w:r>
          </w:p>
        </w:tc>
      </w:tr>
      <w:tr>
        <w:tblPrEx>
          <w:shd w:val="clear" w:color="auto" w:fill="FFFFFF"/>
          <w:tblCellMar>
            <w:top w:w="0" w:type="dxa"/>
            <w:left w:w="108" w:type="dxa"/>
            <w:bottom w:w="0" w:type="dxa"/>
            <w:right w:w="108" w:type="dxa"/>
          </w:tblCellMar>
        </w:tblPrEx>
        <w:trPr>
          <w:gridAfter w:val="1"/>
          <w:wBefore w:w="0" w:type="dxa"/>
          <w:wAfter w:w="63" w:type="dxa"/>
          <w:trHeight w:val="2818" w:hRule="atLeast"/>
        </w:trPr>
        <w:tc>
          <w:tcPr>
            <w:tcW w:w="82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w:t>
            </w:r>
          </w:p>
        </w:tc>
        <w:tc>
          <w:tcPr>
            <w:tcW w:w="29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车辆数据采集控制器</w:t>
            </w:r>
          </w:p>
        </w:tc>
        <w:tc>
          <w:tcPr>
            <w:tcW w:w="27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定制（含嵌入式软件</w:t>
            </w:r>
            <w:r>
              <w:rPr>
                <w:rFonts w:ascii="宋体" w:hAnsi="宋体" w:cs="宋体"/>
                <w:snapToGrid w:val="0"/>
                <w:sz w:val="20"/>
                <w:szCs w:val="20"/>
              </w:rPr>
              <w:t>）</w:t>
            </w: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1、通过原有道闸系统摄像机抓拍获取到车牌、车牌颜色、进出时间等已知的常见车牌信息和车牌照片，传输到后台接口。</w:t>
            </w:r>
            <w:r>
              <w:rPr>
                <w:rFonts w:hint="eastAsia" w:ascii="宋体" w:hAnsi="宋体" w:cs="宋体"/>
                <w:snapToGrid w:val="0"/>
                <w:sz w:val="20"/>
                <w:szCs w:val="20"/>
              </w:rPr>
              <w:br w:type="textWrapping"/>
            </w:r>
            <w:r>
              <w:rPr>
                <w:rFonts w:hint="eastAsia" w:ascii="宋体" w:hAnsi="宋体" w:cs="宋体"/>
                <w:snapToGrid w:val="0"/>
                <w:sz w:val="20"/>
                <w:szCs w:val="20"/>
              </w:rPr>
              <w:t>2、兼容各大品牌摄像头，采集进出车辆的号牌信息，车牌照片，实现本地存储，不影响现有停车道闸系统的正常运作。</w:t>
            </w:r>
          </w:p>
          <w:p>
            <w:pPr>
              <w:widowControl/>
              <w:jc w:val="center"/>
              <w:rPr>
                <w:rFonts w:ascii="宋体" w:hAnsi="宋体" w:cs="宋体"/>
                <w:snapToGrid w:val="0"/>
                <w:sz w:val="20"/>
                <w:szCs w:val="20"/>
              </w:rPr>
            </w:pPr>
            <w:r>
              <w:rPr>
                <w:rFonts w:hint="eastAsia" w:ascii="宋体" w:hAnsi="宋体" w:cs="宋体"/>
                <w:snapToGrid w:val="0"/>
                <w:sz w:val="20"/>
                <w:szCs w:val="20"/>
              </w:rPr>
              <w:t>3、支持摄像头直连，实现数据采集上传功能，和车辆黑白名单的管理。</w:t>
            </w:r>
            <w:r>
              <w:rPr>
                <w:rFonts w:hint="eastAsia" w:ascii="宋体" w:hAnsi="宋体" w:cs="宋体"/>
                <w:snapToGrid w:val="0"/>
                <w:sz w:val="20"/>
                <w:szCs w:val="20"/>
              </w:rPr>
              <w:br w:type="textWrapping"/>
            </w:r>
            <w:r>
              <w:rPr>
                <w:rFonts w:hint="eastAsia" w:ascii="宋体" w:hAnsi="宋体" w:cs="宋体"/>
                <w:snapToGrid w:val="0"/>
                <w:sz w:val="20"/>
                <w:szCs w:val="20"/>
              </w:rPr>
              <w:t>4、支持同时接入2路/4路/8路/1</w:t>
            </w:r>
            <w:r>
              <w:rPr>
                <w:rFonts w:ascii="宋体" w:hAnsi="宋体" w:cs="宋体"/>
                <w:snapToGrid w:val="0"/>
                <w:sz w:val="20"/>
                <w:szCs w:val="20"/>
              </w:rPr>
              <w:t>6路</w:t>
            </w:r>
            <w:r>
              <w:rPr>
                <w:rFonts w:hint="eastAsia" w:ascii="宋体" w:hAnsi="宋体" w:cs="宋体"/>
                <w:snapToGrid w:val="0"/>
                <w:sz w:val="20"/>
                <w:szCs w:val="20"/>
              </w:rPr>
              <w:t>摄像机。按实际路数配置不同型号的采集器。</w:t>
            </w:r>
            <w:r>
              <w:rPr>
                <w:rFonts w:hint="eastAsia" w:ascii="宋体" w:hAnsi="宋体" w:cs="宋体"/>
                <w:snapToGrid w:val="0"/>
                <w:sz w:val="20"/>
                <w:szCs w:val="20"/>
              </w:rPr>
              <w:br w:type="textWrapping"/>
            </w:r>
            <w:r>
              <w:rPr>
                <w:rFonts w:hint="eastAsia" w:ascii="宋体" w:hAnsi="宋体" w:cs="宋体"/>
                <w:snapToGrid w:val="0"/>
                <w:sz w:val="20"/>
                <w:szCs w:val="20"/>
              </w:rPr>
              <w:t>5、性能配置（需满足或大于以下配置要求）：</w:t>
            </w:r>
          </w:p>
          <w:p>
            <w:pPr>
              <w:widowControl/>
              <w:jc w:val="center"/>
              <w:rPr>
                <w:rFonts w:ascii="宋体" w:hAnsi="宋体" w:cs="宋体"/>
                <w:snapToGrid w:val="0"/>
                <w:sz w:val="20"/>
                <w:szCs w:val="20"/>
              </w:rPr>
            </w:pPr>
            <w:r>
              <w:rPr>
                <w:rFonts w:hint="eastAsia" w:ascii="宋体" w:hAnsi="宋体" w:cs="宋体"/>
                <w:snapToGrid w:val="0"/>
                <w:sz w:val="20"/>
                <w:szCs w:val="20"/>
              </w:rPr>
              <w:t>Cpu：主频&gt;</w:t>
            </w:r>
            <w:r>
              <w:rPr>
                <w:rFonts w:ascii="宋体" w:hAnsi="宋体" w:cs="宋体"/>
                <w:snapToGrid w:val="0"/>
                <w:sz w:val="20"/>
                <w:szCs w:val="20"/>
              </w:rPr>
              <w:t>=</w:t>
            </w:r>
            <w:r>
              <w:rPr>
                <w:rFonts w:hint="eastAsia" w:ascii="宋体" w:hAnsi="宋体" w:cs="宋体"/>
                <w:snapToGrid w:val="0"/>
                <w:sz w:val="20"/>
                <w:szCs w:val="20"/>
              </w:rPr>
              <w:t>2.0GHZ、内存：&gt;</w:t>
            </w:r>
            <w:r>
              <w:rPr>
                <w:rFonts w:ascii="宋体" w:hAnsi="宋体" w:cs="宋体"/>
                <w:snapToGrid w:val="0"/>
                <w:sz w:val="20"/>
                <w:szCs w:val="20"/>
              </w:rPr>
              <w:t>=</w:t>
            </w:r>
            <w:r>
              <w:rPr>
                <w:rFonts w:hint="eastAsia" w:ascii="宋体" w:hAnsi="宋体" w:cs="宋体"/>
                <w:snapToGrid w:val="0"/>
                <w:sz w:val="20"/>
                <w:szCs w:val="20"/>
              </w:rPr>
              <w:t>DDR32G、存储：30G固态硬盘、网口：2个千兆网口、扩展接口: USB2.0*3、USB3.0*1、COM口*1、电源模块：12V、无机械风扇散热系统</w:t>
            </w:r>
          </w:p>
          <w:p>
            <w:pPr>
              <w:widowControl/>
              <w:jc w:val="center"/>
              <w:rPr>
                <w:rFonts w:ascii="宋体" w:hAnsi="宋体" w:cs="宋体"/>
                <w:snapToGrid w:val="0"/>
                <w:sz w:val="20"/>
                <w:szCs w:val="20"/>
              </w:rPr>
            </w:pPr>
            <w:r>
              <w:rPr>
                <w:rFonts w:hint="eastAsia" w:ascii="宋体" w:hAnsi="宋体" w:cs="宋体"/>
                <w:snapToGrid w:val="0"/>
                <w:sz w:val="20"/>
                <w:szCs w:val="20"/>
              </w:rPr>
              <w:t>6、4G无线路由功能</w:t>
            </w:r>
            <w:bookmarkStart w:id="16" w:name="_GoBack"/>
            <w:bookmarkEnd w:id="16"/>
          </w:p>
          <w:p>
            <w:pPr>
              <w:widowControl/>
              <w:jc w:val="center"/>
              <w:rPr>
                <w:rFonts w:ascii="宋体" w:hAnsi="宋体" w:cs="宋体"/>
                <w:snapToGrid w:val="0"/>
                <w:sz w:val="20"/>
                <w:szCs w:val="20"/>
              </w:rPr>
            </w:pPr>
            <w:r>
              <w:rPr>
                <w:rFonts w:hint="eastAsia" w:ascii="宋体" w:hAnsi="宋体" w:cs="宋体"/>
                <w:snapToGrid w:val="0"/>
                <w:sz w:val="20"/>
                <w:szCs w:val="20"/>
              </w:rPr>
              <w:t>7、可断网续传</w:t>
            </w:r>
          </w:p>
        </w:tc>
        <w:tc>
          <w:tcPr>
            <w:tcW w:w="1080" w:type="dxa"/>
            <w:tcBorders>
              <w:top w:val="nil"/>
              <w:left w:val="nil"/>
              <w:bottom w:val="single" w:color="auto" w:sz="4" w:space="0"/>
              <w:right w:val="single" w:color="auto" w:sz="4" w:space="0"/>
            </w:tcBorders>
            <w:shd w:val="clear" w:color="auto" w:fill="FFFFFF"/>
            <w:noWrap w:val="0"/>
            <w:vAlign w:val="center"/>
          </w:tcPr>
          <w:p>
            <w:pPr>
              <w:widowControl/>
              <w:ind w:firstLine="200" w:firstLineChars="100"/>
              <w:jc w:val="center"/>
              <w:rPr>
                <w:rFonts w:ascii="宋体" w:hAnsi="宋体" w:cs="宋体"/>
                <w:snapToGrid w:val="0"/>
                <w:sz w:val="20"/>
                <w:szCs w:val="20"/>
              </w:rPr>
            </w:pPr>
            <w:r>
              <w:rPr>
                <w:rFonts w:ascii="宋体" w:hAnsi="宋体" w:cs="宋体"/>
                <w:snapToGrid w:val="0"/>
                <w:sz w:val="20"/>
                <w:szCs w:val="20"/>
              </w:rPr>
              <w:t>路（相机数量）</w:t>
            </w:r>
          </w:p>
        </w:tc>
        <w:tc>
          <w:tcPr>
            <w:tcW w:w="11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w:t>
            </w:r>
            <w:r>
              <w:rPr>
                <w:rFonts w:ascii="宋体" w:hAnsi="宋体" w:cs="宋体"/>
                <w:snapToGrid w:val="0"/>
                <w:sz w:val="20"/>
                <w:szCs w:val="20"/>
              </w:rPr>
              <w:t>104路</w:t>
            </w:r>
          </w:p>
        </w:tc>
      </w:tr>
      <w:tr>
        <w:tblPrEx>
          <w:shd w:val="clear" w:color="auto" w:fill="FFFFFF"/>
          <w:tblCellMar>
            <w:top w:w="0" w:type="dxa"/>
            <w:left w:w="108" w:type="dxa"/>
            <w:bottom w:w="0" w:type="dxa"/>
            <w:right w:w="108" w:type="dxa"/>
          </w:tblCellMar>
        </w:tblPrEx>
        <w:trPr>
          <w:gridAfter w:val="1"/>
          <w:wBefore w:w="0" w:type="dxa"/>
          <w:wAfter w:w="63" w:type="dxa"/>
          <w:trHeight w:val="702" w:hRule="atLeast"/>
        </w:trPr>
        <w:tc>
          <w:tcPr>
            <w:tcW w:w="82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ascii="宋体" w:hAnsi="宋体" w:cs="宋体"/>
                <w:snapToGrid w:val="0"/>
                <w:sz w:val="20"/>
                <w:szCs w:val="20"/>
              </w:rPr>
              <w:t>2</w:t>
            </w:r>
          </w:p>
        </w:tc>
        <w:tc>
          <w:tcPr>
            <w:tcW w:w="29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系统集成</w:t>
            </w:r>
          </w:p>
        </w:tc>
        <w:tc>
          <w:tcPr>
            <w:tcW w:w="27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系统集成【安装调试、3年电费、工程辅材、4G流量卡（流量卡按相机数自行按需配置，采用以太网时忽略），数据维护】</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批</w:t>
            </w:r>
          </w:p>
        </w:tc>
        <w:tc>
          <w:tcPr>
            <w:tcW w:w="11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w:t>
            </w:r>
          </w:p>
        </w:tc>
      </w:tr>
      <w:tr>
        <w:tblPrEx>
          <w:shd w:val="clear" w:color="auto" w:fill="FFFFFF"/>
          <w:tblCellMar>
            <w:top w:w="0" w:type="dxa"/>
            <w:left w:w="108" w:type="dxa"/>
            <w:bottom w:w="0" w:type="dxa"/>
            <w:right w:w="108" w:type="dxa"/>
          </w:tblCellMar>
        </w:tblPrEx>
        <w:trPr>
          <w:gridAfter w:val="1"/>
          <w:wBefore w:w="0" w:type="dxa"/>
          <w:wAfter w:w="63" w:type="dxa"/>
          <w:trHeight w:val="567" w:hRule="atLeast"/>
        </w:trPr>
        <w:tc>
          <w:tcPr>
            <w:tcW w:w="13340" w:type="dxa"/>
            <w:gridSpan w:val="6"/>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b/>
                <w:bCs/>
                <w:snapToGrid w:val="0"/>
                <w:sz w:val="20"/>
                <w:szCs w:val="20"/>
              </w:rPr>
              <w:t>七、车辆信息采集后端建设部分</w:t>
            </w: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w:t>
            </w:r>
          </w:p>
        </w:tc>
        <w:tc>
          <w:tcPr>
            <w:tcW w:w="292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应用服务器</w:t>
            </w:r>
          </w:p>
        </w:tc>
        <w:tc>
          <w:tcPr>
            <w:tcW w:w="27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华为、华三、思科</w:t>
            </w: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2U 2路机架服务器</w:t>
            </w:r>
          </w:p>
        </w:tc>
        <w:tc>
          <w:tcPr>
            <w:tcW w:w="10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台</w:t>
            </w:r>
          </w:p>
        </w:tc>
        <w:tc>
          <w:tcPr>
            <w:tcW w:w="11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ascii="宋体" w:hAnsi="宋体" w:cs="宋体"/>
                <w:snapToGrid w:val="0"/>
                <w:sz w:val="20"/>
                <w:szCs w:val="20"/>
              </w:rPr>
              <w:t>1</w:t>
            </w: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≥2个Intel E5-2640 V4</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内存配置容量：≥128GB ECC DDR4  低电压内存，单根内存为32G</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内存扩展能力：≥16个插槽</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内置硬盘类型：本次配置扩展能力支持≥8个3.5英寸硬盘</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内置硬盘配置容量数目： ≥4块  2T 7.2K RPM 3.5英寸 硬盘</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最大支持≥6个PCIE 插槽，可选与服务器同品牌 PCIe SSD高性能存储卡</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19"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板载4*GE</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333" w:hRule="atLeast"/>
        </w:trPr>
        <w:tc>
          <w:tcPr>
            <w:tcW w:w="8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27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电源：满配冗余热插拔电源，460W，并提供配套的电源连接线</w:t>
            </w:r>
          </w:p>
        </w:tc>
        <w:tc>
          <w:tcPr>
            <w:tcW w:w="108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11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r>
      <w:tr>
        <w:tblPrEx>
          <w:shd w:val="clear" w:color="auto" w:fill="FFFFFF"/>
          <w:tblCellMar>
            <w:top w:w="0" w:type="dxa"/>
            <w:left w:w="108" w:type="dxa"/>
            <w:bottom w:w="0" w:type="dxa"/>
            <w:right w:w="108" w:type="dxa"/>
          </w:tblCellMar>
        </w:tblPrEx>
        <w:trPr>
          <w:gridAfter w:val="1"/>
          <w:wBefore w:w="0" w:type="dxa"/>
          <w:wAfter w:w="63" w:type="dxa"/>
          <w:trHeight w:val="90" w:hRule="atLeast"/>
        </w:trPr>
        <w:tc>
          <w:tcPr>
            <w:tcW w:w="82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2</w:t>
            </w:r>
          </w:p>
        </w:tc>
        <w:tc>
          <w:tcPr>
            <w:tcW w:w="29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数据库服务器</w:t>
            </w:r>
          </w:p>
        </w:tc>
        <w:tc>
          <w:tcPr>
            <w:tcW w:w="27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海康威视、中科曙光、华为</w:t>
            </w: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≥E7-4809v4 2.0G 8C 115W*4</w:t>
            </w:r>
            <w:r>
              <w:rPr>
                <w:rFonts w:hint="eastAsia" w:ascii="宋体" w:hAnsi="宋体" w:cs="宋体"/>
                <w:snapToGrid w:val="0"/>
                <w:sz w:val="20"/>
                <w:szCs w:val="20"/>
              </w:rPr>
              <w:br w:type="textWrapping"/>
            </w:r>
            <w:r>
              <w:rPr>
                <w:rFonts w:hint="eastAsia" w:ascii="宋体" w:hAnsi="宋体" w:cs="宋体"/>
                <w:snapToGrid w:val="0"/>
                <w:sz w:val="20"/>
                <w:szCs w:val="20"/>
              </w:rPr>
              <w:t>16G DDR4 2133 ECC REG 内存*8</w:t>
            </w:r>
            <w:r>
              <w:rPr>
                <w:rFonts w:hint="eastAsia" w:ascii="宋体" w:hAnsi="宋体" w:cs="宋体"/>
                <w:snapToGrid w:val="0"/>
                <w:sz w:val="20"/>
                <w:szCs w:val="20"/>
              </w:rPr>
              <w:br w:type="textWrapping"/>
            </w:r>
            <w:r>
              <w:rPr>
                <w:rFonts w:hint="eastAsia" w:ascii="宋体" w:hAnsi="宋体" w:cs="宋体"/>
                <w:snapToGrid w:val="0"/>
                <w:sz w:val="20"/>
                <w:szCs w:val="20"/>
              </w:rPr>
              <w:t>600G 2.5吋 10K 6Gb SAS*2，</w:t>
            </w:r>
          </w:p>
          <w:p>
            <w:pPr>
              <w:widowControl/>
              <w:jc w:val="center"/>
              <w:rPr>
                <w:rFonts w:ascii="宋体" w:hAnsi="宋体" w:cs="宋体"/>
                <w:snapToGrid w:val="0"/>
                <w:sz w:val="20"/>
                <w:szCs w:val="20"/>
              </w:rPr>
            </w:pPr>
            <w:r>
              <w:rPr>
                <w:rFonts w:hint="eastAsia" w:ascii="宋体" w:hAnsi="宋体" w:cs="宋体"/>
                <w:snapToGrid w:val="0"/>
                <w:sz w:val="20"/>
                <w:szCs w:val="20"/>
              </w:rPr>
              <w:t>≥</w:t>
            </w:r>
            <w:r>
              <w:rPr>
                <w:rFonts w:ascii="宋体" w:hAnsi="宋体" w:cs="宋体"/>
                <w:snapToGrid w:val="0"/>
                <w:sz w:val="20"/>
                <w:szCs w:val="20"/>
              </w:rPr>
              <w:t>2</w:t>
            </w:r>
            <w:r>
              <w:rPr>
                <w:rFonts w:hint="eastAsia" w:ascii="宋体" w:hAnsi="宋体" w:cs="宋体"/>
                <w:snapToGrid w:val="0"/>
                <w:sz w:val="20"/>
                <w:szCs w:val="20"/>
              </w:rPr>
              <w:t>块  2T 7.2K RPM 3.5英寸 硬盘</w:t>
            </w:r>
            <w:r>
              <w:rPr>
                <w:rFonts w:hint="eastAsia" w:ascii="宋体" w:hAnsi="宋体" w:cs="宋体"/>
                <w:snapToGrid w:val="0"/>
                <w:sz w:val="20"/>
                <w:szCs w:val="20"/>
              </w:rPr>
              <w:br w:type="textWrapping"/>
            </w:r>
            <w:r>
              <w:rPr>
                <w:rFonts w:hint="eastAsia" w:ascii="宋体" w:hAnsi="宋体" w:cs="宋体"/>
                <w:snapToGrid w:val="0"/>
                <w:sz w:val="20"/>
                <w:szCs w:val="20"/>
              </w:rPr>
              <w:t>550W 四模块电源</w:t>
            </w:r>
            <w:r>
              <w:rPr>
                <w:rFonts w:hint="eastAsia" w:ascii="宋体" w:hAnsi="宋体" w:cs="宋体"/>
                <w:snapToGrid w:val="0"/>
                <w:sz w:val="20"/>
                <w:szCs w:val="20"/>
              </w:rPr>
              <w:br w:type="textWrapping"/>
            </w:r>
            <w:r>
              <w:rPr>
                <w:rFonts w:hint="eastAsia" w:ascii="宋体" w:hAnsi="宋体" w:cs="宋体"/>
                <w:snapToGrid w:val="0"/>
                <w:sz w:val="20"/>
                <w:szCs w:val="20"/>
              </w:rPr>
              <w:t>板载2G Cache RAID</w:t>
            </w:r>
            <w:r>
              <w:rPr>
                <w:rFonts w:hint="eastAsia" w:ascii="宋体" w:hAnsi="宋体" w:cs="宋体"/>
                <w:snapToGrid w:val="0"/>
                <w:sz w:val="20"/>
                <w:szCs w:val="20"/>
              </w:rPr>
              <w:br w:type="textWrapping"/>
            </w:r>
            <w:r>
              <w:rPr>
                <w:rFonts w:hint="eastAsia" w:ascii="宋体" w:hAnsi="宋体" w:cs="宋体"/>
                <w:snapToGrid w:val="0"/>
                <w:sz w:val="20"/>
                <w:szCs w:val="20"/>
              </w:rPr>
              <w:t>双口8Gb PCI-E 光纤HBA卡</w:t>
            </w:r>
            <w:r>
              <w:rPr>
                <w:rFonts w:hint="eastAsia" w:ascii="宋体" w:hAnsi="宋体" w:cs="宋体"/>
                <w:snapToGrid w:val="0"/>
                <w:sz w:val="20"/>
                <w:szCs w:val="20"/>
              </w:rPr>
              <w:br w:type="textWrapping"/>
            </w:r>
            <w:r>
              <w:rPr>
                <w:rFonts w:hint="eastAsia" w:ascii="宋体" w:hAnsi="宋体" w:cs="宋体"/>
                <w:snapToGrid w:val="0"/>
                <w:sz w:val="20"/>
                <w:szCs w:val="20"/>
              </w:rPr>
              <w:t>千兆双口高端RJ45网卡*2</w:t>
            </w:r>
            <w:r>
              <w:rPr>
                <w:rFonts w:hint="eastAsia" w:ascii="宋体" w:hAnsi="宋体" w:cs="宋体"/>
                <w:snapToGrid w:val="0"/>
                <w:sz w:val="20"/>
                <w:szCs w:val="20"/>
              </w:rPr>
              <w:br w:type="textWrapping"/>
            </w:r>
            <w:r>
              <w:rPr>
                <w:rFonts w:hint="eastAsia" w:ascii="宋体" w:hAnsi="宋体" w:cs="宋体"/>
                <w:snapToGrid w:val="0"/>
                <w:sz w:val="20"/>
                <w:szCs w:val="20"/>
              </w:rPr>
              <w:t>超薄DVD-RW×1</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台</w:t>
            </w:r>
          </w:p>
        </w:tc>
        <w:tc>
          <w:tcPr>
            <w:tcW w:w="11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ascii="宋体" w:hAnsi="宋体" w:cs="宋体"/>
                <w:snapToGrid w:val="0"/>
                <w:sz w:val="20"/>
                <w:szCs w:val="20"/>
              </w:rPr>
              <w:t>1</w:t>
            </w:r>
          </w:p>
        </w:tc>
      </w:tr>
      <w:tr>
        <w:tblPrEx>
          <w:shd w:val="clear" w:color="auto" w:fill="FFFFFF"/>
          <w:tblCellMar>
            <w:top w:w="0" w:type="dxa"/>
            <w:left w:w="108" w:type="dxa"/>
            <w:bottom w:w="0" w:type="dxa"/>
            <w:right w:w="108" w:type="dxa"/>
          </w:tblCellMar>
        </w:tblPrEx>
        <w:trPr>
          <w:gridAfter w:val="1"/>
          <w:wBefore w:w="0" w:type="dxa"/>
          <w:wAfter w:w="63" w:type="dxa"/>
          <w:trHeight w:val="525" w:hRule="atLeast"/>
        </w:trPr>
        <w:tc>
          <w:tcPr>
            <w:tcW w:w="82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3</w:t>
            </w:r>
          </w:p>
        </w:tc>
        <w:tc>
          <w:tcPr>
            <w:tcW w:w="29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数据采集分析转发平台</w:t>
            </w:r>
          </w:p>
        </w:tc>
        <w:tc>
          <w:tcPr>
            <w:tcW w:w="27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定制</w:t>
            </w: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lang w:bidi="ar"/>
              </w:rPr>
              <w:t>▲</w:t>
            </w:r>
            <w:r>
              <w:rPr>
                <w:rFonts w:ascii="宋体" w:hAnsi="宋体" w:cs="宋体"/>
                <w:snapToGrid w:val="0"/>
                <w:sz w:val="20"/>
                <w:szCs w:val="20"/>
              </w:rPr>
              <w:t>1</w:t>
            </w:r>
            <w:r>
              <w:rPr>
                <w:rFonts w:hint="eastAsia" w:ascii="宋体" w:hAnsi="宋体" w:cs="宋体"/>
                <w:snapToGrid w:val="0"/>
                <w:sz w:val="20"/>
                <w:szCs w:val="20"/>
              </w:rPr>
              <w:t xml:space="preserve"> 实时采集停车场车辆车辆数据</w:t>
            </w:r>
          </w:p>
          <w:p>
            <w:pPr>
              <w:widowControl/>
              <w:jc w:val="center"/>
              <w:rPr>
                <w:rFonts w:ascii="宋体" w:hAnsi="宋体" w:cs="宋体"/>
                <w:snapToGrid w:val="0"/>
                <w:sz w:val="20"/>
                <w:szCs w:val="20"/>
              </w:rPr>
            </w:pPr>
            <w:r>
              <w:rPr>
                <w:rFonts w:ascii="宋体" w:hAnsi="宋体" w:cs="宋体"/>
                <w:snapToGrid w:val="0"/>
                <w:sz w:val="20"/>
                <w:szCs w:val="20"/>
              </w:rPr>
              <w:t>2</w:t>
            </w:r>
            <w:r>
              <w:rPr>
                <w:rFonts w:hint="eastAsia" w:ascii="宋体" w:hAnsi="宋体" w:cs="宋体"/>
                <w:snapToGrid w:val="0"/>
                <w:sz w:val="20"/>
                <w:szCs w:val="20"/>
              </w:rPr>
              <w:t xml:space="preserve"> 肇事车、套牌车、违法车追踪布控</w:t>
            </w:r>
          </w:p>
          <w:p>
            <w:pPr>
              <w:widowControl/>
              <w:jc w:val="center"/>
              <w:rPr>
                <w:rFonts w:ascii="宋体" w:hAnsi="宋体" w:cs="宋体"/>
                <w:snapToGrid w:val="0"/>
                <w:sz w:val="20"/>
                <w:szCs w:val="20"/>
              </w:rPr>
            </w:pPr>
            <w:r>
              <w:rPr>
                <w:rFonts w:ascii="宋体" w:hAnsi="宋体" w:cs="宋体"/>
                <w:snapToGrid w:val="0"/>
                <w:sz w:val="20"/>
                <w:szCs w:val="20"/>
              </w:rPr>
              <w:t>3</w:t>
            </w:r>
            <w:r>
              <w:rPr>
                <w:rFonts w:hint="eastAsia" w:ascii="宋体" w:hAnsi="宋体" w:cs="宋体"/>
                <w:snapToGrid w:val="0"/>
                <w:sz w:val="20"/>
                <w:szCs w:val="20"/>
              </w:rPr>
              <w:t xml:space="preserve"> 落脚点分析</w:t>
            </w:r>
          </w:p>
          <w:p>
            <w:pPr>
              <w:widowControl/>
              <w:jc w:val="center"/>
              <w:rPr>
                <w:rFonts w:ascii="宋体" w:hAnsi="宋体" w:cs="宋体"/>
                <w:snapToGrid w:val="0"/>
                <w:sz w:val="20"/>
                <w:szCs w:val="20"/>
              </w:rPr>
            </w:pPr>
            <w:r>
              <w:rPr>
                <w:rFonts w:ascii="宋体" w:hAnsi="宋体" w:cs="宋体"/>
                <w:snapToGrid w:val="0"/>
                <w:sz w:val="20"/>
                <w:szCs w:val="20"/>
              </w:rPr>
              <w:t>4</w:t>
            </w:r>
            <w:r>
              <w:rPr>
                <w:rFonts w:hint="eastAsia" w:ascii="宋体" w:hAnsi="宋体" w:cs="宋体"/>
                <w:snapToGrid w:val="0"/>
                <w:sz w:val="20"/>
                <w:szCs w:val="20"/>
              </w:rPr>
              <w:t xml:space="preserve"> 数据实时推送视频专网平台</w:t>
            </w:r>
          </w:p>
          <w:p>
            <w:pPr>
              <w:widowControl/>
              <w:jc w:val="center"/>
              <w:rPr>
                <w:rFonts w:ascii="宋体" w:hAnsi="宋体" w:cs="宋体"/>
                <w:snapToGrid w:val="0"/>
                <w:sz w:val="20"/>
                <w:szCs w:val="20"/>
              </w:rPr>
            </w:pPr>
            <w:r>
              <w:rPr>
                <w:rFonts w:hint="eastAsia" w:ascii="宋体" w:hAnsi="宋体" w:cs="宋体"/>
                <w:snapToGrid w:val="0"/>
                <w:sz w:val="20"/>
                <w:szCs w:val="20"/>
                <w:lang w:bidi="ar"/>
              </w:rPr>
              <w:t>▲</w:t>
            </w:r>
            <w:r>
              <w:rPr>
                <w:rFonts w:ascii="宋体" w:hAnsi="宋体" w:cs="宋体"/>
                <w:snapToGrid w:val="0"/>
                <w:sz w:val="20"/>
                <w:szCs w:val="20"/>
              </w:rPr>
              <w:t>5</w:t>
            </w:r>
            <w:r>
              <w:rPr>
                <w:rFonts w:hint="eastAsia" w:ascii="宋体" w:hAnsi="宋体" w:cs="宋体"/>
                <w:snapToGrid w:val="0"/>
                <w:sz w:val="20"/>
                <w:szCs w:val="20"/>
              </w:rPr>
              <w:t xml:space="preserve"> 车辆轨迹查询</w:t>
            </w:r>
          </w:p>
          <w:p>
            <w:pPr>
              <w:widowControl/>
              <w:jc w:val="center"/>
              <w:rPr>
                <w:rFonts w:ascii="宋体" w:hAnsi="宋体" w:cs="宋体"/>
                <w:snapToGrid w:val="0"/>
                <w:sz w:val="20"/>
                <w:szCs w:val="20"/>
              </w:rPr>
            </w:pPr>
            <w:r>
              <w:rPr>
                <w:rFonts w:ascii="宋体" w:hAnsi="宋体" w:cs="宋体"/>
                <w:snapToGrid w:val="0"/>
                <w:sz w:val="20"/>
                <w:szCs w:val="20"/>
              </w:rPr>
              <w:t>6</w:t>
            </w:r>
            <w:r>
              <w:rPr>
                <w:rFonts w:hint="eastAsia" w:ascii="宋体" w:hAnsi="宋体" w:cs="宋体"/>
                <w:snapToGrid w:val="0"/>
                <w:sz w:val="20"/>
                <w:szCs w:val="20"/>
              </w:rPr>
              <w:t xml:space="preserve"> 前端设备监测报警、后端系统定时巡检</w:t>
            </w:r>
          </w:p>
          <w:p>
            <w:pPr>
              <w:widowControl/>
              <w:jc w:val="center"/>
              <w:rPr>
                <w:rFonts w:ascii="宋体" w:hAnsi="宋体" w:cs="宋体"/>
                <w:snapToGrid w:val="0"/>
                <w:sz w:val="20"/>
                <w:szCs w:val="20"/>
              </w:rPr>
            </w:pPr>
            <w:r>
              <w:rPr>
                <w:rFonts w:hint="eastAsia" w:ascii="宋体" w:hAnsi="宋体" w:cs="宋体"/>
                <w:snapToGrid w:val="0"/>
                <w:sz w:val="20"/>
                <w:szCs w:val="20"/>
                <w:lang w:bidi="ar"/>
              </w:rPr>
              <w:t>▲</w:t>
            </w:r>
            <w:r>
              <w:rPr>
                <w:rFonts w:ascii="宋体" w:hAnsi="宋体" w:cs="宋体"/>
                <w:snapToGrid w:val="0"/>
                <w:sz w:val="20"/>
                <w:szCs w:val="20"/>
              </w:rPr>
              <w:t>7 存储</w:t>
            </w:r>
            <w:r>
              <w:rPr>
                <w:rFonts w:hint="eastAsia" w:ascii="宋体" w:hAnsi="宋体" w:cs="宋体"/>
                <w:snapToGrid w:val="0"/>
                <w:sz w:val="20"/>
                <w:szCs w:val="20"/>
              </w:rPr>
              <w:t>车辆</w:t>
            </w:r>
            <w:r>
              <w:rPr>
                <w:rFonts w:ascii="宋体" w:hAnsi="宋体" w:cs="宋体"/>
                <w:snapToGrid w:val="0"/>
                <w:sz w:val="20"/>
                <w:szCs w:val="20"/>
              </w:rPr>
              <w:t>原始数据包以便还原</w:t>
            </w:r>
            <w:r>
              <w:rPr>
                <w:rFonts w:hint="eastAsia" w:ascii="宋体" w:hAnsi="宋体" w:cs="宋体"/>
                <w:snapToGrid w:val="0"/>
                <w:sz w:val="20"/>
                <w:szCs w:val="20"/>
              </w:rPr>
              <w:t>、</w:t>
            </w:r>
            <w:r>
              <w:rPr>
                <w:rFonts w:ascii="宋体" w:hAnsi="宋体" w:cs="宋体"/>
                <w:snapToGrid w:val="0"/>
                <w:sz w:val="20"/>
                <w:szCs w:val="20"/>
              </w:rPr>
              <w:t>分析</w:t>
            </w:r>
            <w:r>
              <w:rPr>
                <w:rFonts w:hint="eastAsia" w:ascii="宋体" w:hAnsi="宋体" w:cs="宋体"/>
                <w:snapToGrid w:val="0"/>
                <w:sz w:val="20"/>
                <w:szCs w:val="20"/>
              </w:rPr>
              <w:t>，</w:t>
            </w:r>
            <w:r>
              <w:rPr>
                <w:rFonts w:ascii="宋体" w:hAnsi="宋体" w:cs="宋体"/>
                <w:snapToGrid w:val="0"/>
                <w:sz w:val="20"/>
                <w:szCs w:val="20"/>
              </w:rPr>
              <w:t>所有车辆原始数据</w:t>
            </w:r>
            <w:r>
              <w:rPr>
                <w:rFonts w:hint="eastAsia" w:ascii="宋体" w:hAnsi="宋体" w:cs="宋体"/>
                <w:snapToGrid w:val="0"/>
                <w:sz w:val="20"/>
                <w:szCs w:val="20"/>
              </w:rPr>
              <w:t>包</w:t>
            </w:r>
            <w:r>
              <w:rPr>
                <w:rFonts w:ascii="宋体" w:hAnsi="宋体" w:cs="宋体"/>
                <w:snapToGrid w:val="0"/>
                <w:sz w:val="20"/>
                <w:szCs w:val="20"/>
              </w:rPr>
              <w:t>保留时间可自定义</w:t>
            </w:r>
          </w:p>
          <w:p>
            <w:pPr>
              <w:widowControl/>
              <w:jc w:val="center"/>
              <w:rPr>
                <w:rFonts w:ascii="宋体" w:hAnsi="宋体" w:cs="宋体"/>
                <w:snapToGrid w:val="0"/>
                <w:sz w:val="20"/>
                <w:szCs w:val="20"/>
              </w:rPr>
            </w:pPr>
            <w:r>
              <w:rPr>
                <w:rFonts w:ascii="宋体" w:hAnsi="宋体" w:cs="宋体"/>
                <w:snapToGrid w:val="0"/>
                <w:sz w:val="20"/>
                <w:szCs w:val="20"/>
              </w:rPr>
              <w:t>8 可根据需要配置数据过滤条件</w:t>
            </w:r>
            <w:r>
              <w:rPr>
                <w:rFonts w:hint="eastAsia" w:ascii="宋体" w:hAnsi="宋体" w:cs="宋体"/>
                <w:snapToGrid w:val="0"/>
                <w:sz w:val="20"/>
                <w:szCs w:val="20"/>
              </w:rPr>
              <w:t>，</w:t>
            </w:r>
            <w:r>
              <w:rPr>
                <w:rFonts w:ascii="宋体" w:hAnsi="宋体" w:cs="宋体"/>
                <w:snapToGrid w:val="0"/>
                <w:sz w:val="20"/>
                <w:szCs w:val="20"/>
              </w:rPr>
              <w:t>例如</w:t>
            </w:r>
            <w:r>
              <w:rPr>
                <w:rFonts w:hint="eastAsia" w:ascii="宋体" w:hAnsi="宋体" w:cs="宋体"/>
                <w:snapToGrid w:val="0"/>
                <w:sz w:val="20"/>
                <w:szCs w:val="20"/>
              </w:rPr>
              <w:t>:设备编号、停车场编号、端口号，I</w:t>
            </w:r>
            <w:r>
              <w:rPr>
                <w:rFonts w:ascii="宋体" w:hAnsi="宋体" w:cs="宋体"/>
                <w:snapToGrid w:val="0"/>
                <w:sz w:val="20"/>
                <w:szCs w:val="20"/>
              </w:rPr>
              <w:t>P地址组</w:t>
            </w:r>
            <w:r>
              <w:rPr>
                <w:rFonts w:hint="eastAsia" w:ascii="宋体" w:hAnsi="宋体" w:cs="宋体"/>
                <w:snapToGrid w:val="0"/>
                <w:sz w:val="20"/>
                <w:szCs w:val="20"/>
              </w:rPr>
              <w:t>,</w:t>
            </w:r>
            <w:r>
              <w:rPr>
                <w:rFonts w:ascii="宋体" w:hAnsi="宋体" w:cs="宋体"/>
                <w:snapToGrid w:val="0"/>
                <w:sz w:val="20"/>
                <w:szCs w:val="20"/>
              </w:rPr>
              <w:t>URL</w:t>
            </w:r>
            <w:r>
              <w:rPr>
                <w:rFonts w:hint="eastAsia" w:ascii="宋体" w:hAnsi="宋体" w:cs="宋体"/>
                <w:snapToGrid w:val="0"/>
                <w:sz w:val="20"/>
                <w:szCs w:val="20"/>
              </w:rPr>
              <w:t>、协议等</w:t>
            </w:r>
          </w:p>
          <w:p>
            <w:pPr>
              <w:widowControl/>
              <w:jc w:val="center"/>
              <w:rPr>
                <w:rFonts w:ascii="宋体" w:hAnsi="宋体" w:cs="宋体"/>
                <w:snapToGrid w:val="0"/>
                <w:sz w:val="20"/>
                <w:szCs w:val="20"/>
              </w:rPr>
            </w:pPr>
            <w:r>
              <w:rPr>
                <w:rFonts w:hint="eastAsia" w:ascii="宋体" w:hAnsi="宋体" w:cs="宋体"/>
                <w:snapToGrid w:val="0"/>
                <w:sz w:val="20"/>
                <w:szCs w:val="20"/>
                <w:lang w:bidi="ar"/>
              </w:rPr>
              <w:t>▲</w:t>
            </w:r>
            <w:r>
              <w:rPr>
                <w:rFonts w:ascii="宋体" w:hAnsi="宋体" w:cs="宋体"/>
                <w:snapToGrid w:val="0"/>
                <w:sz w:val="20"/>
                <w:szCs w:val="20"/>
              </w:rPr>
              <w:t>9 对各类性能数据</w:t>
            </w:r>
            <w:r>
              <w:rPr>
                <w:rFonts w:hint="eastAsia" w:ascii="宋体" w:hAnsi="宋体" w:cs="宋体"/>
                <w:snapToGrid w:val="0"/>
                <w:sz w:val="20"/>
                <w:szCs w:val="20"/>
              </w:rPr>
              <w:t>、</w:t>
            </w:r>
            <w:r>
              <w:rPr>
                <w:rFonts w:ascii="宋体" w:hAnsi="宋体" w:cs="宋体"/>
                <w:snapToGrid w:val="0"/>
                <w:sz w:val="20"/>
                <w:szCs w:val="20"/>
              </w:rPr>
              <w:t>告警信息</w:t>
            </w:r>
            <w:r>
              <w:rPr>
                <w:rFonts w:hint="eastAsia" w:ascii="宋体" w:hAnsi="宋体" w:cs="宋体"/>
                <w:snapToGrid w:val="0"/>
                <w:sz w:val="20"/>
                <w:szCs w:val="20"/>
              </w:rPr>
              <w:t>、</w:t>
            </w:r>
            <w:r>
              <w:rPr>
                <w:rFonts w:ascii="宋体" w:hAnsi="宋体" w:cs="宋体"/>
                <w:snapToGrid w:val="0"/>
                <w:sz w:val="20"/>
                <w:szCs w:val="20"/>
              </w:rPr>
              <w:t>报表统计</w:t>
            </w:r>
            <w:r>
              <w:rPr>
                <w:rFonts w:hint="eastAsia" w:ascii="宋体" w:hAnsi="宋体" w:cs="宋体"/>
                <w:snapToGrid w:val="0"/>
                <w:sz w:val="20"/>
                <w:szCs w:val="20"/>
              </w:rPr>
              <w:t>、</w:t>
            </w:r>
            <w:r>
              <w:rPr>
                <w:rFonts w:ascii="宋体" w:hAnsi="宋体" w:cs="宋体"/>
                <w:snapToGrid w:val="0"/>
                <w:sz w:val="20"/>
                <w:szCs w:val="20"/>
              </w:rPr>
              <w:t>图表能以</w:t>
            </w:r>
            <w:r>
              <w:rPr>
                <w:rFonts w:hint="eastAsia" w:ascii="宋体" w:hAnsi="宋体" w:cs="宋体"/>
                <w:snapToGrid w:val="0"/>
                <w:sz w:val="20"/>
                <w:szCs w:val="20"/>
              </w:rPr>
              <w:t>E</w:t>
            </w:r>
            <w:r>
              <w:rPr>
                <w:rFonts w:ascii="宋体" w:hAnsi="宋体" w:cs="宋体"/>
                <w:snapToGrid w:val="0"/>
                <w:sz w:val="20"/>
                <w:szCs w:val="20"/>
              </w:rPr>
              <w:t>xcel</w:t>
            </w:r>
            <w:r>
              <w:rPr>
                <w:rFonts w:hint="eastAsia" w:ascii="宋体" w:hAnsi="宋体" w:cs="宋体"/>
                <w:snapToGrid w:val="0"/>
                <w:sz w:val="20"/>
                <w:szCs w:val="20"/>
              </w:rPr>
              <w:t>、P</w:t>
            </w:r>
            <w:r>
              <w:rPr>
                <w:rFonts w:ascii="宋体" w:hAnsi="宋体" w:cs="宋体"/>
                <w:snapToGrid w:val="0"/>
                <w:sz w:val="20"/>
                <w:szCs w:val="20"/>
              </w:rPr>
              <w:t>DF等文件格式导出</w:t>
            </w:r>
            <w:r>
              <w:rPr>
                <w:rFonts w:hint="eastAsia" w:ascii="宋体" w:hAnsi="宋体" w:cs="宋体"/>
                <w:snapToGrid w:val="0"/>
                <w:sz w:val="20"/>
                <w:szCs w:val="20"/>
              </w:rPr>
              <w:t>。</w:t>
            </w:r>
          </w:p>
          <w:p>
            <w:pPr>
              <w:widowControl/>
              <w:jc w:val="center"/>
              <w:rPr>
                <w:rFonts w:ascii="宋体" w:hAnsi="宋体" w:cs="宋体"/>
                <w:b/>
                <w:snapToGrid w:val="0"/>
                <w:sz w:val="20"/>
                <w:szCs w:val="20"/>
              </w:rPr>
            </w:pPr>
            <w:r>
              <w:rPr>
                <w:rFonts w:hint="eastAsia" w:ascii="宋体" w:hAnsi="宋体" w:cs="宋体"/>
                <w:b/>
                <w:snapToGrid w:val="0"/>
                <w:sz w:val="20"/>
                <w:szCs w:val="20"/>
              </w:rPr>
              <w:t>以上打“▲”号的功能项投标时需以具体软件对应截图证明,并提供真实可运行的软件测试地址验证。</w:t>
            </w:r>
          </w:p>
        </w:tc>
        <w:tc>
          <w:tcPr>
            <w:tcW w:w="10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套</w:t>
            </w:r>
          </w:p>
        </w:tc>
        <w:tc>
          <w:tcPr>
            <w:tcW w:w="11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w:t>
            </w:r>
          </w:p>
        </w:tc>
      </w:tr>
      <w:tr>
        <w:tblPrEx>
          <w:shd w:val="clear" w:color="auto" w:fill="FFFFFF"/>
          <w:tblCellMar>
            <w:top w:w="0" w:type="dxa"/>
            <w:left w:w="108" w:type="dxa"/>
            <w:bottom w:w="0" w:type="dxa"/>
            <w:right w:w="108" w:type="dxa"/>
          </w:tblCellMar>
        </w:tblPrEx>
        <w:trPr>
          <w:gridAfter w:val="1"/>
          <w:wBefore w:w="0" w:type="dxa"/>
          <w:wAfter w:w="63" w:type="dxa"/>
          <w:trHeight w:val="671" w:hRule="atLeast"/>
        </w:trPr>
        <w:tc>
          <w:tcPr>
            <w:tcW w:w="82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4</w:t>
            </w:r>
          </w:p>
        </w:tc>
        <w:tc>
          <w:tcPr>
            <w:tcW w:w="29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系统集成</w:t>
            </w:r>
          </w:p>
        </w:tc>
        <w:tc>
          <w:tcPr>
            <w:tcW w:w="270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p>
        </w:tc>
        <w:tc>
          <w:tcPr>
            <w:tcW w:w="47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cs="宋体"/>
                <w:snapToGrid w:val="0"/>
                <w:sz w:val="20"/>
                <w:szCs w:val="20"/>
              </w:rPr>
            </w:pPr>
            <w:r>
              <w:rPr>
                <w:rFonts w:hint="eastAsia" w:ascii="宋体" w:hAnsi="宋体" w:cs="宋体"/>
                <w:snapToGrid w:val="0"/>
                <w:sz w:val="20"/>
                <w:szCs w:val="20"/>
              </w:rPr>
              <w:t>系统集成【后台设备安装调试、</w:t>
            </w:r>
            <w:r>
              <w:rPr>
                <w:rFonts w:ascii="宋体" w:hAnsi="宋体" w:cs="宋体"/>
                <w:snapToGrid w:val="0"/>
                <w:sz w:val="20"/>
                <w:szCs w:val="20"/>
              </w:rPr>
              <w:t>3</w:t>
            </w:r>
            <w:r>
              <w:rPr>
                <w:rFonts w:hint="eastAsia" w:ascii="宋体" w:hAnsi="宋体" w:cs="宋体"/>
                <w:snapToGrid w:val="0"/>
                <w:sz w:val="20"/>
                <w:szCs w:val="20"/>
              </w:rPr>
              <w:t>年电费、机房及通讯链路，数据维护】</w:t>
            </w:r>
          </w:p>
        </w:tc>
        <w:tc>
          <w:tcPr>
            <w:tcW w:w="108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snapToGrid w:val="0"/>
                <w:sz w:val="20"/>
                <w:szCs w:val="20"/>
              </w:rPr>
            </w:pPr>
            <w:r>
              <w:rPr>
                <w:rFonts w:hint="eastAsia" w:ascii="宋体" w:hAnsi="宋体" w:cs="宋体"/>
                <w:snapToGrid w:val="0"/>
                <w:sz w:val="20"/>
                <w:szCs w:val="20"/>
              </w:rPr>
              <w:t>批</w:t>
            </w:r>
          </w:p>
        </w:tc>
        <w:tc>
          <w:tcPr>
            <w:tcW w:w="110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宋体"/>
                <w:snapToGrid w:val="0"/>
                <w:sz w:val="20"/>
                <w:szCs w:val="20"/>
              </w:rPr>
            </w:pPr>
            <w:r>
              <w:rPr>
                <w:rFonts w:hint="eastAsia" w:ascii="宋体" w:hAnsi="宋体" w:cs="宋体"/>
                <w:snapToGrid w:val="0"/>
                <w:sz w:val="20"/>
                <w:szCs w:val="20"/>
              </w:rPr>
              <w:t>1</w:t>
            </w:r>
          </w:p>
        </w:tc>
      </w:tr>
    </w:tbl>
    <w:p/>
    <w:p>
      <w:pPr>
        <w:pStyle w:val="78"/>
        <w:ind w:firstLine="480" w:firstLineChars="0"/>
        <w:rPr>
          <w:rFonts w:hint="eastAsia"/>
          <w:b/>
          <w:bCs/>
          <w:sz w:val="24"/>
          <w:lang w:eastAsia="zh-CN"/>
        </w:rPr>
      </w:pPr>
      <w:r>
        <w:rPr>
          <w:b/>
          <w:bCs/>
          <w:sz w:val="24"/>
        </w:rPr>
        <w:t>注：对应参数需提供检测报告、</w:t>
      </w:r>
      <w:r>
        <w:rPr>
          <w:rFonts w:hint="eastAsia"/>
          <w:b/>
          <w:bCs/>
          <w:sz w:val="24"/>
        </w:rPr>
        <w:t>厂家功能承诺函、</w:t>
      </w:r>
      <w:r>
        <w:rPr>
          <w:b/>
          <w:bCs/>
          <w:sz w:val="24"/>
        </w:rPr>
        <w:t>对应截图作为确认依据，投标时提供复印件并加盖公章。</w:t>
      </w:r>
    </w:p>
    <w:p/>
    <w:p>
      <w:pPr>
        <w:pStyle w:val="4"/>
        <w:sectPr>
          <w:pgSz w:w="16838" w:h="11906" w:orient="landscape"/>
          <w:pgMar w:top="1701" w:right="1418" w:bottom="1418" w:left="1418" w:header="851" w:footer="851" w:gutter="0"/>
          <w:cols w:space="720" w:num="1"/>
          <w:titlePg/>
          <w:docGrid w:type="lines" w:linePitch="312" w:charSpace="0"/>
        </w:sectPr>
      </w:pPr>
    </w:p>
    <w:p>
      <w:pPr>
        <w:pStyle w:val="3"/>
        <w:numPr>
          <w:ilvl w:val="0"/>
          <w:numId w:val="0"/>
        </w:numPr>
        <w:tabs>
          <w:tab w:val="clear" w:pos="1145"/>
        </w:tabs>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特别说明</w:t>
      </w:r>
    </w:p>
    <w:p>
      <w:pPr>
        <w:shd w:val="clear" w:color="auto" w:fill="FFFFFF"/>
        <w:spacing w:line="360" w:lineRule="auto"/>
        <w:ind w:firstLine="480" w:firstLineChars="200"/>
        <w:rPr>
          <w:rFonts w:ascii="宋体" w:hAnsi="宋体"/>
          <w:sz w:val="24"/>
        </w:rPr>
      </w:pPr>
      <w:r>
        <w:rPr>
          <w:rFonts w:ascii="宋体" w:hAnsi="宋体"/>
          <w:sz w:val="24"/>
        </w:rPr>
        <w:t>（一）投标</w:t>
      </w:r>
      <w:r>
        <w:rPr>
          <w:rFonts w:hint="eastAsia" w:ascii="宋体" w:hAnsi="宋体"/>
          <w:sz w:val="24"/>
        </w:rPr>
        <w:t>人</w:t>
      </w:r>
      <w:r>
        <w:rPr>
          <w:rFonts w:ascii="宋体" w:hAnsi="宋体"/>
          <w:sz w:val="24"/>
        </w:rPr>
        <w:t>对工程中涉及到的摄像机的立杆及基础，室外机柜及基础，管路敷设及手孔，自行勘察现场确定施工方案。特别对监控点位置的选择应避免被其它遮挡物（如树叶、广告牌等）挡住而影响监控效果。</w:t>
      </w:r>
    </w:p>
    <w:p>
      <w:pPr>
        <w:shd w:val="clear" w:color="auto" w:fill="FFFFFF"/>
        <w:spacing w:line="360" w:lineRule="auto"/>
        <w:ind w:firstLine="480" w:firstLineChars="200"/>
        <w:rPr>
          <w:rFonts w:ascii="宋体" w:hAnsi="宋体"/>
          <w:sz w:val="36"/>
          <w:szCs w:val="36"/>
        </w:rPr>
      </w:pPr>
      <w:r>
        <w:rPr>
          <w:rFonts w:ascii="宋体" w:hAnsi="宋体"/>
          <w:sz w:val="24"/>
        </w:rPr>
        <w:t>（二）</w:t>
      </w:r>
      <w:r>
        <w:rPr>
          <w:rFonts w:hint="eastAsia" w:ascii="宋体" w:hAnsi="宋体"/>
          <w:sz w:val="24"/>
        </w:rPr>
        <w:t>工程施工单位应具有电子与智能化二级及以上资质，投标人本身不具有该资质的，可以委托具有该资质的其他施工单位施工，参加投标时应提供与该施工单位的意向合作协议及该合作单位相关资质证书复印件。</w:t>
      </w:r>
    </w:p>
    <w:p>
      <w:pPr>
        <w:shd w:val="clear" w:color="auto" w:fill="FFFFFF"/>
        <w:spacing w:line="360" w:lineRule="auto"/>
        <w:ind w:firstLine="480" w:firstLineChars="200"/>
        <w:rPr>
          <w:rFonts w:hint="eastAsia" w:ascii="宋体" w:hAnsi="宋体"/>
          <w:sz w:val="24"/>
        </w:rPr>
      </w:pPr>
      <w:r>
        <w:rPr>
          <w:rFonts w:hint="eastAsia" w:ascii="宋体" w:hAnsi="宋体"/>
          <w:sz w:val="24"/>
        </w:rPr>
        <w:t>（三）质保期：项目验收合格之日起3年。</w:t>
      </w:r>
    </w:p>
    <w:p>
      <w:pPr>
        <w:shd w:val="clear" w:color="auto" w:fill="FFFFFF"/>
        <w:spacing w:line="360" w:lineRule="auto"/>
        <w:ind w:firstLine="480" w:firstLineChars="200"/>
        <w:rPr>
          <w:rFonts w:ascii="宋体" w:hAnsi="宋体"/>
          <w:sz w:val="24"/>
        </w:rPr>
      </w:pPr>
      <w:r>
        <w:rPr>
          <w:rFonts w:ascii="宋体" w:hAnsi="宋体"/>
          <w:sz w:val="24"/>
        </w:rPr>
        <w:t>（</w:t>
      </w:r>
      <w:r>
        <w:rPr>
          <w:rFonts w:hint="eastAsia" w:ascii="宋体" w:hAnsi="宋体"/>
          <w:sz w:val="24"/>
        </w:rPr>
        <w:t>四</w:t>
      </w:r>
      <w:r>
        <w:rPr>
          <w:rFonts w:ascii="宋体" w:hAnsi="宋体"/>
          <w:sz w:val="24"/>
        </w:rPr>
        <w:t>）质保期内的售后服务内容：</w:t>
      </w:r>
    </w:p>
    <w:p>
      <w:pPr>
        <w:shd w:val="clear" w:color="auto" w:fill="FFFFFF"/>
        <w:spacing w:line="360" w:lineRule="auto"/>
        <w:ind w:firstLine="480" w:firstLineChars="200"/>
        <w:rPr>
          <w:rFonts w:ascii="宋体" w:hAnsi="宋体"/>
          <w:sz w:val="24"/>
        </w:rPr>
      </w:pPr>
      <w:r>
        <w:rPr>
          <w:rFonts w:ascii="宋体" w:hAnsi="宋体"/>
          <w:sz w:val="24"/>
        </w:rPr>
        <w:t>1、服务响应及维护：提供7×24×365全天侯服务，及时解决故障。电话半小时内必须响应，现场排除故障响应时间小于8小时，24小时内恢复系统正常运行。若短期无法修复的，应及时提供相应备用设备并负责安装调试。</w:t>
      </w:r>
      <w:r>
        <w:rPr>
          <w:rFonts w:hint="eastAsia" w:ascii="宋体" w:hAnsi="宋体"/>
          <w:sz w:val="24"/>
        </w:rPr>
        <w:t>投标人</w:t>
      </w:r>
      <w:r>
        <w:rPr>
          <w:rFonts w:ascii="宋体" w:hAnsi="宋体"/>
          <w:sz w:val="24"/>
        </w:rPr>
        <w:t>在接到使用单位故障报修电话后2个工作日内不能修复的，从第3个工作日起该点按</w:t>
      </w:r>
      <w:r>
        <w:rPr>
          <w:rFonts w:hint="eastAsia" w:ascii="宋体" w:hAnsi="宋体"/>
          <w:sz w:val="24"/>
        </w:rPr>
        <w:t>固定金额</w:t>
      </w:r>
      <w:r>
        <w:rPr>
          <w:rFonts w:ascii="宋体" w:hAnsi="宋体"/>
          <w:sz w:val="24"/>
        </w:rPr>
        <w:t>从</w:t>
      </w:r>
      <w:r>
        <w:rPr>
          <w:rFonts w:hint="eastAsia" w:ascii="宋体" w:hAnsi="宋体"/>
          <w:sz w:val="24"/>
        </w:rPr>
        <w:t>质保</w:t>
      </w:r>
      <w:r>
        <w:rPr>
          <w:rFonts w:ascii="宋体" w:hAnsi="宋体"/>
          <w:sz w:val="24"/>
        </w:rPr>
        <w:t>费中扣除，直至修复为止(电力、新区施工或第三方原因除外)。</w:t>
      </w:r>
    </w:p>
    <w:p>
      <w:pPr>
        <w:shd w:val="clear" w:color="auto" w:fill="FFFFFF"/>
        <w:spacing w:line="360" w:lineRule="auto"/>
        <w:ind w:firstLine="480" w:firstLineChars="200"/>
        <w:rPr>
          <w:rFonts w:ascii="宋体" w:hAnsi="宋体"/>
          <w:sz w:val="24"/>
        </w:rPr>
      </w:pPr>
      <w:r>
        <w:rPr>
          <w:rFonts w:ascii="宋体" w:hAnsi="宋体"/>
          <w:sz w:val="24"/>
        </w:rPr>
        <w:t>2、巡检：巡检内容包括图片、图象质量；网络情况；系统状态等；保证设备（系统）每天正常运行，技术人员对巡查内容做好记录。</w:t>
      </w:r>
    </w:p>
    <w:p>
      <w:pPr>
        <w:shd w:val="clear" w:color="auto" w:fill="FFFFFF"/>
        <w:spacing w:line="360" w:lineRule="auto"/>
        <w:ind w:firstLine="480" w:firstLineChars="200"/>
        <w:rPr>
          <w:rFonts w:ascii="宋体" w:hAnsi="宋体"/>
          <w:sz w:val="24"/>
        </w:rPr>
      </w:pPr>
      <w:r>
        <w:rPr>
          <w:rFonts w:ascii="宋体" w:hAnsi="宋体"/>
          <w:sz w:val="24"/>
        </w:rPr>
        <w:t>（五）本技术要求采用全IP的建设模式，采购人并不反对投标人以其他技术模式参与投标，但所采用的技术必须是可靠和先进的，并且技术指标不能低于本技术规格，并做到和原有平台实现无缝链接。本技术规格只是对本项目原则性的要求，并非详尽的要求，供应商有责任对设计的实施符合技术规范负责，并有责任提出在本技术规格中未阐述的但为保证系统建成后能一次性通过验收及保证正常运行所必须的建议和要求，并落实在方案和投标报价之中。</w:t>
      </w:r>
    </w:p>
    <w:p>
      <w:pPr>
        <w:shd w:val="clear" w:color="auto" w:fill="FFFFFF"/>
        <w:spacing w:line="360" w:lineRule="auto"/>
        <w:ind w:firstLine="480" w:firstLineChars="200"/>
        <w:rPr>
          <w:rFonts w:ascii="宋体" w:hAnsi="宋体"/>
          <w:sz w:val="24"/>
        </w:rPr>
      </w:pPr>
      <w:r>
        <w:rPr>
          <w:rFonts w:ascii="宋体" w:hAnsi="宋体"/>
          <w:sz w:val="24"/>
        </w:rPr>
        <w:t>（六）中标供应商的勘察设计图纸需经公安部门审核通过后方能正式施工，未审核施工造成迁移的，迁建施工费由中标供应商自负；施工中间的立杆位置调整也需公安部门同意。</w:t>
      </w:r>
    </w:p>
    <w:p>
      <w:pPr>
        <w:shd w:val="clear" w:color="auto" w:fill="FFFFFF"/>
        <w:spacing w:line="360" w:lineRule="auto"/>
        <w:ind w:firstLine="480" w:firstLineChars="200"/>
        <w:rPr>
          <w:rFonts w:ascii="宋体" w:hAnsi="宋体"/>
          <w:sz w:val="24"/>
        </w:rPr>
      </w:pPr>
      <w:r>
        <w:rPr>
          <w:rFonts w:ascii="宋体" w:hAnsi="宋体"/>
          <w:sz w:val="24"/>
        </w:rPr>
        <w:t>（</w:t>
      </w:r>
      <w:r>
        <w:rPr>
          <w:rFonts w:hint="eastAsia" w:ascii="宋体" w:hAnsi="宋体"/>
          <w:sz w:val="24"/>
        </w:rPr>
        <w:t>七</w:t>
      </w:r>
      <w:r>
        <w:rPr>
          <w:rFonts w:ascii="宋体" w:hAnsi="宋体"/>
          <w:sz w:val="24"/>
        </w:rPr>
        <w:t>）</w:t>
      </w:r>
      <w:r>
        <w:rPr>
          <w:rFonts w:hint="eastAsia" w:ascii="宋体" w:hAnsi="宋体"/>
          <w:sz w:val="24"/>
        </w:rPr>
        <w:t>01标</w:t>
      </w:r>
      <w:r>
        <w:rPr>
          <w:rFonts w:ascii="宋体" w:hAnsi="宋体"/>
          <w:sz w:val="24"/>
        </w:rPr>
        <w:t>工期要求：</w:t>
      </w:r>
      <w:r>
        <w:rPr>
          <w:rFonts w:hint="eastAsia" w:ascii="宋体" w:hAnsi="宋体"/>
          <w:sz w:val="24"/>
        </w:rPr>
        <w:t>一期要求2020年12月底前内完成81个小区，二期要求2021年11月底前完成剩余63个小区</w:t>
      </w:r>
      <w:r>
        <w:rPr>
          <w:rFonts w:ascii="宋体" w:hAnsi="宋体"/>
          <w:sz w:val="24"/>
        </w:rPr>
        <w:t>。</w:t>
      </w:r>
    </w:p>
    <w:p>
      <w:pPr>
        <w:shd w:val="clear" w:color="auto" w:fill="FFFFFF"/>
        <w:spacing w:line="360" w:lineRule="auto"/>
        <w:ind w:firstLine="1080" w:firstLineChars="450"/>
        <w:rPr>
          <w:rFonts w:ascii="宋体" w:hAnsi="宋体"/>
          <w:sz w:val="24"/>
        </w:rPr>
      </w:pPr>
      <w:r>
        <w:rPr>
          <w:rFonts w:hint="eastAsia" w:ascii="宋体" w:hAnsi="宋体"/>
          <w:sz w:val="24"/>
        </w:rPr>
        <w:t>02标</w:t>
      </w:r>
      <w:r>
        <w:rPr>
          <w:rFonts w:ascii="宋体" w:hAnsi="宋体"/>
          <w:sz w:val="24"/>
        </w:rPr>
        <w:t>工期要求：</w:t>
      </w:r>
      <w:r>
        <w:rPr>
          <w:rFonts w:hint="eastAsia" w:ascii="宋体" w:hAnsi="宋体"/>
          <w:sz w:val="24"/>
        </w:rPr>
        <w:t>一期要求2020年12月底前内完工99个小区，二期要求2021年11月底前完成剩余78个小区</w:t>
      </w:r>
      <w:r>
        <w:rPr>
          <w:rFonts w:ascii="宋体" w:hAnsi="宋体"/>
          <w:sz w:val="24"/>
        </w:rPr>
        <w:t>。</w:t>
      </w:r>
    </w:p>
    <w:p>
      <w:pPr>
        <w:shd w:val="clear" w:color="auto" w:fill="FFFFFF"/>
        <w:spacing w:line="360" w:lineRule="auto"/>
        <w:ind w:firstLine="480" w:firstLineChars="200"/>
        <w:rPr>
          <w:rFonts w:hint="eastAsia" w:ascii="宋体" w:hAnsi="宋体"/>
          <w:sz w:val="24"/>
        </w:rPr>
      </w:pPr>
      <w:r>
        <w:rPr>
          <w:rFonts w:ascii="宋体" w:hAnsi="宋体"/>
          <w:sz w:val="24"/>
        </w:rPr>
        <w:t>（九）遇有道路拓宽市政改造等原因引起监控点位需移机的，中标方应免费提供移机服务，特殊情况由双方协商解决。</w:t>
      </w:r>
    </w:p>
    <w:p>
      <w:pPr>
        <w:shd w:val="clear" w:color="auto" w:fill="FFFFFF"/>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十</w:t>
      </w:r>
      <w:r>
        <w:rPr>
          <w:rFonts w:ascii="宋体" w:hAnsi="宋体"/>
          <w:sz w:val="24"/>
        </w:rPr>
        <w:t>）遇有</w:t>
      </w:r>
      <w:r>
        <w:rPr>
          <w:rFonts w:hint="eastAsia" w:ascii="宋体" w:hAnsi="宋体"/>
          <w:sz w:val="24"/>
        </w:rPr>
        <w:t>夜间外界环境灯光不足影响视频或者抓拍图片效果的</w:t>
      </w:r>
      <w:r>
        <w:rPr>
          <w:rFonts w:ascii="宋体" w:hAnsi="宋体"/>
          <w:sz w:val="24"/>
        </w:rPr>
        <w:t>，中标方应</w:t>
      </w:r>
      <w:r>
        <w:rPr>
          <w:rFonts w:hint="eastAsia" w:ascii="宋体" w:hAnsi="宋体"/>
          <w:sz w:val="24"/>
        </w:rPr>
        <w:t>无条件增加招标文件要求数量之外的补光灯</w:t>
      </w:r>
      <w:r>
        <w:rPr>
          <w:rFonts w:ascii="宋体" w:hAnsi="宋体"/>
          <w:sz w:val="24"/>
        </w:rPr>
        <w:t>。</w:t>
      </w:r>
    </w:p>
    <w:p>
      <w:pPr>
        <w:pStyle w:val="3"/>
        <w:numPr>
          <w:ilvl w:val="0"/>
          <w:numId w:val="0"/>
        </w:numPr>
        <w:jc w:val="center"/>
        <w:rPr>
          <w:rFonts w:ascii="宋体" w:hAnsi="宋体" w:eastAsia="宋体"/>
        </w:rPr>
      </w:pPr>
      <w:bookmarkStart w:id="17" w:name="_Toc83838336"/>
      <w:r>
        <w:rPr>
          <w:rFonts w:ascii="宋体" w:hAnsi="宋体" w:eastAsia="宋体"/>
        </w:rPr>
        <w:t>二、商务要求</w:t>
      </w:r>
      <w:bookmarkEnd w:id="17"/>
    </w:p>
    <w:p>
      <w:pPr>
        <w:widowControl/>
        <w:snapToGrid w:val="0"/>
        <w:spacing w:line="480" w:lineRule="exact"/>
        <w:rPr>
          <w:rFonts w:ascii="宋体" w:hAnsi="宋体"/>
          <w:b/>
          <w:bCs/>
          <w:kern w:val="0"/>
          <w:sz w:val="24"/>
        </w:rPr>
      </w:pPr>
      <w:r>
        <w:rPr>
          <w:rFonts w:hint="eastAsia" w:ascii="宋体" w:hAnsi="宋体"/>
          <w:b/>
          <w:bCs/>
          <w:kern w:val="0"/>
          <w:sz w:val="24"/>
        </w:rPr>
        <w:t>2.1服务期限</w:t>
      </w:r>
    </w:p>
    <w:p>
      <w:pPr>
        <w:widowControl/>
        <w:snapToGrid w:val="0"/>
        <w:spacing w:line="480" w:lineRule="exact"/>
        <w:ind w:firstLine="480" w:firstLineChars="200"/>
        <w:rPr>
          <w:rFonts w:ascii="宋体" w:hAnsi="宋体"/>
          <w:kern w:val="0"/>
          <w:sz w:val="24"/>
        </w:rPr>
      </w:pPr>
      <w:r>
        <w:rPr>
          <w:rFonts w:hint="eastAsia" w:ascii="宋体" w:hAnsi="宋体"/>
          <w:kern w:val="0"/>
          <w:sz w:val="24"/>
        </w:rPr>
        <w:t>合同签订后3年。</w:t>
      </w:r>
    </w:p>
    <w:p>
      <w:pPr>
        <w:widowControl/>
        <w:snapToGrid w:val="0"/>
        <w:spacing w:line="480" w:lineRule="exact"/>
        <w:rPr>
          <w:rFonts w:ascii="宋体" w:hAnsi="宋体"/>
          <w:b/>
          <w:bCs/>
          <w:sz w:val="24"/>
        </w:rPr>
      </w:pPr>
      <w:r>
        <w:rPr>
          <w:rFonts w:hint="eastAsia" w:ascii="宋体" w:hAnsi="宋体"/>
          <w:b/>
          <w:bCs/>
          <w:sz w:val="24"/>
        </w:rPr>
        <w:t>2.2数量调整</w:t>
      </w:r>
    </w:p>
    <w:p>
      <w:pPr>
        <w:widowControl/>
        <w:snapToGrid w:val="0"/>
        <w:spacing w:line="480" w:lineRule="exact"/>
        <w:ind w:firstLine="479"/>
        <w:rPr>
          <w:rFonts w:ascii="宋体" w:hAnsi="宋体"/>
          <w:kern w:val="0"/>
          <w:sz w:val="24"/>
        </w:rPr>
      </w:pPr>
      <w:r>
        <w:rPr>
          <w:rFonts w:hint="eastAsia" w:ascii="宋体" w:hAnsi="宋体"/>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pPr>
        <w:widowControl/>
        <w:snapToGrid w:val="0"/>
        <w:spacing w:line="480" w:lineRule="exact"/>
        <w:rPr>
          <w:rFonts w:ascii="宋体" w:hAnsi="宋体"/>
          <w:b/>
          <w:bCs/>
          <w:kern w:val="0"/>
          <w:sz w:val="24"/>
        </w:rPr>
      </w:pPr>
      <w:r>
        <w:rPr>
          <w:rFonts w:hint="eastAsia" w:ascii="宋体" w:hAnsi="宋体"/>
          <w:b/>
          <w:bCs/>
          <w:kern w:val="0"/>
          <w:sz w:val="24"/>
        </w:rPr>
        <w:t>2.3验收</w:t>
      </w:r>
    </w:p>
    <w:p>
      <w:pPr>
        <w:widowControl/>
        <w:snapToGrid w:val="0"/>
        <w:spacing w:line="480" w:lineRule="exact"/>
        <w:ind w:firstLine="480" w:firstLineChars="200"/>
        <w:rPr>
          <w:rFonts w:ascii="宋体" w:hAnsi="宋体"/>
          <w:kern w:val="0"/>
          <w:sz w:val="24"/>
        </w:rPr>
      </w:pPr>
      <w:r>
        <w:rPr>
          <w:rFonts w:hint="eastAsia" w:ascii="宋体" w:hAnsi="宋体"/>
          <w:kern w:val="0"/>
          <w:sz w:val="24"/>
        </w:rPr>
        <w:t>验收按国家有关规范标准（</w:t>
      </w:r>
      <w:r>
        <w:rPr>
          <w:rFonts w:hint="eastAsia" w:ascii="宋体" w:hAnsi="宋体"/>
          <w:sz w:val="24"/>
        </w:rPr>
        <w:t>国家无验收规范标准的按双方合同规定的要求</w:t>
      </w:r>
      <w:r>
        <w:rPr>
          <w:rFonts w:hint="eastAsia" w:ascii="宋体" w:hAnsi="宋体"/>
          <w:kern w:val="0"/>
          <w:sz w:val="24"/>
        </w:rPr>
        <w:t>）进行。</w:t>
      </w:r>
    </w:p>
    <w:p>
      <w:pPr>
        <w:widowControl/>
        <w:snapToGrid w:val="0"/>
        <w:spacing w:line="480" w:lineRule="exact"/>
        <w:ind w:firstLine="480" w:firstLineChars="200"/>
        <w:rPr>
          <w:rFonts w:ascii="宋体" w:hAnsi="宋体"/>
          <w:kern w:val="0"/>
          <w:sz w:val="24"/>
        </w:rPr>
      </w:pPr>
      <w:r>
        <w:rPr>
          <w:rFonts w:hint="eastAsia" w:ascii="宋体" w:hAnsi="宋体"/>
          <w:kern w:val="0"/>
          <w:sz w:val="24"/>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hint="eastAsia" w:ascii="宋体" w:hAnsi="宋体"/>
          <w:sz w:val="24"/>
        </w:rPr>
      </w:pPr>
      <w:r>
        <w:rPr>
          <w:rFonts w:hint="eastAsia" w:ascii="宋体" w:hAnsi="宋体"/>
          <w:b/>
          <w:bCs/>
          <w:kern w:val="0"/>
          <w:sz w:val="24"/>
        </w:rPr>
        <w:t>2.4付款方式</w:t>
      </w:r>
      <w:r>
        <w:rPr>
          <w:rFonts w:ascii="宋体" w:hAnsi="宋体"/>
          <w:sz w:val="24"/>
        </w:rPr>
        <w:t>：</w:t>
      </w:r>
      <w:r>
        <w:rPr>
          <w:rFonts w:hint="eastAsia" w:ascii="宋体" w:hAnsi="宋体"/>
          <w:sz w:val="24"/>
        </w:rPr>
        <w:t>合同签订后30个工作日内，甲方向乙方支付合同金额的30%，一期验收合格后乙方向甲方指定账户打入合同金额的5%作为履约保证金，乙方向甲方提供有效发票后，甲方在45个工作日内向乙方支付合同金额20%。二期验收合格后乙方向甲方提供有效发票后，甲方在45个工作日内向乙方支付合同金额50%。质保期满后退还履约保证金（不计息）。</w:t>
      </w:r>
    </w:p>
    <w:p>
      <w:pPr>
        <w:pStyle w:val="2"/>
        <w:numPr>
          <w:ilvl w:val="0"/>
          <w:numId w:val="0"/>
        </w:numPr>
        <w:ind w:left="425" w:hanging="425"/>
        <w:rPr>
          <w:rFonts w:hint="eastAsia"/>
        </w:rPr>
      </w:pPr>
    </w:p>
    <w:p>
      <w:pPr>
        <w:pStyle w:val="2"/>
        <w:numPr>
          <w:ilvl w:val="0"/>
          <w:numId w:val="0"/>
        </w:numPr>
        <w:jc w:val="center"/>
        <w:rPr>
          <w:rFonts w:ascii="宋体" w:hAnsi="宋体" w:eastAsia="宋体"/>
        </w:rPr>
      </w:pPr>
      <w:bookmarkStart w:id="18" w:name="_Toc83838337"/>
      <w:r>
        <w:rPr>
          <w:rFonts w:ascii="宋体" w:hAnsi="宋体" w:eastAsia="宋体"/>
        </w:rPr>
        <w:t>第四章  拟签订合同的主要条款</w:t>
      </w:r>
      <w:bookmarkEnd w:id="18"/>
    </w:p>
    <w:p>
      <w:pPr>
        <w:widowControl/>
        <w:snapToGrid w:val="0"/>
        <w:spacing w:line="480" w:lineRule="exact"/>
        <w:rPr>
          <w:rFonts w:ascii="宋体" w:hAnsi="宋体"/>
          <w:b/>
          <w:bCs/>
          <w:kern w:val="0"/>
          <w:sz w:val="24"/>
          <w:u w:val="single"/>
        </w:rPr>
      </w:pPr>
      <w:r>
        <w:rPr>
          <w:rFonts w:hint="eastAsia" w:ascii="宋体" w:hAnsi="宋体"/>
          <w:b/>
          <w:bCs/>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                                     合同编号：</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                                     确认书号：</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甲方（采购人）： </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乙方（供应商）： </w:t>
      </w: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r>
        <w:rPr>
          <w:rFonts w:hint="eastAsia" w:ascii="宋体" w:hAnsi="宋体"/>
          <w:kern w:val="0"/>
          <w:sz w:val="24"/>
        </w:rPr>
        <w:t>甲、乙双方根据</w:t>
      </w:r>
      <w:r>
        <w:rPr>
          <w:rFonts w:hint="eastAsia" w:ascii="宋体" w:hAnsi="宋体"/>
          <w:kern w:val="0"/>
          <w:sz w:val="24"/>
          <w:u w:val="single"/>
        </w:rPr>
        <w:t xml:space="preserve">    （填写采购代理机构名称）   </w:t>
      </w:r>
      <w:r>
        <w:rPr>
          <w:rFonts w:hint="eastAsia" w:ascii="宋体" w:hAnsi="宋体"/>
          <w:kern w:val="0"/>
          <w:sz w:val="24"/>
        </w:rPr>
        <w:t>项目编号为的</w:t>
      </w:r>
      <w:r>
        <w:rPr>
          <w:rFonts w:hint="eastAsia" w:ascii="宋体" w:hAnsi="宋体"/>
          <w:kern w:val="0"/>
          <w:sz w:val="24"/>
          <w:u w:val="single"/>
        </w:rPr>
        <w:t>（标项及名称）</w:t>
      </w:r>
      <w:r>
        <w:rPr>
          <w:rFonts w:hint="eastAsia" w:ascii="宋体" w:hAnsi="宋体"/>
          <w:kern w:val="0"/>
          <w:sz w:val="24"/>
        </w:rPr>
        <w:t>项目的政府采购交易结果，签署本合同。</w:t>
      </w:r>
    </w:p>
    <w:p>
      <w:pPr>
        <w:widowControl/>
        <w:numPr>
          <w:ilvl w:val="0"/>
          <w:numId w:val="21"/>
        </w:numPr>
        <w:snapToGrid w:val="0"/>
        <w:spacing w:line="480" w:lineRule="exact"/>
        <w:rPr>
          <w:rFonts w:ascii="宋体" w:hAnsi="宋体"/>
          <w:b/>
          <w:bCs/>
          <w:kern w:val="0"/>
          <w:sz w:val="24"/>
        </w:rPr>
      </w:pPr>
      <w:r>
        <w:rPr>
          <w:rFonts w:hint="eastAsia" w:ascii="宋体" w:hAnsi="宋体"/>
          <w:b/>
          <w:bCs/>
          <w:kern w:val="0"/>
          <w:sz w:val="24"/>
        </w:rPr>
        <w:t>服务内容及标准</w:t>
      </w:r>
    </w:p>
    <w:p>
      <w:pPr>
        <w:widowControl/>
        <w:snapToGrid w:val="0"/>
        <w:spacing w:line="480" w:lineRule="exact"/>
        <w:ind w:left="480"/>
        <w:rPr>
          <w:rFonts w:ascii="宋体" w:hAnsi="宋体"/>
          <w:kern w:val="0"/>
          <w:sz w:val="24"/>
        </w:rPr>
      </w:pPr>
      <w:r>
        <w:rPr>
          <w:rFonts w:hint="eastAsia" w:ascii="宋体" w:hAnsi="宋体"/>
          <w:kern w:val="0"/>
          <w:sz w:val="24"/>
        </w:rPr>
        <w:t>（按采购需求及投标文件的内容填写）</w:t>
      </w:r>
    </w:p>
    <w:p>
      <w:pPr>
        <w:widowControl/>
        <w:numPr>
          <w:ilvl w:val="0"/>
          <w:numId w:val="21"/>
        </w:numPr>
        <w:snapToGrid w:val="0"/>
        <w:spacing w:line="480" w:lineRule="exact"/>
        <w:rPr>
          <w:rFonts w:ascii="宋体" w:hAnsi="宋体"/>
          <w:b/>
          <w:bCs/>
          <w:kern w:val="0"/>
          <w:sz w:val="24"/>
        </w:rPr>
      </w:pPr>
      <w:r>
        <w:rPr>
          <w:rFonts w:hint="eastAsia" w:ascii="宋体" w:hAnsi="宋体"/>
          <w:b/>
          <w:bCs/>
          <w:kern w:val="0"/>
          <w:sz w:val="24"/>
        </w:rPr>
        <w:t>服务价格</w:t>
      </w:r>
    </w:p>
    <w:p>
      <w:pPr>
        <w:widowControl/>
        <w:snapToGrid w:val="0"/>
        <w:spacing w:line="480" w:lineRule="exact"/>
        <w:ind w:left="480"/>
        <w:rPr>
          <w:rFonts w:ascii="宋体" w:hAnsi="宋体"/>
          <w:kern w:val="0"/>
          <w:sz w:val="24"/>
        </w:rPr>
      </w:pPr>
      <w:r>
        <w:rPr>
          <w:rFonts w:hint="eastAsia" w:ascii="宋体" w:hAnsi="宋体"/>
          <w:kern w:val="0"/>
          <w:sz w:val="24"/>
        </w:rPr>
        <w:t>（有服务分项的，需报分项价格和总价）</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三、技术资料</w:t>
      </w:r>
    </w:p>
    <w:p>
      <w:pPr>
        <w:widowControl/>
        <w:snapToGrid w:val="0"/>
        <w:spacing w:line="480" w:lineRule="exact"/>
        <w:ind w:firstLine="480" w:firstLineChars="200"/>
        <w:rPr>
          <w:rFonts w:ascii="宋体" w:hAnsi="宋体"/>
          <w:kern w:val="0"/>
          <w:sz w:val="24"/>
        </w:rPr>
      </w:pPr>
      <w:r>
        <w:rPr>
          <w:rFonts w:hint="eastAsia" w:ascii="宋体" w:hAnsi="宋体"/>
          <w:kern w:val="0"/>
          <w:sz w:val="24"/>
        </w:rPr>
        <w:t>1.乙方应按采购文件规定的时间向甲方提供与本项目有关的技术资料。</w:t>
      </w:r>
    </w:p>
    <w:p>
      <w:pPr>
        <w:widowControl/>
        <w:snapToGrid w:val="0"/>
        <w:spacing w:line="480" w:lineRule="exact"/>
        <w:ind w:firstLine="480" w:firstLineChars="200"/>
        <w:rPr>
          <w:rFonts w:ascii="宋体" w:hAnsi="宋体"/>
          <w:kern w:val="0"/>
          <w:sz w:val="24"/>
        </w:rPr>
      </w:pPr>
      <w:r>
        <w:rPr>
          <w:rFonts w:hint="eastAsia" w:ascii="宋体" w:hAnsi="宋体"/>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四、知识产权</w:t>
      </w:r>
    </w:p>
    <w:p>
      <w:pPr>
        <w:widowControl/>
        <w:snapToGrid w:val="0"/>
        <w:spacing w:line="480" w:lineRule="exact"/>
        <w:ind w:firstLine="480" w:firstLineChars="200"/>
        <w:rPr>
          <w:rFonts w:ascii="宋体" w:hAnsi="宋体"/>
          <w:kern w:val="0"/>
          <w:sz w:val="24"/>
        </w:rPr>
      </w:pPr>
      <w:r>
        <w:rPr>
          <w:rFonts w:hint="eastAsia" w:ascii="宋体" w:hAnsi="宋体"/>
          <w:kern w:val="0"/>
          <w:sz w:val="24"/>
        </w:rPr>
        <w:t>1、乙方应保证所提供的货物与服务均不会侵犯任何第三方的知识产权。</w:t>
      </w:r>
    </w:p>
    <w:p>
      <w:pPr>
        <w:widowControl/>
        <w:snapToGrid w:val="0"/>
        <w:spacing w:line="480" w:lineRule="exact"/>
        <w:ind w:firstLine="480" w:firstLineChars="200"/>
        <w:rPr>
          <w:rFonts w:ascii="宋体" w:hAnsi="宋体"/>
          <w:kern w:val="0"/>
          <w:sz w:val="24"/>
        </w:rPr>
      </w:pPr>
      <w:r>
        <w:rPr>
          <w:rFonts w:hint="eastAsia" w:ascii="宋体" w:hAnsi="宋体"/>
          <w:kern w:val="0"/>
          <w:sz w:val="24"/>
        </w:rPr>
        <w:t>2、乙方保证所交付的服务的所有权完全属于乙方且无任何抵押、查封等产权瑕疵。</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五、转包或分包</w:t>
      </w:r>
    </w:p>
    <w:p>
      <w:pPr>
        <w:widowControl/>
        <w:snapToGrid w:val="0"/>
        <w:spacing w:line="480" w:lineRule="exact"/>
        <w:ind w:firstLine="480" w:firstLineChars="200"/>
        <w:rPr>
          <w:rFonts w:ascii="宋体" w:hAnsi="宋体"/>
          <w:kern w:val="0"/>
          <w:sz w:val="24"/>
        </w:rPr>
      </w:pPr>
      <w:r>
        <w:rPr>
          <w:rFonts w:hint="eastAsia" w:ascii="宋体" w:hAnsi="宋体"/>
          <w:kern w:val="0"/>
          <w:sz w:val="24"/>
        </w:rPr>
        <w:t>不允许转包。</w:t>
      </w:r>
    </w:p>
    <w:p>
      <w:pPr>
        <w:widowControl/>
        <w:snapToGrid w:val="0"/>
        <w:spacing w:line="480" w:lineRule="exact"/>
        <w:ind w:firstLine="480" w:firstLineChars="200"/>
        <w:rPr>
          <w:rFonts w:ascii="宋体" w:hAnsi="宋体"/>
          <w:kern w:val="0"/>
          <w:sz w:val="24"/>
        </w:rPr>
      </w:pPr>
      <w:r>
        <w:rPr>
          <w:rFonts w:hint="eastAsia" w:ascii="宋体" w:hAnsi="宋体"/>
          <w:kern w:val="0"/>
          <w:sz w:val="24"/>
        </w:rPr>
        <w:t>允许分包部分。</w:t>
      </w:r>
    </w:p>
    <w:p>
      <w:pPr>
        <w:widowControl/>
        <w:snapToGrid w:val="0"/>
        <w:spacing w:line="480" w:lineRule="exact"/>
        <w:ind w:firstLine="480" w:firstLineChars="200"/>
        <w:rPr>
          <w:rFonts w:ascii="宋体" w:hAnsi="宋体"/>
          <w:kern w:val="0"/>
          <w:sz w:val="24"/>
        </w:rPr>
      </w:pPr>
      <w:r>
        <w:rPr>
          <w:rFonts w:hint="eastAsia" w:ascii="宋体" w:hAnsi="宋体"/>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六、履约保证金</w:t>
      </w:r>
    </w:p>
    <w:p>
      <w:pPr>
        <w:widowControl/>
        <w:snapToGrid w:val="0"/>
        <w:spacing w:line="480" w:lineRule="exact"/>
        <w:ind w:firstLine="480" w:firstLineChars="200"/>
        <w:rPr>
          <w:rFonts w:ascii="宋体" w:hAnsi="宋体"/>
          <w:kern w:val="0"/>
          <w:sz w:val="24"/>
        </w:rPr>
      </w:pPr>
      <w:r>
        <w:rPr>
          <w:rFonts w:hint="eastAsia" w:ascii="宋体" w:hAnsi="宋体"/>
          <w:kern w:val="0"/>
          <w:sz w:val="24"/>
        </w:rPr>
        <w:t>1.履约保证金元。[履约保证金交至采购人处，服务完成后满（   ）个月之日起5个工作日内无息退还]</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七、项目服务期限及实施地点</w:t>
      </w:r>
    </w:p>
    <w:p>
      <w:pPr>
        <w:widowControl/>
        <w:snapToGrid w:val="0"/>
        <w:spacing w:line="480" w:lineRule="exact"/>
        <w:ind w:firstLine="480" w:firstLineChars="200"/>
        <w:rPr>
          <w:rFonts w:ascii="宋体" w:hAnsi="宋体"/>
          <w:kern w:val="0"/>
          <w:sz w:val="24"/>
        </w:rPr>
      </w:pPr>
      <w:r>
        <w:rPr>
          <w:rFonts w:hint="eastAsia" w:ascii="宋体" w:hAnsi="宋体"/>
          <w:kern w:val="0"/>
          <w:sz w:val="24"/>
        </w:rPr>
        <w:t>1.服务期限：合同签订后3年</w:t>
      </w:r>
    </w:p>
    <w:p>
      <w:pPr>
        <w:widowControl/>
        <w:snapToGrid w:val="0"/>
        <w:spacing w:line="480" w:lineRule="exact"/>
        <w:ind w:firstLine="480" w:firstLineChars="200"/>
        <w:rPr>
          <w:rFonts w:ascii="宋体" w:hAnsi="宋体"/>
          <w:kern w:val="0"/>
          <w:sz w:val="24"/>
        </w:rPr>
      </w:pPr>
      <w:r>
        <w:rPr>
          <w:rFonts w:hint="eastAsia" w:ascii="宋体" w:hAnsi="宋体"/>
          <w:kern w:val="0"/>
          <w:sz w:val="24"/>
        </w:rPr>
        <w:t>2.实施地点：</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八、付款</w:t>
      </w:r>
    </w:p>
    <w:p>
      <w:pPr>
        <w:widowControl/>
        <w:snapToGrid w:val="0"/>
        <w:spacing w:line="480" w:lineRule="exact"/>
        <w:ind w:firstLine="480" w:firstLineChars="200"/>
        <w:rPr>
          <w:rFonts w:ascii="宋体" w:hAnsi="宋体"/>
          <w:kern w:val="0"/>
          <w:sz w:val="24"/>
        </w:rPr>
      </w:pPr>
      <w:r>
        <w:rPr>
          <w:rFonts w:hint="eastAsia" w:ascii="宋体" w:hAnsi="宋体"/>
          <w:sz w:val="24"/>
        </w:rPr>
        <w:t>合同签订后30个工作日内，甲方向乙方支付合同金额的30%，一期验收合格后乙方向甲方指定账户打入合同金额的5%作为履约保证金，乙方向甲方提供有效发票后，甲方在45个工作日内向乙方支付合同金额20%。二期验收合格后乙方向甲方提供有效发票后，甲方在45个工作日内向乙方支付合同金额50%。质保期满后退还履约保证金（不计息）。</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九、税费</w:t>
      </w:r>
    </w:p>
    <w:p>
      <w:pPr>
        <w:widowControl/>
        <w:snapToGrid w:val="0"/>
        <w:spacing w:line="480" w:lineRule="exact"/>
        <w:ind w:firstLine="480" w:firstLineChars="200"/>
        <w:rPr>
          <w:rFonts w:ascii="宋体" w:hAnsi="宋体"/>
          <w:kern w:val="0"/>
          <w:sz w:val="24"/>
        </w:rPr>
      </w:pPr>
      <w:r>
        <w:rPr>
          <w:rFonts w:hint="eastAsia" w:ascii="宋体" w:hAnsi="宋体"/>
          <w:kern w:val="0"/>
          <w:sz w:val="24"/>
        </w:rPr>
        <w:t>本合同执行中相关的一切税费均由乙方负担。</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十、违约责任</w:t>
      </w:r>
    </w:p>
    <w:p>
      <w:pPr>
        <w:widowControl/>
        <w:snapToGrid w:val="0"/>
        <w:spacing w:line="480" w:lineRule="exact"/>
        <w:ind w:firstLine="480" w:firstLineChars="200"/>
        <w:rPr>
          <w:rFonts w:ascii="宋体" w:hAnsi="宋体"/>
          <w:kern w:val="0"/>
          <w:sz w:val="24"/>
        </w:rPr>
      </w:pPr>
      <w:r>
        <w:rPr>
          <w:rFonts w:hint="eastAsia" w:ascii="宋体" w:hAnsi="宋体"/>
          <w:kern w:val="0"/>
          <w:sz w:val="24"/>
        </w:rPr>
        <w:t>1.甲方无正当理由拒绝验收项目的，甲方向乙方偿付拒收合同总价的百分之五违约金。</w:t>
      </w:r>
    </w:p>
    <w:p>
      <w:pPr>
        <w:widowControl/>
        <w:snapToGrid w:val="0"/>
        <w:spacing w:line="480" w:lineRule="exact"/>
        <w:ind w:firstLine="480" w:firstLineChars="200"/>
        <w:rPr>
          <w:rFonts w:ascii="宋体" w:hAnsi="宋体"/>
          <w:kern w:val="0"/>
          <w:sz w:val="24"/>
        </w:rPr>
      </w:pPr>
      <w:r>
        <w:rPr>
          <w:rFonts w:hint="eastAsia" w:ascii="宋体" w:hAnsi="宋体"/>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宋体" w:hAnsi="宋体"/>
          <w:kern w:val="0"/>
          <w:sz w:val="24"/>
        </w:rPr>
      </w:pPr>
      <w:r>
        <w:rPr>
          <w:rFonts w:hint="eastAsia" w:ascii="宋体" w:hAnsi="宋体"/>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宋体" w:hAnsi="宋体"/>
          <w:kern w:val="0"/>
          <w:sz w:val="24"/>
        </w:rPr>
      </w:pPr>
      <w:r>
        <w:rPr>
          <w:rFonts w:hint="eastAsia" w:ascii="宋体" w:hAnsi="宋体"/>
          <w:kern w:val="0"/>
          <w:sz w:val="24"/>
        </w:rPr>
        <w:t>5.解除合同应按《浙江省合同管理办法》向财政备案。</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十四、不可抗力事件处理</w:t>
      </w:r>
    </w:p>
    <w:p>
      <w:pPr>
        <w:widowControl/>
        <w:snapToGrid w:val="0"/>
        <w:spacing w:line="480" w:lineRule="exact"/>
        <w:ind w:firstLine="480" w:firstLineChars="200"/>
        <w:rPr>
          <w:rFonts w:ascii="宋体" w:hAnsi="宋体"/>
          <w:kern w:val="0"/>
          <w:sz w:val="24"/>
        </w:rPr>
      </w:pPr>
      <w:r>
        <w:rPr>
          <w:rFonts w:hint="eastAsia" w:ascii="宋体" w:hAnsi="宋体"/>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宋体" w:hAnsi="宋体"/>
          <w:kern w:val="0"/>
          <w:sz w:val="24"/>
        </w:rPr>
      </w:pPr>
      <w:r>
        <w:rPr>
          <w:rFonts w:hint="eastAsia" w:ascii="宋体" w:hAnsi="宋体"/>
          <w:kern w:val="0"/>
          <w:sz w:val="24"/>
        </w:rPr>
        <w:t>2.不可抗力事件发生后，应立即通知对方，并寄送有关权威机构出具的证明。</w:t>
      </w:r>
    </w:p>
    <w:p>
      <w:pPr>
        <w:widowControl/>
        <w:snapToGrid w:val="0"/>
        <w:spacing w:line="480" w:lineRule="exact"/>
        <w:ind w:firstLine="480" w:firstLineChars="200"/>
        <w:rPr>
          <w:rFonts w:ascii="宋体" w:hAnsi="宋体"/>
          <w:kern w:val="0"/>
          <w:sz w:val="24"/>
        </w:rPr>
      </w:pPr>
      <w:r>
        <w:rPr>
          <w:rFonts w:hint="eastAsia" w:ascii="宋体" w:hAnsi="宋体"/>
          <w:kern w:val="0"/>
          <w:sz w:val="24"/>
        </w:rPr>
        <w:t>3.不可抗力事件延续120天以上，双方应通过友好协商，确定是否继续履行合同。</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十五、诉讼</w:t>
      </w:r>
    </w:p>
    <w:p>
      <w:pPr>
        <w:widowControl/>
        <w:snapToGrid w:val="0"/>
        <w:spacing w:line="480" w:lineRule="exact"/>
        <w:ind w:firstLine="480" w:firstLineChars="200"/>
        <w:rPr>
          <w:rFonts w:ascii="宋体" w:hAnsi="宋体"/>
          <w:kern w:val="0"/>
          <w:sz w:val="24"/>
        </w:rPr>
      </w:pPr>
      <w:r>
        <w:rPr>
          <w:rFonts w:hint="eastAsia" w:ascii="宋体" w:hAnsi="宋体"/>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宋体" w:hAnsi="宋体"/>
          <w:b/>
          <w:bCs/>
          <w:kern w:val="0"/>
          <w:sz w:val="24"/>
        </w:rPr>
      </w:pPr>
      <w:r>
        <w:rPr>
          <w:rFonts w:hint="eastAsia" w:ascii="宋体" w:hAnsi="宋体"/>
          <w:b/>
          <w:bCs/>
          <w:kern w:val="0"/>
          <w:sz w:val="24"/>
        </w:rPr>
        <w:t>十六、合同生效及其他</w:t>
      </w:r>
    </w:p>
    <w:p>
      <w:pPr>
        <w:widowControl/>
        <w:snapToGrid w:val="0"/>
        <w:spacing w:line="480" w:lineRule="exact"/>
        <w:ind w:firstLine="480" w:firstLineChars="200"/>
        <w:rPr>
          <w:rFonts w:ascii="宋体" w:hAnsi="宋体"/>
          <w:kern w:val="0"/>
          <w:sz w:val="24"/>
        </w:rPr>
      </w:pPr>
      <w:r>
        <w:rPr>
          <w:rFonts w:hint="eastAsia" w:ascii="宋体" w:hAnsi="宋体"/>
          <w:kern w:val="0"/>
          <w:sz w:val="24"/>
        </w:rPr>
        <w:t>1.合同经甲、乙双方签名并加盖单位公章后生效。</w:t>
      </w:r>
    </w:p>
    <w:p>
      <w:pPr>
        <w:widowControl/>
        <w:snapToGrid w:val="0"/>
        <w:spacing w:line="480" w:lineRule="exact"/>
        <w:ind w:firstLine="480" w:firstLineChars="200"/>
        <w:rPr>
          <w:rFonts w:ascii="宋体" w:hAnsi="宋体"/>
          <w:kern w:val="0"/>
          <w:sz w:val="24"/>
        </w:rPr>
      </w:pPr>
      <w:r>
        <w:rPr>
          <w:rFonts w:hint="eastAsia" w:ascii="宋体" w:hAnsi="宋体"/>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宋体" w:hAnsi="宋体"/>
          <w:kern w:val="0"/>
          <w:sz w:val="24"/>
        </w:rPr>
      </w:pPr>
      <w:r>
        <w:rPr>
          <w:rFonts w:hint="eastAsia" w:ascii="宋体" w:hAnsi="宋体"/>
          <w:kern w:val="0"/>
          <w:sz w:val="24"/>
        </w:rPr>
        <w:t>3.采购文件、投标文件与本合同具有同等法律效力。</w:t>
      </w:r>
    </w:p>
    <w:p>
      <w:pPr>
        <w:widowControl/>
        <w:snapToGrid w:val="0"/>
        <w:spacing w:line="480" w:lineRule="exact"/>
        <w:ind w:firstLine="480" w:firstLineChars="200"/>
        <w:rPr>
          <w:rFonts w:ascii="宋体" w:hAnsi="宋体"/>
          <w:kern w:val="0"/>
          <w:sz w:val="24"/>
        </w:rPr>
      </w:pPr>
      <w:r>
        <w:rPr>
          <w:rFonts w:hint="eastAsia" w:ascii="宋体" w:hAnsi="宋体"/>
          <w:kern w:val="0"/>
          <w:sz w:val="24"/>
        </w:rPr>
        <w:t>4.本合同未尽事宜，遵照《合同法》有关条文执行。</w:t>
      </w:r>
    </w:p>
    <w:p>
      <w:pPr>
        <w:widowControl/>
        <w:snapToGrid w:val="0"/>
        <w:spacing w:line="480" w:lineRule="exact"/>
        <w:ind w:firstLine="480" w:firstLineChars="200"/>
        <w:rPr>
          <w:rFonts w:ascii="宋体" w:hAnsi="宋体"/>
          <w:kern w:val="0"/>
          <w:sz w:val="24"/>
        </w:rPr>
      </w:pPr>
      <w:r>
        <w:rPr>
          <w:rFonts w:hint="eastAsia" w:ascii="宋体" w:hAnsi="宋体"/>
          <w:kern w:val="0"/>
          <w:sz w:val="24"/>
        </w:rPr>
        <w:t>5.本合同一式五份，具有同等法律效力，甲、乙双方各执二份，采购代理机构一份。</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甲方（盖章）：                                   </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地址：                                   </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法定（授权）代表人：                   </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签名日期：     年   月   日           </w:t>
      </w: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r>
        <w:rPr>
          <w:rFonts w:hint="eastAsia" w:ascii="宋体" w:hAnsi="宋体"/>
          <w:kern w:val="0"/>
          <w:sz w:val="24"/>
        </w:rPr>
        <w:t>乙方（盖章）：</w:t>
      </w:r>
    </w:p>
    <w:p>
      <w:pPr>
        <w:widowControl/>
        <w:snapToGrid w:val="0"/>
        <w:spacing w:line="480" w:lineRule="exact"/>
        <w:ind w:firstLine="480" w:firstLineChars="200"/>
        <w:rPr>
          <w:rFonts w:ascii="宋体" w:hAnsi="宋体"/>
          <w:kern w:val="0"/>
          <w:sz w:val="24"/>
        </w:rPr>
      </w:pPr>
      <w:r>
        <w:rPr>
          <w:rFonts w:hint="eastAsia" w:ascii="宋体" w:hAnsi="宋体"/>
          <w:kern w:val="0"/>
          <w:sz w:val="24"/>
        </w:rPr>
        <w:t xml:space="preserve">地址： </w:t>
      </w:r>
    </w:p>
    <w:p>
      <w:pPr>
        <w:widowControl/>
        <w:snapToGrid w:val="0"/>
        <w:spacing w:line="480" w:lineRule="exact"/>
        <w:ind w:firstLine="480" w:firstLineChars="200"/>
        <w:rPr>
          <w:rFonts w:ascii="宋体" w:hAnsi="宋体"/>
          <w:kern w:val="0"/>
          <w:sz w:val="24"/>
        </w:rPr>
      </w:pPr>
      <w:r>
        <w:rPr>
          <w:rFonts w:hint="eastAsia" w:ascii="宋体" w:hAnsi="宋体"/>
          <w:kern w:val="0"/>
          <w:sz w:val="24"/>
        </w:rPr>
        <w:t>开户行：</w:t>
      </w:r>
    </w:p>
    <w:p>
      <w:pPr>
        <w:widowControl/>
        <w:snapToGrid w:val="0"/>
        <w:spacing w:line="480" w:lineRule="exact"/>
        <w:ind w:firstLine="480" w:firstLineChars="200"/>
        <w:rPr>
          <w:rFonts w:ascii="宋体" w:hAnsi="宋体"/>
          <w:kern w:val="0"/>
          <w:sz w:val="24"/>
        </w:rPr>
      </w:pPr>
      <w:r>
        <w:rPr>
          <w:rFonts w:hint="eastAsia" w:ascii="宋体" w:hAnsi="宋体"/>
          <w:kern w:val="0"/>
          <w:sz w:val="24"/>
        </w:rPr>
        <w:t>开户账号：</w:t>
      </w:r>
    </w:p>
    <w:p>
      <w:pPr>
        <w:widowControl/>
        <w:snapToGrid w:val="0"/>
        <w:spacing w:line="480" w:lineRule="exact"/>
        <w:ind w:firstLine="480" w:firstLineChars="200"/>
        <w:rPr>
          <w:rFonts w:ascii="宋体" w:hAnsi="宋体"/>
          <w:kern w:val="0"/>
          <w:sz w:val="24"/>
        </w:rPr>
      </w:pPr>
      <w:r>
        <w:rPr>
          <w:rFonts w:hint="eastAsia" w:ascii="宋体" w:hAnsi="宋体"/>
          <w:kern w:val="0"/>
          <w:sz w:val="24"/>
        </w:rPr>
        <w:t>法定（授权）代表人：</w:t>
      </w:r>
    </w:p>
    <w:p>
      <w:pPr>
        <w:widowControl/>
        <w:snapToGrid w:val="0"/>
        <w:spacing w:line="480" w:lineRule="exact"/>
        <w:ind w:firstLine="480" w:firstLineChars="200"/>
        <w:rPr>
          <w:rFonts w:ascii="宋体" w:hAnsi="宋体"/>
          <w:kern w:val="0"/>
          <w:sz w:val="24"/>
        </w:rPr>
      </w:pPr>
      <w:r>
        <w:rPr>
          <w:rFonts w:hint="eastAsia" w:ascii="宋体" w:hAnsi="宋体"/>
          <w:kern w:val="0"/>
          <w:sz w:val="24"/>
        </w:rPr>
        <w:t>签名日期：      年   月   日</w:t>
      </w:r>
    </w:p>
    <w:p>
      <w:pPr>
        <w:pStyle w:val="2"/>
        <w:numPr>
          <w:ilvl w:val="0"/>
          <w:numId w:val="0"/>
        </w:numPr>
        <w:ind w:left="425"/>
        <w:jc w:val="center"/>
        <w:rPr>
          <w:rFonts w:hint="eastAsia" w:ascii="宋体" w:hAnsi="宋体" w:eastAsia="宋体"/>
        </w:rPr>
      </w:pPr>
      <w:bookmarkStart w:id="19" w:name="_Toc83838338"/>
      <w:r>
        <w:rPr>
          <w:rFonts w:ascii="宋体" w:hAnsi="宋体" w:eastAsia="宋体"/>
        </w:rPr>
        <w:t>第五章  评标办法及标准</w:t>
      </w:r>
      <w:bookmarkEnd w:id="19"/>
    </w:p>
    <w:p/>
    <w:p>
      <w:pPr>
        <w:spacing w:line="440" w:lineRule="exact"/>
        <w:jc w:val="left"/>
        <w:rPr>
          <w:rFonts w:ascii="宋体" w:hAnsi="宋体"/>
          <w:b/>
          <w:sz w:val="24"/>
        </w:rPr>
      </w:pPr>
      <w:r>
        <w:rPr>
          <w:rFonts w:hint="eastAsia" w:ascii="宋体" w:hAnsi="宋体"/>
          <w:b/>
          <w:sz w:val="24"/>
        </w:rPr>
        <w:t>特别条款：</w:t>
      </w:r>
    </w:p>
    <w:p>
      <w:pPr>
        <w:spacing w:line="440" w:lineRule="exact"/>
        <w:ind w:firstLine="472" w:firstLineChars="196"/>
        <w:jc w:val="left"/>
        <w:rPr>
          <w:rFonts w:ascii="宋体" w:hAnsi="宋体"/>
          <w:b/>
          <w:sz w:val="24"/>
        </w:rPr>
      </w:pPr>
      <w:r>
        <w:rPr>
          <w:rFonts w:hint="eastAsia" w:ascii="宋体" w:hAnsi="宋体"/>
          <w:b/>
          <w:sz w:val="24"/>
        </w:rPr>
        <w:t>A.使用综合评分法的采购项目，提供</w:t>
      </w:r>
      <w:r>
        <w:rPr>
          <w:rFonts w:hint="eastAsia" w:ascii="宋体" w:hAnsi="宋体"/>
          <w:b/>
          <w:sz w:val="24"/>
          <w:bdr w:val="single" w:color="000000" w:sz="4" w:space="0"/>
        </w:rPr>
        <w:t>相同品牌</w:t>
      </w:r>
      <w:r>
        <w:rPr>
          <w:rFonts w:hint="eastAsia" w:ascii="宋体" w:hAnsi="宋体"/>
          <w:b/>
          <w:sz w:val="24"/>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40" w:lineRule="exact"/>
        <w:ind w:firstLine="472" w:firstLineChars="196"/>
        <w:jc w:val="left"/>
        <w:rPr>
          <w:rFonts w:ascii="宋体" w:hAnsi="宋体"/>
          <w:b/>
          <w:sz w:val="24"/>
        </w:rPr>
      </w:pPr>
      <w:r>
        <w:rPr>
          <w:rFonts w:hint="eastAsia" w:ascii="宋体" w:hAnsi="宋体"/>
          <w:b/>
          <w:sz w:val="24"/>
        </w:rPr>
        <w:t>B.非单一产品采购项目，多家供应商中作为核心产品（由采购人根据采购项目技术构成、产品价格比重等确定，并在采购文件中载明）品牌均相同的，视为提供的是同品牌的产品；按前款规定处理。</w:t>
      </w:r>
    </w:p>
    <w:p>
      <w:pPr>
        <w:spacing w:line="440" w:lineRule="exact"/>
        <w:jc w:val="left"/>
        <w:rPr>
          <w:rFonts w:ascii="宋体" w:hAnsi="宋体"/>
          <w:b/>
          <w:sz w:val="24"/>
        </w:rPr>
      </w:pPr>
      <w:r>
        <w:rPr>
          <w:rFonts w:hint="eastAsia" w:ascii="宋体" w:hAnsi="宋体"/>
          <w:b/>
          <w:sz w:val="24"/>
        </w:rPr>
        <w:t>1、评</w:t>
      </w:r>
      <w:r>
        <w:rPr>
          <w:rFonts w:ascii="宋体" w:hAnsi="宋体"/>
          <w:b/>
          <w:sz w:val="24"/>
        </w:rPr>
        <w:t>标</w:t>
      </w:r>
      <w:r>
        <w:rPr>
          <w:rFonts w:hint="eastAsia" w:ascii="宋体" w:hAnsi="宋体"/>
          <w:b/>
          <w:sz w:val="24"/>
        </w:rPr>
        <w:t>方法：</w:t>
      </w:r>
    </w:p>
    <w:p>
      <w:pPr>
        <w:spacing w:line="440" w:lineRule="exact"/>
        <w:ind w:firstLine="480" w:firstLineChars="200"/>
        <w:jc w:val="left"/>
        <w:rPr>
          <w:rFonts w:ascii="宋体" w:hAnsi="宋体"/>
          <w:sz w:val="24"/>
        </w:rPr>
      </w:pPr>
      <w:r>
        <w:rPr>
          <w:rFonts w:hint="eastAsia" w:ascii="宋体" w:hAnsi="宋体"/>
          <w:sz w:val="24"/>
        </w:rPr>
        <w:t>本次评标采用综合评分法，投标文件满足采购文件全部实质性要求且按照评审因素的量化指标评审得分最高的供应商为中标候选人。得分相同的，投标报价</w:t>
      </w:r>
      <w:r>
        <w:rPr>
          <w:rFonts w:ascii="宋体" w:hAnsi="宋体"/>
          <w:sz w:val="24"/>
        </w:rPr>
        <w:t>低者为中标候选人</w:t>
      </w:r>
      <w:r>
        <w:rPr>
          <w:rFonts w:hint="eastAsia" w:ascii="宋体" w:hAnsi="宋体"/>
          <w:sz w:val="24"/>
        </w:rPr>
        <w:t>。得分且投标报价相同的</w:t>
      </w:r>
      <w:r>
        <w:rPr>
          <w:rFonts w:ascii="宋体" w:hAnsi="宋体"/>
          <w:sz w:val="24"/>
        </w:rPr>
        <w:t>由采购人代表开标现场随机抽签确定。</w:t>
      </w:r>
    </w:p>
    <w:p>
      <w:pPr>
        <w:widowControl/>
        <w:snapToGrid w:val="0"/>
        <w:spacing w:line="480" w:lineRule="exact"/>
        <w:rPr>
          <w:rFonts w:ascii="宋体" w:hAnsi="宋体"/>
          <w:kern w:val="0"/>
          <w:sz w:val="24"/>
        </w:rPr>
      </w:pPr>
      <w:r>
        <w:rPr>
          <w:rFonts w:hint="eastAsia" w:ascii="宋体" w:hAnsi="宋体"/>
          <w:b/>
          <w:sz w:val="24"/>
        </w:rPr>
        <w:t>2.评分标准：</w:t>
      </w:r>
      <w:r>
        <w:rPr>
          <w:rFonts w:hint="eastAsia" w:ascii="宋体" w:hAnsi="宋体"/>
          <w:sz w:val="24"/>
        </w:rPr>
        <w:t>总分100分，其中</w:t>
      </w:r>
      <w:r>
        <w:rPr>
          <w:rFonts w:ascii="宋体" w:hAnsi="宋体"/>
          <w:sz w:val="24"/>
        </w:rPr>
        <w:t>商务</w:t>
      </w:r>
      <w:r>
        <w:rPr>
          <w:rFonts w:hint="eastAsia" w:ascii="宋体" w:hAnsi="宋体"/>
          <w:sz w:val="24"/>
        </w:rPr>
        <w:t>技术分</w:t>
      </w:r>
      <w:r>
        <w:rPr>
          <w:rFonts w:ascii="宋体" w:hAnsi="宋体"/>
          <w:sz w:val="24"/>
          <w:u w:val="single"/>
        </w:rPr>
        <w:t xml:space="preserve">   70 </w:t>
      </w:r>
      <w:r>
        <w:rPr>
          <w:rFonts w:hint="eastAsia" w:ascii="宋体" w:hAnsi="宋体"/>
          <w:sz w:val="24"/>
        </w:rPr>
        <w:t>分，</w:t>
      </w:r>
      <w:r>
        <w:rPr>
          <w:rFonts w:ascii="宋体" w:hAnsi="宋体"/>
          <w:sz w:val="24"/>
        </w:rPr>
        <w:t>价格</w:t>
      </w:r>
      <w:r>
        <w:rPr>
          <w:rFonts w:hint="eastAsia" w:ascii="宋体" w:hAnsi="宋体"/>
          <w:sz w:val="24"/>
        </w:rPr>
        <w:t>分</w:t>
      </w:r>
      <w:r>
        <w:rPr>
          <w:rFonts w:ascii="宋体" w:hAnsi="宋体"/>
          <w:sz w:val="24"/>
          <w:u w:val="single"/>
        </w:rPr>
        <w:t xml:space="preserve">  30  </w:t>
      </w:r>
      <w:r>
        <w:rPr>
          <w:rFonts w:hint="eastAsia" w:ascii="宋体" w:hAnsi="宋体"/>
          <w:sz w:val="24"/>
        </w:rPr>
        <w:t>分。下述所列为评分依据，分值如下（计算分值时，按其算术平均值保留小数2位）。</w:t>
      </w:r>
    </w:p>
    <w:p>
      <w:pPr>
        <w:spacing w:line="440" w:lineRule="exact"/>
        <w:jc w:val="left"/>
        <w:rPr>
          <w:rFonts w:hint="eastAsia" w:ascii="宋体" w:hAnsi="宋体"/>
          <w:b/>
          <w:sz w:val="24"/>
        </w:rPr>
      </w:pPr>
      <w:r>
        <w:rPr>
          <w:rFonts w:hint="eastAsia" w:ascii="宋体" w:hAnsi="宋体"/>
          <w:b/>
          <w:sz w:val="24"/>
        </w:rPr>
        <w:t>2.1</w:t>
      </w:r>
      <w:r>
        <w:rPr>
          <w:rFonts w:ascii="宋体" w:hAnsi="宋体"/>
          <w:b/>
          <w:sz w:val="24"/>
        </w:rPr>
        <w:t>商务技术分：</w:t>
      </w:r>
    </w:p>
    <w:p>
      <w:pPr>
        <w:spacing w:line="440" w:lineRule="exact"/>
        <w:jc w:val="left"/>
        <w:rPr>
          <w:rFonts w:ascii="宋体" w:hAnsi="宋体"/>
          <w:sz w:val="24"/>
          <w:bdr w:val="single" w:color="auto" w:sz="4" w:space="0"/>
        </w:rPr>
      </w:pPr>
      <w:r>
        <w:rPr>
          <w:rFonts w:hint="eastAsia" w:ascii="宋体" w:hAnsi="宋体"/>
          <w:b/>
          <w:sz w:val="24"/>
          <w:bdr w:val="single" w:color="auto" w:sz="4" w:space="0"/>
        </w:rPr>
        <w:t>01标</w:t>
      </w:r>
    </w:p>
    <w:tbl>
      <w:tblPr>
        <w:tblStyle w:val="42"/>
        <w:tblpPr w:leftFromText="180" w:rightFromText="180" w:vertAnchor="page" w:horzAnchor="margin" w:tblpY="1711"/>
        <w:tblW w:w="10064" w:type="dxa"/>
        <w:tblInd w:w="0" w:type="dxa"/>
        <w:tblLayout w:type="fixed"/>
        <w:tblCellMar>
          <w:top w:w="0" w:type="dxa"/>
          <w:left w:w="108" w:type="dxa"/>
          <w:bottom w:w="0" w:type="dxa"/>
          <w:right w:w="108" w:type="dxa"/>
        </w:tblCellMar>
      </w:tblPr>
      <w:tblGrid>
        <w:gridCol w:w="817"/>
        <w:gridCol w:w="1418"/>
        <w:gridCol w:w="708"/>
        <w:gridCol w:w="6345"/>
        <w:gridCol w:w="776"/>
      </w:tblGrid>
      <w:tr>
        <w:tblPrEx>
          <w:tblCellMar>
            <w:top w:w="0" w:type="dxa"/>
            <w:left w:w="108" w:type="dxa"/>
            <w:bottom w:w="0" w:type="dxa"/>
            <w:right w:w="108" w:type="dxa"/>
          </w:tblCellMar>
        </w:tblPrEx>
        <w:trPr>
          <w:gridAfter w:val="1"/>
          <w:wBefore w:w="0" w:type="dxa"/>
          <w:wAfter w:w="776" w:type="dxa"/>
          <w:trHeight w:val="56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评审类目</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评审内容</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分值</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评分细则</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投标方案</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技术方案满足度</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hint="eastAsia" w:ascii="宋体" w:hAnsi="宋体"/>
                <w:kern w:val="0"/>
                <w:sz w:val="24"/>
              </w:rPr>
              <w:t>8</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kern w:val="0"/>
                <w:szCs w:val="21"/>
              </w:rPr>
            </w:pPr>
            <w:r>
              <w:rPr>
                <w:rFonts w:ascii="宋体" w:hAnsi="宋体"/>
                <w:kern w:val="0"/>
                <w:szCs w:val="21"/>
              </w:rPr>
              <w:t>整体技术方案设备符合招标文件要求，技术先进，性能稳定；技术上能与现有越城区公安局视频监控系统无缝集成的情况比较打分。</w:t>
            </w:r>
            <w:r>
              <w:rPr>
                <w:rFonts w:hint="eastAsia" w:ascii="宋体" w:hAnsi="宋体"/>
                <w:kern w:val="0"/>
                <w:szCs w:val="21"/>
              </w:rPr>
              <w:t>优</w:t>
            </w:r>
            <w:r>
              <w:rPr>
                <w:rFonts w:ascii="宋体" w:hAnsi="宋体"/>
                <w:kern w:val="0"/>
                <w:szCs w:val="21"/>
              </w:rPr>
              <w:t>[</w:t>
            </w:r>
            <w:r>
              <w:rPr>
                <w:rFonts w:hint="eastAsia" w:ascii="宋体" w:hAnsi="宋体"/>
                <w:kern w:val="0"/>
                <w:szCs w:val="21"/>
              </w:rPr>
              <w:t>2.1-3</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1.1-2</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p>
            <w:pPr>
              <w:widowControl/>
              <w:spacing w:line="360" w:lineRule="auto"/>
              <w:jc w:val="left"/>
              <w:rPr>
                <w:rFonts w:ascii="宋体" w:hAnsi="宋体"/>
                <w:kern w:val="0"/>
                <w:szCs w:val="21"/>
              </w:rPr>
            </w:pPr>
            <w:r>
              <w:rPr>
                <w:rFonts w:hint="eastAsia" w:ascii="宋体" w:hAnsi="宋体"/>
                <w:kern w:val="0"/>
                <w:szCs w:val="21"/>
              </w:rPr>
              <w:t>投标人对</w:t>
            </w:r>
            <w:r>
              <w:rPr>
                <w:rFonts w:ascii="宋体" w:hAnsi="宋体"/>
                <w:kern w:val="0"/>
                <w:szCs w:val="21"/>
              </w:rPr>
              <w:t>绍兴市公安局越城区分局</w:t>
            </w:r>
            <w:r>
              <w:rPr>
                <w:rFonts w:hint="eastAsia" w:ascii="宋体" w:hAnsi="宋体"/>
                <w:kern w:val="0"/>
                <w:szCs w:val="21"/>
              </w:rPr>
              <w:t>智安小区管控平台功能板块建设实施情况,需在投标方案中详细描述；优</w:t>
            </w:r>
            <w:r>
              <w:rPr>
                <w:rFonts w:ascii="宋体" w:hAnsi="宋体"/>
                <w:kern w:val="0"/>
                <w:szCs w:val="21"/>
              </w:rPr>
              <w:t>[</w:t>
            </w:r>
            <w:r>
              <w:rPr>
                <w:rFonts w:hint="eastAsia" w:ascii="宋体" w:hAnsi="宋体"/>
                <w:kern w:val="0"/>
                <w:szCs w:val="21"/>
              </w:rPr>
              <w:t>3.1-5</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1.1-3</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投标产品</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2</w:t>
            </w:r>
            <w:r>
              <w:rPr>
                <w:rFonts w:hint="eastAsia" w:ascii="宋体" w:hAnsi="宋体"/>
                <w:kern w:val="0"/>
                <w:sz w:val="24"/>
              </w:rPr>
              <w:t>0</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kern w:val="0"/>
                <w:szCs w:val="21"/>
              </w:rPr>
            </w:pPr>
            <w:r>
              <w:rPr>
                <w:rFonts w:ascii="宋体" w:hAnsi="宋体"/>
                <w:kern w:val="0"/>
                <w:szCs w:val="21"/>
              </w:rPr>
              <w:t>参与投标的品牌和型号要求核实投标文件中设备相关参数，</w:t>
            </w:r>
            <w:r>
              <w:rPr>
                <w:rFonts w:hint="eastAsia" w:ascii="宋体" w:hAnsi="宋体"/>
                <w:kern w:val="0"/>
                <w:szCs w:val="21"/>
              </w:rPr>
              <w:t>技术指标中打“▲”主要参数有负偏离的每项扣2分。其他参数指标有负偏离的，每项扣0.5分，扣完为止</w:t>
            </w:r>
            <w:r>
              <w:rPr>
                <w:rFonts w:ascii="宋体" w:hAnsi="宋体"/>
                <w:kern w:val="0"/>
                <w:szCs w:val="21"/>
              </w:rPr>
              <w:t>。相关报告</w:t>
            </w:r>
            <w:r>
              <w:rPr>
                <w:rFonts w:hint="eastAsia" w:ascii="宋体" w:hAnsi="宋体"/>
                <w:kern w:val="0"/>
                <w:szCs w:val="21"/>
              </w:rPr>
              <w:t>、功能承诺函</w:t>
            </w:r>
            <w:r>
              <w:rPr>
                <w:rFonts w:ascii="宋体" w:hAnsi="宋体"/>
                <w:kern w:val="0"/>
                <w:szCs w:val="21"/>
              </w:rPr>
              <w:t>或证书复印件加盖</w:t>
            </w:r>
            <w:r>
              <w:rPr>
                <w:rFonts w:hint="eastAsia" w:ascii="宋体" w:hAnsi="宋体"/>
                <w:kern w:val="0"/>
                <w:szCs w:val="21"/>
              </w:rPr>
              <w:t>投标人</w:t>
            </w:r>
            <w:r>
              <w:rPr>
                <w:rFonts w:ascii="宋体" w:hAnsi="宋体"/>
                <w:kern w:val="0"/>
                <w:szCs w:val="21"/>
              </w:rPr>
              <w:t>公章。</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对接</w:t>
            </w:r>
            <w:r>
              <w:rPr>
                <w:rFonts w:ascii="宋体" w:hAnsi="宋体"/>
                <w:kern w:val="0"/>
                <w:sz w:val="24"/>
              </w:rPr>
              <w:t>功能</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5</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宋体" w:hAnsi="宋体"/>
                <w:kern w:val="0"/>
                <w:szCs w:val="21"/>
              </w:rPr>
            </w:pPr>
            <w:r>
              <w:rPr>
                <w:rFonts w:hint="eastAsia" w:ascii="宋体" w:hAnsi="宋体"/>
                <w:kern w:val="0"/>
                <w:szCs w:val="21"/>
              </w:rPr>
              <w:t>后台分析系统需对接越城区综合信息指挥中心，必须在越城区综合信息指挥中心中运用或经过测试，满足区综合信息指挥中心需求，并由区综合信息指挥中心出具接入证明，有接入证明的得5</w:t>
            </w:r>
            <w:r>
              <w:rPr>
                <w:rFonts w:ascii="宋体" w:hAnsi="宋体"/>
                <w:kern w:val="0"/>
                <w:szCs w:val="21"/>
              </w:rPr>
              <w:t>分</w:t>
            </w:r>
            <w:r>
              <w:rPr>
                <w:rFonts w:hint="eastAsia" w:ascii="宋体" w:hAnsi="宋体"/>
                <w:kern w:val="0"/>
                <w:szCs w:val="21"/>
              </w:rPr>
              <w:t>，没有得0分</w:t>
            </w:r>
            <w:r>
              <w:rPr>
                <w:rFonts w:ascii="宋体" w:hAnsi="宋体"/>
                <w:kern w:val="0"/>
                <w:szCs w:val="21"/>
              </w:rPr>
              <w:t xml:space="preserve">； </w:t>
            </w:r>
            <w:r>
              <w:rPr>
                <w:rFonts w:hint="eastAsia" w:ascii="宋体" w:hAnsi="宋体"/>
                <w:kern w:val="0"/>
                <w:szCs w:val="21"/>
              </w:rPr>
              <w:t>测试联系人详见备注</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投标人实力</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项目案例</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2</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宋体" w:hAnsi="宋体" w:eastAsia="宋体"/>
                <w:sz w:val="21"/>
                <w:szCs w:val="21"/>
              </w:rPr>
            </w:pPr>
            <w:r>
              <w:rPr>
                <w:rFonts w:ascii="宋体" w:hAnsi="宋体" w:eastAsia="宋体"/>
                <w:sz w:val="21"/>
                <w:szCs w:val="21"/>
              </w:rPr>
              <w:t>投标人提供 201</w:t>
            </w:r>
            <w:r>
              <w:rPr>
                <w:rFonts w:hint="eastAsia" w:ascii="宋体" w:hAnsi="宋体" w:eastAsia="宋体"/>
                <w:sz w:val="21"/>
                <w:szCs w:val="21"/>
              </w:rPr>
              <w:t>7</w:t>
            </w:r>
            <w:r>
              <w:rPr>
                <w:rFonts w:ascii="宋体" w:hAnsi="宋体" w:eastAsia="宋体"/>
                <w:sz w:val="21"/>
                <w:szCs w:val="21"/>
              </w:rPr>
              <w:t>年1月以来</w:t>
            </w:r>
            <w:r>
              <w:rPr>
                <w:rFonts w:hint="eastAsia" w:ascii="宋体" w:hAnsi="宋体" w:eastAsia="宋体"/>
                <w:sz w:val="21"/>
                <w:szCs w:val="21"/>
              </w:rPr>
              <w:t>同类</w:t>
            </w:r>
            <w:r>
              <w:rPr>
                <w:rFonts w:ascii="宋体" w:hAnsi="宋体" w:eastAsia="宋体"/>
                <w:sz w:val="21"/>
                <w:szCs w:val="21"/>
              </w:rPr>
              <w:t>项目，每个项目合同得</w:t>
            </w:r>
            <w:r>
              <w:rPr>
                <w:rFonts w:hint="eastAsia" w:ascii="宋体" w:hAnsi="宋体" w:eastAsia="宋体"/>
                <w:sz w:val="21"/>
                <w:szCs w:val="21"/>
              </w:rPr>
              <w:t>1</w:t>
            </w:r>
            <w:r>
              <w:rPr>
                <w:rFonts w:ascii="宋体" w:hAnsi="宋体" w:eastAsia="宋体"/>
                <w:sz w:val="21"/>
                <w:szCs w:val="21"/>
              </w:rPr>
              <w:t>分，最高得</w:t>
            </w:r>
            <w:r>
              <w:rPr>
                <w:rFonts w:hint="eastAsia" w:ascii="宋体" w:hAnsi="宋体" w:eastAsia="宋体"/>
                <w:sz w:val="21"/>
                <w:szCs w:val="21"/>
              </w:rPr>
              <w:t>2</w:t>
            </w:r>
            <w:r>
              <w:rPr>
                <w:rFonts w:ascii="宋体" w:hAnsi="宋体" w:eastAsia="宋体"/>
                <w:sz w:val="21"/>
                <w:szCs w:val="21"/>
              </w:rPr>
              <w:t>分。</w:t>
            </w:r>
            <w:r>
              <w:rPr>
                <w:rFonts w:ascii="宋体" w:hAnsi="宋体" w:eastAsia="宋体"/>
                <w:b/>
                <w:sz w:val="21"/>
                <w:szCs w:val="21"/>
              </w:rPr>
              <w:t>投标文件中装订合同复印件</w:t>
            </w:r>
            <w:r>
              <w:rPr>
                <w:rFonts w:hint="eastAsia" w:ascii="宋体" w:hAnsi="宋体" w:eastAsia="宋体"/>
                <w:b/>
                <w:sz w:val="21"/>
                <w:szCs w:val="21"/>
              </w:rPr>
              <w:t>加盖投标人公章。</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链路及光纤资源</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2</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宋体" w:hAnsi="宋体" w:eastAsia="宋体"/>
                <w:sz w:val="21"/>
                <w:szCs w:val="21"/>
              </w:rPr>
            </w:pPr>
            <w:r>
              <w:rPr>
                <w:rFonts w:ascii="宋体" w:hAnsi="宋体" w:eastAsia="宋体"/>
                <w:sz w:val="21"/>
                <w:szCs w:val="21"/>
              </w:rPr>
              <w:t>投标人若采用自有管线组网的</w:t>
            </w:r>
            <w:r>
              <w:rPr>
                <w:rFonts w:hint="eastAsia" w:ascii="宋体" w:hAnsi="宋体" w:eastAsia="宋体"/>
                <w:sz w:val="21"/>
                <w:szCs w:val="21"/>
              </w:rPr>
              <w:t>得2分，但</w:t>
            </w:r>
            <w:r>
              <w:rPr>
                <w:rFonts w:ascii="宋体" w:hAnsi="宋体" w:eastAsia="宋体"/>
                <w:sz w:val="21"/>
                <w:szCs w:val="21"/>
              </w:rPr>
              <w:t>需持有固定网通信运营商资格</w:t>
            </w:r>
            <w:r>
              <w:rPr>
                <w:rFonts w:hint="eastAsia" w:ascii="宋体" w:hAnsi="宋体" w:eastAsia="宋体"/>
                <w:sz w:val="21"/>
                <w:szCs w:val="21"/>
              </w:rPr>
              <w:t>或</w:t>
            </w:r>
            <w:r>
              <w:rPr>
                <w:rFonts w:ascii="宋体" w:hAnsi="宋体" w:eastAsia="宋体"/>
                <w:sz w:val="21"/>
                <w:szCs w:val="21"/>
              </w:rPr>
              <w:t>有线电视网络运营商证明文件，提供相关证明并加盖投标人公章</w:t>
            </w:r>
            <w:r>
              <w:rPr>
                <w:rFonts w:hint="eastAsia" w:ascii="宋体" w:hAnsi="宋体" w:eastAsia="宋体"/>
                <w:sz w:val="21"/>
                <w:szCs w:val="21"/>
              </w:rPr>
              <w:t>，未提供证明得0分</w:t>
            </w:r>
            <w:r>
              <w:rPr>
                <w:rFonts w:ascii="宋体" w:hAnsi="宋体" w:eastAsia="宋体"/>
                <w:sz w:val="21"/>
                <w:szCs w:val="21"/>
              </w:rPr>
              <w:t>；投标</w:t>
            </w:r>
            <w:r>
              <w:rPr>
                <w:rFonts w:hint="eastAsia" w:ascii="宋体" w:hAnsi="宋体" w:eastAsia="宋体"/>
                <w:sz w:val="21"/>
                <w:szCs w:val="21"/>
              </w:rPr>
              <w:t>人</w:t>
            </w:r>
            <w:r>
              <w:rPr>
                <w:rFonts w:ascii="宋体" w:hAnsi="宋体" w:eastAsia="宋体"/>
                <w:sz w:val="21"/>
                <w:szCs w:val="21"/>
              </w:rPr>
              <w:t>没有自有管线，但与管线提供商签订意向协议</w:t>
            </w:r>
            <w:r>
              <w:rPr>
                <w:rFonts w:hint="eastAsia" w:ascii="宋体" w:hAnsi="宋体" w:eastAsia="宋体"/>
                <w:sz w:val="21"/>
                <w:szCs w:val="21"/>
              </w:rPr>
              <w:t>得1分</w:t>
            </w:r>
            <w:r>
              <w:rPr>
                <w:rFonts w:ascii="宋体" w:hAnsi="宋体" w:eastAsia="宋体"/>
                <w:sz w:val="21"/>
                <w:szCs w:val="21"/>
              </w:rPr>
              <w:t>，也需</w:t>
            </w:r>
            <w:r>
              <w:rPr>
                <w:rFonts w:hint="eastAsia" w:ascii="宋体" w:hAnsi="宋体" w:eastAsia="宋体"/>
                <w:sz w:val="21"/>
                <w:szCs w:val="21"/>
              </w:rPr>
              <w:t>提供该</w:t>
            </w:r>
            <w:r>
              <w:rPr>
                <w:rFonts w:ascii="宋体" w:hAnsi="宋体" w:eastAsia="宋体"/>
                <w:sz w:val="21"/>
                <w:szCs w:val="21"/>
              </w:rPr>
              <w:t>固定网通信运营商</w:t>
            </w:r>
            <w:r>
              <w:rPr>
                <w:rFonts w:hint="eastAsia" w:ascii="宋体" w:hAnsi="宋体" w:eastAsia="宋体"/>
                <w:sz w:val="21"/>
                <w:szCs w:val="21"/>
              </w:rPr>
              <w:t>或</w:t>
            </w:r>
            <w:r>
              <w:rPr>
                <w:rFonts w:ascii="宋体" w:hAnsi="宋体" w:eastAsia="宋体"/>
                <w:sz w:val="21"/>
                <w:szCs w:val="21"/>
              </w:rPr>
              <w:t>有线电视网络运营商资格证明文件，提供相应证明并加盖投标人公章。其中，意向协议须在投标文件中装订复印件</w:t>
            </w:r>
            <w:r>
              <w:rPr>
                <w:rFonts w:hint="eastAsia" w:ascii="宋体" w:hAnsi="宋体" w:eastAsia="宋体"/>
                <w:sz w:val="21"/>
                <w:szCs w:val="21"/>
              </w:rPr>
              <w:t>，未提供证明得0分。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技术实力</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4</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宋体" w:hAnsi="宋体" w:eastAsia="宋体"/>
                <w:sz w:val="21"/>
                <w:szCs w:val="21"/>
              </w:rPr>
            </w:pPr>
            <w:r>
              <w:rPr>
                <w:rFonts w:hint="eastAsia" w:ascii="宋体" w:hAnsi="宋体" w:eastAsia="宋体"/>
                <w:sz w:val="21"/>
                <w:szCs w:val="21"/>
              </w:rPr>
              <w:t>投标人拟派项目团队人员中：</w:t>
            </w:r>
          </w:p>
          <w:p>
            <w:pPr>
              <w:pStyle w:val="193"/>
              <w:widowControl/>
              <w:spacing w:line="360" w:lineRule="auto"/>
              <w:rPr>
                <w:rFonts w:ascii="宋体" w:hAnsi="宋体" w:eastAsia="宋体"/>
                <w:sz w:val="21"/>
                <w:szCs w:val="21"/>
              </w:rPr>
            </w:pPr>
            <w:r>
              <w:rPr>
                <w:rFonts w:hint="eastAsia" w:ascii="宋体" w:hAnsi="宋体" w:eastAsia="宋体"/>
                <w:sz w:val="21"/>
                <w:szCs w:val="21"/>
              </w:rPr>
              <w:t>1.具有信息系统项目管理师得</w:t>
            </w:r>
            <w:r>
              <w:rPr>
                <w:rFonts w:ascii="宋体" w:hAnsi="宋体" w:eastAsia="宋体"/>
                <w:sz w:val="21"/>
                <w:szCs w:val="21"/>
              </w:rPr>
              <w:t>1</w:t>
            </w:r>
            <w:r>
              <w:rPr>
                <w:rFonts w:hint="eastAsia" w:ascii="宋体" w:hAnsi="宋体" w:eastAsia="宋体"/>
                <w:sz w:val="21"/>
                <w:szCs w:val="21"/>
              </w:rPr>
              <w:t>分。</w:t>
            </w:r>
          </w:p>
          <w:p>
            <w:pPr>
              <w:pStyle w:val="193"/>
              <w:widowControl/>
              <w:spacing w:line="360" w:lineRule="auto"/>
              <w:rPr>
                <w:rFonts w:ascii="宋体" w:hAnsi="宋体" w:eastAsia="宋体"/>
                <w:sz w:val="21"/>
                <w:szCs w:val="21"/>
              </w:rPr>
            </w:pPr>
            <w:r>
              <w:rPr>
                <w:rFonts w:hint="eastAsia" w:ascii="宋体" w:hAnsi="宋体" w:eastAsia="宋体"/>
                <w:sz w:val="21"/>
                <w:szCs w:val="21"/>
              </w:rPr>
              <w:t>2.具有系统集成项目管理工程师得1分。</w:t>
            </w:r>
          </w:p>
          <w:p>
            <w:pPr>
              <w:pStyle w:val="193"/>
              <w:widowControl/>
              <w:spacing w:line="360" w:lineRule="auto"/>
              <w:rPr>
                <w:rFonts w:ascii="宋体" w:hAnsi="宋体" w:eastAsia="宋体"/>
                <w:sz w:val="21"/>
                <w:szCs w:val="21"/>
              </w:rPr>
            </w:pPr>
            <w:r>
              <w:rPr>
                <w:rFonts w:hint="eastAsia" w:ascii="宋体" w:hAnsi="宋体" w:eastAsia="宋体"/>
                <w:sz w:val="21"/>
                <w:szCs w:val="21"/>
              </w:rPr>
              <w:t>3.具有OCP工程师得1分。</w:t>
            </w:r>
          </w:p>
          <w:p>
            <w:pPr>
              <w:pStyle w:val="193"/>
              <w:widowControl/>
              <w:spacing w:line="360" w:lineRule="auto"/>
              <w:rPr>
                <w:rFonts w:ascii="宋体" w:hAnsi="宋体" w:eastAsia="宋体"/>
                <w:sz w:val="21"/>
                <w:szCs w:val="21"/>
              </w:rPr>
            </w:pPr>
            <w:r>
              <w:rPr>
                <w:rFonts w:hint="eastAsia" w:ascii="宋体" w:hAnsi="宋体" w:eastAsia="宋体"/>
                <w:sz w:val="21"/>
                <w:szCs w:val="21"/>
              </w:rPr>
              <w:t>4.具有软件工程师得1分。</w:t>
            </w:r>
          </w:p>
          <w:p>
            <w:pPr>
              <w:pStyle w:val="193"/>
              <w:widowControl/>
              <w:spacing w:line="360" w:lineRule="auto"/>
              <w:rPr>
                <w:rFonts w:ascii="仿宋_GB2312" w:hAnsi="宋体" w:eastAsia="仿宋_GB2312"/>
                <w:sz w:val="21"/>
                <w:szCs w:val="21"/>
              </w:rPr>
            </w:pPr>
            <w:r>
              <w:rPr>
                <w:rFonts w:hint="eastAsia" w:ascii="宋体" w:hAnsi="宋体" w:eastAsia="宋体"/>
                <w:sz w:val="21"/>
                <w:szCs w:val="21"/>
              </w:rPr>
              <w:t>（以上所列的团队人员须为投标单位在职员工，投标文件中提供证书和近3个月本单位社保证明的复印件加盖投标人公章）</w:t>
            </w:r>
          </w:p>
        </w:tc>
      </w:tr>
      <w:tr>
        <w:tblPrEx>
          <w:tblCellMar>
            <w:top w:w="0" w:type="dxa"/>
            <w:left w:w="108" w:type="dxa"/>
            <w:bottom w:w="0" w:type="dxa"/>
            <w:right w:w="108" w:type="dxa"/>
          </w:tblCellMar>
        </w:tblPrEx>
        <w:trPr>
          <w:wBefore w:w="0" w:type="dxa"/>
          <w:wAfter w:w="0" w:type="dxa"/>
          <w:trHeight w:val="567" w:hRule="atLeast"/>
        </w:trPr>
        <w:tc>
          <w:tcPr>
            <w:tcW w:w="8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hint="eastAsia" w:ascii="宋体" w:hAnsi="宋体"/>
                <w:bCs/>
                <w:kern w:val="0"/>
                <w:sz w:val="24"/>
              </w:rPr>
              <w:t>施工组织</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仿宋_GB2312" w:hAnsi="宋体" w:eastAsia="仿宋_GB2312"/>
                <w:sz w:val="18"/>
                <w:szCs w:val="18"/>
              </w:rPr>
            </w:pPr>
            <w:r>
              <w:rPr>
                <w:rFonts w:hint="eastAsia" w:ascii="宋体" w:hAnsi="宋体"/>
                <w:kern w:val="0"/>
                <w:sz w:val="24"/>
              </w:rPr>
              <w:t>3</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仿宋_GB2312" w:hAnsi="宋体" w:eastAsia="仿宋_GB2312"/>
                <w:sz w:val="18"/>
                <w:szCs w:val="18"/>
              </w:rPr>
            </w:pPr>
            <w:r>
              <w:rPr>
                <w:rFonts w:hint="eastAsia" w:ascii="宋体" w:hAnsi="宋体" w:eastAsia="宋体"/>
                <w:sz w:val="21"/>
                <w:szCs w:val="21"/>
              </w:rPr>
              <w:t>项目施工组织计划科学合理，管理措施到位；由评标委员会对投标单位进行横向对比，优</w:t>
            </w:r>
            <w:r>
              <w:rPr>
                <w:rFonts w:ascii="宋体" w:hAnsi="宋体" w:eastAsia="宋体"/>
                <w:sz w:val="21"/>
                <w:szCs w:val="21"/>
              </w:rPr>
              <w:t>[</w:t>
            </w:r>
            <w:r>
              <w:rPr>
                <w:rFonts w:hint="eastAsia" w:ascii="宋体" w:hAnsi="宋体" w:eastAsia="宋体"/>
                <w:sz w:val="21"/>
                <w:szCs w:val="21"/>
              </w:rPr>
              <w:t>2</w:t>
            </w:r>
            <w:r>
              <w:rPr>
                <w:rFonts w:hint="eastAsia" w:ascii="宋体" w:hAnsi="宋体" w:eastAsia="宋体"/>
                <w:szCs w:val="21"/>
              </w:rPr>
              <w:t>.1</w:t>
            </w:r>
            <w:r>
              <w:rPr>
                <w:rFonts w:hint="eastAsia" w:ascii="宋体" w:hAnsi="宋体"/>
                <w:sz w:val="21"/>
                <w:szCs w:val="21"/>
              </w:rPr>
              <w:t>-</w:t>
            </w:r>
            <w:r>
              <w:rPr>
                <w:rFonts w:hint="eastAsia" w:ascii="宋体" w:hAnsi="宋体"/>
                <w:szCs w:val="21"/>
              </w:rPr>
              <w:t>3</w:t>
            </w:r>
            <w:r>
              <w:rPr>
                <w:rFonts w:ascii="宋体" w:hAnsi="宋体"/>
                <w:sz w:val="21"/>
                <w:szCs w:val="21"/>
              </w:rPr>
              <w:t>]分，</w:t>
            </w:r>
            <w:r>
              <w:rPr>
                <w:rFonts w:hint="eastAsia" w:ascii="宋体" w:hAnsi="宋体"/>
                <w:sz w:val="21"/>
                <w:szCs w:val="21"/>
              </w:rPr>
              <w:t>良</w:t>
            </w:r>
            <w:r>
              <w:rPr>
                <w:rFonts w:ascii="宋体" w:hAnsi="宋体"/>
                <w:sz w:val="21"/>
                <w:szCs w:val="21"/>
              </w:rPr>
              <w:t>[</w:t>
            </w:r>
            <w:r>
              <w:rPr>
                <w:rFonts w:hint="eastAsia" w:ascii="宋体" w:hAnsi="宋体" w:eastAsia="宋体"/>
                <w:szCs w:val="21"/>
              </w:rPr>
              <w:t>1.1</w:t>
            </w:r>
            <w:r>
              <w:rPr>
                <w:rFonts w:hint="eastAsia" w:ascii="宋体" w:hAnsi="宋体"/>
                <w:sz w:val="21"/>
                <w:szCs w:val="21"/>
              </w:rPr>
              <w:t>-</w:t>
            </w:r>
            <w:r>
              <w:rPr>
                <w:rFonts w:hint="eastAsia" w:ascii="宋体" w:hAnsi="宋体"/>
                <w:szCs w:val="21"/>
              </w:rPr>
              <w:t>2</w:t>
            </w:r>
            <w:r>
              <w:rPr>
                <w:rFonts w:ascii="宋体" w:hAnsi="宋体"/>
                <w:sz w:val="21"/>
                <w:szCs w:val="21"/>
              </w:rPr>
              <w:t>]分，</w:t>
            </w:r>
            <w:r>
              <w:rPr>
                <w:rFonts w:hint="eastAsia" w:ascii="宋体" w:hAnsi="宋体"/>
                <w:sz w:val="21"/>
                <w:szCs w:val="21"/>
              </w:rPr>
              <w:t>一般</w:t>
            </w:r>
            <w:r>
              <w:rPr>
                <w:rFonts w:ascii="宋体" w:hAnsi="宋体"/>
                <w:sz w:val="21"/>
                <w:szCs w:val="21"/>
              </w:rPr>
              <w:t>[</w:t>
            </w:r>
            <w:r>
              <w:rPr>
                <w:rFonts w:hint="eastAsia" w:ascii="宋体" w:hAnsi="宋体"/>
                <w:sz w:val="21"/>
                <w:szCs w:val="21"/>
              </w:rPr>
              <w:t>0-1</w:t>
            </w:r>
            <w:r>
              <w:rPr>
                <w:rFonts w:ascii="宋体" w:hAnsi="宋体"/>
                <w:sz w:val="21"/>
                <w:szCs w:val="21"/>
              </w:rPr>
              <w:t>]分。</w:t>
            </w:r>
          </w:p>
        </w:tc>
        <w:tc>
          <w:tcPr>
            <w:tcW w:w="776"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软件和功能</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hint="eastAsia" w:ascii="宋体" w:hAnsi="宋体"/>
                <w:kern w:val="0"/>
                <w:sz w:val="24"/>
              </w:rPr>
              <w:t>系统演示</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Cs/>
                <w:kern w:val="0"/>
                <w:szCs w:val="21"/>
              </w:rPr>
            </w:pPr>
            <w:r>
              <w:rPr>
                <w:rFonts w:hint="eastAsia" w:ascii="宋体" w:hAnsi="宋体"/>
                <w:bCs/>
                <w:kern w:val="0"/>
                <w:szCs w:val="21"/>
              </w:rPr>
              <w:t>18</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bCs/>
                <w:kern w:val="0"/>
                <w:szCs w:val="21"/>
              </w:rPr>
            </w:pPr>
            <w:r>
              <w:rPr>
                <w:rFonts w:hint="eastAsia" w:ascii="宋体" w:hAnsi="宋体"/>
                <w:bCs/>
                <w:kern w:val="0"/>
                <w:szCs w:val="21"/>
              </w:rPr>
              <w:t>投标人根据本项目招标要求并结合自身情况，提供本项目拟建的智安小区实战平台，进行软件功能现场演示，由评标委员会根据部分软件功能实现情况按以下标准打分：</w:t>
            </w:r>
          </w:p>
          <w:p>
            <w:pPr>
              <w:widowControl/>
              <w:spacing w:line="360" w:lineRule="auto"/>
              <w:jc w:val="left"/>
              <w:rPr>
                <w:rFonts w:ascii="宋体" w:hAnsi="宋体"/>
                <w:bCs/>
                <w:kern w:val="0"/>
                <w:szCs w:val="21"/>
              </w:rPr>
            </w:pPr>
            <w:r>
              <w:rPr>
                <w:rFonts w:hint="eastAsia" w:ascii="宋体" w:hAnsi="宋体"/>
                <w:bCs/>
                <w:kern w:val="0"/>
                <w:szCs w:val="21"/>
              </w:rPr>
              <w:t>（1）态势感知（0--3分）：</w:t>
            </w:r>
          </w:p>
          <w:p>
            <w:pPr>
              <w:widowControl/>
              <w:spacing w:line="360" w:lineRule="auto"/>
              <w:jc w:val="left"/>
              <w:rPr>
                <w:rFonts w:ascii="宋体" w:hAnsi="宋体"/>
                <w:bCs/>
                <w:kern w:val="0"/>
                <w:szCs w:val="21"/>
              </w:rPr>
            </w:pPr>
            <w:r>
              <w:rPr>
                <w:rFonts w:hint="eastAsia" w:ascii="宋体" w:hAnsi="宋体"/>
                <w:bCs/>
                <w:kern w:val="0"/>
                <w:szCs w:val="21"/>
              </w:rPr>
              <w:t>1、为保障地图数据的及时性，已完成对接省厅云上公安高德地图功能（0--1分）；</w:t>
            </w:r>
          </w:p>
          <w:p>
            <w:pPr>
              <w:widowControl/>
              <w:spacing w:line="360" w:lineRule="auto"/>
              <w:jc w:val="left"/>
              <w:rPr>
                <w:rFonts w:ascii="宋体" w:hAnsi="宋体"/>
                <w:bCs/>
                <w:kern w:val="0"/>
                <w:szCs w:val="21"/>
              </w:rPr>
            </w:pPr>
            <w:r>
              <w:rPr>
                <w:rFonts w:hint="eastAsia" w:ascii="宋体" w:hAnsi="宋体"/>
                <w:bCs/>
                <w:kern w:val="0"/>
                <w:szCs w:val="21"/>
              </w:rPr>
              <w:t>2、要求具备直观反映越城智安小区的社区、小区、房屋、***、人口、重点人、设备、案件、感知档案、各类预警的当前态势情况功能（0--2分）；</w:t>
            </w:r>
          </w:p>
          <w:p>
            <w:pPr>
              <w:widowControl/>
              <w:spacing w:line="360" w:lineRule="auto"/>
              <w:jc w:val="left"/>
              <w:rPr>
                <w:rFonts w:ascii="宋体" w:hAnsi="宋体"/>
                <w:bCs/>
                <w:kern w:val="0"/>
                <w:szCs w:val="21"/>
              </w:rPr>
            </w:pPr>
            <w:r>
              <w:rPr>
                <w:rFonts w:hint="eastAsia" w:ascii="宋体" w:hAnsi="宋体"/>
                <w:bCs/>
                <w:kern w:val="0"/>
                <w:szCs w:val="21"/>
              </w:rPr>
              <w:t>（2）作战平台（0</w:t>
            </w:r>
            <w:r>
              <w:rPr>
                <w:rFonts w:ascii="宋体" w:hAnsi="宋体"/>
                <w:bCs/>
                <w:kern w:val="0"/>
                <w:szCs w:val="21"/>
              </w:rPr>
              <w:t>—</w:t>
            </w:r>
            <w:r>
              <w:rPr>
                <w:rFonts w:hint="eastAsia" w:ascii="宋体" w:hAnsi="宋体"/>
                <w:bCs/>
                <w:kern w:val="0"/>
                <w:szCs w:val="21"/>
              </w:rPr>
              <w:t>8分）：</w:t>
            </w:r>
          </w:p>
          <w:p>
            <w:pPr>
              <w:widowControl/>
              <w:spacing w:line="360" w:lineRule="auto"/>
              <w:jc w:val="left"/>
              <w:rPr>
                <w:rFonts w:ascii="宋体" w:hAnsi="宋体"/>
                <w:bCs/>
                <w:kern w:val="0"/>
                <w:szCs w:val="21"/>
              </w:rPr>
            </w:pPr>
            <w:r>
              <w:rPr>
                <w:rFonts w:hint="eastAsia" w:ascii="宋体" w:hAnsi="宋体"/>
                <w:bCs/>
                <w:kern w:val="0"/>
                <w:szCs w:val="21"/>
              </w:rPr>
              <w:t>1、支持越城区、***、小区三个层级的城区概况、重点人员、重点关注、近期案件、线索推荐、布控预警数据切换功能（0--2分）；   2、支持在地图上查看小区、小区楼栋、楼栋房屋、房屋内人员、小区内重点人员、小区人、车实时感知和感知档案功能，支持小区所有人员的照片数据对接展示（0--2分）；</w:t>
            </w:r>
          </w:p>
          <w:p>
            <w:pPr>
              <w:widowControl/>
              <w:spacing w:line="360" w:lineRule="auto"/>
              <w:jc w:val="left"/>
              <w:rPr>
                <w:rFonts w:ascii="宋体" w:hAnsi="宋体"/>
                <w:bCs/>
                <w:kern w:val="0"/>
                <w:szCs w:val="21"/>
              </w:rPr>
            </w:pPr>
            <w:r>
              <w:rPr>
                <w:rFonts w:hint="eastAsia" w:ascii="宋体" w:hAnsi="宋体"/>
                <w:bCs/>
                <w:kern w:val="0"/>
                <w:szCs w:val="21"/>
              </w:rPr>
              <w:t>3、支持自动案件线索推荐，可以推荐案件相关的人员、车辆、MAC信息，并支持推荐对象在案发当时的轨迹研判（0--2分）；</w:t>
            </w:r>
          </w:p>
          <w:p>
            <w:pPr>
              <w:widowControl/>
              <w:spacing w:line="360" w:lineRule="auto"/>
              <w:jc w:val="left"/>
              <w:rPr>
                <w:rFonts w:ascii="宋体" w:hAnsi="宋体"/>
                <w:bCs/>
                <w:kern w:val="0"/>
                <w:szCs w:val="21"/>
              </w:rPr>
            </w:pPr>
            <w:r>
              <w:rPr>
                <w:rFonts w:hint="eastAsia" w:ascii="宋体" w:hAnsi="宋体"/>
                <w:bCs/>
                <w:kern w:val="0"/>
                <w:szCs w:val="21"/>
              </w:rPr>
              <w:t xml:space="preserve"> 4、平台支持自定义模型上架功能，支持自动计算人户不一、疑似涉黄、疑似涉毒等模型结果，支持模型逻辑轨迹溯源功能（0--2分）；</w:t>
            </w:r>
          </w:p>
          <w:p>
            <w:pPr>
              <w:widowControl/>
              <w:spacing w:line="360" w:lineRule="auto"/>
              <w:jc w:val="left"/>
              <w:rPr>
                <w:rFonts w:ascii="宋体" w:hAnsi="宋体"/>
                <w:bCs/>
                <w:kern w:val="0"/>
                <w:szCs w:val="21"/>
              </w:rPr>
            </w:pPr>
            <w:r>
              <w:rPr>
                <w:rFonts w:hint="eastAsia" w:ascii="宋体" w:hAnsi="宋体"/>
                <w:bCs/>
                <w:kern w:val="0"/>
                <w:szCs w:val="21"/>
              </w:rPr>
              <w:t>（3）作战工具（0</w:t>
            </w:r>
            <w:r>
              <w:rPr>
                <w:rFonts w:ascii="宋体" w:hAnsi="宋体"/>
                <w:bCs/>
                <w:kern w:val="0"/>
                <w:szCs w:val="21"/>
              </w:rPr>
              <w:t>—</w:t>
            </w:r>
            <w:r>
              <w:rPr>
                <w:rFonts w:hint="eastAsia" w:ascii="宋体" w:hAnsi="宋体"/>
                <w:bCs/>
                <w:kern w:val="0"/>
                <w:szCs w:val="21"/>
              </w:rPr>
              <w:t>4分）：</w:t>
            </w:r>
          </w:p>
          <w:p>
            <w:pPr>
              <w:widowControl/>
              <w:spacing w:line="360" w:lineRule="auto"/>
              <w:jc w:val="left"/>
              <w:rPr>
                <w:rFonts w:ascii="宋体" w:hAnsi="宋体"/>
                <w:bCs/>
                <w:kern w:val="0"/>
                <w:szCs w:val="21"/>
              </w:rPr>
            </w:pPr>
            <w:r>
              <w:rPr>
                <w:rFonts w:hint="eastAsia" w:ascii="宋体" w:hAnsi="宋体"/>
                <w:bCs/>
                <w:kern w:val="0"/>
                <w:szCs w:val="21"/>
              </w:rPr>
              <w:t>1、支持一人一档、一车一档、一区一档，支持mac虚拟身份查询和虚拟关系分析功能，支持mac地址到手机号码的翻译功能（0--2分）；</w:t>
            </w:r>
          </w:p>
          <w:p>
            <w:pPr>
              <w:widowControl/>
              <w:spacing w:line="360" w:lineRule="auto"/>
              <w:jc w:val="left"/>
              <w:rPr>
                <w:rFonts w:ascii="宋体" w:hAnsi="宋体"/>
                <w:bCs/>
                <w:kern w:val="0"/>
                <w:szCs w:val="21"/>
              </w:rPr>
            </w:pPr>
            <w:r>
              <w:rPr>
                <w:rFonts w:hint="eastAsia" w:ascii="宋体" w:hAnsi="宋体"/>
                <w:bCs/>
                <w:kern w:val="0"/>
                <w:szCs w:val="21"/>
              </w:rPr>
              <w:t>2、轨迹研判的视算研判功能支持人脸照片轨迹的渐进式研判，支持人、车、mac的一键轨迹同行研判（0--1分）；</w:t>
            </w:r>
          </w:p>
          <w:p>
            <w:pPr>
              <w:widowControl/>
              <w:spacing w:line="360" w:lineRule="auto"/>
              <w:jc w:val="left"/>
              <w:rPr>
                <w:rFonts w:ascii="宋体" w:hAnsi="宋体"/>
                <w:bCs/>
                <w:kern w:val="0"/>
                <w:szCs w:val="21"/>
              </w:rPr>
            </w:pPr>
            <w:r>
              <w:rPr>
                <w:rFonts w:hint="eastAsia" w:ascii="宋体" w:hAnsi="宋体"/>
                <w:bCs/>
                <w:kern w:val="0"/>
                <w:szCs w:val="21"/>
              </w:rPr>
              <w:t>3、区域研判功能支持设定多个地图区域、时间范围线索的人、车、mac数据实时碰撞，并支持碰撞结果轨迹分析 （0--1分）；</w:t>
            </w:r>
          </w:p>
          <w:p>
            <w:pPr>
              <w:widowControl/>
              <w:spacing w:line="360" w:lineRule="auto"/>
              <w:jc w:val="left"/>
              <w:rPr>
                <w:rFonts w:ascii="宋体" w:hAnsi="宋体"/>
                <w:bCs/>
                <w:kern w:val="0"/>
                <w:szCs w:val="21"/>
              </w:rPr>
            </w:pPr>
            <w:r>
              <w:rPr>
                <w:rFonts w:hint="eastAsia" w:ascii="宋体" w:hAnsi="宋体"/>
                <w:bCs/>
                <w:kern w:val="0"/>
                <w:szCs w:val="21"/>
              </w:rPr>
              <w:t>（4）算法超市（0</w:t>
            </w:r>
            <w:r>
              <w:rPr>
                <w:rFonts w:ascii="宋体" w:hAnsi="宋体"/>
                <w:bCs/>
                <w:kern w:val="0"/>
                <w:szCs w:val="21"/>
              </w:rPr>
              <w:t>—</w:t>
            </w:r>
            <w:r>
              <w:rPr>
                <w:rFonts w:hint="eastAsia" w:ascii="宋体" w:hAnsi="宋体"/>
                <w:bCs/>
                <w:kern w:val="0"/>
                <w:szCs w:val="21"/>
              </w:rPr>
              <w:t>3分）：</w:t>
            </w:r>
          </w:p>
          <w:p>
            <w:pPr>
              <w:widowControl/>
              <w:spacing w:line="360" w:lineRule="auto"/>
              <w:jc w:val="left"/>
              <w:rPr>
                <w:rFonts w:ascii="宋体" w:hAnsi="宋体"/>
                <w:bCs/>
                <w:kern w:val="0"/>
                <w:szCs w:val="21"/>
              </w:rPr>
            </w:pPr>
            <w:r>
              <w:rPr>
                <w:rFonts w:hint="eastAsia" w:ascii="宋体" w:hAnsi="宋体"/>
                <w:bCs/>
                <w:kern w:val="0"/>
                <w:szCs w:val="21"/>
              </w:rPr>
              <w:t xml:space="preserve"> 1、结合越城公安智安小区数据来源情况，资源中心需要支持基础信息常采常新、人脸、车辆卡口轨迹数据、MAC数据等相关的数据来源的接入配置，应用平台要反映出这几类数据的对接成果（0--1分）；</w:t>
            </w:r>
          </w:p>
          <w:p>
            <w:pPr>
              <w:widowControl/>
              <w:spacing w:line="360" w:lineRule="auto"/>
              <w:jc w:val="left"/>
              <w:rPr>
                <w:rFonts w:ascii="宋体" w:hAnsi="宋体"/>
                <w:bCs/>
                <w:kern w:val="0"/>
                <w:szCs w:val="21"/>
              </w:rPr>
            </w:pPr>
            <w:r>
              <w:rPr>
                <w:rFonts w:hint="eastAsia" w:ascii="宋体" w:hAnsi="宋体"/>
                <w:bCs/>
                <w:kern w:val="0"/>
                <w:szCs w:val="21"/>
              </w:rPr>
              <w:t>2、模型算子可以按照实体、关系、轨迹、行为分类定义算子，包括定义算子的脚本、数据源、配置输入和输出信息（0--1分）；</w:t>
            </w:r>
          </w:p>
          <w:p>
            <w:pPr>
              <w:widowControl/>
              <w:spacing w:line="360" w:lineRule="auto"/>
              <w:jc w:val="left"/>
              <w:rPr>
                <w:rFonts w:ascii="宋体" w:hAnsi="宋体"/>
                <w:bCs/>
                <w:kern w:val="0"/>
                <w:szCs w:val="21"/>
              </w:rPr>
            </w:pPr>
            <w:r>
              <w:rPr>
                <w:rFonts w:hint="eastAsia" w:ascii="宋体" w:hAnsi="宋体"/>
                <w:bCs/>
                <w:kern w:val="0"/>
                <w:szCs w:val="21"/>
              </w:rPr>
              <w:t>3、模型工厂可以通过可视化拖拽的形式完成公安业务模型算子到业务模型的组装，并支持一键运行组装的业务模型（0--1分）；</w:t>
            </w:r>
          </w:p>
          <w:p>
            <w:pPr>
              <w:widowControl/>
              <w:spacing w:line="360" w:lineRule="auto"/>
              <w:jc w:val="left"/>
              <w:rPr>
                <w:rFonts w:ascii="宋体" w:hAnsi="宋体"/>
                <w:bCs/>
                <w:kern w:val="0"/>
                <w:szCs w:val="21"/>
              </w:rPr>
            </w:pPr>
            <w:r>
              <w:rPr>
                <w:rFonts w:hint="eastAsia" w:ascii="宋体" w:hAnsi="宋体"/>
                <w:bCs/>
                <w:kern w:val="0"/>
                <w:szCs w:val="21"/>
              </w:rPr>
              <w:t>注：系统演示时间为15分钟，演示环境为公安信息网，投标人应在投标时自备演示设备（带接口的笔记本电脑、U盘等）对“管控平台（软件功能模拟）”进行现场演示，未进行现场演示或演示功能不满足要求的，则对应项不得分。其他形式均不得分，如以播放录屏文件、PPT等展示的方式视为无效的现场演示。</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售后服务</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驻地机构</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 xml:space="preserve"> 2</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rPr>
                <w:rFonts w:ascii="宋体" w:hAnsi="宋体"/>
                <w:kern w:val="0"/>
                <w:szCs w:val="21"/>
              </w:rPr>
            </w:pPr>
            <w:r>
              <w:rPr>
                <w:rFonts w:ascii="宋体" w:hAnsi="宋体"/>
                <w:kern w:val="0"/>
                <w:szCs w:val="21"/>
              </w:rPr>
              <w:t>需提供本项目本地化服务能力证明材料（</w:t>
            </w:r>
            <w:r>
              <w:rPr>
                <w:rFonts w:hint="eastAsia" w:ascii="宋体" w:hAnsi="宋体"/>
                <w:kern w:val="0"/>
                <w:szCs w:val="21"/>
              </w:rPr>
              <w:t>2</w:t>
            </w:r>
            <w:r>
              <w:rPr>
                <w:rFonts w:ascii="宋体" w:hAnsi="宋体"/>
                <w:kern w:val="0"/>
                <w:szCs w:val="21"/>
              </w:rPr>
              <w:t>分）：投标人应提供项目覆盖区域内的售后服务机构（分公司）名称、</w:t>
            </w:r>
            <w:r>
              <w:rPr>
                <w:rFonts w:hint="eastAsia" w:ascii="宋体" w:hAnsi="宋体"/>
                <w:kern w:val="0"/>
                <w:szCs w:val="21"/>
              </w:rPr>
              <w:t>联系人员、</w:t>
            </w:r>
            <w:r>
              <w:rPr>
                <w:rFonts w:ascii="宋体" w:hAnsi="宋体"/>
                <w:kern w:val="0"/>
                <w:szCs w:val="21"/>
              </w:rPr>
              <w:t>联系电话等清单，</w:t>
            </w:r>
            <w:r>
              <w:rPr>
                <w:rFonts w:hint="eastAsia" w:ascii="宋体" w:hAnsi="宋体"/>
                <w:kern w:val="0"/>
                <w:szCs w:val="21"/>
              </w:rPr>
              <w:t>并提供</w:t>
            </w:r>
            <w:r>
              <w:rPr>
                <w:rFonts w:ascii="宋体" w:hAnsi="宋体"/>
                <w:kern w:val="0"/>
                <w:szCs w:val="21"/>
              </w:rPr>
              <w:t>工商登记证明</w:t>
            </w:r>
            <w:r>
              <w:rPr>
                <w:rFonts w:hint="eastAsia" w:ascii="宋体" w:hAnsi="宋体"/>
                <w:kern w:val="0"/>
                <w:szCs w:val="21"/>
              </w:rPr>
              <w:t>复印件加盖投标人公章；或承诺中标后在</w:t>
            </w:r>
            <w:r>
              <w:rPr>
                <w:rFonts w:ascii="宋体" w:hAnsi="宋体"/>
                <w:kern w:val="0"/>
                <w:szCs w:val="21"/>
              </w:rPr>
              <w:t>项目覆盖区域内</w:t>
            </w:r>
            <w:r>
              <w:rPr>
                <w:rFonts w:hint="eastAsia" w:ascii="宋体" w:hAnsi="宋体"/>
                <w:kern w:val="0"/>
                <w:szCs w:val="21"/>
              </w:rPr>
              <w:t>设立</w:t>
            </w:r>
            <w:r>
              <w:rPr>
                <w:rFonts w:ascii="宋体" w:hAnsi="宋体"/>
                <w:kern w:val="0"/>
                <w:szCs w:val="21"/>
              </w:rPr>
              <w:t>售后服务机构（分公司）</w:t>
            </w:r>
            <w:r>
              <w:rPr>
                <w:rFonts w:hint="eastAsia" w:ascii="宋体" w:hAnsi="宋体"/>
                <w:kern w:val="0"/>
                <w:szCs w:val="21"/>
              </w:rPr>
              <w:t>，并提供联系人员、</w:t>
            </w:r>
            <w:r>
              <w:rPr>
                <w:rFonts w:ascii="宋体" w:hAnsi="宋体"/>
                <w:kern w:val="0"/>
                <w:szCs w:val="21"/>
              </w:rPr>
              <w:t>联系电话等清单。</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培训方案</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Cs w:val="21"/>
              </w:rPr>
            </w:pPr>
            <w:r>
              <w:rPr>
                <w:rFonts w:hint="eastAsia" w:ascii="宋体" w:hAnsi="宋体"/>
                <w:kern w:val="0"/>
                <w:sz w:val="24"/>
              </w:rPr>
              <w:t>3</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rPr>
                <w:rFonts w:ascii="宋体" w:hAnsi="宋体"/>
                <w:kern w:val="0"/>
                <w:szCs w:val="21"/>
              </w:rPr>
            </w:pPr>
            <w:r>
              <w:rPr>
                <w:rFonts w:ascii="宋体" w:hAnsi="宋体"/>
                <w:kern w:val="0"/>
                <w:szCs w:val="21"/>
              </w:rPr>
              <w:t>根据</w:t>
            </w:r>
            <w:r>
              <w:rPr>
                <w:rFonts w:hint="eastAsia" w:ascii="宋体" w:hAnsi="宋体"/>
                <w:kern w:val="0"/>
                <w:szCs w:val="21"/>
              </w:rPr>
              <w:t>投标人所提供的技术培训方案进行打分，优</w:t>
            </w:r>
            <w:r>
              <w:rPr>
                <w:rFonts w:ascii="宋体" w:hAnsi="宋体"/>
                <w:kern w:val="0"/>
                <w:szCs w:val="21"/>
              </w:rPr>
              <w:t>[</w:t>
            </w:r>
            <w:r>
              <w:rPr>
                <w:rFonts w:hint="eastAsia" w:ascii="宋体" w:hAnsi="宋体"/>
                <w:kern w:val="0"/>
                <w:szCs w:val="21"/>
              </w:rPr>
              <w:t>2.1-3</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1.1-2</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施工与售后</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3</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rPr>
                <w:rFonts w:ascii="宋体" w:hAnsi="宋体"/>
                <w:kern w:val="0"/>
                <w:szCs w:val="21"/>
              </w:rPr>
            </w:pPr>
            <w:r>
              <w:rPr>
                <w:rFonts w:ascii="宋体" w:hAnsi="宋体"/>
                <w:kern w:val="0"/>
                <w:szCs w:val="21"/>
              </w:rPr>
              <w:t>施工与售后整体服务方案评价，包括施工进度、质量管控等方面，</w:t>
            </w:r>
            <w:r>
              <w:rPr>
                <w:rFonts w:hint="eastAsia" w:ascii="宋体" w:hAnsi="宋体"/>
                <w:kern w:val="0"/>
                <w:szCs w:val="21"/>
              </w:rPr>
              <w:t>优</w:t>
            </w:r>
            <w:r>
              <w:rPr>
                <w:rFonts w:ascii="宋体" w:hAnsi="宋体"/>
                <w:kern w:val="0"/>
                <w:szCs w:val="21"/>
              </w:rPr>
              <w:t>[</w:t>
            </w:r>
            <w:r>
              <w:rPr>
                <w:rFonts w:hint="eastAsia" w:ascii="宋体" w:hAnsi="宋体"/>
                <w:kern w:val="0"/>
                <w:szCs w:val="21"/>
              </w:rPr>
              <w:t>2.1-3</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1.1-2</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bl>
    <w:p>
      <w:pPr>
        <w:spacing w:line="440" w:lineRule="exact"/>
        <w:jc w:val="left"/>
        <w:rPr>
          <w:rFonts w:hint="eastAsia" w:ascii="宋体" w:hAnsi="宋体"/>
          <w:sz w:val="24"/>
        </w:rPr>
      </w:pPr>
      <w:r>
        <w:rPr>
          <w:rFonts w:hint="eastAsia" w:ascii="宋体" w:hAnsi="宋体"/>
          <w:sz w:val="24"/>
        </w:rPr>
        <w:t>备注：</w:t>
      </w:r>
      <w:r>
        <w:rPr>
          <w:rFonts w:hint="eastAsia" w:ascii="宋体" w:hAnsi="宋体"/>
          <w:kern w:val="0"/>
          <w:szCs w:val="21"/>
        </w:rPr>
        <w:t>区综合信息指挥中心测试联系人：卢山，联系方式：18957596069</w:t>
      </w:r>
    </w:p>
    <w:p>
      <w:pPr>
        <w:pStyle w:val="2"/>
        <w:numPr>
          <w:ilvl w:val="0"/>
          <w:numId w:val="0"/>
        </w:numPr>
        <w:ind w:left="425" w:hanging="425"/>
        <w:rPr>
          <w:rFonts w:hint="eastAsia" w:ascii="宋体" w:hAnsi="宋体" w:eastAsia="宋体"/>
          <w:sz w:val="24"/>
          <w:szCs w:val="24"/>
          <w:bdr w:val="single" w:color="auto" w:sz="4" w:space="0"/>
        </w:rPr>
      </w:pPr>
      <w:r>
        <w:rPr>
          <w:rFonts w:hint="eastAsia" w:ascii="宋体" w:hAnsi="宋体" w:eastAsia="宋体"/>
          <w:sz w:val="24"/>
          <w:szCs w:val="24"/>
          <w:bdr w:val="single" w:color="auto" w:sz="4" w:space="0"/>
        </w:rPr>
        <w:t>02标</w:t>
      </w:r>
    </w:p>
    <w:p>
      <w:pPr>
        <w:sectPr>
          <w:footerReference r:id="rId9" w:type="default"/>
          <w:footerReference r:id="rId10" w:type="even"/>
          <w:pgSz w:w="11906" w:h="16838"/>
          <w:pgMar w:top="1440" w:right="1406" w:bottom="1246" w:left="1758" w:header="1021" w:footer="902" w:gutter="0"/>
          <w:cols w:space="720" w:num="1"/>
          <w:titlePg/>
          <w:docGrid w:type="lines" w:linePitch="312" w:charSpace="0"/>
        </w:sectPr>
      </w:pPr>
    </w:p>
    <w:tbl>
      <w:tblPr>
        <w:tblStyle w:val="42"/>
        <w:tblpPr w:leftFromText="180" w:rightFromText="180" w:vertAnchor="page" w:horzAnchor="margin" w:tblpXSpec="center" w:tblpY="1516"/>
        <w:tblW w:w="10064" w:type="dxa"/>
        <w:tblInd w:w="0" w:type="dxa"/>
        <w:tblLayout w:type="fixed"/>
        <w:tblCellMar>
          <w:top w:w="0" w:type="dxa"/>
          <w:left w:w="108" w:type="dxa"/>
          <w:bottom w:w="0" w:type="dxa"/>
          <w:right w:w="108" w:type="dxa"/>
        </w:tblCellMar>
      </w:tblPr>
      <w:tblGrid>
        <w:gridCol w:w="817"/>
        <w:gridCol w:w="1418"/>
        <w:gridCol w:w="708"/>
        <w:gridCol w:w="6345"/>
        <w:gridCol w:w="776"/>
      </w:tblGrid>
      <w:tr>
        <w:tblPrEx>
          <w:tblCellMar>
            <w:top w:w="0" w:type="dxa"/>
            <w:left w:w="108" w:type="dxa"/>
            <w:bottom w:w="0" w:type="dxa"/>
            <w:right w:w="108" w:type="dxa"/>
          </w:tblCellMar>
        </w:tblPrEx>
        <w:trPr>
          <w:gridAfter w:val="1"/>
          <w:wBefore w:w="0" w:type="dxa"/>
          <w:wAfter w:w="776" w:type="dxa"/>
          <w:trHeight w:val="56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评审类目</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评审内容</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分值</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b/>
                <w:bCs/>
                <w:kern w:val="0"/>
                <w:sz w:val="24"/>
              </w:rPr>
              <w:t>评分细则</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投标方案</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技术方案满足度</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hint="eastAsia" w:ascii="宋体" w:hAnsi="宋体"/>
                <w:kern w:val="0"/>
                <w:sz w:val="24"/>
              </w:rPr>
              <w:t>8</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kern w:val="0"/>
                <w:szCs w:val="21"/>
              </w:rPr>
            </w:pPr>
            <w:r>
              <w:rPr>
                <w:rFonts w:ascii="宋体" w:hAnsi="宋体"/>
                <w:kern w:val="0"/>
                <w:szCs w:val="21"/>
              </w:rPr>
              <w:t>整体技术方案设备符合招标文件要求，技术先进，性能稳定；技术上能与现有越城区公安局视频监控系统无缝集成的情况比较打分。</w:t>
            </w:r>
            <w:r>
              <w:rPr>
                <w:rFonts w:hint="eastAsia" w:ascii="宋体" w:hAnsi="宋体"/>
                <w:kern w:val="0"/>
                <w:szCs w:val="21"/>
              </w:rPr>
              <w:t>优</w:t>
            </w:r>
            <w:r>
              <w:rPr>
                <w:rFonts w:ascii="宋体" w:hAnsi="宋体"/>
                <w:kern w:val="0"/>
                <w:szCs w:val="21"/>
              </w:rPr>
              <w:t>[</w:t>
            </w:r>
            <w:r>
              <w:rPr>
                <w:rFonts w:hint="eastAsia" w:ascii="宋体" w:hAnsi="宋体"/>
                <w:kern w:val="0"/>
                <w:szCs w:val="21"/>
              </w:rPr>
              <w:t>2.1-3</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1.1-2</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p>
            <w:pPr>
              <w:widowControl/>
              <w:spacing w:line="360" w:lineRule="auto"/>
              <w:jc w:val="left"/>
              <w:rPr>
                <w:rFonts w:ascii="宋体" w:hAnsi="宋体"/>
                <w:kern w:val="0"/>
                <w:szCs w:val="21"/>
              </w:rPr>
            </w:pPr>
            <w:r>
              <w:rPr>
                <w:rFonts w:hint="eastAsia" w:ascii="宋体" w:hAnsi="宋体"/>
                <w:kern w:val="0"/>
                <w:szCs w:val="21"/>
              </w:rPr>
              <w:t>投标人对小区及社会面停车场车辆数据采集联网平台功能板块建设实施情况,需在投标方案中详细描述；优</w:t>
            </w:r>
            <w:r>
              <w:rPr>
                <w:rFonts w:ascii="宋体" w:hAnsi="宋体"/>
                <w:kern w:val="0"/>
                <w:szCs w:val="21"/>
              </w:rPr>
              <w:t>[</w:t>
            </w:r>
            <w:r>
              <w:rPr>
                <w:rFonts w:hint="eastAsia" w:ascii="宋体" w:hAnsi="宋体"/>
                <w:kern w:val="0"/>
                <w:szCs w:val="21"/>
              </w:rPr>
              <w:t>3.1-5</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1.1-3</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投标产品</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2</w:t>
            </w:r>
            <w:r>
              <w:rPr>
                <w:rFonts w:hint="eastAsia" w:ascii="宋体" w:hAnsi="宋体"/>
                <w:kern w:val="0"/>
                <w:sz w:val="24"/>
              </w:rPr>
              <w:t>0</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kern w:val="0"/>
                <w:szCs w:val="21"/>
              </w:rPr>
            </w:pPr>
            <w:r>
              <w:rPr>
                <w:rFonts w:ascii="宋体" w:hAnsi="宋体"/>
                <w:kern w:val="0"/>
                <w:szCs w:val="21"/>
              </w:rPr>
              <w:t>参与投标的品牌和型号要求核实投标文件中设备相关参数，</w:t>
            </w:r>
            <w:r>
              <w:rPr>
                <w:rFonts w:hint="eastAsia" w:ascii="宋体" w:hAnsi="宋体"/>
                <w:kern w:val="0"/>
                <w:szCs w:val="21"/>
              </w:rPr>
              <w:t>技术指标中打“▲”主要参数有负偏离的每项扣2分。其他参数指标有负偏离的，每项扣0.5分，扣完为止</w:t>
            </w:r>
            <w:r>
              <w:rPr>
                <w:rFonts w:ascii="宋体" w:hAnsi="宋体"/>
                <w:kern w:val="0"/>
                <w:szCs w:val="21"/>
              </w:rPr>
              <w:t>。相关报告</w:t>
            </w:r>
            <w:r>
              <w:rPr>
                <w:rFonts w:hint="eastAsia" w:ascii="宋体" w:hAnsi="宋体"/>
                <w:kern w:val="0"/>
                <w:szCs w:val="21"/>
              </w:rPr>
              <w:t>、功能承诺函</w:t>
            </w:r>
            <w:r>
              <w:rPr>
                <w:rFonts w:ascii="宋体" w:hAnsi="宋体"/>
                <w:kern w:val="0"/>
                <w:szCs w:val="21"/>
              </w:rPr>
              <w:t>或证书复印件加盖</w:t>
            </w:r>
            <w:r>
              <w:rPr>
                <w:rFonts w:hint="eastAsia" w:ascii="宋体" w:hAnsi="宋体"/>
                <w:kern w:val="0"/>
                <w:szCs w:val="21"/>
              </w:rPr>
              <w:t>投标人</w:t>
            </w:r>
            <w:r>
              <w:rPr>
                <w:rFonts w:ascii="宋体" w:hAnsi="宋体"/>
                <w:kern w:val="0"/>
                <w:szCs w:val="21"/>
              </w:rPr>
              <w:t>公章。</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对接</w:t>
            </w:r>
            <w:r>
              <w:rPr>
                <w:rFonts w:ascii="宋体" w:hAnsi="宋体"/>
                <w:kern w:val="0"/>
                <w:sz w:val="24"/>
              </w:rPr>
              <w:t>功能</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5</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sz w:val="24"/>
              </w:rPr>
            </w:pPr>
            <w:r>
              <w:rPr>
                <w:rFonts w:hint="eastAsia" w:ascii="宋体" w:hAnsi="宋体"/>
                <w:kern w:val="0"/>
                <w:szCs w:val="21"/>
              </w:rPr>
              <w:t>小区及社会面停车场车辆数据采集联网后台分析系统需对接绍兴市公安局越城区分局，接口协议要求为GA/T1400.x，对接方案需在投标方案中详细描述；优</w:t>
            </w:r>
            <w:r>
              <w:rPr>
                <w:rFonts w:ascii="宋体" w:hAnsi="宋体"/>
                <w:kern w:val="0"/>
                <w:szCs w:val="21"/>
              </w:rPr>
              <w:t>[</w:t>
            </w:r>
            <w:r>
              <w:rPr>
                <w:rFonts w:hint="eastAsia" w:ascii="宋体" w:hAnsi="宋体"/>
                <w:kern w:val="0"/>
                <w:szCs w:val="21"/>
              </w:rPr>
              <w:t>3.1-5</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1.1-3</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投标人实力</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项目案例</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2</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宋体" w:hAnsi="宋体" w:eastAsia="宋体"/>
                <w:sz w:val="21"/>
                <w:szCs w:val="21"/>
              </w:rPr>
            </w:pPr>
            <w:r>
              <w:rPr>
                <w:rFonts w:ascii="宋体" w:hAnsi="宋体" w:eastAsia="宋体"/>
                <w:sz w:val="21"/>
                <w:szCs w:val="21"/>
              </w:rPr>
              <w:t>投标人提供 201</w:t>
            </w:r>
            <w:r>
              <w:rPr>
                <w:rFonts w:hint="eastAsia" w:ascii="宋体" w:hAnsi="宋体" w:eastAsia="宋体"/>
                <w:sz w:val="21"/>
                <w:szCs w:val="21"/>
              </w:rPr>
              <w:t>7</w:t>
            </w:r>
            <w:r>
              <w:rPr>
                <w:rFonts w:ascii="宋体" w:hAnsi="宋体" w:eastAsia="宋体"/>
                <w:sz w:val="21"/>
                <w:szCs w:val="21"/>
              </w:rPr>
              <w:t>年1月以来</w:t>
            </w:r>
            <w:r>
              <w:rPr>
                <w:rFonts w:hint="eastAsia" w:ascii="宋体" w:hAnsi="宋体" w:eastAsia="宋体"/>
                <w:sz w:val="21"/>
                <w:szCs w:val="21"/>
              </w:rPr>
              <w:t>同类</w:t>
            </w:r>
            <w:r>
              <w:rPr>
                <w:rFonts w:ascii="宋体" w:hAnsi="宋体" w:eastAsia="宋体"/>
                <w:sz w:val="21"/>
                <w:szCs w:val="21"/>
              </w:rPr>
              <w:t>项目，每个项目合同得</w:t>
            </w:r>
            <w:r>
              <w:rPr>
                <w:rFonts w:hint="eastAsia" w:ascii="宋体" w:hAnsi="宋体" w:eastAsia="宋体"/>
                <w:sz w:val="21"/>
                <w:szCs w:val="21"/>
              </w:rPr>
              <w:t>1</w:t>
            </w:r>
            <w:r>
              <w:rPr>
                <w:rFonts w:ascii="宋体" w:hAnsi="宋体" w:eastAsia="宋体"/>
                <w:sz w:val="21"/>
                <w:szCs w:val="21"/>
              </w:rPr>
              <w:t>分，最高得</w:t>
            </w:r>
            <w:r>
              <w:rPr>
                <w:rFonts w:hint="eastAsia" w:ascii="宋体" w:hAnsi="宋体" w:eastAsia="宋体"/>
                <w:sz w:val="21"/>
                <w:szCs w:val="21"/>
              </w:rPr>
              <w:t>2</w:t>
            </w:r>
            <w:r>
              <w:rPr>
                <w:rFonts w:ascii="宋体" w:hAnsi="宋体" w:eastAsia="宋体"/>
                <w:sz w:val="21"/>
                <w:szCs w:val="21"/>
              </w:rPr>
              <w:t>分。</w:t>
            </w:r>
            <w:r>
              <w:rPr>
                <w:rFonts w:ascii="宋体" w:hAnsi="宋体" w:eastAsia="宋体"/>
                <w:b/>
                <w:sz w:val="21"/>
                <w:szCs w:val="21"/>
              </w:rPr>
              <w:t>投标文件中装订合同复印件</w:t>
            </w:r>
            <w:r>
              <w:rPr>
                <w:rFonts w:hint="eastAsia" w:ascii="宋体" w:hAnsi="宋体" w:eastAsia="宋体"/>
                <w:b/>
                <w:sz w:val="21"/>
                <w:szCs w:val="21"/>
              </w:rPr>
              <w:t>加盖投标人公章。</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链路及光纤资源</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2</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宋体" w:hAnsi="宋体" w:eastAsia="宋体"/>
                <w:sz w:val="21"/>
                <w:szCs w:val="21"/>
              </w:rPr>
            </w:pPr>
            <w:r>
              <w:rPr>
                <w:rFonts w:ascii="宋体" w:hAnsi="宋体" w:eastAsia="宋体"/>
                <w:sz w:val="21"/>
                <w:szCs w:val="21"/>
              </w:rPr>
              <w:t>投标人若采用自有管线组网的</w:t>
            </w:r>
            <w:r>
              <w:rPr>
                <w:rFonts w:hint="eastAsia" w:ascii="宋体" w:hAnsi="宋体" w:eastAsia="宋体"/>
                <w:sz w:val="21"/>
                <w:szCs w:val="21"/>
              </w:rPr>
              <w:t>得2分，但</w:t>
            </w:r>
            <w:r>
              <w:rPr>
                <w:rFonts w:ascii="宋体" w:hAnsi="宋体" w:eastAsia="宋体"/>
                <w:sz w:val="21"/>
                <w:szCs w:val="21"/>
              </w:rPr>
              <w:t>需持有固定网通信运营商资格</w:t>
            </w:r>
            <w:r>
              <w:rPr>
                <w:rFonts w:hint="eastAsia" w:ascii="宋体" w:hAnsi="宋体" w:eastAsia="宋体"/>
                <w:sz w:val="21"/>
                <w:szCs w:val="21"/>
              </w:rPr>
              <w:t>或</w:t>
            </w:r>
            <w:r>
              <w:rPr>
                <w:rFonts w:ascii="宋体" w:hAnsi="宋体" w:eastAsia="宋体"/>
                <w:sz w:val="21"/>
                <w:szCs w:val="21"/>
              </w:rPr>
              <w:t>有线电视网络运营商证明文件，提供相关证明并加盖投标人公章</w:t>
            </w:r>
            <w:r>
              <w:rPr>
                <w:rFonts w:hint="eastAsia" w:ascii="宋体" w:hAnsi="宋体" w:eastAsia="宋体"/>
                <w:sz w:val="21"/>
                <w:szCs w:val="21"/>
              </w:rPr>
              <w:t>，未提供证明得0分</w:t>
            </w:r>
            <w:r>
              <w:rPr>
                <w:rFonts w:ascii="宋体" w:hAnsi="宋体" w:eastAsia="宋体"/>
                <w:sz w:val="21"/>
                <w:szCs w:val="21"/>
              </w:rPr>
              <w:t>；投标</w:t>
            </w:r>
            <w:r>
              <w:rPr>
                <w:rFonts w:hint="eastAsia" w:ascii="宋体" w:hAnsi="宋体" w:eastAsia="宋体"/>
                <w:sz w:val="21"/>
                <w:szCs w:val="21"/>
              </w:rPr>
              <w:t>人</w:t>
            </w:r>
            <w:r>
              <w:rPr>
                <w:rFonts w:ascii="宋体" w:hAnsi="宋体" w:eastAsia="宋体"/>
                <w:sz w:val="21"/>
                <w:szCs w:val="21"/>
              </w:rPr>
              <w:t>没有自有管线，但与管线提供商签订意向协议</w:t>
            </w:r>
            <w:r>
              <w:rPr>
                <w:rFonts w:hint="eastAsia" w:ascii="宋体" w:hAnsi="宋体" w:eastAsia="宋体"/>
                <w:sz w:val="21"/>
                <w:szCs w:val="21"/>
              </w:rPr>
              <w:t>得1分</w:t>
            </w:r>
            <w:r>
              <w:rPr>
                <w:rFonts w:ascii="宋体" w:hAnsi="宋体" w:eastAsia="宋体"/>
                <w:sz w:val="21"/>
                <w:szCs w:val="21"/>
              </w:rPr>
              <w:t>，也需</w:t>
            </w:r>
            <w:r>
              <w:rPr>
                <w:rFonts w:hint="eastAsia" w:ascii="宋体" w:hAnsi="宋体" w:eastAsia="宋体"/>
                <w:sz w:val="21"/>
                <w:szCs w:val="21"/>
              </w:rPr>
              <w:t>提供该</w:t>
            </w:r>
            <w:r>
              <w:rPr>
                <w:rFonts w:ascii="宋体" w:hAnsi="宋体" w:eastAsia="宋体"/>
                <w:sz w:val="21"/>
                <w:szCs w:val="21"/>
              </w:rPr>
              <w:t>固定网通信运营商</w:t>
            </w:r>
            <w:r>
              <w:rPr>
                <w:rFonts w:hint="eastAsia" w:ascii="宋体" w:hAnsi="宋体" w:eastAsia="宋体"/>
                <w:sz w:val="21"/>
                <w:szCs w:val="21"/>
              </w:rPr>
              <w:t>或</w:t>
            </w:r>
            <w:r>
              <w:rPr>
                <w:rFonts w:ascii="宋体" w:hAnsi="宋体" w:eastAsia="宋体"/>
                <w:sz w:val="21"/>
                <w:szCs w:val="21"/>
              </w:rPr>
              <w:t>有线电视网络运营商资格证明文件，提供相应证明并加盖投标人公章。其中，意向协议须在投标文件中装订复印件</w:t>
            </w:r>
            <w:r>
              <w:rPr>
                <w:rFonts w:hint="eastAsia" w:ascii="宋体" w:hAnsi="宋体" w:eastAsia="宋体"/>
                <w:sz w:val="21"/>
                <w:szCs w:val="21"/>
              </w:rPr>
              <w:t>，未提供证明得0分。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技术实力</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4</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宋体" w:hAnsi="宋体" w:eastAsia="宋体"/>
                <w:sz w:val="21"/>
                <w:szCs w:val="21"/>
              </w:rPr>
            </w:pPr>
            <w:r>
              <w:rPr>
                <w:rFonts w:hint="eastAsia" w:ascii="宋体" w:hAnsi="宋体" w:eastAsia="宋体"/>
                <w:sz w:val="21"/>
                <w:szCs w:val="21"/>
              </w:rPr>
              <w:t>投标人拟派项目团队人员中：</w:t>
            </w:r>
          </w:p>
          <w:p>
            <w:pPr>
              <w:pStyle w:val="193"/>
              <w:widowControl/>
              <w:spacing w:line="360" w:lineRule="auto"/>
              <w:rPr>
                <w:rFonts w:ascii="宋体" w:hAnsi="宋体" w:eastAsia="宋体"/>
                <w:sz w:val="21"/>
                <w:szCs w:val="21"/>
              </w:rPr>
            </w:pPr>
            <w:r>
              <w:rPr>
                <w:rFonts w:hint="eastAsia" w:ascii="宋体" w:hAnsi="宋体" w:eastAsia="宋体"/>
                <w:sz w:val="21"/>
                <w:szCs w:val="21"/>
              </w:rPr>
              <w:t>1.具有信息系统项目管理师得</w:t>
            </w:r>
            <w:r>
              <w:rPr>
                <w:rFonts w:ascii="宋体" w:hAnsi="宋体" w:eastAsia="宋体"/>
                <w:sz w:val="21"/>
                <w:szCs w:val="21"/>
              </w:rPr>
              <w:t>1</w:t>
            </w:r>
            <w:r>
              <w:rPr>
                <w:rFonts w:hint="eastAsia" w:ascii="宋体" w:hAnsi="宋体" w:eastAsia="宋体"/>
                <w:sz w:val="21"/>
                <w:szCs w:val="21"/>
              </w:rPr>
              <w:t>分。</w:t>
            </w:r>
          </w:p>
          <w:p>
            <w:pPr>
              <w:pStyle w:val="193"/>
              <w:widowControl/>
              <w:spacing w:line="360" w:lineRule="auto"/>
              <w:rPr>
                <w:rFonts w:ascii="宋体" w:hAnsi="宋体" w:eastAsia="宋体"/>
                <w:sz w:val="21"/>
                <w:szCs w:val="21"/>
              </w:rPr>
            </w:pPr>
            <w:r>
              <w:rPr>
                <w:rFonts w:hint="eastAsia" w:ascii="宋体" w:hAnsi="宋体" w:eastAsia="宋体"/>
                <w:sz w:val="21"/>
                <w:szCs w:val="21"/>
              </w:rPr>
              <w:t>2.具有系统集成项目管理工程师得1分。</w:t>
            </w:r>
          </w:p>
          <w:p>
            <w:pPr>
              <w:pStyle w:val="193"/>
              <w:widowControl/>
              <w:spacing w:line="360" w:lineRule="auto"/>
              <w:rPr>
                <w:rFonts w:ascii="宋体" w:hAnsi="宋体" w:eastAsia="宋体"/>
                <w:sz w:val="21"/>
                <w:szCs w:val="21"/>
              </w:rPr>
            </w:pPr>
            <w:r>
              <w:rPr>
                <w:rFonts w:hint="eastAsia" w:ascii="宋体" w:hAnsi="宋体" w:eastAsia="宋体"/>
                <w:sz w:val="21"/>
                <w:szCs w:val="21"/>
              </w:rPr>
              <w:t>3.具有OCP工程师得1分。</w:t>
            </w:r>
          </w:p>
          <w:p>
            <w:pPr>
              <w:pStyle w:val="193"/>
              <w:widowControl/>
              <w:spacing w:line="360" w:lineRule="auto"/>
              <w:rPr>
                <w:rFonts w:ascii="宋体" w:hAnsi="宋体" w:eastAsia="宋体"/>
                <w:sz w:val="21"/>
                <w:szCs w:val="21"/>
              </w:rPr>
            </w:pPr>
            <w:r>
              <w:rPr>
                <w:rFonts w:hint="eastAsia" w:ascii="宋体" w:hAnsi="宋体" w:eastAsia="宋体"/>
                <w:sz w:val="21"/>
                <w:szCs w:val="21"/>
              </w:rPr>
              <w:t>4.具有软件工程师得1分。</w:t>
            </w:r>
          </w:p>
          <w:p>
            <w:pPr>
              <w:pStyle w:val="193"/>
              <w:widowControl/>
              <w:spacing w:line="360" w:lineRule="auto"/>
              <w:rPr>
                <w:rFonts w:ascii="仿宋_GB2312" w:hAnsi="宋体" w:eastAsia="仿宋_GB2312"/>
                <w:sz w:val="21"/>
                <w:szCs w:val="21"/>
              </w:rPr>
            </w:pPr>
            <w:r>
              <w:rPr>
                <w:rFonts w:hint="eastAsia" w:ascii="宋体" w:hAnsi="宋体" w:eastAsia="宋体"/>
                <w:sz w:val="21"/>
                <w:szCs w:val="21"/>
              </w:rPr>
              <w:t>（以上所列的团队人员须为投标单位在职员工，投标文件中提供证书和近3个月本单位社保证明的复印件加盖投标人公章）</w:t>
            </w:r>
          </w:p>
        </w:tc>
      </w:tr>
      <w:tr>
        <w:tblPrEx>
          <w:tblCellMar>
            <w:top w:w="0" w:type="dxa"/>
            <w:left w:w="108" w:type="dxa"/>
            <w:bottom w:w="0" w:type="dxa"/>
            <w:right w:w="108" w:type="dxa"/>
          </w:tblCellMar>
        </w:tblPrEx>
        <w:trPr>
          <w:wBefore w:w="0" w:type="dxa"/>
          <w:wAfter w:w="0" w:type="dxa"/>
          <w:trHeight w:val="567" w:hRule="atLeast"/>
        </w:trPr>
        <w:tc>
          <w:tcPr>
            <w:tcW w:w="8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hint="eastAsia" w:ascii="宋体" w:hAnsi="宋体"/>
                <w:bCs/>
                <w:kern w:val="0"/>
                <w:sz w:val="24"/>
              </w:rPr>
              <w:t>施工组织</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仿宋_GB2312" w:hAnsi="宋体" w:eastAsia="仿宋_GB2312"/>
                <w:sz w:val="18"/>
                <w:szCs w:val="18"/>
              </w:rPr>
            </w:pPr>
            <w:r>
              <w:rPr>
                <w:rFonts w:hint="eastAsia" w:ascii="宋体" w:hAnsi="宋体"/>
                <w:kern w:val="0"/>
                <w:sz w:val="24"/>
              </w:rPr>
              <w:t>3</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pStyle w:val="193"/>
              <w:widowControl/>
              <w:spacing w:line="360" w:lineRule="auto"/>
              <w:rPr>
                <w:rFonts w:ascii="仿宋_GB2312" w:hAnsi="宋体" w:eastAsia="仿宋_GB2312"/>
                <w:sz w:val="18"/>
                <w:szCs w:val="18"/>
              </w:rPr>
            </w:pPr>
            <w:r>
              <w:rPr>
                <w:rFonts w:hint="eastAsia" w:ascii="宋体" w:hAnsi="宋体" w:eastAsia="宋体"/>
                <w:sz w:val="21"/>
                <w:szCs w:val="21"/>
              </w:rPr>
              <w:t>项目施工组织计划科学合理，管理措施到位；由评标委员会对投标单位进行横向对比，</w:t>
            </w:r>
            <w:r>
              <w:rPr>
                <w:rFonts w:hint="eastAsia" w:ascii="宋体" w:hAnsi="宋体" w:eastAsia="宋体" w:cs="宋体"/>
                <w:sz w:val="21"/>
                <w:szCs w:val="21"/>
              </w:rPr>
              <w:t>优</w:t>
            </w:r>
            <w:r>
              <w:rPr>
                <w:rFonts w:ascii="宋体" w:hAnsi="宋体"/>
                <w:sz w:val="21"/>
                <w:szCs w:val="21"/>
              </w:rPr>
              <w:t>[</w:t>
            </w:r>
            <w:r>
              <w:rPr>
                <w:rFonts w:hint="eastAsia" w:ascii="宋体" w:hAnsi="宋体" w:eastAsia="宋体"/>
                <w:szCs w:val="21"/>
              </w:rPr>
              <w:t>2.1</w:t>
            </w:r>
            <w:r>
              <w:rPr>
                <w:rFonts w:hint="eastAsia" w:ascii="宋体" w:hAnsi="宋体"/>
                <w:sz w:val="21"/>
                <w:szCs w:val="21"/>
              </w:rPr>
              <w:t>-</w:t>
            </w:r>
            <w:r>
              <w:rPr>
                <w:rFonts w:hint="eastAsia" w:ascii="宋体" w:hAnsi="宋体"/>
                <w:szCs w:val="21"/>
              </w:rPr>
              <w:t>3</w:t>
            </w:r>
            <w:r>
              <w:rPr>
                <w:rFonts w:ascii="宋体" w:hAnsi="宋体"/>
                <w:sz w:val="21"/>
                <w:szCs w:val="21"/>
              </w:rPr>
              <w:t>]</w:t>
            </w:r>
            <w:r>
              <w:rPr>
                <w:rFonts w:hint="eastAsia" w:ascii="宋体" w:hAnsi="宋体" w:eastAsia="宋体" w:cs="宋体"/>
                <w:sz w:val="21"/>
                <w:szCs w:val="21"/>
              </w:rPr>
              <w:t>分，良</w:t>
            </w:r>
            <w:r>
              <w:rPr>
                <w:rFonts w:ascii="宋体" w:hAnsi="宋体"/>
                <w:sz w:val="21"/>
                <w:szCs w:val="21"/>
              </w:rPr>
              <w:t>[</w:t>
            </w:r>
            <w:r>
              <w:rPr>
                <w:rFonts w:hint="eastAsia" w:ascii="宋体" w:hAnsi="宋体" w:eastAsia="宋体"/>
                <w:szCs w:val="21"/>
              </w:rPr>
              <w:t>1.1</w:t>
            </w:r>
            <w:r>
              <w:rPr>
                <w:rFonts w:hint="eastAsia" w:ascii="宋体" w:hAnsi="宋体"/>
                <w:sz w:val="21"/>
                <w:szCs w:val="21"/>
              </w:rPr>
              <w:t>-</w:t>
            </w:r>
            <w:r>
              <w:rPr>
                <w:rFonts w:hint="eastAsia" w:ascii="宋体" w:hAnsi="宋体"/>
                <w:szCs w:val="21"/>
              </w:rPr>
              <w:t>2</w:t>
            </w:r>
            <w:r>
              <w:rPr>
                <w:rFonts w:ascii="宋体" w:hAnsi="宋体"/>
                <w:sz w:val="21"/>
                <w:szCs w:val="21"/>
              </w:rPr>
              <w:t>]</w:t>
            </w:r>
            <w:r>
              <w:rPr>
                <w:rFonts w:hint="eastAsia" w:ascii="宋体" w:hAnsi="宋体" w:eastAsia="宋体" w:cs="宋体"/>
                <w:sz w:val="21"/>
                <w:szCs w:val="21"/>
              </w:rPr>
              <w:t>分，一般</w:t>
            </w:r>
            <w:r>
              <w:rPr>
                <w:rFonts w:ascii="宋体" w:hAnsi="宋体"/>
                <w:sz w:val="21"/>
                <w:szCs w:val="21"/>
              </w:rPr>
              <w:t>[</w:t>
            </w:r>
            <w:r>
              <w:rPr>
                <w:rFonts w:hint="eastAsia" w:ascii="宋体" w:hAnsi="宋体"/>
                <w:sz w:val="21"/>
                <w:szCs w:val="21"/>
              </w:rPr>
              <w:t>0-1</w:t>
            </w:r>
            <w:r>
              <w:rPr>
                <w:rFonts w:ascii="宋体" w:hAnsi="宋体"/>
                <w:sz w:val="21"/>
                <w:szCs w:val="21"/>
              </w:rPr>
              <w:t>]</w:t>
            </w:r>
            <w:r>
              <w:rPr>
                <w:rFonts w:hint="eastAsia" w:ascii="宋体" w:hAnsi="宋体" w:eastAsia="宋体" w:cs="宋体"/>
                <w:sz w:val="21"/>
                <w:szCs w:val="21"/>
              </w:rPr>
              <w:t>分。</w:t>
            </w:r>
          </w:p>
        </w:tc>
        <w:tc>
          <w:tcPr>
            <w:tcW w:w="776"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软件和功能</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hint="eastAsia" w:ascii="宋体" w:hAnsi="宋体"/>
                <w:kern w:val="0"/>
                <w:sz w:val="24"/>
              </w:rPr>
              <w:t>系统演示</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Cs/>
                <w:kern w:val="0"/>
                <w:szCs w:val="21"/>
              </w:rPr>
            </w:pPr>
            <w:r>
              <w:rPr>
                <w:rFonts w:hint="eastAsia" w:ascii="宋体" w:hAnsi="宋体"/>
                <w:bCs/>
                <w:kern w:val="0"/>
                <w:szCs w:val="21"/>
              </w:rPr>
              <w:t>18</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bCs/>
                <w:kern w:val="0"/>
                <w:szCs w:val="21"/>
              </w:rPr>
            </w:pPr>
            <w:r>
              <w:rPr>
                <w:rFonts w:hint="eastAsia" w:ascii="宋体" w:hAnsi="宋体"/>
                <w:bCs/>
                <w:kern w:val="0"/>
                <w:szCs w:val="21"/>
              </w:rPr>
              <w:t>投标人根据本项目招标要求并结合自身情况，提供本项目拟建的小区及社会面停车场车辆数据采集联网，进行软件模拟功能现场演示，由评标委员会根据部分软件功能实现情况按以下标准打分：</w:t>
            </w:r>
          </w:p>
          <w:p>
            <w:pPr>
              <w:widowControl/>
              <w:spacing w:line="360" w:lineRule="auto"/>
              <w:jc w:val="left"/>
              <w:rPr>
                <w:rFonts w:ascii="宋体" w:hAnsi="宋体"/>
                <w:bCs/>
                <w:kern w:val="0"/>
                <w:szCs w:val="21"/>
              </w:rPr>
            </w:pPr>
            <w:r>
              <w:rPr>
                <w:rFonts w:hint="eastAsia" w:ascii="宋体" w:hAnsi="宋体"/>
                <w:bCs/>
                <w:kern w:val="0"/>
                <w:szCs w:val="21"/>
              </w:rPr>
              <w:t xml:space="preserve">1.肇事车、套牌车、违法车追踪布控。 </w:t>
            </w:r>
            <w:r>
              <w:rPr>
                <w:rFonts w:ascii="宋体" w:hAnsi="宋体"/>
                <w:bCs/>
                <w:kern w:val="0"/>
                <w:szCs w:val="21"/>
              </w:rPr>
              <w:t>(</w:t>
            </w:r>
            <w:r>
              <w:rPr>
                <w:rFonts w:hint="eastAsia" w:ascii="宋体" w:hAnsi="宋体"/>
                <w:bCs/>
                <w:kern w:val="0"/>
                <w:szCs w:val="21"/>
              </w:rPr>
              <w:t>0--4分)</w:t>
            </w:r>
          </w:p>
          <w:p>
            <w:pPr>
              <w:widowControl/>
              <w:spacing w:line="360" w:lineRule="auto"/>
              <w:jc w:val="left"/>
              <w:rPr>
                <w:rFonts w:ascii="宋体" w:hAnsi="宋体"/>
                <w:bCs/>
                <w:kern w:val="0"/>
                <w:szCs w:val="21"/>
              </w:rPr>
            </w:pPr>
            <w:r>
              <w:rPr>
                <w:rFonts w:ascii="宋体" w:hAnsi="宋体"/>
                <w:bCs/>
                <w:kern w:val="0"/>
                <w:szCs w:val="21"/>
              </w:rPr>
              <w:t>2.</w:t>
            </w:r>
            <w:r>
              <w:rPr>
                <w:rFonts w:hint="eastAsia" w:ascii="宋体" w:hAnsi="宋体"/>
                <w:bCs/>
                <w:kern w:val="0"/>
                <w:szCs w:val="21"/>
              </w:rPr>
              <w:t xml:space="preserve">车辆行为、落脚点、轨迹查询分析。  </w:t>
            </w:r>
            <w:r>
              <w:rPr>
                <w:rFonts w:ascii="宋体" w:hAnsi="宋体"/>
                <w:bCs/>
                <w:kern w:val="0"/>
                <w:szCs w:val="21"/>
              </w:rPr>
              <w:t>(</w:t>
            </w:r>
            <w:r>
              <w:rPr>
                <w:rFonts w:hint="eastAsia" w:ascii="宋体" w:hAnsi="宋体"/>
                <w:bCs/>
                <w:kern w:val="0"/>
                <w:szCs w:val="21"/>
              </w:rPr>
              <w:t>0--4分)</w:t>
            </w:r>
          </w:p>
          <w:p>
            <w:pPr>
              <w:widowControl/>
              <w:spacing w:line="360" w:lineRule="auto"/>
              <w:jc w:val="left"/>
              <w:rPr>
                <w:rFonts w:ascii="宋体" w:hAnsi="宋体"/>
                <w:bCs/>
                <w:kern w:val="0"/>
                <w:szCs w:val="21"/>
              </w:rPr>
            </w:pPr>
            <w:r>
              <w:rPr>
                <w:rFonts w:ascii="宋体" w:hAnsi="宋体"/>
                <w:bCs/>
                <w:kern w:val="0"/>
                <w:szCs w:val="21"/>
              </w:rPr>
              <w:t>3.</w:t>
            </w:r>
            <w:r>
              <w:rPr>
                <w:rFonts w:hint="eastAsia" w:ascii="宋体" w:hAnsi="宋体"/>
                <w:bCs/>
                <w:kern w:val="0"/>
                <w:szCs w:val="21"/>
              </w:rPr>
              <w:t>数据实时推送。</w:t>
            </w:r>
            <w:r>
              <w:rPr>
                <w:rFonts w:ascii="宋体" w:hAnsi="宋体"/>
                <w:bCs/>
                <w:kern w:val="0"/>
                <w:szCs w:val="21"/>
              </w:rPr>
              <w:t>(</w:t>
            </w:r>
            <w:r>
              <w:rPr>
                <w:rFonts w:hint="eastAsia" w:ascii="宋体" w:hAnsi="宋体"/>
                <w:bCs/>
                <w:kern w:val="0"/>
                <w:szCs w:val="21"/>
              </w:rPr>
              <w:t>0--4分)</w:t>
            </w:r>
          </w:p>
          <w:p>
            <w:pPr>
              <w:widowControl/>
              <w:spacing w:line="360" w:lineRule="auto"/>
              <w:jc w:val="left"/>
              <w:rPr>
                <w:rFonts w:ascii="宋体" w:hAnsi="宋体"/>
                <w:bCs/>
                <w:kern w:val="0"/>
                <w:szCs w:val="21"/>
              </w:rPr>
            </w:pPr>
            <w:r>
              <w:rPr>
                <w:rFonts w:ascii="宋体" w:hAnsi="宋体"/>
                <w:bCs/>
                <w:kern w:val="0"/>
                <w:szCs w:val="21"/>
              </w:rPr>
              <w:t>4.</w:t>
            </w:r>
            <w:r>
              <w:rPr>
                <w:rFonts w:hint="eastAsia" w:ascii="宋体" w:hAnsi="宋体"/>
                <w:bCs/>
                <w:kern w:val="0"/>
                <w:szCs w:val="21"/>
              </w:rPr>
              <w:t>前端设备监测报警、后端系统定时巡检。</w:t>
            </w:r>
            <w:r>
              <w:rPr>
                <w:rFonts w:ascii="宋体" w:hAnsi="宋体"/>
                <w:bCs/>
                <w:kern w:val="0"/>
                <w:szCs w:val="21"/>
              </w:rPr>
              <w:t>(</w:t>
            </w:r>
            <w:r>
              <w:rPr>
                <w:rFonts w:hint="eastAsia" w:ascii="宋体" w:hAnsi="宋体"/>
                <w:bCs/>
                <w:kern w:val="0"/>
                <w:szCs w:val="21"/>
              </w:rPr>
              <w:t>0--3分)</w:t>
            </w:r>
          </w:p>
          <w:p>
            <w:pPr>
              <w:widowControl/>
              <w:spacing w:line="360" w:lineRule="auto"/>
              <w:jc w:val="left"/>
              <w:rPr>
                <w:rFonts w:ascii="宋体" w:hAnsi="宋体"/>
                <w:bCs/>
                <w:kern w:val="0"/>
                <w:szCs w:val="21"/>
              </w:rPr>
            </w:pPr>
            <w:r>
              <w:rPr>
                <w:rFonts w:hint="eastAsia" w:ascii="宋体" w:hAnsi="宋体"/>
                <w:bCs/>
                <w:kern w:val="0"/>
                <w:szCs w:val="21"/>
              </w:rPr>
              <w:t>5.扩展功能 (根据采购方需要定制功能)。</w:t>
            </w:r>
            <w:r>
              <w:rPr>
                <w:rFonts w:ascii="宋体" w:hAnsi="宋体"/>
                <w:bCs/>
                <w:kern w:val="0"/>
                <w:szCs w:val="21"/>
              </w:rPr>
              <w:t>(</w:t>
            </w:r>
            <w:r>
              <w:rPr>
                <w:rFonts w:hint="eastAsia" w:ascii="宋体" w:hAnsi="宋体"/>
                <w:bCs/>
                <w:kern w:val="0"/>
                <w:szCs w:val="21"/>
              </w:rPr>
              <w:t>0--3分)</w:t>
            </w:r>
            <w:r>
              <w:rPr>
                <w:rFonts w:ascii="宋体" w:hAnsi="宋体"/>
                <w:bCs/>
                <w:kern w:val="0"/>
                <w:szCs w:val="21"/>
              </w:rPr>
              <w:t xml:space="preserve"> </w:t>
            </w:r>
          </w:p>
          <w:p>
            <w:pPr>
              <w:widowControl/>
              <w:spacing w:line="360" w:lineRule="auto"/>
              <w:jc w:val="left"/>
              <w:rPr>
                <w:rFonts w:ascii="宋体" w:hAnsi="宋体"/>
                <w:bCs/>
                <w:kern w:val="0"/>
                <w:szCs w:val="21"/>
              </w:rPr>
            </w:pPr>
            <w:r>
              <w:rPr>
                <w:rFonts w:hint="eastAsia" w:ascii="宋体" w:hAnsi="宋体"/>
                <w:bCs/>
                <w:kern w:val="0"/>
                <w:szCs w:val="21"/>
              </w:rPr>
              <w:t>注：系统演示时间为15分钟，演示环境为</w:t>
            </w:r>
            <w:r>
              <w:rPr>
                <w:rFonts w:ascii="宋体" w:hAnsi="宋体"/>
                <w:bCs/>
                <w:kern w:val="0"/>
                <w:szCs w:val="21"/>
              </w:rPr>
              <w:t>运营商或有线电视网络运营商</w:t>
            </w:r>
            <w:r>
              <w:rPr>
                <w:rFonts w:hint="eastAsia" w:ascii="宋体" w:hAnsi="宋体"/>
                <w:bCs/>
                <w:kern w:val="0"/>
                <w:szCs w:val="21"/>
              </w:rPr>
              <w:t>城域网（VPN），投标人应在投标时自备演示设备（带接口的笔记本电脑、U盘等）对“车辆数据采集联网平台（软件功能模拟）”进行现场演示，未进行现场演示或演示功能不满足要求的，则对应项不得分。其他形式均不得分，如以播放录屏文件、PPT等展示的方式视为无效的现场演示。</w:t>
            </w:r>
          </w:p>
        </w:tc>
      </w:tr>
      <w:tr>
        <w:tblPrEx>
          <w:tblCellMar>
            <w:top w:w="0" w:type="dxa"/>
            <w:left w:w="108" w:type="dxa"/>
            <w:bottom w:w="0" w:type="dxa"/>
            <w:right w:w="108" w:type="dxa"/>
          </w:tblCellMar>
        </w:tblPrEx>
        <w:trPr>
          <w:gridAfter w:val="1"/>
          <w:wBefore w:w="0" w:type="dxa"/>
          <w:wAfter w:w="776" w:type="dxa"/>
          <w:trHeight w:val="2210" w:hRule="atLeast"/>
        </w:trPr>
        <w:tc>
          <w:tcPr>
            <w:tcW w:w="817"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r>
              <w:rPr>
                <w:rFonts w:ascii="宋体" w:hAnsi="宋体"/>
                <w:kern w:val="0"/>
                <w:sz w:val="24"/>
              </w:rPr>
              <w:t>售后服务</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驻地机构</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 xml:space="preserve"> 2</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rPr>
                <w:rFonts w:ascii="宋体" w:hAnsi="宋体"/>
                <w:kern w:val="0"/>
                <w:szCs w:val="21"/>
              </w:rPr>
            </w:pPr>
            <w:r>
              <w:rPr>
                <w:rFonts w:ascii="宋体" w:hAnsi="宋体"/>
                <w:kern w:val="0"/>
                <w:szCs w:val="21"/>
              </w:rPr>
              <w:t>需提供本项目本地化服务能力证明材料（</w:t>
            </w:r>
            <w:r>
              <w:rPr>
                <w:rFonts w:hint="eastAsia" w:ascii="宋体" w:hAnsi="宋体"/>
                <w:kern w:val="0"/>
                <w:szCs w:val="21"/>
              </w:rPr>
              <w:t>2</w:t>
            </w:r>
            <w:r>
              <w:rPr>
                <w:rFonts w:ascii="宋体" w:hAnsi="宋体"/>
                <w:kern w:val="0"/>
                <w:szCs w:val="21"/>
              </w:rPr>
              <w:t>分）：投标人应提供项目覆盖区域内的售后服务机构（分公司）名称、</w:t>
            </w:r>
            <w:r>
              <w:rPr>
                <w:rFonts w:hint="eastAsia" w:ascii="宋体" w:hAnsi="宋体"/>
                <w:kern w:val="0"/>
                <w:szCs w:val="21"/>
              </w:rPr>
              <w:t>联系人员、</w:t>
            </w:r>
            <w:r>
              <w:rPr>
                <w:rFonts w:ascii="宋体" w:hAnsi="宋体"/>
                <w:kern w:val="0"/>
                <w:szCs w:val="21"/>
              </w:rPr>
              <w:t>联系电话等清单，</w:t>
            </w:r>
            <w:r>
              <w:rPr>
                <w:rFonts w:hint="eastAsia" w:ascii="宋体" w:hAnsi="宋体"/>
                <w:kern w:val="0"/>
                <w:szCs w:val="21"/>
              </w:rPr>
              <w:t>并提供</w:t>
            </w:r>
            <w:r>
              <w:rPr>
                <w:rFonts w:ascii="宋体" w:hAnsi="宋体"/>
                <w:kern w:val="0"/>
                <w:szCs w:val="21"/>
              </w:rPr>
              <w:t>工商登记证明</w:t>
            </w:r>
            <w:r>
              <w:rPr>
                <w:rFonts w:hint="eastAsia" w:ascii="宋体" w:hAnsi="宋体"/>
                <w:kern w:val="0"/>
                <w:szCs w:val="21"/>
              </w:rPr>
              <w:t>复印件；或承诺中标后在</w:t>
            </w:r>
            <w:r>
              <w:rPr>
                <w:rFonts w:ascii="宋体" w:hAnsi="宋体"/>
                <w:kern w:val="0"/>
                <w:szCs w:val="21"/>
              </w:rPr>
              <w:t>项目覆盖区域内</w:t>
            </w:r>
            <w:r>
              <w:rPr>
                <w:rFonts w:hint="eastAsia" w:ascii="宋体" w:hAnsi="宋体"/>
                <w:kern w:val="0"/>
                <w:szCs w:val="21"/>
              </w:rPr>
              <w:t>设立</w:t>
            </w:r>
            <w:r>
              <w:rPr>
                <w:rFonts w:ascii="宋体" w:hAnsi="宋体"/>
                <w:kern w:val="0"/>
                <w:szCs w:val="21"/>
              </w:rPr>
              <w:t>售后服务机构（分公司）</w:t>
            </w:r>
            <w:r>
              <w:rPr>
                <w:rFonts w:hint="eastAsia" w:ascii="宋体" w:hAnsi="宋体"/>
                <w:kern w:val="0"/>
                <w:szCs w:val="21"/>
              </w:rPr>
              <w:t>，并提供联系人员、</w:t>
            </w:r>
            <w:r>
              <w:rPr>
                <w:rFonts w:ascii="宋体" w:hAnsi="宋体"/>
                <w:kern w:val="0"/>
                <w:szCs w:val="21"/>
              </w:rPr>
              <w:t>联系电话等清单。</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培训方案</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Cs w:val="21"/>
              </w:rPr>
            </w:pPr>
            <w:r>
              <w:rPr>
                <w:rFonts w:hint="eastAsia" w:ascii="宋体" w:hAnsi="宋体"/>
                <w:kern w:val="0"/>
                <w:sz w:val="24"/>
              </w:rPr>
              <w:t>3</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rPr>
                <w:rFonts w:ascii="宋体" w:hAnsi="宋体"/>
                <w:kern w:val="0"/>
                <w:szCs w:val="21"/>
              </w:rPr>
            </w:pPr>
            <w:r>
              <w:rPr>
                <w:rFonts w:ascii="宋体" w:hAnsi="宋体"/>
                <w:kern w:val="0"/>
                <w:szCs w:val="21"/>
              </w:rPr>
              <w:t>根据</w:t>
            </w:r>
            <w:r>
              <w:rPr>
                <w:rFonts w:hint="eastAsia" w:ascii="宋体" w:hAnsi="宋体"/>
                <w:kern w:val="0"/>
                <w:szCs w:val="21"/>
              </w:rPr>
              <w:t>投标人所提供的技术培训方案进行打分，优</w:t>
            </w:r>
            <w:r>
              <w:rPr>
                <w:rFonts w:ascii="宋体" w:hAnsi="宋体"/>
                <w:kern w:val="0"/>
                <w:szCs w:val="21"/>
              </w:rPr>
              <w:t>[</w:t>
            </w:r>
            <w:r>
              <w:rPr>
                <w:rFonts w:hint="eastAsia" w:ascii="宋体" w:hAnsi="宋体"/>
                <w:kern w:val="0"/>
                <w:szCs w:val="21"/>
              </w:rPr>
              <w:t>2.1-3</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1.1-2</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r>
        <w:tblPrEx>
          <w:tblCellMar>
            <w:top w:w="0" w:type="dxa"/>
            <w:left w:w="108" w:type="dxa"/>
            <w:bottom w:w="0" w:type="dxa"/>
            <w:right w:w="108" w:type="dxa"/>
          </w:tblCellMar>
        </w:tblPrEx>
        <w:trPr>
          <w:gridAfter w:val="1"/>
          <w:wBefore w:w="0" w:type="dxa"/>
          <w:wAfter w:w="776" w:type="dxa"/>
          <w:trHeight w:val="567" w:hRule="atLeast"/>
        </w:trPr>
        <w:tc>
          <w:tcPr>
            <w:tcW w:w="817"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b/>
                <w:bCs/>
                <w:kern w:val="0"/>
                <w:sz w:val="24"/>
              </w:rPr>
            </w:pP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ascii="宋体" w:hAnsi="宋体"/>
                <w:kern w:val="0"/>
                <w:sz w:val="24"/>
              </w:rPr>
              <w:t>施工与售后</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kern w:val="0"/>
                <w:sz w:val="24"/>
              </w:rPr>
            </w:pPr>
            <w:r>
              <w:rPr>
                <w:rFonts w:hint="eastAsia" w:ascii="宋体" w:hAnsi="宋体"/>
                <w:kern w:val="0"/>
                <w:sz w:val="24"/>
              </w:rPr>
              <w:t>3</w:t>
            </w:r>
          </w:p>
        </w:tc>
        <w:tc>
          <w:tcPr>
            <w:tcW w:w="63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rPr>
                <w:rFonts w:ascii="宋体" w:hAnsi="宋体"/>
                <w:kern w:val="0"/>
                <w:szCs w:val="21"/>
              </w:rPr>
            </w:pPr>
            <w:r>
              <w:rPr>
                <w:rFonts w:ascii="宋体" w:hAnsi="宋体"/>
                <w:kern w:val="0"/>
                <w:szCs w:val="21"/>
              </w:rPr>
              <w:t>施工与售后整体服务方案评价，包括施工进度、质量管控等方面，</w:t>
            </w:r>
            <w:r>
              <w:rPr>
                <w:rFonts w:hint="eastAsia" w:ascii="宋体" w:hAnsi="宋体"/>
                <w:kern w:val="0"/>
                <w:szCs w:val="21"/>
              </w:rPr>
              <w:t>优</w:t>
            </w:r>
            <w:r>
              <w:rPr>
                <w:rFonts w:ascii="宋体" w:hAnsi="宋体"/>
                <w:kern w:val="0"/>
                <w:szCs w:val="21"/>
              </w:rPr>
              <w:t>[</w:t>
            </w:r>
            <w:r>
              <w:rPr>
                <w:rFonts w:hint="eastAsia" w:ascii="宋体" w:hAnsi="宋体"/>
                <w:kern w:val="0"/>
                <w:szCs w:val="21"/>
              </w:rPr>
              <w:t>2.1-3</w:t>
            </w:r>
            <w:r>
              <w:rPr>
                <w:rFonts w:ascii="宋体" w:hAnsi="宋体"/>
                <w:kern w:val="0"/>
                <w:szCs w:val="21"/>
              </w:rPr>
              <w:t>]分，</w:t>
            </w:r>
            <w:r>
              <w:rPr>
                <w:rFonts w:hint="eastAsia" w:ascii="宋体" w:hAnsi="宋体"/>
                <w:kern w:val="0"/>
                <w:szCs w:val="21"/>
              </w:rPr>
              <w:t>良</w:t>
            </w:r>
            <w:r>
              <w:rPr>
                <w:rFonts w:ascii="宋体" w:hAnsi="宋体"/>
                <w:kern w:val="0"/>
                <w:szCs w:val="21"/>
              </w:rPr>
              <w:t>[</w:t>
            </w:r>
            <w:r>
              <w:rPr>
                <w:rFonts w:hint="eastAsia" w:ascii="宋体" w:hAnsi="宋体"/>
                <w:kern w:val="0"/>
                <w:szCs w:val="21"/>
              </w:rPr>
              <w:t>1.1-2</w:t>
            </w:r>
            <w:r>
              <w:rPr>
                <w:rFonts w:ascii="宋体" w:hAnsi="宋体"/>
                <w:kern w:val="0"/>
                <w:szCs w:val="21"/>
              </w:rPr>
              <w:t>]分，</w:t>
            </w:r>
            <w:r>
              <w:rPr>
                <w:rFonts w:hint="eastAsia" w:ascii="宋体" w:hAnsi="宋体"/>
                <w:kern w:val="0"/>
                <w:szCs w:val="21"/>
              </w:rPr>
              <w:t>一般</w:t>
            </w:r>
            <w:r>
              <w:rPr>
                <w:rFonts w:ascii="宋体" w:hAnsi="宋体"/>
                <w:kern w:val="0"/>
                <w:szCs w:val="21"/>
              </w:rPr>
              <w:t>[</w:t>
            </w:r>
            <w:r>
              <w:rPr>
                <w:rFonts w:hint="eastAsia" w:ascii="宋体" w:hAnsi="宋体"/>
                <w:kern w:val="0"/>
                <w:szCs w:val="21"/>
              </w:rPr>
              <w:t>0-1</w:t>
            </w:r>
            <w:r>
              <w:rPr>
                <w:rFonts w:ascii="宋体" w:hAnsi="宋体"/>
                <w:kern w:val="0"/>
                <w:szCs w:val="21"/>
              </w:rPr>
              <w:t>]分。</w:t>
            </w:r>
          </w:p>
        </w:tc>
      </w:tr>
    </w:tbl>
    <w:p>
      <w:pPr>
        <w:pStyle w:val="2"/>
        <w:numPr>
          <w:ilvl w:val="0"/>
          <w:numId w:val="0"/>
        </w:numPr>
        <w:rPr>
          <w:rFonts w:ascii="宋体" w:hAnsi="宋体" w:eastAsia="宋体"/>
          <w:sz w:val="24"/>
          <w:szCs w:val="24"/>
          <w:bdr w:val="single" w:color="auto" w:sz="4" w:space="0"/>
        </w:rPr>
        <w:sectPr>
          <w:footerReference r:id="rId11" w:type="default"/>
          <w:footerReference r:id="rId12" w:type="even"/>
          <w:pgSz w:w="11906" w:h="16838"/>
          <w:pgMar w:top="1440" w:right="1406" w:bottom="1246" w:left="1758" w:header="1021" w:footer="902" w:gutter="0"/>
          <w:cols w:space="720" w:num="1"/>
          <w:titlePg/>
          <w:docGrid w:type="lines" w:linePitch="312" w:charSpace="0"/>
        </w:sectPr>
      </w:pPr>
    </w:p>
    <w:p>
      <w:pPr>
        <w:spacing w:line="400" w:lineRule="exact"/>
        <w:rPr>
          <w:rFonts w:ascii="宋体" w:hAnsi="宋体"/>
          <w:b/>
          <w:bCs/>
          <w:iCs/>
          <w:sz w:val="24"/>
        </w:rPr>
      </w:pPr>
      <w:r>
        <w:rPr>
          <w:rFonts w:hint="eastAsia" w:ascii="宋体" w:hAnsi="宋体"/>
          <w:b/>
          <w:bCs/>
          <w:iCs/>
          <w:sz w:val="24"/>
        </w:rPr>
        <w:t>2.2</w:t>
      </w:r>
      <w:r>
        <w:rPr>
          <w:rFonts w:ascii="宋体" w:hAnsi="宋体"/>
          <w:b/>
          <w:bCs/>
          <w:iCs/>
          <w:sz w:val="24"/>
        </w:rPr>
        <w:t>价格</w:t>
      </w:r>
      <w:r>
        <w:rPr>
          <w:rFonts w:hint="eastAsia" w:ascii="宋体" w:hAnsi="宋体"/>
          <w:b/>
          <w:bCs/>
          <w:iCs/>
          <w:sz w:val="24"/>
        </w:rPr>
        <w:t>分：</w:t>
      </w:r>
    </w:p>
    <w:p>
      <w:pPr>
        <w:spacing w:line="400" w:lineRule="exact"/>
        <w:rPr>
          <w:rFonts w:ascii="宋体" w:hAnsi="宋体"/>
          <w:bCs/>
          <w:iCs/>
          <w:sz w:val="24"/>
        </w:rPr>
      </w:pPr>
      <w:r>
        <w:rPr>
          <w:rFonts w:hint="eastAsia" w:ascii="宋体" w:hAnsi="宋体"/>
          <w:bCs/>
          <w:iCs/>
          <w:sz w:val="24"/>
        </w:rPr>
        <w:t>2.2.1评标基准价：即满足采购文件要求且投标报价最低的投标报价为评标基准价，其价格分为满分。</w:t>
      </w:r>
    </w:p>
    <w:p>
      <w:pPr>
        <w:spacing w:line="400" w:lineRule="exact"/>
        <w:rPr>
          <w:rFonts w:ascii="宋体" w:hAnsi="宋体"/>
          <w:bCs/>
          <w:iCs/>
          <w:sz w:val="24"/>
        </w:rPr>
      </w:pPr>
      <w:r>
        <w:rPr>
          <w:rFonts w:hint="eastAsia" w:ascii="宋体" w:hAnsi="宋体"/>
          <w:bCs/>
          <w:iCs/>
          <w:sz w:val="24"/>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bCs/>
          <w:iCs/>
          <w:sz w:val="24"/>
        </w:rPr>
      </w:pPr>
      <w:r>
        <w:rPr>
          <w:rFonts w:hint="eastAsia" w:ascii="宋体" w:hAnsi="宋体"/>
          <w:bCs/>
          <w:iCs/>
          <w:sz w:val="24"/>
        </w:rPr>
        <w:t>投标报价得分=(评标基准价／投标报价)×价格权值×100</w:t>
      </w:r>
    </w:p>
    <w:p>
      <w:pPr>
        <w:widowControl/>
        <w:snapToGrid w:val="0"/>
        <w:spacing w:line="480" w:lineRule="exact"/>
        <w:rPr>
          <w:rFonts w:hint="eastAsia" w:ascii="宋体" w:hAnsi="宋体"/>
          <w:bCs/>
          <w:iCs/>
          <w:sz w:val="24"/>
          <w:u w:val="single"/>
        </w:rPr>
      </w:pPr>
      <w:r>
        <w:rPr>
          <w:rFonts w:hint="eastAsia" w:ascii="宋体" w:hAnsi="宋体"/>
          <w:bCs/>
          <w:iCs/>
          <w:sz w:val="24"/>
        </w:rPr>
        <w:t>即：投标报价得分=(评标基准价／投标报价)×</w:t>
      </w:r>
      <w:r>
        <w:rPr>
          <w:rFonts w:ascii="宋体" w:hAnsi="宋体"/>
          <w:bCs/>
          <w:iCs/>
          <w:sz w:val="24"/>
          <w:u w:val="single"/>
        </w:rPr>
        <w:t xml:space="preserve">  30  </w:t>
      </w:r>
    </w:p>
    <w:p>
      <w:pPr>
        <w:pStyle w:val="2"/>
        <w:numPr>
          <w:ilvl w:val="0"/>
          <w:numId w:val="0"/>
        </w:numPr>
        <w:ind w:left="425" w:hanging="425"/>
        <w:rPr>
          <w:rFonts w:hint="eastAsia"/>
        </w:rPr>
      </w:pPr>
    </w:p>
    <w:p>
      <w:pPr>
        <w:rPr>
          <w:rFonts w:hint="eastAsia"/>
        </w:rPr>
      </w:pPr>
    </w:p>
    <w:p>
      <w:pPr>
        <w:pStyle w:val="2"/>
        <w:numPr>
          <w:ilvl w:val="0"/>
          <w:numId w:val="0"/>
        </w:numPr>
        <w:ind w:left="425" w:hanging="425"/>
        <w:rPr>
          <w:rFonts w:hint="eastAsia"/>
        </w:rPr>
      </w:pPr>
    </w:p>
    <w:p>
      <w:pPr>
        <w:pStyle w:val="2"/>
        <w:numPr>
          <w:ilvl w:val="0"/>
          <w:numId w:val="0"/>
        </w:numPr>
        <w:ind w:left="425" w:hanging="425"/>
        <w:rPr>
          <w:rFonts w:hint="eastAsia"/>
        </w:rPr>
      </w:pPr>
    </w:p>
    <w:p>
      <w:pPr>
        <w:rPr>
          <w:rFonts w:hint="eastAsia"/>
        </w:rPr>
      </w:pPr>
    </w:p>
    <w:p>
      <w:pPr>
        <w:pStyle w:val="2"/>
        <w:numPr>
          <w:ilvl w:val="0"/>
          <w:numId w:val="0"/>
        </w:numPr>
        <w:rPr>
          <w:rFonts w:hint="eastAsia"/>
        </w:rPr>
      </w:pPr>
    </w:p>
    <w:p>
      <w:pPr>
        <w:rPr>
          <w:rFonts w:hint="eastAsia"/>
        </w:rPr>
      </w:pPr>
    </w:p>
    <w:p>
      <w:pPr>
        <w:pStyle w:val="2"/>
        <w:numPr>
          <w:ilvl w:val="0"/>
          <w:numId w:val="0"/>
        </w:numPr>
        <w:ind w:left="425"/>
        <w:rPr>
          <w:rFonts w:hint="eastAsia"/>
        </w:rPr>
      </w:pPr>
    </w:p>
    <w:p>
      <w:pPr>
        <w:rPr>
          <w:rFonts w:hint="eastAsia"/>
        </w:rPr>
      </w:pPr>
    </w:p>
    <w:p>
      <w:pPr>
        <w:pStyle w:val="2"/>
        <w:numPr>
          <w:ilvl w:val="0"/>
          <w:numId w:val="0"/>
        </w:numPr>
        <w:ind w:left="425"/>
        <w:rPr>
          <w:rFonts w:hint="eastAsia"/>
        </w:rPr>
      </w:pPr>
    </w:p>
    <w:p>
      <w:pPr>
        <w:rPr>
          <w:rFonts w:hint="eastAsia"/>
        </w:rPr>
      </w:pPr>
    </w:p>
    <w:p>
      <w:pPr>
        <w:pStyle w:val="2"/>
        <w:numPr>
          <w:ilvl w:val="0"/>
          <w:numId w:val="0"/>
        </w:numPr>
        <w:ind w:left="425"/>
        <w:jc w:val="center"/>
        <w:rPr>
          <w:rFonts w:ascii="宋体" w:hAnsi="宋体" w:eastAsia="宋体"/>
        </w:rPr>
      </w:pPr>
      <w:bookmarkStart w:id="20" w:name="_Toc83838339"/>
      <w:r>
        <w:rPr>
          <w:rFonts w:ascii="宋体" w:hAnsi="宋体" w:eastAsia="宋体"/>
        </w:rPr>
        <w:t>第六章  投标文件格式附件</w:t>
      </w:r>
      <w:bookmarkEnd w:id="20"/>
    </w:p>
    <w:p>
      <w:pPr>
        <w:widowControl/>
        <w:snapToGrid w:val="0"/>
        <w:spacing w:line="480" w:lineRule="exact"/>
        <w:ind w:firstLine="480" w:firstLineChars="200"/>
        <w:rPr>
          <w:rFonts w:ascii="宋体" w:hAnsi="宋体"/>
          <w:kern w:val="0"/>
          <w:sz w:val="24"/>
        </w:rPr>
      </w:pPr>
      <w:r>
        <w:rPr>
          <w:rFonts w:ascii="宋体" w:hAnsi="宋体"/>
          <w:kern w:val="0"/>
          <w:sz w:val="24"/>
        </w:rPr>
        <w:t>投标文件制作请按照本采购文件</w:t>
      </w:r>
      <w:r>
        <w:rPr>
          <w:rFonts w:hint="eastAsia" w:ascii="宋体" w:hAnsi="宋体"/>
          <w:kern w:val="0"/>
          <w:sz w:val="24"/>
        </w:rPr>
        <w:t>“</w:t>
      </w:r>
      <w:r>
        <w:rPr>
          <w:rFonts w:ascii="宋体" w:hAnsi="宋体"/>
          <w:kern w:val="0"/>
          <w:sz w:val="24"/>
        </w:rPr>
        <w:t>第二章 供应商须知</w:t>
      </w:r>
      <w:r>
        <w:rPr>
          <w:rFonts w:hint="eastAsia" w:ascii="宋体" w:hAnsi="宋体"/>
          <w:kern w:val="0"/>
          <w:sz w:val="24"/>
        </w:rPr>
        <w:t>”</w:t>
      </w:r>
      <w:r>
        <w:rPr>
          <w:rFonts w:ascii="宋体" w:hAnsi="宋体"/>
          <w:kern w:val="0"/>
          <w:sz w:val="24"/>
        </w:rPr>
        <w:t>第二部分</w:t>
      </w:r>
      <w:r>
        <w:rPr>
          <w:rFonts w:hint="eastAsia" w:ascii="宋体" w:hAnsi="宋体"/>
          <w:kern w:val="0"/>
          <w:sz w:val="24"/>
        </w:rPr>
        <w:t>“</w:t>
      </w:r>
      <w:r>
        <w:rPr>
          <w:rFonts w:ascii="宋体" w:hAnsi="宋体"/>
          <w:kern w:val="0"/>
          <w:sz w:val="24"/>
        </w:rPr>
        <w:t>投标文件</w:t>
      </w:r>
      <w:r>
        <w:rPr>
          <w:rFonts w:hint="eastAsia" w:ascii="宋体" w:hAnsi="宋体"/>
          <w:kern w:val="0"/>
          <w:sz w:val="24"/>
        </w:rPr>
        <w:t>”</w:t>
      </w:r>
      <w:r>
        <w:rPr>
          <w:rFonts w:ascii="宋体" w:hAnsi="宋体"/>
          <w:kern w:val="0"/>
          <w:sz w:val="24"/>
        </w:rPr>
        <w:t>的规定制作，有关格式附件如下：</w:t>
      </w: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widowControl/>
        <w:snapToGrid w:val="0"/>
        <w:spacing w:line="480" w:lineRule="exact"/>
        <w:ind w:firstLine="480" w:firstLineChars="200"/>
        <w:rPr>
          <w:rFonts w:ascii="宋体" w:hAnsi="宋体"/>
          <w:kern w:val="0"/>
          <w:sz w:val="24"/>
        </w:rPr>
      </w:pPr>
    </w:p>
    <w:p>
      <w:pPr>
        <w:snapToGrid w:val="0"/>
        <w:spacing w:before="156" w:beforeLines="50" w:after="50"/>
        <w:jc w:val="left"/>
        <w:rPr>
          <w:rFonts w:ascii="宋体" w:hAnsi="宋体"/>
          <w:b/>
          <w:sz w:val="30"/>
          <w:szCs w:val="30"/>
        </w:rPr>
      </w:pPr>
      <w:r>
        <w:rPr>
          <w:rFonts w:hint="eastAsia" w:ascii="宋体" w:hAnsi="宋体"/>
          <w:b/>
          <w:bCs/>
          <w:sz w:val="30"/>
          <w:szCs w:val="30"/>
        </w:rPr>
        <w:t>附件1：</w:t>
      </w:r>
      <w:r>
        <w:rPr>
          <w:rFonts w:hint="eastAsia" w:ascii="宋体" w:hAnsi="宋体"/>
          <w:b/>
          <w:sz w:val="30"/>
          <w:szCs w:val="30"/>
        </w:rPr>
        <w:t>资格文件封面</w:t>
      </w:r>
    </w:p>
    <w:p>
      <w:pPr>
        <w:snapToGrid w:val="0"/>
        <w:spacing w:before="156" w:beforeLines="50" w:after="50"/>
        <w:jc w:val="right"/>
        <w:rPr>
          <w:rFonts w:ascii="宋体" w:hAnsi="宋体"/>
          <w:b/>
          <w:sz w:val="30"/>
          <w:szCs w:val="30"/>
        </w:rPr>
      </w:pPr>
      <w:r>
        <w:rPr>
          <w:rFonts w:ascii="宋体" w:hAnsi="宋体"/>
          <w:sz w:val="30"/>
          <w:szCs w:val="30"/>
          <w:u w:val="single"/>
        </w:rPr>
        <w:t>（填写正本或副本）</w:t>
      </w:r>
    </w:p>
    <w:p>
      <w:pPr>
        <w:snapToGrid w:val="0"/>
        <w:spacing w:before="156" w:beforeLines="50" w:after="50"/>
        <w:jc w:val="right"/>
        <w:rPr>
          <w:rFonts w:ascii="宋体" w:hAnsi="宋体"/>
          <w:bCs/>
          <w:sz w:val="30"/>
          <w:szCs w:val="30"/>
        </w:rPr>
      </w:pPr>
    </w:p>
    <w:p>
      <w:pPr>
        <w:spacing w:line="400" w:lineRule="exact"/>
        <w:ind w:right="-110"/>
        <w:rPr>
          <w:rFonts w:ascii="宋体" w:hAnsi="宋体"/>
          <w:spacing w:val="40"/>
          <w:sz w:val="30"/>
          <w:szCs w:val="30"/>
        </w:rPr>
      </w:pPr>
      <w:r>
        <w:rPr>
          <w:rFonts w:hint="eastAsia" w:ascii="宋体" w:hAnsi="宋体"/>
          <w:spacing w:val="40"/>
          <w:sz w:val="30"/>
          <w:szCs w:val="30"/>
        </w:rPr>
        <w:t>项目名称：</w:t>
      </w:r>
    </w:p>
    <w:p>
      <w:pPr>
        <w:spacing w:before="312" w:beforeLines="100" w:line="400" w:lineRule="exact"/>
        <w:rPr>
          <w:rFonts w:ascii="宋体" w:hAnsi="宋体"/>
          <w:sz w:val="30"/>
          <w:szCs w:val="30"/>
          <w:u w:val="single"/>
        </w:rPr>
      </w:pPr>
      <w:r>
        <w:rPr>
          <w:rFonts w:hint="eastAsia" w:ascii="宋体" w:hAnsi="宋体"/>
          <w:sz w:val="30"/>
          <w:szCs w:val="30"/>
        </w:rPr>
        <w:t>项目编号：</w:t>
      </w:r>
    </w:p>
    <w:p>
      <w:pPr>
        <w:spacing w:before="312" w:beforeLines="100" w:line="400" w:lineRule="exact"/>
        <w:rPr>
          <w:rFonts w:ascii="宋体" w:hAnsi="宋体"/>
          <w:sz w:val="30"/>
          <w:szCs w:val="30"/>
        </w:rPr>
      </w:pPr>
      <w:r>
        <w:rPr>
          <w:rFonts w:hint="eastAsia" w:ascii="宋体" w:hAnsi="宋体"/>
          <w:sz w:val="30"/>
          <w:szCs w:val="30"/>
        </w:rPr>
        <w:t>标段编号：</w:t>
      </w:r>
    </w:p>
    <w:p>
      <w:pPr>
        <w:spacing w:line="1200" w:lineRule="exact"/>
        <w:ind w:right="6"/>
        <w:jc w:val="center"/>
        <w:rPr>
          <w:rFonts w:ascii="宋体" w:hAnsi="宋体"/>
          <w:sz w:val="72"/>
          <w:szCs w:val="72"/>
        </w:rPr>
      </w:pPr>
    </w:p>
    <w:p>
      <w:pPr>
        <w:spacing w:line="1200" w:lineRule="exact"/>
        <w:ind w:right="6"/>
        <w:jc w:val="center"/>
        <w:rPr>
          <w:rFonts w:ascii="宋体" w:hAnsi="宋体"/>
          <w:sz w:val="72"/>
          <w:szCs w:val="72"/>
        </w:rPr>
      </w:pPr>
    </w:p>
    <w:p>
      <w:pPr>
        <w:spacing w:line="1200" w:lineRule="exact"/>
        <w:ind w:right="6"/>
        <w:jc w:val="center"/>
        <w:rPr>
          <w:rFonts w:ascii="宋体" w:hAnsi="宋体"/>
          <w:sz w:val="72"/>
          <w:szCs w:val="72"/>
        </w:rPr>
      </w:pPr>
      <w:r>
        <w:rPr>
          <w:rFonts w:hint="eastAsia" w:ascii="宋体" w:hAnsi="宋体"/>
          <w:sz w:val="72"/>
          <w:szCs w:val="72"/>
        </w:rPr>
        <w:t>资</w:t>
      </w:r>
    </w:p>
    <w:p>
      <w:pPr>
        <w:spacing w:line="1200" w:lineRule="exact"/>
        <w:ind w:right="6"/>
        <w:jc w:val="center"/>
        <w:rPr>
          <w:rFonts w:ascii="宋体" w:hAnsi="宋体"/>
          <w:sz w:val="72"/>
          <w:szCs w:val="72"/>
        </w:rPr>
      </w:pPr>
      <w:r>
        <w:rPr>
          <w:rFonts w:hint="eastAsia" w:ascii="宋体" w:hAnsi="宋体"/>
          <w:sz w:val="72"/>
          <w:szCs w:val="72"/>
        </w:rPr>
        <w:t>格</w:t>
      </w:r>
    </w:p>
    <w:p>
      <w:pPr>
        <w:spacing w:line="1200" w:lineRule="exact"/>
        <w:ind w:right="6"/>
        <w:jc w:val="center"/>
        <w:rPr>
          <w:rFonts w:ascii="宋体" w:hAnsi="宋体"/>
          <w:sz w:val="72"/>
          <w:szCs w:val="72"/>
        </w:rPr>
      </w:pPr>
      <w:r>
        <w:rPr>
          <w:rFonts w:hint="eastAsia" w:ascii="宋体" w:hAnsi="宋体"/>
          <w:sz w:val="72"/>
          <w:szCs w:val="72"/>
        </w:rPr>
        <w:t>文</w:t>
      </w:r>
    </w:p>
    <w:p>
      <w:pPr>
        <w:spacing w:line="1200" w:lineRule="exact"/>
        <w:ind w:right="6"/>
        <w:jc w:val="center"/>
        <w:rPr>
          <w:rFonts w:ascii="宋体" w:hAnsi="宋体"/>
          <w:sz w:val="72"/>
          <w:szCs w:val="72"/>
        </w:rPr>
      </w:pPr>
      <w:r>
        <w:rPr>
          <w:rFonts w:hint="eastAsia" w:ascii="宋体" w:hAnsi="宋体"/>
          <w:sz w:val="72"/>
          <w:szCs w:val="72"/>
        </w:rPr>
        <w:t>件</w:t>
      </w:r>
    </w:p>
    <w:p>
      <w:pPr>
        <w:spacing w:line="1200" w:lineRule="exact"/>
        <w:ind w:right="6"/>
        <w:jc w:val="center"/>
        <w:rPr>
          <w:rFonts w:ascii="宋体" w:hAnsi="宋体"/>
          <w:sz w:val="72"/>
          <w:szCs w:val="72"/>
        </w:rPr>
      </w:pPr>
    </w:p>
    <w:p>
      <w:pPr>
        <w:spacing w:line="500" w:lineRule="exact"/>
        <w:ind w:right="7"/>
        <w:jc w:val="center"/>
        <w:rPr>
          <w:rFonts w:ascii="宋体" w:hAnsi="宋体"/>
          <w:sz w:val="36"/>
          <w:szCs w:val="36"/>
        </w:rPr>
      </w:pPr>
    </w:p>
    <w:p>
      <w:pPr>
        <w:spacing w:line="500" w:lineRule="exact"/>
        <w:ind w:right="7"/>
        <w:jc w:val="center"/>
        <w:rPr>
          <w:rFonts w:ascii="宋体" w:hAnsi="宋体"/>
          <w:sz w:val="36"/>
          <w:szCs w:val="36"/>
        </w:rPr>
      </w:pPr>
    </w:p>
    <w:p>
      <w:pPr>
        <w:spacing w:line="400" w:lineRule="exact"/>
        <w:ind w:right="-110"/>
        <w:rPr>
          <w:rFonts w:ascii="宋体" w:hAnsi="宋体"/>
          <w:spacing w:val="40"/>
          <w:sz w:val="30"/>
          <w:szCs w:val="30"/>
        </w:rPr>
      </w:pPr>
      <w:r>
        <w:rPr>
          <w:rFonts w:ascii="宋体" w:hAnsi="宋体"/>
          <w:spacing w:val="40"/>
          <w:sz w:val="30"/>
          <w:szCs w:val="30"/>
        </w:rPr>
        <w:t>供应商</w:t>
      </w:r>
      <w:r>
        <w:rPr>
          <w:rFonts w:hint="eastAsia" w:ascii="宋体" w:hAnsi="宋体"/>
          <w:spacing w:val="40"/>
          <w:sz w:val="30"/>
          <w:szCs w:val="30"/>
        </w:rPr>
        <w:t>名称（盖章）：</w:t>
      </w:r>
    </w:p>
    <w:p>
      <w:pPr>
        <w:spacing w:line="400" w:lineRule="exact"/>
        <w:ind w:right="-110"/>
        <w:rPr>
          <w:rFonts w:ascii="宋体" w:hAnsi="宋体"/>
          <w:spacing w:val="40"/>
          <w:sz w:val="30"/>
          <w:szCs w:val="30"/>
        </w:rPr>
      </w:pPr>
      <w:r>
        <w:rPr>
          <w:rFonts w:hint="eastAsia" w:ascii="宋体" w:hAnsi="宋体"/>
          <w:spacing w:val="40"/>
          <w:sz w:val="30"/>
          <w:szCs w:val="30"/>
        </w:rPr>
        <w:t>地    址：</w:t>
      </w:r>
    </w:p>
    <w:p>
      <w:pPr>
        <w:spacing w:line="400" w:lineRule="exact"/>
        <w:ind w:right="-110"/>
        <w:rPr>
          <w:rFonts w:ascii="宋体" w:hAnsi="宋体"/>
          <w:spacing w:val="40"/>
          <w:sz w:val="30"/>
          <w:szCs w:val="30"/>
        </w:rPr>
      </w:pPr>
      <w:r>
        <w:rPr>
          <w:rFonts w:hint="eastAsia" w:ascii="宋体" w:hAnsi="宋体"/>
          <w:spacing w:val="40"/>
          <w:sz w:val="30"/>
          <w:szCs w:val="30"/>
        </w:rPr>
        <w:t>日    期：</w:t>
      </w:r>
    </w:p>
    <w:p>
      <w:pPr>
        <w:snapToGrid w:val="0"/>
        <w:spacing w:before="156" w:beforeLines="50" w:after="50"/>
        <w:jc w:val="left"/>
        <w:rPr>
          <w:rFonts w:ascii="宋体" w:hAnsi="宋体"/>
          <w:b/>
          <w:bCs/>
          <w:sz w:val="30"/>
          <w:szCs w:val="30"/>
        </w:rPr>
      </w:pPr>
      <w:r>
        <w:rPr>
          <w:rFonts w:hint="eastAsia" w:ascii="宋体" w:hAnsi="宋体"/>
          <w:b/>
          <w:bCs/>
          <w:sz w:val="30"/>
          <w:szCs w:val="30"/>
        </w:rPr>
        <w:t>附件2：资格文件目录</w:t>
      </w:r>
    </w:p>
    <w:p>
      <w:pPr>
        <w:snapToGrid w:val="0"/>
        <w:spacing w:before="156" w:beforeLines="50" w:after="50"/>
        <w:jc w:val="center"/>
        <w:rPr>
          <w:rFonts w:ascii="宋体" w:hAnsi="宋体" w:cs="仿宋_GB2312"/>
          <w:sz w:val="30"/>
          <w:szCs w:val="30"/>
        </w:rPr>
      </w:pPr>
      <w:r>
        <w:rPr>
          <w:rFonts w:hint="eastAsia" w:ascii="宋体" w:hAnsi="宋体" w:cs="仿宋_GB2312"/>
          <w:sz w:val="30"/>
          <w:szCs w:val="30"/>
        </w:rPr>
        <w:t>目 录</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1.投标声明函 ……………………………………………………………………（页码）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2.联合体协议书（如有）…………………………………………………………（页码）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3.法定代表人授权委托书………………………………………………………（页码）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4.法定代表人及其授权代表身份证……………………………………………（页码）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5.资格条件证明材料</w:t>
      </w:r>
    </w:p>
    <w:p>
      <w:pPr>
        <w:pStyle w:val="178"/>
        <w:spacing w:line="360" w:lineRule="auto"/>
        <w:ind w:firstLine="240" w:firstLineChars="100"/>
        <w:jc w:val="left"/>
        <w:rPr>
          <w:rFonts w:ascii="宋体" w:hAnsi="宋体" w:eastAsia="宋体" w:cs="仿宋_GB2312"/>
        </w:rPr>
      </w:pPr>
      <w:r>
        <w:rPr>
          <w:rFonts w:hint="eastAsia" w:ascii="宋体" w:hAnsi="宋体" w:eastAsia="宋体" w:cs="仿宋_GB2312"/>
        </w:rPr>
        <w:t>5.1营业执照(或事业法人登记证书)…………………………………………（页码）</w:t>
      </w:r>
    </w:p>
    <w:p>
      <w:pPr>
        <w:pStyle w:val="178"/>
        <w:spacing w:line="360" w:lineRule="auto"/>
        <w:ind w:firstLine="240" w:firstLineChars="100"/>
        <w:jc w:val="left"/>
        <w:rPr>
          <w:rFonts w:ascii="宋体" w:hAnsi="宋体" w:eastAsia="宋体" w:cs="仿宋_GB2312"/>
        </w:rPr>
      </w:pPr>
      <w:r>
        <w:rPr>
          <w:rFonts w:hint="eastAsia" w:ascii="宋体" w:hAnsi="宋体" w:eastAsia="宋体" w:cs="仿宋_GB2312"/>
        </w:rPr>
        <w:t>5.2财务状况报告（最近一期） ………………………………………………（页码）</w:t>
      </w:r>
    </w:p>
    <w:p>
      <w:pPr>
        <w:pStyle w:val="178"/>
        <w:spacing w:line="360" w:lineRule="auto"/>
        <w:ind w:firstLine="240" w:firstLineChars="100"/>
        <w:jc w:val="left"/>
        <w:rPr>
          <w:rFonts w:ascii="宋体" w:hAnsi="宋体" w:eastAsia="宋体" w:cs="仿宋_GB2312"/>
        </w:rPr>
      </w:pPr>
      <w:r>
        <w:rPr>
          <w:rFonts w:hint="eastAsia" w:ascii="宋体" w:hAnsi="宋体" w:eastAsia="宋体" w:cs="仿宋_GB2312"/>
        </w:rPr>
        <w:t>5.3依法缴纳税收材料 ………………………………………………………（页码）</w:t>
      </w:r>
    </w:p>
    <w:p>
      <w:pPr>
        <w:pStyle w:val="178"/>
        <w:spacing w:line="360" w:lineRule="auto"/>
        <w:ind w:firstLine="240" w:firstLineChars="100"/>
        <w:jc w:val="left"/>
        <w:rPr>
          <w:rFonts w:ascii="宋体" w:hAnsi="宋体" w:eastAsia="宋体" w:cs="仿宋_GB2312"/>
        </w:rPr>
      </w:pPr>
      <w:r>
        <w:rPr>
          <w:rFonts w:hint="eastAsia" w:ascii="宋体" w:hAnsi="宋体" w:eastAsia="宋体" w:cs="仿宋_GB2312"/>
        </w:rPr>
        <w:t>5.4依法缴纳社会保障资金材料………… …………………………………（页码）</w:t>
      </w:r>
    </w:p>
    <w:p>
      <w:pPr>
        <w:pStyle w:val="178"/>
        <w:spacing w:line="360" w:lineRule="auto"/>
        <w:ind w:firstLine="240" w:firstLineChars="100"/>
        <w:jc w:val="left"/>
        <w:rPr>
          <w:rFonts w:ascii="宋体" w:hAnsi="宋体" w:eastAsia="宋体" w:cs="仿宋_GB2312"/>
        </w:rPr>
      </w:pPr>
      <w:r>
        <w:rPr>
          <w:rFonts w:hint="eastAsia" w:ascii="宋体" w:hAnsi="宋体" w:eastAsia="宋体" w:cs="仿宋_GB2312"/>
        </w:rPr>
        <w:t>5.5特定资格条件的有关证明材料（如有）…………………………………（页码）</w:t>
      </w:r>
    </w:p>
    <w:p>
      <w:pPr>
        <w:spacing w:line="360" w:lineRule="auto"/>
        <w:jc w:val="left"/>
        <w:rPr>
          <w:rFonts w:ascii="宋体" w:hAnsi="宋体" w:cs="仿宋_GB2312"/>
          <w:b/>
          <w:bCs/>
          <w:sz w:val="24"/>
        </w:rPr>
      </w:pPr>
    </w:p>
    <w:p>
      <w:pPr>
        <w:spacing w:line="360" w:lineRule="auto"/>
        <w:jc w:val="left"/>
        <w:rPr>
          <w:rFonts w:ascii="宋体" w:hAnsi="宋体" w:cs="仿宋_GB2312"/>
          <w:b/>
          <w:bCs/>
          <w:sz w:val="24"/>
        </w:rPr>
      </w:pPr>
      <w:r>
        <w:rPr>
          <w:rFonts w:hint="eastAsia" w:ascii="宋体" w:hAnsi="宋体" w:cs="仿宋_GB2312"/>
          <w:b/>
          <w:bCs/>
          <w:sz w:val="24"/>
        </w:rPr>
        <w:t>注：以上文件按采购文件提供的格式制作。</w:t>
      </w:r>
    </w:p>
    <w:p>
      <w:pPr>
        <w:pageBreakBefore/>
        <w:rPr>
          <w:rFonts w:ascii="宋体" w:hAnsi="宋体"/>
          <w:b/>
          <w:sz w:val="28"/>
          <w:szCs w:val="28"/>
        </w:rPr>
      </w:pPr>
      <w:r>
        <w:rPr>
          <w:rFonts w:hint="eastAsia" w:ascii="宋体" w:hAnsi="宋体"/>
          <w:b/>
          <w:sz w:val="28"/>
          <w:szCs w:val="28"/>
        </w:rPr>
        <w:t>附件3：投标声明函</w:t>
      </w:r>
    </w:p>
    <w:p>
      <w:pPr>
        <w:pStyle w:val="123"/>
        <w:spacing w:afterLines="0" w:line="440" w:lineRule="exact"/>
        <w:ind w:firstLine="0" w:firstLineChars="0"/>
        <w:rPr>
          <w:rFonts w:ascii="宋体" w:hAnsi="宋体"/>
          <w:szCs w:val="24"/>
        </w:rPr>
      </w:pPr>
      <w:r>
        <w:rPr>
          <w:rFonts w:hint="eastAsia" w:ascii="宋体" w:hAnsi="宋体"/>
          <w:szCs w:val="24"/>
        </w:rPr>
        <w:t>致</w:t>
      </w:r>
      <w:r>
        <w:rPr>
          <w:rFonts w:hint="eastAsia" w:ascii="宋体" w:hAnsi="宋体"/>
          <w:szCs w:val="24"/>
          <w:u w:val="single"/>
        </w:rPr>
        <w:t xml:space="preserve"> （填写采购代理机构或采购人名称） </w:t>
      </w:r>
      <w:r>
        <w:rPr>
          <w:rFonts w:hint="eastAsia" w:ascii="宋体" w:hAnsi="宋体"/>
          <w:szCs w:val="24"/>
        </w:rPr>
        <w:t xml:space="preserve">： </w:t>
      </w:r>
    </w:p>
    <w:p>
      <w:pPr>
        <w:pStyle w:val="123"/>
        <w:spacing w:afterLines="0" w:line="440" w:lineRule="exact"/>
        <w:ind w:firstLine="480"/>
        <w:rPr>
          <w:rFonts w:ascii="宋体" w:hAnsi="宋体"/>
          <w:szCs w:val="24"/>
        </w:rPr>
      </w:pPr>
      <w:r>
        <w:rPr>
          <w:rFonts w:hint="eastAsia" w:ascii="宋体" w:hAnsi="宋体"/>
          <w:szCs w:val="24"/>
        </w:rPr>
        <w:t>我方</w:t>
      </w:r>
      <w:r>
        <w:rPr>
          <w:rFonts w:hint="eastAsia" w:ascii="宋体" w:hAnsi="宋体"/>
          <w:szCs w:val="24"/>
          <w:u w:val="single"/>
        </w:rPr>
        <w:t xml:space="preserve">  （填写投标</w:t>
      </w:r>
      <w:r>
        <w:rPr>
          <w:rFonts w:ascii="宋体" w:hAnsi="宋体"/>
          <w:szCs w:val="24"/>
          <w:u w:val="single"/>
        </w:rPr>
        <w:t>供应商</w:t>
      </w:r>
      <w:r>
        <w:rPr>
          <w:rFonts w:hint="eastAsia" w:ascii="宋体" w:hAnsi="宋体"/>
          <w:szCs w:val="24"/>
          <w:u w:val="single"/>
        </w:rPr>
        <w:t xml:space="preserve">全称；联合体投标的写全部联合体成员）   </w:t>
      </w:r>
      <w:r>
        <w:rPr>
          <w:rFonts w:hint="eastAsia" w:ascii="宋体" w:hAnsi="宋体"/>
          <w:szCs w:val="24"/>
        </w:rPr>
        <w:t>愿意参加贵方组织的</w:t>
      </w:r>
      <w:r>
        <w:rPr>
          <w:rFonts w:hint="eastAsia" w:ascii="宋体" w:hAnsi="宋体"/>
          <w:szCs w:val="24"/>
          <w:u w:val="single"/>
        </w:rPr>
        <w:t>（填写招标项目名称）（采购编号：    ）</w:t>
      </w:r>
      <w:r>
        <w:rPr>
          <w:rFonts w:hint="eastAsia" w:ascii="宋体" w:hAnsi="宋体"/>
          <w:szCs w:val="24"/>
        </w:rPr>
        <w:t>的投标，为此，我方就本次投标有关事项郑重声明如下：</w:t>
      </w:r>
    </w:p>
    <w:p>
      <w:pPr>
        <w:pStyle w:val="123"/>
        <w:spacing w:afterLines="0" w:line="440" w:lineRule="exact"/>
        <w:ind w:firstLine="480"/>
        <w:rPr>
          <w:rFonts w:ascii="宋体" w:hAnsi="宋体"/>
          <w:szCs w:val="24"/>
        </w:rPr>
      </w:pPr>
      <w:r>
        <w:rPr>
          <w:rFonts w:hint="eastAsia" w:ascii="宋体" w:hAnsi="宋体"/>
          <w:szCs w:val="24"/>
        </w:rPr>
        <w:t>1.我方已详细审查全部采购文件，同意采购文件的各项要求。</w:t>
      </w:r>
    </w:p>
    <w:p>
      <w:pPr>
        <w:pStyle w:val="12"/>
        <w:tabs>
          <w:tab w:val="clear" w:pos="1697"/>
        </w:tabs>
        <w:spacing w:afterLines="0" w:line="440" w:lineRule="exact"/>
        <w:ind w:left="0" w:firstLine="480" w:firstLineChars="200"/>
        <w:rPr>
          <w:rFonts w:ascii="宋体" w:hAnsi="宋体"/>
          <w:szCs w:val="24"/>
        </w:rPr>
      </w:pPr>
      <w:r>
        <w:rPr>
          <w:rFonts w:hint="eastAsia" w:ascii="宋体" w:hAnsi="宋体"/>
          <w:szCs w:val="24"/>
        </w:rPr>
        <w:t>2.若我方中标，承诺按采购文件、投标文件和合同的规定履行责任和义务。</w:t>
      </w:r>
    </w:p>
    <w:p>
      <w:pPr>
        <w:pStyle w:val="123"/>
        <w:spacing w:afterLines="0" w:line="440" w:lineRule="exact"/>
        <w:ind w:firstLine="480"/>
        <w:rPr>
          <w:rFonts w:ascii="宋体" w:hAnsi="宋体"/>
          <w:szCs w:val="24"/>
        </w:rPr>
      </w:pPr>
      <w:r>
        <w:rPr>
          <w:rFonts w:hint="eastAsia" w:ascii="宋体" w:hAnsi="宋体"/>
          <w:szCs w:val="24"/>
        </w:rPr>
        <w:t>3.</w:t>
      </w:r>
      <w:r>
        <w:rPr>
          <w:rFonts w:hint="eastAsia" w:ascii="宋体" w:hAnsi="宋体" w:cs="仿宋_GB2312"/>
          <w:b/>
          <w:bCs/>
          <w:lang w:val="zh-CN"/>
        </w:rPr>
        <w:t>我方</w:t>
      </w:r>
      <w:r>
        <w:rPr>
          <w:rFonts w:hint="eastAsia" w:ascii="宋体" w:hAnsi="宋体" w:cs="仿宋_GB2312"/>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123"/>
        <w:spacing w:afterLines="0" w:line="440" w:lineRule="exact"/>
        <w:ind w:firstLine="480"/>
        <w:rPr>
          <w:rFonts w:ascii="宋体" w:hAnsi="宋体"/>
          <w:szCs w:val="24"/>
        </w:rPr>
      </w:pPr>
      <w:r>
        <w:rPr>
          <w:rFonts w:hint="eastAsia" w:ascii="宋体" w:hAnsi="宋体"/>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123"/>
        <w:spacing w:afterLines="0" w:line="440" w:lineRule="exact"/>
        <w:ind w:firstLine="480"/>
        <w:rPr>
          <w:rFonts w:ascii="宋体" w:hAnsi="宋体"/>
          <w:szCs w:val="24"/>
        </w:rPr>
      </w:pPr>
      <w:r>
        <w:rPr>
          <w:rFonts w:hint="eastAsia" w:ascii="宋体" w:hAnsi="宋体"/>
          <w:szCs w:val="24"/>
        </w:rPr>
        <w:t>5.我方保证所供货物质量符合国家强制性规范和标准，达到采购文件规定的要求；</w:t>
      </w:r>
    </w:p>
    <w:p>
      <w:pPr>
        <w:pStyle w:val="12"/>
        <w:tabs>
          <w:tab w:val="clear" w:pos="1697"/>
        </w:tabs>
        <w:spacing w:afterLines="0" w:line="440" w:lineRule="exact"/>
        <w:ind w:left="0" w:firstLine="480" w:firstLineChars="200"/>
        <w:rPr>
          <w:rFonts w:ascii="宋体" w:hAnsi="宋体"/>
          <w:szCs w:val="24"/>
        </w:rPr>
      </w:pPr>
      <w:r>
        <w:rPr>
          <w:rFonts w:hint="eastAsia" w:ascii="宋体" w:hAnsi="宋体"/>
        </w:rPr>
        <w:t>6.投标文件自开标日起有效期为60天。若延长投标有效期，需经我方同意</w:t>
      </w:r>
      <w:r>
        <w:rPr>
          <w:rFonts w:hint="eastAsia" w:ascii="宋体" w:hAnsi="宋体"/>
          <w:szCs w:val="24"/>
        </w:rPr>
        <w:t>。</w:t>
      </w:r>
    </w:p>
    <w:p>
      <w:pPr>
        <w:pStyle w:val="123"/>
        <w:spacing w:afterLines="0" w:line="440" w:lineRule="exact"/>
        <w:ind w:firstLine="480"/>
        <w:rPr>
          <w:rFonts w:ascii="宋体" w:hAnsi="宋体"/>
          <w:szCs w:val="24"/>
        </w:rPr>
      </w:pPr>
      <w:r>
        <w:rPr>
          <w:rFonts w:hint="eastAsia" w:ascii="宋体" w:hAnsi="宋体"/>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宋体" w:hAnsi="宋体"/>
          <w:sz w:val="30"/>
          <w:szCs w:val="30"/>
        </w:rPr>
      </w:pPr>
      <w:r>
        <w:rPr>
          <w:rFonts w:hint="eastAsia" w:ascii="宋体" w:hAnsi="宋体" w:cs="仿宋_GB2312"/>
          <w:sz w:val="24"/>
        </w:rPr>
        <w:t>8.我方承诺若违反《中华人民共和国政府采购法》第七十七条规定，愿接受依法处理。</w:t>
      </w:r>
    </w:p>
    <w:p>
      <w:pPr>
        <w:pStyle w:val="123"/>
        <w:spacing w:afterLines="0" w:line="440" w:lineRule="exact"/>
        <w:ind w:firstLine="480"/>
        <w:rPr>
          <w:rFonts w:ascii="宋体" w:hAnsi="宋体"/>
          <w:szCs w:val="24"/>
        </w:rPr>
      </w:pPr>
    </w:p>
    <w:p>
      <w:pPr>
        <w:pStyle w:val="123"/>
        <w:spacing w:afterLines="0" w:line="440" w:lineRule="exact"/>
        <w:ind w:firstLine="480"/>
        <w:rPr>
          <w:rFonts w:ascii="宋体" w:hAnsi="宋体"/>
          <w:szCs w:val="24"/>
        </w:rPr>
      </w:pPr>
    </w:p>
    <w:p>
      <w:pPr>
        <w:pStyle w:val="123"/>
        <w:spacing w:afterLines="0" w:line="440" w:lineRule="exact"/>
        <w:ind w:firstLine="480"/>
        <w:rPr>
          <w:rFonts w:ascii="宋体" w:hAnsi="宋体"/>
          <w:szCs w:val="24"/>
        </w:rPr>
      </w:pPr>
    </w:p>
    <w:p>
      <w:pPr>
        <w:pStyle w:val="123"/>
        <w:spacing w:afterLines="0" w:line="440" w:lineRule="exact"/>
        <w:ind w:firstLine="480"/>
        <w:rPr>
          <w:rFonts w:ascii="宋体" w:hAnsi="宋体"/>
          <w:szCs w:val="24"/>
        </w:rPr>
      </w:pPr>
      <w:r>
        <w:rPr>
          <w:rFonts w:hint="eastAsia" w:ascii="宋体" w:hAnsi="宋体"/>
          <w:szCs w:val="24"/>
        </w:rPr>
        <w:t>法定代表人或其授权代表(签字或签章)：</w:t>
      </w:r>
    </w:p>
    <w:p>
      <w:pPr>
        <w:pStyle w:val="123"/>
        <w:spacing w:afterLines="0" w:line="440" w:lineRule="exact"/>
        <w:ind w:firstLine="480"/>
        <w:rPr>
          <w:rFonts w:ascii="宋体" w:hAnsi="宋体"/>
          <w:szCs w:val="24"/>
        </w:rPr>
      </w:pPr>
    </w:p>
    <w:p>
      <w:pPr>
        <w:pStyle w:val="123"/>
        <w:spacing w:afterLines="0" w:line="440" w:lineRule="exact"/>
        <w:ind w:firstLine="480"/>
        <w:rPr>
          <w:rFonts w:ascii="宋体" w:hAnsi="宋体"/>
          <w:szCs w:val="24"/>
        </w:rPr>
      </w:pPr>
      <w:r>
        <w:rPr>
          <w:rFonts w:ascii="宋体" w:hAnsi="宋体"/>
          <w:szCs w:val="24"/>
        </w:rPr>
        <w:t>供应商</w:t>
      </w:r>
      <w:r>
        <w:rPr>
          <w:rFonts w:hint="eastAsia" w:ascii="宋体" w:hAnsi="宋体"/>
          <w:szCs w:val="24"/>
        </w:rPr>
        <w:t xml:space="preserve">(盖章)：　　　　　　　　　　　　　　　　　　　　日期：     </w:t>
      </w:r>
    </w:p>
    <w:p>
      <w:pPr>
        <w:pStyle w:val="123"/>
        <w:spacing w:afterLines="0" w:line="440" w:lineRule="exact"/>
        <w:ind w:firstLine="0" w:firstLineChars="0"/>
        <w:rPr>
          <w:rFonts w:ascii="宋体" w:hAnsi="宋体"/>
          <w:b/>
          <w:bCs/>
          <w:sz w:val="28"/>
          <w:szCs w:val="28"/>
        </w:rPr>
      </w:pPr>
      <w:r>
        <w:rPr>
          <w:rFonts w:hint="eastAsia" w:ascii="宋体" w:hAnsi="宋体"/>
          <w:b/>
          <w:bCs/>
          <w:sz w:val="28"/>
          <w:szCs w:val="28"/>
        </w:rPr>
        <w:t>附件4：联合体协议书（如有）</w:t>
      </w:r>
    </w:p>
    <w:p>
      <w:pPr>
        <w:pStyle w:val="4"/>
        <w:overflowPunct w:val="0"/>
        <w:spacing w:line="360" w:lineRule="auto"/>
        <w:ind w:firstLine="642"/>
        <w:jc w:val="center"/>
        <w:rPr>
          <w:rFonts w:ascii="宋体" w:hAnsi="宋体"/>
          <w:b/>
          <w:spacing w:val="40"/>
          <w:kern w:val="0"/>
          <w:sz w:val="24"/>
        </w:rPr>
      </w:pPr>
      <w:r>
        <w:rPr>
          <w:rFonts w:hint="eastAsia" w:ascii="宋体" w:hAnsi="宋体"/>
          <w:b/>
          <w:spacing w:val="40"/>
          <w:kern w:val="0"/>
          <w:sz w:val="24"/>
        </w:rPr>
        <w:t>联合体协议书</w:t>
      </w:r>
    </w:p>
    <w:p>
      <w:pPr>
        <w:pStyle w:val="4"/>
        <w:overflowPunct w:val="0"/>
        <w:spacing w:line="460" w:lineRule="exact"/>
        <w:ind w:firstLine="513" w:firstLineChars="214"/>
        <w:rPr>
          <w:rFonts w:ascii="宋体" w:hAnsi="宋体"/>
          <w:sz w:val="24"/>
        </w:rPr>
      </w:pPr>
      <w:r>
        <w:rPr>
          <w:rFonts w:hint="eastAsia" w:ascii="宋体" w:hAnsi="宋体"/>
          <w:sz w:val="24"/>
        </w:rPr>
        <w:t>甲方：</w:t>
      </w:r>
    </w:p>
    <w:p>
      <w:pPr>
        <w:pStyle w:val="4"/>
        <w:overflowPunct w:val="0"/>
        <w:spacing w:line="460" w:lineRule="exact"/>
        <w:ind w:firstLine="513" w:firstLineChars="214"/>
        <w:rPr>
          <w:rFonts w:ascii="宋体" w:hAnsi="宋体"/>
          <w:sz w:val="24"/>
        </w:rPr>
      </w:pPr>
      <w:r>
        <w:rPr>
          <w:rFonts w:hint="eastAsia" w:ascii="宋体" w:hAnsi="宋体"/>
          <w:sz w:val="24"/>
        </w:rPr>
        <w:t>乙方：</w:t>
      </w:r>
    </w:p>
    <w:p>
      <w:pPr>
        <w:pStyle w:val="4"/>
        <w:overflowPunct w:val="0"/>
        <w:spacing w:line="460" w:lineRule="exact"/>
        <w:ind w:firstLine="513" w:firstLineChars="214"/>
        <w:rPr>
          <w:rFonts w:ascii="宋体" w:hAnsi="宋体"/>
          <w:sz w:val="24"/>
        </w:rPr>
      </w:pPr>
      <w:r>
        <w:rPr>
          <w:rFonts w:hint="eastAsia" w:ascii="宋体" w:hAnsi="宋体"/>
          <w:sz w:val="24"/>
        </w:rPr>
        <w:t>（如果有的话，可按甲、乙、丙、丁…序列增加）</w:t>
      </w:r>
    </w:p>
    <w:p>
      <w:pPr>
        <w:pStyle w:val="4"/>
        <w:overflowPunct w:val="0"/>
        <w:spacing w:line="460" w:lineRule="exact"/>
        <w:ind w:firstLine="513" w:firstLineChars="214"/>
        <w:rPr>
          <w:rFonts w:ascii="宋体" w:hAnsi="宋体"/>
          <w:sz w:val="24"/>
        </w:rPr>
      </w:pPr>
      <w:r>
        <w:rPr>
          <w:rFonts w:hint="eastAsia" w:ascii="宋体" w:hAnsi="宋体"/>
          <w:sz w:val="24"/>
        </w:rPr>
        <w:t xml:space="preserve">各方经协商，就响应 </w:t>
      </w:r>
      <w:r>
        <w:rPr>
          <w:rFonts w:hint="eastAsia" w:ascii="宋体" w:hAnsi="宋体"/>
          <w:sz w:val="24"/>
          <w:u w:val="single"/>
        </w:rPr>
        <w:t xml:space="preserve">  （填写采购代理机构名称）         </w:t>
      </w:r>
      <w:r>
        <w:rPr>
          <w:rFonts w:hint="eastAsia" w:ascii="宋体" w:hAnsi="宋体"/>
          <w:sz w:val="24"/>
        </w:rPr>
        <w:t>组织实施的</w:t>
      </w:r>
      <w:r>
        <w:rPr>
          <w:rFonts w:hint="eastAsia" w:ascii="宋体" w:hAnsi="宋体"/>
          <w:sz w:val="24"/>
          <w:u w:val="single"/>
        </w:rPr>
        <w:t xml:space="preserve"> （填写项目名称）  </w:t>
      </w:r>
      <w:r>
        <w:rPr>
          <w:rFonts w:hint="eastAsia" w:ascii="宋体" w:hAnsi="宋体"/>
          <w:sz w:val="24"/>
        </w:rPr>
        <w:t>项目编号为的</w:t>
      </w:r>
      <w:r>
        <w:rPr>
          <w:rFonts w:ascii="宋体" w:hAnsi="宋体"/>
          <w:sz w:val="24"/>
        </w:rPr>
        <w:t>采购</w:t>
      </w:r>
      <w:r>
        <w:rPr>
          <w:rFonts w:hint="eastAsia" w:ascii="宋体" w:hAnsi="宋体"/>
          <w:sz w:val="24"/>
        </w:rPr>
        <w:t>活动联合进行投标之事宜，达成如下协议：</w:t>
      </w:r>
    </w:p>
    <w:p>
      <w:pPr>
        <w:pStyle w:val="4"/>
        <w:numPr>
          <w:ilvl w:val="0"/>
          <w:numId w:val="22"/>
        </w:numPr>
        <w:overflowPunct w:val="0"/>
        <w:spacing w:line="460" w:lineRule="exact"/>
        <w:ind w:left="0" w:firstLine="524" w:firstLineChars="0"/>
        <w:rPr>
          <w:rFonts w:ascii="宋体" w:hAnsi="宋体"/>
          <w:sz w:val="24"/>
        </w:rPr>
      </w:pPr>
      <w:r>
        <w:rPr>
          <w:rFonts w:hint="eastAsia" w:ascii="宋体" w:hAnsi="宋体"/>
          <w:sz w:val="24"/>
        </w:rPr>
        <w:t>各方一致决定组成一个联合体，以一个供应商的身份共同参加本项目政府采购。</w:t>
      </w:r>
    </w:p>
    <w:p>
      <w:pPr>
        <w:pStyle w:val="4"/>
        <w:numPr>
          <w:ilvl w:val="0"/>
          <w:numId w:val="22"/>
        </w:numPr>
        <w:overflowPunct w:val="0"/>
        <w:spacing w:line="460" w:lineRule="exact"/>
        <w:ind w:left="0" w:firstLine="524" w:firstLineChars="0"/>
        <w:rPr>
          <w:rFonts w:ascii="宋体" w:hAnsi="宋体"/>
          <w:sz w:val="24"/>
        </w:rPr>
      </w:pPr>
      <w:r>
        <w:rPr>
          <w:rFonts w:hint="eastAsia" w:ascii="宋体" w:hAnsi="宋体"/>
          <w:sz w:val="24"/>
        </w:rPr>
        <w:t xml:space="preserve">以 </w:t>
      </w:r>
      <w:r>
        <w:rPr>
          <w:rFonts w:hint="eastAsia" w:ascii="宋体" w:hAnsi="宋体"/>
          <w:sz w:val="24"/>
          <w:u w:val="single"/>
        </w:rPr>
        <w:t xml:space="preserve">  （填写联合体牵头人名称）  </w:t>
      </w:r>
      <w:r>
        <w:rPr>
          <w:rFonts w:hint="eastAsia" w:ascii="宋体" w:hAnsi="宋体"/>
          <w:sz w:val="24"/>
        </w:rPr>
        <w:t xml:space="preserve"> 为联合体牵头人，负责包括但不仅限于投标、配合处理质疑投诉等一切和采购活动相关的事宜。</w:t>
      </w:r>
    </w:p>
    <w:p>
      <w:pPr>
        <w:pStyle w:val="4"/>
        <w:overflowPunct w:val="0"/>
        <w:spacing w:line="460" w:lineRule="exact"/>
        <w:ind w:firstLine="513" w:firstLineChars="214"/>
        <w:rPr>
          <w:rFonts w:ascii="宋体" w:hAnsi="宋体"/>
          <w:sz w:val="24"/>
        </w:rPr>
      </w:pPr>
      <w:r>
        <w:rPr>
          <w:rFonts w:hint="eastAsia" w:ascii="宋体" w:hAnsi="宋体"/>
          <w:sz w:val="24"/>
        </w:rPr>
        <w:t>三、联合体各方对投标响应文件及开标过程中的各种书面承诺、澄清等均予以认可，对联合投标各方均产生约束力。</w:t>
      </w:r>
    </w:p>
    <w:p>
      <w:pPr>
        <w:pStyle w:val="4"/>
        <w:overflowPunct w:val="0"/>
        <w:spacing w:line="460" w:lineRule="exact"/>
        <w:ind w:firstLine="513" w:firstLineChars="214"/>
        <w:rPr>
          <w:rFonts w:ascii="宋体" w:hAnsi="宋体"/>
          <w:sz w:val="24"/>
        </w:rPr>
      </w:pPr>
      <w:r>
        <w:rPr>
          <w:rFonts w:hint="eastAsia" w:ascii="宋体" w:hAnsi="宋体"/>
          <w:sz w:val="24"/>
        </w:rPr>
        <w:t>四、如果中标，联合投标各方共同与采购人签订采购合同，共同履行对采购人所负有的全部义务并就采购合同约定的事项对采购人承担连带责任。</w:t>
      </w:r>
    </w:p>
    <w:p>
      <w:pPr>
        <w:pStyle w:val="4"/>
        <w:overflowPunct w:val="0"/>
        <w:spacing w:line="460" w:lineRule="exact"/>
        <w:ind w:firstLine="513" w:firstLineChars="214"/>
        <w:rPr>
          <w:rFonts w:ascii="宋体" w:hAnsi="宋体"/>
          <w:sz w:val="24"/>
        </w:rPr>
      </w:pPr>
      <w:r>
        <w:rPr>
          <w:rFonts w:hint="eastAsia" w:ascii="宋体" w:hAnsi="宋体"/>
          <w:sz w:val="24"/>
        </w:rPr>
        <w:t>五、联合体各方不再单独参加或与其他供应商另外组成联合体参加同一标段（项目）的政府采购活动，否则均被视为无效投标。</w:t>
      </w:r>
    </w:p>
    <w:p>
      <w:pPr>
        <w:pStyle w:val="4"/>
        <w:overflowPunct w:val="0"/>
        <w:spacing w:line="460" w:lineRule="exact"/>
        <w:ind w:firstLine="513" w:firstLineChars="214"/>
        <w:rPr>
          <w:rFonts w:ascii="宋体" w:hAnsi="宋体"/>
          <w:sz w:val="24"/>
        </w:rPr>
      </w:pPr>
      <w:r>
        <w:rPr>
          <w:rFonts w:hint="eastAsia" w:ascii="宋体" w:hAnsi="宋体"/>
          <w:sz w:val="24"/>
        </w:rPr>
        <w:t>六、如果中标，联合体各方在项目实施过程中承担的工作和义务为：</w:t>
      </w:r>
    </w:p>
    <w:p>
      <w:pPr>
        <w:pStyle w:val="4"/>
        <w:overflowPunct w:val="0"/>
        <w:spacing w:line="460" w:lineRule="exact"/>
        <w:ind w:firstLine="513" w:firstLineChars="214"/>
        <w:rPr>
          <w:rFonts w:ascii="宋体" w:hAnsi="宋体"/>
          <w:sz w:val="24"/>
        </w:rPr>
      </w:pPr>
      <w:r>
        <w:rPr>
          <w:rFonts w:hint="eastAsia" w:ascii="宋体" w:hAnsi="宋体"/>
          <w:sz w:val="24"/>
        </w:rPr>
        <w:t>甲方：…            乙方：…</w:t>
      </w:r>
    </w:p>
    <w:p>
      <w:pPr>
        <w:pStyle w:val="4"/>
        <w:overflowPunct w:val="0"/>
        <w:spacing w:line="460" w:lineRule="exact"/>
        <w:ind w:firstLine="513" w:firstLineChars="214"/>
        <w:rPr>
          <w:rFonts w:ascii="宋体" w:hAnsi="宋体"/>
          <w:sz w:val="24"/>
        </w:rPr>
      </w:pPr>
      <w:r>
        <w:rPr>
          <w:rFonts w:hint="eastAsia" w:ascii="宋体" w:hAnsi="宋体"/>
          <w:sz w:val="24"/>
        </w:rPr>
        <w:t>…</w:t>
      </w:r>
    </w:p>
    <w:p>
      <w:pPr>
        <w:pStyle w:val="4"/>
        <w:overflowPunct w:val="0"/>
        <w:spacing w:line="460" w:lineRule="exact"/>
        <w:ind w:firstLine="513" w:firstLineChars="214"/>
        <w:rPr>
          <w:rFonts w:ascii="宋体" w:hAnsi="宋体" w:cs="仿宋_GB2312"/>
          <w:sz w:val="24"/>
        </w:rPr>
      </w:pPr>
      <w:r>
        <w:rPr>
          <w:rFonts w:hint="eastAsia" w:ascii="宋体" w:hAnsi="宋体"/>
          <w:sz w:val="24"/>
        </w:rPr>
        <w:t>七、联合体各方在本项目实施过程中承担的</w:t>
      </w:r>
      <w:r>
        <w:rPr>
          <w:rFonts w:hint="eastAsia" w:ascii="宋体" w:hAnsi="宋体" w:cs="仿宋_GB2312"/>
          <w:sz w:val="24"/>
        </w:rPr>
        <w:t>合同金额和比例分别为：</w:t>
      </w:r>
    </w:p>
    <w:p>
      <w:pPr>
        <w:pStyle w:val="4"/>
        <w:overflowPunct w:val="0"/>
        <w:spacing w:line="460" w:lineRule="exact"/>
        <w:ind w:firstLine="513" w:firstLineChars="214"/>
        <w:rPr>
          <w:rFonts w:ascii="宋体" w:hAnsi="宋体"/>
          <w:sz w:val="24"/>
        </w:rPr>
      </w:pPr>
      <w:r>
        <w:rPr>
          <w:rFonts w:hint="eastAsia" w:ascii="宋体" w:hAnsi="宋体"/>
          <w:sz w:val="24"/>
        </w:rPr>
        <w:t>甲方：…            乙方：…</w:t>
      </w:r>
    </w:p>
    <w:p>
      <w:pPr>
        <w:pStyle w:val="4"/>
        <w:overflowPunct w:val="0"/>
        <w:spacing w:line="460" w:lineRule="exact"/>
        <w:ind w:firstLine="513" w:firstLineChars="214"/>
        <w:rPr>
          <w:rFonts w:ascii="宋体" w:hAnsi="宋体"/>
          <w:sz w:val="24"/>
        </w:rPr>
      </w:pPr>
      <w:r>
        <w:rPr>
          <w:rFonts w:hint="eastAsia" w:ascii="宋体" w:hAnsi="宋体"/>
          <w:sz w:val="24"/>
        </w:rPr>
        <w:t>…</w:t>
      </w:r>
    </w:p>
    <w:p>
      <w:pPr>
        <w:pStyle w:val="4"/>
        <w:overflowPunct w:val="0"/>
        <w:spacing w:line="460" w:lineRule="exact"/>
        <w:ind w:firstLine="513" w:firstLineChars="214"/>
        <w:rPr>
          <w:rFonts w:ascii="宋体" w:hAnsi="宋体"/>
          <w:sz w:val="24"/>
        </w:rPr>
      </w:pPr>
      <w:r>
        <w:rPr>
          <w:rFonts w:hint="eastAsia" w:ascii="宋体" w:hAnsi="宋体"/>
          <w:sz w:val="24"/>
        </w:rPr>
        <w:t>八、本协议签约各方各持一份，并作为投标文件的一部分。</w:t>
      </w:r>
    </w:p>
    <w:p>
      <w:pPr>
        <w:pStyle w:val="4"/>
        <w:overflowPunct w:val="0"/>
        <w:spacing w:line="460" w:lineRule="exact"/>
        <w:ind w:firstLine="513" w:firstLineChars="214"/>
        <w:rPr>
          <w:rFonts w:ascii="宋体" w:hAnsi="宋体"/>
          <w:sz w:val="24"/>
        </w:rPr>
      </w:pPr>
    </w:p>
    <w:p>
      <w:pPr>
        <w:pStyle w:val="4"/>
        <w:overflowPunct w:val="0"/>
        <w:spacing w:line="460" w:lineRule="exact"/>
        <w:ind w:firstLine="513" w:firstLineChars="214"/>
        <w:rPr>
          <w:rFonts w:ascii="宋体" w:hAnsi="宋体"/>
          <w:sz w:val="24"/>
        </w:rPr>
      </w:pPr>
    </w:p>
    <w:tbl>
      <w:tblPr>
        <w:tblStyle w:val="4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4"/>
              <w:overflowPunct w:val="0"/>
              <w:spacing w:line="460" w:lineRule="exact"/>
              <w:ind w:firstLine="513" w:firstLineChars="214"/>
              <w:rPr>
                <w:rFonts w:ascii="宋体" w:hAnsi="宋体"/>
                <w:sz w:val="24"/>
              </w:rPr>
            </w:pPr>
            <w:r>
              <w:rPr>
                <w:rFonts w:hint="eastAsia" w:ascii="宋体" w:hAnsi="宋体"/>
                <w:sz w:val="24"/>
              </w:rPr>
              <w:t>甲方单位：       （公章）</w:t>
            </w:r>
          </w:p>
          <w:p>
            <w:pPr>
              <w:pStyle w:val="4"/>
              <w:overflowPunct w:val="0"/>
              <w:spacing w:line="460" w:lineRule="exact"/>
              <w:ind w:firstLine="513" w:firstLineChars="214"/>
              <w:rPr>
                <w:rFonts w:ascii="宋体" w:hAnsi="宋体"/>
                <w:sz w:val="24"/>
              </w:rPr>
            </w:pPr>
            <w:r>
              <w:rPr>
                <w:rFonts w:hint="eastAsia" w:ascii="宋体" w:hAnsi="宋体"/>
                <w:sz w:val="24"/>
              </w:rPr>
              <w:t>法定代表人：     （签章）</w:t>
            </w:r>
          </w:p>
          <w:p>
            <w:pPr>
              <w:pStyle w:val="4"/>
              <w:overflowPunct w:val="0"/>
              <w:spacing w:line="460" w:lineRule="exact"/>
              <w:ind w:firstLine="513" w:firstLineChars="214"/>
              <w:rPr>
                <w:rFonts w:ascii="宋体" w:hAnsi="宋体"/>
                <w:sz w:val="24"/>
              </w:rPr>
            </w:pPr>
            <w:r>
              <w:rPr>
                <w:rFonts w:hint="eastAsia" w:ascii="宋体" w:hAnsi="宋体"/>
                <w:sz w:val="24"/>
              </w:rPr>
              <w:t>日  期：  年  月   日</w:t>
            </w:r>
          </w:p>
        </w:tc>
        <w:tc>
          <w:tcPr>
            <w:tcW w:w="4264" w:type="dxa"/>
            <w:noWrap w:val="0"/>
            <w:vAlign w:val="top"/>
          </w:tcPr>
          <w:p>
            <w:pPr>
              <w:pStyle w:val="4"/>
              <w:overflowPunct w:val="0"/>
              <w:spacing w:line="460" w:lineRule="exact"/>
              <w:ind w:firstLine="513" w:firstLineChars="214"/>
              <w:rPr>
                <w:rFonts w:ascii="宋体" w:hAnsi="宋体"/>
                <w:sz w:val="24"/>
              </w:rPr>
            </w:pPr>
            <w:r>
              <w:rPr>
                <w:rFonts w:hint="eastAsia" w:ascii="宋体" w:hAnsi="宋体"/>
                <w:sz w:val="24"/>
              </w:rPr>
              <w:t>乙方单位：       （公章）</w:t>
            </w:r>
          </w:p>
          <w:p>
            <w:pPr>
              <w:pStyle w:val="4"/>
              <w:overflowPunct w:val="0"/>
              <w:spacing w:line="460" w:lineRule="exact"/>
              <w:ind w:firstLine="513" w:firstLineChars="214"/>
              <w:rPr>
                <w:rFonts w:ascii="宋体" w:hAnsi="宋体"/>
                <w:sz w:val="24"/>
              </w:rPr>
            </w:pPr>
            <w:r>
              <w:rPr>
                <w:rFonts w:hint="eastAsia" w:ascii="宋体" w:hAnsi="宋体"/>
                <w:sz w:val="24"/>
              </w:rPr>
              <w:t>法定代表人：     （签章）</w:t>
            </w:r>
          </w:p>
          <w:p>
            <w:pPr>
              <w:pStyle w:val="4"/>
              <w:overflowPunct w:val="0"/>
              <w:spacing w:line="460" w:lineRule="exact"/>
              <w:ind w:firstLine="513" w:firstLineChars="214"/>
              <w:rPr>
                <w:rFonts w:ascii="宋体" w:hAnsi="宋体"/>
                <w:sz w:val="24"/>
              </w:rPr>
            </w:pPr>
            <w:r>
              <w:rPr>
                <w:rFonts w:hint="eastAsia" w:ascii="宋体" w:hAnsi="宋体"/>
                <w:sz w:val="24"/>
              </w:rPr>
              <w:t>日  期：  年  月   日</w:t>
            </w:r>
          </w:p>
        </w:tc>
      </w:tr>
    </w:tbl>
    <w:p>
      <w:pPr>
        <w:pStyle w:val="123"/>
        <w:spacing w:afterLines="0" w:line="440" w:lineRule="exact"/>
        <w:ind w:firstLine="0" w:firstLineChars="0"/>
        <w:rPr>
          <w:rFonts w:ascii="宋体" w:hAnsi="宋体"/>
          <w:b/>
          <w:bCs/>
          <w:sz w:val="28"/>
          <w:szCs w:val="28"/>
        </w:rPr>
      </w:pPr>
    </w:p>
    <w:p>
      <w:pPr>
        <w:pStyle w:val="123"/>
        <w:spacing w:afterLines="0" w:line="440" w:lineRule="exact"/>
        <w:ind w:firstLine="0" w:firstLineChars="0"/>
        <w:rPr>
          <w:rFonts w:ascii="宋体" w:hAnsi="宋体"/>
          <w:b/>
          <w:bCs/>
          <w:sz w:val="28"/>
          <w:szCs w:val="28"/>
        </w:rPr>
      </w:pPr>
      <w:r>
        <w:rPr>
          <w:rFonts w:hint="eastAsia" w:ascii="宋体" w:hAnsi="宋体"/>
          <w:b/>
          <w:bCs/>
          <w:sz w:val="28"/>
          <w:szCs w:val="28"/>
        </w:rPr>
        <w:t>附件5：法定代表人授权委托书</w:t>
      </w:r>
    </w:p>
    <w:p>
      <w:pPr>
        <w:snapToGrid w:val="0"/>
        <w:spacing w:before="50" w:after="50"/>
        <w:jc w:val="center"/>
        <w:rPr>
          <w:rFonts w:ascii="宋体" w:hAnsi="宋体"/>
          <w:b/>
          <w:sz w:val="36"/>
          <w:szCs w:val="36"/>
        </w:rPr>
      </w:pPr>
    </w:p>
    <w:p>
      <w:pPr>
        <w:snapToGrid w:val="0"/>
        <w:spacing w:before="50" w:after="50"/>
        <w:jc w:val="center"/>
        <w:rPr>
          <w:rFonts w:ascii="宋体" w:hAnsi="宋体"/>
          <w:b/>
          <w:sz w:val="36"/>
          <w:szCs w:val="36"/>
        </w:rPr>
      </w:pPr>
      <w:r>
        <w:rPr>
          <w:rFonts w:hint="eastAsia" w:ascii="宋体" w:hAnsi="宋体"/>
          <w:b/>
          <w:sz w:val="36"/>
          <w:szCs w:val="36"/>
        </w:rPr>
        <w:t>法定代表人授权委托书</w:t>
      </w:r>
    </w:p>
    <w:p>
      <w:pPr>
        <w:snapToGrid w:val="0"/>
        <w:spacing w:before="156" w:beforeLines="50" w:after="50" w:line="460" w:lineRule="exact"/>
        <w:rPr>
          <w:rFonts w:ascii="宋体" w:hAnsi="宋体"/>
          <w:b/>
          <w:bCs/>
          <w:sz w:val="24"/>
        </w:rPr>
      </w:pPr>
      <w:r>
        <w:rPr>
          <w:rFonts w:hint="eastAsia" w:ascii="宋体" w:hAnsi="宋体"/>
          <w:bCs/>
          <w:sz w:val="24"/>
        </w:rPr>
        <w:t>致</w:t>
      </w:r>
      <w:r>
        <w:rPr>
          <w:rFonts w:ascii="宋体" w:hAnsi="宋体"/>
          <w:bCs/>
          <w:sz w:val="24"/>
          <w:u w:val="single"/>
        </w:rPr>
        <w:t>（填写采购代理机构或采购人名称）</w:t>
      </w:r>
      <w:r>
        <w:rPr>
          <w:rFonts w:hint="eastAsia" w:ascii="宋体" w:hAnsi="宋体"/>
          <w:bCs/>
          <w:sz w:val="24"/>
        </w:rPr>
        <w:t>：</w:t>
      </w:r>
    </w:p>
    <w:p>
      <w:pPr>
        <w:snapToGrid w:val="0"/>
        <w:spacing w:before="156" w:beforeLines="50" w:after="50" w:line="460" w:lineRule="exact"/>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w:t>
      </w:r>
      <w:r>
        <w:rPr>
          <w:rFonts w:ascii="宋体" w:hAnsi="宋体"/>
          <w:sz w:val="24"/>
          <w:u w:val="single"/>
        </w:rPr>
        <w:t>供应商</w:t>
      </w:r>
      <w:r>
        <w:rPr>
          <w:rFonts w:hint="eastAsia" w:ascii="宋体" w:hAnsi="宋体"/>
          <w:sz w:val="24"/>
          <w:u w:val="single"/>
        </w:rPr>
        <w:t xml:space="preserve">或联合体牵头人全称） </w:t>
      </w:r>
      <w:r>
        <w:rPr>
          <w:rFonts w:hint="eastAsia" w:ascii="宋体" w:hAnsi="宋体"/>
          <w:sz w:val="24"/>
        </w:rPr>
        <w:t xml:space="preserve">的法定代表人，现授权委托本单位在职职工 </w:t>
      </w:r>
      <w:r>
        <w:rPr>
          <w:rFonts w:hint="eastAsia" w:ascii="宋体" w:hAnsi="宋体"/>
          <w:sz w:val="24"/>
          <w:u w:val="single"/>
        </w:rPr>
        <w:t xml:space="preserve"> （姓名） </w:t>
      </w:r>
      <w:r>
        <w:rPr>
          <w:rFonts w:hint="eastAsia" w:ascii="宋体" w:hAnsi="宋体"/>
          <w:sz w:val="24"/>
        </w:rPr>
        <w:t>为授权代表，以我方的名义参加</w:t>
      </w:r>
      <w:r>
        <w:rPr>
          <w:rFonts w:hint="eastAsia" w:ascii="宋体" w:hAnsi="宋体"/>
          <w:sz w:val="24"/>
          <w:u w:val="single"/>
        </w:rPr>
        <w:t xml:space="preserve">   （项目名称及编号）    </w:t>
      </w:r>
      <w:r>
        <w:rPr>
          <w:rFonts w:hint="eastAsia" w:ascii="宋体" w:hAnsi="宋体"/>
          <w:sz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宋体" w:hAnsi="宋体"/>
          <w:sz w:val="24"/>
        </w:rPr>
      </w:pPr>
      <w:r>
        <w:rPr>
          <w:rFonts w:hint="eastAsia" w:ascii="宋体" w:hAnsi="宋体"/>
          <w:sz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sz w:val="24"/>
        </w:rPr>
      </w:pPr>
      <w:r>
        <w:rPr>
          <w:rFonts w:hint="eastAsia" w:ascii="宋体" w:hAnsi="宋体"/>
          <w:sz w:val="24"/>
        </w:rPr>
        <w:t>授权代表无转委托权，特此委托。</w:t>
      </w:r>
    </w:p>
    <w:p>
      <w:pPr>
        <w:snapToGrid w:val="0"/>
        <w:spacing w:before="156" w:beforeLines="50" w:after="50" w:line="460" w:lineRule="exact"/>
        <w:ind w:firstLine="480"/>
        <w:rPr>
          <w:rFonts w:ascii="宋体" w:hAnsi="宋体"/>
          <w:sz w:val="24"/>
        </w:rPr>
      </w:pPr>
    </w:p>
    <w:p>
      <w:pPr>
        <w:snapToGrid w:val="0"/>
        <w:spacing w:before="156" w:beforeLines="50" w:after="50" w:line="460" w:lineRule="exact"/>
        <w:rPr>
          <w:rFonts w:ascii="宋体" w:hAnsi="宋体"/>
          <w:sz w:val="24"/>
        </w:rPr>
      </w:pPr>
      <w:r>
        <w:rPr>
          <w:rFonts w:hint="eastAsia" w:ascii="宋体" w:hAnsi="宋体"/>
          <w:sz w:val="24"/>
        </w:rPr>
        <w:t xml:space="preserve">授权代表签字（或盖章）：      </w:t>
      </w:r>
    </w:p>
    <w:p>
      <w:pPr>
        <w:snapToGrid w:val="0"/>
        <w:spacing w:before="156" w:beforeLines="50" w:after="50" w:line="460" w:lineRule="exact"/>
        <w:rPr>
          <w:rFonts w:ascii="宋体" w:hAnsi="宋体"/>
          <w:sz w:val="24"/>
        </w:rPr>
      </w:pPr>
      <w:r>
        <w:rPr>
          <w:rFonts w:hint="eastAsia" w:ascii="宋体" w:hAnsi="宋体"/>
          <w:sz w:val="24"/>
        </w:rPr>
        <w:t>授权代表身份证号码：</w:t>
      </w:r>
    </w:p>
    <w:p>
      <w:pPr>
        <w:snapToGrid w:val="0"/>
        <w:spacing w:before="156" w:beforeLines="50" w:after="50" w:line="460" w:lineRule="exact"/>
        <w:rPr>
          <w:rFonts w:ascii="宋体" w:hAnsi="宋体"/>
          <w:sz w:val="24"/>
        </w:rPr>
      </w:pPr>
    </w:p>
    <w:p>
      <w:pPr>
        <w:snapToGrid w:val="0"/>
        <w:spacing w:before="156" w:beforeLines="50" w:after="50" w:line="460" w:lineRule="exact"/>
        <w:rPr>
          <w:rFonts w:ascii="宋体" w:hAnsi="宋体"/>
          <w:sz w:val="24"/>
          <w:u w:val="single"/>
        </w:rPr>
      </w:pPr>
      <w:r>
        <w:rPr>
          <w:rFonts w:hint="eastAsia" w:ascii="宋体" w:hAnsi="宋体"/>
          <w:sz w:val="24"/>
        </w:rPr>
        <w:t>法定代表人签字（或盖章）：</w:t>
      </w:r>
    </w:p>
    <w:p>
      <w:pPr>
        <w:snapToGrid w:val="0"/>
        <w:spacing w:before="156" w:beforeLines="50" w:after="50" w:line="460" w:lineRule="exact"/>
        <w:rPr>
          <w:rFonts w:ascii="宋体" w:hAnsi="宋体"/>
          <w:sz w:val="24"/>
        </w:rPr>
      </w:pPr>
      <w:r>
        <w:rPr>
          <w:rFonts w:hint="eastAsia" w:ascii="宋体" w:hAnsi="宋体"/>
          <w:sz w:val="24"/>
        </w:rPr>
        <w:t>法定代表人身份证号码：</w:t>
      </w:r>
    </w:p>
    <w:p>
      <w:pPr>
        <w:snapToGrid w:val="0"/>
        <w:spacing w:before="156" w:beforeLines="50" w:after="50" w:line="460" w:lineRule="exact"/>
        <w:rPr>
          <w:rFonts w:ascii="宋体" w:hAnsi="宋体"/>
          <w:sz w:val="24"/>
        </w:rPr>
      </w:pPr>
    </w:p>
    <w:p>
      <w:pPr>
        <w:snapToGrid w:val="0"/>
        <w:spacing w:before="156" w:beforeLines="50" w:after="50" w:line="460" w:lineRule="exact"/>
        <w:rPr>
          <w:rFonts w:ascii="宋体" w:hAnsi="宋体"/>
          <w:sz w:val="24"/>
        </w:rPr>
      </w:pPr>
    </w:p>
    <w:p>
      <w:pPr>
        <w:snapToGrid w:val="0"/>
        <w:spacing w:before="156" w:beforeLines="50" w:after="50" w:line="460" w:lineRule="exact"/>
        <w:rPr>
          <w:rFonts w:ascii="宋体" w:hAnsi="宋体"/>
          <w:sz w:val="24"/>
          <w:u w:val="single"/>
        </w:rPr>
      </w:pPr>
      <w:r>
        <w:rPr>
          <w:rFonts w:ascii="宋体" w:hAnsi="宋体"/>
          <w:sz w:val="24"/>
        </w:rPr>
        <w:t>供应商</w:t>
      </w:r>
      <w:r>
        <w:rPr>
          <w:rFonts w:hint="eastAsia" w:ascii="宋体" w:hAnsi="宋体"/>
          <w:sz w:val="24"/>
        </w:rPr>
        <w:t>全称（盖公章）：            日  期：</w:t>
      </w:r>
      <w:r>
        <w:rPr>
          <w:rFonts w:hint="eastAsia" w:ascii="宋体" w:hAnsi="宋体"/>
          <w:sz w:val="24"/>
          <w:u w:val="single"/>
        </w:rPr>
        <w:t xml:space="preserve">     年   月  日</w:t>
      </w:r>
    </w:p>
    <w:p>
      <w:pPr>
        <w:widowControl/>
        <w:jc w:val="left"/>
        <w:rPr>
          <w:rFonts w:ascii="宋体" w:hAnsi="宋体"/>
          <w:sz w:val="24"/>
          <w:u w:val="single"/>
        </w:rPr>
      </w:pPr>
    </w:p>
    <w:p>
      <w:pPr>
        <w:snapToGrid w:val="0"/>
        <w:spacing w:before="50" w:after="50"/>
        <w:jc w:val="left"/>
        <w:rPr>
          <w:rFonts w:ascii="宋体" w:hAnsi="宋体"/>
          <w:b/>
          <w:bCs/>
          <w:sz w:val="24"/>
          <w:u w:val="single"/>
        </w:rPr>
      </w:pPr>
      <w:r>
        <w:rPr>
          <w:rFonts w:hint="eastAsia" w:ascii="宋体" w:hAnsi="宋体"/>
          <w:b/>
          <w:bCs/>
          <w:sz w:val="24"/>
        </w:rPr>
        <w:t>友情提示：</w:t>
      </w:r>
      <w:r>
        <w:rPr>
          <w:rFonts w:hint="eastAsia" w:ascii="宋体" w:hAnsi="宋体"/>
          <w:b/>
          <w:bCs/>
          <w:sz w:val="24"/>
          <w:u w:val="single"/>
        </w:rPr>
        <w:t>1、请仔细核对身份证号码，若填写错误，作无效投标处理。</w:t>
      </w:r>
    </w:p>
    <w:p>
      <w:pPr>
        <w:snapToGrid w:val="0"/>
        <w:spacing w:before="50" w:after="50"/>
        <w:ind w:left="1558" w:leftChars="570" w:hanging="361" w:hangingChars="150"/>
        <w:jc w:val="left"/>
        <w:rPr>
          <w:rFonts w:ascii="宋体" w:hAnsi="宋体"/>
          <w:b/>
          <w:bCs/>
          <w:sz w:val="24"/>
          <w:u w:val="single"/>
        </w:rPr>
      </w:pPr>
      <w:r>
        <w:rPr>
          <w:rFonts w:hint="eastAsia" w:ascii="宋体" w:hAnsi="宋体"/>
          <w:b/>
          <w:bCs/>
          <w:sz w:val="24"/>
          <w:u w:val="single"/>
        </w:rPr>
        <w:t>2、联合体投标的，需提供联合体牵头人的法定代表人授权委托书，否则作无效投标处理。</w:t>
      </w:r>
    </w:p>
    <w:p>
      <w:pPr>
        <w:snapToGrid w:val="0"/>
        <w:spacing w:before="50" w:after="50"/>
        <w:jc w:val="left"/>
        <w:rPr>
          <w:rFonts w:ascii="宋体" w:hAnsi="宋体"/>
          <w:b/>
          <w:sz w:val="36"/>
          <w:szCs w:val="36"/>
        </w:rPr>
      </w:pPr>
    </w:p>
    <w:p>
      <w:pPr>
        <w:pStyle w:val="123"/>
        <w:spacing w:afterLines="0" w:line="440" w:lineRule="exact"/>
        <w:ind w:firstLine="0" w:firstLineChars="0"/>
        <w:rPr>
          <w:rFonts w:ascii="宋体" w:hAnsi="宋体"/>
          <w:b/>
          <w:bCs/>
          <w:sz w:val="28"/>
          <w:szCs w:val="28"/>
        </w:rPr>
      </w:pPr>
      <w:r>
        <w:rPr>
          <w:rFonts w:ascii="宋体" w:hAnsi="宋体"/>
          <w:b/>
          <w:bCs/>
          <w:sz w:val="28"/>
          <w:szCs w:val="28"/>
        </w:rPr>
        <w:t>附</w:t>
      </w:r>
      <w:r>
        <w:rPr>
          <w:rFonts w:hint="eastAsia" w:ascii="宋体" w:hAnsi="宋体"/>
          <w:b/>
          <w:bCs/>
          <w:sz w:val="28"/>
          <w:szCs w:val="28"/>
        </w:rPr>
        <w:t>件</w:t>
      </w:r>
      <w:r>
        <w:rPr>
          <w:rFonts w:ascii="宋体" w:hAnsi="宋体"/>
          <w:b/>
          <w:bCs/>
          <w:sz w:val="28"/>
          <w:szCs w:val="28"/>
        </w:rPr>
        <w:t>6</w:t>
      </w:r>
      <w:r>
        <w:rPr>
          <w:rFonts w:hint="eastAsia" w:ascii="宋体" w:hAnsi="宋体"/>
          <w:b/>
          <w:bCs/>
          <w:sz w:val="28"/>
          <w:szCs w:val="28"/>
        </w:rPr>
        <w:t>：授权代表社保证明</w:t>
      </w:r>
    </w:p>
    <w:p>
      <w:pPr>
        <w:pStyle w:val="123"/>
        <w:spacing w:afterLines="0" w:line="440" w:lineRule="exact"/>
        <w:ind w:firstLine="0" w:firstLineChars="0"/>
        <w:rPr>
          <w:rFonts w:ascii="宋体" w:hAnsi="宋体"/>
          <w:b/>
          <w:bCs/>
          <w:sz w:val="28"/>
          <w:szCs w:val="28"/>
        </w:rPr>
      </w:pPr>
    </w:p>
    <w:p>
      <w:pPr>
        <w:pStyle w:val="123"/>
        <w:spacing w:afterLines="0" w:line="440" w:lineRule="exact"/>
        <w:ind w:firstLine="0" w:firstLineChars="0"/>
        <w:rPr>
          <w:rFonts w:ascii="宋体" w:hAnsi="宋体"/>
          <w:b/>
          <w:bCs/>
          <w:sz w:val="28"/>
          <w:szCs w:val="28"/>
        </w:rPr>
      </w:pPr>
    </w:p>
    <w:p>
      <w:pPr>
        <w:pStyle w:val="123"/>
        <w:spacing w:afterLines="0" w:line="440" w:lineRule="exact"/>
        <w:ind w:firstLine="0" w:firstLineChars="0"/>
        <w:rPr>
          <w:rFonts w:ascii="宋体" w:hAnsi="宋体"/>
          <w:sz w:val="28"/>
          <w:szCs w:val="28"/>
        </w:rPr>
      </w:pPr>
      <w:r>
        <w:rPr>
          <w:rFonts w:ascii="宋体" w:hAnsi="宋体"/>
          <w:sz w:val="28"/>
          <w:szCs w:val="28"/>
        </w:rPr>
        <w:t>制作说明：</w:t>
      </w:r>
    </w:p>
    <w:p>
      <w:pPr>
        <w:pStyle w:val="123"/>
        <w:spacing w:afterLines="0" w:line="440" w:lineRule="exact"/>
        <w:ind w:firstLine="0" w:firstLineChars="0"/>
        <w:rPr>
          <w:rFonts w:ascii="宋体" w:hAnsi="宋体"/>
          <w:b/>
          <w:bCs/>
          <w:sz w:val="28"/>
          <w:szCs w:val="28"/>
        </w:rPr>
      </w:pPr>
      <w:r>
        <w:rPr>
          <w:rFonts w:hint="eastAsia" w:ascii="宋体" w:hAnsi="宋体"/>
          <w:b/>
          <w:bCs/>
          <w:sz w:val="28"/>
          <w:szCs w:val="28"/>
        </w:rPr>
        <w:t>1.社保证明</w:t>
      </w:r>
      <w:r>
        <w:rPr>
          <w:rFonts w:ascii="宋体" w:hAnsi="宋体"/>
          <w:b/>
          <w:bCs/>
          <w:sz w:val="28"/>
          <w:szCs w:val="28"/>
        </w:rPr>
        <w:t>出具</w:t>
      </w:r>
      <w:r>
        <w:rPr>
          <w:rFonts w:hint="eastAsia" w:ascii="宋体" w:hAnsi="宋体"/>
          <w:b/>
          <w:bCs/>
          <w:sz w:val="28"/>
          <w:szCs w:val="28"/>
        </w:rPr>
        <w:t>时间不得早于投标截止时间前2个月；</w:t>
      </w:r>
    </w:p>
    <w:p>
      <w:pPr>
        <w:pStyle w:val="123"/>
        <w:spacing w:afterLines="0" w:line="440" w:lineRule="exact"/>
        <w:ind w:firstLine="0" w:firstLineChars="0"/>
        <w:rPr>
          <w:rFonts w:ascii="宋体" w:hAnsi="宋体"/>
          <w:sz w:val="28"/>
          <w:szCs w:val="28"/>
        </w:rPr>
      </w:pPr>
      <w:r>
        <w:rPr>
          <w:rFonts w:hint="eastAsia" w:ascii="宋体" w:hAnsi="宋体"/>
          <w:sz w:val="28"/>
          <w:szCs w:val="28"/>
        </w:rPr>
        <w:t>2.如该授权代表为离退休返聘人员的，需提供退休证明及单位聘用证明</w:t>
      </w:r>
      <w:r>
        <w:rPr>
          <w:rFonts w:ascii="宋体" w:hAnsi="宋体"/>
          <w:sz w:val="28"/>
          <w:szCs w:val="28"/>
        </w:rPr>
        <w:t>复印件</w:t>
      </w:r>
      <w:r>
        <w:rPr>
          <w:rFonts w:hint="eastAsia" w:ascii="宋体" w:hAnsi="宋体"/>
          <w:sz w:val="28"/>
          <w:szCs w:val="28"/>
        </w:rPr>
        <w:t xml:space="preserve">; </w:t>
      </w:r>
    </w:p>
    <w:p>
      <w:pPr>
        <w:pStyle w:val="123"/>
        <w:spacing w:afterLines="0" w:line="440" w:lineRule="exact"/>
        <w:ind w:firstLine="0" w:firstLineChars="0"/>
        <w:rPr>
          <w:rFonts w:ascii="宋体" w:hAnsi="宋体"/>
          <w:sz w:val="28"/>
          <w:szCs w:val="28"/>
        </w:rPr>
      </w:pPr>
      <w:r>
        <w:rPr>
          <w:rFonts w:hint="eastAsia" w:ascii="宋体" w:hAnsi="宋体"/>
          <w:sz w:val="28"/>
          <w:szCs w:val="28"/>
        </w:rPr>
        <w:t>3.如由第三方代理社保事项的，则</w:t>
      </w:r>
      <w:r>
        <w:rPr>
          <w:rFonts w:ascii="宋体" w:hAnsi="宋体"/>
          <w:sz w:val="28"/>
          <w:szCs w:val="28"/>
        </w:rPr>
        <w:t>还</w:t>
      </w:r>
      <w:r>
        <w:rPr>
          <w:rFonts w:hint="eastAsia" w:ascii="宋体" w:hAnsi="宋体"/>
          <w:sz w:val="28"/>
          <w:szCs w:val="28"/>
        </w:rPr>
        <w:t>需提供加盖供应商及代理方公章的</w:t>
      </w:r>
      <w:r>
        <w:rPr>
          <w:rFonts w:ascii="宋体" w:hAnsi="宋体"/>
          <w:sz w:val="28"/>
          <w:szCs w:val="28"/>
        </w:rPr>
        <w:t>社保代理协议复印件等证明</w:t>
      </w:r>
      <w:r>
        <w:rPr>
          <w:rFonts w:hint="eastAsia" w:ascii="宋体" w:hAnsi="宋体"/>
          <w:sz w:val="28"/>
          <w:szCs w:val="28"/>
        </w:rPr>
        <w:t>材料</w:t>
      </w:r>
      <w:r>
        <w:rPr>
          <w:rFonts w:ascii="宋体" w:hAnsi="宋体"/>
          <w:sz w:val="28"/>
          <w:szCs w:val="28"/>
        </w:rPr>
        <w:t>。</w:t>
      </w: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b/>
          <w:bCs/>
          <w:sz w:val="28"/>
          <w:szCs w:val="28"/>
        </w:rPr>
      </w:pPr>
      <w:r>
        <w:rPr>
          <w:rFonts w:hint="eastAsia" w:ascii="宋体" w:hAnsi="宋体"/>
          <w:b/>
          <w:bCs/>
          <w:sz w:val="28"/>
          <w:szCs w:val="28"/>
        </w:rPr>
        <w:t>附件</w:t>
      </w:r>
      <w:r>
        <w:rPr>
          <w:rFonts w:ascii="宋体" w:hAnsi="宋体"/>
          <w:b/>
          <w:bCs/>
          <w:sz w:val="28"/>
          <w:szCs w:val="28"/>
        </w:rPr>
        <w:t>7</w:t>
      </w:r>
      <w:r>
        <w:rPr>
          <w:rFonts w:hint="eastAsia" w:ascii="宋体" w:hAnsi="宋体"/>
          <w:b/>
          <w:bCs/>
          <w:sz w:val="28"/>
          <w:szCs w:val="28"/>
        </w:rPr>
        <w:t>：法定代表人及其授权代表身份证</w:t>
      </w:r>
      <w:r>
        <w:rPr>
          <w:rFonts w:ascii="宋体" w:hAnsi="宋体"/>
          <w:b/>
          <w:bCs/>
          <w:sz w:val="28"/>
          <w:szCs w:val="28"/>
        </w:rPr>
        <w:t>明</w:t>
      </w:r>
    </w:p>
    <w:p>
      <w:pPr>
        <w:pStyle w:val="123"/>
        <w:spacing w:afterLines="0" w:line="440" w:lineRule="exact"/>
        <w:ind w:firstLine="0" w:firstLineChars="0"/>
        <w:rPr>
          <w:rFonts w:ascii="宋体" w:hAnsi="宋体"/>
          <w:b/>
          <w:bCs/>
          <w:sz w:val="28"/>
          <w:szCs w:val="28"/>
        </w:rPr>
      </w:pPr>
    </w:p>
    <w:p>
      <w:pPr>
        <w:pStyle w:val="123"/>
        <w:spacing w:afterLines="0" w:line="440" w:lineRule="exact"/>
        <w:ind w:firstLine="0" w:firstLineChars="0"/>
        <w:rPr>
          <w:rFonts w:ascii="宋体" w:hAnsi="宋体"/>
          <w:b/>
          <w:bCs/>
          <w:sz w:val="28"/>
          <w:szCs w:val="28"/>
        </w:rPr>
      </w:pPr>
    </w:p>
    <w:p>
      <w:pPr>
        <w:pStyle w:val="123"/>
        <w:spacing w:afterLines="0" w:line="440" w:lineRule="exact"/>
        <w:ind w:firstLine="0" w:firstLineChars="0"/>
        <w:rPr>
          <w:rFonts w:ascii="宋体" w:hAnsi="宋体"/>
          <w:sz w:val="28"/>
          <w:szCs w:val="28"/>
        </w:rPr>
      </w:pPr>
      <w:r>
        <w:rPr>
          <w:rFonts w:hint="eastAsia" w:ascii="宋体" w:hAnsi="宋体"/>
          <w:sz w:val="28"/>
          <w:szCs w:val="28"/>
        </w:rPr>
        <w:t>制作说明：</w:t>
      </w:r>
    </w:p>
    <w:p>
      <w:pPr>
        <w:pStyle w:val="123"/>
        <w:numPr>
          <w:ilvl w:val="0"/>
          <w:numId w:val="23"/>
        </w:numPr>
        <w:spacing w:after="0" w:afterLines="0" w:line="440" w:lineRule="exact"/>
        <w:ind w:firstLineChars="0"/>
        <w:rPr>
          <w:rFonts w:ascii="宋体" w:hAnsi="宋体"/>
          <w:sz w:val="28"/>
          <w:szCs w:val="28"/>
        </w:rPr>
      </w:pPr>
      <w:r>
        <w:rPr>
          <w:rFonts w:hint="eastAsia" w:ascii="宋体" w:hAnsi="宋体"/>
          <w:sz w:val="28"/>
          <w:szCs w:val="28"/>
        </w:rPr>
        <w:t>提供身份证原件正反两面的</w:t>
      </w:r>
      <w:r>
        <w:rPr>
          <w:rFonts w:ascii="宋体" w:hAnsi="宋体"/>
          <w:sz w:val="28"/>
          <w:szCs w:val="28"/>
        </w:rPr>
        <w:t>复印件或扫描件或图片</w:t>
      </w:r>
      <w:r>
        <w:rPr>
          <w:rFonts w:hint="eastAsia" w:ascii="宋体" w:hAnsi="宋体"/>
          <w:sz w:val="28"/>
          <w:szCs w:val="28"/>
        </w:rPr>
        <w:t>，内容清晰可辨，否则视为无效投标。</w:t>
      </w:r>
    </w:p>
    <w:p>
      <w:pPr>
        <w:pStyle w:val="123"/>
        <w:numPr>
          <w:ilvl w:val="0"/>
          <w:numId w:val="23"/>
        </w:numPr>
        <w:spacing w:after="0" w:afterLines="0" w:line="440" w:lineRule="exact"/>
        <w:ind w:firstLineChars="0"/>
        <w:rPr>
          <w:rFonts w:ascii="宋体" w:hAnsi="宋体"/>
          <w:sz w:val="28"/>
          <w:szCs w:val="28"/>
        </w:rPr>
      </w:pPr>
      <w:r>
        <w:rPr>
          <w:rFonts w:hint="eastAsia" w:ascii="宋体" w:hAnsi="宋体"/>
          <w:sz w:val="28"/>
          <w:szCs w:val="28"/>
        </w:rPr>
        <w:t>联合体投标的，提供联合体牵头人的法定代表人及其授权代表身份证，授权代表需为联合体牵头人单位在职职工。</w:t>
      </w:r>
    </w:p>
    <w:p>
      <w:pPr>
        <w:pStyle w:val="123"/>
        <w:numPr>
          <w:ilvl w:val="0"/>
          <w:numId w:val="23"/>
        </w:numPr>
        <w:spacing w:after="0" w:afterLines="0" w:line="440" w:lineRule="exact"/>
        <w:ind w:firstLineChars="0"/>
        <w:rPr>
          <w:rFonts w:ascii="宋体" w:hAnsi="宋体"/>
          <w:sz w:val="28"/>
          <w:szCs w:val="28"/>
        </w:rPr>
      </w:pPr>
      <w:r>
        <w:rPr>
          <w:rFonts w:hint="eastAsia" w:ascii="宋体" w:hAnsi="宋体"/>
          <w:sz w:val="28"/>
          <w:szCs w:val="28"/>
        </w:rPr>
        <w:t>个体工商户参与投标的提供经营者本人的身份证。</w:t>
      </w: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pStyle w:val="123"/>
        <w:spacing w:afterLines="0" w:line="440" w:lineRule="exact"/>
        <w:ind w:firstLine="0" w:firstLineChars="0"/>
        <w:rPr>
          <w:rFonts w:ascii="宋体" w:hAnsi="宋体"/>
          <w:sz w:val="28"/>
          <w:szCs w:val="28"/>
        </w:rPr>
      </w:pPr>
    </w:p>
    <w:p>
      <w:pPr>
        <w:snapToGrid w:val="0"/>
        <w:spacing w:before="156" w:beforeLines="50" w:after="50"/>
        <w:jc w:val="left"/>
        <w:rPr>
          <w:rFonts w:ascii="宋体" w:hAnsi="宋体"/>
          <w:b/>
          <w:bCs/>
          <w:sz w:val="30"/>
          <w:szCs w:val="30"/>
        </w:rPr>
      </w:pPr>
      <w:r>
        <w:rPr>
          <w:rFonts w:hint="eastAsia" w:ascii="宋体" w:hAnsi="宋体"/>
          <w:b/>
          <w:bCs/>
          <w:sz w:val="30"/>
          <w:szCs w:val="30"/>
        </w:rPr>
        <w:t>附件</w:t>
      </w:r>
      <w:r>
        <w:rPr>
          <w:rFonts w:ascii="宋体" w:hAnsi="宋体"/>
          <w:b/>
          <w:bCs/>
          <w:sz w:val="30"/>
          <w:szCs w:val="30"/>
        </w:rPr>
        <w:t>8</w:t>
      </w:r>
      <w:r>
        <w:rPr>
          <w:rFonts w:hint="eastAsia" w:ascii="宋体" w:hAnsi="宋体"/>
          <w:b/>
          <w:bCs/>
          <w:sz w:val="30"/>
          <w:szCs w:val="30"/>
        </w:rPr>
        <w:t>：</w:t>
      </w:r>
      <w:r>
        <w:rPr>
          <w:rFonts w:ascii="宋体" w:hAnsi="宋体"/>
          <w:b/>
          <w:bCs/>
          <w:sz w:val="30"/>
          <w:szCs w:val="30"/>
        </w:rPr>
        <w:t>商务和技术文件封面</w:t>
      </w:r>
    </w:p>
    <w:p>
      <w:pPr>
        <w:snapToGrid w:val="0"/>
        <w:spacing w:before="156" w:beforeLines="50" w:after="50"/>
        <w:jc w:val="right"/>
        <w:rPr>
          <w:rFonts w:ascii="宋体" w:hAnsi="宋体"/>
          <w:b/>
          <w:sz w:val="30"/>
          <w:szCs w:val="30"/>
        </w:rPr>
      </w:pPr>
      <w:r>
        <w:rPr>
          <w:rFonts w:ascii="宋体" w:hAnsi="宋体"/>
          <w:bCs/>
          <w:sz w:val="30"/>
          <w:szCs w:val="30"/>
          <w:u w:val="single"/>
        </w:rPr>
        <w:t>（填写</w:t>
      </w:r>
      <w:r>
        <w:rPr>
          <w:rFonts w:hint="eastAsia" w:ascii="宋体" w:hAnsi="宋体"/>
          <w:bCs/>
          <w:sz w:val="30"/>
          <w:szCs w:val="30"/>
          <w:u w:val="single"/>
        </w:rPr>
        <w:t>正本或副本</w:t>
      </w:r>
      <w:r>
        <w:rPr>
          <w:rFonts w:ascii="宋体" w:hAnsi="宋体"/>
          <w:bCs/>
          <w:sz w:val="30"/>
          <w:szCs w:val="30"/>
          <w:u w:val="single"/>
        </w:rPr>
        <w:t>）</w:t>
      </w:r>
    </w:p>
    <w:p>
      <w:pPr>
        <w:snapToGrid w:val="0"/>
        <w:spacing w:before="156" w:beforeLines="50" w:after="50"/>
        <w:jc w:val="right"/>
        <w:rPr>
          <w:rFonts w:ascii="宋体" w:hAnsi="宋体"/>
          <w:bCs/>
          <w:sz w:val="30"/>
          <w:szCs w:val="30"/>
        </w:rPr>
      </w:pPr>
    </w:p>
    <w:p>
      <w:pPr>
        <w:spacing w:line="400" w:lineRule="exact"/>
        <w:ind w:right="-110"/>
        <w:rPr>
          <w:rFonts w:ascii="宋体" w:hAnsi="宋体"/>
          <w:spacing w:val="40"/>
          <w:sz w:val="30"/>
          <w:szCs w:val="30"/>
        </w:rPr>
      </w:pPr>
      <w:r>
        <w:rPr>
          <w:rFonts w:hint="eastAsia" w:ascii="宋体" w:hAnsi="宋体"/>
          <w:spacing w:val="40"/>
          <w:sz w:val="30"/>
          <w:szCs w:val="30"/>
        </w:rPr>
        <w:t>项目名称</w:t>
      </w:r>
      <w:r>
        <w:rPr>
          <w:rFonts w:ascii="宋体" w:hAnsi="宋体"/>
          <w:spacing w:val="40"/>
          <w:sz w:val="30"/>
          <w:szCs w:val="30"/>
        </w:rPr>
        <w:t>：</w:t>
      </w:r>
    </w:p>
    <w:p>
      <w:pPr>
        <w:spacing w:before="312" w:beforeLines="100" w:line="400" w:lineRule="exact"/>
        <w:rPr>
          <w:rFonts w:ascii="宋体" w:hAnsi="宋体"/>
          <w:sz w:val="30"/>
          <w:szCs w:val="30"/>
          <w:u w:val="single"/>
        </w:rPr>
      </w:pPr>
      <w:r>
        <w:rPr>
          <w:rFonts w:hint="eastAsia" w:ascii="宋体" w:hAnsi="宋体"/>
          <w:sz w:val="30"/>
          <w:szCs w:val="30"/>
        </w:rPr>
        <w:t>项目编号：</w:t>
      </w:r>
    </w:p>
    <w:p>
      <w:pPr>
        <w:spacing w:before="312" w:beforeLines="100" w:line="400" w:lineRule="exact"/>
        <w:rPr>
          <w:rFonts w:ascii="宋体" w:hAnsi="宋体"/>
          <w:sz w:val="30"/>
          <w:szCs w:val="30"/>
        </w:rPr>
      </w:pPr>
      <w:r>
        <w:rPr>
          <w:rFonts w:ascii="宋体" w:hAnsi="宋体"/>
          <w:sz w:val="30"/>
          <w:szCs w:val="30"/>
        </w:rPr>
        <w:t>标段编号：</w:t>
      </w:r>
    </w:p>
    <w:p>
      <w:pPr>
        <w:spacing w:line="1200" w:lineRule="exact"/>
        <w:ind w:right="6"/>
        <w:jc w:val="center"/>
        <w:rPr>
          <w:rFonts w:ascii="宋体" w:hAnsi="宋体"/>
          <w:sz w:val="72"/>
          <w:szCs w:val="72"/>
        </w:rPr>
      </w:pPr>
      <w:r>
        <w:rPr>
          <w:rFonts w:ascii="宋体" w:hAnsi="宋体"/>
          <w:sz w:val="72"/>
          <w:szCs w:val="72"/>
        </w:rPr>
        <w:t>商</w:t>
      </w:r>
    </w:p>
    <w:p>
      <w:pPr>
        <w:spacing w:line="1200" w:lineRule="exact"/>
        <w:ind w:right="6"/>
        <w:jc w:val="center"/>
        <w:rPr>
          <w:rFonts w:ascii="宋体" w:hAnsi="宋体"/>
          <w:sz w:val="72"/>
          <w:szCs w:val="72"/>
        </w:rPr>
      </w:pPr>
      <w:r>
        <w:rPr>
          <w:rFonts w:ascii="宋体" w:hAnsi="宋体"/>
          <w:sz w:val="72"/>
          <w:szCs w:val="72"/>
        </w:rPr>
        <w:t>务</w:t>
      </w:r>
    </w:p>
    <w:p>
      <w:pPr>
        <w:spacing w:line="1200" w:lineRule="exact"/>
        <w:ind w:right="6"/>
        <w:jc w:val="center"/>
        <w:rPr>
          <w:rFonts w:ascii="宋体" w:hAnsi="宋体"/>
          <w:sz w:val="72"/>
          <w:szCs w:val="72"/>
        </w:rPr>
      </w:pPr>
      <w:r>
        <w:rPr>
          <w:rFonts w:ascii="宋体" w:hAnsi="宋体"/>
          <w:sz w:val="72"/>
          <w:szCs w:val="72"/>
        </w:rPr>
        <w:t>和</w:t>
      </w:r>
    </w:p>
    <w:p>
      <w:pPr>
        <w:spacing w:line="1200" w:lineRule="exact"/>
        <w:ind w:right="6"/>
        <w:jc w:val="center"/>
        <w:rPr>
          <w:rFonts w:ascii="宋体" w:hAnsi="宋体"/>
          <w:sz w:val="72"/>
          <w:szCs w:val="72"/>
        </w:rPr>
      </w:pPr>
      <w:r>
        <w:rPr>
          <w:rFonts w:ascii="宋体" w:hAnsi="宋体"/>
          <w:sz w:val="72"/>
          <w:szCs w:val="72"/>
        </w:rPr>
        <w:t>技</w:t>
      </w:r>
    </w:p>
    <w:p>
      <w:pPr>
        <w:spacing w:line="1200" w:lineRule="exact"/>
        <w:ind w:right="6"/>
        <w:jc w:val="center"/>
        <w:rPr>
          <w:rFonts w:ascii="宋体" w:hAnsi="宋体"/>
          <w:sz w:val="72"/>
          <w:szCs w:val="72"/>
        </w:rPr>
      </w:pPr>
      <w:r>
        <w:rPr>
          <w:rFonts w:ascii="宋体" w:hAnsi="宋体"/>
          <w:sz w:val="72"/>
          <w:szCs w:val="72"/>
        </w:rPr>
        <w:t>术</w:t>
      </w:r>
    </w:p>
    <w:p>
      <w:pPr>
        <w:spacing w:line="1200" w:lineRule="exact"/>
        <w:ind w:right="6"/>
        <w:jc w:val="center"/>
        <w:rPr>
          <w:rFonts w:ascii="宋体" w:hAnsi="宋体"/>
          <w:sz w:val="72"/>
          <w:szCs w:val="72"/>
        </w:rPr>
      </w:pPr>
      <w:r>
        <w:rPr>
          <w:rFonts w:ascii="宋体" w:hAnsi="宋体"/>
          <w:sz w:val="72"/>
          <w:szCs w:val="72"/>
        </w:rPr>
        <w:t>文</w:t>
      </w:r>
    </w:p>
    <w:p>
      <w:pPr>
        <w:spacing w:line="1200" w:lineRule="exact"/>
        <w:ind w:right="6"/>
        <w:jc w:val="center"/>
        <w:rPr>
          <w:rFonts w:ascii="宋体" w:hAnsi="宋体"/>
          <w:sz w:val="72"/>
          <w:szCs w:val="72"/>
        </w:rPr>
      </w:pPr>
      <w:r>
        <w:rPr>
          <w:rFonts w:ascii="宋体" w:hAnsi="宋体"/>
          <w:sz w:val="72"/>
          <w:szCs w:val="72"/>
        </w:rPr>
        <w:t>件</w:t>
      </w:r>
    </w:p>
    <w:p>
      <w:pPr>
        <w:spacing w:line="500" w:lineRule="exact"/>
        <w:ind w:right="7"/>
        <w:jc w:val="center"/>
        <w:rPr>
          <w:rFonts w:ascii="宋体" w:hAnsi="宋体"/>
          <w:sz w:val="36"/>
          <w:szCs w:val="36"/>
        </w:rPr>
      </w:pPr>
    </w:p>
    <w:p>
      <w:pPr>
        <w:spacing w:line="400" w:lineRule="exact"/>
        <w:ind w:right="-110"/>
        <w:rPr>
          <w:rFonts w:ascii="宋体" w:hAnsi="宋体"/>
          <w:spacing w:val="40"/>
          <w:sz w:val="30"/>
          <w:szCs w:val="30"/>
        </w:rPr>
      </w:pPr>
      <w:r>
        <w:rPr>
          <w:rFonts w:hint="eastAsia" w:ascii="宋体" w:hAnsi="宋体"/>
          <w:spacing w:val="40"/>
          <w:sz w:val="30"/>
          <w:szCs w:val="30"/>
        </w:rPr>
        <w:t>供应商名称（盖章）：</w:t>
      </w:r>
    </w:p>
    <w:p>
      <w:pPr>
        <w:spacing w:line="400" w:lineRule="exact"/>
        <w:ind w:right="-110"/>
        <w:rPr>
          <w:rFonts w:ascii="宋体" w:hAnsi="宋体"/>
          <w:spacing w:val="40"/>
          <w:sz w:val="30"/>
          <w:szCs w:val="30"/>
        </w:rPr>
      </w:pPr>
      <w:r>
        <w:rPr>
          <w:rFonts w:hint="eastAsia" w:ascii="宋体" w:hAnsi="宋体"/>
          <w:spacing w:val="40"/>
          <w:sz w:val="30"/>
          <w:szCs w:val="30"/>
        </w:rPr>
        <w:t>地    址：</w:t>
      </w:r>
    </w:p>
    <w:p>
      <w:pPr>
        <w:spacing w:line="400" w:lineRule="exact"/>
        <w:ind w:right="-110"/>
        <w:rPr>
          <w:rFonts w:ascii="宋体" w:hAnsi="宋体"/>
          <w:spacing w:val="40"/>
          <w:sz w:val="30"/>
          <w:szCs w:val="30"/>
        </w:rPr>
      </w:pPr>
      <w:r>
        <w:rPr>
          <w:rFonts w:ascii="宋体" w:hAnsi="宋体"/>
          <w:spacing w:val="40"/>
          <w:sz w:val="30"/>
          <w:szCs w:val="30"/>
        </w:rPr>
        <w:t>日期</w:t>
      </w:r>
      <w:r>
        <w:rPr>
          <w:rFonts w:hint="eastAsia" w:ascii="宋体" w:hAnsi="宋体"/>
          <w:spacing w:val="40"/>
          <w:sz w:val="30"/>
          <w:szCs w:val="30"/>
        </w:rPr>
        <w:t>：</w:t>
      </w:r>
    </w:p>
    <w:p>
      <w:pPr>
        <w:spacing w:line="400" w:lineRule="exact"/>
        <w:ind w:right="-110"/>
        <w:rPr>
          <w:rFonts w:ascii="宋体" w:hAnsi="宋体"/>
          <w:spacing w:val="40"/>
          <w:sz w:val="30"/>
          <w:szCs w:val="30"/>
        </w:rPr>
      </w:pPr>
    </w:p>
    <w:p>
      <w:pPr>
        <w:snapToGrid w:val="0"/>
        <w:spacing w:before="156" w:beforeLines="50" w:after="50"/>
        <w:jc w:val="left"/>
        <w:rPr>
          <w:rFonts w:ascii="宋体" w:hAnsi="宋体"/>
          <w:b/>
          <w:bCs/>
          <w:sz w:val="30"/>
          <w:szCs w:val="30"/>
        </w:rPr>
      </w:pPr>
      <w:r>
        <w:rPr>
          <w:rFonts w:hint="eastAsia" w:ascii="宋体" w:hAnsi="宋体"/>
          <w:b/>
          <w:bCs/>
          <w:sz w:val="30"/>
          <w:szCs w:val="30"/>
        </w:rPr>
        <w:t>附件</w:t>
      </w:r>
      <w:r>
        <w:rPr>
          <w:rFonts w:ascii="宋体" w:hAnsi="宋体"/>
          <w:b/>
          <w:bCs/>
          <w:sz w:val="30"/>
          <w:szCs w:val="30"/>
        </w:rPr>
        <w:t>9</w:t>
      </w:r>
      <w:r>
        <w:rPr>
          <w:rFonts w:hint="eastAsia" w:ascii="宋体" w:hAnsi="宋体"/>
          <w:b/>
          <w:bCs/>
          <w:sz w:val="30"/>
          <w:szCs w:val="30"/>
        </w:rPr>
        <w:t>：</w:t>
      </w:r>
      <w:r>
        <w:rPr>
          <w:rFonts w:ascii="宋体" w:hAnsi="宋体"/>
          <w:b/>
          <w:bCs/>
          <w:sz w:val="30"/>
          <w:szCs w:val="30"/>
        </w:rPr>
        <w:t>商务和技术文件目录</w:t>
      </w:r>
    </w:p>
    <w:p>
      <w:pPr>
        <w:snapToGrid w:val="0"/>
        <w:spacing w:before="156" w:beforeLines="50" w:after="50"/>
        <w:jc w:val="center"/>
        <w:rPr>
          <w:rFonts w:ascii="宋体" w:hAnsi="宋体" w:cs="仿宋_GB2312"/>
          <w:sz w:val="30"/>
          <w:szCs w:val="30"/>
        </w:rPr>
      </w:pPr>
      <w:r>
        <w:rPr>
          <w:rFonts w:hint="eastAsia" w:ascii="宋体" w:hAnsi="宋体" w:cs="仿宋_GB2312"/>
          <w:sz w:val="30"/>
          <w:szCs w:val="30"/>
        </w:rPr>
        <w:t>目 录</w:t>
      </w:r>
    </w:p>
    <w:p>
      <w:pPr>
        <w:pStyle w:val="178"/>
        <w:spacing w:line="360" w:lineRule="auto"/>
        <w:ind w:firstLine="0" w:firstLineChars="0"/>
        <w:jc w:val="left"/>
        <w:rPr>
          <w:rFonts w:ascii="宋体" w:hAnsi="宋体" w:eastAsia="宋体" w:cs="仿宋_GB2312"/>
        </w:rPr>
      </w:pPr>
      <w:bookmarkStart w:id="21" w:name="_Toc64369789"/>
      <w:r>
        <w:rPr>
          <w:rFonts w:hint="eastAsia" w:ascii="宋体" w:hAnsi="宋体" w:eastAsia="宋体" w:cs="仿宋_GB2312"/>
        </w:rPr>
        <w:t>1.</w:t>
      </w:r>
      <w:r>
        <w:rPr>
          <w:rFonts w:ascii="宋体" w:hAnsi="宋体" w:eastAsia="宋体" w:cs="仿宋_GB2312"/>
        </w:rPr>
        <w:t>评分对应表</w:t>
      </w:r>
      <w:r>
        <w:rPr>
          <w:rFonts w:hint="eastAsia" w:ascii="宋体" w:hAnsi="宋体" w:eastAsia="宋体" w:cs="仿宋_GB2312"/>
        </w:rPr>
        <w:t>……………………………………………………………………（页码）</w:t>
      </w:r>
    </w:p>
    <w:p>
      <w:pPr>
        <w:pStyle w:val="178"/>
        <w:spacing w:line="360" w:lineRule="auto"/>
        <w:ind w:firstLine="0" w:firstLineChars="0"/>
        <w:jc w:val="left"/>
        <w:rPr>
          <w:rFonts w:ascii="宋体" w:hAnsi="宋体" w:eastAsia="宋体" w:cs="仿宋_GB2312"/>
        </w:rPr>
      </w:pPr>
      <w:r>
        <w:rPr>
          <w:rFonts w:ascii="宋体" w:hAnsi="宋体" w:eastAsia="宋体" w:cs="仿宋_GB2312"/>
        </w:rPr>
        <w:t>2.</w:t>
      </w:r>
      <w:r>
        <w:rPr>
          <w:rFonts w:hint="eastAsia" w:ascii="宋体" w:hAnsi="宋体" w:eastAsia="宋体" w:cs="仿宋_GB2312"/>
        </w:rPr>
        <w:t>项目明细清单………………………………………………………</w:t>
      </w:r>
      <w:r>
        <w:rPr>
          <w:rFonts w:hint="eastAsia" w:ascii="宋体" w:hAnsi="宋体" w:eastAsia="宋体" w:cs="仿宋_GB2312"/>
          <w:lang w:val="zh-CN"/>
        </w:rPr>
        <w:t>……</w:t>
      </w:r>
      <w:r>
        <w:rPr>
          <w:rFonts w:hint="eastAsia" w:ascii="宋体" w:hAnsi="宋体" w:eastAsia="宋体" w:cs="仿宋_GB2312"/>
        </w:rPr>
        <w:t>……（页码）</w:t>
      </w:r>
      <w:bookmarkEnd w:id="21"/>
    </w:p>
    <w:p>
      <w:pPr>
        <w:pStyle w:val="178"/>
        <w:spacing w:line="360" w:lineRule="auto"/>
        <w:ind w:firstLine="0" w:firstLineChars="0"/>
        <w:jc w:val="left"/>
        <w:rPr>
          <w:rFonts w:ascii="宋体" w:hAnsi="宋体" w:eastAsia="宋体" w:cs="仿宋_GB2312"/>
        </w:rPr>
      </w:pPr>
      <w:bookmarkStart w:id="22" w:name="_Toc64369790"/>
      <w:r>
        <w:rPr>
          <w:rFonts w:ascii="宋体" w:hAnsi="宋体" w:eastAsia="宋体" w:cs="仿宋_GB2312"/>
        </w:rPr>
        <w:t>3</w:t>
      </w:r>
      <w:r>
        <w:rPr>
          <w:rFonts w:hint="eastAsia" w:ascii="宋体" w:hAnsi="宋体" w:eastAsia="宋体" w:cs="仿宋_GB2312"/>
        </w:rPr>
        <w:t>.技术响应表……………………………………………………………………（页码）</w:t>
      </w:r>
      <w:bookmarkEnd w:id="22"/>
    </w:p>
    <w:p>
      <w:pPr>
        <w:pStyle w:val="178"/>
        <w:spacing w:line="360" w:lineRule="auto"/>
        <w:ind w:firstLine="0" w:firstLineChars="0"/>
        <w:jc w:val="left"/>
        <w:rPr>
          <w:rFonts w:ascii="宋体" w:hAnsi="宋体" w:eastAsia="宋体" w:cs="仿宋_GB2312"/>
        </w:rPr>
      </w:pPr>
      <w:bookmarkStart w:id="23" w:name="_Toc64369791"/>
      <w:r>
        <w:rPr>
          <w:rFonts w:ascii="宋体" w:hAnsi="宋体" w:eastAsia="宋体" w:cs="仿宋_GB2312"/>
        </w:rPr>
        <w:t>4</w:t>
      </w:r>
      <w:r>
        <w:rPr>
          <w:rFonts w:hint="eastAsia" w:ascii="宋体" w:hAnsi="宋体" w:eastAsia="宋体" w:cs="仿宋_GB2312"/>
        </w:rPr>
        <w:t>.商务响应表……………………………………………………………………（页码）</w:t>
      </w:r>
      <w:bookmarkEnd w:id="23"/>
    </w:p>
    <w:p>
      <w:pPr>
        <w:pStyle w:val="178"/>
        <w:spacing w:line="360" w:lineRule="auto"/>
        <w:ind w:firstLine="0" w:firstLineChars="0"/>
        <w:jc w:val="left"/>
        <w:rPr>
          <w:rFonts w:ascii="宋体" w:hAnsi="宋体" w:eastAsia="宋体" w:cs="仿宋_GB2312"/>
        </w:rPr>
      </w:pPr>
      <w:bookmarkStart w:id="24" w:name="_Toc64369792"/>
      <w:r>
        <w:rPr>
          <w:rFonts w:ascii="宋体" w:hAnsi="宋体" w:eastAsia="宋体" w:cs="仿宋_GB2312"/>
        </w:rPr>
        <w:t>5</w:t>
      </w:r>
      <w:r>
        <w:rPr>
          <w:rFonts w:hint="eastAsia" w:ascii="宋体" w:hAnsi="宋体" w:eastAsia="宋体" w:cs="仿宋_GB2312"/>
        </w:rPr>
        <w:t>.项目实施方案………………………………………………………</w:t>
      </w:r>
      <w:r>
        <w:rPr>
          <w:rFonts w:hint="eastAsia" w:ascii="宋体" w:hAnsi="宋体" w:eastAsia="宋体" w:cs="仿宋_GB2312"/>
          <w:lang w:val="zh-CN"/>
        </w:rPr>
        <w:t>…</w:t>
      </w:r>
      <w:r>
        <w:rPr>
          <w:rFonts w:hint="eastAsia" w:ascii="宋体" w:hAnsi="宋体" w:eastAsia="宋体" w:cs="仿宋_GB2312"/>
        </w:rPr>
        <w:t>………（页码）</w:t>
      </w:r>
      <w:bookmarkEnd w:id="24"/>
    </w:p>
    <w:p>
      <w:pPr>
        <w:pStyle w:val="178"/>
        <w:spacing w:line="360" w:lineRule="auto"/>
        <w:ind w:firstLine="0" w:firstLineChars="0"/>
        <w:jc w:val="left"/>
        <w:rPr>
          <w:rFonts w:ascii="宋体" w:hAnsi="宋体" w:eastAsia="宋体" w:cs="仿宋_GB2312"/>
        </w:rPr>
      </w:pPr>
      <w:bookmarkStart w:id="25" w:name="_Toc64369793"/>
      <w:r>
        <w:rPr>
          <w:rFonts w:ascii="宋体" w:hAnsi="宋体" w:eastAsia="宋体" w:cs="仿宋_GB2312"/>
        </w:rPr>
        <w:t>6</w:t>
      </w:r>
      <w:r>
        <w:rPr>
          <w:rFonts w:hint="eastAsia" w:ascii="宋体" w:hAnsi="宋体" w:eastAsia="宋体" w:cs="仿宋_GB2312"/>
        </w:rPr>
        <w:t>.项目实施人员清单…………………………………………………</w:t>
      </w:r>
      <w:r>
        <w:rPr>
          <w:rFonts w:hint="eastAsia" w:ascii="宋体" w:hAnsi="宋体" w:eastAsia="宋体" w:cs="仿宋_GB2312"/>
          <w:lang w:val="zh-CN"/>
        </w:rPr>
        <w:t>……</w:t>
      </w:r>
      <w:r>
        <w:rPr>
          <w:rFonts w:hint="eastAsia" w:ascii="宋体" w:hAnsi="宋体" w:eastAsia="宋体" w:cs="仿宋_GB2312"/>
        </w:rPr>
        <w:t>……（页码）</w:t>
      </w:r>
      <w:bookmarkEnd w:id="25"/>
    </w:p>
    <w:p>
      <w:pPr>
        <w:pStyle w:val="178"/>
        <w:spacing w:line="360" w:lineRule="auto"/>
        <w:ind w:firstLine="0" w:firstLineChars="0"/>
        <w:jc w:val="left"/>
        <w:rPr>
          <w:rFonts w:ascii="宋体" w:hAnsi="宋体" w:eastAsia="宋体" w:cs="仿宋_GB2312"/>
        </w:rPr>
      </w:pPr>
      <w:bookmarkStart w:id="26" w:name="_Toc64369796"/>
      <w:r>
        <w:rPr>
          <w:rFonts w:ascii="宋体" w:hAnsi="宋体" w:eastAsia="宋体" w:cs="仿宋_GB2312"/>
        </w:rPr>
        <w:t>7</w:t>
      </w:r>
      <w:r>
        <w:rPr>
          <w:rFonts w:hint="eastAsia" w:ascii="宋体" w:hAnsi="宋体" w:eastAsia="宋体" w:cs="仿宋_GB2312"/>
        </w:rPr>
        <w:t>.类似业绩一览表（附业绩证明材料）……………………………</w:t>
      </w:r>
      <w:r>
        <w:rPr>
          <w:rFonts w:hint="eastAsia" w:ascii="宋体" w:hAnsi="宋体" w:eastAsia="宋体" w:cs="仿宋_GB2312"/>
          <w:lang w:val="zh-CN"/>
        </w:rPr>
        <w:t>…</w:t>
      </w:r>
      <w:r>
        <w:rPr>
          <w:rFonts w:hint="eastAsia" w:ascii="宋体" w:hAnsi="宋体" w:eastAsia="宋体" w:cs="仿宋_GB2312"/>
        </w:rPr>
        <w:t>………（页码）</w:t>
      </w:r>
      <w:bookmarkEnd w:id="26"/>
    </w:p>
    <w:p>
      <w:pPr>
        <w:pStyle w:val="178"/>
        <w:spacing w:line="360" w:lineRule="auto"/>
        <w:ind w:firstLine="0" w:firstLineChars="0"/>
        <w:jc w:val="left"/>
        <w:rPr>
          <w:rFonts w:ascii="宋体" w:hAnsi="宋体" w:eastAsia="宋体" w:cs="仿宋_GB2312"/>
        </w:rPr>
      </w:pPr>
      <w:bookmarkStart w:id="27" w:name="_Toc64369797"/>
      <w:r>
        <w:rPr>
          <w:rFonts w:ascii="宋体" w:hAnsi="宋体" w:eastAsia="宋体" w:cs="仿宋_GB2312"/>
          <w:lang w:val="zh-CN"/>
        </w:rPr>
        <w:t>8</w:t>
      </w:r>
      <w:r>
        <w:rPr>
          <w:rFonts w:hint="eastAsia" w:ascii="宋体" w:hAnsi="宋体" w:eastAsia="宋体" w:cs="仿宋_GB2312"/>
          <w:lang w:val="zh-CN"/>
        </w:rPr>
        <w:t>.优惠条件及其他额外承诺………………………………</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bookmarkEnd w:id="27"/>
    </w:p>
    <w:p>
      <w:pPr>
        <w:pStyle w:val="178"/>
        <w:spacing w:line="360" w:lineRule="auto"/>
        <w:ind w:firstLine="0" w:firstLineChars="0"/>
        <w:jc w:val="left"/>
        <w:rPr>
          <w:rFonts w:ascii="宋体" w:hAnsi="宋体" w:eastAsia="宋体" w:cs="仿宋_GB2312"/>
          <w:lang w:val="zh-CN"/>
        </w:rPr>
      </w:pPr>
      <w:r>
        <w:rPr>
          <w:rFonts w:ascii="宋体" w:hAnsi="宋体" w:eastAsia="宋体" w:cs="仿宋_GB2312"/>
          <w:lang w:val="zh-CN"/>
        </w:rPr>
        <w:t>9</w:t>
      </w:r>
      <w:r>
        <w:rPr>
          <w:rFonts w:hint="eastAsia" w:ascii="宋体" w:hAnsi="宋体" w:eastAsia="宋体" w:cs="仿宋_GB2312"/>
          <w:lang w:val="zh-CN"/>
        </w:rPr>
        <w:t>.</w:t>
      </w:r>
      <w:r>
        <w:rPr>
          <w:rFonts w:hint="eastAsia" w:ascii="宋体" w:hAnsi="宋体" w:eastAsia="宋体" w:cs="仿宋_GB2312"/>
          <w:bCs/>
          <w:lang w:val="zh-CN"/>
        </w:rPr>
        <w:t>评分细则中要求提供的其他资料</w:t>
      </w:r>
      <w:r>
        <w:rPr>
          <w:rFonts w:hint="eastAsia" w:ascii="宋体" w:hAnsi="宋体" w:eastAsia="宋体" w:cs="仿宋_GB2312"/>
          <w:lang w:val="zh-CN"/>
        </w:rPr>
        <w:t>……………………………………………</w:t>
      </w:r>
      <w:r>
        <w:rPr>
          <w:rFonts w:hint="eastAsia" w:ascii="宋体" w:hAnsi="宋体" w:eastAsia="宋体" w:cs="仿宋_GB2312"/>
        </w:rPr>
        <w:t>（页码）</w:t>
      </w:r>
    </w:p>
    <w:p>
      <w:pPr>
        <w:pStyle w:val="178"/>
        <w:spacing w:line="360" w:lineRule="auto"/>
        <w:ind w:firstLine="0" w:firstLineChars="0"/>
        <w:jc w:val="left"/>
        <w:rPr>
          <w:rFonts w:ascii="宋体" w:hAnsi="宋体" w:eastAsia="宋体" w:cs="仿宋_GB2312"/>
        </w:rPr>
      </w:pPr>
      <w:bookmarkStart w:id="28" w:name="_Toc64369798"/>
      <w:r>
        <w:rPr>
          <w:rFonts w:hint="eastAsia" w:ascii="宋体" w:hAnsi="宋体" w:eastAsia="宋体" w:cs="仿宋_GB2312"/>
          <w:lang w:val="zh-CN"/>
        </w:rPr>
        <w:t>1</w:t>
      </w:r>
      <w:r>
        <w:rPr>
          <w:rFonts w:ascii="宋体" w:hAnsi="宋体" w:eastAsia="宋体" w:cs="仿宋_GB2312"/>
          <w:lang w:val="zh-CN"/>
        </w:rPr>
        <w:t>0</w:t>
      </w:r>
      <w:r>
        <w:rPr>
          <w:rFonts w:hint="eastAsia" w:ascii="宋体" w:hAnsi="宋体" w:eastAsia="宋体" w:cs="仿宋_GB2312"/>
          <w:lang w:val="zh-CN"/>
        </w:rPr>
        <w:t>.其他商务技术（资信）文件或说明……………………</w:t>
      </w:r>
      <w:r>
        <w:rPr>
          <w:rFonts w:hint="eastAsia" w:ascii="宋体" w:hAnsi="宋体" w:eastAsia="宋体" w:cs="仿宋_GB2312"/>
        </w:rPr>
        <w:t>…</w:t>
      </w:r>
      <w:r>
        <w:rPr>
          <w:rFonts w:hint="eastAsia" w:ascii="宋体" w:hAnsi="宋体" w:eastAsia="宋体" w:cs="仿宋_GB2312"/>
          <w:lang w:val="zh-CN"/>
        </w:rPr>
        <w:t>…………………</w:t>
      </w:r>
      <w:r>
        <w:rPr>
          <w:rFonts w:hint="eastAsia" w:ascii="宋体" w:hAnsi="宋体" w:eastAsia="宋体" w:cs="仿宋_GB2312"/>
        </w:rPr>
        <w:t>（页码）</w:t>
      </w:r>
      <w:bookmarkEnd w:id="28"/>
    </w:p>
    <w:p>
      <w:pPr>
        <w:pStyle w:val="222"/>
        <w:numPr>
          <w:ilvl w:val="0"/>
          <w:numId w:val="0"/>
        </w:numPr>
        <w:rPr>
          <w:rFonts w:ascii="宋体" w:hAnsi="宋体"/>
        </w:rPr>
      </w:pPr>
    </w:p>
    <w:p>
      <w:pPr>
        <w:rPr>
          <w:rFonts w:ascii="宋体" w:hAnsi="宋体" w:cs="仿宋_GB2312"/>
          <w:sz w:val="24"/>
          <w:lang w:val="zh-CN"/>
        </w:rPr>
      </w:pPr>
      <w:r>
        <w:rPr>
          <w:rFonts w:hint="eastAsia" w:ascii="宋体" w:hAnsi="宋体" w:cs="仿宋_GB2312"/>
          <w:sz w:val="24"/>
          <w:lang w:val="zh-CN"/>
        </w:rPr>
        <w:t>注：以上文件投标供应商可以在本采购文件提供的格式范本基础上适当微调，使得内容更加完备。</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23"/>
        <w:spacing w:afterLines="0" w:line="440" w:lineRule="exact"/>
        <w:ind w:firstLine="0" w:firstLineChars="0"/>
        <w:rPr>
          <w:rFonts w:ascii="宋体" w:hAnsi="宋体"/>
          <w:b/>
          <w:bCs/>
          <w:sz w:val="28"/>
          <w:szCs w:val="28"/>
        </w:rPr>
      </w:pPr>
      <w:r>
        <w:rPr>
          <w:rFonts w:ascii="宋体" w:hAnsi="宋体"/>
          <w:b/>
          <w:bCs/>
          <w:sz w:val="28"/>
          <w:szCs w:val="28"/>
        </w:rPr>
        <w:t>附件10</w:t>
      </w:r>
    </w:p>
    <w:p>
      <w:pPr>
        <w:snapToGrid w:val="0"/>
        <w:spacing w:before="50" w:after="50"/>
        <w:jc w:val="center"/>
        <w:rPr>
          <w:rFonts w:ascii="宋体" w:hAnsi="宋体"/>
          <w:b/>
          <w:sz w:val="36"/>
          <w:szCs w:val="36"/>
        </w:rPr>
      </w:pPr>
      <w:r>
        <w:rPr>
          <w:rFonts w:hint="eastAsia" w:ascii="宋体" w:hAnsi="宋体"/>
          <w:b/>
          <w:sz w:val="36"/>
          <w:szCs w:val="36"/>
        </w:rPr>
        <w:t>评分对应表</w:t>
      </w:r>
    </w:p>
    <w:p>
      <w:pPr>
        <w:snapToGrid w:val="0"/>
        <w:spacing w:before="50"/>
        <w:jc w:val="center"/>
        <w:rPr>
          <w:rFonts w:ascii="宋体" w:hAnsi="宋体"/>
          <w:b/>
          <w:sz w:val="32"/>
          <w:szCs w:val="32"/>
        </w:rPr>
      </w:pPr>
    </w:p>
    <w:p>
      <w:pPr>
        <w:pStyle w:val="14"/>
        <w:snapToGrid w:val="0"/>
        <w:jc w:val="left"/>
        <w:rPr>
          <w:rFonts w:ascii="宋体" w:hAnsi="宋体"/>
          <w:sz w:val="28"/>
          <w:szCs w:val="28"/>
        </w:rPr>
      </w:pPr>
      <w:r>
        <w:rPr>
          <w:rFonts w:hint="eastAsia" w:ascii="宋体" w:hAnsi="宋体"/>
          <w:sz w:val="28"/>
          <w:szCs w:val="28"/>
        </w:rPr>
        <w:t>供应商全称（</w:t>
      </w:r>
      <w:r>
        <w:rPr>
          <w:rFonts w:ascii="宋体" w:hAnsi="宋体"/>
          <w:sz w:val="28"/>
          <w:szCs w:val="28"/>
        </w:rPr>
        <w:t>或</w:t>
      </w:r>
      <w:r>
        <w:rPr>
          <w:rFonts w:hint="eastAsia" w:ascii="宋体" w:hAnsi="宋体"/>
          <w:sz w:val="28"/>
          <w:szCs w:val="28"/>
        </w:rPr>
        <w:t>公章）：</w:t>
      </w:r>
    </w:p>
    <w:p>
      <w:pPr>
        <w:pStyle w:val="14"/>
        <w:snapToGrid w:val="0"/>
        <w:jc w:val="left"/>
        <w:rPr>
          <w:rFonts w:ascii="宋体" w:hAnsi="宋体"/>
          <w:sz w:val="28"/>
          <w:szCs w:val="28"/>
          <w:u w:val="single"/>
        </w:rPr>
      </w:pPr>
      <w:r>
        <w:rPr>
          <w:rFonts w:ascii="宋体" w:hAnsi="宋体"/>
          <w:sz w:val="28"/>
          <w:szCs w:val="28"/>
        </w:rPr>
        <w:t>标段编号：</w:t>
      </w:r>
    </w:p>
    <w:tbl>
      <w:tblPr>
        <w:tblStyle w:val="4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 w:val="28"/>
                <w:szCs w:val="28"/>
              </w:rPr>
            </w:pPr>
            <w:r>
              <w:rPr>
                <w:rFonts w:hint="eastAsia" w:ascii="宋体" w:hAnsi="宋体"/>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sz w:val="28"/>
                <w:szCs w:val="28"/>
              </w:rPr>
            </w:pPr>
            <w:r>
              <w:rPr>
                <w:rFonts w:hint="eastAsia" w:ascii="宋体" w:hAnsi="宋体"/>
                <w:sz w:val="28"/>
                <w:szCs w:val="28"/>
              </w:rPr>
              <w:t>投标文件</w:t>
            </w:r>
            <w:r>
              <w:rPr>
                <w:rFonts w:ascii="宋体" w:hAnsi="宋体"/>
                <w:sz w:val="28"/>
                <w:szCs w:val="28"/>
              </w:rPr>
              <w:t>起止</w:t>
            </w:r>
            <w:r>
              <w:rPr>
                <w:rFonts w:hint="eastAsia" w:ascii="宋体" w:hAnsi="宋体"/>
                <w:sz w:val="28"/>
                <w:szCs w:val="28"/>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r>
              <w:rPr>
                <w:rFonts w:hint="eastAsia" w:ascii="宋体" w:hAnsi="宋体"/>
                <w:sz w:val="28"/>
                <w:szCs w:val="28"/>
              </w:rPr>
              <w:t>对应第</w:t>
            </w:r>
            <w:r>
              <w:rPr>
                <w:rFonts w:ascii="宋体" w:hAnsi="宋体"/>
                <w:sz w:val="28"/>
                <w:szCs w:val="28"/>
              </w:rPr>
              <w:t>五</w:t>
            </w:r>
            <w:r>
              <w:rPr>
                <w:rFonts w:hint="eastAsia" w:ascii="宋体" w:hAnsi="宋体"/>
                <w:sz w:val="28"/>
                <w:szCs w:val="28"/>
              </w:rPr>
              <w:t>章</w:t>
            </w:r>
            <w:r>
              <w:rPr>
                <w:rFonts w:ascii="宋体" w:hAnsi="宋体"/>
                <w:sz w:val="28"/>
                <w:szCs w:val="28"/>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r>
              <w:rPr>
                <w:rFonts w:hint="eastAsia" w:ascii="宋体" w:hAnsi="宋体"/>
                <w:sz w:val="28"/>
                <w:szCs w:val="28"/>
              </w:rPr>
              <w:t>……</w:t>
            </w: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8"/>
                <w:szCs w:val="28"/>
              </w:rPr>
            </w:pPr>
          </w:p>
        </w:tc>
        <w:tc>
          <w:tcPr>
            <w:tcW w:w="282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ascii="宋体" w:hAnsi="宋体"/>
                <w:sz w:val="28"/>
                <w:szCs w:val="28"/>
              </w:rPr>
            </w:pPr>
          </w:p>
        </w:tc>
      </w:tr>
    </w:tbl>
    <w:p>
      <w:pPr>
        <w:snapToGrid w:val="0"/>
        <w:spacing w:before="156" w:beforeLines="50"/>
        <w:rPr>
          <w:rFonts w:ascii="宋体" w:hAnsi="宋体"/>
          <w:sz w:val="30"/>
          <w:szCs w:val="30"/>
        </w:rPr>
      </w:pPr>
      <w:r>
        <w:rPr>
          <w:rFonts w:ascii="宋体" w:hAnsi="宋体"/>
          <w:sz w:val="30"/>
          <w:szCs w:val="30"/>
        </w:rPr>
        <w:t>注：供应商可对该表格的内容和格式进行细化和调整，以更加利于评审。</w:t>
      </w:r>
    </w:p>
    <w:p>
      <w:pPr>
        <w:snapToGrid w:val="0"/>
        <w:spacing w:before="156" w:beforeLines="50"/>
        <w:rPr>
          <w:rFonts w:ascii="宋体" w:hAnsi="宋体"/>
          <w:sz w:val="30"/>
          <w:szCs w:val="30"/>
        </w:rPr>
      </w:pPr>
    </w:p>
    <w:p>
      <w:pPr>
        <w:snapToGrid w:val="0"/>
        <w:spacing w:before="156" w:beforeLines="50"/>
        <w:rPr>
          <w:rFonts w:ascii="宋体" w:hAnsi="宋体"/>
          <w:sz w:val="28"/>
          <w:szCs w:val="28"/>
          <w:u w:val="single"/>
        </w:rPr>
      </w:pPr>
      <w:r>
        <w:rPr>
          <w:rFonts w:hint="eastAsia" w:ascii="宋体" w:hAnsi="宋体"/>
          <w:sz w:val="28"/>
          <w:szCs w:val="28"/>
        </w:rPr>
        <w:t>授权代表签名：               日期：</w:t>
      </w:r>
    </w:p>
    <w:p>
      <w:pPr>
        <w:snapToGrid w:val="0"/>
        <w:spacing w:before="50" w:after="156" w:afterLines="50"/>
        <w:jc w:val="left"/>
        <w:rPr>
          <w:rFonts w:ascii="宋体" w:hAnsi="宋体"/>
          <w:sz w:val="30"/>
          <w:szCs w:val="30"/>
        </w:rPr>
      </w:pPr>
    </w:p>
    <w:p>
      <w:pPr>
        <w:snapToGrid w:val="0"/>
        <w:spacing w:before="50" w:after="156" w:afterLines="50"/>
        <w:jc w:val="left"/>
        <w:rPr>
          <w:rFonts w:ascii="宋体" w:hAnsi="宋体"/>
          <w:sz w:val="30"/>
          <w:szCs w:val="30"/>
        </w:rPr>
      </w:pPr>
    </w:p>
    <w:p>
      <w:pPr>
        <w:pStyle w:val="123"/>
        <w:spacing w:afterLines="0" w:line="440" w:lineRule="exact"/>
        <w:ind w:firstLine="0" w:firstLineChars="0"/>
        <w:rPr>
          <w:rFonts w:ascii="宋体" w:hAnsi="宋体"/>
          <w:b/>
          <w:bCs/>
          <w:sz w:val="28"/>
          <w:szCs w:val="28"/>
        </w:rPr>
      </w:pPr>
      <w:r>
        <w:rPr>
          <w:rFonts w:hint="eastAsia" w:ascii="宋体" w:hAnsi="宋体"/>
          <w:sz w:val="30"/>
          <w:szCs w:val="30"/>
        </w:rPr>
        <w:br w:type="page"/>
      </w:r>
      <w:r>
        <w:rPr>
          <w:rFonts w:ascii="宋体" w:hAnsi="宋体"/>
          <w:b/>
          <w:bCs/>
          <w:sz w:val="28"/>
          <w:szCs w:val="28"/>
        </w:rPr>
        <w:t>附件11：</w:t>
      </w:r>
    </w:p>
    <w:p>
      <w:pPr>
        <w:snapToGrid w:val="0"/>
        <w:spacing w:before="50" w:after="156" w:afterLines="50"/>
        <w:jc w:val="center"/>
        <w:rPr>
          <w:rFonts w:ascii="宋体" w:hAnsi="宋体"/>
          <w:b/>
          <w:spacing w:val="40"/>
          <w:kern w:val="0"/>
          <w:sz w:val="36"/>
          <w:szCs w:val="36"/>
        </w:rPr>
      </w:pPr>
      <w:r>
        <w:rPr>
          <w:rFonts w:hint="eastAsia" w:ascii="宋体" w:hAnsi="宋体"/>
          <w:b/>
          <w:spacing w:val="40"/>
          <w:kern w:val="0"/>
          <w:sz w:val="36"/>
          <w:szCs w:val="36"/>
        </w:rPr>
        <w:t>项目明细清单</w:t>
      </w:r>
    </w:p>
    <w:p>
      <w:pPr>
        <w:snapToGrid w:val="0"/>
        <w:spacing w:before="50" w:after="156" w:afterLines="50"/>
        <w:jc w:val="center"/>
        <w:rPr>
          <w:rFonts w:ascii="宋体" w:hAnsi="宋体"/>
          <w:b/>
          <w:spacing w:val="40"/>
          <w:kern w:val="0"/>
          <w:sz w:val="36"/>
          <w:szCs w:val="36"/>
        </w:rPr>
      </w:pPr>
    </w:p>
    <w:p>
      <w:pPr>
        <w:pStyle w:val="14"/>
        <w:snapToGrid w:val="0"/>
        <w:rPr>
          <w:rFonts w:ascii="宋体" w:hAnsi="宋体"/>
          <w:kern w:val="0"/>
          <w:sz w:val="30"/>
          <w:szCs w:val="30"/>
          <w:u w:val="single"/>
        </w:rPr>
      </w:pPr>
      <w:r>
        <w:rPr>
          <w:rFonts w:ascii="宋体" w:hAnsi="宋体"/>
          <w:sz w:val="30"/>
          <w:szCs w:val="30"/>
        </w:rPr>
        <w:t>供应商</w:t>
      </w:r>
      <w:r>
        <w:rPr>
          <w:rFonts w:hint="eastAsia" w:ascii="宋体" w:hAnsi="宋体"/>
          <w:sz w:val="30"/>
          <w:szCs w:val="30"/>
        </w:rPr>
        <w:t>全称（公章）：           标</w:t>
      </w:r>
      <w:r>
        <w:rPr>
          <w:rFonts w:ascii="宋体" w:hAnsi="宋体"/>
          <w:sz w:val="30"/>
          <w:szCs w:val="30"/>
        </w:rPr>
        <w:t>段编号</w:t>
      </w:r>
      <w:r>
        <w:rPr>
          <w:rFonts w:hint="eastAsia" w:ascii="宋体" w:hAnsi="宋体"/>
          <w:sz w:val="30"/>
          <w:szCs w:val="30"/>
        </w:rPr>
        <w:t>：</w:t>
      </w:r>
    </w:p>
    <w:p>
      <w:pPr>
        <w:snapToGrid w:val="0"/>
        <w:spacing w:before="156" w:beforeLines="50"/>
        <w:rPr>
          <w:rFonts w:ascii="宋体" w:hAnsi="宋体"/>
          <w:sz w:val="30"/>
          <w:szCs w:val="30"/>
        </w:rPr>
      </w:pPr>
      <w:r>
        <w:rPr>
          <w:rFonts w:hint="eastAsia" w:ascii="宋体" w:hAnsi="宋体"/>
          <w:sz w:val="30"/>
          <w:szCs w:val="30"/>
        </w:rPr>
        <w:t>服务部分</w:t>
      </w:r>
    </w:p>
    <w:tbl>
      <w:tblPr>
        <w:tblStyle w:val="4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服务人员</w:t>
            </w:r>
          </w:p>
          <w:p>
            <w:pPr>
              <w:snapToGrid w:val="0"/>
              <w:spacing w:before="50" w:after="50"/>
              <w:jc w:val="center"/>
              <w:rPr>
                <w:rFonts w:ascii="宋体" w:hAnsi="宋体"/>
                <w:sz w:val="30"/>
                <w:szCs w:val="30"/>
              </w:rPr>
            </w:pPr>
            <w:r>
              <w:rPr>
                <w:rFonts w:hint="eastAsia" w:ascii="宋体" w:hAnsi="宋体"/>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1</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sz w:val="30"/>
                <w:szCs w:val="30"/>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2</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sz w:val="30"/>
                <w:szCs w:val="30"/>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28"/>
                <w:szCs w:val="28"/>
              </w:rPr>
              <w:t>…</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sz w:val="30"/>
                <w:szCs w:val="30"/>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r>
    </w:tbl>
    <w:p>
      <w:pPr>
        <w:pStyle w:val="14"/>
        <w:snapToGrid w:val="0"/>
        <w:rPr>
          <w:rFonts w:ascii="宋体" w:hAnsi="宋体"/>
          <w:sz w:val="30"/>
          <w:szCs w:val="30"/>
        </w:rPr>
      </w:pPr>
      <w:r>
        <w:rPr>
          <w:rFonts w:hint="eastAsia" w:ascii="宋体" w:hAnsi="宋体"/>
          <w:sz w:val="30"/>
          <w:szCs w:val="30"/>
        </w:rPr>
        <w:t>货物部分（如有）</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规格</w:t>
            </w:r>
          </w:p>
          <w:p>
            <w:pPr>
              <w:snapToGrid w:val="0"/>
              <w:spacing w:before="50" w:after="50"/>
              <w:jc w:val="center"/>
              <w:rPr>
                <w:rFonts w:ascii="宋体" w:hAnsi="宋体"/>
                <w:sz w:val="30"/>
                <w:szCs w:val="30"/>
              </w:rPr>
            </w:pPr>
            <w:r>
              <w:rPr>
                <w:rFonts w:hint="eastAsia" w:ascii="宋体" w:hAnsi="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单位及</w:t>
            </w:r>
          </w:p>
          <w:p>
            <w:pPr>
              <w:snapToGrid w:val="0"/>
              <w:spacing w:before="50" w:after="50"/>
              <w:jc w:val="center"/>
              <w:rPr>
                <w:rFonts w:ascii="宋体" w:hAnsi="宋体"/>
                <w:sz w:val="30"/>
                <w:szCs w:val="30"/>
              </w:rPr>
            </w:pPr>
            <w:r>
              <w:rPr>
                <w:rFonts w:hint="eastAsia" w:ascii="宋体" w:hAnsi="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1</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30"/>
                <w:szCs w:val="30"/>
              </w:rPr>
              <w:t>2</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r>
              <w:rPr>
                <w:rFonts w:hint="eastAsia" w:ascii="宋体" w:hAnsi="宋体"/>
                <w:sz w:val="28"/>
                <w:szCs w:val="28"/>
              </w:rPr>
              <w:t>…</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宋体" w:hAnsi="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z w:val="30"/>
                <w:szCs w:val="30"/>
              </w:rPr>
            </w:pPr>
          </w:p>
        </w:tc>
      </w:tr>
    </w:tbl>
    <w:p>
      <w:pPr>
        <w:snapToGrid w:val="0"/>
        <w:spacing w:before="156" w:beforeLines="50"/>
        <w:rPr>
          <w:rFonts w:ascii="宋体" w:hAnsi="宋体"/>
          <w:sz w:val="30"/>
          <w:szCs w:val="30"/>
        </w:rPr>
      </w:pPr>
      <w:r>
        <w:rPr>
          <w:rFonts w:hint="eastAsia" w:ascii="宋体" w:hAnsi="宋体"/>
          <w:sz w:val="30"/>
          <w:szCs w:val="30"/>
        </w:rPr>
        <w:t>注：在填写时，如上表不适合本项目的实际情况，可在确保内容完整的情况下，对上表进行细化。</w:t>
      </w:r>
    </w:p>
    <w:p>
      <w:pPr>
        <w:snapToGrid w:val="0"/>
        <w:spacing w:before="156" w:beforeLines="50"/>
        <w:rPr>
          <w:rFonts w:ascii="宋体" w:hAnsi="宋体"/>
          <w:sz w:val="30"/>
          <w:szCs w:val="30"/>
        </w:rPr>
      </w:pPr>
    </w:p>
    <w:p>
      <w:pPr>
        <w:snapToGrid w:val="0"/>
        <w:spacing w:before="156" w:beforeLines="50"/>
        <w:rPr>
          <w:rFonts w:ascii="宋体" w:hAnsi="宋体"/>
          <w:sz w:val="30"/>
          <w:szCs w:val="30"/>
        </w:rPr>
      </w:pPr>
      <w:r>
        <w:rPr>
          <w:rFonts w:hint="eastAsia" w:ascii="宋体" w:hAnsi="宋体"/>
          <w:sz w:val="30"/>
          <w:szCs w:val="30"/>
        </w:rPr>
        <w:t xml:space="preserve">法定代表人或其授权代表（签字或盖章）：          </w:t>
      </w:r>
    </w:p>
    <w:p>
      <w:pPr>
        <w:snapToGrid w:val="0"/>
        <w:spacing w:before="156" w:beforeLines="50"/>
        <w:rPr>
          <w:rFonts w:ascii="宋体" w:hAnsi="宋体"/>
          <w:sz w:val="30"/>
          <w:szCs w:val="30"/>
        </w:rPr>
      </w:pPr>
      <w:r>
        <w:rPr>
          <w:rFonts w:hint="eastAsia" w:ascii="宋体" w:hAnsi="宋体"/>
          <w:sz w:val="30"/>
          <w:szCs w:val="30"/>
        </w:rPr>
        <w:t>日期：</w:t>
      </w:r>
      <w:bookmarkStart w:id="29" w:name="_Toc64369808"/>
      <w:bookmarkEnd w:id="29"/>
      <w:bookmarkStart w:id="30" w:name="_Toc64369813"/>
      <w:bookmarkEnd w:id="30"/>
      <w:bookmarkStart w:id="31" w:name="_Toc64369809"/>
      <w:bookmarkEnd w:id="31"/>
      <w:bookmarkStart w:id="32" w:name="_Toc64369807"/>
      <w:bookmarkEnd w:id="32"/>
      <w:bookmarkStart w:id="33" w:name="_Toc64369812"/>
      <w:bookmarkEnd w:id="33"/>
      <w:bookmarkStart w:id="34" w:name="_Toc64369810"/>
      <w:bookmarkEnd w:id="34"/>
      <w:bookmarkStart w:id="35" w:name="_Toc64369805"/>
      <w:bookmarkEnd w:id="35"/>
      <w:bookmarkStart w:id="36" w:name="_Toc64369804"/>
      <w:bookmarkEnd w:id="36"/>
      <w:bookmarkStart w:id="37" w:name="_Toc64369811"/>
      <w:bookmarkEnd w:id="37"/>
      <w:bookmarkStart w:id="38" w:name="_Toc64369806"/>
      <w:bookmarkEnd w:id="38"/>
      <w:bookmarkStart w:id="39" w:name="_Toc64369814"/>
      <w:bookmarkEnd w:id="39"/>
    </w:p>
    <w:p>
      <w:pPr>
        <w:snapToGrid w:val="0"/>
        <w:spacing w:before="156" w:beforeLines="50"/>
        <w:rPr>
          <w:rFonts w:ascii="宋体" w:hAnsi="宋体"/>
          <w:b/>
          <w:bCs/>
          <w:sz w:val="30"/>
          <w:szCs w:val="30"/>
        </w:rPr>
      </w:pPr>
      <w:r>
        <w:rPr>
          <w:rFonts w:hint="eastAsia" w:ascii="宋体" w:hAnsi="宋体"/>
          <w:b/>
          <w:bCs/>
          <w:sz w:val="30"/>
          <w:szCs w:val="30"/>
        </w:rPr>
        <w:t>附件1</w:t>
      </w:r>
      <w:r>
        <w:rPr>
          <w:rFonts w:ascii="宋体" w:hAnsi="宋体"/>
          <w:b/>
          <w:bCs/>
          <w:sz w:val="30"/>
          <w:szCs w:val="30"/>
        </w:rPr>
        <w:t>2</w:t>
      </w:r>
      <w:r>
        <w:rPr>
          <w:rFonts w:hint="eastAsia" w:ascii="宋体" w:hAnsi="宋体"/>
          <w:b/>
          <w:bCs/>
          <w:sz w:val="30"/>
          <w:szCs w:val="30"/>
        </w:rPr>
        <w:t>：技术响应表</w:t>
      </w:r>
    </w:p>
    <w:p>
      <w:pPr>
        <w:snapToGrid w:val="0"/>
        <w:spacing w:before="50" w:after="156" w:afterLines="50"/>
        <w:jc w:val="center"/>
        <w:rPr>
          <w:rFonts w:ascii="宋体" w:hAnsi="宋体"/>
          <w:b/>
          <w:spacing w:val="40"/>
          <w:kern w:val="0"/>
          <w:sz w:val="36"/>
          <w:szCs w:val="36"/>
        </w:rPr>
      </w:pPr>
    </w:p>
    <w:p>
      <w:pPr>
        <w:snapToGrid w:val="0"/>
        <w:spacing w:before="50" w:after="156" w:afterLines="50"/>
        <w:jc w:val="center"/>
        <w:rPr>
          <w:rFonts w:ascii="宋体" w:hAnsi="宋体"/>
          <w:b/>
          <w:spacing w:val="40"/>
          <w:kern w:val="0"/>
          <w:sz w:val="36"/>
          <w:szCs w:val="36"/>
        </w:rPr>
      </w:pPr>
      <w:r>
        <w:rPr>
          <w:rFonts w:hint="eastAsia" w:ascii="宋体" w:hAnsi="宋体"/>
          <w:b/>
          <w:spacing w:val="40"/>
          <w:kern w:val="0"/>
          <w:sz w:val="36"/>
          <w:szCs w:val="36"/>
        </w:rPr>
        <w:t>技 术 响 应 表</w:t>
      </w:r>
    </w:p>
    <w:p>
      <w:pPr>
        <w:snapToGrid w:val="0"/>
        <w:spacing w:before="50" w:after="156" w:afterLines="50"/>
        <w:jc w:val="left"/>
        <w:rPr>
          <w:rFonts w:ascii="宋体" w:hAnsi="宋体"/>
          <w:b/>
          <w:sz w:val="32"/>
          <w:szCs w:val="32"/>
        </w:rPr>
      </w:pPr>
    </w:p>
    <w:p>
      <w:pPr>
        <w:pStyle w:val="14"/>
        <w:snapToGrid w:val="0"/>
        <w:jc w:val="left"/>
        <w:rPr>
          <w:rFonts w:ascii="宋体" w:hAnsi="宋体"/>
          <w:sz w:val="30"/>
          <w:szCs w:val="30"/>
        </w:rPr>
      </w:pPr>
      <w:r>
        <w:rPr>
          <w:rFonts w:ascii="宋体" w:hAnsi="宋体"/>
          <w:sz w:val="30"/>
          <w:szCs w:val="30"/>
        </w:rPr>
        <w:t>供应商</w:t>
      </w:r>
      <w:r>
        <w:rPr>
          <w:rFonts w:hint="eastAsia" w:ascii="宋体" w:hAnsi="宋体"/>
          <w:sz w:val="30"/>
          <w:szCs w:val="30"/>
        </w:rPr>
        <w:t>全称（公章）：</w:t>
      </w:r>
    </w:p>
    <w:p>
      <w:pPr>
        <w:pStyle w:val="14"/>
        <w:snapToGrid w:val="0"/>
        <w:jc w:val="left"/>
        <w:rPr>
          <w:rFonts w:ascii="宋体" w:hAnsi="宋体"/>
          <w:sz w:val="30"/>
          <w:szCs w:val="30"/>
          <w:u w:val="single"/>
        </w:rPr>
      </w:pPr>
      <w:r>
        <w:rPr>
          <w:rFonts w:hint="eastAsia" w:ascii="宋体" w:hAnsi="宋体"/>
          <w:sz w:val="30"/>
          <w:szCs w:val="30"/>
        </w:rPr>
        <w:t>标段</w:t>
      </w:r>
      <w:r>
        <w:rPr>
          <w:rFonts w:ascii="宋体" w:hAnsi="宋体"/>
          <w:sz w:val="30"/>
          <w:szCs w:val="30"/>
        </w:rPr>
        <w:t>编号</w:t>
      </w:r>
      <w:r>
        <w:rPr>
          <w:rFonts w:hint="eastAsia" w:ascii="宋体" w:hAnsi="宋体"/>
          <w:sz w:val="30"/>
          <w:szCs w:val="30"/>
        </w:rPr>
        <w:t>：</w:t>
      </w:r>
    </w:p>
    <w:tbl>
      <w:tblPr>
        <w:tblStyle w:val="42"/>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bookmarkStart w:id="40" w:name="_Toc64369800"/>
            <w:r>
              <w:rPr>
                <w:rFonts w:hint="eastAsia" w:ascii="宋体" w:hAnsi="宋体"/>
                <w:spacing w:val="20"/>
                <w:sz w:val="24"/>
              </w:rPr>
              <w:t>序号</w:t>
            </w:r>
            <w:bookmarkEnd w:id="40"/>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r>
              <w:rPr>
                <w:rFonts w:hint="eastAsia" w:ascii="宋体" w:hAnsi="宋体"/>
                <w:spacing w:val="20"/>
                <w:sz w:val="24"/>
              </w:rPr>
              <w:t>服务名称</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bookmarkStart w:id="41" w:name="_Toc64369801"/>
            <w:bookmarkStart w:id="42" w:name="_Toc64369802"/>
            <w:r>
              <w:rPr>
                <w:rFonts w:hint="eastAsia" w:ascii="宋体" w:hAnsi="宋体"/>
                <w:spacing w:val="20"/>
                <w:sz w:val="24"/>
              </w:rPr>
              <w:t>采购文件</w:t>
            </w:r>
          </w:p>
          <w:p>
            <w:pPr>
              <w:snapToGrid w:val="0"/>
              <w:spacing w:before="50" w:after="50"/>
              <w:jc w:val="center"/>
              <w:rPr>
                <w:rFonts w:ascii="宋体" w:hAnsi="宋体"/>
                <w:spacing w:val="20"/>
                <w:sz w:val="24"/>
              </w:rPr>
            </w:pPr>
            <w:r>
              <w:rPr>
                <w:rFonts w:hint="eastAsia" w:ascii="宋体" w:hAnsi="宋体"/>
                <w:spacing w:val="20"/>
                <w:sz w:val="24"/>
              </w:rPr>
              <w:t>要求</w:t>
            </w:r>
            <w:bookmarkEnd w:id="41"/>
          </w:p>
        </w:tc>
        <w:tc>
          <w:tcPr>
            <w:tcW w:w="21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r>
              <w:rPr>
                <w:rFonts w:hint="eastAsia" w:ascii="宋体" w:hAnsi="宋体"/>
                <w:spacing w:val="20"/>
                <w:sz w:val="24"/>
              </w:rPr>
              <w:t>投标文件</w:t>
            </w:r>
          </w:p>
          <w:p>
            <w:pPr>
              <w:snapToGrid w:val="0"/>
              <w:spacing w:before="50" w:after="50"/>
              <w:jc w:val="center"/>
              <w:rPr>
                <w:rFonts w:ascii="宋体" w:hAnsi="宋体"/>
                <w:spacing w:val="20"/>
                <w:sz w:val="24"/>
              </w:rPr>
            </w:pPr>
            <w:r>
              <w:rPr>
                <w:rFonts w:hint="eastAsia" w:ascii="宋体" w:hAnsi="宋体"/>
                <w:spacing w:val="20"/>
                <w:sz w:val="24"/>
              </w:rPr>
              <w:t>响应</w:t>
            </w:r>
            <w:bookmarkEnd w:id="42"/>
          </w:p>
        </w:tc>
        <w:tc>
          <w:tcPr>
            <w:tcW w:w="13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bookmarkStart w:id="43" w:name="_Toc64369803"/>
            <w:r>
              <w:rPr>
                <w:rFonts w:hint="eastAsia" w:ascii="宋体" w:hAnsi="宋体"/>
                <w:spacing w:val="20"/>
                <w:sz w:val="24"/>
              </w:rPr>
              <w:t>偏离</w:t>
            </w:r>
          </w:p>
          <w:p>
            <w:pPr>
              <w:snapToGrid w:val="0"/>
              <w:spacing w:before="50" w:after="50"/>
              <w:jc w:val="center"/>
              <w:rPr>
                <w:rFonts w:ascii="宋体" w:hAnsi="宋体"/>
                <w:spacing w:val="20"/>
                <w:sz w:val="24"/>
              </w:rPr>
            </w:pPr>
            <w:r>
              <w:rPr>
                <w:rFonts w:hint="eastAsia" w:ascii="宋体" w:hAnsi="宋体"/>
                <w:spacing w:val="20"/>
                <w:sz w:val="24"/>
              </w:rPr>
              <w:t>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1</w:t>
            </w:r>
          </w:p>
        </w:tc>
        <w:tc>
          <w:tcPr>
            <w:tcW w:w="186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（服务项一）</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（服务内容）</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2</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（服务质量要求）</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nil"/>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3</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（服务人员）</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bookmarkStart w:id="44" w:name="_Toc64369799"/>
            <w:r>
              <w:rPr>
                <w:rFonts w:hint="eastAsia" w:ascii="宋体" w:hAnsi="宋体"/>
                <w:spacing w:val="20"/>
                <w:sz w:val="24"/>
              </w:rPr>
              <w:t>4</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（投入设备）</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（服务项二，如有）</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货物部分</w:t>
            </w:r>
            <w:bookmarkEnd w:id="44"/>
            <w:r>
              <w:rPr>
                <w:rFonts w:hint="eastAsia" w:ascii="宋体" w:hAnsi="宋体"/>
                <w:spacing w:val="20"/>
                <w:sz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r>
              <w:rPr>
                <w:rFonts w:hint="eastAsia" w:ascii="宋体" w:hAnsi="宋体"/>
                <w:spacing w:val="20"/>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r>
              <w:rPr>
                <w:rFonts w:hint="eastAsia" w:ascii="宋体" w:hAnsi="宋体"/>
                <w:spacing w:val="20"/>
                <w:sz w:val="24"/>
              </w:rPr>
              <w:t>货物名称</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spacing w:val="20"/>
                <w:sz w:val="24"/>
              </w:rPr>
            </w:pPr>
            <w:r>
              <w:rPr>
                <w:rFonts w:hint="eastAsia" w:ascii="宋体" w:hAnsi="宋体"/>
                <w:spacing w:val="20"/>
                <w:sz w:val="24"/>
              </w:rPr>
              <w:t>采购文件</w:t>
            </w:r>
          </w:p>
          <w:p>
            <w:pPr>
              <w:snapToGrid w:val="0"/>
              <w:spacing w:before="50" w:after="50"/>
              <w:jc w:val="center"/>
              <w:rPr>
                <w:rFonts w:ascii="宋体" w:hAnsi="宋体"/>
                <w:spacing w:val="20"/>
                <w:sz w:val="24"/>
              </w:rPr>
            </w:pPr>
            <w:r>
              <w:rPr>
                <w:rFonts w:hint="eastAsia" w:ascii="宋体" w:hAnsi="宋体"/>
                <w:spacing w:val="20"/>
                <w:sz w:val="24"/>
              </w:rPr>
              <w:t>要求</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spacing w:val="20"/>
                <w:sz w:val="24"/>
              </w:rPr>
            </w:pPr>
            <w:r>
              <w:rPr>
                <w:rFonts w:hint="eastAsia" w:ascii="宋体" w:hAnsi="宋体"/>
                <w:spacing w:val="20"/>
                <w:sz w:val="24"/>
              </w:rPr>
              <w:t>投标文件</w:t>
            </w:r>
          </w:p>
          <w:p>
            <w:pPr>
              <w:snapToGrid w:val="0"/>
              <w:spacing w:before="50" w:after="50"/>
              <w:jc w:val="center"/>
              <w:rPr>
                <w:rFonts w:ascii="宋体" w:hAnsi="宋体"/>
                <w:spacing w:val="20"/>
                <w:sz w:val="24"/>
              </w:rPr>
            </w:pPr>
            <w:r>
              <w:rPr>
                <w:rFonts w:hint="eastAsia" w:ascii="宋体" w:hAnsi="宋体"/>
                <w:spacing w:val="20"/>
                <w:sz w:val="24"/>
              </w:rPr>
              <w:t>响应</w:t>
            </w: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spacing w:val="20"/>
                <w:sz w:val="24"/>
              </w:rPr>
            </w:pPr>
            <w:r>
              <w:rPr>
                <w:rFonts w:hint="eastAsia" w:ascii="宋体" w:hAnsi="宋体"/>
                <w:spacing w:val="20"/>
                <w:sz w:val="24"/>
              </w:rPr>
              <w:t>偏离</w:t>
            </w:r>
          </w:p>
          <w:p>
            <w:pPr>
              <w:snapToGrid w:val="0"/>
              <w:spacing w:before="50" w:after="50"/>
              <w:jc w:val="center"/>
              <w:rPr>
                <w:rFonts w:ascii="宋体" w:hAnsi="宋体"/>
                <w:spacing w:val="20"/>
                <w:sz w:val="24"/>
              </w:rPr>
            </w:pPr>
            <w:r>
              <w:rPr>
                <w:rFonts w:hint="eastAsia" w:ascii="宋体" w:hAnsi="宋体"/>
                <w:spacing w:val="20"/>
                <w:sz w:val="24"/>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4"/>
              </w:rPr>
            </w:pPr>
            <w:r>
              <w:rPr>
                <w:rFonts w:hint="eastAsia" w:ascii="宋体" w:hAnsi="宋体"/>
                <w:spacing w:val="20"/>
                <w:sz w:val="24"/>
              </w:rPr>
              <w:t>…</w:t>
            </w:r>
          </w:p>
        </w:tc>
        <w:tc>
          <w:tcPr>
            <w:tcW w:w="21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宋体" w:hAnsi="宋体"/>
                <w:spacing w:val="20"/>
                <w:sz w:val="24"/>
              </w:rPr>
            </w:pPr>
          </w:p>
        </w:tc>
      </w:tr>
    </w:tbl>
    <w:p>
      <w:pPr>
        <w:snapToGrid w:val="0"/>
        <w:spacing w:before="50" w:after="50"/>
        <w:rPr>
          <w:rFonts w:ascii="宋体" w:hAnsi="宋体"/>
          <w:spacing w:val="20"/>
          <w:sz w:val="24"/>
        </w:rPr>
      </w:pPr>
      <w:r>
        <w:rPr>
          <w:rFonts w:hint="eastAsia" w:ascii="宋体" w:hAnsi="宋体"/>
          <w:spacing w:val="20"/>
          <w:sz w:val="24"/>
        </w:rPr>
        <w:t>注：</w:t>
      </w:r>
      <w:r>
        <w:rPr>
          <w:rFonts w:ascii="宋体" w:hAnsi="宋体"/>
          <w:spacing w:val="20"/>
          <w:sz w:val="24"/>
        </w:rPr>
        <w:t>1、</w:t>
      </w:r>
      <w:r>
        <w:rPr>
          <w:rFonts w:hint="eastAsia" w:ascii="宋体" w:hAnsi="宋体"/>
          <w:spacing w:val="20"/>
          <w:sz w:val="24"/>
        </w:rPr>
        <w:t>供应商应对照采购文件要求和投标文件响应情况在“偏离情况”栏注明“正偏离”、“负偏离”或“无偏离”。若正偏离的，需详细说明或提供证明材料。</w:t>
      </w:r>
    </w:p>
    <w:p>
      <w:pPr>
        <w:snapToGrid w:val="0"/>
        <w:spacing w:before="50" w:after="50"/>
        <w:rPr>
          <w:rFonts w:ascii="宋体" w:hAnsi="宋体"/>
          <w:spacing w:val="20"/>
          <w:sz w:val="24"/>
        </w:rPr>
      </w:pPr>
      <w:r>
        <w:rPr>
          <w:rFonts w:hint="eastAsia" w:ascii="宋体" w:hAnsi="宋体"/>
          <w:spacing w:val="20"/>
          <w:sz w:val="24"/>
        </w:rPr>
        <w:t>2、“采购文件要求”一列按采购需求中的“服务清单及要求”填写。</w:t>
      </w:r>
    </w:p>
    <w:p>
      <w:pPr>
        <w:pStyle w:val="17"/>
        <w:rPr>
          <w:rFonts w:ascii="宋体" w:hAnsi="宋体"/>
          <w:b/>
          <w:bCs/>
          <w:spacing w:val="20"/>
          <w:szCs w:val="24"/>
        </w:rPr>
      </w:pPr>
    </w:p>
    <w:p>
      <w:pPr>
        <w:snapToGrid w:val="0"/>
        <w:spacing w:before="50" w:after="50"/>
        <w:rPr>
          <w:rFonts w:ascii="宋体" w:hAnsi="宋体"/>
          <w:bCs/>
          <w:spacing w:val="20"/>
          <w:sz w:val="24"/>
        </w:rPr>
      </w:pPr>
    </w:p>
    <w:p>
      <w:pPr>
        <w:snapToGrid w:val="0"/>
        <w:spacing w:before="156" w:beforeLines="50"/>
        <w:rPr>
          <w:rFonts w:ascii="宋体" w:hAnsi="宋体"/>
          <w:bCs/>
          <w:spacing w:val="20"/>
          <w:sz w:val="24"/>
        </w:rPr>
      </w:pPr>
      <w:r>
        <w:rPr>
          <w:rFonts w:hint="eastAsia" w:ascii="宋体" w:hAnsi="宋体"/>
          <w:bCs/>
          <w:spacing w:val="20"/>
          <w:sz w:val="24"/>
        </w:rPr>
        <w:t xml:space="preserve">法定代表人或其授权代表（签字或盖章）：          </w:t>
      </w:r>
    </w:p>
    <w:p>
      <w:pPr>
        <w:snapToGrid w:val="0"/>
        <w:spacing w:before="156" w:beforeLines="50"/>
        <w:rPr>
          <w:rFonts w:ascii="宋体" w:hAnsi="宋体"/>
          <w:bCs/>
          <w:spacing w:val="20"/>
          <w:sz w:val="24"/>
        </w:rPr>
      </w:pPr>
      <w:r>
        <w:rPr>
          <w:rFonts w:hint="eastAsia" w:ascii="宋体" w:hAnsi="宋体"/>
          <w:bCs/>
          <w:spacing w:val="20"/>
          <w:sz w:val="24"/>
        </w:rPr>
        <w:t xml:space="preserve">日期：        </w:t>
      </w:r>
    </w:p>
    <w:p>
      <w:pPr>
        <w:snapToGrid w:val="0"/>
        <w:spacing w:before="50" w:after="50"/>
        <w:rPr>
          <w:rFonts w:ascii="宋体" w:hAnsi="宋体"/>
          <w:bCs/>
          <w:spacing w:val="20"/>
          <w:sz w:val="24"/>
        </w:rPr>
      </w:pPr>
    </w:p>
    <w:p>
      <w:pPr>
        <w:snapToGrid w:val="0"/>
        <w:spacing w:before="50" w:after="50"/>
        <w:rPr>
          <w:rFonts w:ascii="宋体" w:hAnsi="宋体"/>
          <w:b/>
          <w:bCs/>
          <w:sz w:val="30"/>
          <w:szCs w:val="30"/>
        </w:rPr>
      </w:pPr>
      <w:r>
        <w:rPr>
          <w:rFonts w:hint="eastAsia" w:ascii="宋体" w:hAnsi="宋体"/>
          <w:b/>
          <w:bCs/>
          <w:sz w:val="30"/>
          <w:szCs w:val="30"/>
        </w:rPr>
        <w:t>附件</w:t>
      </w:r>
      <w:r>
        <w:rPr>
          <w:rFonts w:ascii="宋体" w:hAnsi="宋体"/>
          <w:b/>
          <w:bCs/>
          <w:sz w:val="30"/>
          <w:szCs w:val="30"/>
        </w:rPr>
        <w:t>13</w:t>
      </w:r>
      <w:r>
        <w:rPr>
          <w:rFonts w:hint="eastAsia" w:ascii="宋体" w:hAnsi="宋体"/>
          <w:b/>
          <w:bCs/>
          <w:sz w:val="30"/>
          <w:szCs w:val="30"/>
        </w:rPr>
        <w:t>：</w:t>
      </w:r>
    </w:p>
    <w:p>
      <w:pPr>
        <w:snapToGrid w:val="0"/>
        <w:spacing w:before="50" w:after="156" w:afterLines="50"/>
        <w:jc w:val="center"/>
        <w:rPr>
          <w:rFonts w:ascii="宋体" w:hAnsi="宋体"/>
          <w:b/>
          <w:spacing w:val="40"/>
          <w:kern w:val="0"/>
          <w:sz w:val="36"/>
          <w:szCs w:val="36"/>
        </w:rPr>
      </w:pPr>
      <w:r>
        <w:rPr>
          <w:rFonts w:ascii="宋体" w:hAnsi="宋体"/>
          <w:b/>
          <w:spacing w:val="40"/>
          <w:kern w:val="0"/>
          <w:sz w:val="36"/>
          <w:szCs w:val="36"/>
        </w:rPr>
        <w:t>商 务</w:t>
      </w:r>
      <w:r>
        <w:rPr>
          <w:rFonts w:hint="eastAsia" w:ascii="宋体" w:hAnsi="宋体"/>
          <w:b/>
          <w:spacing w:val="40"/>
          <w:kern w:val="0"/>
          <w:sz w:val="36"/>
          <w:szCs w:val="36"/>
        </w:rPr>
        <w:t xml:space="preserve"> 响 应 表</w:t>
      </w:r>
    </w:p>
    <w:p>
      <w:pPr>
        <w:snapToGrid w:val="0"/>
        <w:spacing w:before="50" w:after="156" w:afterLines="50"/>
        <w:jc w:val="center"/>
        <w:rPr>
          <w:rFonts w:ascii="宋体" w:hAnsi="宋体"/>
          <w:b/>
          <w:sz w:val="32"/>
          <w:szCs w:val="32"/>
        </w:rPr>
      </w:pPr>
      <w:bookmarkStart w:id="45" w:name="_Toc64369824"/>
      <w:bookmarkEnd w:id="45"/>
    </w:p>
    <w:p>
      <w:pPr>
        <w:pStyle w:val="14"/>
        <w:snapToGrid w:val="0"/>
        <w:jc w:val="left"/>
        <w:rPr>
          <w:rFonts w:ascii="宋体" w:hAnsi="宋体"/>
          <w:sz w:val="28"/>
          <w:szCs w:val="28"/>
        </w:rPr>
      </w:pPr>
      <w:r>
        <w:rPr>
          <w:rFonts w:ascii="宋体" w:hAnsi="宋体"/>
          <w:sz w:val="28"/>
          <w:szCs w:val="28"/>
        </w:rPr>
        <w:t>供应商</w:t>
      </w:r>
      <w:r>
        <w:rPr>
          <w:rFonts w:hint="eastAsia" w:ascii="宋体" w:hAnsi="宋体"/>
          <w:sz w:val="28"/>
          <w:szCs w:val="28"/>
        </w:rPr>
        <w:t>全称（公章）：</w:t>
      </w:r>
    </w:p>
    <w:p>
      <w:pPr>
        <w:pStyle w:val="14"/>
        <w:snapToGrid w:val="0"/>
        <w:jc w:val="left"/>
        <w:rPr>
          <w:rFonts w:ascii="宋体" w:hAnsi="宋体"/>
          <w:sz w:val="28"/>
          <w:szCs w:val="28"/>
          <w:u w:val="single"/>
        </w:rPr>
      </w:pPr>
      <w:r>
        <w:rPr>
          <w:rFonts w:hint="eastAsia" w:ascii="宋体" w:hAnsi="宋体"/>
          <w:sz w:val="28"/>
          <w:szCs w:val="28"/>
        </w:rPr>
        <w:t>标项：</w:t>
      </w:r>
    </w:p>
    <w:tbl>
      <w:tblPr>
        <w:tblStyle w:val="4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s="仿宋_GB2312"/>
                <w:spacing w:val="20"/>
                <w:sz w:val="28"/>
                <w:szCs w:val="28"/>
              </w:rPr>
            </w:pPr>
            <w:bookmarkStart w:id="46" w:name="_Toc64369815"/>
            <w:r>
              <w:rPr>
                <w:rFonts w:hint="eastAsia" w:ascii="宋体" w:hAnsi="宋体" w:cs="仿宋_GB2312"/>
                <w:spacing w:val="20"/>
                <w:sz w:val="28"/>
                <w:szCs w:val="28"/>
              </w:rPr>
              <w:t>类别</w:t>
            </w:r>
            <w:bookmarkEnd w:id="46"/>
          </w:p>
        </w:tc>
        <w:tc>
          <w:tcPr>
            <w:tcW w:w="26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宋体" w:hAnsi="宋体" w:cs="仿宋_GB2312"/>
                <w:sz w:val="30"/>
                <w:szCs w:val="30"/>
              </w:rPr>
            </w:pPr>
            <w:bookmarkStart w:id="47" w:name="_Toc64369816"/>
            <w:r>
              <w:rPr>
                <w:rFonts w:hint="eastAsia" w:ascii="宋体" w:hAnsi="宋体" w:cs="仿宋_GB2312"/>
                <w:sz w:val="30"/>
                <w:szCs w:val="30"/>
              </w:rPr>
              <w:t>采购文件要求</w:t>
            </w:r>
            <w:bookmarkEnd w:id="47"/>
          </w:p>
        </w:tc>
        <w:tc>
          <w:tcPr>
            <w:tcW w:w="2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宋体" w:hAnsi="宋体" w:cs="仿宋_GB2312"/>
                <w:sz w:val="30"/>
                <w:szCs w:val="30"/>
              </w:rPr>
            </w:pPr>
            <w:bookmarkStart w:id="48" w:name="_Toc64369817"/>
            <w:r>
              <w:rPr>
                <w:rFonts w:hint="eastAsia" w:ascii="宋体" w:hAnsi="宋体" w:cs="仿宋_GB2312"/>
                <w:sz w:val="30"/>
                <w:szCs w:val="30"/>
              </w:rPr>
              <w:t>投标文件响应</w:t>
            </w:r>
            <w:bookmarkEnd w:id="48"/>
          </w:p>
        </w:tc>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宋体" w:hAnsi="宋体" w:cs="仿宋_GB2312"/>
                <w:sz w:val="30"/>
                <w:szCs w:val="30"/>
              </w:rPr>
            </w:pPr>
            <w:bookmarkStart w:id="49" w:name="_Toc64369818"/>
            <w:r>
              <w:rPr>
                <w:rFonts w:hint="eastAsia" w:ascii="宋体" w:hAnsi="宋体" w:cs="仿宋_GB2312"/>
                <w:sz w:val="30"/>
                <w:szCs w:val="30"/>
              </w:rPr>
              <w:t>偏离情况</w:t>
            </w:r>
            <w:bookmarkEnd w:id="4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8"/>
                <w:szCs w:val="28"/>
              </w:rPr>
            </w:pPr>
            <w:bookmarkStart w:id="50" w:name="_Toc64369819"/>
            <w:bookmarkStart w:id="51" w:name="_Toc64369823"/>
            <w:r>
              <w:rPr>
                <w:rFonts w:hint="eastAsia" w:ascii="宋体" w:hAnsi="宋体"/>
                <w:spacing w:val="20"/>
                <w:sz w:val="28"/>
                <w:szCs w:val="28"/>
              </w:rPr>
              <w:t>付款方式</w:t>
            </w:r>
            <w:bookmarkEnd w:id="50"/>
            <w:bookmarkEnd w:id="51"/>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outlineLvl w:val="0"/>
              <w:rPr>
                <w:rFonts w:hAnsi="宋体"/>
                <w:sz w:val="28"/>
                <w:szCs w:val="28"/>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8"/>
                <w:szCs w:val="28"/>
              </w:rPr>
            </w:pPr>
            <w:r>
              <w:rPr>
                <w:rFonts w:hint="eastAsia" w:ascii="宋体" w:hAnsi="宋体"/>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outlineLvl w:val="0"/>
              <w:rPr>
                <w:rFonts w:hAnsi="宋体"/>
                <w:sz w:val="28"/>
                <w:szCs w:val="28"/>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c>
          <w:tcPr>
            <w:tcW w:w="1886" w:type="dxa"/>
            <w:tcBorders>
              <w:top w:val="single" w:color="auto" w:sz="4" w:space="0"/>
              <w:left w:val="single" w:color="auto" w:sz="4" w:space="0"/>
              <w:bottom w:val="nil"/>
              <w:right w:val="single" w:color="auto" w:sz="4" w:space="0"/>
            </w:tcBorders>
            <w:noWrap w:val="0"/>
            <w:vAlign w:val="top"/>
          </w:tcPr>
          <w:p>
            <w:pPr>
              <w:pStyle w:val="23"/>
              <w:snapToGrid w:val="0"/>
              <w:spacing w:before="120" w:after="120"/>
              <w:outlineLvl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8"/>
                <w:szCs w:val="28"/>
              </w:rPr>
            </w:pPr>
            <w:r>
              <w:rPr>
                <w:rFonts w:hint="eastAsia" w:ascii="宋体" w:hAnsi="宋体"/>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outlineLvl w:val="0"/>
              <w:rPr>
                <w:rFonts w:hAnsi="宋体"/>
                <w:sz w:val="28"/>
                <w:szCs w:val="28"/>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pacing w:val="20"/>
                <w:sz w:val="28"/>
                <w:szCs w:val="28"/>
              </w:rPr>
            </w:pPr>
            <w:r>
              <w:rPr>
                <w:rFonts w:hint="eastAsia" w:ascii="宋体" w:hAnsi="宋体"/>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23"/>
              <w:snapToGrid w:val="0"/>
              <w:spacing w:before="120" w:after="120"/>
              <w:outlineLvl w:val="0"/>
              <w:rPr>
                <w:rFonts w:hAnsi="宋体"/>
                <w:sz w:val="28"/>
                <w:szCs w:val="28"/>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c>
          <w:tcPr>
            <w:tcW w:w="1886"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before="120" w:after="120"/>
              <w:outlineLvl w:val="0"/>
              <w:rPr>
                <w:rFonts w:hAnsi="宋体"/>
                <w:sz w:val="28"/>
                <w:szCs w:val="28"/>
              </w:rPr>
            </w:pPr>
          </w:p>
        </w:tc>
      </w:tr>
    </w:tbl>
    <w:p>
      <w:pPr>
        <w:pStyle w:val="17"/>
        <w:rPr>
          <w:rFonts w:ascii="宋体" w:hAnsi="宋体"/>
          <w:b/>
          <w:bCs/>
          <w:spacing w:val="20"/>
          <w:kern w:val="0"/>
          <w:sz w:val="28"/>
          <w:szCs w:val="28"/>
        </w:rPr>
      </w:pPr>
      <w:r>
        <w:rPr>
          <w:rFonts w:hint="eastAsia" w:ascii="宋体" w:hAnsi="宋体"/>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宋体" w:hAnsi="宋体"/>
          <w:spacing w:val="20"/>
          <w:sz w:val="28"/>
          <w:szCs w:val="28"/>
        </w:rPr>
      </w:pPr>
      <w:r>
        <w:rPr>
          <w:rFonts w:hint="eastAsia" w:ascii="宋体" w:hAnsi="宋体"/>
          <w:spacing w:val="20"/>
          <w:sz w:val="28"/>
          <w:szCs w:val="28"/>
        </w:rPr>
        <w:t>2、“类别”一栏按采购文件第三章中商务要求的分类填写。</w:t>
      </w: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snapToGrid w:val="0"/>
        <w:spacing w:before="156" w:beforeLines="50"/>
        <w:rPr>
          <w:rFonts w:ascii="宋体" w:hAnsi="宋体"/>
          <w:sz w:val="28"/>
          <w:szCs w:val="28"/>
        </w:rPr>
      </w:pPr>
      <w:r>
        <w:rPr>
          <w:rFonts w:hint="eastAsia" w:ascii="宋体" w:hAnsi="宋体"/>
          <w:sz w:val="28"/>
          <w:szCs w:val="28"/>
        </w:rPr>
        <w:t xml:space="preserve">法定代表人或其授权代表（签字或盖章）：          </w:t>
      </w:r>
    </w:p>
    <w:p>
      <w:pPr>
        <w:snapToGrid w:val="0"/>
        <w:spacing w:before="156" w:beforeLines="50"/>
        <w:rPr>
          <w:rFonts w:ascii="宋体" w:hAnsi="宋体"/>
          <w:sz w:val="28"/>
          <w:szCs w:val="28"/>
        </w:rPr>
      </w:pPr>
      <w:r>
        <w:rPr>
          <w:rFonts w:hint="eastAsia" w:ascii="宋体" w:hAnsi="宋体"/>
          <w:sz w:val="28"/>
          <w:szCs w:val="28"/>
        </w:rPr>
        <w:t xml:space="preserve">日期： </w:t>
      </w:r>
    </w:p>
    <w:p>
      <w:pPr>
        <w:snapToGrid w:val="0"/>
        <w:spacing w:before="50" w:after="50"/>
        <w:jc w:val="left"/>
        <w:rPr>
          <w:rFonts w:ascii="宋体" w:hAnsi="宋体"/>
          <w:b/>
          <w:bCs/>
          <w:sz w:val="30"/>
          <w:szCs w:val="30"/>
        </w:rPr>
      </w:pPr>
      <w:r>
        <w:rPr>
          <w:rFonts w:ascii="宋体" w:hAnsi="宋体"/>
          <w:b/>
          <w:bCs/>
          <w:sz w:val="30"/>
          <w:szCs w:val="30"/>
        </w:rPr>
        <w:t>附件14：</w:t>
      </w:r>
    </w:p>
    <w:p>
      <w:pPr>
        <w:snapToGrid w:val="0"/>
        <w:spacing w:before="50" w:after="156" w:afterLines="50"/>
        <w:jc w:val="center"/>
        <w:rPr>
          <w:rFonts w:ascii="宋体" w:hAnsi="宋体"/>
          <w:b/>
          <w:kern w:val="0"/>
          <w:sz w:val="36"/>
          <w:szCs w:val="36"/>
        </w:rPr>
      </w:pPr>
      <w:r>
        <w:rPr>
          <w:rFonts w:hint="eastAsia" w:ascii="宋体" w:hAnsi="宋体"/>
          <w:b/>
          <w:kern w:val="0"/>
          <w:sz w:val="36"/>
          <w:szCs w:val="36"/>
        </w:rPr>
        <w:t>项目</w:t>
      </w:r>
      <w:r>
        <w:rPr>
          <w:rFonts w:ascii="宋体" w:hAnsi="宋体"/>
          <w:b/>
          <w:kern w:val="0"/>
          <w:sz w:val="36"/>
          <w:szCs w:val="36"/>
        </w:rPr>
        <w:t>实施</w:t>
      </w:r>
      <w:r>
        <w:rPr>
          <w:rFonts w:hint="eastAsia" w:ascii="宋体" w:hAnsi="宋体"/>
          <w:b/>
          <w:kern w:val="0"/>
          <w:sz w:val="36"/>
          <w:szCs w:val="36"/>
        </w:rPr>
        <w:t>人员清单</w:t>
      </w:r>
    </w:p>
    <w:p>
      <w:pPr>
        <w:pStyle w:val="14"/>
        <w:snapToGrid w:val="0"/>
        <w:jc w:val="left"/>
        <w:rPr>
          <w:rFonts w:ascii="宋体" w:hAnsi="宋体"/>
          <w:sz w:val="28"/>
          <w:szCs w:val="28"/>
          <w:u w:val="single"/>
        </w:rPr>
      </w:pPr>
      <w:r>
        <w:rPr>
          <w:rFonts w:hint="eastAsia" w:ascii="宋体" w:hAnsi="宋体"/>
          <w:sz w:val="28"/>
          <w:szCs w:val="28"/>
        </w:rPr>
        <w:t>供应商全称（公章）：</w:t>
      </w:r>
    </w:p>
    <w:p>
      <w:pPr>
        <w:pStyle w:val="14"/>
        <w:snapToGrid w:val="0"/>
        <w:jc w:val="left"/>
        <w:rPr>
          <w:rFonts w:ascii="宋体" w:hAnsi="宋体"/>
          <w:sz w:val="28"/>
          <w:szCs w:val="28"/>
          <w:u w:val="single"/>
        </w:rPr>
      </w:pPr>
      <w:r>
        <w:rPr>
          <w:rFonts w:ascii="宋体" w:hAnsi="宋体"/>
          <w:sz w:val="28"/>
          <w:szCs w:val="28"/>
        </w:rPr>
        <w:t>标段编号</w:t>
      </w:r>
      <w:r>
        <w:rPr>
          <w:rFonts w:hint="eastAsia" w:ascii="宋体" w:hAnsi="宋体"/>
          <w:sz w:val="28"/>
          <w:szCs w:val="28"/>
        </w:rPr>
        <w:t>：</w:t>
      </w:r>
    </w:p>
    <w:tbl>
      <w:tblPr>
        <w:tblStyle w:val="4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center"/>
          </w:tcPr>
          <w:p>
            <w:pPr>
              <w:pStyle w:val="14"/>
              <w:snapToGrid w:val="0"/>
              <w:rPr>
                <w:rFonts w:ascii="宋体" w:hAnsi="宋体"/>
                <w:sz w:val="28"/>
                <w:szCs w:val="28"/>
              </w:rPr>
            </w:pPr>
            <w:r>
              <w:rPr>
                <w:rFonts w:hint="eastAsia" w:ascii="宋体" w:hAnsi="宋体"/>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pStyle w:val="14"/>
              <w:snapToGrid w:val="0"/>
              <w:rPr>
                <w:rFonts w:ascii="宋体" w:hAnsi="宋体"/>
                <w:sz w:val="28"/>
                <w:szCs w:val="28"/>
              </w:rPr>
            </w:pPr>
            <w:r>
              <w:rPr>
                <w:rFonts w:hint="eastAsia" w:ascii="宋体" w:hAnsi="宋体"/>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pStyle w:val="14"/>
              <w:snapToGrid w:val="0"/>
              <w:rPr>
                <w:rFonts w:ascii="宋体" w:hAnsi="宋体"/>
                <w:sz w:val="28"/>
                <w:szCs w:val="28"/>
              </w:rPr>
            </w:pPr>
            <w:r>
              <w:rPr>
                <w:rFonts w:hint="eastAsia" w:ascii="宋体" w:hAnsi="宋体"/>
                <w:sz w:val="28"/>
                <w:szCs w:val="28"/>
              </w:rPr>
              <w:t>专业技术</w:t>
            </w:r>
          </w:p>
          <w:p>
            <w:pPr>
              <w:pStyle w:val="14"/>
              <w:snapToGrid w:val="0"/>
              <w:rPr>
                <w:rFonts w:ascii="宋体" w:hAnsi="宋体"/>
                <w:sz w:val="28"/>
                <w:szCs w:val="28"/>
              </w:rPr>
            </w:pPr>
            <w:r>
              <w:rPr>
                <w:rFonts w:hint="eastAsia" w:ascii="宋体" w:hAnsi="宋体"/>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rPr>
                <w:rFonts w:ascii="宋体" w:hAnsi="宋体"/>
                <w:sz w:val="28"/>
                <w:szCs w:val="28"/>
              </w:rPr>
            </w:pPr>
            <w:r>
              <w:rPr>
                <w:rFonts w:hint="eastAsia" w:ascii="宋体" w:hAnsi="宋体"/>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156" w:beforeLines="50" w:after="50" w:line="460" w:lineRule="exact"/>
              <w:ind w:left="5250"/>
              <w:rPr>
                <w:rFonts w:ascii="宋体" w:hAnsi="宋体" w:eastAsia="宋体"/>
                <w:sz w:val="24"/>
                <w:szCs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c>
          <w:tcPr>
            <w:tcW w:w="487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宋体" w:hAnsi="宋体"/>
                <w:sz w:val="24"/>
              </w:rPr>
            </w:pPr>
          </w:p>
        </w:tc>
      </w:tr>
    </w:tbl>
    <w:p>
      <w:pPr>
        <w:snapToGrid w:val="0"/>
        <w:spacing w:before="50" w:after="156" w:afterLines="50" w:line="460" w:lineRule="exact"/>
        <w:jc w:val="left"/>
        <w:rPr>
          <w:rFonts w:ascii="宋体" w:hAnsi="宋体"/>
          <w:sz w:val="28"/>
          <w:szCs w:val="28"/>
        </w:rPr>
      </w:pPr>
      <w:r>
        <w:rPr>
          <w:rFonts w:hint="eastAsia" w:ascii="宋体" w:hAnsi="宋体"/>
          <w:sz w:val="28"/>
          <w:szCs w:val="28"/>
        </w:rPr>
        <w:t xml:space="preserve">注：在填写时，如本表格不适合投标单位的实际情况，可根据本表格式自行划表填写。 </w:t>
      </w:r>
    </w:p>
    <w:p>
      <w:pPr>
        <w:pStyle w:val="14"/>
        <w:snapToGrid w:val="0"/>
        <w:rPr>
          <w:rFonts w:ascii="宋体" w:hAnsi="宋体"/>
          <w:sz w:val="28"/>
          <w:szCs w:val="28"/>
        </w:rPr>
      </w:pPr>
    </w:p>
    <w:p>
      <w:pPr>
        <w:snapToGrid w:val="0"/>
        <w:spacing w:before="156" w:beforeLines="50"/>
        <w:rPr>
          <w:rFonts w:ascii="宋体" w:hAnsi="宋体"/>
          <w:sz w:val="30"/>
          <w:szCs w:val="30"/>
          <w:u w:val="single"/>
        </w:rPr>
      </w:pPr>
      <w:r>
        <w:rPr>
          <w:rFonts w:hint="eastAsia" w:ascii="宋体" w:hAnsi="宋体"/>
          <w:sz w:val="30"/>
          <w:szCs w:val="30"/>
        </w:rPr>
        <w:t>法定代表人或其授权代表（签字或盖章）：</w:t>
      </w:r>
    </w:p>
    <w:p>
      <w:pPr>
        <w:snapToGrid w:val="0"/>
        <w:spacing w:before="156" w:beforeLines="50"/>
        <w:rPr>
          <w:rFonts w:ascii="宋体" w:hAnsi="宋体"/>
          <w:sz w:val="30"/>
          <w:szCs w:val="30"/>
        </w:rPr>
      </w:pPr>
      <w:r>
        <w:rPr>
          <w:rFonts w:hint="eastAsia" w:ascii="宋体" w:hAnsi="宋体"/>
          <w:sz w:val="30"/>
          <w:szCs w:val="30"/>
        </w:rPr>
        <w:t>日期：</w:t>
      </w:r>
    </w:p>
    <w:p>
      <w:pPr>
        <w:pStyle w:val="14"/>
        <w:snapToGrid w:val="0"/>
        <w:rPr>
          <w:rFonts w:ascii="宋体" w:hAnsi="宋体"/>
          <w:sz w:val="28"/>
          <w:szCs w:val="28"/>
        </w:rPr>
      </w:pPr>
    </w:p>
    <w:p>
      <w:pPr>
        <w:pStyle w:val="14"/>
        <w:snapToGrid w:val="0"/>
        <w:rPr>
          <w:rFonts w:ascii="宋体" w:hAnsi="宋体"/>
          <w:sz w:val="28"/>
          <w:szCs w:val="28"/>
        </w:rPr>
      </w:pPr>
    </w:p>
    <w:p>
      <w:pPr>
        <w:pStyle w:val="14"/>
        <w:snapToGrid w:val="0"/>
        <w:rPr>
          <w:rFonts w:ascii="宋体" w:hAnsi="宋体"/>
          <w:sz w:val="28"/>
          <w:szCs w:val="28"/>
        </w:rPr>
      </w:pPr>
    </w:p>
    <w:p>
      <w:pPr>
        <w:snapToGrid w:val="0"/>
        <w:spacing w:before="50" w:after="50"/>
        <w:jc w:val="left"/>
        <w:rPr>
          <w:rFonts w:ascii="宋体" w:hAnsi="宋体"/>
          <w:b/>
          <w:bCs/>
          <w:sz w:val="30"/>
          <w:szCs w:val="30"/>
        </w:rPr>
      </w:pPr>
      <w:r>
        <w:rPr>
          <w:rFonts w:ascii="宋体" w:hAnsi="宋体"/>
          <w:b/>
          <w:bCs/>
          <w:sz w:val="30"/>
          <w:szCs w:val="30"/>
        </w:rPr>
        <w:t>附件15：</w:t>
      </w:r>
    </w:p>
    <w:p>
      <w:pPr>
        <w:snapToGrid w:val="0"/>
        <w:spacing w:before="50" w:after="156" w:afterLines="50"/>
        <w:jc w:val="center"/>
        <w:rPr>
          <w:rFonts w:ascii="宋体" w:hAnsi="宋体"/>
          <w:b/>
          <w:kern w:val="0"/>
          <w:sz w:val="36"/>
          <w:szCs w:val="36"/>
        </w:rPr>
      </w:pPr>
      <w:r>
        <w:rPr>
          <w:rFonts w:ascii="宋体" w:hAnsi="宋体"/>
          <w:b/>
          <w:kern w:val="0"/>
          <w:sz w:val="36"/>
          <w:szCs w:val="36"/>
        </w:rPr>
        <w:t>类似业绩一览表</w:t>
      </w:r>
    </w:p>
    <w:p>
      <w:pPr>
        <w:pStyle w:val="14"/>
        <w:snapToGrid w:val="0"/>
        <w:jc w:val="left"/>
        <w:rPr>
          <w:rFonts w:ascii="宋体" w:hAnsi="宋体"/>
          <w:sz w:val="28"/>
          <w:szCs w:val="28"/>
        </w:rPr>
      </w:pPr>
      <w:r>
        <w:rPr>
          <w:rFonts w:hint="eastAsia" w:ascii="宋体" w:hAnsi="宋体"/>
          <w:sz w:val="28"/>
          <w:szCs w:val="28"/>
        </w:rPr>
        <w:t>供应商全称（公章）：</w:t>
      </w:r>
    </w:p>
    <w:p>
      <w:pPr>
        <w:pStyle w:val="14"/>
        <w:snapToGrid w:val="0"/>
        <w:jc w:val="left"/>
        <w:rPr>
          <w:rFonts w:ascii="宋体" w:hAnsi="宋体"/>
          <w:sz w:val="28"/>
          <w:szCs w:val="28"/>
          <w:u w:val="single"/>
        </w:rPr>
      </w:pPr>
      <w:r>
        <w:rPr>
          <w:rFonts w:ascii="宋体" w:hAnsi="宋体"/>
          <w:sz w:val="28"/>
          <w:szCs w:val="28"/>
        </w:rPr>
        <w:t>标段编号</w:t>
      </w:r>
      <w:r>
        <w:rPr>
          <w:rFonts w:hint="eastAsia" w:ascii="宋体" w:hAnsi="宋体"/>
          <w:sz w:val="28"/>
          <w:szCs w:val="28"/>
        </w:rPr>
        <w:t>：</w:t>
      </w:r>
    </w:p>
    <w:p>
      <w:pPr>
        <w:rPr>
          <w:rFonts w:ascii="宋体" w:hAnsi="宋体"/>
          <w:sz w:val="28"/>
          <w:szCs w:val="28"/>
        </w:rPr>
      </w:pPr>
    </w:p>
    <w:tbl>
      <w:tblPr>
        <w:tblStyle w:val="4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pPr>
              <w:jc w:val="center"/>
              <w:rPr>
                <w:rFonts w:ascii="宋体" w:hAnsi="宋体"/>
                <w:sz w:val="28"/>
                <w:szCs w:val="28"/>
              </w:rPr>
            </w:pPr>
            <w:r>
              <w:rPr>
                <w:rFonts w:ascii="宋体" w:hAnsi="宋体"/>
                <w:sz w:val="28"/>
                <w:szCs w:val="28"/>
              </w:rPr>
              <w:t>序号</w:t>
            </w:r>
          </w:p>
        </w:tc>
        <w:tc>
          <w:tcPr>
            <w:tcW w:w="1455" w:type="dxa"/>
            <w:noWrap w:val="0"/>
            <w:vAlign w:val="center"/>
          </w:tcPr>
          <w:p>
            <w:pPr>
              <w:jc w:val="center"/>
              <w:rPr>
                <w:rFonts w:ascii="宋体" w:hAnsi="宋体"/>
                <w:sz w:val="28"/>
                <w:szCs w:val="28"/>
              </w:rPr>
            </w:pPr>
            <w:r>
              <w:rPr>
                <w:rFonts w:ascii="宋体" w:hAnsi="宋体"/>
                <w:sz w:val="28"/>
                <w:szCs w:val="28"/>
              </w:rPr>
              <w:t>采购人</w:t>
            </w:r>
          </w:p>
          <w:p>
            <w:pPr>
              <w:jc w:val="center"/>
              <w:rPr>
                <w:rFonts w:ascii="宋体" w:hAnsi="宋体"/>
                <w:sz w:val="28"/>
                <w:szCs w:val="28"/>
              </w:rPr>
            </w:pPr>
            <w:r>
              <w:rPr>
                <w:rFonts w:ascii="宋体" w:hAnsi="宋体"/>
                <w:sz w:val="28"/>
                <w:szCs w:val="28"/>
              </w:rPr>
              <w:t>名称</w:t>
            </w:r>
          </w:p>
        </w:tc>
        <w:tc>
          <w:tcPr>
            <w:tcW w:w="1751" w:type="dxa"/>
            <w:noWrap w:val="0"/>
            <w:vAlign w:val="center"/>
          </w:tcPr>
          <w:p>
            <w:pPr>
              <w:jc w:val="center"/>
              <w:rPr>
                <w:rFonts w:ascii="宋体" w:hAnsi="宋体"/>
                <w:sz w:val="28"/>
                <w:szCs w:val="28"/>
              </w:rPr>
            </w:pPr>
            <w:r>
              <w:rPr>
                <w:rFonts w:ascii="宋体" w:hAnsi="宋体"/>
                <w:sz w:val="28"/>
                <w:szCs w:val="28"/>
              </w:rPr>
              <w:t>项目名称</w:t>
            </w:r>
          </w:p>
        </w:tc>
        <w:tc>
          <w:tcPr>
            <w:tcW w:w="1185" w:type="dxa"/>
            <w:noWrap w:val="0"/>
            <w:vAlign w:val="center"/>
          </w:tcPr>
          <w:p>
            <w:pPr>
              <w:jc w:val="center"/>
              <w:rPr>
                <w:rFonts w:ascii="宋体" w:hAnsi="宋体"/>
                <w:sz w:val="28"/>
                <w:szCs w:val="28"/>
              </w:rPr>
            </w:pPr>
            <w:r>
              <w:rPr>
                <w:rFonts w:ascii="宋体" w:hAnsi="宋体"/>
                <w:sz w:val="28"/>
                <w:szCs w:val="28"/>
              </w:rPr>
              <w:t>合同</w:t>
            </w:r>
          </w:p>
          <w:p>
            <w:pPr>
              <w:jc w:val="center"/>
              <w:rPr>
                <w:rFonts w:ascii="宋体" w:hAnsi="宋体"/>
                <w:sz w:val="28"/>
                <w:szCs w:val="28"/>
              </w:rPr>
            </w:pPr>
            <w:r>
              <w:rPr>
                <w:rFonts w:ascii="宋体" w:hAnsi="宋体"/>
                <w:sz w:val="28"/>
                <w:szCs w:val="28"/>
              </w:rPr>
              <w:t>金额</w:t>
            </w:r>
          </w:p>
        </w:tc>
        <w:tc>
          <w:tcPr>
            <w:tcW w:w="1733" w:type="dxa"/>
            <w:noWrap w:val="0"/>
            <w:vAlign w:val="center"/>
          </w:tcPr>
          <w:p>
            <w:pPr>
              <w:jc w:val="center"/>
              <w:rPr>
                <w:rFonts w:ascii="宋体" w:hAnsi="宋体"/>
                <w:sz w:val="28"/>
                <w:szCs w:val="28"/>
              </w:rPr>
            </w:pPr>
            <w:r>
              <w:rPr>
                <w:rFonts w:ascii="宋体" w:hAnsi="宋体"/>
                <w:sz w:val="28"/>
                <w:szCs w:val="28"/>
              </w:rPr>
              <w:t>采购单位联系人及电话</w:t>
            </w:r>
          </w:p>
        </w:tc>
        <w:tc>
          <w:tcPr>
            <w:tcW w:w="1453" w:type="dxa"/>
            <w:noWrap w:val="0"/>
            <w:vAlign w:val="center"/>
          </w:tcPr>
          <w:p>
            <w:pPr>
              <w:jc w:val="center"/>
              <w:rPr>
                <w:rFonts w:ascii="宋体" w:hAnsi="宋体"/>
                <w:sz w:val="28"/>
                <w:szCs w:val="28"/>
              </w:rPr>
            </w:pPr>
            <w:r>
              <w:rPr>
                <w:rFonts w:ascii="宋体" w:hAnsi="宋体"/>
                <w:sz w:val="28"/>
                <w:szCs w:val="28"/>
              </w:rPr>
              <w:t>验收报告</w:t>
            </w:r>
          </w:p>
          <w:p>
            <w:pPr>
              <w:jc w:val="center"/>
              <w:rPr>
                <w:rFonts w:ascii="宋体" w:hAnsi="宋体"/>
                <w:sz w:val="28"/>
                <w:szCs w:val="28"/>
              </w:rPr>
            </w:pPr>
            <w:r>
              <w:rPr>
                <w:rFonts w:ascii="宋体" w:hAnsi="宋体"/>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noWrap w:val="0"/>
            <w:vAlign w:val="center"/>
          </w:tcPr>
          <w:p>
            <w:pPr>
              <w:jc w:val="center"/>
              <w:rPr>
                <w:rFonts w:ascii="宋体" w:hAnsi="宋体"/>
                <w:sz w:val="28"/>
                <w:szCs w:val="28"/>
              </w:rPr>
            </w:pPr>
            <w:r>
              <w:rPr>
                <w:rFonts w:ascii="宋体" w:hAnsi="宋体"/>
                <w:sz w:val="28"/>
                <w:szCs w:val="28"/>
              </w:rPr>
              <w:t>1</w:t>
            </w:r>
          </w:p>
        </w:tc>
        <w:tc>
          <w:tcPr>
            <w:tcW w:w="1455" w:type="dxa"/>
            <w:noWrap w:val="0"/>
            <w:vAlign w:val="top"/>
          </w:tcPr>
          <w:p>
            <w:pPr>
              <w:rPr>
                <w:rFonts w:ascii="宋体" w:hAnsi="宋体"/>
                <w:sz w:val="28"/>
                <w:szCs w:val="28"/>
              </w:rPr>
            </w:pPr>
          </w:p>
        </w:tc>
        <w:tc>
          <w:tcPr>
            <w:tcW w:w="1751" w:type="dxa"/>
            <w:noWrap w:val="0"/>
            <w:vAlign w:val="top"/>
          </w:tcPr>
          <w:p>
            <w:pPr>
              <w:rPr>
                <w:rFonts w:ascii="宋体" w:hAnsi="宋体"/>
                <w:sz w:val="28"/>
                <w:szCs w:val="28"/>
              </w:rPr>
            </w:pPr>
          </w:p>
        </w:tc>
        <w:tc>
          <w:tcPr>
            <w:tcW w:w="1185" w:type="dxa"/>
            <w:noWrap w:val="0"/>
            <w:vAlign w:val="top"/>
          </w:tcPr>
          <w:p>
            <w:pPr>
              <w:rPr>
                <w:rFonts w:ascii="宋体" w:hAnsi="宋体"/>
                <w:sz w:val="28"/>
                <w:szCs w:val="28"/>
              </w:rPr>
            </w:pPr>
          </w:p>
        </w:tc>
        <w:tc>
          <w:tcPr>
            <w:tcW w:w="1733" w:type="dxa"/>
            <w:noWrap w:val="0"/>
            <w:vAlign w:val="top"/>
          </w:tcPr>
          <w:p>
            <w:pPr>
              <w:rPr>
                <w:rFonts w:ascii="宋体" w:hAnsi="宋体"/>
                <w:sz w:val="28"/>
                <w:szCs w:val="28"/>
              </w:rPr>
            </w:pPr>
          </w:p>
        </w:tc>
        <w:tc>
          <w:tcPr>
            <w:tcW w:w="1453" w:type="dxa"/>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noWrap w:val="0"/>
            <w:vAlign w:val="center"/>
          </w:tcPr>
          <w:p>
            <w:pPr>
              <w:jc w:val="center"/>
              <w:rPr>
                <w:rFonts w:ascii="宋体" w:hAnsi="宋体"/>
                <w:sz w:val="28"/>
                <w:szCs w:val="28"/>
              </w:rPr>
            </w:pPr>
            <w:r>
              <w:rPr>
                <w:rFonts w:ascii="宋体" w:hAnsi="宋体"/>
                <w:sz w:val="28"/>
                <w:szCs w:val="28"/>
              </w:rPr>
              <w:t>2</w:t>
            </w:r>
          </w:p>
        </w:tc>
        <w:tc>
          <w:tcPr>
            <w:tcW w:w="1455" w:type="dxa"/>
            <w:noWrap w:val="0"/>
            <w:vAlign w:val="top"/>
          </w:tcPr>
          <w:p>
            <w:pPr>
              <w:rPr>
                <w:rFonts w:ascii="宋体" w:hAnsi="宋体"/>
                <w:sz w:val="28"/>
                <w:szCs w:val="28"/>
              </w:rPr>
            </w:pPr>
          </w:p>
        </w:tc>
        <w:tc>
          <w:tcPr>
            <w:tcW w:w="1751" w:type="dxa"/>
            <w:noWrap w:val="0"/>
            <w:vAlign w:val="top"/>
          </w:tcPr>
          <w:p>
            <w:pPr>
              <w:rPr>
                <w:rFonts w:ascii="宋体" w:hAnsi="宋体"/>
                <w:sz w:val="28"/>
                <w:szCs w:val="28"/>
              </w:rPr>
            </w:pPr>
          </w:p>
        </w:tc>
        <w:tc>
          <w:tcPr>
            <w:tcW w:w="1185" w:type="dxa"/>
            <w:noWrap w:val="0"/>
            <w:vAlign w:val="top"/>
          </w:tcPr>
          <w:p>
            <w:pPr>
              <w:rPr>
                <w:rFonts w:ascii="宋体" w:hAnsi="宋体"/>
                <w:sz w:val="28"/>
                <w:szCs w:val="28"/>
              </w:rPr>
            </w:pPr>
          </w:p>
        </w:tc>
        <w:tc>
          <w:tcPr>
            <w:tcW w:w="1733" w:type="dxa"/>
            <w:noWrap w:val="0"/>
            <w:vAlign w:val="top"/>
          </w:tcPr>
          <w:p>
            <w:pPr>
              <w:rPr>
                <w:rFonts w:ascii="宋体" w:hAnsi="宋体"/>
                <w:sz w:val="28"/>
                <w:szCs w:val="28"/>
              </w:rPr>
            </w:pPr>
          </w:p>
        </w:tc>
        <w:tc>
          <w:tcPr>
            <w:tcW w:w="1453" w:type="dxa"/>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noWrap w:val="0"/>
            <w:vAlign w:val="center"/>
          </w:tcPr>
          <w:p>
            <w:pPr>
              <w:jc w:val="center"/>
              <w:rPr>
                <w:rFonts w:ascii="宋体" w:hAnsi="宋体"/>
                <w:sz w:val="28"/>
                <w:szCs w:val="28"/>
              </w:rPr>
            </w:pPr>
            <w:r>
              <w:rPr>
                <w:rFonts w:hint="eastAsia" w:ascii="宋体" w:hAnsi="宋体"/>
                <w:sz w:val="28"/>
                <w:szCs w:val="28"/>
              </w:rPr>
              <w:t>…</w:t>
            </w:r>
          </w:p>
        </w:tc>
        <w:tc>
          <w:tcPr>
            <w:tcW w:w="1455" w:type="dxa"/>
            <w:noWrap w:val="0"/>
            <w:vAlign w:val="top"/>
          </w:tcPr>
          <w:p>
            <w:pPr>
              <w:rPr>
                <w:rFonts w:ascii="宋体" w:hAnsi="宋体"/>
                <w:sz w:val="28"/>
                <w:szCs w:val="28"/>
              </w:rPr>
            </w:pPr>
          </w:p>
        </w:tc>
        <w:tc>
          <w:tcPr>
            <w:tcW w:w="1751" w:type="dxa"/>
            <w:noWrap w:val="0"/>
            <w:vAlign w:val="top"/>
          </w:tcPr>
          <w:p>
            <w:pPr>
              <w:rPr>
                <w:rFonts w:ascii="宋体" w:hAnsi="宋体"/>
                <w:sz w:val="28"/>
                <w:szCs w:val="28"/>
              </w:rPr>
            </w:pPr>
          </w:p>
        </w:tc>
        <w:tc>
          <w:tcPr>
            <w:tcW w:w="1185" w:type="dxa"/>
            <w:noWrap w:val="0"/>
            <w:vAlign w:val="top"/>
          </w:tcPr>
          <w:p>
            <w:pPr>
              <w:rPr>
                <w:rFonts w:ascii="宋体" w:hAnsi="宋体"/>
                <w:sz w:val="28"/>
                <w:szCs w:val="28"/>
              </w:rPr>
            </w:pPr>
          </w:p>
        </w:tc>
        <w:tc>
          <w:tcPr>
            <w:tcW w:w="1733" w:type="dxa"/>
            <w:noWrap w:val="0"/>
            <w:vAlign w:val="top"/>
          </w:tcPr>
          <w:p>
            <w:pPr>
              <w:rPr>
                <w:rFonts w:ascii="宋体" w:hAnsi="宋体"/>
                <w:sz w:val="28"/>
                <w:szCs w:val="28"/>
              </w:rPr>
            </w:pPr>
          </w:p>
        </w:tc>
        <w:tc>
          <w:tcPr>
            <w:tcW w:w="1453" w:type="dxa"/>
            <w:noWrap w:val="0"/>
            <w:vAlign w:val="top"/>
          </w:tcPr>
          <w:p>
            <w:pPr>
              <w:rPr>
                <w:rFonts w:ascii="宋体" w:hAnsi="宋体"/>
                <w:sz w:val="28"/>
                <w:szCs w:val="28"/>
              </w:rPr>
            </w:pPr>
          </w:p>
        </w:tc>
      </w:tr>
    </w:tbl>
    <w:p>
      <w:pPr>
        <w:rPr>
          <w:rFonts w:ascii="宋体" w:hAnsi="宋体"/>
          <w:sz w:val="28"/>
          <w:szCs w:val="28"/>
        </w:rPr>
      </w:pPr>
      <w:r>
        <w:rPr>
          <w:rFonts w:ascii="宋体" w:hAnsi="宋体"/>
          <w:sz w:val="28"/>
          <w:szCs w:val="28"/>
        </w:rPr>
        <w:t>备注：请才此表后附上类似业绩的合同复印件、验收报告复印件（如有）。</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napToGrid w:val="0"/>
        <w:spacing w:before="156" w:beforeLines="50"/>
        <w:rPr>
          <w:rFonts w:ascii="宋体" w:hAnsi="宋体"/>
          <w:sz w:val="28"/>
          <w:szCs w:val="28"/>
        </w:rPr>
      </w:pPr>
      <w:r>
        <w:rPr>
          <w:rFonts w:hint="eastAsia" w:ascii="宋体" w:hAnsi="宋体"/>
          <w:sz w:val="28"/>
          <w:szCs w:val="28"/>
        </w:rPr>
        <w:t xml:space="preserve">法定代表人或其授权代表（签字或盖章）：          </w:t>
      </w:r>
    </w:p>
    <w:p>
      <w:pPr>
        <w:snapToGrid w:val="0"/>
        <w:spacing w:before="156" w:beforeLines="50"/>
        <w:rPr>
          <w:rFonts w:ascii="宋体" w:hAnsi="宋体"/>
          <w:sz w:val="28"/>
          <w:szCs w:val="28"/>
        </w:rPr>
      </w:pPr>
      <w:r>
        <w:rPr>
          <w:rFonts w:hint="eastAsia" w:ascii="宋体" w:hAnsi="宋体"/>
          <w:sz w:val="28"/>
          <w:szCs w:val="28"/>
        </w:rPr>
        <w:t xml:space="preserve">日期： </w:t>
      </w:r>
    </w:p>
    <w:p>
      <w:pPr>
        <w:rPr>
          <w:rFonts w:ascii="宋体" w:hAnsi="宋体"/>
          <w:sz w:val="24"/>
        </w:rPr>
      </w:pPr>
    </w:p>
    <w:p>
      <w:pPr>
        <w:snapToGrid w:val="0"/>
        <w:spacing w:before="156" w:beforeLines="50" w:after="50"/>
        <w:jc w:val="left"/>
        <w:rPr>
          <w:rFonts w:ascii="宋体" w:hAnsi="宋体"/>
          <w:b/>
          <w:bCs/>
          <w:sz w:val="30"/>
          <w:szCs w:val="30"/>
        </w:rPr>
      </w:pPr>
      <w:r>
        <w:rPr>
          <w:rFonts w:hint="eastAsia" w:ascii="宋体" w:hAnsi="宋体"/>
          <w:b/>
          <w:bCs/>
          <w:sz w:val="30"/>
          <w:szCs w:val="30"/>
        </w:rPr>
        <w:t>附件1</w:t>
      </w:r>
      <w:r>
        <w:rPr>
          <w:rFonts w:ascii="宋体" w:hAnsi="宋体"/>
          <w:b/>
          <w:bCs/>
          <w:sz w:val="30"/>
          <w:szCs w:val="30"/>
        </w:rPr>
        <w:t>6</w:t>
      </w:r>
      <w:r>
        <w:rPr>
          <w:rFonts w:hint="eastAsia" w:ascii="宋体" w:hAnsi="宋体"/>
          <w:b/>
          <w:bCs/>
          <w:sz w:val="30"/>
          <w:szCs w:val="30"/>
        </w:rPr>
        <w:t>：</w:t>
      </w:r>
      <w:r>
        <w:rPr>
          <w:rFonts w:ascii="宋体" w:hAnsi="宋体"/>
          <w:b/>
          <w:bCs/>
          <w:sz w:val="30"/>
          <w:szCs w:val="30"/>
        </w:rPr>
        <w:t>报价文件封面</w:t>
      </w:r>
    </w:p>
    <w:p>
      <w:pPr>
        <w:snapToGrid w:val="0"/>
        <w:spacing w:before="156" w:beforeLines="50" w:after="50"/>
        <w:jc w:val="right"/>
        <w:rPr>
          <w:rFonts w:ascii="宋体" w:hAnsi="宋体"/>
          <w:b/>
          <w:sz w:val="30"/>
          <w:szCs w:val="30"/>
        </w:rPr>
      </w:pPr>
      <w:r>
        <w:rPr>
          <w:rFonts w:ascii="宋体" w:hAnsi="宋体"/>
          <w:bCs/>
          <w:sz w:val="30"/>
          <w:szCs w:val="30"/>
          <w:u w:val="single"/>
        </w:rPr>
        <w:t>（填写</w:t>
      </w:r>
      <w:r>
        <w:rPr>
          <w:rFonts w:hint="eastAsia" w:ascii="宋体" w:hAnsi="宋体"/>
          <w:bCs/>
          <w:sz w:val="30"/>
          <w:szCs w:val="30"/>
          <w:u w:val="single"/>
        </w:rPr>
        <w:t>正本或副本</w:t>
      </w:r>
      <w:r>
        <w:rPr>
          <w:rFonts w:ascii="宋体" w:hAnsi="宋体"/>
          <w:bCs/>
          <w:sz w:val="30"/>
          <w:szCs w:val="30"/>
          <w:u w:val="single"/>
        </w:rPr>
        <w:t>）</w:t>
      </w:r>
    </w:p>
    <w:p>
      <w:pPr>
        <w:snapToGrid w:val="0"/>
        <w:spacing w:before="156" w:beforeLines="50" w:after="50"/>
        <w:jc w:val="right"/>
        <w:rPr>
          <w:rFonts w:ascii="宋体" w:hAnsi="宋体"/>
          <w:bCs/>
          <w:sz w:val="30"/>
          <w:szCs w:val="30"/>
        </w:rPr>
      </w:pPr>
    </w:p>
    <w:p>
      <w:pPr>
        <w:spacing w:line="400" w:lineRule="exact"/>
        <w:ind w:right="-110"/>
        <w:rPr>
          <w:rFonts w:ascii="宋体" w:hAnsi="宋体"/>
          <w:spacing w:val="40"/>
          <w:sz w:val="30"/>
          <w:szCs w:val="30"/>
        </w:rPr>
      </w:pPr>
      <w:r>
        <w:rPr>
          <w:rFonts w:hint="eastAsia" w:ascii="宋体" w:hAnsi="宋体"/>
          <w:spacing w:val="40"/>
          <w:sz w:val="30"/>
          <w:szCs w:val="30"/>
        </w:rPr>
        <w:t>项目名称</w:t>
      </w:r>
      <w:r>
        <w:rPr>
          <w:rFonts w:ascii="宋体" w:hAnsi="宋体"/>
          <w:spacing w:val="40"/>
          <w:sz w:val="30"/>
          <w:szCs w:val="30"/>
        </w:rPr>
        <w:t>：</w:t>
      </w:r>
    </w:p>
    <w:p>
      <w:pPr>
        <w:spacing w:before="312" w:beforeLines="100" w:line="400" w:lineRule="exact"/>
        <w:rPr>
          <w:rFonts w:ascii="宋体" w:hAnsi="宋体"/>
          <w:sz w:val="30"/>
          <w:szCs w:val="30"/>
          <w:u w:val="single"/>
        </w:rPr>
      </w:pPr>
      <w:r>
        <w:rPr>
          <w:rFonts w:hint="eastAsia" w:ascii="宋体" w:hAnsi="宋体"/>
          <w:sz w:val="30"/>
          <w:szCs w:val="30"/>
        </w:rPr>
        <w:t>项目编号：</w:t>
      </w:r>
    </w:p>
    <w:p>
      <w:pPr>
        <w:spacing w:before="312" w:beforeLines="100" w:line="400" w:lineRule="exact"/>
        <w:rPr>
          <w:rFonts w:ascii="宋体" w:hAnsi="宋体"/>
          <w:sz w:val="30"/>
          <w:szCs w:val="30"/>
        </w:rPr>
      </w:pPr>
      <w:r>
        <w:rPr>
          <w:rFonts w:ascii="宋体" w:hAnsi="宋体"/>
          <w:sz w:val="30"/>
          <w:szCs w:val="30"/>
        </w:rPr>
        <w:t>标段编号：</w:t>
      </w:r>
    </w:p>
    <w:p>
      <w:pPr>
        <w:spacing w:line="1200" w:lineRule="exact"/>
        <w:ind w:right="6"/>
        <w:jc w:val="center"/>
        <w:rPr>
          <w:rFonts w:ascii="宋体" w:hAnsi="宋体"/>
          <w:sz w:val="72"/>
          <w:szCs w:val="72"/>
        </w:rPr>
      </w:pPr>
    </w:p>
    <w:p>
      <w:pPr>
        <w:spacing w:line="1200" w:lineRule="exact"/>
        <w:ind w:right="6"/>
        <w:jc w:val="center"/>
        <w:rPr>
          <w:rFonts w:ascii="宋体" w:hAnsi="宋体"/>
          <w:sz w:val="72"/>
          <w:szCs w:val="72"/>
        </w:rPr>
      </w:pPr>
      <w:r>
        <w:rPr>
          <w:rFonts w:ascii="宋体" w:hAnsi="宋体"/>
          <w:sz w:val="72"/>
          <w:szCs w:val="72"/>
        </w:rPr>
        <w:t>报</w:t>
      </w:r>
    </w:p>
    <w:p>
      <w:pPr>
        <w:spacing w:line="1200" w:lineRule="exact"/>
        <w:ind w:right="6"/>
        <w:jc w:val="center"/>
        <w:rPr>
          <w:rFonts w:ascii="宋体" w:hAnsi="宋体"/>
          <w:sz w:val="72"/>
          <w:szCs w:val="72"/>
        </w:rPr>
      </w:pPr>
      <w:r>
        <w:rPr>
          <w:rFonts w:ascii="宋体" w:hAnsi="宋体"/>
          <w:sz w:val="72"/>
          <w:szCs w:val="72"/>
        </w:rPr>
        <w:t>价</w:t>
      </w:r>
    </w:p>
    <w:p>
      <w:pPr>
        <w:spacing w:line="1200" w:lineRule="exact"/>
        <w:ind w:right="6"/>
        <w:jc w:val="center"/>
        <w:rPr>
          <w:rFonts w:ascii="宋体" w:hAnsi="宋体"/>
          <w:sz w:val="72"/>
          <w:szCs w:val="72"/>
        </w:rPr>
      </w:pPr>
      <w:r>
        <w:rPr>
          <w:rFonts w:ascii="宋体" w:hAnsi="宋体"/>
          <w:sz w:val="72"/>
          <w:szCs w:val="72"/>
        </w:rPr>
        <w:t>文</w:t>
      </w:r>
    </w:p>
    <w:p>
      <w:pPr>
        <w:spacing w:line="1200" w:lineRule="exact"/>
        <w:ind w:right="6"/>
        <w:jc w:val="center"/>
        <w:rPr>
          <w:rFonts w:ascii="宋体" w:hAnsi="宋体"/>
          <w:sz w:val="72"/>
          <w:szCs w:val="72"/>
        </w:rPr>
      </w:pPr>
      <w:r>
        <w:rPr>
          <w:rFonts w:ascii="宋体" w:hAnsi="宋体"/>
          <w:sz w:val="72"/>
          <w:szCs w:val="72"/>
        </w:rPr>
        <w:t>件</w:t>
      </w:r>
    </w:p>
    <w:p>
      <w:pPr>
        <w:spacing w:line="1200" w:lineRule="exact"/>
        <w:ind w:right="6"/>
        <w:jc w:val="center"/>
        <w:rPr>
          <w:rFonts w:ascii="宋体" w:hAnsi="宋体"/>
          <w:sz w:val="72"/>
          <w:szCs w:val="72"/>
        </w:rPr>
      </w:pPr>
    </w:p>
    <w:p>
      <w:pPr>
        <w:spacing w:line="360" w:lineRule="auto"/>
        <w:ind w:right="-110"/>
        <w:rPr>
          <w:rFonts w:ascii="宋体" w:hAnsi="宋体"/>
          <w:spacing w:val="40"/>
          <w:sz w:val="30"/>
          <w:szCs w:val="30"/>
        </w:rPr>
      </w:pPr>
      <w:r>
        <w:rPr>
          <w:rFonts w:hint="eastAsia" w:ascii="宋体" w:hAnsi="宋体"/>
          <w:spacing w:val="40"/>
          <w:sz w:val="30"/>
          <w:szCs w:val="30"/>
        </w:rPr>
        <w:t>供应商名称（盖章）：</w:t>
      </w:r>
    </w:p>
    <w:p>
      <w:pPr>
        <w:spacing w:line="360" w:lineRule="auto"/>
        <w:ind w:right="-110"/>
        <w:rPr>
          <w:rFonts w:ascii="宋体" w:hAnsi="宋体"/>
          <w:spacing w:val="40"/>
          <w:sz w:val="30"/>
          <w:szCs w:val="30"/>
        </w:rPr>
      </w:pPr>
      <w:r>
        <w:rPr>
          <w:rFonts w:hint="eastAsia" w:ascii="宋体" w:hAnsi="宋体"/>
          <w:spacing w:val="40"/>
          <w:sz w:val="30"/>
          <w:szCs w:val="30"/>
        </w:rPr>
        <w:t>地    址：</w:t>
      </w:r>
    </w:p>
    <w:p>
      <w:pPr>
        <w:spacing w:line="360" w:lineRule="auto"/>
        <w:ind w:right="-110"/>
        <w:rPr>
          <w:rFonts w:ascii="宋体" w:hAnsi="宋体"/>
          <w:spacing w:val="40"/>
          <w:sz w:val="30"/>
          <w:szCs w:val="30"/>
        </w:rPr>
      </w:pPr>
      <w:r>
        <w:rPr>
          <w:rFonts w:ascii="宋体" w:hAnsi="宋体"/>
          <w:spacing w:val="40"/>
          <w:sz w:val="30"/>
          <w:szCs w:val="30"/>
        </w:rPr>
        <w:t>日期</w:t>
      </w:r>
      <w:r>
        <w:rPr>
          <w:rFonts w:hint="eastAsia" w:ascii="宋体" w:hAnsi="宋体"/>
          <w:spacing w:val="40"/>
          <w:sz w:val="30"/>
          <w:szCs w:val="30"/>
        </w:rPr>
        <w:t>：</w:t>
      </w:r>
    </w:p>
    <w:p>
      <w:pPr>
        <w:spacing w:line="400" w:lineRule="exact"/>
        <w:ind w:right="-110"/>
        <w:rPr>
          <w:rFonts w:ascii="宋体" w:hAnsi="宋体"/>
          <w:spacing w:val="40"/>
          <w:sz w:val="30"/>
          <w:szCs w:val="30"/>
        </w:rPr>
      </w:pPr>
    </w:p>
    <w:p>
      <w:pPr>
        <w:spacing w:line="400" w:lineRule="exact"/>
        <w:ind w:right="-110"/>
        <w:rPr>
          <w:rFonts w:ascii="宋体" w:hAnsi="宋体"/>
          <w:spacing w:val="40"/>
          <w:sz w:val="30"/>
          <w:szCs w:val="30"/>
        </w:rPr>
      </w:pPr>
    </w:p>
    <w:p>
      <w:pPr>
        <w:spacing w:line="400" w:lineRule="exact"/>
        <w:ind w:right="-110"/>
        <w:rPr>
          <w:rFonts w:ascii="宋体" w:hAnsi="宋体"/>
          <w:spacing w:val="40"/>
          <w:sz w:val="30"/>
          <w:szCs w:val="30"/>
        </w:rPr>
      </w:pPr>
    </w:p>
    <w:p>
      <w:pPr>
        <w:rPr>
          <w:rFonts w:ascii="宋体" w:hAnsi="宋体"/>
          <w:sz w:val="24"/>
        </w:rPr>
      </w:pPr>
    </w:p>
    <w:p>
      <w:pPr>
        <w:snapToGrid w:val="0"/>
        <w:spacing w:before="156" w:beforeLines="50" w:after="50"/>
        <w:jc w:val="left"/>
        <w:rPr>
          <w:rFonts w:ascii="宋体" w:hAnsi="宋体"/>
          <w:b/>
          <w:bCs/>
          <w:sz w:val="30"/>
          <w:szCs w:val="30"/>
        </w:rPr>
      </w:pPr>
      <w:r>
        <w:rPr>
          <w:rFonts w:hint="eastAsia" w:ascii="宋体" w:hAnsi="宋体"/>
          <w:b/>
          <w:bCs/>
          <w:sz w:val="30"/>
          <w:szCs w:val="30"/>
        </w:rPr>
        <w:t>附件</w:t>
      </w:r>
      <w:r>
        <w:rPr>
          <w:rFonts w:ascii="宋体" w:hAnsi="宋体"/>
          <w:b/>
          <w:bCs/>
          <w:sz w:val="30"/>
          <w:szCs w:val="30"/>
        </w:rPr>
        <w:t>17</w:t>
      </w:r>
      <w:r>
        <w:rPr>
          <w:rFonts w:hint="eastAsia" w:ascii="宋体" w:hAnsi="宋体"/>
          <w:b/>
          <w:bCs/>
          <w:sz w:val="30"/>
          <w:szCs w:val="30"/>
        </w:rPr>
        <w:t>：</w:t>
      </w:r>
      <w:r>
        <w:rPr>
          <w:rFonts w:ascii="宋体" w:hAnsi="宋体"/>
          <w:b/>
          <w:bCs/>
          <w:sz w:val="30"/>
          <w:szCs w:val="30"/>
        </w:rPr>
        <w:t>报价文件目录</w:t>
      </w:r>
    </w:p>
    <w:p>
      <w:pPr>
        <w:snapToGrid w:val="0"/>
        <w:spacing w:before="156" w:beforeLines="50" w:after="50"/>
        <w:jc w:val="left"/>
        <w:rPr>
          <w:rFonts w:ascii="宋体" w:hAnsi="宋体"/>
          <w:sz w:val="30"/>
          <w:szCs w:val="30"/>
        </w:rPr>
      </w:pPr>
    </w:p>
    <w:p>
      <w:pPr>
        <w:pStyle w:val="178"/>
        <w:spacing w:line="360" w:lineRule="auto"/>
        <w:ind w:firstLine="0" w:firstLineChars="0"/>
        <w:jc w:val="center"/>
        <w:rPr>
          <w:rFonts w:ascii="宋体" w:hAnsi="宋体" w:eastAsia="宋体" w:cs="仿宋_GB2312"/>
        </w:rPr>
      </w:pPr>
      <w:bookmarkStart w:id="52" w:name="_Toc64369825"/>
      <w:r>
        <w:rPr>
          <w:rFonts w:hint="eastAsia" w:ascii="宋体" w:hAnsi="宋体" w:eastAsia="宋体" w:cs="仿宋_GB2312"/>
        </w:rPr>
        <w:t>目 录</w:t>
      </w:r>
      <w:bookmarkEnd w:id="52"/>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1.开标一览表 ……………………………………………………………………（页码）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2.享受政府采购政策性规定情况表（如有）……………………………………（页码）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3.中小企业声明函（如有）………………………………………………………（页码）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4.残疾人福利性单位声明函（如有）……………………………………………（页码）</w:t>
      </w:r>
    </w:p>
    <w:p>
      <w:pPr>
        <w:pStyle w:val="178"/>
        <w:spacing w:line="360" w:lineRule="auto"/>
        <w:ind w:firstLine="0" w:firstLineChars="0"/>
        <w:jc w:val="left"/>
        <w:rPr>
          <w:rFonts w:ascii="宋体" w:hAnsi="宋体" w:eastAsia="宋体" w:cs="仿宋_GB2312"/>
        </w:rPr>
      </w:pPr>
      <w:r>
        <w:rPr>
          <w:rFonts w:hint="eastAsia" w:ascii="宋体" w:hAnsi="宋体" w:eastAsia="宋体" w:cs="仿宋_GB2312"/>
        </w:rPr>
        <w:t>5.关于报价的其他说明（如有，自拟）…………………………………………（页码）</w:t>
      </w:r>
    </w:p>
    <w:p>
      <w:pPr>
        <w:pStyle w:val="178"/>
        <w:spacing w:line="360" w:lineRule="auto"/>
        <w:ind w:firstLine="0" w:firstLineChars="0"/>
        <w:jc w:val="left"/>
        <w:rPr>
          <w:rFonts w:ascii="宋体" w:hAnsi="宋体" w:eastAsia="宋体" w:cs="仿宋_GB2312"/>
        </w:rPr>
      </w:pPr>
    </w:p>
    <w:p>
      <w:pPr>
        <w:snapToGrid w:val="0"/>
        <w:spacing w:before="50" w:after="50"/>
        <w:jc w:val="left"/>
        <w:rPr>
          <w:rFonts w:ascii="宋体" w:hAnsi="宋体"/>
          <w:b/>
          <w:sz w:val="36"/>
          <w:szCs w:val="36"/>
        </w:rPr>
      </w:pPr>
    </w:p>
    <w:p>
      <w:pPr>
        <w:snapToGrid w:val="0"/>
        <w:spacing w:before="50" w:after="50"/>
        <w:jc w:val="left"/>
        <w:rPr>
          <w:rFonts w:ascii="宋体" w:hAnsi="宋体"/>
          <w:b/>
          <w:sz w:val="36"/>
          <w:szCs w:val="36"/>
        </w:rPr>
      </w:pPr>
    </w:p>
    <w:p>
      <w:pPr>
        <w:snapToGrid w:val="0"/>
        <w:spacing w:before="50" w:after="50"/>
        <w:jc w:val="left"/>
        <w:rPr>
          <w:rFonts w:ascii="宋体" w:hAnsi="宋体"/>
          <w:b/>
          <w:sz w:val="36"/>
          <w:szCs w:val="36"/>
        </w:rPr>
      </w:pPr>
    </w:p>
    <w:p>
      <w:pPr>
        <w:snapToGrid w:val="0"/>
        <w:spacing w:before="50" w:after="50"/>
        <w:jc w:val="left"/>
        <w:rPr>
          <w:rFonts w:ascii="宋体" w:hAnsi="宋体"/>
          <w:b/>
          <w:sz w:val="36"/>
          <w:szCs w:val="36"/>
        </w:rPr>
      </w:pPr>
    </w:p>
    <w:p>
      <w:pPr>
        <w:snapToGrid w:val="0"/>
        <w:spacing w:before="50" w:after="50"/>
        <w:jc w:val="left"/>
        <w:rPr>
          <w:rFonts w:ascii="宋体" w:hAnsi="宋体"/>
          <w:b/>
          <w:sz w:val="36"/>
          <w:szCs w:val="36"/>
        </w:rPr>
      </w:pPr>
    </w:p>
    <w:p>
      <w:pPr>
        <w:snapToGrid w:val="0"/>
        <w:spacing w:before="50" w:after="50"/>
        <w:jc w:val="left"/>
        <w:rPr>
          <w:rFonts w:ascii="宋体" w:hAnsi="宋体"/>
          <w:b/>
          <w:sz w:val="36"/>
          <w:szCs w:val="36"/>
        </w:rPr>
      </w:pPr>
    </w:p>
    <w:p>
      <w:pPr>
        <w:snapToGrid w:val="0"/>
        <w:spacing w:before="50" w:after="50"/>
        <w:jc w:val="left"/>
        <w:rPr>
          <w:rFonts w:ascii="宋体" w:hAnsi="宋体"/>
          <w:b/>
          <w:sz w:val="36"/>
          <w:szCs w:val="36"/>
        </w:rPr>
        <w:sectPr>
          <w:footerReference r:id="rId13" w:type="default"/>
          <w:pgSz w:w="11907" w:h="16840"/>
          <w:pgMar w:top="1440" w:right="1463" w:bottom="1440" w:left="1803" w:header="851" w:footer="992" w:gutter="0"/>
          <w:cols w:space="720" w:num="1"/>
          <w:docGrid w:type="lines" w:linePitch="312" w:charSpace="0"/>
        </w:sectPr>
      </w:pPr>
    </w:p>
    <w:p>
      <w:pPr>
        <w:snapToGrid w:val="0"/>
        <w:spacing w:before="50" w:after="50"/>
        <w:jc w:val="left"/>
        <w:rPr>
          <w:rFonts w:ascii="宋体" w:hAnsi="宋体"/>
          <w:b/>
          <w:bCs/>
          <w:sz w:val="30"/>
          <w:szCs w:val="30"/>
        </w:rPr>
      </w:pPr>
      <w:r>
        <w:rPr>
          <w:rFonts w:ascii="宋体" w:hAnsi="宋体"/>
          <w:b/>
          <w:bCs/>
          <w:sz w:val="30"/>
          <w:szCs w:val="30"/>
        </w:rPr>
        <w:t>附件18：</w:t>
      </w:r>
    </w:p>
    <w:p>
      <w:pPr>
        <w:snapToGrid w:val="0"/>
        <w:spacing w:before="50" w:after="50"/>
        <w:jc w:val="center"/>
        <w:rPr>
          <w:rFonts w:ascii="宋体" w:hAnsi="宋体"/>
          <w:b/>
          <w:sz w:val="36"/>
          <w:szCs w:val="36"/>
        </w:rPr>
      </w:pPr>
      <w:r>
        <w:rPr>
          <w:rFonts w:ascii="宋体" w:hAnsi="宋体"/>
          <w:b/>
          <w:sz w:val="36"/>
          <w:szCs w:val="36"/>
        </w:rPr>
        <w:t>开标一览表</w:t>
      </w:r>
    </w:p>
    <w:p>
      <w:pPr>
        <w:spacing w:line="400" w:lineRule="exact"/>
        <w:rPr>
          <w:rFonts w:ascii="宋体" w:hAnsi="宋体"/>
          <w:sz w:val="24"/>
        </w:rPr>
      </w:pPr>
      <w:r>
        <w:rPr>
          <w:rFonts w:hint="eastAsia" w:ascii="宋体" w:hAnsi="宋体"/>
          <w:sz w:val="24"/>
        </w:rPr>
        <w:t>供应商名称：</w:t>
      </w:r>
      <w:r>
        <w:rPr>
          <w:rFonts w:ascii="宋体" w:hAnsi="宋体"/>
          <w:sz w:val="24"/>
        </w:rPr>
        <w:t>供应商地址：</w:t>
      </w:r>
    </w:p>
    <w:p>
      <w:pPr>
        <w:snapToGrid w:val="0"/>
        <w:spacing w:line="400" w:lineRule="exact"/>
        <w:rPr>
          <w:rFonts w:ascii="宋体" w:hAnsi="宋体"/>
          <w:sz w:val="24"/>
          <w:u w:val="single"/>
        </w:rPr>
      </w:pPr>
      <w:r>
        <w:rPr>
          <w:rFonts w:ascii="宋体" w:hAnsi="宋体"/>
          <w:sz w:val="24"/>
        </w:rPr>
        <w:t>项目编号</w:t>
      </w:r>
      <w:r>
        <w:rPr>
          <w:rFonts w:hint="eastAsia" w:ascii="宋体" w:hAnsi="宋体"/>
          <w:sz w:val="24"/>
        </w:rPr>
        <w:t>：</w:t>
      </w:r>
      <w:r>
        <w:rPr>
          <w:rFonts w:ascii="宋体" w:hAnsi="宋体"/>
          <w:sz w:val="24"/>
        </w:rPr>
        <w:t>标段</w:t>
      </w:r>
      <w:r>
        <w:rPr>
          <w:rFonts w:hint="eastAsia" w:ascii="宋体" w:hAnsi="宋体"/>
          <w:sz w:val="24"/>
        </w:rPr>
        <w:t>编号：</w:t>
      </w:r>
    </w:p>
    <w:tbl>
      <w:tblPr>
        <w:tblStyle w:val="42"/>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70"/>
        <w:gridCol w:w="1287"/>
        <w:gridCol w:w="3514"/>
        <w:gridCol w:w="2365"/>
        <w:gridCol w:w="219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snapToGrid w:val="0"/>
              <w:spacing w:before="50" w:after="50"/>
              <w:jc w:val="center"/>
              <w:rPr>
                <w:rFonts w:ascii="宋体" w:hAnsi="宋体"/>
                <w:b/>
                <w:sz w:val="24"/>
              </w:rPr>
            </w:pPr>
            <w:r>
              <w:rPr>
                <w:rFonts w:hint="eastAsia" w:ascii="宋体" w:hAnsi="宋体"/>
                <w:b/>
                <w:sz w:val="24"/>
              </w:rPr>
              <w:t>序号</w:t>
            </w:r>
          </w:p>
        </w:tc>
        <w:tc>
          <w:tcPr>
            <w:tcW w:w="3257" w:type="dxa"/>
            <w:gridSpan w:val="2"/>
            <w:noWrap w:val="0"/>
            <w:vAlign w:val="center"/>
          </w:tcPr>
          <w:p>
            <w:pPr>
              <w:snapToGrid w:val="0"/>
              <w:spacing w:before="50" w:after="50"/>
              <w:jc w:val="center"/>
              <w:rPr>
                <w:rFonts w:ascii="宋体" w:hAnsi="宋体"/>
                <w:b/>
                <w:sz w:val="24"/>
              </w:rPr>
            </w:pPr>
            <w:r>
              <w:rPr>
                <w:rFonts w:hint="eastAsia" w:ascii="宋体" w:hAnsi="宋体"/>
                <w:b/>
                <w:sz w:val="24"/>
              </w:rPr>
              <w:t>服务项目或其他报价项</w:t>
            </w:r>
          </w:p>
        </w:tc>
        <w:tc>
          <w:tcPr>
            <w:tcW w:w="3514" w:type="dxa"/>
            <w:noWrap w:val="0"/>
            <w:vAlign w:val="center"/>
          </w:tcPr>
          <w:p>
            <w:pPr>
              <w:snapToGrid w:val="0"/>
              <w:spacing w:before="50" w:after="50"/>
              <w:jc w:val="center"/>
              <w:rPr>
                <w:rFonts w:ascii="宋体" w:hAnsi="宋体"/>
                <w:b/>
                <w:sz w:val="24"/>
              </w:rPr>
            </w:pPr>
            <w:r>
              <w:rPr>
                <w:rFonts w:hint="eastAsia" w:ascii="宋体" w:hAnsi="宋体"/>
                <w:b/>
                <w:sz w:val="24"/>
              </w:rPr>
              <w:t>小微企业、监狱企业、残疾人福利性企业（是/否）</w:t>
            </w:r>
          </w:p>
        </w:tc>
        <w:tc>
          <w:tcPr>
            <w:tcW w:w="2365" w:type="dxa"/>
            <w:noWrap w:val="0"/>
            <w:vAlign w:val="center"/>
          </w:tcPr>
          <w:p>
            <w:pPr>
              <w:snapToGrid w:val="0"/>
              <w:spacing w:before="50" w:after="50"/>
              <w:jc w:val="center"/>
              <w:rPr>
                <w:rFonts w:ascii="宋体" w:hAnsi="宋体"/>
                <w:b/>
                <w:sz w:val="24"/>
              </w:rPr>
            </w:pPr>
            <w:r>
              <w:rPr>
                <w:rFonts w:hint="eastAsia" w:ascii="宋体" w:hAnsi="宋体"/>
                <w:b/>
                <w:sz w:val="24"/>
              </w:rPr>
              <w:t>单价</w:t>
            </w:r>
          </w:p>
          <w:p>
            <w:pPr>
              <w:snapToGrid w:val="0"/>
              <w:spacing w:before="50" w:after="50"/>
              <w:jc w:val="center"/>
              <w:rPr>
                <w:rFonts w:ascii="宋体" w:hAnsi="宋体"/>
                <w:b/>
                <w:sz w:val="24"/>
              </w:rPr>
            </w:pPr>
            <w:r>
              <w:rPr>
                <w:rFonts w:hint="eastAsia" w:ascii="宋体" w:hAnsi="宋体"/>
                <w:b/>
                <w:sz w:val="24"/>
              </w:rPr>
              <w:t>（人民币元）</w:t>
            </w:r>
          </w:p>
        </w:tc>
        <w:tc>
          <w:tcPr>
            <w:tcW w:w="2195" w:type="dxa"/>
            <w:noWrap w:val="0"/>
            <w:vAlign w:val="center"/>
          </w:tcPr>
          <w:p>
            <w:pPr>
              <w:snapToGrid w:val="0"/>
              <w:spacing w:before="50" w:after="50"/>
              <w:jc w:val="center"/>
              <w:rPr>
                <w:rFonts w:ascii="宋体" w:hAnsi="宋体"/>
                <w:b/>
                <w:sz w:val="24"/>
              </w:rPr>
            </w:pPr>
            <w:r>
              <w:rPr>
                <w:rFonts w:hint="eastAsia" w:ascii="宋体" w:hAnsi="宋体"/>
                <w:b/>
                <w:sz w:val="24"/>
              </w:rPr>
              <w:t>金额</w:t>
            </w:r>
          </w:p>
          <w:p>
            <w:pPr>
              <w:snapToGrid w:val="0"/>
              <w:spacing w:before="50" w:after="50"/>
              <w:jc w:val="center"/>
              <w:rPr>
                <w:rFonts w:ascii="宋体" w:hAnsi="宋体"/>
                <w:b/>
                <w:sz w:val="24"/>
              </w:rPr>
            </w:pPr>
            <w:r>
              <w:rPr>
                <w:rFonts w:hint="eastAsia" w:ascii="宋体" w:hAnsi="宋体"/>
                <w:b/>
                <w:sz w:val="24"/>
              </w:rPr>
              <w:t>（人民币元）</w:t>
            </w:r>
          </w:p>
        </w:tc>
        <w:tc>
          <w:tcPr>
            <w:tcW w:w="1660" w:type="dxa"/>
            <w:noWrap w:val="0"/>
            <w:vAlign w:val="center"/>
          </w:tcPr>
          <w:p>
            <w:pPr>
              <w:snapToGrid w:val="0"/>
              <w:spacing w:before="50" w:after="5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snapToGrid w:val="0"/>
              <w:spacing w:before="50" w:after="50"/>
              <w:jc w:val="center"/>
              <w:rPr>
                <w:rFonts w:ascii="宋体" w:hAnsi="宋体"/>
                <w:b/>
                <w:sz w:val="24"/>
              </w:rPr>
            </w:pPr>
            <w:r>
              <w:rPr>
                <w:rFonts w:hint="eastAsia" w:ascii="宋体" w:hAnsi="宋体"/>
                <w:b/>
                <w:sz w:val="24"/>
              </w:rPr>
              <w:t>1</w:t>
            </w:r>
          </w:p>
        </w:tc>
        <w:tc>
          <w:tcPr>
            <w:tcW w:w="3257" w:type="dxa"/>
            <w:gridSpan w:val="2"/>
            <w:noWrap w:val="0"/>
            <w:vAlign w:val="top"/>
          </w:tcPr>
          <w:p>
            <w:pPr>
              <w:snapToGrid w:val="0"/>
              <w:spacing w:before="50" w:after="50"/>
              <w:jc w:val="left"/>
              <w:rPr>
                <w:rFonts w:ascii="宋体" w:hAnsi="宋体"/>
                <w:b/>
                <w:sz w:val="24"/>
              </w:rPr>
            </w:pPr>
          </w:p>
        </w:tc>
        <w:tc>
          <w:tcPr>
            <w:tcW w:w="3514" w:type="dxa"/>
            <w:noWrap w:val="0"/>
            <w:vAlign w:val="top"/>
          </w:tcPr>
          <w:p>
            <w:pPr>
              <w:snapToGrid w:val="0"/>
              <w:spacing w:before="50" w:after="50"/>
              <w:jc w:val="left"/>
              <w:rPr>
                <w:rFonts w:ascii="宋体" w:hAnsi="宋体"/>
                <w:b/>
                <w:sz w:val="24"/>
              </w:rPr>
            </w:pPr>
          </w:p>
        </w:tc>
        <w:tc>
          <w:tcPr>
            <w:tcW w:w="2365" w:type="dxa"/>
            <w:noWrap w:val="0"/>
            <w:vAlign w:val="top"/>
          </w:tcPr>
          <w:p>
            <w:pPr>
              <w:snapToGrid w:val="0"/>
              <w:spacing w:before="50" w:after="50"/>
              <w:jc w:val="left"/>
              <w:rPr>
                <w:rFonts w:ascii="宋体" w:hAnsi="宋体"/>
                <w:b/>
                <w:sz w:val="24"/>
              </w:rPr>
            </w:pPr>
          </w:p>
        </w:tc>
        <w:tc>
          <w:tcPr>
            <w:tcW w:w="2195" w:type="dxa"/>
            <w:noWrap w:val="0"/>
            <w:vAlign w:val="top"/>
          </w:tcPr>
          <w:p>
            <w:pPr>
              <w:snapToGrid w:val="0"/>
              <w:spacing w:before="50" w:after="50"/>
              <w:jc w:val="left"/>
              <w:rPr>
                <w:rFonts w:ascii="宋体" w:hAnsi="宋体"/>
                <w:b/>
                <w:sz w:val="24"/>
              </w:rPr>
            </w:pPr>
          </w:p>
        </w:tc>
        <w:tc>
          <w:tcPr>
            <w:tcW w:w="1660" w:type="dxa"/>
            <w:noWrap w:val="0"/>
            <w:vAlign w:val="top"/>
          </w:tcPr>
          <w:p>
            <w:pPr>
              <w:snapToGrid w:val="0"/>
              <w:spacing w:before="50" w:after="5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snapToGrid w:val="0"/>
              <w:spacing w:before="50" w:after="50"/>
              <w:jc w:val="center"/>
              <w:rPr>
                <w:rFonts w:ascii="宋体" w:hAnsi="宋体"/>
                <w:b/>
                <w:sz w:val="24"/>
              </w:rPr>
            </w:pPr>
            <w:r>
              <w:rPr>
                <w:rFonts w:hint="eastAsia" w:ascii="宋体" w:hAnsi="宋体"/>
                <w:b/>
                <w:sz w:val="24"/>
              </w:rPr>
              <w:t>2</w:t>
            </w:r>
          </w:p>
        </w:tc>
        <w:tc>
          <w:tcPr>
            <w:tcW w:w="3257" w:type="dxa"/>
            <w:gridSpan w:val="2"/>
            <w:noWrap w:val="0"/>
            <w:vAlign w:val="top"/>
          </w:tcPr>
          <w:p>
            <w:pPr>
              <w:snapToGrid w:val="0"/>
              <w:spacing w:before="50" w:after="50"/>
              <w:jc w:val="left"/>
              <w:rPr>
                <w:rFonts w:ascii="宋体" w:hAnsi="宋体"/>
                <w:b/>
                <w:sz w:val="24"/>
              </w:rPr>
            </w:pPr>
          </w:p>
        </w:tc>
        <w:tc>
          <w:tcPr>
            <w:tcW w:w="3514" w:type="dxa"/>
            <w:noWrap w:val="0"/>
            <w:vAlign w:val="top"/>
          </w:tcPr>
          <w:p>
            <w:pPr>
              <w:snapToGrid w:val="0"/>
              <w:spacing w:before="50" w:after="50"/>
              <w:jc w:val="left"/>
              <w:rPr>
                <w:rFonts w:ascii="宋体" w:hAnsi="宋体"/>
                <w:b/>
                <w:sz w:val="24"/>
              </w:rPr>
            </w:pPr>
          </w:p>
        </w:tc>
        <w:tc>
          <w:tcPr>
            <w:tcW w:w="2365" w:type="dxa"/>
            <w:noWrap w:val="0"/>
            <w:vAlign w:val="top"/>
          </w:tcPr>
          <w:p>
            <w:pPr>
              <w:snapToGrid w:val="0"/>
              <w:spacing w:before="50" w:after="50"/>
              <w:jc w:val="left"/>
              <w:rPr>
                <w:rFonts w:ascii="宋体" w:hAnsi="宋体"/>
                <w:b/>
                <w:sz w:val="24"/>
              </w:rPr>
            </w:pPr>
          </w:p>
        </w:tc>
        <w:tc>
          <w:tcPr>
            <w:tcW w:w="2195" w:type="dxa"/>
            <w:noWrap w:val="0"/>
            <w:vAlign w:val="top"/>
          </w:tcPr>
          <w:p>
            <w:pPr>
              <w:snapToGrid w:val="0"/>
              <w:spacing w:before="50" w:after="50"/>
              <w:jc w:val="left"/>
              <w:rPr>
                <w:rFonts w:ascii="宋体" w:hAnsi="宋体"/>
                <w:b/>
                <w:sz w:val="24"/>
              </w:rPr>
            </w:pPr>
          </w:p>
        </w:tc>
        <w:tc>
          <w:tcPr>
            <w:tcW w:w="1660" w:type="dxa"/>
            <w:noWrap w:val="0"/>
            <w:vAlign w:val="top"/>
          </w:tcPr>
          <w:p>
            <w:pPr>
              <w:snapToGrid w:val="0"/>
              <w:spacing w:before="50" w:after="5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snapToGrid w:val="0"/>
              <w:spacing w:before="50" w:after="50"/>
              <w:jc w:val="center"/>
              <w:rPr>
                <w:rFonts w:ascii="宋体" w:hAnsi="宋体"/>
                <w:b/>
                <w:sz w:val="24"/>
              </w:rPr>
            </w:pPr>
            <w:r>
              <w:rPr>
                <w:rFonts w:hint="eastAsia" w:ascii="宋体" w:hAnsi="宋体" w:cs="仿宋_GB2312"/>
                <w:sz w:val="28"/>
                <w:szCs w:val="28"/>
              </w:rPr>
              <w:t>…</w:t>
            </w:r>
          </w:p>
        </w:tc>
        <w:tc>
          <w:tcPr>
            <w:tcW w:w="3257" w:type="dxa"/>
            <w:gridSpan w:val="2"/>
            <w:noWrap w:val="0"/>
            <w:vAlign w:val="top"/>
          </w:tcPr>
          <w:p>
            <w:pPr>
              <w:snapToGrid w:val="0"/>
              <w:spacing w:before="50" w:after="50"/>
              <w:jc w:val="left"/>
              <w:rPr>
                <w:rFonts w:ascii="宋体" w:hAnsi="宋体"/>
                <w:b/>
                <w:sz w:val="24"/>
              </w:rPr>
            </w:pPr>
          </w:p>
        </w:tc>
        <w:tc>
          <w:tcPr>
            <w:tcW w:w="3514" w:type="dxa"/>
            <w:noWrap w:val="0"/>
            <w:vAlign w:val="top"/>
          </w:tcPr>
          <w:p>
            <w:pPr>
              <w:snapToGrid w:val="0"/>
              <w:spacing w:before="50" w:after="50"/>
              <w:jc w:val="left"/>
              <w:rPr>
                <w:rFonts w:ascii="宋体" w:hAnsi="宋体"/>
                <w:b/>
                <w:sz w:val="24"/>
              </w:rPr>
            </w:pPr>
          </w:p>
        </w:tc>
        <w:tc>
          <w:tcPr>
            <w:tcW w:w="2365" w:type="dxa"/>
            <w:noWrap w:val="0"/>
            <w:vAlign w:val="top"/>
          </w:tcPr>
          <w:p>
            <w:pPr>
              <w:snapToGrid w:val="0"/>
              <w:spacing w:before="50" w:after="50"/>
              <w:jc w:val="left"/>
              <w:rPr>
                <w:rFonts w:ascii="宋体" w:hAnsi="宋体"/>
                <w:b/>
                <w:sz w:val="24"/>
              </w:rPr>
            </w:pPr>
          </w:p>
        </w:tc>
        <w:tc>
          <w:tcPr>
            <w:tcW w:w="2195" w:type="dxa"/>
            <w:noWrap w:val="0"/>
            <w:vAlign w:val="top"/>
          </w:tcPr>
          <w:p>
            <w:pPr>
              <w:snapToGrid w:val="0"/>
              <w:spacing w:before="50" w:after="50"/>
              <w:jc w:val="left"/>
              <w:rPr>
                <w:rFonts w:ascii="宋体" w:hAnsi="宋体"/>
                <w:b/>
                <w:sz w:val="24"/>
              </w:rPr>
            </w:pPr>
          </w:p>
        </w:tc>
        <w:tc>
          <w:tcPr>
            <w:tcW w:w="1660" w:type="dxa"/>
            <w:noWrap w:val="0"/>
            <w:vAlign w:val="top"/>
          </w:tcPr>
          <w:p>
            <w:pPr>
              <w:snapToGrid w:val="0"/>
              <w:spacing w:before="50" w:after="50"/>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66" w:type="dxa"/>
            <w:gridSpan w:val="2"/>
            <w:vMerge w:val="restart"/>
            <w:noWrap w:val="0"/>
            <w:vAlign w:val="center"/>
          </w:tcPr>
          <w:p>
            <w:pPr>
              <w:snapToGrid w:val="0"/>
              <w:spacing w:before="50" w:after="50"/>
              <w:jc w:val="center"/>
              <w:rPr>
                <w:rFonts w:ascii="宋体" w:hAnsi="宋体"/>
                <w:b/>
                <w:sz w:val="24"/>
              </w:rPr>
            </w:pPr>
            <w:r>
              <w:rPr>
                <w:rFonts w:hint="eastAsia" w:ascii="宋体" w:hAnsi="宋体"/>
                <w:b/>
                <w:sz w:val="24"/>
              </w:rPr>
              <w:t>投标报价</w:t>
            </w:r>
          </w:p>
        </w:tc>
        <w:tc>
          <w:tcPr>
            <w:tcW w:w="11021" w:type="dxa"/>
            <w:gridSpan w:val="5"/>
            <w:noWrap w:val="0"/>
            <w:vAlign w:val="top"/>
          </w:tcPr>
          <w:p>
            <w:pPr>
              <w:snapToGrid w:val="0"/>
              <w:spacing w:before="50" w:after="50"/>
              <w:jc w:val="left"/>
              <w:rPr>
                <w:rFonts w:ascii="宋体" w:hAnsi="宋体"/>
                <w:b/>
                <w:sz w:val="24"/>
              </w:rPr>
            </w:pPr>
            <w:r>
              <w:rPr>
                <w:rFonts w:hint="eastAsia" w:ascii="宋体" w:hAnsi="宋体"/>
                <w:b/>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1" w:type="dxa"/>
            <w:gridSpan w:val="2"/>
            <w:vMerge w:val="continue"/>
            <w:noWrap w:val="0"/>
            <w:vAlign w:val="center"/>
          </w:tcPr>
          <w:p>
            <w:pPr>
              <w:rPr>
                <w:rFonts w:ascii="宋体" w:hAnsi="宋体"/>
              </w:rPr>
            </w:pPr>
          </w:p>
        </w:tc>
        <w:tc>
          <w:tcPr>
            <w:tcW w:w="11021" w:type="dxa"/>
            <w:gridSpan w:val="5"/>
            <w:noWrap w:val="0"/>
            <w:vAlign w:val="top"/>
          </w:tcPr>
          <w:p>
            <w:pPr>
              <w:snapToGrid w:val="0"/>
              <w:spacing w:before="50" w:after="50"/>
              <w:jc w:val="left"/>
              <w:rPr>
                <w:rFonts w:ascii="宋体" w:hAnsi="宋体"/>
                <w:b/>
                <w:sz w:val="24"/>
              </w:rPr>
            </w:pPr>
            <w:r>
              <w:rPr>
                <w:rFonts w:hint="eastAsia" w:ascii="宋体" w:hAnsi="宋体"/>
                <w:b/>
                <w:sz w:val="24"/>
              </w:rPr>
              <w:t>小写：</w:t>
            </w:r>
          </w:p>
        </w:tc>
      </w:tr>
    </w:tbl>
    <w:p>
      <w:pPr>
        <w:snapToGrid w:val="0"/>
        <w:jc w:val="left"/>
        <w:rPr>
          <w:rFonts w:ascii="宋体" w:hAnsi="宋体"/>
          <w:sz w:val="24"/>
        </w:rPr>
      </w:pPr>
      <w:r>
        <w:rPr>
          <w:rFonts w:hint="eastAsia" w:ascii="宋体" w:hAnsi="宋体"/>
          <w:sz w:val="24"/>
        </w:rPr>
        <w:t>注: 1.报价一经涂改，应在涂改处加盖单位公章或者由法定代表人或其授权代表签字或盖章，否则作无效投标处理。</w:t>
      </w:r>
    </w:p>
    <w:p>
      <w:pPr>
        <w:snapToGrid w:val="0"/>
        <w:ind w:firstLine="480" w:firstLineChars="200"/>
        <w:jc w:val="left"/>
        <w:rPr>
          <w:rFonts w:ascii="宋体" w:hAnsi="宋体"/>
          <w:sz w:val="24"/>
        </w:rPr>
      </w:pPr>
      <w:r>
        <w:rPr>
          <w:rFonts w:hint="eastAsia" w:ascii="宋体" w:hAnsi="宋体"/>
          <w:sz w:val="24"/>
        </w:rPr>
        <w:t>2.招标人不接受2个(含)以上的报价或方案，若供应商在此表中有2个（含）以上的报价或方案，作无效投标处理。</w:t>
      </w:r>
    </w:p>
    <w:p>
      <w:pPr>
        <w:snapToGrid w:val="0"/>
        <w:ind w:left="480"/>
        <w:rPr>
          <w:rFonts w:ascii="宋体" w:hAnsi="宋体" w:cs="仿宋_GB2312"/>
          <w:kern w:val="0"/>
          <w:sz w:val="24"/>
          <w:lang w:val="zh-CN"/>
        </w:rPr>
      </w:pPr>
      <w:r>
        <w:rPr>
          <w:rFonts w:ascii="宋体" w:hAnsi="宋体" w:cs="仿宋_GB2312"/>
          <w:kern w:val="0"/>
          <w:sz w:val="24"/>
          <w:lang w:val="zh-CN"/>
        </w:rPr>
        <w:t>3</w:t>
      </w:r>
      <w:r>
        <w:rPr>
          <w:rFonts w:hint="eastAsia" w:ascii="宋体" w:hAnsi="宋体" w:cs="仿宋_GB2312"/>
          <w:kern w:val="0"/>
          <w:sz w:val="24"/>
          <w:lang w:val="zh-CN"/>
        </w:rPr>
        <w:t>.有关本项目</w:t>
      </w:r>
      <w:r>
        <w:rPr>
          <w:rFonts w:ascii="宋体" w:hAnsi="宋体" w:cs="仿宋_GB2312"/>
          <w:kern w:val="0"/>
          <w:sz w:val="24"/>
          <w:lang w:val="zh-CN"/>
        </w:rPr>
        <w:t>的招投标及项目</w:t>
      </w:r>
      <w:r>
        <w:rPr>
          <w:rFonts w:hint="eastAsia" w:ascii="宋体" w:hAnsi="宋体" w:cs="仿宋_GB2312"/>
          <w:kern w:val="0"/>
          <w:sz w:val="24"/>
          <w:lang w:val="zh-CN"/>
        </w:rPr>
        <w:t>实施所涉及的一切费用均计入</w:t>
      </w:r>
      <w:r>
        <w:rPr>
          <w:rFonts w:ascii="宋体" w:hAnsi="宋体" w:cs="仿宋_GB2312"/>
          <w:kern w:val="0"/>
          <w:sz w:val="24"/>
          <w:lang w:val="zh-CN"/>
        </w:rPr>
        <w:t>投标</w:t>
      </w:r>
      <w:r>
        <w:rPr>
          <w:rFonts w:hint="eastAsia" w:ascii="宋体" w:hAnsi="宋体" w:cs="仿宋_GB2312"/>
          <w:kern w:val="0"/>
          <w:sz w:val="24"/>
          <w:lang w:val="zh-CN"/>
        </w:rPr>
        <w:t>报价</w:t>
      </w:r>
      <w:r>
        <w:rPr>
          <w:rFonts w:ascii="宋体" w:hAnsi="宋体" w:cs="仿宋_GB2312"/>
          <w:kern w:val="0"/>
          <w:sz w:val="24"/>
          <w:lang w:val="zh-CN"/>
        </w:rPr>
        <w:t>。</w:t>
      </w:r>
    </w:p>
    <w:p>
      <w:pPr>
        <w:snapToGrid w:val="0"/>
        <w:ind w:left="480"/>
        <w:rPr>
          <w:rFonts w:ascii="宋体" w:hAnsi="宋体" w:cs="仿宋_GB2312"/>
          <w:kern w:val="0"/>
          <w:sz w:val="24"/>
          <w:lang w:val="zh-CN"/>
        </w:rPr>
      </w:pPr>
      <w:r>
        <w:rPr>
          <w:rFonts w:hint="eastAsia" w:ascii="宋体" w:hAnsi="宋体"/>
          <w:sz w:val="24"/>
        </w:rPr>
        <w:t>4、享受政府采购政策性规定的需要提供相关证明材料，具体详见第二章“投标人须知”第一部分“采购文件”，否则不予享受。</w:t>
      </w:r>
    </w:p>
    <w:p>
      <w:pPr>
        <w:ind w:firstLine="482" w:firstLineChars="200"/>
        <w:rPr>
          <w:rFonts w:ascii="宋体" w:hAnsi="宋体"/>
          <w:b/>
          <w:kern w:val="0"/>
          <w:sz w:val="24"/>
          <w:u w:val="single"/>
          <w:lang w:val="zh-CN"/>
        </w:rPr>
      </w:pPr>
      <w:r>
        <w:rPr>
          <w:rFonts w:ascii="宋体" w:hAnsi="宋体"/>
          <w:b/>
          <w:sz w:val="24"/>
          <w:u w:val="single"/>
        </w:rPr>
        <w:t>5</w:t>
      </w:r>
      <w:r>
        <w:rPr>
          <w:rFonts w:hint="eastAsia" w:ascii="宋体" w:hAnsi="宋体"/>
          <w:b/>
          <w:sz w:val="24"/>
          <w:u w:val="single"/>
        </w:rPr>
        <w:t>、</w:t>
      </w:r>
      <w:r>
        <w:rPr>
          <w:rFonts w:hint="eastAsia" w:ascii="宋体" w:hAnsi="宋体"/>
          <w:b/>
          <w:kern w:val="0"/>
          <w:sz w:val="24"/>
          <w:u w:val="single"/>
          <w:lang w:val="zh-CN"/>
        </w:rPr>
        <w:t>特别提示：采购机构将</w:t>
      </w:r>
      <w:r>
        <w:rPr>
          <w:rFonts w:ascii="宋体" w:hAnsi="宋体"/>
          <w:b/>
          <w:kern w:val="0"/>
          <w:sz w:val="24"/>
          <w:u w:val="single"/>
          <w:lang w:val="zh-CN"/>
        </w:rPr>
        <w:t>在中标公告中公布中标人的《开标一览表》，接受社会监督</w:t>
      </w:r>
      <w:r>
        <w:rPr>
          <w:rFonts w:hint="eastAsia" w:ascii="宋体" w:hAnsi="宋体"/>
          <w:b/>
          <w:kern w:val="0"/>
          <w:sz w:val="24"/>
          <w:u w:val="single"/>
          <w:lang w:val="zh-CN"/>
        </w:rPr>
        <w:t>。</w:t>
      </w:r>
    </w:p>
    <w:p>
      <w:pPr>
        <w:ind w:firstLine="482" w:firstLineChars="200"/>
        <w:rPr>
          <w:rFonts w:ascii="宋体" w:hAnsi="宋体"/>
          <w:b/>
          <w:kern w:val="0"/>
          <w:sz w:val="24"/>
          <w:u w:val="single"/>
          <w:lang w:val="zh-CN"/>
        </w:rPr>
      </w:pPr>
    </w:p>
    <w:p>
      <w:pPr>
        <w:snapToGrid w:val="0"/>
        <w:ind w:firstLine="480" w:firstLineChars="200"/>
        <w:jc w:val="left"/>
        <w:rPr>
          <w:rFonts w:ascii="宋体" w:hAnsi="宋体"/>
          <w:sz w:val="24"/>
        </w:rPr>
      </w:pPr>
      <w:bookmarkStart w:id="53" w:name="_Toc64369826"/>
      <w:r>
        <w:rPr>
          <w:rFonts w:hint="eastAsia" w:ascii="宋体" w:hAnsi="宋体"/>
          <w:sz w:val="24"/>
        </w:rPr>
        <w:t xml:space="preserve">法定代表人或其授权代表签字（或盖章）：            </w:t>
      </w:r>
      <w:bookmarkEnd w:id="53"/>
    </w:p>
    <w:p>
      <w:pPr>
        <w:spacing w:line="360" w:lineRule="auto"/>
        <w:jc w:val="left"/>
        <w:outlineLvl w:val="0"/>
        <w:rPr>
          <w:rFonts w:ascii="宋体" w:hAnsi="宋体"/>
          <w:sz w:val="24"/>
        </w:rPr>
      </w:pPr>
    </w:p>
    <w:p>
      <w:pPr>
        <w:snapToGrid w:val="0"/>
        <w:ind w:firstLine="480" w:firstLineChars="200"/>
        <w:jc w:val="left"/>
        <w:rPr>
          <w:rFonts w:ascii="宋体" w:hAnsi="宋体"/>
          <w:sz w:val="24"/>
        </w:rPr>
      </w:pPr>
      <w:bookmarkStart w:id="54" w:name="_Toc64369827"/>
      <w:r>
        <w:rPr>
          <w:rFonts w:hint="eastAsia" w:ascii="宋体" w:hAnsi="宋体"/>
          <w:sz w:val="24"/>
        </w:rPr>
        <w:t>日期：    年   月   日</w:t>
      </w:r>
      <w:bookmarkEnd w:id="54"/>
    </w:p>
    <w:p>
      <w:pPr>
        <w:snapToGrid w:val="0"/>
        <w:ind w:firstLine="480" w:firstLineChars="200"/>
        <w:jc w:val="left"/>
        <w:rPr>
          <w:rFonts w:ascii="宋体" w:hAnsi="宋体"/>
          <w:sz w:val="24"/>
        </w:rPr>
        <w:sectPr>
          <w:pgSz w:w="16840" w:h="11907" w:orient="landscape"/>
          <w:pgMar w:top="1803" w:right="1440" w:bottom="1236" w:left="1440" w:header="851" w:footer="992" w:gutter="0"/>
          <w:cols w:space="720" w:num="1"/>
          <w:docGrid w:type="lines" w:linePitch="312" w:charSpace="0"/>
        </w:sectPr>
      </w:pPr>
    </w:p>
    <w:p>
      <w:pPr>
        <w:jc w:val="center"/>
        <w:rPr>
          <w:rFonts w:ascii="宋体" w:hAnsi="宋体"/>
          <w:b/>
          <w:sz w:val="36"/>
          <w:szCs w:val="36"/>
        </w:rPr>
      </w:pPr>
      <w:r>
        <w:rPr>
          <w:rFonts w:hint="eastAsia" w:ascii="宋体" w:hAnsi="宋体"/>
          <w:b/>
          <w:sz w:val="36"/>
          <w:szCs w:val="36"/>
        </w:rPr>
        <w:t>01标段投标报价分项表</w:t>
      </w:r>
    </w:p>
    <w:p>
      <w:pPr>
        <w:spacing w:line="400" w:lineRule="exact"/>
        <w:rPr>
          <w:rFonts w:ascii="宋体" w:hAnsi="宋体"/>
          <w:sz w:val="24"/>
        </w:rPr>
      </w:pPr>
      <w:r>
        <w:rPr>
          <w:rFonts w:hint="eastAsia" w:ascii="宋体" w:hAnsi="宋体"/>
          <w:sz w:val="24"/>
        </w:rPr>
        <w:t>投标人名称：投标人地址：</w:t>
      </w:r>
    </w:p>
    <w:p>
      <w:pPr>
        <w:snapToGrid w:val="0"/>
        <w:spacing w:line="400" w:lineRule="exact"/>
        <w:rPr>
          <w:rFonts w:ascii="宋体" w:hAnsi="宋体"/>
          <w:sz w:val="24"/>
          <w:u w:val="single"/>
        </w:rPr>
      </w:pPr>
      <w:r>
        <w:rPr>
          <w:rFonts w:hint="eastAsia" w:ascii="宋体" w:hAnsi="宋体"/>
          <w:sz w:val="24"/>
        </w:rPr>
        <w:t>项目编号：标段编号：                                           单位：元</w:t>
      </w:r>
    </w:p>
    <w:tbl>
      <w:tblPr>
        <w:tblStyle w:val="42"/>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26"/>
        <w:gridCol w:w="2127"/>
        <w:gridCol w:w="2693"/>
        <w:gridCol w:w="134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4"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投标总报价</w:t>
            </w:r>
          </w:p>
        </w:tc>
        <w:tc>
          <w:tcPr>
            <w:tcW w:w="212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采购单位名称</w:t>
            </w:r>
          </w:p>
        </w:tc>
        <w:tc>
          <w:tcPr>
            <w:tcW w:w="2693"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管辖区域</w:t>
            </w:r>
          </w:p>
        </w:tc>
        <w:tc>
          <w:tcPr>
            <w:tcW w:w="134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占上限价比率（%）</w:t>
            </w:r>
          </w:p>
        </w:tc>
        <w:tc>
          <w:tcPr>
            <w:tcW w:w="1787" w:type="dxa"/>
            <w:tcBorders>
              <w:top w:val="single" w:color="auto" w:sz="4" w:space="0"/>
              <w:left w:val="nil"/>
              <w:right w:val="single" w:color="auto" w:sz="4" w:space="0"/>
            </w:tcBorders>
            <w:noWrap w:val="0"/>
            <w:vAlign w:val="center"/>
          </w:tcPr>
          <w:p>
            <w:pPr>
              <w:jc w:val="center"/>
              <w:rPr>
                <w:rFonts w:hint="eastAsia" w:ascii="宋体" w:hAnsi="宋体"/>
                <w:sz w:val="24"/>
              </w:rPr>
            </w:pPr>
            <w:r>
              <w:rPr>
                <w:rFonts w:hint="eastAsia" w:ascii="宋体" w:hAnsi="宋体"/>
                <w:sz w:val="24"/>
              </w:rPr>
              <w:t>各自投标报价</w:t>
            </w:r>
          </w:p>
          <w:p>
            <w:pPr>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1626" w:type="dxa"/>
            <w:vMerge w:val="restart"/>
            <w:tcBorders>
              <w:top w:val="single" w:color="auto" w:sz="4" w:space="0"/>
              <w:left w:val="single" w:color="auto" w:sz="4" w:space="0"/>
              <w:right w:val="single" w:color="auto" w:sz="4" w:space="0"/>
            </w:tcBorders>
            <w:noWrap w:val="0"/>
            <w:vAlign w:val="center"/>
          </w:tcPr>
          <w:p>
            <w:pPr>
              <w:jc w:val="center"/>
              <w:rPr>
                <w:rFonts w:ascii="宋体" w:hAnsi="宋体"/>
                <w:sz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cs="Arial"/>
                <w:bCs/>
                <w:sz w:val="24"/>
              </w:rPr>
              <w:t>绍兴市越城区城市发展综合保障服务有限公司</w:t>
            </w:r>
          </w:p>
        </w:tc>
        <w:tc>
          <w:tcPr>
            <w:tcW w:w="2693"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塔山、府山、北海、灵芝、东浦、陶堰等街道的小区</w:t>
            </w:r>
          </w:p>
        </w:tc>
        <w:tc>
          <w:tcPr>
            <w:tcW w:w="134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63.05%</w:t>
            </w:r>
          </w:p>
        </w:tc>
        <w:tc>
          <w:tcPr>
            <w:tcW w:w="1787" w:type="dxa"/>
            <w:tcBorders>
              <w:top w:val="single" w:color="auto" w:sz="4" w:space="0"/>
              <w:left w:val="nil"/>
              <w:bottom w:val="single" w:color="auto" w:sz="4" w:space="0"/>
              <w:right w:val="single" w:color="auto" w:sz="4" w:space="0"/>
            </w:tcBorders>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1626" w:type="dxa"/>
            <w:vMerge w:val="continue"/>
            <w:tcBorders>
              <w:left w:val="single" w:color="auto" w:sz="4" w:space="0"/>
              <w:right w:val="single" w:color="auto" w:sz="4" w:space="0"/>
            </w:tcBorders>
            <w:noWrap w:val="0"/>
            <w:vAlign w:val="center"/>
          </w:tcPr>
          <w:p>
            <w:pPr>
              <w:jc w:val="center"/>
              <w:rPr>
                <w:rFonts w:ascii="宋体" w:hAnsi="宋体"/>
                <w:sz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cs="Arial"/>
                <w:bCs/>
                <w:sz w:val="24"/>
              </w:rPr>
              <w:t>绍兴袍江工业区投资开发有限公司</w:t>
            </w:r>
          </w:p>
        </w:tc>
        <w:tc>
          <w:tcPr>
            <w:tcW w:w="26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斗门、马山、孙端3个街道的小区</w:t>
            </w:r>
          </w:p>
        </w:tc>
        <w:tc>
          <w:tcPr>
            <w:tcW w:w="134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27.12%</w:t>
            </w:r>
          </w:p>
        </w:tc>
        <w:tc>
          <w:tcPr>
            <w:tcW w:w="1787" w:type="dxa"/>
            <w:tcBorders>
              <w:top w:val="single" w:color="auto" w:sz="4" w:space="0"/>
              <w:left w:val="nil"/>
              <w:bottom w:val="single" w:color="auto" w:sz="4" w:space="0"/>
              <w:right w:val="single" w:color="auto" w:sz="4" w:space="0"/>
            </w:tcBorders>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1626"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cs="Arial"/>
                <w:bCs/>
                <w:sz w:val="24"/>
              </w:rPr>
              <w:t>绍兴滨海新区发展集团有限公司</w:t>
            </w:r>
          </w:p>
        </w:tc>
        <w:tc>
          <w:tcPr>
            <w:tcW w:w="2693"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沥海街道的小区</w:t>
            </w:r>
          </w:p>
        </w:tc>
        <w:tc>
          <w:tcPr>
            <w:tcW w:w="134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9.83%</w:t>
            </w:r>
          </w:p>
        </w:tc>
        <w:tc>
          <w:tcPr>
            <w:tcW w:w="1787" w:type="dxa"/>
            <w:tcBorders>
              <w:top w:val="single" w:color="auto" w:sz="4" w:space="0"/>
              <w:left w:val="nil"/>
              <w:bottom w:val="single" w:color="auto" w:sz="4" w:space="0"/>
              <w:right w:val="single" w:color="auto" w:sz="4" w:space="0"/>
            </w:tcBorders>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0559"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8"/>
                <w:szCs w:val="28"/>
              </w:rPr>
            </w:pPr>
            <w:r>
              <w:rPr>
                <w:rFonts w:hint="eastAsia" w:ascii="宋体" w:hAnsi="宋体"/>
                <w:b/>
                <w:sz w:val="28"/>
                <w:szCs w:val="28"/>
              </w:rPr>
              <w:t>备注：各自投标报价金额=投标总报价*占上限价比率</w:t>
            </w:r>
          </w:p>
        </w:tc>
      </w:tr>
    </w:tbl>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snapToGrid w:val="0"/>
        <w:ind w:firstLine="480" w:firstLineChars="200"/>
        <w:jc w:val="left"/>
        <w:rPr>
          <w:rFonts w:ascii="宋体" w:hAnsi="宋体"/>
          <w:sz w:val="24"/>
        </w:rPr>
      </w:pPr>
      <w:r>
        <w:rPr>
          <w:rFonts w:hint="eastAsia" w:ascii="宋体" w:hAnsi="宋体"/>
          <w:sz w:val="24"/>
        </w:rPr>
        <w:t xml:space="preserve">法定代表人或其授权代表签字（或盖章）：            </w:t>
      </w:r>
    </w:p>
    <w:p>
      <w:pPr>
        <w:spacing w:line="360" w:lineRule="auto"/>
        <w:jc w:val="left"/>
        <w:outlineLvl w:val="0"/>
        <w:rPr>
          <w:rFonts w:ascii="宋体" w:hAnsi="宋体"/>
          <w:sz w:val="24"/>
        </w:rPr>
      </w:pPr>
    </w:p>
    <w:p>
      <w:pPr>
        <w:snapToGrid w:val="0"/>
        <w:ind w:firstLine="480" w:firstLineChars="200"/>
        <w:jc w:val="left"/>
        <w:rPr>
          <w:rFonts w:ascii="宋体" w:hAnsi="宋体"/>
          <w:sz w:val="24"/>
        </w:rPr>
      </w:pPr>
      <w:r>
        <w:rPr>
          <w:rFonts w:hint="eastAsia" w:ascii="宋体" w:hAnsi="宋体"/>
          <w:sz w:val="24"/>
        </w:rPr>
        <w:t>日期：    年   月   日</w:t>
      </w:r>
    </w:p>
    <w:p>
      <w:pPr>
        <w:rPr>
          <w:rFonts w:hint="eastAsia" w:ascii="宋体" w:hAnsi="宋体"/>
        </w:rPr>
      </w:pPr>
    </w:p>
    <w:p>
      <w:pPr>
        <w:pStyle w:val="2"/>
        <w:numPr>
          <w:ilvl w:val="0"/>
          <w:numId w:val="0"/>
        </w:numPr>
        <w:ind w:left="425" w:hanging="425"/>
        <w:rPr>
          <w:rFonts w:hint="eastAsia"/>
        </w:rPr>
      </w:pPr>
    </w:p>
    <w:p>
      <w:pPr>
        <w:rPr>
          <w:rFonts w:hint="eastAsia"/>
        </w:rPr>
      </w:pPr>
    </w:p>
    <w:p>
      <w:pPr>
        <w:pStyle w:val="2"/>
        <w:numPr>
          <w:ilvl w:val="0"/>
          <w:numId w:val="0"/>
        </w:numPr>
        <w:ind w:left="425" w:hanging="425"/>
        <w:rPr>
          <w:rFonts w:hint="eastAsia"/>
        </w:rPr>
      </w:pPr>
    </w:p>
    <w:p>
      <w:pPr>
        <w:rPr>
          <w:rFonts w:hint="eastAsia"/>
        </w:rPr>
      </w:pPr>
    </w:p>
    <w:p>
      <w:pPr>
        <w:pStyle w:val="2"/>
        <w:numPr>
          <w:ilvl w:val="0"/>
          <w:numId w:val="0"/>
        </w:numPr>
        <w:ind w:left="425"/>
      </w:pPr>
    </w:p>
    <w:p>
      <w:pPr>
        <w:snapToGrid w:val="0"/>
        <w:spacing w:before="50" w:after="50"/>
        <w:ind w:firstLine="8620" w:firstLineChars="2862"/>
        <w:jc w:val="left"/>
        <w:rPr>
          <w:rFonts w:ascii="宋体" w:hAnsi="宋体"/>
          <w:b/>
          <w:bCs/>
          <w:sz w:val="30"/>
          <w:szCs w:val="30"/>
        </w:rPr>
      </w:pPr>
      <w:r>
        <w:rPr>
          <w:rFonts w:hint="eastAsia" w:ascii="宋体" w:hAnsi="宋体"/>
          <w:b/>
          <w:bCs/>
          <w:sz w:val="30"/>
          <w:szCs w:val="30"/>
        </w:rPr>
        <w:t xml:space="preserve"> </w:t>
      </w:r>
      <w:r>
        <w:rPr>
          <w:rFonts w:ascii="宋体" w:hAnsi="宋体"/>
          <w:b/>
          <w:bCs/>
          <w:sz w:val="30"/>
          <w:szCs w:val="30"/>
        </w:rPr>
        <w:t>附件19（如有）：</w:t>
      </w:r>
    </w:p>
    <w:p>
      <w:pPr>
        <w:snapToGrid w:val="0"/>
        <w:spacing w:before="50" w:after="50"/>
        <w:jc w:val="center"/>
        <w:rPr>
          <w:rFonts w:ascii="宋体" w:hAnsi="宋体"/>
          <w:b/>
          <w:bCs/>
          <w:sz w:val="36"/>
          <w:szCs w:val="36"/>
        </w:rPr>
      </w:pPr>
      <w:r>
        <w:rPr>
          <w:rFonts w:ascii="宋体" w:hAnsi="宋体"/>
          <w:b/>
          <w:bCs/>
          <w:sz w:val="36"/>
          <w:szCs w:val="36"/>
        </w:rPr>
        <w:t>享受政府采购政策性规定情况表</w:t>
      </w:r>
    </w:p>
    <w:p>
      <w:pPr>
        <w:pStyle w:val="23"/>
        <w:rPr>
          <w:rFonts w:hAnsi="宋体"/>
          <w:b/>
          <w:bCs/>
          <w:sz w:val="24"/>
          <w:szCs w:val="24"/>
        </w:rPr>
      </w:pPr>
      <w:r>
        <w:rPr>
          <w:rFonts w:hAnsi="宋体"/>
          <w:b/>
          <w:bCs/>
          <w:sz w:val="24"/>
          <w:szCs w:val="24"/>
        </w:rPr>
        <w:t>供应商名称：</w:t>
      </w:r>
    </w:p>
    <w:p>
      <w:pPr>
        <w:rPr>
          <w:rFonts w:ascii="宋体" w:hAnsi="宋体"/>
          <w:b/>
          <w:sz w:val="24"/>
        </w:rPr>
      </w:pPr>
      <w:r>
        <w:rPr>
          <w:rFonts w:hint="eastAsia" w:ascii="宋体" w:hAnsi="宋体"/>
          <w:b/>
          <w:bCs/>
          <w:sz w:val="24"/>
        </w:rPr>
        <w:t>项目编号：</w:t>
      </w:r>
    </w:p>
    <w:tbl>
      <w:tblPr>
        <w:tblStyle w:val="4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bookmarkStart w:id="55" w:name="_Toc470007449"/>
            <w:r>
              <w:rPr>
                <w:rFonts w:hint="eastAsia" w:ascii="宋体" w:hAnsi="宋体"/>
                <w:sz w:val="24"/>
              </w:rPr>
              <w:t>小型、微型企业产品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核心产品</w:t>
            </w:r>
          </w:p>
          <w:p>
            <w:pPr>
              <w:pStyle w:val="223"/>
              <w:tabs>
                <w:tab w:val="left" w:pos="1260"/>
              </w:tabs>
              <w:snapToGrid w:val="0"/>
              <w:jc w:val="center"/>
              <w:rPr>
                <w:rFonts w:ascii="宋体" w:hAnsi="宋体"/>
                <w:sz w:val="24"/>
                <w:lang w:val="en-GB"/>
              </w:rPr>
            </w:pPr>
            <w:r>
              <w:rPr>
                <w:rFonts w:hint="eastAsia" w:ascii="宋体" w:hAnsi="宋体"/>
                <w:sz w:val="24"/>
                <w:lang w:val="en-GB"/>
              </w:rPr>
              <w:t>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品牌型号</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r>
              <w:rPr>
                <w:rFonts w:hint="eastAsia" w:ascii="宋体" w:hAnsi="宋体"/>
                <w:sz w:val="24"/>
                <w:lang w:val="en-GB"/>
              </w:rPr>
              <w:t>制造商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rPr>
            </w:pPr>
            <w:r>
              <w:rPr>
                <w:rFonts w:hint="eastAsia" w:ascii="宋体" w:hAnsi="宋体"/>
                <w:sz w:val="24"/>
              </w:rPr>
              <w:t>小型/微型</w:t>
            </w:r>
          </w:p>
          <w:p>
            <w:pPr>
              <w:pStyle w:val="223"/>
              <w:tabs>
                <w:tab w:val="left" w:pos="1260"/>
              </w:tabs>
              <w:snapToGrid w:val="0"/>
              <w:jc w:val="center"/>
              <w:rPr>
                <w:rFonts w:ascii="宋体" w:hAnsi="宋体"/>
                <w:sz w:val="24"/>
                <w:lang w:val="en-GB"/>
              </w:rPr>
            </w:pPr>
            <w:r>
              <w:rPr>
                <w:rFonts w:hint="eastAsia" w:ascii="宋体" w:hAnsi="宋体"/>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r>
              <w:rPr>
                <w:rFonts w:hint="eastAsia" w:ascii="宋体" w:hAnsi="宋体"/>
                <w:sz w:val="24"/>
                <w:lang w:val="en-GB"/>
              </w:rPr>
              <w:t>监狱企</w:t>
            </w:r>
          </w:p>
          <w:p>
            <w:pPr>
              <w:pStyle w:val="223"/>
              <w:tabs>
                <w:tab w:val="left" w:pos="1260"/>
              </w:tabs>
              <w:snapToGrid w:val="0"/>
              <w:spacing w:line="360" w:lineRule="auto"/>
              <w:jc w:val="center"/>
              <w:rPr>
                <w:rFonts w:ascii="宋体" w:hAnsi="宋体"/>
                <w:sz w:val="24"/>
                <w:lang w:val="en-GB"/>
              </w:rPr>
            </w:pPr>
            <w:r>
              <w:rPr>
                <w:rFonts w:hint="eastAsia" w:ascii="宋体" w:hAnsi="宋体"/>
                <w:sz w:val="24"/>
                <w:lang w:val="en-GB"/>
              </w:rPr>
              <w:t>业产品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核心产品</w:t>
            </w:r>
          </w:p>
          <w:p>
            <w:pPr>
              <w:pStyle w:val="223"/>
              <w:tabs>
                <w:tab w:val="left" w:pos="1260"/>
              </w:tabs>
              <w:snapToGrid w:val="0"/>
              <w:jc w:val="center"/>
              <w:rPr>
                <w:rFonts w:ascii="宋体" w:hAnsi="宋体"/>
                <w:sz w:val="24"/>
                <w:lang w:val="en-GB"/>
              </w:rPr>
            </w:pPr>
            <w:r>
              <w:rPr>
                <w:rFonts w:hint="eastAsia" w:ascii="宋体" w:hAnsi="宋体"/>
                <w:sz w:val="24"/>
                <w:lang w:val="en-GB"/>
              </w:rPr>
              <w:t>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r>
              <w:rPr>
                <w:rFonts w:hint="eastAsia" w:ascii="宋体" w:hAnsi="宋体"/>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r>
              <w:rPr>
                <w:rFonts w:hint="eastAsia" w:ascii="宋体" w:hAnsi="宋体"/>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核心产品</w:t>
            </w:r>
          </w:p>
          <w:p>
            <w:pPr>
              <w:pStyle w:val="223"/>
              <w:tabs>
                <w:tab w:val="left" w:pos="1260"/>
              </w:tabs>
              <w:snapToGrid w:val="0"/>
              <w:jc w:val="center"/>
              <w:rPr>
                <w:rFonts w:ascii="宋体" w:hAnsi="宋体"/>
                <w:sz w:val="24"/>
                <w:lang w:val="en-GB"/>
              </w:rPr>
            </w:pPr>
            <w:r>
              <w:rPr>
                <w:rFonts w:hint="eastAsia" w:ascii="宋体" w:hAnsi="宋体"/>
                <w:sz w:val="24"/>
                <w:lang w:val="en-GB"/>
              </w:rPr>
              <w:t>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r>
              <w:rPr>
                <w:rFonts w:hint="eastAsia" w:ascii="宋体" w:hAnsi="宋体"/>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rPr>
            </w:pP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节能产品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产品名称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品牌型号</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制造商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节能认证</w:t>
            </w:r>
          </w:p>
          <w:p>
            <w:pPr>
              <w:pStyle w:val="223"/>
              <w:tabs>
                <w:tab w:val="left" w:pos="1260"/>
              </w:tabs>
              <w:snapToGrid w:val="0"/>
              <w:jc w:val="center"/>
              <w:rPr>
                <w:rFonts w:ascii="宋体" w:hAnsi="宋体"/>
                <w:sz w:val="24"/>
                <w:lang w:val="en-GB"/>
              </w:rPr>
            </w:pPr>
            <w:r>
              <w:rPr>
                <w:rFonts w:hint="eastAsia" w:ascii="宋体" w:hAnsi="宋体"/>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环境标</w:t>
            </w:r>
          </w:p>
          <w:p>
            <w:pPr>
              <w:pStyle w:val="223"/>
              <w:tabs>
                <w:tab w:val="left" w:pos="1260"/>
              </w:tabs>
              <w:snapToGrid w:val="0"/>
              <w:jc w:val="center"/>
              <w:rPr>
                <w:rFonts w:ascii="宋体" w:hAnsi="宋体"/>
                <w:sz w:val="24"/>
                <w:lang w:val="en-GB"/>
              </w:rPr>
            </w:pPr>
            <w:r>
              <w:rPr>
                <w:rFonts w:hint="eastAsia" w:ascii="宋体" w:hAnsi="宋体"/>
                <w:sz w:val="24"/>
                <w:lang w:val="en-GB"/>
              </w:rPr>
              <w:t>志产品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产品名称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品牌型号</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制造商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r>
              <w:rPr>
                <w:rFonts w:hint="eastAsia" w:ascii="宋体" w:hAnsi="宋体"/>
                <w:sz w:val="24"/>
                <w:lang w:val="en-GB"/>
              </w:rPr>
              <w:t>环境标志认</w:t>
            </w:r>
          </w:p>
          <w:p>
            <w:pPr>
              <w:pStyle w:val="223"/>
              <w:tabs>
                <w:tab w:val="left" w:pos="1260"/>
              </w:tabs>
              <w:snapToGrid w:val="0"/>
              <w:jc w:val="center"/>
              <w:rPr>
                <w:rFonts w:ascii="宋体" w:hAnsi="宋体"/>
                <w:sz w:val="24"/>
                <w:lang w:val="en-GB"/>
              </w:rPr>
            </w:pPr>
            <w:r>
              <w:rPr>
                <w:rFonts w:hint="eastAsia" w:ascii="宋体" w:hAnsi="宋体"/>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223"/>
              <w:tabs>
                <w:tab w:val="left" w:pos="1260"/>
              </w:tabs>
              <w:snapToGrid w:val="0"/>
              <w:jc w:val="center"/>
              <w:rPr>
                <w:rFonts w:ascii="宋体" w:hAnsi="宋体"/>
                <w:sz w:val="24"/>
                <w:lang w:val="en-GB"/>
              </w:rPr>
            </w:pPr>
          </w:p>
        </w:tc>
      </w:tr>
    </w:tbl>
    <w:p>
      <w:pPr>
        <w:spacing w:line="360" w:lineRule="auto"/>
        <w:rPr>
          <w:rFonts w:ascii="宋体" w:hAnsi="宋体"/>
          <w:sz w:val="24"/>
        </w:rPr>
      </w:pPr>
      <w:r>
        <w:rPr>
          <w:rFonts w:hint="eastAsia" w:ascii="宋体" w:hAnsi="宋体"/>
          <w:sz w:val="24"/>
        </w:rPr>
        <w:t>备注：</w:t>
      </w:r>
      <w:bookmarkStart w:id="56" w:name="_Toc470007450"/>
      <w:r>
        <w:rPr>
          <w:rFonts w:hint="eastAsia" w:ascii="宋体" w:hAnsi="宋体"/>
          <w:sz w:val="24"/>
        </w:rPr>
        <w:t>1、本表的产品名称、品牌型号</w:t>
      </w:r>
      <w:r>
        <w:rPr>
          <w:rFonts w:ascii="宋体" w:hAnsi="宋体"/>
          <w:sz w:val="24"/>
        </w:rPr>
        <w:t>、制造商</w:t>
      </w:r>
      <w:r>
        <w:rPr>
          <w:rFonts w:hint="eastAsia" w:ascii="宋体" w:hAnsi="宋体"/>
          <w:sz w:val="24"/>
        </w:rPr>
        <w:t>应与《开标一览表》、《项目明细清单》中的相应产品一致。</w:t>
      </w:r>
      <w:bookmarkEnd w:id="56"/>
      <w:r>
        <w:rPr>
          <w:rFonts w:hint="eastAsia" w:ascii="宋体" w:hAnsi="宋体"/>
          <w:sz w:val="24"/>
        </w:rPr>
        <w:t>核心产品即采购需求中采购人标注的核心产品。</w:t>
      </w:r>
    </w:p>
    <w:p>
      <w:pPr>
        <w:spacing w:line="360" w:lineRule="auto"/>
        <w:rPr>
          <w:rFonts w:ascii="宋体" w:hAnsi="宋体"/>
          <w:sz w:val="24"/>
        </w:rPr>
      </w:pPr>
      <w:r>
        <w:rPr>
          <w:rFonts w:hint="eastAsia" w:ascii="宋体" w:hAnsi="宋体"/>
          <w:sz w:val="24"/>
        </w:rPr>
        <w:t>2、享受政府采购政策性规定的需要提供相关证明材料，具体详见第二章“</w:t>
      </w:r>
      <w:r>
        <w:rPr>
          <w:rFonts w:ascii="宋体" w:hAnsi="宋体"/>
          <w:sz w:val="24"/>
        </w:rPr>
        <w:t>供应商</w:t>
      </w:r>
      <w:r>
        <w:rPr>
          <w:rFonts w:hint="eastAsia" w:ascii="宋体" w:hAnsi="宋体"/>
          <w:sz w:val="24"/>
        </w:rPr>
        <w:t>须知”第一部分“采购文件”，否则不予认可。</w:t>
      </w:r>
    </w:p>
    <w:p>
      <w:pPr>
        <w:pStyle w:val="23"/>
        <w:spacing w:line="360" w:lineRule="auto"/>
        <w:rPr>
          <w:rFonts w:hAnsi="宋体"/>
          <w:b/>
          <w:sz w:val="24"/>
          <w:szCs w:val="24"/>
        </w:rPr>
      </w:pPr>
      <w:r>
        <w:rPr>
          <w:rFonts w:hint="eastAsia" w:hAnsi="宋体"/>
          <w:b/>
          <w:sz w:val="24"/>
          <w:szCs w:val="24"/>
        </w:rPr>
        <w:t>特别提示：供应商务必仔细阅读采购文件“政府采购政策性规定”中关于无效投标的内容。</w:t>
      </w:r>
    </w:p>
    <w:p>
      <w:pPr>
        <w:rPr>
          <w:rFonts w:ascii="宋体" w:hAnsi="宋体"/>
          <w:spacing w:val="20"/>
          <w:sz w:val="24"/>
        </w:rPr>
      </w:pPr>
    </w:p>
    <w:p>
      <w:pPr>
        <w:rPr>
          <w:rFonts w:ascii="宋体" w:hAnsi="宋体"/>
          <w:spacing w:val="20"/>
          <w:sz w:val="24"/>
        </w:rPr>
      </w:pPr>
      <w:r>
        <w:rPr>
          <w:rFonts w:hint="eastAsia" w:ascii="宋体" w:hAnsi="宋体"/>
          <w:sz w:val="24"/>
        </w:rPr>
        <w:t>法定代表人或授权委托人</w:t>
      </w:r>
      <w:r>
        <w:rPr>
          <w:rFonts w:hint="eastAsia" w:ascii="宋体" w:hAnsi="宋体"/>
          <w:spacing w:val="20"/>
          <w:sz w:val="24"/>
        </w:rPr>
        <w:t>签名：</w:t>
      </w:r>
    </w:p>
    <w:p>
      <w:pPr>
        <w:rPr>
          <w:rFonts w:ascii="宋体" w:hAnsi="宋体"/>
          <w:spacing w:val="20"/>
          <w:sz w:val="24"/>
        </w:rPr>
      </w:pPr>
    </w:p>
    <w:p>
      <w:pPr>
        <w:rPr>
          <w:rFonts w:ascii="宋体" w:hAnsi="宋体"/>
          <w:sz w:val="24"/>
        </w:rPr>
      </w:pPr>
      <w:r>
        <w:rPr>
          <w:rFonts w:hint="eastAsia" w:ascii="宋体" w:hAnsi="宋体"/>
          <w:spacing w:val="20"/>
          <w:sz w:val="24"/>
        </w:rPr>
        <w:t>日  期：</w:t>
      </w:r>
    </w:p>
    <w:p>
      <w:pPr>
        <w:snapToGrid w:val="0"/>
        <w:spacing w:before="50" w:after="50"/>
        <w:jc w:val="left"/>
        <w:rPr>
          <w:rFonts w:ascii="宋体" w:hAnsi="宋体"/>
          <w:b/>
          <w:bCs/>
          <w:sz w:val="30"/>
          <w:szCs w:val="30"/>
        </w:rPr>
      </w:pPr>
      <w:r>
        <w:rPr>
          <w:rFonts w:ascii="宋体" w:hAnsi="宋体"/>
          <w:b/>
          <w:bCs/>
          <w:sz w:val="30"/>
          <w:szCs w:val="30"/>
        </w:rPr>
        <w:t>附件20</w:t>
      </w:r>
      <w:r>
        <w:rPr>
          <w:rFonts w:hint="eastAsia" w:ascii="宋体" w:hAnsi="宋体"/>
          <w:b/>
          <w:bCs/>
          <w:sz w:val="30"/>
          <w:szCs w:val="30"/>
        </w:rPr>
        <w:t>（如有）</w:t>
      </w:r>
      <w:r>
        <w:rPr>
          <w:rFonts w:ascii="宋体" w:hAnsi="宋体"/>
          <w:b/>
          <w:bCs/>
          <w:sz w:val="30"/>
          <w:szCs w:val="30"/>
        </w:rPr>
        <w:t>：</w:t>
      </w:r>
    </w:p>
    <w:p>
      <w:pPr>
        <w:snapToGrid w:val="0"/>
        <w:spacing w:before="50" w:after="50"/>
        <w:jc w:val="center"/>
        <w:rPr>
          <w:rFonts w:ascii="宋体" w:hAnsi="宋体" w:cs="仿宋_GB2312"/>
          <w:b/>
          <w:sz w:val="32"/>
          <w:szCs w:val="32"/>
        </w:rPr>
      </w:pPr>
      <w:r>
        <w:rPr>
          <w:rFonts w:hint="eastAsia" w:ascii="宋体" w:hAnsi="宋体"/>
          <w:b/>
          <w:sz w:val="32"/>
          <w:szCs w:val="32"/>
        </w:rPr>
        <w:t>中小企业声明函</w:t>
      </w:r>
    </w:p>
    <w:p>
      <w:pPr>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本公司郑重声明，根据《政府采购促进中小企业发展暂行办法》（财库[2011]181号）的规定，本公司为</w:t>
      </w:r>
      <w:r>
        <w:rPr>
          <w:rFonts w:hint="eastAsia" w:ascii="宋体" w:hAnsi="宋体" w:cs="仿宋_GB2312"/>
          <w:sz w:val="24"/>
          <w:u w:val="single"/>
        </w:rPr>
        <w:t xml:space="preserve">    （请填写：中型、小型、微型）   </w:t>
      </w:r>
      <w:r>
        <w:rPr>
          <w:rFonts w:hint="eastAsia" w:ascii="宋体" w:hAnsi="宋体" w:cs="仿宋_GB2312"/>
          <w:sz w:val="24"/>
        </w:rPr>
        <w:t>企业。即，本公司同时满足以下条件：</w:t>
      </w:r>
    </w:p>
    <w:p>
      <w:pPr>
        <w:spacing w:line="360" w:lineRule="auto"/>
        <w:rPr>
          <w:rFonts w:ascii="宋体" w:hAnsi="宋体" w:cs="仿宋_GB2312"/>
          <w:sz w:val="24"/>
        </w:rPr>
      </w:pPr>
    </w:p>
    <w:p>
      <w:pPr>
        <w:pStyle w:val="176"/>
        <w:widowControl/>
        <w:numPr>
          <w:ilvl w:val="0"/>
          <w:numId w:val="24"/>
        </w:numPr>
        <w:adjustRightInd/>
        <w:ind w:left="0" w:firstLine="420" w:firstLineChars="0"/>
        <w:rPr>
          <w:rFonts w:ascii="宋体" w:hAnsi="宋体" w:eastAsia="宋体" w:cs="仿宋_GB2312"/>
        </w:rPr>
      </w:pPr>
      <w:r>
        <w:rPr>
          <w:rFonts w:hint="eastAsia" w:ascii="宋体" w:hAnsi="宋体" w:eastAsia="宋体" w:cs="仿宋_GB2312"/>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仿宋_GB2312"/>
          <w:u w:val="single"/>
        </w:rPr>
        <w:t xml:space="preserve">   （请填写：中型、小型、微型）  </w:t>
      </w:r>
      <w:r>
        <w:rPr>
          <w:rFonts w:hint="eastAsia" w:ascii="宋体" w:hAnsi="宋体" w:eastAsia="宋体" w:cs="仿宋_GB2312"/>
        </w:rPr>
        <w:t>企业。</w:t>
      </w:r>
    </w:p>
    <w:p>
      <w:pPr>
        <w:pStyle w:val="176"/>
        <w:widowControl/>
        <w:numPr>
          <w:ilvl w:val="0"/>
          <w:numId w:val="24"/>
        </w:numPr>
        <w:adjustRightInd/>
        <w:ind w:left="0" w:firstLine="420" w:firstLineChars="0"/>
        <w:rPr>
          <w:rFonts w:ascii="宋体" w:hAnsi="宋体" w:eastAsia="宋体" w:cs="仿宋_GB2312"/>
        </w:rPr>
      </w:pPr>
      <w:r>
        <w:rPr>
          <w:rFonts w:hint="eastAsia" w:ascii="宋体" w:hAnsi="宋体" w:eastAsia="宋体" w:cs="仿宋_GB2312"/>
        </w:rPr>
        <w:t>本公司参加</w:t>
      </w:r>
      <w:r>
        <w:rPr>
          <w:rFonts w:hint="eastAsia" w:ascii="宋体" w:hAnsi="宋体" w:eastAsia="宋体" w:cs="仿宋_GB2312"/>
          <w:u w:val="single"/>
        </w:rPr>
        <w:t xml:space="preserve">  （请填写采购人名称）  </w:t>
      </w:r>
      <w:r>
        <w:rPr>
          <w:rFonts w:hint="eastAsia" w:ascii="宋体" w:hAnsi="宋体" w:eastAsia="宋体" w:cs="仿宋_GB2312"/>
        </w:rPr>
        <w:t>的</w:t>
      </w:r>
      <w:r>
        <w:rPr>
          <w:rFonts w:hint="eastAsia" w:ascii="宋体" w:hAnsi="宋体" w:eastAsia="宋体" w:cs="仿宋_GB2312"/>
          <w:u w:val="single"/>
        </w:rPr>
        <w:t xml:space="preserve">  （请填写项目名称）  </w:t>
      </w:r>
      <w:r>
        <w:rPr>
          <w:rFonts w:hint="eastAsia" w:ascii="宋体" w:hAnsi="宋体" w:eastAsia="宋体" w:cs="仿宋_GB2312"/>
        </w:rPr>
        <w:t>采购活动由本公司提供服务。</w:t>
      </w:r>
    </w:p>
    <w:p>
      <w:pPr>
        <w:spacing w:line="360" w:lineRule="auto"/>
        <w:ind w:firstLine="480" w:firstLineChars="200"/>
        <w:rPr>
          <w:rFonts w:ascii="宋体" w:hAnsi="宋体" w:cs="仿宋_GB2312"/>
          <w:sz w:val="24"/>
        </w:rPr>
      </w:pPr>
      <w:r>
        <w:rPr>
          <w:rFonts w:hint="eastAsia" w:ascii="宋体" w:hAnsi="宋体" w:cs="仿宋_GB2312"/>
          <w:sz w:val="24"/>
        </w:rPr>
        <w:t>本公司对上述声明的真实性负责。如有虚假，将依法承担相应责任。</w:t>
      </w:r>
    </w:p>
    <w:p>
      <w:pPr>
        <w:spacing w:line="360" w:lineRule="auto"/>
        <w:ind w:firstLine="480" w:firstLineChars="200"/>
        <w:rPr>
          <w:rFonts w:ascii="宋体" w:hAnsi="宋体" w:cs="仿宋_GB2312"/>
          <w:sz w:val="24"/>
        </w:rPr>
      </w:pPr>
    </w:p>
    <w:p>
      <w:pPr>
        <w:ind w:firstLine="480" w:firstLineChars="200"/>
        <w:rPr>
          <w:rFonts w:ascii="宋体" w:hAnsi="宋体" w:cs="仿宋_GB2312"/>
          <w:sz w:val="24"/>
        </w:rPr>
      </w:pPr>
    </w:p>
    <w:p>
      <w:pPr>
        <w:jc w:val="right"/>
        <w:rPr>
          <w:rFonts w:ascii="宋体" w:hAnsi="宋体" w:cs="仿宋_GB2312"/>
          <w:sz w:val="24"/>
        </w:rPr>
      </w:pPr>
    </w:p>
    <w:p>
      <w:pPr>
        <w:ind w:right="420" w:firstLine="5880" w:firstLineChars="2450"/>
        <w:rPr>
          <w:rFonts w:ascii="宋体" w:hAnsi="宋体" w:cs="仿宋_GB2312"/>
          <w:sz w:val="24"/>
        </w:rPr>
      </w:pPr>
    </w:p>
    <w:p>
      <w:pPr>
        <w:ind w:right="420" w:firstLine="5880" w:firstLineChars="2450"/>
        <w:rPr>
          <w:rFonts w:ascii="宋体" w:hAnsi="宋体" w:cs="仿宋_GB2312"/>
          <w:sz w:val="24"/>
        </w:rPr>
      </w:pPr>
    </w:p>
    <w:p>
      <w:pPr>
        <w:ind w:right="420"/>
        <w:rPr>
          <w:rFonts w:ascii="宋体" w:hAnsi="宋体" w:cs="仿宋_GB2312"/>
          <w:sz w:val="24"/>
        </w:rPr>
      </w:pPr>
      <w:r>
        <w:rPr>
          <w:rFonts w:hint="eastAsia" w:ascii="宋体" w:hAnsi="宋体" w:cs="仿宋_GB2312"/>
          <w:sz w:val="24"/>
        </w:rPr>
        <w:t xml:space="preserve">企业名称（盖章）： </w:t>
      </w:r>
    </w:p>
    <w:p>
      <w:pPr>
        <w:ind w:right="420" w:firstLine="5040" w:firstLineChars="2100"/>
        <w:rPr>
          <w:rFonts w:ascii="宋体" w:hAnsi="宋体"/>
        </w:rPr>
      </w:pPr>
      <w:r>
        <w:rPr>
          <w:rFonts w:hint="eastAsia" w:ascii="宋体" w:hAnsi="宋体" w:cs="仿宋_GB2312"/>
          <w:sz w:val="24"/>
        </w:rPr>
        <w:t xml:space="preserve">日期：   年     月 </w:t>
      </w:r>
      <w:r>
        <w:rPr>
          <w:rFonts w:hint="eastAsia" w:ascii="宋体" w:hAnsi="宋体"/>
        </w:rPr>
        <w:t xml:space="preserve">    日</w:t>
      </w:r>
    </w:p>
    <w:p>
      <w:pPr>
        <w:rPr>
          <w:rFonts w:ascii="宋体" w:hAnsi="宋体" w:cs="仿宋_GB2312"/>
          <w:sz w:val="24"/>
        </w:rPr>
      </w:pPr>
    </w:p>
    <w:p>
      <w:pPr>
        <w:spacing w:line="588" w:lineRule="exact"/>
        <w:rPr>
          <w:rFonts w:ascii="宋体" w:hAnsi="宋体" w:cs="仿宋_GB2312"/>
          <w:sz w:val="24"/>
        </w:rPr>
      </w:pPr>
    </w:p>
    <w:p>
      <w:pPr>
        <w:spacing w:line="588" w:lineRule="exact"/>
        <w:rPr>
          <w:rFonts w:ascii="宋体" w:hAnsi="宋体" w:cs="仿宋_GB2312"/>
          <w:sz w:val="24"/>
        </w:rPr>
      </w:pPr>
    </w:p>
    <w:p>
      <w:pPr>
        <w:spacing w:line="320" w:lineRule="exact"/>
        <w:rPr>
          <w:rFonts w:ascii="宋体" w:hAnsi="宋体"/>
          <w:b/>
          <w:sz w:val="24"/>
        </w:rPr>
      </w:pPr>
      <w:r>
        <w:rPr>
          <w:rFonts w:hint="eastAsia" w:ascii="宋体" w:hAnsi="宋体"/>
          <w:b/>
          <w:sz w:val="24"/>
        </w:rPr>
        <w:t>注：</w:t>
      </w:r>
    </w:p>
    <w:p>
      <w:pPr>
        <w:spacing w:line="320" w:lineRule="exact"/>
        <w:rPr>
          <w:rFonts w:ascii="宋体" w:hAnsi="宋体"/>
          <w:b/>
          <w:sz w:val="24"/>
        </w:rPr>
      </w:pPr>
      <w:r>
        <w:rPr>
          <w:rFonts w:hint="eastAsia" w:ascii="宋体" w:hAnsi="宋体"/>
          <w:b/>
          <w:sz w:val="24"/>
        </w:rPr>
        <w:t>1、除本声明函外，投标供应商还需提供其在“国家企业信用信息公示系统——小微企业名录”页面查询结果并加盖投标人公章，以便核查，否则不得享受价格扣除优惠（查询时间为采购公告发出之后）。</w:t>
      </w:r>
    </w:p>
    <w:p>
      <w:pPr>
        <w:spacing w:line="320" w:lineRule="exact"/>
        <w:rPr>
          <w:rFonts w:ascii="宋体" w:hAnsi="宋体"/>
          <w:b/>
          <w:sz w:val="24"/>
        </w:rPr>
      </w:pPr>
      <w:r>
        <w:rPr>
          <w:rFonts w:hint="eastAsia" w:ascii="宋体" w:hAnsi="宋体"/>
          <w:b/>
          <w:sz w:val="24"/>
        </w:rPr>
        <w:t>2、属于“政府采购政策性规定”中规定的其他视为小型、微型企业的，需提供相应证明材料可享受价格扣除优惠。</w:t>
      </w:r>
    </w:p>
    <w:p>
      <w:pPr>
        <w:spacing w:line="320" w:lineRule="exact"/>
        <w:rPr>
          <w:rFonts w:ascii="宋体" w:hAnsi="宋体"/>
          <w:b/>
          <w:sz w:val="24"/>
        </w:rPr>
      </w:pPr>
      <w:r>
        <w:rPr>
          <w:rFonts w:hint="eastAsia" w:ascii="宋体" w:hAnsi="宋体"/>
          <w:b/>
          <w:sz w:val="24"/>
        </w:rPr>
        <w:t>3、采购机构将在中标公告发布的同时公布中标人的《中小企业声明函》，接受社会监督。《中小企业声明函》与实际情况不符的，视为投标人提供虚假材料投标，投标无效。</w:t>
      </w:r>
    </w:p>
    <w:p>
      <w:pPr>
        <w:spacing w:line="320" w:lineRule="exact"/>
        <w:rPr>
          <w:rFonts w:ascii="宋体" w:hAnsi="宋体"/>
          <w:b/>
          <w:sz w:val="24"/>
        </w:rPr>
      </w:pPr>
    </w:p>
    <w:p>
      <w:pPr>
        <w:spacing w:line="588" w:lineRule="exact"/>
        <w:rPr>
          <w:rFonts w:ascii="宋体" w:hAnsi="宋体" w:cs="仿宋_GB2312"/>
          <w:sz w:val="24"/>
        </w:rPr>
      </w:pPr>
    </w:p>
    <w:p>
      <w:pPr>
        <w:spacing w:line="588" w:lineRule="exact"/>
        <w:rPr>
          <w:rFonts w:ascii="宋体" w:hAnsi="宋体"/>
          <w:b/>
          <w:spacing w:val="6"/>
          <w:sz w:val="30"/>
          <w:szCs w:val="30"/>
        </w:rPr>
      </w:pPr>
      <w:bookmarkStart w:id="57" w:name="_Hlk523382353"/>
      <w:r>
        <w:rPr>
          <w:rFonts w:ascii="宋体" w:hAnsi="宋体"/>
          <w:b/>
          <w:spacing w:val="6"/>
          <w:sz w:val="30"/>
          <w:szCs w:val="30"/>
        </w:rPr>
        <w:t>附件21（如有）：</w:t>
      </w:r>
    </w:p>
    <w:bookmarkEnd w:id="57"/>
    <w:p>
      <w:pPr>
        <w:spacing w:line="588" w:lineRule="exact"/>
        <w:ind w:firstLine="667"/>
        <w:jc w:val="center"/>
        <w:rPr>
          <w:rFonts w:ascii="宋体" w:hAnsi="宋体"/>
          <w:b/>
          <w:spacing w:val="6"/>
          <w:sz w:val="32"/>
          <w:szCs w:val="32"/>
        </w:rPr>
      </w:pPr>
    </w:p>
    <w:p>
      <w:pPr>
        <w:spacing w:line="588" w:lineRule="exact"/>
        <w:ind w:firstLine="667"/>
        <w:jc w:val="center"/>
        <w:rPr>
          <w:rFonts w:ascii="宋体" w:hAnsi="宋体"/>
          <w:b/>
          <w:spacing w:val="6"/>
          <w:sz w:val="36"/>
          <w:szCs w:val="36"/>
        </w:rPr>
      </w:pPr>
      <w:r>
        <w:rPr>
          <w:rFonts w:hint="eastAsia" w:ascii="宋体" w:hAnsi="宋体"/>
          <w:b/>
          <w:spacing w:val="6"/>
          <w:sz w:val="36"/>
          <w:szCs w:val="36"/>
        </w:rPr>
        <w:t>残疾人福利性单位声明函</w:t>
      </w:r>
    </w:p>
    <w:p>
      <w:pPr>
        <w:spacing w:line="588" w:lineRule="exact"/>
        <w:ind w:firstLine="626"/>
        <w:rPr>
          <w:rFonts w:ascii="宋体" w:hAnsi="宋体"/>
          <w:b/>
          <w:spacing w:val="6"/>
          <w:sz w:val="30"/>
          <w:szCs w:val="30"/>
        </w:rPr>
      </w:pPr>
    </w:p>
    <w:p>
      <w:pPr>
        <w:spacing w:line="588" w:lineRule="exact"/>
        <w:ind w:firstLine="48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仿宋_GB2312"/>
          <w:sz w:val="24"/>
          <w:u w:val="single"/>
        </w:rPr>
        <w:t xml:space="preserve">  （请填写采购人名称）  </w:t>
      </w:r>
      <w:r>
        <w:rPr>
          <w:rFonts w:hint="eastAsia" w:ascii="宋体" w:hAnsi="宋体" w:cs="仿宋_GB2312"/>
          <w:sz w:val="24"/>
        </w:rPr>
        <w:t>的</w:t>
      </w:r>
      <w:r>
        <w:rPr>
          <w:rFonts w:ascii="宋体" w:hAnsi="宋体" w:cs="仿宋_GB2312"/>
          <w:sz w:val="24"/>
          <w:u w:val="single"/>
        </w:rPr>
        <w:t xml:space="preserve">  （请填写项目名称）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588" w:lineRule="exact"/>
        <w:ind w:firstLine="480"/>
        <w:rPr>
          <w:rFonts w:ascii="宋体" w:hAnsi="宋体" w:cs="仿宋_GB2312"/>
          <w:sz w:val="24"/>
        </w:rPr>
      </w:pPr>
    </w:p>
    <w:p>
      <w:pPr>
        <w:spacing w:line="588" w:lineRule="exact"/>
        <w:ind w:firstLine="480"/>
        <w:rPr>
          <w:rFonts w:ascii="宋体" w:hAnsi="宋体" w:cs="仿宋_GB2312"/>
          <w:sz w:val="24"/>
        </w:rPr>
      </w:pPr>
    </w:p>
    <w:p>
      <w:pPr>
        <w:spacing w:line="588" w:lineRule="exact"/>
        <w:ind w:firstLine="480"/>
        <w:rPr>
          <w:rFonts w:ascii="宋体" w:hAnsi="宋体" w:cs="仿宋_GB2312"/>
          <w:sz w:val="24"/>
        </w:rPr>
      </w:pPr>
    </w:p>
    <w:p>
      <w:pPr>
        <w:spacing w:line="588" w:lineRule="exact"/>
        <w:ind w:firstLine="480"/>
        <w:rPr>
          <w:rFonts w:ascii="宋体" w:hAnsi="宋体" w:cs="仿宋_GB2312"/>
          <w:sz w:val="24"/>
        </w:rPr>
      </w:pPr>
    </w:p>
    <w:p>
      <w:pPr>
        <w:spacing w:line="588" w:lineRule="exact"/>
        <w:ind w:firstLine="480"/>
        <w:rPr>
          <w:rFonts w:ascii="宋体" w:hAnsi="宋体" w:cs="仿宋_GB2312"/>
          <w:sz w:val="24"/>
        </w:rPr>
      </w:pPr>
    </w:p>
    <w:p>
      <w:pPr>
        <w:tabs>
          <w:tab w:val="left" w:pos="4860"/>
        </w:tabs>
        <w:spacing w:line="588" w:lineRule="exact"/>
        <w:ind w:right="1560" w:firstLine="480"/>
        <w:jc w:val="center"/>
        <w:rPr>
          <w:rFonts w:ascii="宋体" w:hAnsi="宋体" w:cs="仿宋_GB2312"/>
          <w:sz w:val="24"/>
        </w:rPr>
      </w:pPr>
      <w:r>
        <w:rPr>
          <w:rFonts w:hint="eastAsia" w:ascii="宋体" w:hAnsi="宋体" w:cs="仿宋_GB2312"/>
          <w:sz w:val="24"/>
        </w:rPr>
        <w:t xml:space="preserve">                              单位名称（盖章）：</w:t>
      </w:r>
    </w:p>
    <w:p>
      <w:pPr>
        <w:spacing w:line="480" w:lineRule="exact"/>
        <w:ind w:firstLine="480" w:firstLineChars="200"/>
        <w:jc w:val="right"/>
        <w:rPr>
          <w:rFonts w:ascii="宋体" w:hAnsi="宋体"/>
          <w:sz w:val="24"/>
        </w:rPr>
      </w:pPr>
      <w:r>
        <w:rPr>
          <w:rFonts w:hint="eastAsia" w:ascii="宋体" w:hAnsi="宋体"/>
          <w:sz w:val="24"/>
        </w:rPr>
        <w:t>日期：    年    月    日</w:t>
      </w:r>
    </w:p>
    <w:p>
      <w:pPr>
        <w:ind w:firstLine="480"/>
        <w:rPr>
          <w:rFonts w:ascii="宋体" w:hAnsi="宋体" w:cs="仿宋_GB2312"/>
          <w:sz w:val="24"/>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ind w:firstLine="482" w:firstLineChars="200"/>
        <w:rPr>
          <w:rFonts w:ascii="宋体" w:hAnsi="宋体"/>
          <w:b/>
          <w:kern w:val="0"/>
          <w:sz w:val="24"/>
          <w:u w:val="single"/>
          <w:lang w:val="zh-CN"/>
        </w:rPr>
      </w:pPr>
      <w:r>
        <w:rPr>
          <w:rFonts w:hint="eastAsia" w:ascii="宋体" w:hAnsi="宋体"/>
          <w:b/>
          <w:kern w:val="0"/>
          <w:sz w:val="24"/>
          <w:u w:val="single"/>
          <w:lang w:val="zh-CN"/>
        </w:rPr>
        <w:t>特别提示：采购机构将在中标公告中公布中标人的《残疾人福利性单位声明函》，接受社会监督。</w:t>
      </w:r>
    </w:p>
    <w:p>
      <w:pPr>
        <w:pStyle w:val="2"/>
        <w:numPr>
          <w:ilvl w:val="0"/>
          <w:numId w:val="0"/>
        </w:numPr>
        <w:ind w:left="425"/>
        <w:jc w:val="center"/>
        <w:rPr>
          <w:rFonts w:ascii="宋体" w:hAnsi="宋体" w:eastAsia="宋体"/>
        </w:rPr>
      </w:pPr>
      <w:bookmarkStart w:id="58" w:name="_Toc83838340"/>
      <w:r>
        <w:rPr>
          <w:rFonts w:ascii="宋体" w:hAnsi="宋体" w:eastAsia="宋体"/>
        </w:rPr>
        <w:t>第七章  询问、质疑及投诉</w:t>
      </w:r>
      <w:bookmarkEnd w:id="58"/>
    </w:p>
    <w:p>
      <w:pPr>
        <w:pStyle w:val="23"/>
        <w:spacing w:line="360" w:lineRule="auto"/>
        <w:ind w:firstLine="480" w:firstLineChars="200"/>
        <w:rPr>
          <w:rFonts w:hAnsi="宋体"/>
          <w:sz w:val="24"/>
        </w:rPr>
      </w:pPr>
      <w:r>
        <w:rPr>
          <w:rFonts w:hAnsi="宋体"/>
          <w:sz w:val="24"/>
        </w:rPr>
        <w:t>参照</w:t>
      </w:r>
      <w:r>
        <w:rPr>
          <w:rFonts w:hint="eastAsia" w:hAnsi="宋体"/>
          <w:sz w:val="24"/>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hAnsi="宋体"/>
          <w:sz w:val="24"/>
        </w:rPr>
        <w:t>等法律法规</w:t>
      </w:r>
      <w:r>
        <w:rPr>
          <w:rFonts w:hint="eastAsia" w:hAnsi="宋体"/>
          <w:sz w:val="24"/>
        </w:rPr>
        <w:t>的规定，供应商可以依法</w:t>
      </w:r>
      <w:r>
        <w:rPr>
          <w:rFonts w:hAnsi="宋体"/>
          <w:sz w:val="24"/>
        </w:rPr>
        <w:t>提出询问、</w:t>
      </w:r>
      <w:r>
        <w:rPr>
          <w:rFonts w:hint="eastAsia" w:hAnsi="宋体"/>
          <w:sz w:val="24"/>
        </w:rPr>
        <w:t>质疑和投诉。</w:t>
      </w:r>
    </w:p>
    <w:p>
      <w:pPr>
        <w:pStyle w:val="3"/>
        <w:numPr>
          <w:ilvl w:val="0"/>
          <w:numId w:val="0"/>
        </w:numPr>
        <w:rPr>
          <w:rFonts w:ascii="宋体" w:hAnsi="宋体" w:eastAsia="宋体"/>
        </w:rPr>
      </w:pPr>
      <w:bookmarkStart w:id="59" w:name="_Toc83838341"/>
      <w:r>
        <w:rPr>
          <w:rFonts w:ascii="宋体" w:hAnsi="宋体" w:eastAsia="宋体"/>
        </w:rPr>
        <w:t>一、供应商询问</w:t>
      </w:r>
      <w:bookmarkEnd w:id="59"/>
    </w:p>
    <w:p>
      <w:pPr>
        <w:pStyle w:val="23"/>
        <w:spacing w:line="360" w:lineRule="auto"/>
        <w:rPr>
          <w:rFonts w:hAnsi="宋体"/>
          <w:sz w:val="24"/>
        </w:rPr>
      </w:pPr>
      <w:r>
        <w:rPr>
          <w:rFonts w:hAnsi="宋体"/>
          <w:sz w:val="24"/>
        </w:rPr>
        <w:t>1.1</w:t>
      </w:r>
      <w:r>
        <w:rPr>
          <w:rFonts w:hint="eastAsia" w:hAnsi="宋体"/>
          <w:sz w:val="24"/>
        </w:rPr>
        <w:t>供应商对</w:t>
      </w:r>
      <w:r>
        <w:rPr>
          <w:rFonts w:hAnsi="宋体"/>
          <w:sz w:val="24"/>
        </w:rPr>
        <w:t>本项目</w:t>
      </w:r>
      <w:r>
        <w:rPr>
          <w:rFonts w:hint="eastAsia" w:hAnsi="宋体"/>
          <w:sz w:val="24"/>
        </w:rPr>
        <w:t>有疑问的，可以向采购机构提出询问，采购机构将对供应商依法提出的询问作出答复，但答复的内容不得涉及商业秘密。</w:t>
      </w:r>
    </w:p>
    <w:p>
      <w:pPr>
        <w:pStyle w:val="23"/>
        <w:spacing w:line="360" w:lineRule="auto"/>
        <w:rPr>
          <w:rFonts w:hAnsi="宋体"/>
          <w:sz w:val="24"/>
        </w:rPr>
      </w:pPr>
      <w:r>
        <w:rPr>
          <w:rFonts w:hAnsi="宋体"/>
          <w:sz w:val="24"/>
        </w:rPr>
        <w:t>1.2采购机构将在3个工作日内对供应商依法提出的询问作出答复。</w:t>
      </w:r>
    </w:p>
    <w:p>
      <w:pPr>
        <w:pStyle w:val="23"/>
        <w:spacing w:line="360" w:lineRule="auto"/>
        <w:rPr>
          <w:rFonts w:hAnsi="宋体"/>
          <w:sz w:val="24"/>
        </w:rPr>
      </w:pPr>
      <w:r>
        <w:rPr>
          <w:rFonts w:hAnsi="宋体"/>
          <w:sz w:val="24"/>
        </w:rPr>
        <w:t>1.3采购机构的一般通过电话形式答复。</w:t>
      </w:r>
    </w:p>
    <w:p>
      <w:pPr>
        <w:pStyle w:val="3"/>
        <w:numPr>
          <w:ilvl w:val="0"/>
          <w:numId w:val="0"/>
        </w:numPr>
        <w:rPr>
          <w:rFonts w:ascii="宋体" w:hAnsi="宋体" w:eastAsia="宋体"/>
        </w:rPr>
      </w:pPr>
      <w:bookmarkStart w:id="60" w:name="_Toc83838342"/>
      <w:r>
        <w:rPr>
          <w:rFonts w:ascii="宋体" w:hAnsi="宋体" w:eastAsia="宋体"/>
        </w:rPr>
        <w:t>二、供应商质疑</w:t>
      </w:r>
      <w:bookmarkEnd w:id="60"/>
    </w:p>
    <w:p>
      <w:pPr>
        <w:pStyle w:val="23"/>
        <w:spacing w:line="360" w:lineRule="auto"/>
        <w:rPr>
          <w:rFonts w:hAnsi="宋体"/>
          <w:b/>
          <w:bCs/>
          <w:sz w:val="24"/>
        </w:rPr>
      </w:pPr>
      <w:r>
        <w:rPr>
          <w:rFonts w:hint="eastAsia" w:hAnsi="宋体"/>
          <w:b/>
          <w:bCs/>
          <w:sz w:val="24"/>
        </w:rPr>
        <w:t>2.1</w:t>
      </w:r>
      <w:r>
        <w:rPr>
          <w:rFonts w:hAnsi="宋体"/>
          <w:b/>
          <w:bCs/>
          <w:sz w:val="24"/>
        </w:rPr>
        <w:t>质疑有效期：</w:t>
      </w:r>
    </w:p>
    <w:p>
      <w:pPr>
        <w:pStyle w:val="23"/>
        <w:spacing w:line="360" w:lineRule="auto"/>
        <w:ind w:firstLine="480" w:firstLineChars="200"/>
        <w:rPr>
          <w:rFonts w:hAnsi="宋体"/>
          <w:sz w:val="24"/>
        </w:rPr>
      </w:pPr>
      <w:r>
        <w:rPr>
          <w:rFonts w:hint="eastAsia" w:hAnsi="宋体"/>
          <w:sz w:val="24"/>
        </w:rPr>
        <w:t>供应商认为采购文件、采购过程和成交结果使自己的权益受到损害的，可以在知道或者应知其权益受到损害之日起</w:t>
      </w:r>
      <w:r>
        <w:rPr>
          <w:rFonts w:hint="eastAsia" w:hAnsi="宋体"/>
          <w:b/>
          <w:bCs/>
          <w:sz w:val="24"/>
        </w:rPr>
        <w:t>七个工作日内</w:t>
      </w:r>
      <w:r>
        <w:rPr>
          <w:rFonts w:hint="eastAsia" w:hAnsi="宋体"/>
          <w:sz w:val="24"/>
        </w:rPr>
        <w:t>，以书面形式</w:t>
      </w:r>
      <w:r>
        <w:rPr>
          <w:rFonts w:hAnsi="宋体"/>
          <w:sz w:val="24"/>
        </w:rPr>
        <w:t>（或加盖电子公章的数据电文）</w:t>
      </w:r>
      <w:r>
        <w:rPr>
          <w:rFonts w:hint="eastAsia" w:hAnsi="宋体"/>
          <w:sz w:val="24"/>
        </w:rPr>
        <w:t>向</w:t>
      </w:r>
      <w:r>
        <w:rPr>
          <w:rFonts w:hint="eastAsia" w:hAnsi="宋体"/>
          <w:b/>
          <w:bCs/>
          <w:sz w:val="24"/>
        </w:rPr>
        <w:t>采购机构</w:t>
      </w:r>
      <w:r>
        <w:rPr>
          <w:rFonts w:hint="eastAsia" w:hAnsi="宋体"/>
          <w:sz w:val="24"/>
        </w:rPr>
        <w:t>提出质疑，否则，采购机构不予受理：</w:t>
      </w:r>
    </w:p>
    <w:p>
      <w:pPr>
        <w:pStyle w:val="23"/>
        <w:spacing w:line="360" w:lineRule="auto"/>
        <w:ind w:firstLine="480" w:firstLineChars="200"/>
        <w:rPr>
          <w:rFonts w:hAnsi="宋体"/>
          <w:sz w:val="24"/>
        </w:rPr>
      </w:pPr>
      <w:r>
        <w:rPr>
          <w:rFonts w:hint="eastAsia" w:hAnsi="宋体"/>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23"/>
        <w:spacing w:line="360" w:lineRule="auto"/>
        <w:ind w:firstLine="480" w:firstLineChars="200"/>
        <w:rPr>
          <w:rFonts w:hAnsi="宋体"/>
          <w:b/>
          <w:bCs/>
          <w:sz w:val="24"/>
        </w:rPr>
      </w:pPr>
      <w:r>
        <w:rPr>
          <w:rFonts w:hint="eastAsia" w:hAnsi="宋体"/>
          <w:sz w:val="24"/>
        </w:rPr>
        <w:t>（2）对采购过程提出质疑的，质疑期限为各采购程序环节结束之日起计算。</w:t>
      </w:r>
      <w:r>
        <w:rPr>
          <w:rFonts w:hint="eastAsia" w:hAnsi="宋体"/>
          <w:b/>
          <w:bCs/>
          <w:sz w:val="24"/>
        </w:rPr>
        <w:t>供应商的法定代表人或其授权代表未参加开标会议的，事后不得对采购相关人员、开标过程和开标结果提出</w:t>
      </w:r>
      <w:r>
        <w:rPr>
          <w:rFonts w:hAnsi="宋体"/>
          <w:b/>
          <w:bCs/>
          <w:sz w:val="24"/>
        </w:rPr>
        <w:t>质疑</w:t>
      </w:r>
      <w:r>
        <w:rPr>
          <w:rFonts w:hint="eastAsia" w:hAnsi="宋体"/>
          <w:b/>
          <w:bCs/>
          <w:sz w:val="24"/>
        </w:rPr>
        <w:t>。</w:t>
      </w:r>
    </w:p>
    <w:p>
      <w:pPr>
        <w:pStyle w:val="23"/>
        <w:spacing w:line="360" w:lineRule="auto"/>
        <w:ind w:firstLine="480" w:firstLineChars="200"/>
        <w:rPr>
          <w:rFonts w:hAnsi="宋体"/>
          <w:sz w:val="24"/>
        </w:rPr>
      </w:pPr>
      <w:r>
        <w:rPr>
          <w:rFonts w:hint="eastAsia" w:hAnsi="宋体"/>
          <w:sz w:val="24"/>
        </w:rPr>
        <w:t>（3）对采购结果提出质疑的，质疑期限自采购结果公告（包括公示、预公告、结果更正公告等）期限届满之日起计算。</w:t>
      </w:r>
    </w:p>
    <w:p>
      <w:pPr>
        <w:pStyle w:val="23"/>
        <w:spacing w:line="360" w:lineRule="auto"/>
        <w:ind w:firstLine="480" w:firstLineChars="200"/>
        <w:rPr>
          <w:rFonts w:hAnsi="宋体"/>
          <w:sz w:val="24"/>
        </w:rPr>
      </w:pPr>
      <w:r>
        <w:rPr>
          <w:rFonts w:hint="eastAsia" w:hAnsi="宋体"/>
          <w:sz w:val="24"/>
        </w:rPr>
        <w:t>（4）供应商应在法定质疑期内一次性提出针对同一采购程序环节的质疑。</w:t>
      </w:r>
      <w:r>
        <w:rPr>
          <w:rFonts w:hAnsi="宋体"/>
          <w:sz w:val="24"/>
        </w:rPr>
        <w:t>提供新的事实或证据的除外。</w:t>
      </w:r>
    </w:p>
    <w:p>
      <w:pPr>
        <w:pStyle w:val="23"/>
        <w:spacing w:line="360" w:lineRule="auto"/>
        <w:rPr>
          <w:rFonts w:hAnsi="宋体"/>
          <w:b/>
          <w:bCs/>
          <w:sz w:val="24"/>
        </w:rPr>
      </w:pPr>
      <w:r>
        <w:rPr>
          <w:rFonts w:hint="eastAsia" w:hAnsi="宋体"/>
          <w:b/>
          <w:bCs/>
          <w:sz w:val="24"/>
        </w:rPr>
        <w:t>2.</w:t>
      </w:r>
      <w:r>
        <w:rPr>
          <w:rFonts w:hAnsi="宋体"/>
          <w:b/>
          <w:bCs/>
          <w:sz w:val="24"/>
        </w:rPr>
        <w:t>2质疑主体的有效性：</w:t>
      </w:r>
    </w:p>
    <w:p>
      <w:pPr>
        <w:pStyle w:val="23"/>
        <w:spacing w:line="360" w:lineRule="auto"/>
        <w:rPr>
          <w:rFonts w:hAnsi="宋体"/>
          <w:sz w:val="24"/>
        </w:rPr>
      </w:pPr>
      <w:r>
        <w:rPr>
          <w:rFonts w:hAnsi="宋体"/>
          <w:sz w:val="24"/>
        </w:rPr>
        <w:t>2.2.1提出质疑的供应商应当是参与所质疑项目采购活动的供应商。</w:t>
      </w:r>
    </w:p>
    <w:p>
      <w:pPr>
        <w:pStyle w:val="23"/>
        <w:spacing w:line="360" w:lineRule="auto"/>
        <w:rPr>
          <w:rFonts w:hAnsi="宋体"/>
          <w:sz w:val="24"/>
        </w:rPr>
      </w:pPr>
      <w:r>
        <w:rPr>
          <w:rFonts w:hAnsi="宋体"/>
          <w:sz w:val="24"/>
        </w:rPr>
        <w:t>2.2.2质疑人与质疑事项须存在利害关系,不得提出</w:t>
      </w:r>
      <w:r>
        <w:rPr>
          <w:rFonts w:hint="eastAsia" w:hAnsi="宋体"/>
          <w:sz w:val="24"/>
        </w:rPr>
        <w:t>“</w:t>
      </w:r>
      <w:r>
        <w:rPr>
          <w:rFonts w:hAnsi="宋体"/>
          <w:sz w:val="24"/>
        </w:rPr>
        <w:t>自杀式质疑</w:t>
      </w:r>
      <w:r>
        <w:rPr>
          <w:rFonts w:hint="eastAsia" w:hAnsi="宋体"/>
          <w:sz w:val="24"/>
        </w:rPr>
        <w:t>”。</w:t>
      </w:r>
    </w:p>
    <w:p>
      <w:pPr>
        <w:pStyle w:val="23"/>
        <w:spacing w:line="360" w:lineRule="auto"/>
        <w:rPr>
          <w:rFonts w:hAnsi="宋体"/>
          <w:b/>
          <w:bCs/>
          <w:sz w:val="24"/>
        </w:rPr>
      </w:pPr>
      <w:r>
        <w:rPr>
          <w:rFonts w:hAnsi="宋体"/>
          <w:b/>
          <w:bCs/>
          <w:sz w:val="24"/>
        </w:rPr>
        <w:t>2.3质疑的答复</w:t>
      </w:r>
    </w:p>
    <w:p>
      <w:pPr>
        <w:pStyle w:val="23"/>
        <w:spacing w:line="360" w:lineRule="auto"/>
        <w:ind w:firstLine="480" w:firstLineChars="200"/>
        <w:rPr>
          <w:rFonts w:hAnsi="宋体"/>
          <w:sz w:val="24"/>
        </w:rPr>
      </w:pPr>
      <w:r>
        <w:rPr>
          <w:rFonts w:hint="eastAsia" w:hAnsi="宋体"/>
          <w:sz w:val="24"/>
        </w:rPr>
        <w:t>采购机构</w:t>
      </w:r>
      <w:r>
        <w:rPr>
          <w:rFonts w:hAnsi="宋体"/>
          <w:sz w:val="24"/>
        </w:rPr>
        <w:t>将</w:t>
      </w:r>
      <w:r>
        <w:rPr>
          <w:rFonts w:hint="eastAsia" w:hAnsi="宋体"/>
          <w:sz w:val="24"/>
        </w:rPr>
        <w:t>在收到供应商的质疑后七个工作日内作出答复，并以</w:t>
      </w:r>
      <w:r>
        <w:rPr>
          <w:rFonts w:hAnsi="宋体"/>
          <w:sz w:val="24"/>
        </w:rPr>
        <w:t>书面形式或数据电文形式</w:t>
      </w:r>
      <w:r>
        <w:rPr>
          <w:rFonts w:hint="eastAsia" w:hAnsi="宋体"/>
          <w:sz w:val="24"/>
        </w:rPr>
        <w:t>通知质疑供应商和其他与质疑处理结果有利害关系的采购当事人，但答复的内容不得涉及商业秘密。</w:t>
      </w:r>
    </w:p>
    <w:p>
      <w:pPr>
        <w:pStyle w:val="23"/>
        <w:spacing w:line="360" w:lineRule="auto"/>
        <w:ind w:firstLine="480" w:firstLineChars="200"/>
        <w:rPr>
          <w:rFonts w:hAnsi="宋体"/>
          <w:sz w:val="24"/>
        </w:rPr>
      </w:pPr>
      <w:r>
        <w:rPr>
          <w:rFonts w:hint="eastAsia" w:hAnsi="宋体"/>
          <w:sz w:val="24"/>
        </w:rPr>
        <w:t>询问或者质疑事项可能影响采购结果的，采购人应当暂停签订合同，已经签订合同的，应当中止履行合同。</w:t>
      </w:r>
    </w:p>
    <w:p>
      <w:pPr>
        <w:pStyle w:val="23"/>
        <w:spacing w:line="360" w:lineRule="auto"/>
        <w:rPr>
          <w:rFonts w:hAnsi="宋体"/>
          <w:b/>
          <w:bCs/>
          <w:sz w:val="24"/>
        </w:rPr>
      </w:pPr>
      <w:r>
        <w:rPr>
          <w:rFonts w:hAnsi="宋体"/>
          <w:b/>
          <w:bCs/>
          <w:sz w:val="24"/>
        </w:rPr>
        <w:t>2.4质疑的撤回</w:t>
      </w:r>
    </w:p>
    <w:p>
      <w:pPr>
        <w:widowControl/>
        <w:snapToGrid w:val="0"/>
        <w:spacing w:line="480" w:lineRule="exact"/>
        <w:ind w:firstLine="480" w:firstLineChars="200"/>
        <w:rPr>
          <w:rFonts w:ascii="宋体" w:hAnsi="宋体"/>
          <w:kern w:val="0"/>
          <w:sz w:val="24"/>
        </w:rPr>
      </w:pPr>
      <w:r>
        <w:rPr>
          <w:rFonts w:ascii="宋体" w:hAnsi="宋体"/>
          <w:kern w:val="0"/>
          <w:sz w:val="24"/>
        </w:rPr>
        <w:t>供应商可以通过书面形式（或加盖电子公章的数据电文）撤回已经被受理的质疑书。</w:t>
      </w:r>
    </w:p>
    <w:p>
      <w:pPr>
        <w:pStyle w:val="3"/>
        <w:numPr>
          <w:ilvl w:val="0"/>
          <w:numId w:val="0"/>
        </w:numPr>
        <w:rPr>
          <w:rFonts w:ascii="宋体" w:hAnsi="宋体" w:eastAsia="宋体"/>
        </w:rPr>
      </w:pPr>
      <w:bookmarkStart w:id="61" w:name="_Toc83838343"/>
      <w:r>
        <w:rPr>
          <w:rFonts w:ascii="宋体" w:hAnsi="宋体" w:eastAsia="宋体"/>
        </w:rPr>
        <w:t>三、供应商投诉</w:t>
      </w:r>
      <w:bookmarkEnd w:id="61"/>
    </w:p>
    <w:p>
      <w:pPr>
        <w:widowControl/>
        <w:snapToGrid w:val="0"/>
        <w:spacing w:line="480" w:lineRule="exact"/>
        <w:rPr>
          <w:rFonts w:ascii="宋体" w:hAnsi="宋体"/>
          <w:b/>
          <w:bCs/>
          <w:kern w:val="0"/>
          <w:sz w:val="24"/>
        </w:rPr>
      </w:pPr>
      <w:r>
        <w:rPr>
          <w:rFonts w:ascii="宋体" w:hAnsi="宋体"/>
          <w:b/>
          <w:bCs/>
          <w:kern w:val="0"/>
          <w:sz w:val="24"/>
        </w:rPr>
        <w:t>3.1投诉有效期</w:t>
      </w:r>
    </w:p>
    <w:p>
      <w:pPr>
        <w:widowControl/>
        <w:snapToGrid w:val="0"/>
        <w:spacing w:line="480" w:lineRule="exact"/>
        <w:rPr>
          <w:rFonts w:ascii="宋体" w:hAnsi="宋体"/>
          <w:kern w:val="0"/>
          <w:sz w:val="24"/>
        </w:rPr>
      </w:pPr>
      <w:r>
        <w:rPr>
          <w:rFonts w:ascii="宋体" w:hAnsi="宋体"/>
          <w:kern w:val="0"/>
          <w:sz w:val="24"/>
        </w:rPr>
        <w:t>质疑供应商对采购人、采购代理机构的答复不满意，或者采购人、采购代理机构未在规定时间内作出答复的，可以在答复期满后 15 个工作日内向本项目监督部门提起投诉。</w:t>
      </w:r>
    </w:p>
    <w:p>
      <w:pPr>
        <w:widowControl/>
        <w:snapToGrid w:val="0"/>
        <w:spacing w:line="480" w:lineRule="exact"/>
        <w:rPr>
          <w:rFonts w:ascii="宋体" w:hAnsi="宋体"/>
          <w:b/>
          <w:bCs/>
          <w:kern w:val="0"/>
          <w:sz w:val="24"/>
          <w:u w:val="single"/>
        </w:rPr>
      </w:pPr>
      <w:r>
        <w:rPr>
          <w:rFonts w:ascii="宋体" w:hAnsi="宋体"/>
          <w:b/>
          <w:bCs/>
          <w:kern w:val="0"/>
          <w:sz w:val="24"/>
          <w:u w:val="single"/>
        </w:rPr>
        <w:t>特别提醒：质疑是投诉的前置程序，供应商必须先质疑后投诉。</w:t>
      </w:r>
    </w:p>
    <w:p>
      <w:pPr>
        <w:widowControl/>
        <w:snapToGrid w:val="0"/>
        <w:spacing w:line="480" w:lineRule="exact"/>
        <w:rPr>
          <w:rFonts w:ascii="宋体" w:hAnsi="宋体"/>
          <w:b/>
          <w:bCs/>
          <w:kern w:val="0"/>
          <w:sz w:val="24"/>
        </w:rPr>
      </w:pPr>
      <w:r>
        <w:rPr>
          <w:rFonts w:ascii="宋体" w:hAnsi="宋体"/>
          <w:b/>
          <w:bCs/>
          <w:kern w:val="0"/>
          <w:sz w:val="24"/>
        </w:rPr>
        <w:t>3.2投诉内容</w:t>
      </w:r>
    </w:p>
    <w:p>
      <w:pPr>
        <w:widowControl/>
        <w:snapToGrid w:val="0"/>
        <w:spacing w:line="480" w:lineRule="exact"/>
        <w:ind w:firstLine="480" w:firstLineChars="200"/>
        <w:rPr>
          <w:rFonts w:ascii="宋体" w:hAnsi="宋体"/>
          <w:kern w:val="0"/>
          <w:sz w:val="24"/>
        </w:rPr>
      </w:pPr>
      <w:r>
        <w:rPr>
          <w:rFonts w:ascii="宋体" w:hAnsi="宋体"/>
          <w:kern w:val="0"/>
          <w:sz w:val="24"/>
        </w:rPr>
        <w:t>供应商投诉的事项不得超出已质疑事项的范围，但基于质疑答复内容提出的投诉事项除外。</w:t>
      </w:r>
    </w:p>
    <w:p>
      <w:pPr>
        <w:widowControl/>
        <w:snapToGrid w:val="0"/>
        <w:spacing w:line="480" w:lineRule="exact"/>
        <w:rPr>
          <w:rFonts w:ascii="宋体" w:hAnsi="宋体"/>
          <w:kern w:val="0"/>
          <w:sz w:val="24"/>
        </w:rPr>
      </w:pPr>
      <w:r>
        <w:rPr>
          <w:rFonts w:ascii="宋体" w:hAnsi="宋体"/>
          <w:kern w:val="0"/>
          <w:sz w:val="24"/>
        </w:rPr>
        <w:t xml:space="preserve">    投诉书需包括以下内容：</w:t>
      </w:r>
    </w:p>
    <w:p>
      <w:pPr>
        <w:widowControl/>
        <w:snapToGrid w:val="0"/>
        <w:spacing w:line="480" w:lineRule="exact"/>
        <w:rPr>
          <w:rFonts w:ascii="宋体" w:hAnsi="宋体"/>
          <w:kern w:val="0"/>
          <w:sz w:val="24"/>
        </w:rPr>
      </w:pPr>
      <w:r>
        <w:rPr>
          <w:rFonts w:ascii="宋体" w:hAnsi="宋体"/>
          <w:kern w:val="0"/>
          <w:sz w:val="24"/>
        </w:rPr>
        <w:t>（一）投诉人和被投诉人的姓名或者名称、通讯地址、邮编、联系人及联系电话；</w:t>
      </w:r>
    </w:p>
    <w:p>
      <w:pPr>
        <w:widowControl/>
        <w:snapToGrid w:val="0"/>
        <w:spacing w:line="480" w:lineRule="exact"/>
        <w:rPr>
          <w:rFonts w:ascii="宋体" w:hAnsi="宋体"/>
          <w:kern w:val="0"/>
          <w:sz w:val="24"/>
        </w:rPr>
      </w:pPr>
      <w:r>
        <w:rPr>
          <w:rFonts w:ascii="宋体" w:hAnsi="宋体"/>
          <w:kern w:val="0"/>
          <w:sz w:val="24"/>
        </w:rPr>
        <w:t>（二）质疑和质疑答复情况说明及相关证明材料；</w:t>
      </w:r>
    </w:p>
    <w:p>
      <w:pPr>
        <w:widowControl/>
        <w:snapToGrid w:val="0"/>
        <w:spacing w:line="480" w:lineRule="exact"/>
        <w:rPr>
          <w:rFonts w:ascii="宋体" w:hAnsi="宋体"/>
          <w:kern w:val="0"/>
          <w:sz w:val="24"/>
        </w:rPr>
      </w:pPr>
      <w:r>
        <w:rPr>
          <w:rFonts w:ascii="宋体" w:hAnsi="宋体"/>
          <w:kern w:val="0"/>
          <w:sz w:val="24"/>
        </w:rPr>
        <w:t>（三）具体、明确的投诉事项和与投诉事项相关的投诉请求；</w:t>
      </w:r>
    </w:p>
    <w:p>
      <w:pPr>
        <w:widowControl/>
        <w:snapToGrid w:val="0"/>
        <w:spacing w:line="480" w:lineRule="exact"/>
        <w:rPr>
          <w:rFonts w:ascii="宋体" w:hAnsi="宋体"/>
          <w:kern w:val="0"/>
          <w:sz w:val="24"/>
        </w:rPr>
      </w:pPr>
      <w:r>
        <w:rPr>
          <w:rFonts w:ascii="宋体" w:hAnsi="宋体"/>
          <w:kern w:val="0"/>
          <w:sz w:val="24"/>
        </w:rPr>
        <w:t>（四）事实依据；</w:t>
      </w:r>
    </w:p>
    <w:p>
      <w:pPr>
        <w:widowControl/>
        <w:snapToGrid w:val="0"/>
        <w:spacing w:line="480" w:lineRule="exact"/>
        <w:rPr>
          <w:rFonts w:ascii="宋体" w:hAnsi="宋体"/>
          <w:kern w:val="0"/>
          <w:sz w:val="24"/>
        </w:rPr>
      </w:pPr>
      <w:r>
        <w:rPr>
          <w:rFonts w:ascii="宋体" w:hAnsi="宋体"/>
          <w:kern w:val="0"/>
          <w:sz w:val="24"/>
        </w:rPr>
        <w:t>（五）法律依据；</w:t>
      </w:r>
    </w:p>
    <w:p>
      <w:pPr>
        <w:widowControl/>
        <w:snapToGrid w:val="0"/>
        <w:spacing w:line="480" w:lineRule="exact"/>
        <w:rPr>
          <w:rFonts w:ascii="宋体" w:hAnsi="宋体"/>
          <w:kern w:val="0"/>
          <w:sz w:val="24"/>
        </w:rPr>
      </w:pPr>
      <w:r>
        <w:rPr>
          <w:rFonts w:ascii="宋体" w:hAnsi="宋体"/>
          <w:kern w:val="0"/>
          <w:sz w:val="24"/>
        </w:rPr>
        <w:t>（六）提起投诉的日期。</w:t>
      </w:r>
    </w:p>
    <w:p>
      <w:pPr>
        <w:widowControl/>
        <w:snapToGrid w:val="0"/>
        <w:spacing w:line="480" w:lineRule="exact"/>
        <w:ind w:firstLine="480" w:firstLineChars="200"/>
        <w:rPr>
          <w:rFonts w:ascii="宋体" w:hAnsi="宋体"/>
          <w:kern w:val="0"/>
          <w:sz w:val="24"/>
        </w:rPr>
      </w:pPr>
      <w:r>
        <w:rPr>
          <w:rFonts w:ascii="宋体" w:hAnsi="宋体"/>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宋体" w:hAnsi="宋体"/>
          <w:kern w:val="0"/>
          <w:sz w:val="24"/>
        </w:rPr>
      </w:pPr>
    </w:p>
    <w:p>
      <w:pPr>
        <w:widowControl/>
        <w:snapToGrid w:val="0"/>
        <w:spacing w:line="480" w:lineRule="exact"/>
        <w:rPr>
          <w:rFonts w:ascii="宋体" w:hAnsi="宋体" w:cs="宋体"/>
          <w:kern w:val="0"/>
          <w:sz w:val="24"/>
        </w:rPr>
      </w:pPr>
    </w:p>
    <w:p>
      <w:pPr>
        <w:shd w:val="clear" w:color="auto" w:fill="FFFFFF"/>
        <w:spacing w:line="360" w:lineRule="auto"/>
        <w:ind w:firstLine="420" w:firstLineChars="200"/>
        <w:rPr>
          <w:rFonts w:hint="eastAsia"/>
        </w:rPr>
      </w:pPr>
    </w:p>
    <w:sectPr>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80E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Helvetica Neue">
    <w:altName w:val="Malgun Gothic"/>
    <w:panose1 w:val="00000000000000000000"/>
    <w:charset w:val="00"/>
    <w:family w:val="auto"/>
    <w:pitch w:val="default"/>
    <w:sig w:usb0="00000003" w:usb1="500079DB" w:usb2="0000001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pPr>
    <w:r>
      <w:rPr>
        <w:rStyle w:val="46"/>
      </w:rPr>
      <w:fldChar w:fldCharType="begin"/>
    </w:r>
    <w:r>
      <w:rPr>
        <w:rStyle w:val="46"/>
      </w:rPr>
      <w:instrText xml:space="preserve">Page</w:instrText>
    </w:r>
    <w:r>
      <w:rPr>
        <w:rStyle w:val="46"/>
      </w:rPr>
      <w:fldChar w:fldCharType="separate"/>
    </w:r>
    <w:r>
      <w:rPr>
        <w:rStyle w:val="46"/>
      </w:rPr>
      <w:t>1</w:t>
    </w:r>
    <w:r>
      <w:rPr>
        <w:rStyle w:val="46"/>
      </w:rPr>
      <w:fldChar w:fldCharType="end"/>
    </w:r>
  </w:p>
  <w:p>
    <w:pPr>
      <w:pStyle w:val="27"/>
      <w:framePr w:wrap="around" w:vAnchor="text" w:hAnchor="margin" w:xAlign="center" w:y="1"/>
    </w:pPr>
    <w:r>
      <w:rPr>
        <w:rStyle w:val="46"/>
      </w:rPr>
      <w:fldChar w:fldCharType="begin"/>
    </w:r>
    <w:r>
      <w:rPr>
        <w:rStyle w:val="46"/>
      </w:rPr>
      <w:instrText xml:space="preserve">Page</w:instrText>
    </w:r>
    <w:r>
      <w:rPr>
        <w:rStyle w:val="46"/>
      </w:rPr>
      <w:fldChar w:fldCharType="separate"/>
    </w:r>
    <w:r>
      <w:rPr>
        <w:rStyle w:val="46"/>
      </w:rPr>
      <w:t>1</w:t>
    </w:r>
    <w:r>
      <w:rPr>
        <w:rStyle w:val="46"/>
      </w:rPr>
      <w:fldChar w:fldCharType="end"/>
    </w:r>
  </w:p>
  <w:p>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pPr>
    <w:r>
      <w:rPr>
        <w:rStyle w:val="46"/>
      </w:rPr>
      <w:fldChar w:fldCharType="begin"/>
    </w:r>
    <w:r>
      <w:rPr>
        <w:rStyle w:val="46"/>
      </w:rPr>
      <w:instrText xml:space="preserve">Page</w:instrText>
    </w:r>
    <w:r>
      <w:rPr>
        <w:rStyle w:val="46"/>
      </w:rPr>
      <w:fldChar w:fldCharType="separate"/>
    </w:r>
    <w:r>
      <w:rPr>
        <w:rStyle w:val="46"/>
        <w:lang/>
      </w:rPr>
      <w:t>136</w:t>
    </w:r>
    <w:r>
      <w:rPr>
        <w:rStyle w:val="46"/>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4</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69</w:t>
    </w:r>
    <w:r>
      <w:rPr>
        <w:kern w:val="0"/>
        <w:szCs w:val="21"/>
      </w:rPr>
      <w:fldChar w:fldCharType="end"/>
    </w:r>
    <w:r>
      <w:rPr>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112</w:t>
    </w:r>
    <w:r>
      <w:rPr>
        <w:kern w:val="0"/>
        <w:szCs w:val="21"/>
      </w:rPr>
      <w:fldChar w:fldCharType="end"/>
    </w:r>
    <w:r>
      <w:rPr>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114</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FCD05CBF"/>
    <w:multiLevelType w:val="multilevel"/>
    <w:tmpl w:val="FCD05CBF"/>
    <w:lvl w:ilvl="0" w:tentative="0">
      <w:start w:val="1"/>
      <w:numFmt w:val="decimal"/>
      <w:lvlText w:val="%1."/>
      <w:legacy w:legacy="1" w:legacySpace="0" w:legacyIndent="425"/>
      <w:lvlJc w:val="left"/>
      <w:pPr>
        <w:ind w:left="425" w:hanging="425"/>
      </w:pPr>
    </w:lvl>
    <w:lvl w:ilvl="1" w:tentative="0">
      <w:start w:val="1"/>
      <w:numFmt w:val="decimal"/>
      <w:pStyle w:val="22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5">
    <w:nsid w:val="FFFFFF88"/>
    <w:multiLevelType w:val="singleLevel"/>
    <w:tmpl w:val="FFFFFF88"/>
    <w:lvl w:ilvl="0" w:tentative="0">
      <w:start w:val="1"/>
      <w:numFmt w:val="decimal"/>
      <w:pStyle w:val="3"/>
      <w:lvlText w:val="%1."/>
      <w:lvlJc w:val="left"/>
      <w:pPr>
        <w:tabs>
          <w:tab w:val="left" w:pos="360"/>
        </w:tabs>
        <w:ind w:left="360" w:hanging="360"/>
      </w:pPr>
    </w:lvl>
  </w:abstractNum>
  <w:abstractNum w:abstractNumId="6">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7">
    <w:nsid w:val="0CFE12CA"/>
    <w:multiLevelType w:val="multilevel"/>
    <w:tmpl w:val="0CFE12C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360"/>
      </w:pPr>
      <w:rPr>
        <w:rFonts w:hint="default"/>
      </w:rPr>
    </w:lvl>
    <w:lvl w:ilvl="3" w:tentative="0">
      <w:start w:val="1"/>
      <w:numFmt w:val="decimal"/>
      <w:pStyle w:val="151"/>
      <w:lvlText w:val="%4．"/>
      <w:lvlJc w:val="left"/>
      <w:pPr>
        <w:tabs>
          <w:tab w:val="left" w:pos="1620"/>
        </w:tabs>
        <w:ind w:left="162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131C5E"/>
    <w:multiLevelType w:val="multilevel"/>
    <w:tmpl w:val="19131C5E"/>
    <w:lvl w:ilvl="0" w:tentative="0">
      <w:start w:val="1"/>
      <w:numFmt w:val="chineseCountingThousand"/>
      <w:suff w:val="space"/>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22486F"/>
    <w:multiLevelType w:val="multilevel"/>
    <w:tmpl w:val="2C22486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6A33D9B"/>
    <w:multiLevelType w:val="multilevel"/>
    <w:tmpl w:val="36A33D9B"/>
    <w:lvl w:ilvl="0" w:tentative="0">
      <w:start w:val="1"/>
      <w:numFmt w:val="decimal"/>
      <w:lvlText w:val="（%1）"/>
      <w:lvlJc w:val="left"/>
      <w:pPr>
        <w:ind w:left="1129"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C6A5EF0"/>
    <w:multiLevelType w:val="multilevel"/>
    <w:tmpl w:val="3C6A5EF0"/>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3">
    <w:nsid w:val="46377A45"/>
    <w:multiLevelType w:val="multilevel"/>
    <w:tmpl w:val="46377A4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1164534"/>
    <w:multiLevelType w:val="multilevel"/>
    <w:tmpl w:val="61164534"/>
    <w:lvl w:ilvl="0" w:tentative="0">
      <w:start w:val="1"/>
      <w:numFmt w:val="bullet"/>
      <w:pStyle w:val="12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17C1672"/>
    <w:multiLevelType w:val="multilevel"/>
    <w:tmpl w:val="617C167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60A5924"/>
    <w:multiLevelType w:val="multilevel"/>
    <w:tmpl w:val="660A5924"/>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19">
    <w:nsid w:val="6CAC619C"/>
    <w:multiLevelType w:val="multilevel"/>
    <w:tmpl w:val="6CAC619C"/>
    <w:lvl w:ilvl="0" w:tentative="0">
      <w:start w:val="1"/>
      <w:numFmt w:val="bullet"/>
      <w:pStyle w:val="195"/>
      <w:lvlText w:val=""/>
      <w:lvlJc w:val="left"/>
      <w:pPr>
        <w:tabs>
          <w:tab w:val="left" w:pos="840"/>
        </w:tabs>
        <w:ind w:left="840" w:hanging="420"/>
      </w:pPr>
      <w:rPr>
        <w:rFonts w:hint="default" w:ascii="Wingdings" w:hAnsi="Wingdings"/>
      </w:rPr>
    </w:lvl>
    <w:lvl w:ilvl="1" w:tentative="0">
      <w:start w:val="1"/>
      <w:numFmt w:val="none"/>
      <w:isLgl/>
      <w:suff w:val="space"/>
      <w:lvlText w:val="  2.2.1.1"/>
      <w:lvlJc w:val="left"/>
      <w:pPr>
        <w:ind w:left="567" w:hanging="567"/>
      </w:pPr>
      <w:rPr>
        <w:rFonts w:hint="eastAsia"/>
      </w:rPr>
    </w:lvl>
    <w:lvl w:ilvl="2" w:tentative="0">
      <w:start w:val="1"/>
      <w:numFmt w:val="none"/>
      <w:isLgl/>
      <w:suff w:val="space"/>
      <w:lvlText w:val="  2.2.1.3"/>
      <w:lvlJc w:val="left"/>
      <w:pPr>
        <w:ind w:left="0" w:firstLine="0"/>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71464AAD"/>
    <w:multiLevelType w:val="multilevel"/>
    <w:tmpl w:val="71464AAD"/>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BD20C76"/>
    <w:multiLevelType w:val="multilevel"/>
    <w:tmpl w:val="7BD20C76"/>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751D61"/>
    <w:multiLevelType w:val="multilevel"/>
    <w:tmpl w:val="7E751D61"/>
    <w:lvl w:ilvl="0" w:tentative="0">
      <w:start w:val="1"/>
      <w:numFmt w:val="japaneseCounting"/>
      <w:lvlText w:val="（%1）"/>
      <w:lvlJc w:val="left"/>
      <w:pPr>
        <w:ind w:left="1327" w:hanging="76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4"/>
  </w:num>
  <w:num w:numId="2">
    <w:abstractNumId w:val="5"/>
  </w:num>
  <w:num w:numId="3">
    <w:abstractNumId w:val="4"/>
  </w:num>
  <w:num w:numId="4">
    <w:abstractNumId w:val="18"/>
  </w:num>
  <w:num w:numId="5">
    <w:abstractNumId w:val="15"/>
  </w:num>
  <w:num w:numId="6">
    <w:abstractNumId w:val="7"/>
  </w:num>
  <w:num w:numId="7">
    <w:abstractNumId w:val="19"/>
  </w:num>
  <w:num w:numId="8">
    <w:abstractNumId w:val="3"/>
  </w:num>
  <w:num w:numId="9">
    <w:abstractNumId w:val="0"/>
  </w:num>
  <w:num w:numId="10">
    <w:abstractNumId w:val="21"/>
  </w:num>
  <w:num w:numId="11">
    <w:abstractNumId w:val="8"/>
  </w:num>
  <w:num w:numId="12">
    <w:abstractNumId w:val="17"/>
  </w:num>
  <w:num w:numId="13">
    <w:abstractNumId w:val="11"/>
  </w:num>
  <w:num w:numId="14">
    <w:abstractNumId w:val="20"/>
  </w:num>
  <w:num w:numId="15">
    <w:abstractNumId w:val="13"/>
  </w:num>
  <w:num w:numId="16">
    <w:abstractNumId w:val="16"/>
  </w:num>
  <w:num w:numId="17">
    <w:abstractNumId w:val="9"/>
  </w:num>
  <w:num w:numId="18">
    <w:abstractNumId w:val="10"/>
  </w:num>
  <w:num w:numId="19">
    <w:abstractNumId w:val="23"/>
  </w:num>
  <w:num w:numId="20">
    <w:abstractNumId w:val="22"/>
  </w:num>
  <w:num w:numId="21">
    <w:abstractNumId w:val="1"/>
  </w:num>
  <w:num w:numId="22">
    <w:abstractNumId w:val="2"/>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36BF"/>
    <w:rsid w:val="00005125"/>
    <w:rsid w:val="00006B75"/>
    <w:rsid w:val="00010FC1"/>
    <w:rsid w:val="00011476"/>
    <w:rsid w:val="00014719"/>
    <w:rsid w:val="00020344"/>
    <w:rsid w:val="0002045E"/>
    <w:rsid w:val="00021D87"/>
    <w:rsid w:val="0002203D"/>
    <w:rsid w:val="00023A63"/>
    <w:rsid w:val="0002468D"/>
    <w:rsid w:val="00025A9F"/>
    <w:rsid w:val="00031F75"/>
    <w:rsid w:val="000329A7"/>
    <w:rsid w:val="0004084A"/>
    <w:rsid w:val="00040A03"/>
    <w:rsid w:val="000517D0"/>
    <w:rsid w:val="00051955"/>
    <w:rsid w:val="00051C47"/>
    <w:rsid w:val="00054255"/>
    <w:rsid w:val="000544DD"/>
    <w:rsid w:val="0005537B"/>
    <w:rsid w:val="00056199"/>
    <w:rsid w:val="000567C7"/>
    <w:rsid w:val="0005700A"/>
    <w:rsid w:val="00060EF6"/>
    <w:rsid w:val="000616CC"/>
    <w:rsid w:val="0006428F"/>
    <w:rsid w:val="00065706"/>
    <w:rsid w:val="00065EFB"/>
    <w:rsid w:val="00067FB2"/>
    <w:rsid w:val="00072477"/>
    <w:rsid w:val="00074373"/>
    <w:rsid w:val="00083E93"/>
    <w:rsid w:val="00083EB1"/>
    <w:rsid w:val="00092B61"/>
    <w:rsid w:val="000933A2"/>
    <w:rsid w:val="0009740D"/>
    <w:rsid w:val="00097868"/>
    <w:rsid w:val="00097B19"/>
    <w:rsid w:val="000A3FC5"/>
    <w:rsid w:val="000A5AC0"/>
    <w:rsid w:val="000B1D0B"/>
    <w:rsid w:val="000B5869"/>
    <w:rsid w:val="000B625B"/>
    <w:rsid w:val="000C1F3C"/>
    <w:rsid w:val="000C3344"/>
    <w:rsid w:val="000C3CE5"/>
    <w:rsid w:val="000C5454"/>
    <w:rsid w:val="000D0040"/>
    <w:rsid w:val="000D0B51"/>
    <w:rsid w:val="000D0DF8"/>
    <w:rsid w:val="000D0E6C"/>
    <w:rsid w:val="000D110F"/>
    <w:rsid w:val="000D4D0E"/>
    <w:rsid w:val="000E099B"/>
    <w:rsid w:val="000E1C88"/>
    <w:rsid w:val="000E1C97"/>
    <w:rsid w:val="000E2802"/>
    <w:rsid w:val="000E4A4F"/>
    <w:rsid w:val="000E6D41"/>
    <w:rsid w:val="000F4910"/>
    <w:rsid w:val="000F7B19"/>
    <w:rsid w:val="00100CE5"/>
    <w:rsid w:val="00102CB1"/>
    <w:rsid w:val="00104327"/>
    <w:rsid w:val="00104663"/>
    <w:rsid w:val="00104AF1"/>
    <w:rsid w:val="00111E93"/>
    <w:rsid w:val="001120AF"/>
    <w:rsid w:val="00112B08"/>
    <w:rsid w:val="00114BF9"/>
    <w:rsid w:val="00114C81"/>
    <w:rsid w:val="00115363"/>
    <w:rsid w:val="00116B7A"/>
    <w:rsid w:val="00116EDA"/>
    <w:rsid w:val="0012018C"/>
    <w:rsid w:val="001259AD"/>
    <w:rsid w:val="00125CF3"/>
    <w:rsid w:val="00130233"/>
    <w:rsid w:val="00132EE2"/>
    <w:rsid w:val="001345B3"/>
    <w:rsid w:val="0013527E"/>
    <w:rsid w:val="00137525"/>
    <w:rsid w:val="00137CA9"/>
    <w:rsid w:val="00142235"/>
    <w:rsid w:val="001439D1"/>
    <w:rsid w:val="00145D25"/>
    <w:rsid w:val="001520AF"/>
    <w:rsid w:val="00154591"/>
    <w:rsid w:val="00154E3A"/>
    <w:rsid w:val="00157269"/>
    <w:rsid w:val="001573CF"/>
    <w:rsid w:val="0015771E"/>
    <w:rsid w:val="00157914"/>
    <w:rsid w:val="00157FB7"/>
    <w:rsid w:val="00161ED6"/>
    <w:rsid w:val="001631A0"/>
    <w:rsid w:val="00165068"/>
    <w:rsid w:val="00167460"/>
    <w:rsid w:val="001707BE"/>
    <w:rsid w:val="00174F52"/>
    <w:rsid w:val="001751A8"/>
    <w:rsid w:val="00180D55"/>
    <w:rsid w:val="00181BB9"/>
    <w:rsid w:val="00182871"/>
    <w:rsid w:val="001841D9"/>
    <w:rsid w:val="00184C15"/>
    <w:rsid w:val="0019064E"/>
    <w:rsid w:val="00190DB7"/>
    <w:rsid w:val="00191263"/>
    <w:rsid w:val="00191BE8"/>
    <w:rsid w:val="00191EE1"/>
    <w:rsid w:val="00192A26"/>
    <w:rsid w:val="00193494"/>
    <w:rsid w:val="00194583"/>
    <w:rsid w:val="001A0C24"/>
    <w:rsid w:val="001A15C0"/>
    <w:rsid w:val="001A2699"/>
    <w:rsid w:val="001A4A9D"/>
    <w:rsid w:val="001A6712"/>
    <w:rsid w:val="001B2770"/>
    <w:rsid w:val="001B485F"/>
    <w:rsid w:val="001B4FE7"/>
    <w:rsid w:val="001B70E5"/>
    <w:rsid w:val="001C07C7"/>
    <w:rsid w:val="001C0F46"/>
    <w:rsid w:val="001C57F3"/>
    <w:rsid w:val="001C6042"/>
    <w:rsid w:val="001C72E9"/>
    <w:rsid w:val="001C7F49"/>
    <w:rsid w:val="001D24BB"/>
    <w:rsid w:val="001D2D3C"/>
    <w:rsid w:val="001D6ED7"/>
    <w:rsid w:val="001D76A1"/>
    <w:rsid w:val="001E3B20"/>
    <w:rsid w:val="001E4A9F"/>
    <w:rsid w:val="001E6ACA"/>
    <w:rsid w:val="001E7BFC"/>
    <w:rsid w:val="001F1E4B"/>
    <w:rsid w:val="001F2767"/>
    <w:rsid w:val="001F3533"/>
    <w:rsid w:val="001F429B"/>
    <w:rsid w:val="001F43C6"/>
    <w:rsid w:val="001F4C63"/>
    <w:rsid w:val="001F661E"/>
    <w:rsid w:val="001F7E31"/>
    <w:rsid w:val="0020078E"/>
    <w:rsid w:val="0020236F"/>
    <w:rsid w:val="00205028"/>
    <w:rsid w:val="0020567D"/>
    <w:rsid w:val="002056F9"/>
    <w:rsid w:val="00205927"/>
    <w:rsid w:val="002062F2"/>
    <w:rsid w:val="0020786F"/>
    <w:rsid w:val="00210450"/>
    <w:rsid w:val="002105F0"/>
    <w:rsid w:val="00213420"/>
    <w:rsid w:val="00214546"/>
    <w:rsid w:val="00214C2B"/>
    <w:rsid w:val="0022698F"/>
    <w:rsid w:val="00231CB7"/>
    <w:rsid w:val="00233356"/>
    <w:rsid w:val="00235C09"/>
    <w:rsid w:val="0023638E"/>
    <w:rsid w:val="002425F5"/>
    <w:rsid w:val="00247AB8"/>
    <w:rsid w:val="00252F0F"/>
    <w:rsid w:val="0025432C"/>
    <w:rsid w:val="00255DED"/>
    <w:rsid w:val="0025749B"/>
    <w:rsid w:val="002607DF"/>
    <w:rsid w:val="00262E82"/>
    <w:rsid w:val="00264FFB"/>
    <w:rsid w:val="00266447"/>
    <w:rsid w:val="00270E20"/>
    <w:rsid w:val="0027158B"/>
    <w:rsid w:val="00272713"/>
    <w:rsid w:val="0027397B"/>
    <w:rsid w:val="00276796"/>
    <w:rsid w:val="00283EAF"/>
    <w:rsid w:val="00284CD1"/>
    <w:rsid w:val="002860D2"/>
    <w:rsid w:val="00286495"/>
    <w:rsid w:val="0029178F"/>
    <w:rsid w:val="00291839"/>
    <w:rsid w:val="00292302"/>
    <w:rsid w:val="002945E5"/>
    <w:rsid w:val="002951E8"/>
    <w:rsid w:val="00295DD9"/>
    <w:rsid w:val="00297FCD"/>
    <w:rsid w:val="002A0921"/>
    <w:rsid w:val="002A13E9"/>
    <w:rsid w:val="002A168D"/>
    <w:rsid w:val="002A2667"/>
    <w:rsid w:val="002A3B8D"/>
    <w:rsid w:val="002A4A75"/>
    <w:rsid w:val="002A56D3"/>
    <w:rsid w:val="002A6059"/>
    <w:rsid w:val="002A683A"/>
    <w:rsid w:val="002B186A"/>
    <w:rsid w:val="002B1BA5"/>
    <w:rsid w:val="002B3711"/>
    <w:rsid w:val="002B4A4B"/>
    <w:rsid w:val="002B6B66"/>
    <w:rsid w:val="002C13AE"/>
    <w:rsid w:val="002C2914"/>
    <w:rsid w:val="002C2C53"/>
    <w:rsid w:val="002D2EA1"/>
    <w:rsid w:val="002D6DC6"/>
    <w:rsid w:val="002D7543"/>
    <w:rsid w:val="002E34F4"/>
    <w:rsid w:val="002E35C4"/>
    <w:rsid w:val="002E4DCA"/>
    <w:rsid w:val="002E7ADA"/>
    <w:rsid w:val="002F2363"/>
    <w:rsid w:val="002F34ED"/>
    <w:rsid w:val="002F3755"/>
    <w:rsid w:val="002F4354"/>
    <w:rsid w:val="002F7932"/>
    <w:rsid w:val="002F7F41"/>
    <w:rsid w:val="003006C3"/>
    <w:rsid w:val="00301FF5"/>
    <w:rsid w:val="00302514"/>
    <w:rsid w:val="003047BC"/>
    <w:rsid w:val="00307917"/>
    <w:rsid w:val="00310479"/>
    <w:rsid w:val="003107F2"/>
    <w:rsid w:val="00316329"/>
    <w:rsid w:val="00322583"/>
    <w:rsid w:val="0032410E"/>
    <w:rsid w:val="003250A1"/>
    <w:rsid w:val="0032527C"/>
    <w:rsid w:val="003277C1"/>
    <w:rsid w:val="0032789C"/>
    <w:rsid w:val="00332339"/>
    <w:rsid w:val="00332DA4"/>
    <w:rsid w:val="003371DD"/>
    <w:rsid w:val="00341425"/>
    <w:rsid w:val="00341BB0"/>
    <w:rsid w:val="0034305B"/>
    <w:rsid w:val="00344AF5"/>
    <w:rsid w:val="00344DD2"/>
    <w:rsid w:val="00351EEF"/>
    <w:rsid w:val="00352CC2"/>
    <w:rsid w:val="00365766"/>
    <w:rsid w:val="00365F56"/>
    <w:rsid w:val="00367EAB"/>
    <w:rsid w:val="0037368A"/>
    <w:rsid w:val="00375107"/>
    <w:rsid w:val="0037517D"/>
    <w:rsid w:val="003822F9"/>
    <w:rsid w:val="00383128"/>
    <w:rsid w:val="00384E3C"/>
    <w:rsid w:val="00385323"/>
    <w:rsid w:val="0039130B"/>
    <w:rsid w:val="00391E7C"/>
    <w:rsid w:val="0039201C"/>
    <w:rsid w:val="0039329F"/>
    <w:rsid w:val="00393589"/>
    <w:rsid w:val="00393A4C"/>
    <w:rsid w:val="0039773B"/>
    <w:rsid w:val="003A137B"/>
    <w:rsid w:val="003A3932"/>
    <w:rsid w:val="003A74F5"/>
    <w:rsid w:val="003B24CA"/>
    <w:rsid w:val="003B2B02"/>
    <w:rsid w:val="003B695A"/>
    <w:rsid w:val="003C1ECC"/>
    <w:rsid w:val="003C4B74"/>
    <w:rsid w:val="003C601B"/>
    <w:rsid w:val="003C637D"/>
    <w:rsid w:val="003D10C3"/>
    <w:rsid w:val="003D1A22"/>
    <w:rsid w:val="003D2F1F"/>
    <w:rsid w:val="003D3CD2"/>
    <w:rsid w:val="003D7052"/>
    <w:rsid w:val="003D7C63"/>
    <w:rsid w:val="003E074D"/>
    <w:rsid w:val="003E0D66"/>
    <w:rsid w:val="003E1AEE"/>
    <w:rsid w:val="003E1D99"/>
    <w:rsid w:val="003E4007"/>
    <w:rsid w:val="003E5FD7"/>
    <w:rsid w:val="003E6C02"/>
    <w:rsid w:val="003E707A"/>
    <w:rsid w:val="003F3D6D"/>
    <w:rsid w:val="003F4084"/>
    <w:rsid w:val="003F77E0"/>
    <w:rsid w:val="00400057"/>
    <w:rsid w:val="004014D1"/>
    <w:rsid w:val="00401F12"/>
    <w:rsid w:val="00402C6E"/>
    <w:rsid w:val="00402E2F"/>
    <w:rsid w:val="00403A87"/>
    <w:rsid w:val="00407D88"/>
    <w:rsid w:val="004109FD"/>
    <w:rsid w:val="004110F4"/>
    <w:rsid w:val="0041394C"/>
    <w:rsid w:val="00417C8A"/>
    <w:rsid w:val="0042557D"/>
    <w:rsid w:val="00426003"/>
    <w:rsid w:val="004265DC"/>
    <w:rsid w:val="004350B7"/>
    <w:rsid w:val="0043766D"/>
    <w:rsid w:val="00442935"/>
    <w:rsid w:val="00443EF9"/>
    <w:rsid w:val="0044422F"/>
    <w:rsid w:val="00445C1C"/>
    <w:rsid w:val="00447789"/>
    <w:rsid w:val="00453E58"/>
    <w:rsid w:val="00456BFE"/>
    <w:rsid w:val="00457231"/>
    <w:rsid w:val="00460783"/>
    <w:rsid w:val="00460793"/>
    <w:rsid w:val="00460FFF"/>
    <w:rsid w:val="00461637"/>
    <w:rsid w:val="00464359"/>
    <w:rsid w:val="0046641D"/>
    <w:rsid w:val="00471407"/>
    <w:rsid w:val="0047288D"/>
    <w:rsid w:val="00473B61"/>
    <w:rsid w:val="00475448"/>
    <w:rsid w:val="00476044"/>
    <w:rsid w:val="00476C0B"/>
    <w:rsid w:val="00477EFE"/>
    <w:rsid w:val="004819EC"/>
    <w:rsid w:val="00485D92"/>
    <w:rsid w:val="00485E04"/>
    <w:rsid w:val="00491BAA"/>
    <w:rsid w:val="00493386"/>
    <w:rsid w:val="0049338D"/>
    <w:rsid w:val="00493D3A"/>
    <w:rsid w:val="00497699"/>
    <w:rsid w:val="00497DB2"/>
    <w:rsid w:val="004A0174"/>
    <w:rsid w:val="004A236E"/>
    <w:rsid w:val="004A3800"/>
    <w:rsid w:val="004A3B13"/>
    <w:rsid w:val="004A7A78"/>
    <w:rsid w:val="004A7E8E"/>
    <w:rsid w:val="004B0D4F"/>
    <w:rsid w:val="004B10B4"/>
    <w:rsid w:val="004B11F1"/>
    <w:rsid w:val="004B5136"/>
    <w:rsid w:val="004B60FE"/>
    <w:rsid w:val="004B7777"/>
    <w:rsid w:val="004C0238"/>
    <w:rsid w:val="004C0EE6"/>
    <w:rsid w:val="004C55EA"/>
    <w:rsid w:val="004C57AD"/>
    <w:rsid w:val="004D0304"/>
    <w:rsid w:val="004D0EA8"/>
    <w:rsid w:val="004D1769"/>
    <w:rsid w:val="004D2D24"/>
    <w:rsid w:val="004D314A"/>
    <w:rsid w:val="004D3BFF"/>
    <w:rsid w:val="004D43F1"/>
    <w:rsid w:val="004D4938"/>
    <w:rsid w:val="004D5FE6"/>
    <w:rsid w:val="004E1393"/>
    <w:rsid w:val="004E1AB8"/>
    <w:rsid w:val="004E2D4B"/>
    <w:rsid w:val="004E3401"/>
    <w:rsid w:val="004E4899"/>
    <w:rsid w:val="004E677D"/>
    <w:rsid w:val="004E72BD"/>
    <w:rsid w:val="004F3734"/>
    <w:rsid w:val="004F52C8"/>
    <w:rsid w:val="004F69CA"/>
    <w:rsid w:val="004F7507"/>
    <w:rsid w:val="004F7940"/>
    <w:rsid w:val="004F7995"/>
    <w:rsid w:val="00501F86"/>
    <w:rsid w:val="005041C0"/>
    <w:rsid w:val="00507E5F"/>
    <w:rsid w:val="00510240"/>
    <w:rsid w:val="00513CC0"/>
    <w:rsid w:val="00513DE6"/>
    <w:rsid w:val="005144B2"/>
    <w:rsid w:val="00515CA8"/>
    <w:rsid w:val="00517733"/>
    <w:rsid w:val="00524FD6"/>
    <w:rsid w:val="00527E1C"/>
    <w:rsid w:val="00531304"/>
    <w:rsid w:val="00532B8E"/>
    <w:rsid w:val="00534C78"/>
    <w:rsid w:val="005353DF"/>
    <w:rsid w:val="00535533"/>
    <w:rsid w:val="005356FA"/>
    <w:rsid w:val="00536FBF"/>
    <w:rsid w:val="0054018C"/>
    <w:rsid w:val="005410A0"/>
    <w:rsid w:val="00544130"/>
    <w:rsid w:val="00545F40"/>
    <w:rsid w:val="00551BC6"/>
    <w:rsid w:val="0055544C"/>
    <w:rsid w:val="00555780"/>
    <w:rsid w:val="0056065C"/>
    <w:rsid w:val="00562B70"/>
    <w:rsid w:val="005630DC"/>
    <w:rsid w:val="005638A7"/>
    <w:rsid w:val="0057066B"/>
    <w:rsid w:val="00571FA2"/>
    <w:rsid w:val="00572BAD"/>
    <w:rsid w:val="00573BCB"/>
    <w:rsid w:val="005742E4"/>
    <w:rsid w:val="005748C5"/>
    <w:rsid w:val="00575976"/>
    <w:rsid w:val="00576529"/>
    <w:rsid w:val="00576EFE"/>
    <w:rsid w:val="005770CA"/>
    <w:rsid w:val="00577A25"/>
    <w:rsid w:val="00580D20"/>
    <w:rsid w:val="0058593E"/>
    <w:rsid w:val="00586C3A"/>
    <w:rsid w:val="005879E7"/>
    <w:rsid w:val="00591190"/>
    <w:rsid w:val="00591584"/>
    <w:rsid w:val="00593712"/>
    <w:rsid w:val="00594838"/>
    <w:rsid w:val="00594CDD"/>
    <w:rsid w:val="00597EFF"/>
    <w:rsid w:val="005A32FB"/>
    <w:rsid w:val="005A3E6E"/>
    <w:rsid w:val="005A5734"/>
    <w:rsid w:val="005A7A4A"/>
    <w:rsid w:val="005B04AD"/>
    <w:rsid w:val="005B180C"/>
    <w:rsid w:val="005B3BD9"/>
    <w:rsid w:val="005B73E4"/>
    <w:rsid w:val="005C3154"/>
    <w:rsid w:val="005C3A22"/>
    <w:rsid w:val="005C54A7"/>
    <w:rsid w:val="005C6F10"/>
    <w:rsid w:val="005C75BD"/>
    <w:rsid w:val="005C7B81"/>
    <w:rsid w:val="005D1C29"/>
    <w:rsid w:val="005D2AD8"/>
    <w:rsid w:val="005D2F62"/>
    <w:rsid w:val="005D34F1"/>
    <w:rsid w:val="005D6575"/>
    <w:rsid w:val="005E17B1"/>
    <w:rsid w:val="005E282B"/>
    <w:rsid w:val="005E47C2"/>
    <w:rsid w:val="005E68E7"/>
    <w:rsid w:val="005F12CF"/>
    <w:rsid w:val="005F5691"/>
    <w:rsid w:val="005F56B6"/>
    <w:rsid w:val="005F5C0E"/>
    <w:rsid w:val="005F6FB7"/>
    <w:rsid w:val="005F78A5"/>
    <w:rsid w:val="00604AC3"/>
    <w:rsid w:val="00604AFD"/>
    <w:rsid w:val="00607E60"/>
    <w:rsid w:val="006120C0"/>
    <w:rsid w:val="0061420E"/>
    <w:rsid w:val="00615BAF"/>
    <w:rsid w:val="00625BC2"/>
    <w:rsid w:val="006274B2"/>
    <w:rsid w:val="00627C1A"/>
    <w:rsid w:val="00634D56"/>
    <w:rsid w:val="006351A3"/>
    <w:rsid w:val="006378C9"/>
    <w:rsid w:val="0064030A"/>
    <w:rsid w:val="006407C7"/>
    <w:rsid w:val="00640BC9"/>
    <w:rsid w:val="00651F43"/>
    <w:rsid w:val="0065479D"/>
    <w:rsid w:val="00654C09"/>
    <w:rsid w:val="006555A5"/>
    <w:rsid w:val="0066173E"/>
    <w:rsid w:val="0067055F"/>
    <w:rsid w:val="00670F5B"/>
    <w:rsid w:val="00673111"/>
    <w:rsid w:val="00673489"/>
    <w:rsid w:val="00675C4B"/>
    <w:rsid w:val="006839B6"/>
    <w:rsid w:val="006843E1"/>
    <w:rsid w:val="00684AB4"/>
    <w:rsid w:val="00685848"/>
    <w:rsid w:val="0068710C"/>
    <w:rsid w:val="00687CBB"/>
    <w:rsid w:val="00690ADC"/>
    <w:rsid w:val="006936A5"/>
    <w:rsid w:val="006948E4"/>
    <w:rsid w:val="00694B34"/>
    <w:rsid w:val="00694D00"/>
    <w:rsid w:val="006952FD"/>
    <w:rsid w:val="006A1906"/>
    <w:rsid w:val="006A2651"/>
    <w:rsid w:val="006A2DF1"/>
    <w:rsid w:val="006A5608"/>
    <w:rsid w:val="006A69A8"/>
    <w:rsid w:val="006A6B5E"/>
    <w:rsid w:val="006A7CC9"/>
    <w:rsid w:val="006B183A"/>
    <w:rsid w:val="006B3555"/>
    <w:rsid w:val="006B6B67"/>
    <w:rsid w:val="006C002F"/>
    <w:rsid w:val="006C02F5"/>
    <w:rsid w:val="006C1276"/>
    <w:rsid w:val="006C2709"/>
    <w:rsid w:val="006C340B"/>
    <w:rsid w:val="006C5FEF"/>
    <w:rsid w:val="006C7EB3"/>
    <w:rsid w:val="006E51D3"/>
    <w:rsid w:val="006E61CD"/>
    <w:rsid w:val="006E64A5"/>
    <w:rsid w:val="006E6C77"/>
    <w:rsid w:val="006E6EC1"/>
    <w:rsid w:val="006E797A"/>
    <w:rsid w:val="006F0A0C"/>
    <w:rsid w:val="006F2510"/>
    <w:rsid w:val="006F2DCF"/>
    <w:rsid w:val="006F3196"/>
    <w:rsid w:val="006F3A0F"/>
    <w:rsid w:val="007014C0"/>
    <w:rsid w:val="00702458"/>
    <w:rsid w:val="0070347A"/>
    <w:rsid w:val="007067A3"/>
    <w:rsid w:val="00707395"/>
    <w:rsid w:val="007122EB"/>
    <w:rsid w:val="0071295A"/>
    <w:rsid w:val="00715B4E"/>
    <w:rsid w:val="00716947"/>
    <w:rsid w:val="00717545"/>
    <w:rsid w:val="007214C4"/>
    <w:rsid w:val="007216F6"/>
    <w:rsid w:val="00721BF4"/>
    <w:rsid w:val="007256E8"/>
    <w:rsid w:val="0072764B"/>
    <w:rsid w:val="00727E2C"/>
    <w:rsid w:val="007327FF"/>
    <w:rsid w:val="00732BED"/>
    <w:rsid w:val="007402C2"/>
    <w:rsid w:val="007402D5"/>
    <w:rsid w:val="00740EED"/>
    <w:rsid w:val="00741C55"/>
    <w:rsid w:val="00742239"/>
    <w:rsid w:val="007435B2"/>
    <w:rsid w:val="00743C5C"/>
    <w:rsid w:val="0075094E"/>
    <w:rsid w:val="007523A2"/>
    <w:rsid w:val="007529EB"/>
    <w:rsid w:val="00756A31"/>
    <w:rsid w:val="00757BAC"/>
    <w:rsid w:val="00761149"/>
    <w:rsid w:val="00762B5C"/>
    <w:rsid w:val="007642F1"/>
    <w:rsid w:val="00765625"/>
    <w:rsid w:val="00765839"/>
    <w:rsid w:val="007673AC"/>
    <w:rsid w:val="007715B9"/>
    <w:rsid w:val="00771654"/>
    <w:rsid w:val="00772AC2"/>
    <w:rsid w:val="00772E56"/>
    <w:rsid w:val="00773A2C"/>
    <w:rsid w:val="00775269"/>
    <w:rsid w:val="00777C1A"/>
    <w:rsid w:val="007822C3"/>
    <w:rsid w:val="0078437D"/>
    <w:rsid w:val="00784810"/>
    <w:rsid w:val="0078729C"/>
    <w:rsid w:val="00787752"/>
    <w:rsid w:val="0079125D"/>
    <w:rsid w:val="0079412B"/>
    <w:rsid w:val="00794F1B"/>
    <w:rsid w:val="007A06F3"/>
    <w:rsid w:val="007A0D77"/>
    <w:rsid w:val="007A4FF4"/>
    <w:rsid w:val="007A5361"/>
    <w:rsid w:val="007B0001"/>
    <w:rsid w:val="007B30D1"/>
    <w:rsid w:val="007B41C2"/>
    <w:rsid w:val="007B58B1"/>
    <w:rsid w:val="007C2503"/>
    <w:rsid w:val="007C2B7A"/>
    <w:rsid w:val="007C4982"/>
    <w:rsid w:val="007C5716"/>
    <w:rsid w:val="007C7957"/>
    <w:rsid w:val="007D16D8"/>
    <w:rsid w:val="007D3E95"/>
    <w:rsid w:val="007D4361"/>
    <w:rsid w:val="007D5EF2"/>
    <w:rsid w:val="007D7005"/>
    <w:rsid w:val="007E2ABC"/>
    <w:rsid w:val="007E765C"/>
    <w:rsid w:val="007E76C0"/>
    <w:rsid w:val="007F0976"/>
    <w:rsid w:val="007F1137"/>
    <w:rsid w:val="007F168D"/>
    <w:rsid w:val="007F5965"/>
    <w:rsid w:val="007F5C97"/>
    <w:rsid w:val="00800E5F"/>
    <w:rsid w:val="00802471"/>
    <w:rsid w:val="008030DC"/>
    <w:rsid w:val="008074C2"/>
    <w:rsid w:val="008125CD"/>
    <w:rsid w:val="00813057"/>
    <w:rsid w:val="00815230"/>
    <w:rsid w:val="008162E1"/>
    <w:rsid w:val="00817564"/>
    <w:rsid w:val="00817EB6"/>
    <w:rsid w:val="0082016A"/>
    <w:rsid w:val="008208C9"/>
    <w:rsid w:val="0082176B"/>
    <w:rsid w:val="00821954"/>
    <w:rsid w:val="008219AD"/>
    <w:rsid w:val="00822072"/>
    <w:rsid w:val="00822430"/>
    <w:rsid w:val="008231ED"/>
    <w:rsid w:val="0082403F"/>
    <w:rsid w:val="0082455A"/>
    <w:rsid w:val="008249F4"/>
    <w:rsid w:val="00825C61"/>
    <w:rsid w:val="00827B30"/>
    <w:rsid w:val="0083255C"/>
    <w:rsid w:val="008325F0"/>
    <w:rsid w:val="00834788"/>
    <w:rsid w:val="008361DD"/>
    <w:rsid w:val="0084038A"/>
    <w:rsid w:val="008424CD"/>
    <w:rsid w:val="00842B03"/>
    <w:rsid w:val="00842C80"/>
    <w:rsid w:val="00844C90"/>
    <w:rsid w:val="0084613D"/>
    <w:rsid w:val="008470DA"/>
    <w:rsid w:val="00852B2E"/>
    <w:rsid w:val="00855223"/>
    <w:rsid w:val="008557E8"/>
    <w:rsid w:val="00863478"/>
    <w:rsid w:val="00863945"/>
    <w:rsid w:val="008645BA"/>
    <w:rsid w:val="00866957"/>
    <w:rsid w:val="0087237B"/>
    <w:rsid w:val="00875064"/>
    <w:rsid w:val="008800C8"/>
    <w:rsid w:val="0088347A"/>
    <w:rsid w:val="00884445"/>
    <w:rsid w:val="0088469B"/>
    <w:rsid w:val="00886234"/>
    <w:rsid w:val="008863D4"/>
    <w:rsid w:val="00886634"/>
    <w:rsid w:val="00886F6E"/>
    <w:rsid w:val="008872F4"/>
    <w:rsid w:val="00887B6B"/>
    <w:rsid w:val="00887B85"/>
    <w:rsid w:val="00890DCD"/>
    <w:rsid w:val="00893250"/>
    <w:rsid w:val="008946AF"/>
    <w:rsid w:val="00894A0A"/>
    <w:rsid w:val="008A5161"/>
    <w:rsid w:val="008B2C10"/>
    <w:rsid w:val="008B43D4"/>
    <w:rsid w:val="008C2335"/>
    <w:rsid w:val="008C4325"/>
    <w:rsid w:val="008C4B7C"/>
    <w:rsid w:val="008C4E5B"/>
    <w:rsid w:val="008C764A"/>
    <w:rsid w:val="008D4AB1"/>
    <w:rsid w:val="008D5D27"/>
    <w:rsid w:val="008D7471"/>
    <w:rsid w:val="008D7B31"/>
    <w:rsid w:val="008E19EE"/>
    <w:rsid w:val="008E316D"/>
    <w:rsid w:val="008F03D5"/>
    <w:rsid w:val="008F07DF"/>
    <w:rsid w:val="008F3679"/>
    <w:rsid w:val="008F7FE3"/>
    <w:rsid w:val="0090287D"/>
    <w:rsid w:val="00903719"/>
    <w:rsid w:val="00907637"/>
    <w:rsid w:val="00912BD2"/>
    <w:rsid w:val="0092030F"/>
    <w:rsid w:val="00921B7F"/>
    <w:rsid w:val="00926541"/>
    <w:rsid w:val="009271D3"/>
    <w:rsid w:val="009309E4"/>
    <w:rsid w:val="00933465"/>
    <w:rsid w:val="00933FD9"/>
    <w:rsid w:val="00934ED5"/>
    <w:rsid w:val="00936426"/>
    <w:rsid w:val="00936632"/>
    <w:rsid w:val="009368B1"/>
    <w:rsid w:val="00937C31"/>
    <w:rsid w:val="009415ED"/>
    <w:rsid w:val="00942304"/>
    <w:rsid w:val="00942EFD"/>
    <w:rsid w:val="00943854"/>
    <w:rsid w:val="009467C5"/>
    <w:rsid w:val="00947FE6"/>
    <w:rsid w:val="00952269"/>
    <w:rsid w:val="00953507"/>
    <w:rsid w:val="009557D2"/>
    <w:rsid w:val="009568DF"/>
    <w:rsid w:val="009639DC"/>
    <w:rsid w:val="00963B11"/>
    <w:rsid w:val="0096450C"/>
    <w:rsid w:val="009700D6"/>
    <w:rsid w:val="00970F9E"/>
    <w:rsid w:val="009712BD"/>
    <w:rsid w:val="009734FE"/>
    <w:rsid w:val="00975C87"/>
    <w:rsid w:val="009767AA"/>
    <w:rsid w:val="009771BF"/>
    <w:rsid w:val="009845E5"/>
    <w:rsid w:val="009924D5"/>
    <w:rsid w:val="00995623"/>
    <w:rsid w:val="00997ACE"/>
    <w:rsid w:val="009A055C"/>
    <w:rsid w:val="009A2940"/>
    <w:rsid w:val="009A373E"/>
    <w:rsid w:val="009A5E9D"/>
    <w:rsid w:val="009A6D6D"/>
    <w:rsid w:val="009B0202"/>
    <w:rsid w:val="009B206E"/>
    <w:rsid w:val="009B55F5"/>
    <w:rsid w:val="009B6173"/>
    <w:rsid w:val="009C31D9"/>
    <w:rsid w:val="009C3B05"/>
    <w:rsid w:val="009C4D5D"/>
    <w:rsid w:val="009C675C"/>
    <w:rsid w:val="009C725B"/>
    <w:rsid w:val="009C76D3"/>
    <w:rsid w:val="009C7A7B"/>
    <w:rsid w:val="009D13D6"/>
    <w:rsid w:val="009D1860"/>
    <w:rsid w:val="009D3E5A"/>
    <w:rsid w:val="009D5067"/>
    <w:rsid w:val="009D5C27"/>
    <w:rsid w:val="009D744F"/>
    <w:rsid w:val="009E5CF3"/>
    <w:rsid w:val="009E6D86"/>
    <w:rsid w:val="009E7112"/>
    <w:rsid w:val="009E76F3"/>
    <w:rsid w:val="009F2278"/>
    <w:rsid w:val="009F3AC5"/>
    <w:rsid w:val="009F42EB"/>
    <w:rsid w:val="009F51CF"/>
    <w:rsid w:val="009F5CDD"/>
    <w:rsid w:val="009F7BA6"/>
    <w:rsid w:val="00A00EB8"/>
    <w:rsid w:val="00A02D79"/>
    <w:rsid w:val="00A045B9"/>
    <w:rsid w:val="00A0629A"/>
    <w:rsid w:val="00A06CFD"/>
    <w:rsid w:val="00A104CE"/>
    <w:rsid w:val="00A10B9C"/>
    <w:rsid w:val="00A12742"/>
    <w:rsid w:val="00A15C91"/>
    <w:rsid w:val="00A17175"/>
    <w:rsid w:val="00A200B6"/>
    <w:rsid w:val="00A2031E"/>
    <w:rsid w:val="00A20377"/>
    <w:rsid w:val="00A20F2A"/>
    <w:rsid w:val="00A216B1"/>
    <w:rsid w:val="00A23AEE"/>
    <w:rsid w:val="00A23D3B"/>
    <w:rsid w:val="00A25118"/>
    <w:rsid w:val="00A26379"/>
    <w:rsid w:val="00A27EE2"/>
    <w:rsid w:val="00A35C4D"/>
    <w:rsid w:val="00A36FB8"/>
    <w:rsid w:val="00A37EE1"/>
    <w:rsid w:val="00A41EAC"/>
    <w:rsid w:val="00A42B9E"/>
    <w:rsid w:val="00A43CFC"/>
    <w:rsid w:val="00A45761"/>
    <w:rsid w:val="00A4609C"/>
    <w:rsid w:val="00A5081D"/>
    <w:rsid w:val="00A51156"/>
    <w:rsid w:val="00A5358B"/>
    <w:rsid w:val="00A55F87"/>
    <w:rsid w:val="00A56E2E"/>
    <w:rsid w:val="00A62FBC"/>
    <w:rsid w:val="00A67226"/>
    <w:rsid w:val="00A67984"/>
    <w:rsid w:val="00A7154B"/>
    <w:rsid w:val="00A74C0F"/>
    <w:rsid w:val="00A773A7"/>
    <w:rsid w:val="00A839B8"/>
    <w:rsid w:val="00A84FC6"/>
    <w:rsid w:val="00A85F03"/>
    <w:rsid w:val="00A86340"/>
    <w:rsid w:val="00A9044C"/>
    <w:rsid w:val="00A90951"/>
    <w:rsid w:val="00A9106B"/>
    <w:rsid w:val="00A91DF6"/>
    <w:rsid w:val="00A91F9A"/>
    <w:rsid w:val="00A94DF2"/>
    <w:rsid w:val="00A95DBC"/>
    <w:rsid w:val="00A95EEB"/>
    <w:rsid w:val="00A96926"/>
    <w:rsid w:val="00AA17DC"/>
    <w:rsid w:val="00AA3240"/>
    <w:rsid w:val="00AA7A18"/>
    <w:rsid w:val="00AB1A5D"/>
    <w:rsid w:val="00AB29D3"/>
    <w:rsid w:val="00AB39F3"/>
    <w:rsid w:val="00AB454D"/>
    <w:rsid w:val="00AB51E2"/>
    <w:rsid w:val="00AC021E"/>
    <w:rsid w:val="00AC2B19"/>
    <w:rsid w:val="00AC3A1C"/>
    <w:rsid w:val="00AC4A89"/>
    <w:rsid w:val="00AE10F8"/>
    <w:rsid w:val="00AE1B40"/>
    <w:rsid w:val="00AE2ED6"/>
    <w:rsid w:val="00AF039F"/>
    <w:rsid w:val="00AF114B"/>
    <w:rsid w:val="00AF4A99"/>
    <w:rsid w:val="00AF771C"/>
    <w:rsid w:val="00B00F7A"/>
    <w:rsid w:val="00B012D5"/>
    <w:rsid w:val="00B0216A"/>
    <w:rsid w:val="00B0332B"/>
    <w:rsid w:val="00B10EF6"/>
    <w:rsid w:val="00B127DA"/>
    <w:rsid w:val="00B12ECD"/>
    <w:rsid w:val="00B14C0B"/>
    <w:rsid w:val="00B15362"/>
    <w:rsid w:val="00B21295"/>
    <w:rsid w:val="00B2146D"/>
    <w:rsid w:val="00B22B64"/>
    <w:rsid w:val="00B257CC"/>
    <w:rsid w:val="00B25D56"/>
    <w:rsid w:val="00B3313A"/>
    <w:rsid w:val="00B34302"/>
    <w:rsid w:val="00B36043"/>
    <w:rsid w:val="00B37734"/>
    <w:rsid w:val="00B3781D"/>
    <w:rsid w:val="00B37BCC"/>
    <w:rsid w:val="00B40043"/>
    <w:rsid w:val="00B41870"/>
    <w:rsid w:val="00B456E4"/>
    <w:rsid w:val="00B55441"/>
    <w:rsid w:val="00B55791"/>
    <w:rsid w:val="00B63318"/>
    <w:rsid w:val="00B65EC8"/>
    <w:rsid w:val="00B664CE"/>
    <w:rsid w:val="00B66DC1"/>
    <w:rsid w:val="00B73012"/>
    <w:rsid w:val="00B743E0"/>
    <w:rsid w:val="00B756A4"/>
    <w:rsid w:val="00B8043F"/>
    <w:rsid w:val="00B80813"/>
    <w:rsid w:val="00B80D7B"/>
    <w:rsid w:val="00B82339"/>
    <w:rsid w:val="00B85C74"/>
    <w:rsid w:val="00B91124"/>
    <w:rsid w:val="00B9180C"/>
    <w:rsid w:val="00B94480"/>
    <w:rsid w:val="00BA189E"/>
    <w:rsid w:val="00BA35D6"/>
    <w:rsid w:val="00BA4252"/>
    <w:rsid w:val="00BA683A"/>
    <w:rsid w:val="00BB1D3E"/>
    <w:rsid w:val="00BB7664"/>
    <w:rsid w:val="00BC02D7"/>
    <w:rsid w:val="00BC084E"/>
    <w:rsid w:val="00BC3D6F"/>
    <w:rsid w:val="00BC3E78"/>
    <w:rsid w:val="00BC561A"/>
    <w:rsid w:val="00BC61AC"/>
    <w:rsid w:val="00BC6CE9"/>
    <w:rsid w:val="00BD0EBD"/>
    <w:rsid w:val="00BD1A67"/>
    <w:rsid w:val="00BD4C35"/>
    <w:rsid w:val="00BD53CF"/>
    <w:rsid w:val="00BE483D"/>
    <w:rsid w:val="00BE6FA5"/>
    <w:rsid w:val="00BE7F5D"/>
    <w:rsid w:val="00BF28ED"/>
    <w:rsid w:val="00BF4FB3"/>
    <w:rsid w:val="00BF622F"/>
    <w:rsid w:val="00C0150B"/>
    <w:rsid w:val="00C036EC"/>
    <w:rsid w:val="00C0598F"/>
    <w:rsid w:val="00C05D83"/>
    <w:rsid w:val="00C12655"/>
    <w:rsid w:val="00C13CEC"/>
    <w:rsid w:val="00C13CF5"/>
    <w:rsid w:val="00C141DB"/>
    <w:rsid w:val="00C1781A"/>
    <w:rsid w:val="00C17AE3"/>
    <w:rsid w:val="00C2059D"/>
    <w:rsid w:val="00C20DC8"/>
    <w:rsid w:val="00C300F2"/>
    <w:rsid w:val="00C31EB2"/>
    <w:rsid w:val="00C320DF"/>
    <w:rsid w:val="00C329C3"/>
    <w:rsid w:val="00C34C64"/>
    <w:rsid w:val="00C35249"/>
    <w:rsid w:val="00C354E9"/>
    <w:rsid w:val="00C4126C"/>
    <w:rsid w:val="00C42C40"/>
    <w:rsid w:val="00C605C8"/>
    <w:rsid w:val="00C62563"/>
    <w:rsid w:val="00C6395F"/>
    <w:rsid w:val="00C649BC"/>
    <w:rsid w:val="00C66EE6"/>
    <w:rsid w:val="00C670AB"/>
    <w:rsid w:val="00C721C3"/>
    <w:rsid w:val="00C774E9"/>
    <w:rsid w:val="00C80B5B"/>
    <w:rsid w:val="00C83068"/>
    <w:rsid w:val="00C83429"/>
    <w:rsid w:val="00C8410F"/>
    <w:rsid w:val="00C8637A"/>
    <w:rsid w:val="00C86A0C"/>
    <w:rsid w:val="00C86A0E"/>
    <w:rsid w:val="00C90ECA"/>
    <w:rsid w:val="00C93022"/>
    <w:rsid w:val="00C93F19"/>
    <w:rsid w:val="00C946D2"/>
    <w:rsid w:val="00C965A6"/>
    <w:rsid w:val="00C9797C"/>
    <w:rsid w:val="00CA45AE"/>
    <w:rsid w:val="00CA6080"/>
    <w:rsid w:val="00CA61D7"/>
    <w:rsid w:val="00CA6904"/>
    <w:rsid w:val="00CA70BF"/>
    <w:rsid w:val="00CA7348"/>
    <w:rsid w:val="00CB0873"/>
    <w:rsid w:val="00CB16E8"/>
    <w:rsid w:val="00CB364F"/>
    <w:rsid w:val="00CB7229"/>
    <w:rsid w:val="00CC0650"/>
    <w:rsid w:val="00CC1D36"/>
    <w:rsid w:val="00CC1FA7"/>
    <w:rsid w:val="00CC2FC0"/>
    <w:rsid w:val="00CC346D"/>
    <w:rsid w:val="00CC446E"/>
    <w:rsid w:val="00CC6070"/>
    <w:rsid w:val="00CD0975"/>
    <w:rsid w:val="00CD1129"/>
    <w:rsid w:val="00CD1CAB"/>
    <w:rsid w:val="00CD3E5C"/>
    <w:rsid w:val="00CD6561"/>
    <w:rsid w:val="00CD6E50"/>
    <w:rsid w:val="00CE3AD7"/>
    <w:rsid w:val="00CE50F5"/>
    <w:rsid w:val="00CE594B"/>
    <w:rsid w:val="00CE6322"/>
    <w:rsid w:val="00CF33C3"/>
    <w:rsid w:val="00CF438E"/>
    <w:rsid w:val="00CF4AA7"/>
    <w:rsid w:val="00CF6F1F"/>
    <w:rsid w:val="00CF7F2A"/>
    <w:rsid w:val="00CF7F8F"/>
    <w:rsid w:val="00D019ED"/>
    <w:rsid w:val="00D026F7"/>
    <w:rsid w:val="00D03ECA"/>
    <w:rsid w:val="00D05BBB"/>
    <w:rsid w:val="00D060D7"/>
    <w:rsid w:val="00D06243"/>
    <w:rsid w:val="00D122A8"/>
    <w:rsid w:val="00D126C3"/>
    <w:rsid w:val="00D1344D"/>
    <w:rsid w:val="00D1373D"/>
    <w:rsid w:val="00D13ABF"/>
    <w:rsid w:val="00D13E6E"/>
    <w:rsid w:val="00D200E4"/>
    <w:rsid w:val="00D2049A"/>
    <w:rsid w:val="00D24803"/>
    <w:rsid w:val="00D24ACD"/>
    <w:rsid w:val="00D26F6B"/>
    <w:rsid w:val="00D302C9"/>
    <w:rsid w:val="00D322B6"/>
    <w:rsid w:val="00D32C17"/>
    <w:rsid w:val="00D34E62"/>
    <w:rsid w:val="00D353FF"/>
    <w:rsid w:val="00D37823"/>
    <w:rsid w:val="00D37A5E"/>
    <w:rsid w:val="00D37EB5"/>
    <w:rsid w:val="00D414CC"/>
    <w:rsid w:val="00D44839"/>
    <w:rsid w:val="00D46886"/>
    <w:rsid w:val="00D47043"/>
    <w:rsid w:val="00D4777E"/>
    <w:rsid w:val="00D47915"/>
    <w:rsid w:val="00D47E4E"/>
    <w:rsid w:val="00D51479"/>
    <w:rsid w:val="00D54DCF"/>
    <w:rsid w:val="00D561D4"/>
    <w:rsid w:val="00D625F8"/>
    <w:rsid w:val="00D648EA"/>
    <w:rsid w:val="00D6551D"/>
    <w:rsid w:val="00D65D83"/>
    <w:rsid w:val="00D663C7"/>
    <w:rsid w:val="00D71952"/>
    <w:rsid w:val="00D73693"/>
    <w:rsid w:val="00D74A49"/>
    <w:rsid w:val="00D74A59"/>
    <w:rsid w:val="00D75A07"/>
    <w:rsid w:val="00D77455"/>
    <w:rsid w:val="00D83294"/>
    <w:rsid w:val="00D832F2"/>
    <w:rsid w:val="00D840D8"/>
    <w:rsid w:val="00D85827"/>
    <w:rsid w:val="00D86788"/>
    <w:rsid w:val="00D86C9A"/>
    <w:rsid w:val="00D910F0"/>
    <w:rsid w:val="00D92EA4"/>
    <w:rsid w:val="00D932AC"/>
    <w:rsid w:val="00D93A13"/>
    <w:rsid w:val="00D93A63"/>
    <w:rsid w:val="00D949A2"/>
    <w:rsid w:val="00D9594C"/>
    <w:rsid w:val="00DA0B33"/>
    <w:rsid w:val="00DA14E7"/>
    <w:rsid w:val="00DA2036"/>
    <w:rsid w:val="00DA3FC7"/>
    <w:rsid w:val="00DA4EC4"/>
    <w:rsid w:val="00DA4ED0"/>
    <w:rsid w:val="00DA55DB"/>
    <w:rsid w:val="00DA5D11"/>
    <w:rsid w:val="00DA662A"/>
    <w:rsid w:val="00DA7361"/>
    <w:rsid w:val="00DA7B21"/>
    <w:rsid w:val="00DA7BFE"/>
    <w:rsid w:val="00DB2FD1"/>
    <w:rsid w:val="00DB5C8F"/>
    <w:rsid w:val="00DB663C"/>
    <w:rsid w:val="00DB77E5"/>
    <w:rsid w:val="00DC10A7"/>
    <w:rsid w:val="00DC33B6"/>
    <w:rsid w:val="00DC4CE5"/>
    <w:rsid w:val="00DC5000"/>
    <w:rsid w:val="00DD11C2"/>
    <w:rsid w:val="00DD29D3"/>
    <w:rsid w:val="00DD3DA6"/>
    <w:rsid w:val="00DD48BB"/>
    <w:rsid w:val="00DD4B24"/>
    <w:rsid w:val="00DE0E2E"/>
    <w:rsid w:val="00DE12F4"/>
    <w:rsid w:val="00DE1DFC"/>
    <w:rsid w:val="00DE208C"/>
    <w:rsid w:val="00DF0068"/>
    <w:rsid w:val="00DF0438"/>
    <w:rsid w:val="00DF242A"/>
    <w:rsid w:val="00DF44D7"/>
    <w:rsid w:val="00DF4624"/>
    <w:rsid w:val="00DF46D3"/>
    <w:rsid w:val="00DF4743"/>
    <w:rsid w:val="00DF5BBB"/>
    <w:rsid w:val="00DF7701"/>
    <w:rsid w:val="00DF7B2B"/>
    <w:rsid w:val="00E01909"/>
    <w:rsid w:val="00E040D5"/>
    <w:rsid w:val="00E04FDF"/>
    <w:rsid w:val="00E05F15"/>
    <w:rsid w:val="00E07D2B"/>
    <w:rsid w:val="00E101C2"/>
    <w:rsid w:val="00E10531"/>
    <w:rsid w:val="00E1287E"/>
    <w:rsid w:val="00E1304F"/>
    <w:rsid w:val="00E13BC1"/>
    <w:rsid w:val="00E17D79"/>
    <w:rsid w:val="00E20A02"/>
    <w:rsid w:val="00E34DB1"/>
    <w:rsid w:val="00E35D90"/>
    <w:rsid w:val="00E3742A"/>
    <w:rsid w:val="00E42DE4"/>
    <w:rsid w:val="00E4434A"/>
    <w:rsid w:val="00E45EE2"/>
    <w:rsid w:val="00E46623"/>
    <w:rsid w:val="00E46C33"/>
    <w:rsid w:val="00E474E2"/>
    <w:rsid w:val="00E51323"/>
    <w:rsid w:val="00E51C1B"/>
    <w:rsid w:val="00E55306"/>
    <w:rsid w:val="00E55EB4"/>
    <w:rsid w:val="00E57296"/>
    <w:rsid w:val="00E622B2"/>
    <w:rsid w:val="00E65739"/>
    <w:rsid w:val="00E659A4"/>
    <w:rsid w:val="00E65A9B"/>
    <w:rsid w:val="00E65FBF"/>
    <w:rsid w:val="00E6685D"/>
    <w:rsid w:val="00E715C6"/>
    <w:rsid w:val="00E7370C"/>
    <w:rsid w:val="00E767D1"/>
    <w:rsid w:val="00E85789"/>
    <w:rsid w:val="00E90688"/>
    <w:rsid w:val="00E91B94"/>
    <w:rsid w:val="00E93356"/>
    <w:rsid w:val="00E96B50"/>
    <w:rsid w:val="00E97662"/>
    <w:rsid w:val="00E97A12"/>
    <w:rsid w:val="00EA0949"/>
    <w:rsid w:val="00EA37AB"/>
    <w:rsid w:val="00EA4736"/>
    <w:rsid w:val="00EA62B8"/>
    <w:rsid w:val="00EA6B0D"/>
    <w:rsid w:val="00EB0AE3"/>
    <w:rsid w:val="00EB4FA7"/>
    <w:rsid w:val="00EB6E88"/>
    <w:rsid w:val="00EB7174"/>
    <w:rsid w:val="00EB7E69"/>
    <w:rsid w:val="00EC155E"/>
    <w:rsid w:val="00EC2485"/>
    <w:rsid w:val="00EC3182"/>
    <w:rsid w:val="00EC3F23"/>
    <w:rsid w:val="00EC57BD"/>
    <w:rsid w:val="00EC6428"/>
    <w:rsid w:val="00EC6B06"/>
    <w:rsid w:val="00EC7697"/>
    <w:rsid w:val="00EC77D6"/>
    <w:rsid w:val="00ED15DC"/>
    <w:rsid w:val="00ED1F25"/>
    <w:rsid w:val="00ED3774"/>
    <w:rsid w:val="00ED3A71"/>
    <w:rsid w:val="00ED59B5"/>
    <w:rsid w:val="00ED758C"/>
    <w:rsid w:val="00EE06ED"/>
    <w:rsid w:val="00EE23B8"/>
    <w:rsid w:val="00EE4A3B"/>
    <w:rsid w:val="00EE54FE"/>
    <w:rsid w:val="00EE5E15"/>
    <w:rsid w:val="00EF16F9"/>
    <w:rsid w:val="00EF20FA"/>
    <w:rsid w:val="00F01C96"/>
    <w:rsid w:val="00F04DD9"/>
    <w:rsid w:val="00F0661F"/>
    <w:rsid w:val="00F12CBB"/>
    <w:rsid w:val="00F12D58"/>
    <w:rsid w:val="00F1355C"/>
    <w:rsid w:val="00F20CDD"/>
    <w:rsid w:val="00F24DC2"/>
    <w:rsid w:val="00F2566F"/>
    <w:rsid w:val="00F25E0D"/>
    <w:rsid w:val="00F30E51"/>
    <w:rsid w:val="00F320DF"/>
    <w:rsid w:val="00F32CF5"/>
    <w:rsid w:val="00F33527"/>
    <w:rsid w:val="00F35DF7"/>
    <w:rsid w:val="00F37F36"/>
    <w:rsid w:val="00F41632"/>
    <w:rsid w:val="00F42267"/>
    <w:rsid w:val="00F454C9"/>
    <w:rsid w:val="00F474BC"/>
    <w:rsid w:val="00F5295B"/>
    <w:rsid w:val="00F55C7F"/>
    <w:rsid w:val="00F57CCC"/>
    <w:rsid w:val="00F605A1"/>
    <w:rsid w:val="00F6137E"/>
    <w:rsid w:val="00F63771"/>
    <w:rsid w:val="00F63922"/>
    <w:rsid w:val="00F64E91"/>
    <w:rsid w:val="00F652EF"/>
    <w:rsid w:val="00F65C58"/>
    <w:rsid w:val="00F67524"/>
    <w:rsid w:val="00F70C83"/>
    <w:rsid w:val="00F71170"/>
    <w:rsid w:val="00F71564"/>
    <w:rsid w:val="00F725B1"/>
    <w:rsid w:val="00F76826"/>
    <w:rsid w:val="00F76A15"/>
    <w:rsid w:val="00F8151E"/>
    <w:rsid w:val="00F82E38"/>
    <w:rsid w:val="00F83C52"/>
    <w:rsid w:val="00F83CE1"/>
    <w:rsid w:val="00F85724"/>
    <w:rsid w:val="00F942DD"/>
    <w:rsid w:val="00FA0AAD"/>
    <w:rsid w:val="00FA4B2F"/>
    <w:rsid w:val="00FA7B29"/>
    <w:rsid w:val="00FB1D51"/>
    <w:rsid w:val="00FB1EB6"/>
    <w:rsid w:val="00FB5FF6"/>
    <w:rsid w:val="00FC02C4"/>
    <w:rsid w:val="00FC066F"/>
    <w:rsid w:val="00FC33BC"/>
    <w:rsid w:val="00FC4006"/>
    <w:rsid w:val="00FC5B79"/>
    <w:rsid w:val="00FC795C"/>
    <w:rsid w:val="00FC797D"/>
    <w:rsid w:val="00FD0219"/>
    <w:rsid w:val="00FD0273"/>
    <w:rsid w:val="00FD1858"/>
    <w:rsid w:val="00FD1910"/>
    <w:rsid w:val="00FD6C7E"/>
    <w:rsid w:val="00FD7110"/>
    <w:rsid w:val="00FE0EA4"/>
    <w:rsid w:val="00FE2674"/>
    <w:rsid w:val="00FE5E89"/>
    <w:rsid w:val="00FE7260"/>
    <w:rsid w:val="00FF0866"/>
    <w:rsid w:val="00FF0CA9"/>
    <w:rsid w:val="00FF2458"/>
    <w:rsid w:val="00FF431F"/>
    <w:rsid w:val="00FF68CA"/>
    <w:rsid w:val="00FF724C"/>
    <w:rsid w:val="00FF7BD2"/>
    <w:rsid w:val="1FB737FA"/>
    <w:rsid w:val="323957E3"/>
    <w:rsid w:val="33824A53"/>
    <w:rsid w:val="39FF360B"/>
    <w:rsid w:val="440334FC"/>
    <w:rsid w:val="478D1008"/>
    <w:rsid w:val="4F7FA9C3"/>
    <w:rsid w:val="5CFC576D"/>
    <w:rsid w:val="5EBBC18D"/>
    <w:rsid w:val="63BFDCB6"/>
    <w:rsid w:val="68DD0989"/>
    <w:rsid w:val="747F558B"/>
    <w:rsid w:val="78D61DF2"/>
    <w:rsid w:val="7AFDF13A"/>
    <w:rsid w:val="FBED3031"/>
    <w:rsid w:val="FBFBD438"/>
    <w:rsid w:val="FDD61CB6"/>
    <w:rsid w:val="FFFF35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iPriority="0" w:semiHidden="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51"/>
    <w:qFormat/>
    <w:uiPriority w:val="9"/>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3"/>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54"/>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55"/>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6"/>
    <w:qFormat/>
    <w:uiPriority w:val="0"/>
    <w:pPr>
      <w:keepNext/>
      <w:widowControl/>
      <w:numPr>
        <w:ilvl w:val="0"/>
        <w:numId w:val="4"/>
      </w:numPr>
      <w:jc w:val="left"/>
      <w:outlineLvl w:val="4"/>
    </w:pPr>
    <w:rPr>
      <w:kern w:val="0"/>
      <w:sz w:val="24"/>
      <w:szCs w:val="20"/>
    </w:rPr>
  </w:style>
  <w:style w:type="paragraph" w:styleId="8">
    <w:name w:val="heading 6"/>
    <w:basedOn w:val="1"/>
    <w:next w:val="1"/>
    <w:link w:val="57"/>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58"/>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5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0"/>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4">
    <w:name w:val="Default Paragraph Font"/>
    <w:semiHidden/>
    <w:uiPriority w:val="0"/>
  </w:style>
  <w:style w:type="table" w:default="1" w:styleId="42">
    <w:name w:val="Normal Table"/>
    <w:semiHidden/>
    <w:uiPriority w:val="0"/>
    <w:tblPr>
      <w:tblStyle w:val="42"/>
      <w:tblCellMar>
        <w:top w:w="0" w:type="dxa"/>
        <w:left w:w="108" w:type="dxa"/>
        <w:bottom w:w="0" w:type="dxa"/>
        <w:right w:w="108" w:type="dxa"/>
      </w:tblCellMar>
    </w:tblPr>
  </w:style>
  <w:style w:type="paragraph" w:styleId="4">
    <w:name w:val="Normal Indent"/>
    <w:basedOn w:val="1"/>
    <w:link w:val="52"/>
    <w:qFormat/>
    <w:uiPriority w:val="0"/>
    <w:pPr>
      <w:ind w:firstLine="420" w:firstLineChars="200"/>
    </w:pPr>
  </w:style>
  <w:style w:type="paragraph" w:styleId="12">
    <w:name w:val="List Number 2"/>
    <w:basedOn w:val="1"/>
    <w:qFormat/>
    <w:uiPriority w:val="0"/>
    <w:pPr>
      <w:widowControl/>
      <w:tabs>
        <w:tab w:val="left" w:pos="1697"/>
      </w:tabs>
      <w:spacing w:after="50" w:afterLines="50"/>
      <w:ind w:left="1697" w:hanging="420"/>
      <w:jc w:val="left"/>
    </w:pPr>
    <w:rPr>
      <w:kern w:val="0"/>
      <w:sz w:val="24"/>
      <w:szCs w:val="20"/>
    </w:rPr>
  </w:style>
  <w:style w:type="paragraph" w:styleId="13">
    <w:name w:val="List Number"/>
    <w:basedOn w:val="1"/>
    <w:qFormat/>
    <w:uiPriority w:val="0"/>
    <w:pPr>
      <w:widowControl/>
      <w:numPr>
        <w:ilvl w:val="0"/>
        <w:numId w:val="2"/>
      </w:numPr>
      <w:tabs>
        <w:tab w:val="left" w:pos="454"/>
        <w:tab w:val="clear" w:pos="360"/>
      </w:tabs>
      <w:spacing w:after="50" w:afterLines="50"/>
      <w:ind w:left="454" w:hanging="284" w:firstLineChars="0"/>
      <w:jc w:val="left"/>
    </w:pPr>
    <w:rPr>
      <w:kern w:val="0"/>
      <w:sz w:val="24"/>
      <w:szCs w:val="20"/>
    </w:rPr>
  </w:style>
  <w:style w:type="paragraph" w:styleId="14">
    <w:name w:val="caption"/>
    <w:basedOn w:val="1"/>
    <w:next w:val="1"/>
    <w:link w:val="107"/>
    <w:qFormat/>
    <w:uiPriority w:val="35"/>
    <w:pPr>
      <w:spacing w:line="360" w:lineRule="auto"/>
      <w:jc w:val="center"/>
    </w:pPr>
    <w:rPr>
      <w:rFonts w:ascii="Calibri" w:hAnsi="Calibri"/>
      <w:sz w:val="20"/>
      <w:szCs w:val="20"/>
    </w:rPr>
  </w:style>
  <w:style w:type="paragraph" w:styleId="15">
    <w:name w:val="Document Map"/>
    <w:basedOn w:val="1"/>
    <w:link w:val="105"/>
    <w:semiHidden/>
    <w:uiPriority w:val="0"/>
    <w:pPr>
      <w:shd w:val="clear" w:color="auto" w:fill="000080"/>
    </w:pPr>
  </w:style>
  <w:style w:type="paragraph" w:styleId="16">
    <w:name w:val="annotation text"/>
    <w:basedOn w:val="1"/>
    <w:link w:val="117"/>
    <w:qFormat/>
    <w:uiPriority w:val="0"/>
    <w:pPr>
      <w:jc w:val="left"/>
    </w:pPr>
  </w:style>
  <w:style w:type="paragraph" w:styleId="17">
    <w:name w:val="Body Text 3"/>
    <w:basedOn w:val="1"/>
    <w:link w:val="221"/>
    <w:uiPriority w:val="0"/>
    <w:pPr>
      <w:spacing w:after="120"/>
    </w:pPr>
    <w:rPr>
      <w:sz w:val="16"/>
      <w:szCs w:val="16"/>
    </w:rPr>
  </w:style>
  <w:style w:type="paragraph" w:styleId="18">
    <w:name w:val="Body Text"/>
    <w:basedOn w:val="1"/>
    <w:link w:val="89"/>
    <w:uiPriority w:val="0"/>
    <w:pPr>
      <w:spacing w:line="360" w:lineRule="auto"/>
    </w:pPr>
    <w:rPr>
      <w:rFonts w:eastAsia="仿宋_GB2312"/>
      <w:sz w:val="28"/>
    </w:rPr>
  </w:style>
  <w:style w:type="paragraph" w:styleId="19">
    <w:name w:val="Body Text Indent"/>
    <w:basedOn w:val="1"/>
    <w:link w:val="124"/>
    <w:qFormat/>
    <w:uiPriority w:val="0"/>
    <w:pPr>
      <w:spacing w:after="120"/>
      <w:ind w:left="420" w:leftChars="200"/>
    </w:pPr>
  </w:style>
  <w:style w:type="paragraph" w:styleId="20">
    <w:name w:val="List Number 3"/>
    <w:basedOn w:val="1"/>
    <w:qFormat/>
    <w:uiPriority w:val="0"/>
    <w:pPr>
      <w:widowControl/>
      <w:numPr>
        <w:ilvl w:val="0"/>
        <w:numId w:val="3"/>
      </w:numPr>
      <w:tabs>
        <w:tab w:val="left" w:pos="482"/>
        <w:tab w:val="clear" w:pos="1200"/>
      </w:tabs>
      <w:spacing w:after="50" w:afterLines="50"/>
      <w:ind w:left="482" w:leftChars="0" w:hanging="340" w:firstLineChars="0"/>
      <w:jc w:val="left"/>
    </w:pPr>
    <w:rPr>
      <w:kern w:val="0"/>
      <w:sz w:val="24"/>
      <w:szCs w:val="20"/>
    </w:rPr>
  </w:style>
  <w:style w:type="paragraph" w:styleId="21">
    <w:name w:val="Block Text"/>
    <w:basedOn w:val="1"/>
    <w:uiPriority w:val="0"/>
    <w:pPr>
      <w:spacing w:before="120" w:line="360" w:lineRule="auto"/>
      <w:ind w:left="824" w:right="202"/>
    </w:pPr>
    <w:rPr>
      <w:rFonts w:ascii="宋体" w:hAnsi="宋体"/>
      <w:sz w:val="24"/>
      <w:szCs w:val="21"/>
    </w:rPr>
  </w:style>
  <w:style w:type="paragraph" w:styleId="22">
    <w:name w:val="toc 3"/>
    <w:basedOn w:val="1"/>
    <w:next w:val="1"/>
    <w:unhideWhenUsed/>
    <w:uiPriority w:val="0"/>
    <w:pPr>
      <w:ind w:left="840" w:leftChars="400"/>
    </w:pPr>
    <w:rPr>
      <w:rFonts w:ascii="Calibri" w:hAnsi="Calibri"/>
      <w:szCs w:val="22"/>
    </w:rPr>
  </w:style>
  <w:style w:type="paragraph" w:styleId="23">
    <w:name w:val="Plain Text"/>
    <w:basedOn w:val="1"/>
    <w:link w:val="65"/>
    <w:qFormat/>
    <w:uiPriority w:val="0"/>
    <w:rPr>
      <w:rFonts w:ascii="宋体" w:hAnsi="Courier New"/>
      <w:szCs w:val="20"/>
    </w:rPr>
  </w:style>
  <w:style w:type="paragraph" w:styleId="24">
    <w:name w:val="Date"/>
    <w:basedOn w:val="1"/>
    <w:next w:val="1"/>
    <w:link w:val="112"/>
    <w:qFormat/>
    <w:uiPriority w:val="0"/>
    <w:rPr>
      <w:rFonts w:ascii="楷体_GB2312" w:eastAsia="楷体_GB2312"/>
      <w:b/>
      <w:sz w:val="28"/>
      <w:szCs w:val="20"/>
    </w:rPr>
  </w:style>
  <w:style w:type="paragraph" w:styleId="25">
    <w:name w:val="Body Text Indent 2"/>
    <w:basedOn w:val="1"/>
    <w:link w:val="83"/>
    <w:uiPriority w:val="0"/>
    <w:pPr>
      <w:spacing w:after="120" w:line="480" w:lineRule="auto"/>
      <w:ind w:left="420" w:leftChars="200"/>
    </w:pPr>
  </w:style>
  <w:style w:type="paragraph" w:styleId="26">
    <w:name w:val="Balloon Text"/>
    <w:basedOn w:val="1"/>
    <w:link w:val="73"/>
    <w:qFormat/>
    <w:uiPriority w:val="0"/>
    <w:rPr>
      <w:sz w:val="18"/>
      <w:szCs w:val="18"/>
    </w:rPr>
  </w:style>
  <w:style w:type="paragraph" w:styleId="27">
    <w:name w:val="footer"/>
    <w:basedOn w:val="1"/>
    <w:link w:val="71"/>
    <w:qFormat/>
    <w:uiPriority w:val="0"/>
    <w:pPr>
      <w:tabs>
        <w:tab w:val="center" w:pos="4153"/>
        <w:tab w:val="right" w:pos="8306"/>
      </w:tabs>
      <w:snapToGrid w:val="0"/>
      <w:jc w:val="left"/>
    </w:pPr>
    <w:rPr>
      <w:sz w:val="18"/>
      <w:szCs w:val="18"/>
    </w:rPr>
  </w:style>
  <w:style w:type="paragraph" w:styleId="28">
    <w:name w:val="header"/>
    <w:basedOn w:val="1"/>
    <w:link w:val="11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uiPriority w:val="0"/>
  </w:style>
  <w:style w:type="paragraph" w:styleId="30">
    <w:name w:val="toc 4"/>
    <w:basedOn w:val="1"/>
    <w:next w:val="1"/>
    <w:semiHidden/>
    <w:uiPriority w:val="0"/>
    <w:pPr>
      <w:tabs>
        <w:tab w:val="right" w:leader="dot" w:pos="8314"/>
      </w:tabs>
      <w:ind w:firstLine="588" w:firstLineChars="245"/>
    </w:pPr>
  </w:style>
  <w:style w:type="paragraph" w:styleId="31">
    <w:name w:val="Body Text Indent 3"/>
    <w:basedOn w:val="1"/>
    <w:uiPriority w:val="0"/>
    <w:pPr>
      <w:spacing w:after="120"/>
      <w:ind w:left="420" w:leftChars="200"/>
    </w:pPr>
    <w:rPr>
      <w:sz w:val="16"/>
      <w:szCs w:val="16"/>
    </w:rPr>
  </w:style>
  <w:style w:type="paragraph" w:styleId="32">
    <w:name w:val="toc 2"/>
    <w:basedOn w:val="1"/>
    <w:next w:val="1"/>
    <w:semiHidden/>
    <w:uiPriority w:val="0"/>
    <w:pPr>
      <w:ind w:left="420" w:leftChars="200"/>
    </w:pPr>
  </w:style>
  <w:style w:type="paragraph" w:styleId="33">
    <w:name w:val="Body Text 2"/>
    <w:basedOn w:val="1"/>
    <w:link w:val="106"/>
    <w:qFormat/>
    <w:uiPriority w:val="0"/>
    <w:pPr>
      <w:widowControl/>
      <w:spacing w:after="120" w:afterLines="50" w:line="216" w:lineRule="auto"/>
      <w:jc w:val="center"/>
    </w:pPr>
    <w:rPr>
      <w:rFonts w:ascii="隶书" w:eastAsia="隶书"/>
      <w:bCs/>
      <w:kern w:val="0"/>
      <w:sz w:val="72"/>
      <w:szCs w:val="84"/>
    </w:rPr>
  </w:style>
  <w:style w:type="paragraph" w:styleId="34">
    <w:name w:val="List Continue 2"/>
    <w:basedOn w:val="1"/>
    <w:uiPriority w:val="0"/>
    <w:pPr>
      <w:spacing w:after="120"/>
      <w:ind w:left="840" w:leftChars="400"/>
    </w:pPr>
  </w:style>
  <w:style w:type="paragraph" w:styleId="3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uiPriority w:val="0"/>
    <w:pPr>
      <w:spacing w:line="320" w:lineRule="exact"/>
    </w:pPr>
    <w:rPr>
      <w:b/>
      <w:snapToGrid w:val="0"/>
      <w:color w:val="FF6600"/>
      <w:kern w:val="0"/>
      <w:sz w:val="18"/>
      <w:szCs w:val="21"/>
    </w:rPr>
  </w:style>
  <w:style w:type="paragraph" w:styleId="38">
    <w:name w:val="Title"/>
    <w:basedOn w:val="1"/>
    <w:next w:val="1"/>
    <w:link w:val="121"/>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qFormat/>
    <w:uiPriority w:val="0"/>
    <w:pPr>
      <w:widowControl/>
      <w:spacing w:after="50" w:afterLines="50"/>
    </w:pPr>
    <w:rPr>
      <w:b/>
      <w:bCs/>
      <w:kern w:val="0"/>
      <w:sz w:val="24"/>
      <w:szCs w:val="20"/>
    </w:rPr>
  </w:style>
  <w:style w:type="paragraph" w:styleId="40">
    <w:name w:val="Body Text First Indent"/>
    <w:basedOn w:val="18"/>
    <w:uiPriority w:val="0"/>
    <w:pPr>
      <w:spacing w:after="120" w:line="240" w:lineRule="auto"/>
      <w:ind w:firstLine="420" w:firstLineChars="100"/>
    </w:pPr>
    <w:rPr>
      <w:rFonts w:eastAsia="宋体"/>
      <w:sz w:val="21"/>
    </w:rPr>
  </w:style>
  <w:style w:type="paragraph" w:styleId="41">
    <w:name w:val="Body Text First Indent 2"/>
    <w:basedOn w:val="19"/>
    <w:uiPriority w:val="0"/>
    <w:pPr>
      <w:ind w:firstLine="420" w:firstLineChars="200"/>
    </w:pPr>
  </w:style>
  <w:style w:type="table" w:styleId="43">
    <w:name w:val="Table Grid"/>
    <w:basedOn w:val="42"/>
    <w:uiPriority w:val="0"/>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uiPriority w:val="99"/>
    <w:rPr>
      <w:color w:val="800080"/>
      <w:u w:val="single"/>
    </w:rPr>
  </w:style>
  <w:style w:type="character" w:styleId="48">
    <w:name w:val="Emphasis"/>
    <w:qFormat/>
    <w:uiPriority w:val="0"/>
    <w:rPr>
      <w:color w:val="CC0000"/>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customStyle="1" w:styleId="51">
    <w:name w:val="标题 1 Char"/>
    <w:link w:val="2"/>
    <w:uiPriority w:val="9"/>
    <w:rPr>
      <w:rFonts w:eastAsia="仿宋_GB2312"/>
      <w:b/>
      <w:kern w:val="44"/>
      <w:sz w:val="44"/>
      <w:lang w:val="en-US" w:eastAsia="zh-CN" w:bidi="ar-SA"/>
    </w:rPr>
  </w:style>
  <w:style w:type="character" w:customStyle="1" w:styleId="52">
    <w:name w:val="正文缩进 Char"/>
    <w:link w:val="4"/>
    <w:qFormat/>
    <w:uiPriority w:val="0"/>
    <w:rPr>
      <w:rFonts w:eastAsia="宋体"/>
      <w:kern w:val="2"/>
      <w:sz w:val="21"/>
      <w:szCs w:val="24"/>
      <w:lang w:val="en-US" w:eastAsia="zh-CN" w:bidi="ar-SA"/>
    </w:rPr>
  </w:style>
  <w:style w:type="character" w:customStyle="1" w:styleId="53">
    <w:name w:val="标题 2 Char"/>
    <w:link w:val="3"/>
    <w:uiPriority w:val="0"/>
    <w:rPr>
      <w:rFonts w:ascii="Arial" w:hAnsi="Arial" w:eastAsia="黑体"/>
      <w:b/>
      <w:kern w:val="2"/>
      <w:sz w:val="32"/>
      <w:lang w:val="en-US" w:eastAsia="zh-CN" w:bidi="ar-SA"/>
    </w:rPr>
  </w:style>
  <w:style w:type="character" w:customStyle="1" w:styleId="54">
    <w:name w:val="标题 3 Char"/>
    <w:link w:val="5"/>
    <w:uiPriority w:val="0"/>
    <w:rPr>
      <w:rFonts w:eastAsia="仿宋_GB2312"/>
      <w:b/>
      <w:kern w:val="2"/>
      <w:sz w:val="32"/>
      <w:lang w:val="en-US" w:eastAsia="zh-CN" w:bidi="ar-SA"/>
    </w:rPr>
  </w:style>
  <w:style w:type="character" w:customStyle="1" w:styleId="55">
    <w:name w:val="标题 4 Char1"/>
    <w:link w:val="6"/>
    <w:uiPriority w:val="0"/>
    <w:rPr>
      <w:rFonts w:ascii="Arial" w:hAnsi="Arial" w:eastAsia="黑体"/>
      <w:b/>
      <w:kern w:val="2"/>
      <w:sz w:val="28"/>
      <w:lang w:val="en-US" w:eastAsia="zh-CN" w:bidi="ar-SA"/>
    </w:rPr>
  </w:style>
  <w:style w:type="character" w:customStyle="1" w:styleId="56">
    <w:name w:val="标题 5 Char1"/>
    <w:link w:val="7"/>
    <w:uiPriority w:val="0"/>
    <w:rPr>
      <w:rFonts w:eastAsia="宋体"/>
      <w:sz w:val="24"/>
      <w:lang w:val="en-US" w:eastAsia="zh-CN" w:bidi="ar-SA"/>
    </w:rPr>
  </w:style>
  <w:style w:type="character" w:customStyle="1" w:styleId="57">
    <w:name w:val="标题 6 Char1"/>
    <w:link w:val="8"/>
    <w:uiPriority w:val="0"/>
    <w:rPr>
      <w:rFonts w:ascii="宋体" w:hAnsi="Arial" w:eastAsia="宋体"/>
      <w:sz w:val="24"/>
      <w:lang w:val="en-US" w:eastAsia="zh-CN" w:bidi="ar-SA"/>
    </w:rPr>
  </w:style>
  <w:style w:type="character" w:customStyle="1" w:styleId="58">
    <w:name w:val="标题 7 Char1"/>
    <w:link w:val="9"/>
    <w:uiPriority w:val="0"/>
    <w:rPr>
      <w:rFonts w:ascii="宋体" w:hAnsi="Arial" w:eastAsia="宋体"/>
      <w:b/>
      <w:sz w:val="24"/>
      <w:lang w:val="en-US" w:eastAsia="zh-CN" w:bidi="ar-SA"/>
    </w:rPr>
  </w:style>
  <w:style w:type="character" w:customStyle="1" w:styleId="59">
    <w:name w:val="标题 8 Char1"/>
    <w:link w:val="10"/>
    <w:uiPriority w:val="0"/>
    <w:rPr>
      <w:rFonts w:ascii="Arial" w:hAnsi="Arial" w:eastAsia="黑体"/>
      <w:sz w:val="24"/>
      <w:lang w:val="en-US" w:eastAsia="zh-CN" w:bidi="ar-SA"/>
    </w:rPr>
  </w:style>
  <w:style w:type="character" w:customStyle="1" w:styleId="60">
    <w:name w:val="标题 9 Char1"/>
    <w:link w:val="11"/>
    <w:uiPriority w:val="0"/>
    <w:rPr>
      <w:rFonts w:ascii="Arial" w:hAnsi="Arial" w:eastAsia="黑体"/>
      <w:sz w:val="24"/>
      <w:lang w:val="en-US" w:eastAsia="zh-CN" w:bidi="ar-SA"/>
    </w:rPr>
  </w:style>
  <w:style w:type="character" w:customStyle="1" w:styleId="61">
    <w:name w:val="自定义正文 Char"/>
    <w:link w:val="62"/>
    <w:uiPriority w:val="0"/>
    <w:rPr>
      <w:rFonts w:ascii="仿宋_GB2312" w:eastAsia="仿宋_GB2312"/>
      <w:kern w:val="2"/>
      <w:sz w:val="28"/>
      <w:szCs w:val="24"/>
      <w:lang w:val="en-US" w:eastAsia="zh-CN" w:bidi="ar-SA"/>
    </w:rPr>
  </w:style>
  <w:style w:type="paragraph" w:customStyle="1" w:styleId="62">
    <w:name w:val="自定义正文"/>
    <w:basedOn w:val="1"/>
    <w:link w:val="61"/>
    <w:uiPriority w:val="0"/>
    <w:pPr>
      <w:spacing w:line="480" w:lineRule="exact"/>
      <w:ind w:firstLine="200" w:firstLineChars="200"/>
      <w:jc w:val="left"/>
    </w:pPr>
    <w:rPr>
      <w:rFonts w:ascii="仿宋_GB2312" w:eastAsia="仿宋_GB2312"/>
      <w:sz w:val="28"/>
    </w:rPr>
  </w:style>
  <w:style w:type="character" w:customStyle="1" w:styleId="63">
    <w:name w:val="Table Text Char1"/>
    <w:link w:val="64"/>
    <w:uiPriority w:val="0"/>
    <w:rPr>
      <w:rFonts w:ascii="Arial" w:hAnsi="Arial"/>
      <w:sz w:val="18"/>
      <w:lang w:val="en-US" w:eastAsia="zh-CN" w:bidi="ar-SA"/>
    </w:rPr>
  </w:style>
  <w:style w:type="paragraph" w:customStyle="1" w:styleId="64">
    <w:name w:val="Table Text"/>
    <w:link w:val="63"/>
    <w:uiPriority w:val="0"/>
    <w:pPr>
      <w:snapToGrid w:val="0"/>
      <w:spacing w:before="80" w:after="80"/>
    </w:pPr>
    <w:rPr>
      <w:rFonts w:ascii="Arial" w:hAnsi="Arial"/>
      <w:sz w:val="18"/>
      <w:lang w:val="en-US" w:eastAsia="zh-CN" w:bidi="ar-SA"/>
    </w:rPr>
  </w:style>
  <w:style w:type="character" w:customStyle="1" w:styleId="65">
    <w:name w:val="纯文本 Char"/>
    <w:link w:val="23"/>
    <w:uiPriority w:val="0"/>
    <w:rPr>
      <w:rFonts w:ascii="宋体" w:hAnsi="Courier New" w:eastAsia="宋体"/>
      <w:kern w:val="2"/>
      <w:sz w:val="21"/>
      <w:lang w:val="en-US" w:eastAsia="zh-CN" w:bidi="ar-SA"/>
    </w:rPr>
  </w:style>
  <w:style w:type="character" w:customStyle="1" w:styleId="66">
    <w:name w:val="日期 Char1"/>
    <w:semiHidden/>
    <w:uiPriority w:val="0"/>
    <w:rPr>
      <w:rFonts w:ascii="Times New Roman" w:hAnsi="Times New Roman" w:eastAsia="宋体" w:cs="Times New Roman"/>
      <w:sz w:val="24"/>
      <w:szCs w:val="24"/>
    </w:rPr>
  </w:style>
  <w:style w:type="character" w:customStyle="1" w:styleId="67">
    <w:name w:val="正文（缩进2汉字） Char"/>
    <w:link w:val="68"/>
    <w:uiPriority w:val="0"/>
    <w:rPr>
      <w:rFonts w:ascii="宋体"/>
      <w:kern w:val="2"/>
      <w:sz w:val="21"/>
      <w:lang w:bidi="ar-SA"/>
    </w:rPr>
  </w:style>
  <w:style w:type="paragraph" w:customStyle="1" w:styleId="68">
    <w:name w:val="正文（缩进2汉字）"/>
    <w:basedOn w:val="1"/>
    <w:link w:val="67"/>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69">
    <w:name w:val="正文文本 2 Char"/>
    <w:uiPriority w:val="0"/>
    <w:rPr>
      <w:rFonts w:ascii="隶书" w:eastAsia="隶书"/>
      <w:bCs/>
      <w:sz w:val="72"/>
      <w:szCs w:val="84"/>
      <w:lang w:val="en-US" w:eastAsia="zh-CN" w:bidi="ar-SA"/>
    </w:rPr>
  </w:style>
  <w:style w:type="character" w:customStyle="1" w:styleId="70">
    <w:name w:val="Char Char11"/>
    <w:uiPriority w:val="0"/>
    <w:rPr>
      <w:b/>
      <w:kern w:val="44"/>
      <w:sz w:val="44"/>
    </w:rPr>
  </w:style>
  <w:style w:type="character" w:customStyle="1" w:styleId="71">
    <w:name w:val="页脚 Char"/>
    <w:link w:val="27"/>
    <w:qFormat/>
    <w:locked/>
    <w:uiPriority w:val="0"/>
    <w:rPr>
      <w:rFonts w:eastAsia="宋体"/>
      <w:kern w:val="2"/>
      <w:sz w:val="18"/>
      <w:szCs w:val="18"/>
      <w:lang w:val="en-US" w:eastAsia="zh-CN" w:bidi="ar-SA"/>
    </w:rPr>
  </w:style>
  <w:style w:type="character" w:customStyle="1" w:styleId="72">
    <w:name w:val="font1"/>
    <w:uiPriority w:val="0"/>
    <w:rPr>
      <w:color w:val="999999"/>
      <w:sz w:val="18"/>
      <w:szCs w:val="18"/>
      <w:u w:val="none"/>
    </w:rPr>
  </w:style>
  <w:style w:type="character" w:customStyle="1" w:styleId="73">
    <w:name w:val="批注框文本 Char"/>
    <w:link w:val="26"/>
    <w:qFormat/>
    <w:uiPriority w:val="0"/>
    <w:rPr>
      <w:kern w:val="2"/>
      <w:sz w:val="18"/>
      <w:szCs w:val="18"/>
    </w:rPr>
  </w:style>
  <w:style w:type="character" w:customStyle="1" w:styleId="74">
    <w:name w:val="标题 9 Char"/>
    <w:uiPriority w:val="0"/>
    <w:rPr>
      <w:rFonts w:ascii="Arial" w:hAnsi="Arial" w:eastAsia="黑体"/>
      <w:sz w:val="24"/>
      <w:lang w:val="en-US" w:eastAsia="zh-CN" w:bidi="ar-SA"/>
    </w:rPr>
  </w:style>
  <w:style w:type="character" w:customStyle="1" w:styleId="75">
    <w:name w:val="标题 5 Char"/>
    <w:aliases w:val="H5 Char1,PIM 5 Char1,Table label Char1,h5 Char1,l5 Char1,hm Char1,mh2 Char1,Module heading 2 Char1,Head 5 Char1,list 5 Char1,5 Char1,ds Char1,dd Char Char Char2,dd Char Char Char Char Char1,dd Char Char Char Char2,dd Char1,Roman list Char1"/>
    <w:uiPriority w:val="0"/>
    <w:rPr>
      <w:rFonts w:eastAsia="宋体"/>
      <w:sz w:val="24"/>
      <w:lang w:val="en-US" w:eastAsia="zh-CN" w:bidi="ar-SA"/>
    </w:rPr>
  </w:style>
  <w:style w:type="character" w:customStyle="1" w:styleId="76">
    <w:name w:val="标题 8 Char"/>
    <w:uiPriority w:val="0"/>
    <w:rPr>
      <w:rFonts w:ascii="Arial" w:hAnsi="Arial" w:eastAsia="黑体"/>
      <w:sz w:val="24"/>
      <w:lang w:val="en-US" w:eastAsia="zh-CN" w:bidi="ar-SA"/>
    </w:rPr>
  </w:style>
  <w:style w:type="character" w:customStyle="1" w:styleId="77">
    <w:name w:val="*正文 Char"/>
    <w:link w:val="78"/>
    <w:qFormat/>
    <w:uiPriority w:val="0"/>
    <w:rPr>
      <w:rFonts w:ascii="宋体" w:hAnsi="宋体"/>
      <w:sz w:val="22"/>
      <w:szCs w:val="24"/>
    </w:rPr>
  </w:style>
  <w:style w:type="paragraph" w:customStyle="1" w:styleId="78">
    <w:name w:val="*正文"/>
    <w:basedOn w:val="1"/>
    <w:link w:val="77"/>
    <w:qFormat/>
    <w:uiPriority w:val="0"/>
    <w:pPr>
      <w:spacing w:line="360" w:lineRule="auto"/>
      <w:ind w:firstLine="200" w:firstLineChars="200"/>
    </w:pPr>
    <w:rPr>
      <w:rFonts w:ascii="宋体" w:hAnsi="宋体"/>
      <w:kern w:val="0"/>
      <w:sz w:val="22"/>
    </w:rPr>
  </w:style>
  <w:style w:type="character" w:customStyle="1" w:styleId="79">
    <w:name w:val=" Char Char3"/>
    <w:uiPriority w:val="0"/>
    <w:rPr>
      <w:rFonts w:eastAsia="仿宋_GB2312"/>
      <w:kern w:val="2"/>
      <w:sz w:val="28"/>
      <w:szCs w:val="24"/>
      <w:lang w:val="en-US" w:eastAsia="zh-CN" w:bidi="ar-SA"/>
    </w:rPr>
  </w:style>
  <w:style w:type="character" w:customStyle="1" w:styleId="80">
    <w:name w:val="标题 4 Char"/>
    <w:aliases w:val="sect 1.2.3.4 Char,Ref Heading 1 Char,rh1 Char,sect 1.2.3.41 Char,Ref Heading 11 Char,rh11 Char,sect 1.2.3.42 Char,Ref Heading 12 Char,rh12 Char,sect 1.2.3.411 Char,Ref Heading 111 Char,rh111 Char,sect 1.2.3.43 Char,Ref Heading 13 Char,h4 Char1"/>
    <w:uiPriority w:val="0"/>
    <w:rPr>
      <w:rFonts w:ascii="Arial" w:hAnsi="Arial" w:eastAsia="黑体"/>
      <w:b/>
      <w:kern w:val="2"/>
      <w:sz w:val="28"/>
      <w:lang w:val="en-US" w:eastAsia="zh-CN" w:bidi="ar-SA"/>
    </w:rPr>
  </w:style>
  <w:style w:type="character" w:customStyle="1" w:styleId="81">
    <w:name w:val="表格 Char Char"/>
    <w:link w:val="82"/>
    <w:locked/>
    <w:uiPriority w:val="0"/>
    <w:rPr>
      <w:rFonts w:ascii="宋体" w:hAnsi="宋体" w:eastAsia="宋体"/>
      <w:lang w:val="en-US" w:eastAsia="zh-CN" w:bidi="ar-SA"/>
    </w:rPr>
  </w:style>
  <w:style w:type="paragraph" w:customStyle="1" w:styleId="82">
    <w:name w:val="表格"/>
    <w:basedOn w:val="1"/>
    <w:link w:val="81"/>
    <w:uiPriority w:val="0"/>
    <w:pPr>
      <w:snapToGrid w:val="0"/>
      <w:ind w:firstLine="42" w:firstLineChars="21"/>
    </w:pPr>
    <w:rPr>
      <w:rFonts w:ascii="宋体" w:hAnsi="宋体"/>
      <w:kern w:val="0"/>
      <w:sz w:val="20"/>
      <w:szCs w:val="20"/>
    </w:rPr>
  </w:style>
  <w:style w:type="character" w:customStyle="1" w:styleId="83">
    <w:name w:val="正文文本缩进 2 Char1"/>
    <w:link w:val="25"/>
    <w:locked/>
    <w:uiPriority w:val="0"/>
    <w:rPr>
      <w:rFonts w:eastAsia="宋体"/>
      <w:kern w:val="2"/>
      <w:sz w:val="21"/>
      <w:szCs w:val="24"/>
      <w:lang w:val="en-US" w:eastAsia="zh-CN" w:bidi="ar-SA"/>
    </w:rPr>
  </w:style>
  <w:style w:type="character" w:customStyle="1" w:styleId="84">
    <w:name w:val="info"/>
    <w:basedOn w:val="44"/>
    <w:uiPriority w:val="0"/>
  </w:style>
  <w:style w:type="character" w:customStyle="1" w:styleId="85">
    <w:name w:val="页眉 Char"/>
    <w:aliases w:val="h Char"/>
    <w:qFormat/>
    <w:uiPriority w:val="0"/>
    <w:rPr>
      <w:rFonts w:eastAsia="宋体"/>
      <w:kern w:val="2"/>
      <w:sz w:val="18"/>
      <w:szCs w:val="18"/>
      <w:lang w:val="en-US" w:eastAsia="zh-CN" w:bidi="ar-SA"/>
    </w:rPr>
  </w:style>
  <w:style w:type="character" w:customStyle="1" w:styleId="86">
    <w:name w:val=" Char Char"/>
    <w:uiPriority w:val="0"/>
    <w:rPr>
      <w:rFonts w:ascii="宋体" w:hAnsi="Courier New" w:eastAsia="宋体"/>
      <w:kern w:val="2"/>
      <w:sz w:val="21"/>
      <w:lang w:val="en-US" w:eastAsia="zh-CN" w:bidi="ar-SA"/>
    </w:rPr>
  </w:style>
  <w:style w:type="character" w:customStyle="1" w:styleId="87">
    <w:name w:val="正文无缩进 Char"/>
    <w:link w:val="88"/>
    <w:uiPriority w:val="0"/>
    <w:rPr>
      <w:rFonts w:ascii="宋体" w:eastAsia="宋体"/>
      <w:color w:val="000000"/>
      <w:kern w:val="2"/>
      <w:sz w:val="24"/>
      <w:szCs w:val="24"/>
      <w:lang w:val="en-US" w:eastAsia="zh-CN" w:bidi="ar-SA"/>
    </w:rPr>
  </w:style>
  <w:style w:type="paragraph" w:customStyle="1" w:styleId="88">
    <w:name w:val="正文无缩进"/>
    <w:basedOn w:val="1"/>
    <w:link w:val="87"/>
    <w:qFormat/>
    <w:uiPriority w:val="0"/>
    <w:pPr>
      <w:spacing w:line="360" w:lineRule="auto"/>
    </w:pPr>
    <w:rPr>
      <w:rFonts w:ascii="宋体"/>
      <w:color w:val="000000"/>
      <w:sz w:val="24"/>
    </w:rPr>
  </w:style>
  <w:style w:type="character" w:customStyle="1" w:styleId="89">
    <w:name w:val="正文文本 Char1"/>
    <w:link w:val="18"/>
    <w:locked/>
    <w:uiPriority w:val="0"/>
    <w:rPr>
      <w:rFonts w:eastAsia="仿宋_GB2312"/>
      <w:kern w:val="2"/>
      <w:sz w:val="28"/>
      <w:szCs w:val="24"/>
      <w:lang w:val="en-US" w:eastAsia="zh-CN" w:bidi="ar-SA"/>
    </w:rPr>
  </w:style>
  <w:style w:type="character" w:customStyle="1" w:styleId="90">
    <w:name w:val="H4 Char"/>
    <w:aliases w:val="h4 Char,L1 Heading 4 Char,h41 Char,h42 Char,h411 Char,h43 Char,h412 Char,h421 Char,h4111 Char,h44 Char,h413 Char,h45 Char,h414 Char,h46 Char,h415 Char,h47 Char,h416 Char,h422 Char,h4112 Char,h431 Char,h4121 Char,h441 Char,h4131 Char,h48 Char"/>
    <w:uiPriority w:val="0"/>
    <w:rPr>
      <w:rFonts w:ascii="宋体" w:hAnsi="宋体" w:eastAsia="黑体"/>
      <w:b/>
      <w:bCs/>
      <w:color w:val="000000"/>
      <w:spacing w:val="-4"/>
      <w:kern w:val="2"/>
      <w:sz w:val="24"/>
      <w:szCs w:val="30"/>
      <w:lang w:val="en-US" w:eastAsia="zh-CN" w:bidi="ar-SA"/>
    </w:rPr>
  </w:style>
  <w:style w:type="character" w:customStyle="1" w:styleId="91">
    <w:name w:val="style21"/>
    <w:uiPriority w:val="0"/>
    <w:rPr>
      <w:sz w:val="15"/>
      <w:szCs w:val="15"/>
    </w:rPr>
  </w:style>
  <w:style w:type="character" w:customStyle="1" w:styleId="92">
    <w:name w:val="标题 7 Char"/>
    <w:uiPriority w:val="0"/>
    <w:rPr>
      <w:rFonts w:ascii="宋体" w:hAnsi="Arial" w:eastAsia="宋体"/>
      <w:b/>
      <w:sz w:val="24"/>
      <w:lang w:val="en-US" w:eastAsia="zh-CN" w:bidi="ar-SA"/>
    </w:rPr>
  </w:style>
  <w:style w:type="character" w:customStyle="1" w:styleId="93">
    <w:name w:val="标题 6 Char"/>
    <w:uiPriority w:val="0"/>
    <w:rPr>
      <w:rFonts w:ascii="宋体" w:hAnsi="Arial" w:eastAsia="宋体"/>
      <w:sz w:val="24"/>
      <w:lang w:val="en-US" w:eastAsia="zh-CN" w:bidi="ar-SA"/>
    </w:rPr>
  </w:style>
  <w:style w:type="character" w:customStyle="1" w:styleId="94">
    <w:name w:val="bulletintext1"/>
    <w:uiPriority w:val="0"/>
    <w:rPr>
      <w:rFonts w:hint="eastAsia" w:ascii="宋体" w:hAnsi="宋体" w:eastAsia="宋体"/>
      <w:sz w:val="18"/>
      <w:szCs w:val="18"/>
    </w:rPr>
  </w:style>
  <w:style w:type="character" w:customStyle="1" w:styleId="95">
    <w:name w:val="正文文本 Char"/>
    <w:aliases w:val="???? Char,?y????×? Char,?y???? Char,?y????? Char,contents Char,Corps de texte Char,body tesx Char,Corpo de texto Char,EHPT Char,Body Text2 Char,?y?????á? Char,heading_txt Char,bodytxy2 Char,??2 Char,Orig Qstn Char,Original Question Char"/>
    <w:locked/>
    <w:uiPriority w:val="0"/>
    <w:rPr>
      <w:rFonts w:eastAsia="仿宋_GB2312"/>
      <w:kern w:val="2"/>
      <w:sz w:val="28"/>
      <w:szCs w:val="24"/>
      <w:lang w:val="en-US" w:eastAsia="zh-CN" w:bidi="ar-SA"/>
    </w:rPr>
  </w:style>
  <w:style w:type="character" w:customStyle="1" w:styleId="96">
    <w:name w:val="Char Char10"/>
    <w:uiPriority w:val="0"/>
    <w:rPr>
      <w:b/>
      <w:kern w:val="2"/>
      <w:sz w:val="28"/>
      <w:szCs w:val="28"/>
    </w:rPr>
  </w:style>
  <w:style w:type="character" w:customStyle="1" w:styleId="97">
    <w:name w:val="style51"/>
    <w:uiPriority w:val="0"/>
    <w:rPr>
      <w:sz w:val="21"/>
      <w:szCs w:val="21"/>
    </w:rPr>
  </w:style>
  <w:style w:type="character" w:customStyle="1" w:styleId="98">
    <w:name w:val="纯文本 Char1"/>
    <w:semiHidden/>
    <w:uiPriority w:val="0"/>
    <w:rPr>
      <w:rFonts w:ascii="宋体" w:hAnsi="Courier New" w:eastAsia="宋体" w:cs="Courier New"/>
      <w:sz w:val="21"/>
      <w:szCs w:val="21"/>
    </w:rPr>
  </w:style>
  <w:style w:type="character" w:customStyle="1" w:styleId="99">
    <w:name w:val="正文文本缩进 2 Char"/>
    <w:aliases w:val="正文文字缩进 2 Char"/>
    <w:locked/>
    <w:uiPriority w:val="0"/>
    <w:rPr>
      <w:rFonts w:eastAsia="宋体"/>
      <w:kern w:val="2"/>
      <w:sz w:val="21"/>
      <w:szCs w:val="24"/>
      <w:lang w:val="en-US" w:eastAsia="zh-CN" w:bidi="ar-SA"/>
    </w:rPr>
  </w:style>
  <w:style w:type="character" w:customStyle="1" w:styleId="100">
    <w:name w:val="Char Char9"/>
    <w:uiPriority w:val="0"/>
    <w:rPr>
      <w:b/>
      <w:kern w:val="2"/>
      <w:sz w:val="24"/>
      <w:szCs w:val="24"/>
    </w:rPr>
  </w:style>
  <w:style w:type="character" w:customStyle="1" w:styleId="101">
    <w:name w:val="style11"/>
    <w:uiPriority w:val="0"/>
    <w:rPr>
      <w:b/>
      <w:bCs/>
      <w:color w:val="FF0000"/>
    </w:rPr>
  </w:style>
  <w:style w:type="character" w:customStyle="1" w:styleId="102">
    <w:name w:val="Date Char"/>
    <w:locked/>
    <w:uiPriority w:val="0"/>
    <w:rPr>
      <w:rFonts w:ascii="宋体"/>
      <w:sz w:val="21"/>
      <w:lang w:val="zh-CN"/>
    </w:rPr>
  </w:style>
  <w:style w:type="character" w:customStyle="1" w:styleId="103">
    <w:name w:val="日期 Char"/>
    <w:uiPriority w:val="0"/>
    <w:rPr>
      <w:rFonts w:ascii="楷体_GB2312" w:eastAsia="楷体_GB2312"/>
      <w:b/>
      <w:kern w:val="2"/>
      <w:sz w:val="28"/>
      <w:lang w:val="en-US" w:eastAsia="zh-CN" w:bidi="ar-SA"/>
    </w:rPr>
  </w:style>
  <w:style w:type="character" w:customStyle="1" w:styleId="104">
    <w:name w:val="Char Char"/>
    <w:uiPriority w:val="0"/>
    <w:rPr>
      <w:rFonts w:hint="eastAsia" w:ascii="宋体" w:hAnsi="Courier New" w:eastAsia="宋体"/>
      <w:kern w:val="2"/>
      <w:sz w:val="21"/>
      <w:lang w:val="en-US" w:eastAsia="zh-CN" w:bidi="ar-SA"/>
    </w:rPr>
  </w:style>
  <w:style w:type="character" w:customStyle="1" w:styleId="105">
    <w:name w:val="文档结构图 Char"/>
    <w:link w:val="15"/>
    <w:semiHidden/>
    <w:uiPriority w:val="0"/>
    <w:rPr>
      <w:rFonts w:eastAsia="宋体"/>
      <w:kern w:val="2"/>
      <w:sz w:val="21"/>
      <w:szCs w:val="24"/>
      <w:lang w:val="en-US" w:eastAsia="zh-CN" w:bidi="ar-SA"/>
    </w:rPr>
  </w:style>
  <w:style w:type="character" w:customStyle="1" w:styleId="106">
    <w:name w:val="正文文本 2 Char1"/>
    <w:link w:val="33"/>
    <w:uiPriority w:val="0"/>
    <w:rPr>
      <w:rFonts w:ascii="隶书" w:eastAsia="隶书"/>
      <w:bCs/>
      <w:sz w:val="72"/>
      <w:szCs w:val="84"/>
      <w:lang w:val="en-US" w:eastAsia="zh-CN" w:bidi="ar-SA"/>
    </w:rPr>
  </w:style>
  <w:style w:type="character" w:customStyle="1" w:styleId="107">
    <w:name w:val="题注 Char"/>
    <w:link w:val="14"/>
    <w:qFormat/>
    <w:locked/>
    <w:uiPriority w:val="35"/>
    <w:rPr>
      <w:rFonts w:ascii="Calibri" w:hAnsi="Calibri"/>
      <w:kern w:val="2"/>
    </w:rPr>
  </w:style>
  <w:style w:type="character" w:customStyle="1" w:styleId="108">
    <w:name w:val="param-name"/>
    <w:basedOn w:val="44"/>
    <w:uiPriority w:val="0"/>
  </w:style>
  <w:style w:type="character" w:customStyle="1" w:styleId="109">
    <w:name w:val="apple-style-span"/>
    <w:basedOn w:val="44"/>
    <w:uiPriority w:val="0"/>
  </w:style>
  <w:style w:type="character" w:customStyle="1" w:styleId="110">
    <w:name w:val=" Char Char8"/>
    <w:uiPriority w:val="0"/>
    <w:rPr>
      <w:rFonts w:ascii="宋体" w:eastAsia="宋体"/>
      <w:kern w:val="2"/>
      <w:sz w:val="28"/>
      <w:lang w:val="en-US" w:eastAsia="zh-CN" w:bidi="ar-SA"/>
    </w:rPr>
  </w:style>
  <w:style w:type="character" w:customStyle="1" w:styleId="111">
    <w:name w:val="页眉 Char1"/>
    <w:link w:val="28"/>
    <w:uiPriority w:val="0"/>
    <w:rPr>
      <w:rFonts w:eastAsia="宋体"/>
      <w:kern w:val="2"/>
      <w:sz w:val="18"/>
      <w:szCs w:val="18"/>
      <w:lang w:val="en-US" w:eastAsia="zh-CN" w:bidi="ar-SA"/>
    </w:rPr>
  </w:style>
  <w:style w:type="character" w:customStyle="1" w:styleId="112">
    <w:name w:val="日期 Char2"/>
    <w:link w:val="24"/>
    <w:uiPriority w:val="0"/>
    <w:rPr>
      <w:rFonts w:ascii="楷体_GB2312" w:eastAsia="楷体_GB2312"/>
      <w:b/>
      <w:kern w:val="2"/>
      <w:sz w:val="28"/>
      <w:lang w:val="en-US" w:eastAsia="zh-CN" w:bidi="ar-SA"/>
    </w:rPr>
  </w:style>
  <w:style w:type="character" w:customStyle="1" w:styleId="113">
    <w:name w:val="Plain Text Char"/>
    <w:locked/>
    <w:uiPriority w:val="0"/>
    <w:rPr>
      <w:rFonts w:ascii="宋体" w:hAnsi="Courier New" w:eastAsia="宋体"/>
      <w:snapToGrid w:val="0"/>
      <w:sz w:val="21"/>
    </w:rPr>
  </w:style>
  <w:style w:type="character" w:customStyle="1" w:styleId="114">
    <w:name w:val="Header Char"/>
    <w:locked/>
    <w:uiPriority w:val="0"/>
    <w:rPr>
      <w:rFonts w:ascii="Times New Roman" w:hAnsi="Times New Roman" w:eastAsia="宋体" w:cs="Times New Roman"/>
      <w:sz w:val="18"/>
      <w:szCs w:val="18"/>
    </w:rPr>
  </w:style>
  <w:style w:type="character" w:customStyle="1" w:styleId="115">
    <w:name w:val="Normal Indent Char"/>
    <w:locked/>
    <w:uiPriority w:val="0"/>
    <w:rPr>
      <w:rFonts w:ascii="宋体" w:eastAsia="宋体"/>
      <w:snapToGrid w:val="0"/>
      <w:color w:val="000000"/>
      <w:kern w:val="28"/>
      <w:sz w:val="28"/>
    </w:rPr>
  </w:style>
  <w:style w:type="character" w:customStyle="1" w:styleId="116">
    <w:name w:val=" Char Char7"/>
    <w:uiPriority w:val="0"/>
    <w:rPr>
      <w:rFonts w:eastAsia="仿宋_GB2312"/>
      <w:kern w:val="2"/>
      <w:sz w:val="24"/>
      <w:szCs w:val="24"/>
      <w:lang w:val="en-US" w:eastAsia="zh-CN" w:bidi="ar-SA"/>
    </w:rPr>
  </w:style>
  <w:style w:type="character" w:customStyle="1" w:styleId="117">
    <w:name w:val="批注文字 Char1"/>
    <w:link w:val="16"/>
    <w:semiHidden/>
    <w:uiPriority w:val="0"/>
    <w:rPr>
      <w:rFonts w:eastAsia="宋体"/>
      <w:kern w:val="2"/>
      <w:sz w:val="21"/>
      <w:szCs w:val="24"/>
      <w:lang w:val="en-US" w:eastAsia="zh-CN" w:bidi="ar-SA"/>
    </w:rPr>
  </w:style>
  <w:style w:type="character" w:customStyle="1" w:styleId="118">
    <w:name w:val="批注文字 Char"/>
    <w:semiHidden/>
    <w:uiPriority w:val="0"/>
    <w:rPr>
      <w:rFonts w:eastAsia="宋体"/>
      <w:kern w:val="2"/>
      <w:sz w:val="21"/>
      <w:szCs w:val="24"/>
      <w:lang w:val="en-US" w:eastAsia="zh-CN" w:bidi="ar-SA"/>
    </w:rPr>
  </w:style>
  <w:style w:type="character" w:customStyle="1" w:styleId="119">
    <w:name w:val="标准文本 Char"/>
    <w:link w:val="120"/>
    <w:uiPriority w:val="0"/>
    <w:rPr>
      <w:rFonts w:eastAsia="宋体" w:cs="宋体"/>
      <w:kern w:val="2"/>
      <w:sz w:val="24"/>
      <w:lang w:val="en-US" w:eastAsia="zh-CN" w:bidi="ar-SA"/>
    </w:rPr>
  </w:style>
  <w:style w:type="paragraph" w:customStyle="1" w:styleId="120">
    <w:name w:val="标准文本"/>
    <w:basedOn w:val="1"/>
    <w:link w:val="119"/>
    <w:uiPriority w:val="0"/>
    <w:pPr>
      <w:spacing w:line="360" w:lineRule="auto"/>
      <w:ind w:firstLine="480" w:firstLineChars="200"/>
    </w:pPr>
    <w:rPr>
      <w:rFonts w:cs="宋体"/>
      <w:sz w:val="24"/>
      <w:szCs w:val="20"/>
    </w:rPr>
  </w:style>
  <w:style w:type="character" w:customStyle="1" w:styleId="121">
    <w:name w:val="标题 Char"/>
    <w:link w:val="38"/>
    <w:locked/>
    <w:uiPriority w:val="0"/>
    <w:rPr>
      <w:rFonts w:ascii="Calibri Light" w:hAnsi="Calibri Light" w:eastAsia="宋体"/>
      <w:b/>
      <w:bCs/>
      <w:kern w:val="2"/>
      <w:sz w:val="32"/>
      <w:szCs w:val="32"/>
      <w:lang w:val="en-US" w:eastAsia="zh-CN" w:bidi="ar-SA"/>
    </w:rPr>
  </w:style>
  <w:style w:type="character" w:customStyle="1" w:styleId="122">
    <w:name w:val="正文段 Char"/>
    <w:link w:val="123"/>
    <w:uiPriority w:val="0"/>
    <w:rPr>
      <w:rFonts w:eastAsia="宋体"/>
      <w:sz w:val="24"/>
      <w:lang w:val="en-US" w:eastAsia="zh-CN" w:bidi="ar-SA"/>
    </w:rPr>
  </w:style>
  <w:style w:type="paragraph" w:customStyle="1" w:styleId="123">
    <w:name w:val="正文段"/>
    <w:basedOn w:val="1"/>
    <w:link w:val="122"/>
    <w:qFormat/>
    <w:uiPriority w:val="0"/>
    <w:pPr>
      <w:widowControl/>
      <w:snapToGrid w:val="0"/>
      <w:spacing w:after="50" w:afterLines="50"/>
      <w:ind w:firstLine="200" w:firstLineChars="200"/>
    </w:pPr>
    <w:rPr>
      <w:kern w:val="0"/>
      <w:sz w:val="24"/>
      <w:szCs w:val="20"/>
    </w:rPr>
  </w:style>
  <w:style w:type="character" w:customStyle="1" w:styleId="124">
    <w:name w:val="正文文本缩进 Char"/>
    <w:link w:val="19"/>
    <w:uiPriority w:val="0"/>
    <w:rPr>
      <w:rFonts w:eastAsia="宋体"/>
      <w:kern w:val="2"/>
      <w:sz w:val="21"/>
      <w:szCs w:val="24"/>
      <w:lang w:val="en-US" w:eastAsia="zh-CN" w:bidi="ar-SA"/>
    </w:rPr>
  </w:style>
  <w:style w:type="character" w:customStyle="1" w:styleId="125">
    <w:name w:val="正文2 Char"/>
    <w:link w:val="126"/>
    <w:uiPriority w:val="0"/>
    <w:rPr>
      <w:rFonts w:eastAsia="宋体"/>
      <w:kern w:val="2"/>
      <w:sz w:val="24"/>
      <w:lang w:val="en-US" w:eastAsia="zh-CN" w:bidi="ar-SA"/>
    </w:rPr>
  </w:style>
  <w:style w:type="paragraph" w:customStyle="1" w:styleId="126">
    <w:name w:val="正文2"/>
    <w:basedOn w:val="1"/>
    <w:link w:val="125"/>
    <w:qFormat/>
    <w:uiPriority w:val="0"/>
    <w:pPr>
      <w:spacing w:before="156" w:line="360" w:lineRule="auto"/>
      <w:ind w:firstLine="510" w:firstLineChars="200"/>
    </w:pPr>
    <w:rPr>
      <w:sz w:val="24"/>
      <w:szCs w:val="20"/>
    </w:rPr>
  </w:style>
  <w:style w:type="character" w:customStyle="1" w:styleId="127">
    <w:name w:val="tpc_content1"/>
    <w:uiPriority w:val="0"/>
    <w:rPr>
      <w:sz w:val="20"/>
      <w:szCs w:val="20"/>
    </w:rPr>
  </w:style>
  <w:style w:type="character" w:customStyle="1" w:styleId="128">
    <w:name w:val="项目排列 Char"/>
    <w:link w:val="129"/>
    <w:uiPriority w:val="0"/>
    <w:rPr>
      <w:rFonts w:eastAsia="宋体"/>
      <w:kern w:val="2"/>
      <w:sz w:val="24"/>
      <w:szCs w:val="24"/>
      <w:lang w:val="en-US" w:eastAsia="zh-CN" w:bidi="ar-SA"/>
    </w:rPr>
  </w:style>
  <w:style w:type="paragraph" w:customStyle="1" w:styleId="129">
    <w:name w:val="项目排列"/>
    <w:basedOn w:val="1"/>
    <w:link w:val="128"/>
    <w:uiPriority w:val="0"/>
    <w:pPr>
      <w:numPr>
        <w:ilvl w:val="0"/>
        <w:numId w:val="5"/>
      </w:numPr>
      <w:spacing w:before="50" w:beforeLines="50" w:after="50" w:afterLines="50" w:line="300" w:lineRule="auto"/>
    </w:pPr>
    <w:rPr>
      <w:sz w:val="24"/>
    </w:rPr>
  </w:style>
  <w:style w:type="character" w:customStyle="1" w:styleId="130">
    <w:name w:val="汇视源正文 Char"/>
    <w:link w:val="131"/>
    <w:uiPriority w:val="0"/>
    <w:rPr>
      <w:rFonts w:cs="宋体"/>
      <w:kern w:val="2"/>
      <w:sz w:val="24"/>
      <w:lang w:val="en-US" w:eastAsia="zh-CN" w:bidi="ar-SA"/>
    </w:rPr>
  </w:style>
  <w:style w:type="paragraph" w:customStyle="1" w:styleId="131">
    <w:name w:val="汇视源正文"/>
    <w:link w:val="130"/>
    <w:uiPriority w:val="0"/>
    <w:pPr>
      <w:widowControl w:val="0"/>
      <w:spacing w:beforeLines="50" w:line="360" w:lineRule="auto"/>
      <w:ind w:firstLine="480" w:firstLineChars="200"/>
      <w:jc w:val="both"/>
    </w:pPr>
    <w:rPr>
      <w:rFonts w:cs="宋体"/>
      <w:kern w:val="2"/>
      <w:sz w:val="24"/>
      <w:lang w:val="en-US" w:eastAsia="zh-CN" w:bidi="ar-SA"/>
    </w:rPr>
  </w:style>
  <w:style w:type="character" w:customStyle="1" w:styleId="132">
    <w:name w:val="H5 Char"/>
    <w:aliases w:val="PIM 5 Char,Table label Char,h5 Char,l5 Char,hm Char,mh2 Char,Module heading 2 Char,Head 5 Char,list 5 Char,5 Char,dash Char,ds Char,dd Char Char Char1,dd Char Char Char Char Char,dd Char Char Char Char1,dd Char,Roman list Char,Block Label Char"/>
    <w:uiPriority w:val="0"/>
    <w:rPr>
      <w:rFonts w:ascii="Arial" w:hAnsi="Arial" w:eastAsia="宋体"/>
      <w:sz w:val="24"/>
      <w:lang w:val="en-US" w:eastAsia="zh-CN" w:bidi="ar-SA"/>
    </w:rPr>
  </w:style>
  <w:style w:type="character" w:customStyle="1" w:styleId="133">
    <w:name w:val="样式 正文缩进 + 首行缩进:  2 字符 Char"/>
    <w:link w:val="134"/>
    <w:locked/>
    <w:uiPriority w:val="0"/>
    <w:rPr>
      <w:rFonts w:ascii="宋体" w:hAnsi="宋体" w:eastAsia="宋体"/>
      <w:color w:val="000000"/>
      <w:sz w:val="24"/>
      <w:lang w:bidi="ar-SA"/>
    </w:rPr>
  </w:style>
  <w:style w:type="paragraph" w:customStyle="1" w:styleId="134">
    <w:name w:val="样式 正文缩进 + 首行缩进:  2 字符"/>
    <w:basedOn w:val="4"/>
    <w:link w:val="133"/>
    <w:uiPriority w:val="0"/>
    <w:pPr>
      <w:spacing w:line="360" w:lineRule="auto"/>
      <w:ind w:firstLine="480"/>
    </w:pPr>
    <w:rPr>
      <w:rFonts w:ascii="宋体" w:hAnsi="宋体"/>
      <w:color w:val="000000"/>
      <w:kern w:val="0"/>
      <w:sz w:val="24"/>
      <w:szCs w:val="20"/>
    </w:rPr>
  </w:style>
  <w:style w:type="character" w:customStyle="1" w:styleId="135">
    <w:name w:val="ca-3"/>
    <w:basedOn w:val="44"/>
    <w:uiPriority w:val="0"/>
  </w:style>
  <w:style w:type="character" w:customStyle="1" w:styleId="136">
    <w:name w:val="Comment Text Char"/>
    <w:locked/>
    <w:uiPriority w:val="0"/>
    <w:rPr>
      <w:rFonts w:ascii="Times New Roman" w:hAnsi="Times New Roman" w:eastAsia="宋体" w:cs="Times New Roman"/>
      <w:kern w:val="0"/>
      <w:sz w:val="24"/>
      <w:szCs w:val="24"/>
      <w:lang w:val="zh-CN" w:eastAsia="zh-CN"/>
    </w:rPr>
  </w:style>
  <w:style w:type="paragraph" w:styleId="137">
    <w:name w:val=""/>
    <w:basedOn w:val="2"/>
    <w:next w:val="1"/>
    <w:qFormat/>
    <w:uiPriority w:val="0"/>
    <w:pPr>
      <w:widowControl/>
      <w:numPr>
        <w:ilvl w:val="0"/>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138">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39">
    <w:name w:val="(徐伟)正文"/>
    <w:basedOn w:val="1"/>
    <w:uiPriority w:val="0"/>
    <w:pPr>
      <w:spacing w:line="480" w:lineRule="exact"/>
      <w:ind w:firstLine="200" w:firstLineChars="200"/>
    </w:pPr>
    <w:rPr>
      <w:rFonts w:ascii="宋体" w:hAnsi="宋体"/>
      <w:sz w:val="24"/>
    </w:rPr>
  </w:style>
  <w:style w:type="paragraph" w:customStyle="1" w:styleId="140">
    <w:name w:val="(xw)小点"/>
    <w:basedOn w:val="1"/>
    <w:uiPriority w:val="0"/>
    <w:pPr>
      <w:ind w:firstLine="200" w:firstLineChars="200"/>
      <w:outlineLvl w:val="2"/>
    </w:pPr>
    <w:rPr>
      <w:rFonts w:eastAsia="楷体_GB2312"/>
      <w:sz w:val="28"/>
    </w:rPr>
  </w:style>
  <w:style w:type="paragraph" w:customStyle="1" w:styleId="141">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42">
    <w:name w:val="默认段落字体 Para Char Char Char Char"/>
    <w:basedOn w:val="1"/>
    <w:uiPriority w:val="0"/>
  </w:style>
  <w:style w:type="paragraph" w:customStyle="1" w:styleId="143">
    <w:name w:val="p0"/>
    <w:basedOn w:val="1"/>
    <w:uiPriority w:val="0"/>
    <w:pPr>
      <w:widowControl/>
    </w:pPr>
    <w:rPr>
      <w:kern w:val="0"/>
      <w:szCs w:val="21"/>
    </w:rPr>
  </w:style>
  <w:style w:type="paragraph" w:customStyle="1" w:styleId="144">
    <w:name w:val="正文 New"/>
    <w:uiPriority w:val="0"/>
    <w:pPr>
      <w:widowControl w:val="0"/>
      <w:jc w:val="both"/>
    </w:pPr>
    <w:rPr>
      <w:kern w:val="2"/>
      <w:sz w:val="21"/>
      <w:lang w:val="en-US" w:eastAsia="zh-CN" w:bidi="ar-SA"/>
    </w:rPr>
  </w:style>
  <w:style w:type="paragraph" w:customStyle="1" w:styleId="145">
    <w:name w:val=" Char Char Char Char Char Char Char Char Char Char"/>
    <w:basedOn w:val="1"/>
    <w:uiPriority w:val="0"/>
    <w:rPr>
      <w:rFonts w:ascii="Tahoma" w:hAnsi="Tahoma"/>
      <w:sz w:val="24"/>
      <w:szCs w:val="20"/>
    </w:rPr>
  </w:style>
  <w:style w:type="paragraph" w:customStyle="1" w:styleId="146">
    <w:name w:val="表内文字"/>
    <w:basedOn w:val="1"/>
    <w:uiPriority w:val="0"/>
    <w:pPr>
      <w:jc w:val="center"/>
    </w:pPr>
    <w:rPr>
      <w:color w:val="FF0000"/>
      <w:kern w:val="0"/>
      <w:sz w:val="24"/>
    </w:rPr>
  </w:style>
  <w:style w:type="paragraph" w:customStyle="1" w:styleId="147">
    <w:name w:val=" Char1"/>
    <w:basedOn w:val="1"/>
    <w:uiPriority w:val="0"/>
    <w:rPr>
      <w:szCs w:val="20"/>
    </w:rPr>
  </w:style>
  <w:style w:type="paragraph" w:customStyle="1" w:styleId="148">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49">
    <w:name w:val="表正文"/>
    <w:basedOn w:val="1"/>
    <w:next w:val="23"/>
    <w:qFormat/>
    <w:uiPriority w:val="0"/>
    <w:rPr>
      <w:rFonts w:ascii="宋体" w:hAnsi="Courier New"/>
      <w:szCs w:val="20"/>
    </w:rPr>
  </w:style>
  <w:style w:type="paragraph" w:customStyle="1" w:styleId="150">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51">
    <w:name w:val="编10号"/>
    <w:basedOn w:val="1"/>
    <w:uiPriority w:val="0"/>
    <w:pPr>
      <w:numPr>
        <w:ilvl w:val="3"/>
        <w:numId w:val="6"/>
      </w:numPr>
    </w:pPr>
  </w:style>
  <w:style w:type="paragraph" w:customStyle="1" w:styleId="152">
    <w:name w:val="正文 New New"/>
    <w:uiPriority w:val="0"/>
    <w:pPr>
      <w:widowControl w:val="0"/>
      <w:jc w:val="both"/>
    </w:pPr>
    <w:rPr>
      <w:kern w:val="2"/>
      <w:sz w:val="21"/>
      <w:lang w:val="en-US" w:eastAsia="zh-CN" w:bidi="ar-SA"/>
    </w:rPr>
  </w:style>
  <w:style w:type="paragraph" w:customStyle="1" w:styleId="153">
    <w:name w:val="标题2def"/>
    <w:basedOn w:val="38"/>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5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155">
    <w:name w:val="默认段落字体 Para Char Char Char Char Char Char Char Char Char1 Char Char Char Char"/>
    <w:basedOn w:val="1"/>
    <w:uiPriority w:val="0"/>
    <w:rPr>
      <w:rFonts w:ascii="Tahoma" w:hAnsi="Tahoma"/>
      <w:sz w:val="24"/>
      <w:szCs w:val="20"/>
    </w:rPr>
  </w:style>
  <w:style w:type="paragraph" w:customStyle="1" w:styleId="156">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7">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58">
    <w:name w:val="aspnumfaautoadjustrightr"/>
    <w:uiPriority w:val="0"/>
    <w:pPr>
      <w:widowControl w:val="0"/>
      <w:autoSpaceDE w:val="0"/>
      <w:autoSpaceDN w:val="0"/>
      <w:adjustRightInd w:val="0"/>
      <w:ind w:firstLine="720"/>
      <w:jc w:val="both"/>
    </w:pPr>
    <w:rPr>
      <w:lang w:val="en-US" w:eastAsia="zh-CN" w:bidi="ar-SA"/>
    </w:rPr>
  </w:style>
  <w:style w:type="paragraph" w:customStyle="1" w:styleId="159">
    <w:name w:val="正文缩近"/>
    <w:basedOn w:val="1"/>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60">
    <w:name w:val="段"/>
    <w:basedOn w:val="1"/>
    <w:uiPriority w:val="0"/>
    <w:pPr>
      <w:ind w:firstLine="425"/>
    </w:pPr>
    <w:rPr>
      <w:rFonts w:ascii="宋体"/>
      <w:szCs w:val="20"/>
    </w:rPr>
  </w:style>
  <w:style w:type="paragraph" w:customStyle="1" w:styleId="161">
    <w:name w:val="Char Char Char Char1"/>
    <w:basedOn w:val="1"/>
    <w:uiPriority w:val="0"/>
    <w:rPr>
      <w:rFonts w:ascii="Tahoma" w:hAnsi="Tahoma"/>
      <w:sz w:val="24"/>
      <w:szCs w:val="20"/>
    </w:rPr>
  </w:style>
  <w:style w:type="paragraph" w:customStyle="1" w:styleId="162">
    <w:name w:val="Default"/>
    <w:uiPriority w:val="0"/>
    <w:pPr>
      <w:widowControl w:val="0"/>
      <w:autoSpaceDE w:val="0"/>
      <w:autoSpaceDN w:val="0"/>
      <w:adjustRightInd w:val="0"/>
    </w:pPr>
    <w:rPr>
      <w:color w:val="000000"/>
      <w:sz w:val="24"/>
      <w:szCs w:val="24"/>
      <w:lang w:val="en-US" w:eastAsia="zh-CN" w:bidi="ar-SA"/>
    </w:rPr>
  </w:style>
  <w:style w:type="paragraph" w:customStyle="1" w:styleId="163">
    <w:name w:val="Char Char2 Char Char Char Char"/>
    <w:basedOn w:val="15"/>
    <w:uiPriority w:val="0"/>
    <w:rPr>
      <w:rFonts w:ascii="Tahoma" w:hAnsi="Tahoma"/>
      <w:sz w:val="24"/>
    </w:rPr>
  </w:style>
  <w:style w:type="paragraph" w:customStyle="1" w:styleId="164">
    <w:name w:val="Char Char Char 字元 字元"/>
    <w:basedOn w:val="1"/>
    <w:uiPriority w:val="0"/>
    <w:pPr>
      <w:spacing w:line="360" w:lineRule="auto"/>
      <w:ind w:firstLine="200" w:firstLineChars="200"/>
    </w:pPr>
    <w:rPr>
      <w:szCs w:val="20"/>
    </w:rPr>
  </w:style>
  <w:style w:type="paragraph" w:customStyle="1" w:styleId="165">
    <w:name w:val="Char Char1 Char Char Char Char Char Char"/>
    <w:basedOn w:val="1"/>
    <w:uiPriority w:val="0"/>
    <w:pPr>
      <w:widowControl/>
      <w:spacing w:after="160" w:line="240" w:lineRule="exact"/>
      <w:jc w:val="left"/>
    </w:pPr>
  </w:style>
  <w:style w:type="paragraph" w:customStyle="1" w:styleId="166">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67">
    <w:name w:val="Normal"/>
    <w:uiPriority w:val="0"/>
    <w:pPr>
      <w:widowControl w:val="0"/>
      <w:adjustRightInd w:val="0"/>
      <w:spacing w:line="312" w:lineRule="atLeast"/>
      <w:jc w:val="both"/>
    </w:pPr>
    <w:rPr>
      <w:rFonts w:ascii="宋体"/>
      <w:sz w:val="34"/>
      <w:lang w:val="en-US" w:eastAsia="zh-CN" w:bidi="ar-SA"/>
    </w:rPr>
  </w:style>
  <w:style w:type="paragraph" w:customStyle="1" w:styleId="168">
    <w:name w:val="正文缩进 New"/>
    <w:basedOn w:val="1"/>
    <w:uiPriority w:val="0"/>
    <w:pPr>
      <w:ind w:firstLine="420" w:firstLineChars="200"/>
    </w:pPr>
    <w:rPr>
      <w:szCs w:val="20"/>
    </w:rPr>
  </w:style>
  <w:style w:type="paragraph" w:customStyle="1" w:styleId="169">
    <w:name w:val="WW-正文文字缩进 2"/>
    <w:basedOn w:val="1"/>
    <w:uiPriority w:val="0"/>
    <w:pPr>
      <w:suppressAutoHyphens/>
      <w:ind w:firstLine="420"/>
    </w:pPr>
    <w:rPr>
      <w:kern w:val="1"/>
      <w:szCs w:val="20"/>
      <w:lang/>
    </w:rPr>
  </w:style>
  <w:style w:type="paragraph" w:customStyle="1" w:styleId="170">
    <w:name w:val="缺省文本"/>
    <w:basedOn w:val="1"/>
    <w:uiPriority w:val="0"/>
    <w:pPr>
      <w:autoSpaceDE w:val="0"/>
      <w:autoSpaceDN w:val="0"/>
      <w:adjustRightInd w:val="0"/>
      <w:jc w:val="left"/>
    </w:pPr>
    <w:rPr>
      <w:kern w:val="0"/>
      <w:sz w:val="24"/>
    </w:rPr>
  </w:style>
  <w:style w:type="paragraph" w:customStyle="1" w:styleId="171">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172">
    <w:name w:val="Char Char2 Char Char"/>
    <w:basedOn w:val="1"/>
    <w:uiPriority w:val="0"/>
    <w:pPr>
      <w:widowControl/>
      <w:spacing w:line="400" w:lineRule="exact"/>
      <w:jc w:val="center"/>
    </w:pPr>
    <w:rPr>
      <w:rFonts w:ascii="Verdana" w:hAnsi="Verdana"/>
      <w:kern w:val="0"/>
      <w:szCs w:val="20"/>
      <w:lang w:eastAsia="en-US"/>
    </w:rPr>
  </w:style>
  <w:style w:type="paragraph" w:customStyle="1" w:styleId="173">
    <w:name w:val="Char Char Char Char"/>
    <w:basedOn w:val="1"/>
    <w:uiPriority w:val="0"/>
    <w:pPr>
      <w:widowControl/>
      <w:spacing w:after="160" w:line="240" w:lineRule="exact"/>
      <w:jc w:val="left"/>
    </w:pPr>
    <w:rPr>
      <w:kern w:val="0"/>
      <w:sz w:val="24"/>
    </w:rPr>
  </w:style>
  <w:style w:type="paragraph" w:customStyle="1" w:styleId="17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5">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6">
    <w:name w:val="列出段落1"/>
    <w:basedOn w:val="1"/>
    <w:uiPriority w:val="0"/>
    <w:pPr>
      <w:adjustRightInd w:val="0"/>
      <w:spacing w:line="360" w:lineRule="auto"/>
      <w:ind w:firstLine="200" w:firstLineChars="200"/>
    </w:pPr>
    <w:rPr>
      <w:rFonts w:eastAsia="楷体_GB2312" w:cs="Lucida Sans"/>
      <w:sz w:val="24"/>
    </w:rPr>
  </w:style>
  <w:style w:type="paragraph" w:customStyle="1" w:styleId="177">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79">
    <w:name w:val="Char"/>
    <w:basedOn w:val="1"/>
    <w:uiPriority w:val="0"/>
    <w:rPr>
      <w:rFonts w:ascii="仿宋_GB2312" w:eastAsia="仿宋_GB2312"/>
      <w:b/>
      <w:sz w:val="32"/>
      <w:szCs w:val="32"/>
    </w:rPr>
  </w:style>
  <w:style w:type="paragraph" w:customStyle="1" w:styleId="180">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181">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82">
    <w:name w:val=" Char"/>
    <w:basedOn w:val="1"/>
    <w:uiPriority w:val="0"/>
    <w:pPr>
      <w:tabs>
        <w:tab w:val="left" w:pos="432"/>
      </w:tabs>
      <w:spacing w:before="156" w:beforeLines="50" w:after="156" w:afterLines="50"/>
      <w:ind w:left="432" w:hanging="432"/>
      <w:jc w:val="center"/>
    </w:pPr>
    <w:rPr>
      <w:sz w:val="24"/>
    </w:rPr>
  </w:style>
  <w:style w:type="paragraph" w:customStyle="1" w:styleId="183">
    <w:name w:val="Char Char Char"/>
    <w:basedOn w:val="15"/>
    <w:uiPriority w:val="0"/>
    <w:rPr>
      <w:rFonts w:ascii="Tahoma" w:hAnsi="Tahoma"/>
      <w:sz w:val="24"/>
    </w:rPr>
  </w:style>
  <w:style w:type="paragraph" w:customStyle="1" w:styleId="184">
    <w:name w:val=" Char Char Char1 Char Char Char1 Char Char Char Char"/>
    <w:basedOn w:val="1"/>
    <w:uiPriority w:val="0"/>
  </w:style>
  <w:style w:type="paragraph" w:customStyle="1" w:styleId="185">
    <w:name w:val=" Char Char27"/>
    <w:basedOn w:val="1"/>
    <w:uiPriority w:val="0"/>
    <w:pPr>
      <w:snapToGrid w:val="0"/>
      <w:spacing w:line="360" w:lineRule="auto"/>
    </w:pPr>
    <w:rPr>
      <w:rFonts w:ascii="Arial" w:hAnsi="Arial" w:eastAsia="黑体"/>
      <w:snapToGrid w:val="0"/>
      <w:kern w:val="0"/>
      <w:sz w:val="20"/>
      <w:szCs w:val="21"/>
      <w:lang/>
    </w:rPr>
  </w:style>
  <w:style w:type="paragraph" w:customStyle="1" w:styleId="186">
    <w:name w:val="_Style 11"/>
    <w:basedOn w:val="1"/>
    <w:uiPriority w:val="0"/>
    <w:rPr>
      <w:rFonts w:ascii="Tahoma" w:hAnsi="Tahoma"/>
      <w:sz w:val="24"/>
      <w:szCs w:val="20"/>
    </w:rPr>
  </w:style>
  <w:style w:type="paragraph" w:customStyle="1" w:styleId="187">
    <w:name w:val="标题3def"/>
    <w:basedOn w:val="5"/>
    <w:next w:val="1"/>
    <w:uiPriority w:val="0"/>
    <w:pPr>
      <w:numPr>
        <w:ilvl w:val="0"/>
        <w:numId w:val="0"/>
      </w:numPr>
      <w:adjustRightInd w:val="0"/>
      <w:snapToGrid w:val="0"/>
      <w:spacing w:before="80" w:after="160" w:line="400" w:lineRule="exact"/>
    </w:pPr>
    <w:rPr>
      <w:rFonts w:ascii="仿宋_GB2312" w:hAnsi="宋体"/>
      <w:sz w:val="24"/>
    </w:rPr>
  </w:style>
  <w:style w:type="paragraph" w:customStyle="1" w:styleId="188">
    <w:name w:val="正文文本缩进 21"/>
    <w:basedOn w:val="1"/>
    <w:uiPriority w:val="0"/>
    <w:pPr>
      <w:spacing w:line="520" w:lineRule="exact"/>
      <w:ind w:firstLine="848" w:firstLineChars="303"/>
    </w:pPr>
    <w:rPr>
      <w:rFonts w:ascii="黑体" w:hAnsi="Calibri" w:eastAsia="黑体" w:cs="黑体"/>
      <w:sz w:val="28"/>
      <w:szCs w:val="22"/>
    </w:rPr>
  </w:style>
  <w:style w:type="paragraph" w:customStyle="1" w:styleId="189">
    <w:name w:val="模板普通正文"/>
    <w:basedOn w:val="19"/>
    <w:uiPriority w:val="0"/>
    <w:pPr>
      <w:spacing w:before="50" w:beforeLines="50" w:after="10" w:line="360" w:lineRule="auto"/>
      <w:ind w:left="0" w:leftChars="0" w:firstLine="175" w:firstLineChars="175"/>
      <w:jc w:val="left"/>
    </w:pPr>
    <w:rPr>
      <w:sz w:val="24"/>
    </w:rPr>
  </w:style>
  <w:style w:type="paragraph" w:customStyle="1" w:styleId="190">
    <w:name w:val="样式 列表编号 + 段后: 0.5 行"/>
    <w:basedOn w:val="13"/>
    <w:uiPriority w:val="0"/>
    <w:pPr>
      <w:numPr>
        <w:ilvl w:val="0"/>
        <w:numId w:val="0"/>
      </w:numPr>
      <w:tabs>
        <w:tab w:val="left" w:pos="840"/>
      </w:tabs>
      <w:spacing w:after="120" w:afterLines="0"/>
      <w:ind w:left="425" w:hanging="425"/>
    </w:pPr>
    <w:rPr>
      <w:rFonts w:cs="宋体"/>
    </w:rPr>
  </w:style>
  <w:style w:type="paragraph" w:customStyle="1" w:styleId="191">
    <w:name w:val="自定义表格文字"/>
    <w:basedOn w:val="1"/>
    <w:uiPriority w:val="0"/>
    <w:pPr>
      <w:spacing w:before="60" w:after="60" w:line="320" w:lineRule="exact"/>
      <w:jc w:val="left"/>
    </w:pPr>
    <w:rPr>
      <w:rFonts w:ascii="宋体" w:eastAsia="楷体_GB2312"/>
    </w:rPr>
  </w:style>
  <w:style w:type="paragraph" w:customStyle="1" w:styleId="192">
    <w:name w:val="项目1"/>
    <w:basedOn w:val="1"/>
    <w:uiPriority w:val="0"/>
    <w:pPr>
      <w:tabs>
        <w:tab w:val="left" w:pos="840"/>
      </w:tabs>
      <w:spacing w:after="60"/>
      <w:ind w:left="840" w:hanging="420"/>
    </w:pPr>
    <w:rPr>
      <w:rFonts w:ascii="宋体"/>
      <w:spacing w:val="4"/>
      <w:szCs w:val="20"/>
    </w:rPr>
  </w:style>
  <w:style w:type="paragraph" w:customStyle="1" w:styleId="193">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194">
    <w:name w:val="(xw)小节"/>
    <w:basedOn w:val="1"/>
    <w:uiPriority w:val="0"/>
    <w:pPr>
      <w:spacing w:line="360" w:lineRule="auto"/>
      <w:ind w:firstLine="200" w:firstLineChars="200"/>
      <w:outlineLvl w:val="1"/>
    </w:pPr>
    <w:rPr>
      <w:rFonts w:eastAsia="黑体"/>
      <w:sz w:val="30"/>
    </w:rPr>
  </w:style>
  <w:style w:type="paragraph" w:customStyle="1" w:styleId="195">
    <w:name w:val="xl25"/>
    <w:basedOn w:val="1"/>
    <w:uiPriority w:val="0"/>
    <w:pPr>
      <w:widowControl/>
      <w:numPr>
        <w:ilvl w:val="0"/>
        <w:numId w:val="7"/>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196">
    <w:name w:val="Char Char1 Char Char Char Char1 Char Char Char"/>
    <w:basedOn w:val="1"/>
    <w:uiPriority w:val="0"/>
    <w:pPr>
      <w:adjustRightInd w:val="0"/>
      <w:spacing w:line="360" w:lineRule="atLeast"/>
    </w:pPr>
    <w:rPr>
      <w:rFonts w:ascii="Tahoma" w:hAnsi="Tahoma"/>
      <w:sz w:val="24"/>
      <w:szCs w:val="20"/>
    </w:rPr>
  </w:style>
  <w:style w:type="paragraph" w:customStyle="1" w:styleId="197">
    <w:name w:val="List Paragraph"/>
    <w:basedOn w:val="1"/>
    <w:uiPriority w:val="0"/>
    <w:pPr>
      <w:ind w:firstLine="420" w:firstLineChars="200"/>
    </w:pPr>
    <w:rPr>
      <w:rFonts w:ascii="Calibri" w:hAnsi="Calibri"/>
      <w:szCs w:val="22"/>
    </w:rPr>
  </w:style>
  <w:style w:type="paragraph" w:customStyle="1" w:styleId="198">
    <w:name w:val="Char1 Char Char Char Char Char Char"/>
    <w:basedOn w:val="1"/>
    <w:uiPriority w:val="0"/>
    <w:rPr>
      <w:rFonts w:ascii="Tahoma" w:hAnsi="Tahoma"/>
      <w:sz w:val="24"/>
      <w:szCs w:val="20"/>
    </w:rPr>
  </w:style>
  <w:style w:type="paragraph" w:styleId="199">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00">
    <w:name w:val="font7"/>
    <w:basedOn w:val="1"/>
    <w:uiPriority w:val="0"/>
    <w:pPr>
      <w:widowControl/>
      <w:spacing w:before="100" w:beforeAutospacing="1" w:after="100" w:afterAutospacing="1"/>
      <w:jc w:val="left"/>
    </w:pPr>
    <w:rPr>
      <w:rFonts w:hint="eastAsia" w:ascii="宋体" w:hAnsi="宋体"/>
      <w:kern w:val="0"/>
      <w:szCs w:val="21"/>
    </w:rPr>
  </w:style>
  <w:style w:type="paragraph" w:customStyle="1" w:styleId="201">
    <w:name w:val="xl67"/>
    <w:basedOn w:val="1"/>
    <w:uiPriority w:val="0"/>
    <w:pPr>
      <w:widowControl/>
      <w:shd w:val="clear" w:color="000000" w:fill="00B050"/>
      <w:spacing w:before="100" w:beforeAutospacing="1" w:after="100" w:afterAutospacing="1"/>
      <w:jc w:val="left"/>
    </w:pPr>
    <w:rPr>
      <w:rFonts w:ascii="宋体" w:hAnsi="宋体" w:cs="宋体"/>
      <w:kern w:val="0"/>
      <w:sz w:val="24"/>
    </w:rPr>
  </w:style>
  <w:style w:type="paragraph" w:customStyle="1" w:styleId="20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20"/>
      <w:szCs w:val="20"/>
    </w:rPr>
  </w:style>
  <w:style w:type="paragraph" w:customStyle="1" w:styleId="20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0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0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0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0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0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0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1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1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1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1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1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1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1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1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1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19">
    <w:name w:val="正文（缩进）"/>
    <w:basedOn w:val="1"/>
    <w:qFormat/>
    <w:uiPriority w:val="0"/>
    <w:pPr>
      <w:spacing w:beforeLines="50" w:afterLines="50" w:line="360" w:lineRule="auto"/>
      <w:ind w:firstLine="200" w:firstLineChars="200"/>
    </w:pPr>
    <w:rPr>
      <w:sz w:val="24"/>
    </w:rPr>
  </w:style>
  <w:style w:type="paragraph" w:customStyle="1" w:styleId="22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221">
    <w:name w:val="正文文本 3 Char"/>
    <w:basedOn w:val="44"/>
    <w:link w:val="17"/>
    <w:uiPriority w:val="0"/>
    <w:rPr>
      <w:kern w:val="2"/>
      <w:sz w:val="16"/>
      <w:szCs w:val="16"/>
    </w:rPr>
  </w:style>
  <w:style w:type="paragraph" w:customStyle="1" w:styleId="222">
    <w:name w:val="正文文字 8"/>
    <w:next w:val="1"/>
    <w:uiPriority w:val="0"/>
    <w:pPr>
      <w:widowControl w:val="0"/>
      <w:numPr>
        <w:ilvl w:val="1"/>
        <w:numId w:val="8"/>
      </w:numPr>
      <w:ind w:left="805"/>
      <w:jc w:val="both"/>
    </w:pPr>
    <w:rPr>
      <w:kern w:val="2"/>
      <w:sz w:val="16"/>
      <w:lang w:val="en-US" w:eastAsia="zh-CN" w:bidi="ar-SA"/>
    </w:rPr>
  </w:style>
  <w:style w:type="paragraph" w:customStyle="1" w:styleId="223">
    <w:name w:val="正文_13"/>
    <w:uiPriority w:val="0"/>
    <w:pPr>
      <w:widowControl w:val="0"/>
      <w:jc w:val="both"/>
    </w:pPr>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8.xml" Type="http://schemas.openxmlformats.org/officeDocument/2006/relationships/footer"/><Relationship Id="rId11" Target="footer9.xml" Type="http://schemas.openxmlformats.org/officeDocument/2006/relationships/footer"/><Relationship Id="rId12" Target="footer10.xml" Type="http://schemas.openxmlformats.org/officeDocument/2006/relationships/footer"/><Relationship Id="rId13" Target="footer11.xml" Type="http://schemas.openxmlformats.org/officeDocument/2006/relationships/footer"/><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footer7.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40645</Words>
  <Characters>43491</Characters>
  <Lines>1890</Lines>
  <Paragraphs>2103</Paragraphs>
  <TotalTime>0</TotalTime>
  <ScaleCrop>false</ScaleCrop>
  <LinksUpToDate>false</LinksUpToDate>
  <CharactersWithSpaces>82033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2019-08-01T02:47:00Z</dcterms:created>
  <dc:creator>USER</dc:creator>
  <cp:lastModifiedBy>WPS_1701756769</cp:lastModifiedBy>
  <cp:lastPrinted>2020-09-18T09:33:00Z</cp:lastPrinted>
  <dcterms:modified xsi:type="dcterms:W3CDTF">2024-02-22T10:26:25Z</dcterms:modified>
  <cp:revision>108</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f2452c33_mFV0yj84JSk0PcpOknv5qXjH+Tg=_8QYrr0FLPzY2P91PmHP1r2kan7Jc6wusISXBvzxkmPTKSeAqfiE3PjAQRRvAjyjrQliG5AufAlV7ScPLP7FVGeVd2R1mtQ==_e762a7cc</vt:lpwstr>
  </property>
  <property fmtid="{D5CDD505-2E9C-101B-9397-08002B2CF9AE}" pid="4" name="ICV">
    <vt:lpwstr>02AB6173501D49B6B62240347F47D7F5_13</vt:lpwstr>
  </property>
</Properties>
</file>