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EA8E8">
      <w:pPr>
        <w:widowControl/>
        <w:spacing w:line="700" w:lineRule="exact"/>
        <w:rPr>
          <w:rFonts w:hint="default" w:asciiTheme="minorEastAsia" w:hAnsiTheme="minorEastAsia" w:eastAsiaTheme="minorEastAsia"/>
          <w:b/>
          <w:sz w:val="28"/>
          <w:szCs w:val="28"/>
          <w:u w:val="none"/>
          <w:lang w:val="en-US" w:eastAsia="zh-CN"/>
        </w:rPr>
      </w:pPr>
      <w:r>
        <w:rPr>
          <w:rFonts w:hint="eastAsia" w:asciiTheme="minorEastAsia" w:hAnsiTheme="minorEastAsia" w:eastAsiaTheme="minorEastAsia"/>
          <w:b/>
          <w:sz w:val="28"/>
          <w:szCs w:val="28"/>
          <w:u w:val="none"/>
          <w:lang w:val="en-US" w:eastAsia="zh-CN"/>
        </w:rPr>
        <w:t>附件1：更正后设备参数要求</w:t>
      </w:r>
    </w:p>
    <w:tbl>
      <w:tblPr>
        <w:tblStyle w:val="8"/>
        <w:tblW w:w="10020" w:type="dxa"/>
        <w:tblInd w:w="-559" w:type="dxa"/>
        <w:tblLayout w:type="autofit"/>
        <w:tblCellMar>
          <w:top w:w="0" w:type="dxa"/>
          <w:left w:w="108" w:type="dxa"/>
          <w:bottom w:w="0" w:type="dxa"/>
          <w:right w:w="108" w:type="dxa"/>
        </w:tblCellMar>
      </w:tblPr>
      <w:tblGrid>
        <w:gridCol w:w="756"/>
        <w:gridCol w:w="1197"/>
        <w:gridCol w:w="6807"/>
        <w:gridCol w:w="695"/>
        <w:gridCol w:w="565"/>
      </w:tblGrid>
      <w:tr w14:paraId="3A2B5B0B">
        <w:tblPrEx>
          <w:tblCellMar>
            <w:top w:w="0" w:type="dxa"/>
            <w:left w:w="108" w:type="dxa"/>
            <w:bottom w:w="0" w:type="dxa"/>
            <w:right w:w="108" w:type="dxa"/>
          </w:tblCellMar>
        </w:tblPrEx>
        <w:trPr>
          <w:trHeight w:val="288"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14:paraId="3A667952">
            <w:pPr>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197" w:type="dxa"/>
            <w:tcBorders>
              <w:top w:val="single" w:color="auto" w:sz="4" w:space="0"/>
              <w:left w:val="nil"/>
              <w:bottom w:val="single" w:color="auto" w:sz="4" w:space="0"/>
              <w:right w:val="single" w:color="auto" w:sz="4" w:space="0"/>
            </w:tcBorders>
            <w:noWrap w:val="0"/>
            <w:vAlign w:val="center"/>
          </w:tcPr>
          <w:p w14:paraId="26874BD6">
            <w:pPr>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  目</w:t>
            </w:r>
          </w:p>
        </w:tc>
        <w:tc>
          <w:tcPr>
            <w:tcW w:w="6807" w:type="dxa"/>
            <w:tcBorders>
              <w:top w:val="single" w:color="auto" w:sz="4" w:space="0"/>
              <w:left w:val="nil"/>
              <w:bottom w:val="single" w:color="auto" w:sz="4" w:space="0"/>
              <w:right w:val="single" w:color="auto" w:sz="4" w:space="0"/>
            </w:tcBorders>
            <w:noWrap w:val="0"/>
            <w:vAlign w:val="center"/>
          </w:tcPr>
          <w:p w14:paraId="6106EA53">
            <w:pPr>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规格型号</w:t>
            </w:r>
          </w:p>
        </w:tc>
        <w:tc>
          <w:tcPr>
            <w:tcW w:w="695" w:type="dxa"/>
            <w:tcBorders>
              <w:top w:val="single" w:color="auto" w:sz="4" w:space="0"/>
              <w:left w:val="nil"/>
              <w:bottom w:val="single" w:color="auto" w:sz="4" w:space="0"/>
              <w:right w:val="single" w:color="auto" w:sz="4" w:space="0"/>
            </w:tcBorders>
            <w:noWrap w:val="0"/>
            <w:vAlign w:val="center"/>
          </w:tcPr>
          <w:p w14:paraId="7C36DB7C">
            <w:pPr>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565" w:type="dxa"/>
            <w:tcBorders>
              <w:top w:val="single" w:color="auto" w:sz="4" w:space="0"/>
              <w:left w:val="nil"/>
              <w:bottom w:val="single" w:color="auto" w:sz="4" w:space="0"/>
              <w:right w:val="single" w:color="auto" w:sz="4" w:space="0"/>
            </w:tcBorders>
            <w:noWrap w:val="0"/>
            <w:vAlign w:val="center"/>
          </w:tcPr>
          <w:p w14:paraId="632DD1A1">
            <w:pPr>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r>
      <w:tr w14:paraId="18C358DD">
        <w:tblPrEx>
          <w:tblCellMar>
            <w:top w:w="0" w:type="dxa"/>
            <w:left w:w="108" w:type="dxa"/>
            <w:bottom w:w="0" w:type="dxa"/>
            <w:right w:w="108" w:type="dxa"/>
          </w:tblCellMar>
        </w:tblPrEx>
        <w:trPr>
          <w:trHeight w:val="1833" w:hRule="atLeast"/>
        </w:trPr>
        <w:tc>
          <w:tcPr>
            <w:tcW w:w="756" w:type="dxa"/>
            <w:vMerge w:val="restart"/>
            <w:tcBorders>
              <w:top w:val="nil"/>
              <w:left w:val="single" w:color="auto" w:sz="4" w:space="0"/>
              <w:right w:val="single" w:color="auto" w:sz="4" w:space="0"/>
            </w:tcBorders>
            <w:noWrap w:val="0"/>
            <w:vAlign w:val="center"/>
          </w:tcPr>
          <w:p w14:paraId="48E07CA5">
            <w:pPr>
              <w:jc w:val="center"/>
              <w:rPr>
                <w:rFonts w:hint="eastAsia"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1</w:t>
            </w:r>
          </w:p>
        </w:tc>
        <w:tc>
          <w:tcPr>
            <w:tcW w:w="1197" w:type="dxa"/>
            <w:vMerge w:val="restart"/>
            <w:tcBorders>
              <w:top w:val="nil"/>
              <w:left w:val="nil"/>
              <w:right w:val="single" w:color="auto" w:sz="4" w:space="0"/>
            </w:tcBorders>
            <w:noWrap w:val="0"/>
            <w:vAlign w:val="center"/>
          </w:tcPr>
          <w:p w14:paraId="5FC37D64">
            <w:pPr>
              <w:jc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拓展训练组合</w:t>
            </w:r>
          </w:p>
        </w:tc>
        <w:tc>
          <w:tcPr>
            <w:tcW w:w="6807" w:type="dxa"/>
            <w:tcBorders>
              <w:top w:val="nil"/>
              <w:left w:val="nil"/>
              <w:bottom w:val="single" w:color="auto" w:sz="4" w:space="0"/>
              <w:right w:val="single" w:color="auto" w:sz="4" w:space="0"/>
            </w:tcBorders>
            <w:noWrap w:val="0"/>
            <w:vAlign w:val="center"/>
          </w:tcPr>
          <w:p w14:paraId="3D5ACE1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一、拓展组合主体</w:t>
            </w:r>
          </w:p>
          <w:p w14:paraId="6E34B56C">
            <w:pPr>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尺寸：≥15m*12m*5m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功能：(包含但不限于以下内容)</w:t>
            </w:r>
          </w:p>
          <w:p w14:paraId="4116A499">
            <w:pPr>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不同尺寸造型平台≥5个、滑索≥1套、光影造型顶≥4个、网桥≥1个、上下网通≥2个、楼梯≥1个、木头爬坡≥1个、多功能组合爬坡≥1套、旋转楼梯≥1个、斜爬网≥1个、S滑梯≥1个、桶滑梯≥1个、传声筒≥1套、荡球≥2个、平衡爬网≥1套、荡绳≥1套、平衡墩≥1套、储纳柜≥1套、体能旋转滑梯≥1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主要材质：镀锌钢管、彩色PC板、芬兰木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1.芬兰木：表面进行防腐、防火、防蛀处理，后采用原子灰进行两次刮灰抹平，并打磨光滑，表面再喷室外专用环保面漆。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镀锌钢管：立柱采用不小于Ф100mm，其他采用Ф60mm、Ф48mm、Ф36mm、Ф32mm、Ф28mm，壁厚为不小于2.5mm镀锌钢管，焊接采用氩弧焊及CO2气体保护焊，整体加工成型后需经除油、磷化、抛砂处理后，表面再经过静电粉末喷涂流水线高温固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3.塑料件：采用LLDPE滚塑专用料经滚塑成形，塑料壁厚6mm及以上，色彩艳丽，抗紫外光（UV）能力达到8级及以上，符合食品级标准，抗静电能力强，安全环保，耐候性好，强度高。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4、彩色pc板：采用不小于20mm透明高性能聚碳酸酯PC板，所有边缘均倒不小于R3mm圆角；工艺要求：颜色鲜艳、透明度高、强度高、抗冲击、隔热、难燃、抗老化等特点。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5.绳网：采用直径不小于16mm航海船用高强度缆绳，中芯不少于6股钢丝绳外套胶管，外层再覆以变色锦纶编织绳，强度大，抗磨损，耐腐蚀，安全性能好，间距符合安全标准，长期使用不变形。</w:t>
            </w:r>
          </w:p>
          <w:p w14:paraId="76D3B4FC">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提供GB/T20118-2017依据的检测报告，检测内容需包含:破断拉力。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6.五金零件：SUS（304）不锈钢半圆头，T型平头螺丝；表面处理：机械抛光；接触面之材料及结合角铁均经导圆角处理，五金零件为圆头处理。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7.油漆处理:木制部分为木蜡油工艺，铁件部分为氟碳漆工艺处理。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8.立柱固定方式：混凝土预埋支架深度≥30cm（根据实际场地调整选择预埋或者以膨胀螺丝加固）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sz w:val="24"/>
                <w:szCs w:val="24"/>
                <w:highlight w:val="none"/>
              </w:rPr>
              <w:t xml:space="preserve">                                                                       </w:t>
            </w:r>
          </w:p>
        </w:tc>
        <w:tc>
          <w:tcPr>
            <w:tcW w:w="695" w:type="dxa"/>
            <w:vMerge w:val="restart"/>
            <w:tcBorders>
              <w:top w:val="nil"/>
              <w:left w:val="nil"/>
              <w:right w:val="single" w:color="auto" w:sz="4" w:space="0"/>
            </w:tcBorders>
            <w:noWrap w:val="0"/>
            <w:vAlign w:val="center"/>
          </w:tcPr>
          <w:p w14:paraId="5BB5A9DA">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p w14:paraId="1A8056CB">
            <w:pPr>
              <w:jc w:val="center"/>
              <w:rPr>
                <w:rFonts w:hint="eastAsia" w:ascii="仿宋" w:hAnsi="仿宋" w:eastAsia="仿宋" w:cs="仿宋"/>
                <w:i w:val="0"/>
                <w:iCs w:val="0"/>
                <w:color w:val="000000"/>
                <w:kern w:val="0"/>
                <w:sz w:val="24"/>
                <w:szCs w:val="24"/>
                <w:u w:val="none"/>
                <w:lang w:val="en-US" w:eastAsia="zh-CN" w:bidi="ar"/>
              </w:rPr>
            </w:pPr>
          </w:p>
        </w:tc>
        <w:tc>
          <w:tcPr>
            <w:tcW w:w="565" w:type="dxa"/>
            <w:vMerge w:val="restart"/>
            <w:tcBorders>
              <w:top w:val="nil"/>
              <w:left w:val="nil"/>
              <w:right w:val="single" w:color="auto" w:sz="4" w:space="0"/>
            </w:tcBorders>
            <w:noWrap w:val="0"/>
            <w:vAlign w:val="center"/>
          </w:tcPr>
          <w:p w14:paraId="0D244DA8">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p w14:paraId="4ACF84C5">
            <w:pPr>
              <w:jc w:val="center"/>
              <w:rPr>
                <w:rFonts w:hint="eastAsia" w:ascii="仿宋" w:hAnsi="仿宋" w:eastAsia="仿宋" w:cs="仿宋"/>
                <w:i w:val="0"/>
                <w:iCs w:val="0"/>
                <w:color w:val="000000"/>
                <w:kern w:val="0"/>
                <w:sz w:val="24"/>
                <w:szCs w:val="24"/>
                <w:u w:val="none"/>
                <w:lang w:val="en-US" w:eastAsia="zh-CN" w:bidi="ar"/>
              </w:rPr>
            </w:pPr>
          </w:p>
        </w:tc>
      </w:tr>
      <w:tr w14:paraId="05F5192F">
        <w:tblPrEx>
          <w:tblCellMar>
            <w:top w:w="0" w:type="dxa"/>
            <w:left w:w="108" w:type="dxa"/>
            <w:bottom w:w="0" w:type="dxa"/>
            <w:right w:w="108" w:type="dxa"/>
          </w:tblCellMar>
        </w:tblPrEx>
        <w:trPr>
          <w:trHeight w:val="4239" w:hRule="atLeast"/>
        </w:trPr>
        <w:tc>
          <w:tcPr>
            <w:tcW w:w="756" w:type="dxa"/>
            <w:vMerge w:val="continue"/>
            <w:tcBorders>
              <w:left w:val="single" w:color="auto" w:sz="4" w:space="0"/>
              <w:bottom w:val="single" w:color="auto" w:sz="4" w:space="0"/>
              <w:right w:val="single" w:color="auto" w:sz="4" w:space="0"/>
            </w:tcBorders>
            <w:noWrap w:val="0"/>
            <w:vAlign w:val="center"/>
          </w:tcPr>
          <w:p w14:paraId="00711C9A">
            <w:pPr>
              <w:widowControl/>
              <w:jc w:val="center"/>
              <w:rPr>
                <w:rFonts w:hint="eastAsia" w:ascii="宋体" w:hAnsi="宋体" w:eastAsia="宋体" w:cs="宋体"/>
                <w:kern w:val="0"/>
                <w:sz w:val="24"/>
              </w:rPr>
            </w:pPr>
          </w:p>
        </w:tc>
        <w:tc>
          <w:tcPr>
            <w:tcW w:w="1197" w:type="dxa"/>
            <w:vMerge w:val="continue"/>
            <w:tcBorders>
              <w:left w:val="nil"/>
              <w:bottom w:val="single" w:color="auto" w:sz="4" w:space="0"/>
              <w:right w:val="single" w:color="auto" w:sz="4" w:space="0"/>
            </w:tcBorders>
            <w:noWrap w:val="0"/>
            <w:vAlign w:val="center"/>
          </w:tcPr>
          <w:p w14:paraId="34D277D4">
            <w:pPr>
              <w:jc w:val="left"/>
              <w:rPr>
                <w:rFonts w:hint="eastAsia" w:ascii="宋体" w:hAnsi="宋体" w:eastAsia="宋体" w:cs="宋体"/>
                <w:sz w:val="24"/>
              </w:rPr>
            </w:pPr>
          </w:p>
        </w:tc>
        <w:tc>
          <w:tcPr>
            <w:tcW w:w="6807" w:type="dxa"/>
            <w:tcBorders>
              <w:top w:val="nil"/>
              <w:left w:val="nil"/>
              <w:bottom w:val="single" w:color="auto" w:sz="4" w:space="0"/>
              <w:right w:val="single" w:color="auto" w:sz="4" w:space="0"/>
            </w:tcBorders>
            <w:noWrap w:val="0"/>
            <w:vAlign w:val="center"/>
          </w:tcPr>
          <w:p w14:paraId="42270DFF">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体能旋转滑梯</w:t>
            </w:r>
          </w:p>
          <w:p w14:paraId="55B78D4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规格：高于240cm</w:t>
            </w:r>
          </w:p>
          <w:p w14:paraId="2D694F9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1.塑料件：工程塑料，塑料壁厚6mm以上，色彩艳丽，抗紫外光（UV）能力达到8级，符合食品级标准，抗静电能力强，安全环保，耐候性好，强度高。</w:t>
            </w:r>
          </w:p>
          <w:p w14:paraId="7C3888D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2.镀锌钢管：采用Ф60mm、Ф48mm、Ф3mm、Ф32mm、Ф28mm，壁厚≥2.5mm镀锌钢管，焊接采用氩弧焊及CO2气体保护焊，整体加工成型后进行除油、磷化、抛砂处理后，表面再经过静电粉末喷涂流水线高温固化。</w:t>
            </w:r>
          </w:p>
          <w:p w14:paraId="342A1EF2">
            <w:pPr>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提供GB/T 27689-2011《无动力类游乐设施儿童滑梯》、GB/T34272-2017《小型游乐设施 安全规范》依据的检测报告检测内容需包含:材料燃烧性能、邻苯二甲酸酯含量(%) 、承载性能 、耐拉力性能。</w:t>
            </w:r>
            <w:r>
              <w:rPr>
                <w:rFonts w:hint="eastAsia" w:ascii="宋体" w:hAnsi="宋体" w:eastAsia="宋体" w:cs="宋体"/>
                <w:color w:val="000000"/>
                <w:sz w:val="24"/>
                <w:szCs w:val="24"/>
                <w:highlight w:val="none"/>
              </w:rPr>
              <w:t xml:space="preserve">                                     </w:t>
            </w:r>
          </w:p>
        </w:tc>
        <w:tc>
          <w:tcPr>
            <w:tcW w:w="695" w:type="dxa"/>
            <w:vMerge w:val="continue"/>
            <w:tcBorders>
              <w:left w:val="nil"/>
              <w:bottom w:val="single" w:color="auto" w:sz="4" w:space="0"/>
              <w:right w:val="single" w:color="auto" w:sz="4" w:space="0"/>
            </w:tcBorders>
            <w:noWrap w:val="0"/>
            <w:vAlign w:val="center"/>
          </w:tcPr>
          <w:p w14:paraId="6AFE0BFA">
            <w:pPr>
              <w:jc w:val="left"/>
              <w:rPr>
                <w:rFonts w:ascii="仿宋" w:hAnsi="仿宋" w:eastAsia="仿宋"/>
                <w:sz w:val="24"/>
              </w:rPr>
            </w:pPr>
          </w:p>
        </w:tc>
        <w:tc>
          <w:tcPr>
            <w:tcW w:w="565" w:type="dxa"/>
            <w:vMerge w:val="continue"/>
            <w:tcBorders>
              <w:left w:val="nil"/>
              <w:bottom w:val="single" w:color="auto" w:sz="4" w:space="0"/>
              <w:right w:val="single" w:color="auto" w:sz="4" w:space="0"/>
            </w:tcBorders>
            <w:noWrap w:val="0"/>
            <w:vAlign w:val="center"/>
          </w:tcPr>
          <w:p w14:paraId="571CDB09">
            <w:pPr>
              <w:jc w:val="left"/>
              <w:rPr>
                <w:rFonts w:ascii="仿宋" w:hAnsi="仿宋" w:eastAsia="仿宋"/>
                <w:sz w:val="24"/>
              </w:rPr>
            </w:pPr>
          </w:p>
        </w:tc>
      </w:tr>
    </w:tbl>
    <w:p w14:paraId="1CB4A4F5">
      <w:pPr>
        <w:widowControl/>
        <w:spacing w:line="700" w:lineRule="exact"/>
        <w:rPr>
          <w:rFonts w:hint="default" w:asciiTheme="minorEastAsia" w:hAnsiTheme="minorEastAsia" w:eastAsiaTheme="minorEastAsia"/>
          <w:b/>
          <w:sz w:val="28"/>
          <w:szCs w:val="28"/>
          <w:u w:val="single"/>
          <w:lang w:val="en-US" w:eastAsia="zh-CN"/>
        </w:rPr>
      </w:pPr>
      <w:r>
        <w:rPr>
          <w:rFonts w:hint="eastAsia" w:asciiTheme="minorEastAsia" w:hAnsiTheme="minorEastAsia" w:eastAsiaTheme="minorEastAsia"/>
          <w:b/>
          <w:sz w:val="28"/>
          <w:szCs w:val="28"/>
          <w:u w:val="none"/>
          <w:lang w:val="en-US" w:eastAsia="zh-CN"/>
        </w:rPr>
        <w:t>附件2：更正后评分细则</w:t>
      </w:r>
    </w:p>
    <w:tbl>
      <w:tblPr>
        <w:tblStyle w:val="8"/>
        <w:tblW w:w="9648"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95"/>
        <w:gridCol w:w="7513"/>
      </w:tblGrid>
      <w:tr w14:paraId="1C5C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40" w:type="dxa"/>
            <w:noWrap w:val="0"/>
            <w:vAlign w:val="center"/>
          </w:tcPr>
          <w:p w14:paraId="2CAC45B7">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95" w:type="dxa"/>
            <w:noWrap w:val="0"/>
            <w:vAlign w:val="center"/>
          </w:tcPr>
          <w:p w14:paraId="54706C44">
            <w:pPr>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7513" w:type="dxa"/>
            <w:noWrap w:val="0"/>
            <w:vAlign w:val="center"/>
          </w:tcPr>
          <w:p w14:paraId="2B383CDD">
            <w:pPr>
              <w:jc w:val="center"/>
              <w:rPr>
                <w:rFonts w:hint="eastAsia" w:ascii="宋体" w:hAnsi="宋体" w:eastAsia="宋体" w:cs="宋体"/>
                <w:b/>
                <w:bCs/>
                <w:sz w:val="24"/>
                <w:szCs w:val="24"/>
              </w:rPr>
            </w:pPr>
            <w:r>
              <w:rPr>
                <w:rFonts w:hint="eastAsia" w:ascii="宋体" w:hAnsi="宋体" w:eastAsia="宋体" w:cs="宋体"/>
                <w:b/>
                <w:bCs/>
                <w:sz w:val="24"/>
                <w:szCs w:val="24"/>
              </w:rPr>
              <w:t>评审标准</w:t>
            </w:r>
          </w:p>
        </w:tc>
      </w:tr>
      <w:tr w14:paraId="4FFF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840" w:type="dxa"/>
            <w:noWrap w:val="0"/>
            <w:vAlign w:val="center"/>
          </w:tcPr>
          <w:p w14:paraId="49509475">
            <w:pPr>
              <w:jc w:val="center"/>
              <w:rPr>
                <w:rFonts w:hint="eastAsia" w:ascii="宋体" w:hAnsi="宋体" w:eastAsia="宋体" w:cs="宋体"/>
                <w:sz w:val="24"/>
                <w:szCs w:val="24"/>
              </w:rPr>
            </w:pPr>
            <w:r>
              <w:rPr>
                <w:rFonts w:hint="eastAsia" w:ascii="宋体" w:hAnsi="宋体" w:eastAsia="宋体" w:cs="宋体"/>
                <w:sz w:val="24"/>
                <w:szCs w:val="24"/>
              </w:rPr>
              <w:t>1</w:t>
            </w:r>
          </w:p>
        </w:tc>
        <w:tc>
          <w:tcPr>
            <w:tcW w:w="1295" w:type="dxa"/>
            <w:noWrap w:val="0"/>
            <w:vAlign w:val="center"/>
          </w:tcPr>
          <w:p w14:paraId="0FB809B3">
            <w:pPr>
              <w:jc w:val="center"/>
              <w:rPr>
                <w:rFonts w:hint="eastAsia" w:ascii="宋体" w:hAnsi="宋体" w:eastAsia="宋体" w:cs="宋体"/>
                <w:sz w:val="24"/>
                <w:szCs w:val="24"/>
              </w:rPr>
            </w:pPr>
            <w:r>
              <w:rPr>
                <w:rFonts w:hint="eastAsia" w:ascii="宋体" w:hAnsi="宋体" w:eastAsia="宋体" w:cs="宋体"/>
                <w:sz w:val="24"/>
                <w:szCs w:val="24"/>
              </w:rPr>
              <w:t>业绩   （3分）</w:t>
            </w:r>
          </w:p>
        </w:tc>
        <w:tc>
          <w:tcPr>
            <w:tcW w:w="7513" w:type="dxa"/>
            <w:noWrap w:val="0"/>
            <w:vAlign w:val="center"/>
          </w:tcPr>
          <w:p w14:paraId="232D8D1C">
            <w:pPr>
              <w:snapToGrid w:val="0"/>
              <w:jc w:val="left"/>
              <w:rPr>
                <w:rFonts w:hint="eastAsia" w:ascii="宋体" w:hAnsi="宋体" w:eastAsia="宋体" w:cs="宋体"/>
                <w:bCs/>
                <w:sz w:val="24"/>
                <w:szCs w:val="24"/>
              </w:rPr>
            </w:pPr>
            <w:r>
              <w:rPr>
                <w:rFonts w:hint="eastAsia" w:ascii="宋体" w:hAnsi="宋体" w:eastAsia="宋体" w:cs="宋体"/>
                <w:b/>
                <w:bCs/>
                <w:sz w:val="24"/>
                <w:szCs w:val="24"/>
              </w:rPr>
              <w:t>投标人或产品制造商</w:t>
            </w:r>
            <w:r>
              <w:rPr>
                <w:rFonts w:hint="eastAsia" w:ascii="宋体" w:hAnsi="宋体" w:eastAsia="宋体" w:cs="宋体"/>
                <w:bCs/>
                <w:sz w:val="24"/>
                <w:szCs w:val="24"/>
              </w:rPr>
              <w:t>自202</w:t>
            </w:r>
            <w:r>
              <w:rPr>
                <w:rFonts w:hint="eastAsia" w:ascii="宋体" w:hAnsi="宋体" w:eastAsia="宋体" w:cs="宋体"/>
                <w:bCs/>
                <w:sz w:val="24"/>
                <w:szCs w:val="24"/>
                <w:lang w:val="en-US" w:eastAsia="zh-CN"/>
              </w:rPr>
              <w:t>3</w:t>
            </w:r>
            <w:r>
              <w:rPr>
                <w:rFonts w:hint="eastAsia" w:ascii="宋体" w:hAnsi="宋体" w:eastAsia="宋体" w:cs="宋体"/>
                <w:bCs/>
                <w:sz w:val="24"/>
                <w:szCs w:val="24"/>
              </w:rPr>
              <w:t>年1月1日至投标截止时间止（以合同签订时间为准），实施过类似项目业绩，每提供1个得1分，本项最高得3分。注：</w:t>
            </w:r>
          </w:p>
          <w:p w14:paraId="61BAE7AE">
            <w:pPr>
              <w:pStyle w:val="5"/>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bCs/>
                <w:sz w:val="24"/>
                <w:szCs w:val="24"/>
              </w:rPr>
              <w:t>同时提供业绩合同（含清单）扫描件加盖投标人公章导入资信商务及技术文件，</w:t>
            </w:r>
            <w:r>
              <w:rPr>
                <w:rFonts w:hint="eastAsia" w:ascii="宋体" w:hAnsi="宋体" w:eastAsia="宋体" w:cs="宋体"/>
                <w:bCs/>
                <w:sz w:val="24"/>
                <w:szCs w:val="24"/>
              </w:rPr>
              <w:t>否则不得分。</w:t>
            </w:r>
          </w:p>
          <w:p w14:paraId="3943D702">
            <w:pPr>
              <w:pStyle w:val="5"/>
              <w:rPr>
                <w:rFonts w:hint="eastAsia" w:ascii="宋体" w:hAnsi="宋体" w:eastAsia="宋体" w:cs="宋体"/>
                <w:b/>
                <w:sz w:val="24"/>
                <w:szCs w:val="24"/>
              </w:rPr>
            </w:pPr>
            <w:r>
              <w:rPr>
                <w:rFonts w:hint="eastAsia" w:ascii="宋体" w:hAnsi="宋体" w:eastAsia="宋体" w:cs="宋体"/>
                <w:bCs/>
                <w:sz w:val="24"/>
                <w:szCs w:val="24"/>
              </w:rPr>
              <w:t>2、是否属于类似业绩由评标小组根据合同的内容、特点等与本项目的类似程度进行认定。</w:t>
            </w:r>
          </w:p>
        </w:tc>
      </w:tr>
      <w:tr w14:paraId="4584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noWrap w:val="0"/>
            <w:vAlign w:val="center"/>
          </w:tcPr>
          <w:p w14:paraId="62060EC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95" w:type="dxa"/>
            <w:noWrap w:val="0"/>
            <w:vAlign w:val="center"/>
          </w:tcPr>
          <w:p w14:paraId="4B569E5B">
            <w:pPr>
              <w:jc w:val="center"/>
              <w:rPr>
                <w:rFonts w:hint="eastAsia" w:ascii="宋体" w:hAnsi="宋体" w:eastAsia="宋体" w:cs="宋体"/>
                <w:sz w:val="24"/>
                <w:szCs w:val="24"/>
              </w:rPr>
            </w:pPr>
            <w:r>
              <w:rPr>
                <w:rFonts w:hint="eastAsia" w:ascii="宋体" w:hAnsi="宋体" w:eastAsia="宋体" w:cs="宋体"/>
                <w:sz w:val="24"/>
                <w:szCs w:val="24"/>
              </w:rPr>
              <w:t>认证体系   （3分）</w:t>
            </w:r>
          </w:p>
        </w:tc>
        <w:tc>
          <w:tcPr>
            <w:tcW w:w="7513" w:type="dxa"/>
            <w:noWrap w:val="0"/>
            <w:vAlign w:val="center"/>
          </w:tcPr>
          <w:p w14:paraId="0F7A3519">
            <w:pPr>
              <w:pStyle w:val="5"/>
              <w:rPr>
                <w:rFonts w:hint="default" w:ascii="宋体" w:hAnsi="宋体" w:eastAsia="宋体" w:cs="宋体"/>
                <w:sz w:val="24"/>
                <w:szCs w:val="24"/>
                <w:lang w:val="en-US" w:eastAsia="zh-CN"/>
              </w:rPr>
            </w:pPr>
            <w:r>
              <w:rPr>
                <w:rFonts w:hint="eastAsia" w:ascii="宋体" w:hAnsi="宋体" w:eastAsia="宋体" w:cs="宋体"/>
                <w:b/>
                <w:bCs/>
                <w:sz w:val="24"/>
                <w:szCs w:val="24"/>
              </w:rPr>
              <w:t>投标人或产品制造商</w:t>
            </w:r>
            <w:r>
              <w:rPr>
                <w:rFonts w:hint="eastAsia" w:ascii="宋体" w:hAnsi="宋体" w:eastAsia="宋体" w:cs="宋体"/>
                <w:sz w:val="24"/>
                <w:szCs w:val="24"/>
              </w:rPr>
              <w:t>具有质量管理体系认证、环境管理体系、职业健康安全管理体系认证的，每项得1分</w:t>
            </w:r>
            <w:r>
              <w:rPr>
                <w:rFonts w:hint="eastAsia" w:hAnsi="宋体" w:cs="宋体"/>
                <w:sz w:val="24"/>
                <w:szCs w:val="24"/>
                <w:lang w:eastAsia="zh-CN"/>
              </w:rPr>
              <w:t>，最高</w:t>
            </w:r>
            <w:r>
              <w:rPr>
                <w:rFonts w:hint="eastAsia" w:hAnsi="宋体" w:cs="宋体"/>
                <w:sz w:val="24"/>
                <w:szCs w:val="24"/>
                <w:lang w:val="en-US" w:eastAsia="zh-CN"/>
              </w:rPr>
              <w:t>3分。</w:t>
            </w:r>
          </w:p>
          <w:p w14:paraId="7C53F160">
            <w:pPr>
              <w:pStyle w:val="5"/>
              <w:rPr>
                <w:rFonts w:hint="eastAsia" w:ascii="宋体" w:hAnsi="宋体" w:eastAsia="宋体" w:cs="宋体"/>
                <w:bCs/>
                <w:sz w:val="24"/>
                <w:szCs w:val="24"/>
              </w:rPr>
            </w:pPr>
            <w:r>
              <w:rPr>
                <w:rFonts w:hint="eastAsia" w:ascii="宋体" w:hAnsi="宋体" w:eastAsia="宋体" w:cs="宋体"/>
                <w:b/>
                <w:sz w:val="24"/>
                <w:szCs w:val="24"/>
              </w:rPr>
              <w:t>注：提供有效期内的证书扫描件及</w:t>
            </w:r>
            <w:r>
              <w:rPr>
                <w:rFonts w:hint="eastAsia" w:ascii="宋体" w:hAnsi="宋体" w:eastAsia="宋体" w:cs="宋体"/>
                <w:b/>
                <w:color w:val="000000"/>
                <w:kern w:val="0"/>
                <w:sz w:val="24"/>
                <w:szCs w:val="24"/>
              </w:rPr>
              <w:t>全国认证认可信息公共服务平台网站（http://www.cnca.gov.cn/）查询页面截图扫描件并加盖投标人公章</w:t>
            </w:r>
            <w:r>
              <w:rPr>
                <w:rFonts w:hint="eastAsia" w:ascii="宋体" w:hAnsi="宋体" w:eastAsia="宋体" w:cs="宋体"/>
                <w:b/>
                <w:sz w:val="24"/>
                <w:szCs w:val="24"/>
              </w:rPr>
              <w:t>导入商务技术文件中，否则不得分。</w:t>
            </w:r>
          </w:p>
        </w:tc>
      </w:tr>
      <w:tr w14:paraId="5B2D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40" w:type="dxa"/>
            <w:noWrap w:val="0"/>
            <w:vAlign w:val="center"/>
          </w:tcPr>
          <w:p w14:paraId="597169EA">
            <w:pPr>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295" w:type="dxa"/>
            <w:noWrap w:val="0"/>
            <w:vAlign w:val="center"/>
          </w:tcPr>
          <w:p w14:paraId="57521774">
            <w:pPr>
              <w:pStyle w:val="6"/>
              <w:ind w:firstLine="0" w:firstLine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技术偏离</w:t>
            </w:r>
          </w:p>
          <w:p w14:paraId="5D4280EF">
            <w:pPr>
              <w:pStyle w:val="6"/>
              <w:ind w:firstLine="0" w:firstLineChars="0"/>
              <w:rPr>
                <w:rFonts w:hint="eastAsia" w:ascii="宋体" w:hAnsi="宋体" w:eastAsia="宋体" w:cs="宋体"/>
                <w:sz w:val="24"/>
                <w:szCs w:val="24"/>
                <w:lang w:val="en-US" w:eastAsia="zh-CN"/>
              </w:rPr>
            </w:pPr>
            <w:r>
              <w:rPr>
                <w:rFonts w:hint="eastAsia" w:ascii="宋体" w:hAnsi="宋体" w:eastAsia="宋体" w:cs="宋体"/>
                <w:b w:val="0"/>
                <w:sz w:val="24"/>
                <w:szCs w:val="24"/>
                <w:lang w:val="en-US" w:eastAsia="zh-CN"/>
              </w:rPr>
              <w:t>（</w:t>
            </w:r>
            <w:r>
              <w:rPr>
                <w:rFonts w:hint="eastAsia" w:ascii="宋体" w:hAnsi="宋体" w:cs="宋体"/>
                <w:b w:val="0"/>
                <w:sz w:val="24"/>
                <w:szCs w:val="24"/>
                <w:lang w:val="en-US" w:eastAsia="zh-CN"/>
              </w:rPr>
              <w:t>16</w:t>
            </w:r>
            <w:r>
              <w:rPr>
                <w:rFonts w:hint="eastAsia" w:ascii="宋体" w:hAnsi="宋体" w:eastAsia="宋体" w:cs="宋体"/>
                <w:b w:val="0"/>
                <w:sz w:val="24"/>
                <w:szCs w:val="24"/>
                <w:lang w:val="en-US" w:eastAsia="zh-CN"/>
              </w:rPr>
              <w:t>分）</w:t>
            </w:r>
          </w:p>
        </w:tc>
        <w:tc>
          <w:tcPr>
            <w:tcW w:w="7513" w:type="dxa"/>
            <w:noWrap w:val="0"/>
            <w:vAlign w:val="center"/>
          </w:tcPr>
          <w:p w14:paraId="2C3FDF44">
            <w:pPr>
              <w:snapToGrid w:val="0"/>
              <w:rPr>
                <w:rFonts w:hint="eastAsia" w:ascii="宋体" w:hAnsi="宋体" w:eastAsia="宋体" w:cs="宋体"/>
                <w:sz w:val="24"/>
                <w:szCs w:val="24"/>
                <w:lang w:bidi="ar"/>
              </w:rPr>
            </w:pPr>
            <w:r>
              <w:rPr>
                <w:rFonts w:hint="eastAsia" w:ascii="宋体" w:hAnsi="宋体" w:eastAsia="宋体" w:cs="宋体"/>
                <w:bCs/>
                <w:sz w:val="24"/>
                <w:szCs w:val="24"/>
              </w:rPr>
              <w:t>根据投标产品的功能参数、技术指标等，全部满足招标文件要求的得</w:t>
            </w:r>
            <w:r>
              <w:rPr>
                <w:rFonts w:hint="eastAsia" w:ascii="宋体" w:hAnsi="宋体" w:cs="宋体"/>
                <w:bCs/>
                <w:sz w:val="24"/>
                <w:szCs w:val="24"/>
                <w:lang w:val="en-US" w:eastAsia="zh-CN"/>
              </w:rPr>
              <w:t>16</w:t>
            </w:r>
            <w:r>
              <w:rPr>
                <w:rFonts w:hint="eastAsia" w:ascii="宋体" w:hAnsi="宋体" w:eastAsia="宋体" w:cs="宋体"/>
                <w:bCs/>
                <w:sz w:val="24"/>
                <w:szCs w:val="24"/>
              </w:rPr>
              <w:t>分；“</w:t>
            </w:r>
            <w:r>
              <w:rPr>
                <w:rFonts w:hint="eastAsia" w:ascii="宋体" w:hAnsi="宋体" w:eastAsia="宋体" w:cs="宋体"/>
                <w:sz w:val="24"/>
                <w:szCs w:val="24"/>
              </w:rPr>
              <w:t>●</w:t>
            </w:r>
            <w:r>
              <w:rPr>
                <w:rFonts w:hint="eastAsia" w:ascii="宋体" w:hAnsi="宋体" w:eastAsia="宋体" w:cs="宋体"/>
                <w:bCs/>
                <w:sz w:val="24"/>
                <w:szCs w:val="24"/>
              </w:rPr>
              <w:t>”为重要参数指标</w:t>
            </w:r>
            <w:r>
              <w:rPr>
                <w:rFonts w:hint="eastAsia" w:ascii="宋体" w:hAnsi="宋体" w:eastAsia="宋体" w:cs="宋体"/>
                <w:bCs/>
                <w:sz w:val="24"/>
                <w:szCs w:val="24"/>
                <w:lang w:eastAsia="zh-CN"/>
              </w:rPr>
              <w:t>（</w:t>
            </w: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项</w:t>
            </w:r>
            <w:r>
              <w:rPr>
                <w:rFonts w:hint="eastAsia" w:ascii="宋体" w:hAnsi="宋体" w:eastAsia="宋体" w:cs="宋体"/>
                <w:bCs/>
                <w:sz w:val="24"/>
                <w:szCs w:val="24"/>
                <w:lang w:eastAsia="zh-CN"/>
              </w:rPr>
              <w:t>）</w:t>
            </w:r>
            <w:r>
              <w:rPr>
                <w:rFonts w:hint="eastAsia" w:ascii="宋体" w:hAnsi="宋体" w:eastAsia="宋体" w:cs="宋体"/>
                <w:bCs/>
                <w:sz w:val="24"/>
                <w:szCs w:val="24"/>
              </w:rPr>
              <w:t>，</w:t>
            </w:r>
            <w:r>
              <w:rPr>
                <w:rFonts w:hint="eastAsia" w:ascii="宋体" w:hAnsi="宋体" w:eastAsia="宋体" w:cs="宋体"/>
                <w:sz w:val="24"/>
                <w:szCs w:val="24"/>
              </w:rPr>
              <w:t>每有一项负偏离扣2分</w:t>
            </w:r>
            <w:r>
              <w:rPr>
                <w:rFonts w:hint="eastAsia" w:ascii="宋体" w:hAnsi="宋体" w:eastAsia="宋体" w:cs="宋体"/>
                <w:bCs/>
                <w:sz w:val="24"/>
                <w:szCs w:val="24"/>
              </w:rPr>
              <w:t>；其他基础参数</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1</w:t>
            </w: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项</w:t>
            </w:r>
            <w:r>
              <w:rPr>
                <w:rFonts w:hint="eastAsia" w:ascii="宋体" w:hAnsi="宋体" w:eastAsia="宋体" w:cs="宋体"/>
                <w:bCs/>
                <w:sz w:val="24"/>
                <w:szCs w:val="24"/>
                <w:lang w:eastAsia="zh-CN"/>
              </w:rPr>
              <w:t>）</w:t>
            </w:r>
            <w:r>
              <w:rPr>
                <w:rFonts w:hint="eastAsia" w:ascii="宋体" w:hAnsi="宋体" w:eastAsia="宋体" w:cs="宋体"/>
                <w:bCs/>
                <w:sz w:val="24"/>
                <w:szCs w:val="24"/>
              </w:rPr>
              <w:t>，</w:t>
            </w:r>
            <w:r>
              <w:rPr>
                <w:rFonts w:hint="eastAsia" w:ascii="宋体" w:hAnsi="宋体" w:eastAsia="宋体" w:cs="宋体"/>
                <w:sz w:val="24"/>
                <w:szCs w:val="24"/>
              </w:rPr>
              <w:t>每有一项负偏离扣</w:t>
            </w:r>
            <w:r>
              <w:rPr>
                <w:rFonts w:hint="eastAsia" w:ascii="宋体" w:hAnsi="宋体" w:eastAsia="宋体" w:cs="宋体"/>
                <w:sz w:val="24"/>
                <w:szCs w:val="24"/>
                <w:lang w:val="en-US" w:eastAsia="zh-CN"/>
              </w:rPr>
              <w:t>1</w:t>
            </w:r>
            <w:r>
              <w:rPr>
                <w:rFonts w:hint="eastAsia" w:ascii="宋体" w:hAnsi="宋体" w:eastAsia="宋体" w:cs="宋体"/>
                <w:sz w:val="24"/>
                <w:szCs w:val="24"/>
              </w:rPr>
              <w:t>分；扣完为止。</w:t>
            </w:r>
            <w:r>
              <w:rPr>
                <w:rFonts w:hint="eastAsia" w:ascii="宋体" w:hAnsi="宋体" w:eastAsia="宋体" w:cs="宋体"/>
                <w:bCs/>
                <w:sz w:val="24"/>
                <w:szCs w:val="24"/>
              </w:rPr>
              <w:t>▲为实质性指标，出现负偏离的，作无效标处理。</w:t>
            </w:r>
          </w:p>
        </w:tc>
      </w:tr>
      <w:tr w14:paraId="7AFE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40" w:type="dxa"/>
            <w:vMerge w:val="restart"/>
            <w:noWrap w:val="0"/>
            <w:vAlign w:val="center"/>
          </w:tcPr>
          <w:p w14:paraId="10BB0FE5">
            <w:pPr>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295" w:type="dxa"/>
            <w:vMerge w:val="restart"/>
            <w:noWrap w:val="0"/>
            <w:vAlign w:val="center"/>
          </w:tcPr>
          <w:p w14:paraId="1CC8AE8E">
            <w:pPr>
              <w:adjustRightInd w:val="0"/>
              <w:spacing w:before="100" w:after="50"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拓展组合设计图</w:t>
            </w:r>
          </w:p>
          <w:p w14:paraId="2F0C0301">
            <w:pPr>
              <w:adjustRightInd w:val="0"/>
              <w:spacing w:before="100" w:after="50" w:line="276"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分）</w:t>
            </w:r>
          </w:p>
        </w:tc>
        <w:tc>
          <w:tcPr>
            <w:tcW w:w="7513" w:type="dxa"/>
            <w:noWrap w:val="0"/>
            <w:vAlign w:val="center"/>
          </w:tcPr>
          <w:p w14:paraId="76A8997B">
            <w:pPr>
              <w:pStyle w:val="3"/>
              <w:spacing w:after="0"/>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w:t>
            </w:r>
            <w:r>
              <w:rPr>
                <w:rFonts w:hint="eastAsia" w:ascii="宋体" w:hAnsi="宋体" w:eastAsia="宋体" w:cs="宋体"/>
                <w:sz w:val="24"/>
                <w:szCs w:val="24"/>
                <w:lang w:val="en-US" w:eastAsia="zh-CN"/>
              </w:rPr>
              <w:t>投标人提供投标产品</w:t>
            </w:r>
            <w:r>
              <w:rPr>
                <w:rFonts w:hint="eastAsia" w:ascii="宋体" w:hAnsi="宋体" w:eastAsia="宋体" w:cs="宋体"/>
                <w:b/>
                <w:bCs/>
                <w:i w:val="0"/>
                <w:iCs w:val="0"/>
                <w:color w:val="000000"/>
                <w:kern w:val="0"/>
                <w:sz w:val="24"/>
                <w:szCs w:val="24"/>
                <w:u w:val="none"/>
                <w:lang w:val="en-US" w:eastAsia="zh-CN" w:bidi="ar"/>
              </w:rPr>
              <w:t>拓展组合主体</w:t>
            </w:r>
            <w:r>
              <w:rPr>
                <w:rFonts w:hint="eastAsia" w:ascii="宋体" w:hAnsi="宋体" w:eastAsia="宋体" w:cs="宋体"/>
                <w:sz w:val="24"/>
                <w:szCs w:val="24"/>
                <w:lang w:val="en-US" w:eastAsia="zh-CN"/>
              </w:rPr>
              <w:t>的三视图的内容完整性、工艺先进性、结构合理性，由评委进行综合打分。（分值：3、2.5、2、1.5、1、0.5、0）</w:t>
            </w:r>
          </w:p>
        </w:tc>
      </w:tr>
      <w:tr w14:paraId="5A7E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40" w:type="dxa"/>
            <w:vMerge w:val="continue"/>
            <w:noWrap w:val="0"/>
            <w:vAlign w:val="center"/>
          </w:tcPr>
          <w:p w14:paraId="34A054D7">
            <w:pPr>
              <w:spacing w:line="276" w:lineRule="auto"/>
              <w:jc w:val="center"/>
              <w:rPr>
                <w:rFonts w:hint="eastAsia" w:ascii="宋体" w:hAnsi="宋体" w:eastAsia="宋体" w:cs="宋体"/>
                <w:sz w:val="24"/>
                <w:szCs w:val="24"/>
              </w:rPr>
            </w:pPr>
          </w:p>
        </w:tc>
        <w:tc>
          <w:tcPr>
            <w:tcW w:w="1295" w:type="dxa"/>
            <w:vMerge w:val="continue"/>
            <w:noWrap w:val="0"/>
            <w:vAlign w:val="center"/>
          </w:tcPr>
          <w:p w14:paraId="33367F82">
            <w:pPr>
              <w:adjustRightInd w:val="0"/>
              <w:spacing w:before="100" w:after="50" w:line="276" w:lineRule="auto"/>
              <w:jc w:val="center"/>
              <w:rPr>
                <w:rFonts w:hint="eastAsia" w:ascii="宋体" w:hAnsi="宋体" w:eastAsia="宋体" w:cs="宋体"/>
                <w:sz w:val="24"/>
                <w:szCs w:val="24"/>
              </w:rPr>
            </w:pPr>
          </w:p>
        </w:tc>
        <w:tc>
          <w:tcPr>
            <w:tcW w:w="7513" w:type="dxa"/>
            <w:noWrap w:val="0"/>
            <w:vAlign w:val="center"/>
          </w:tcPr>
          <w:p w14:paraId="15119D0C">
            <w:pPr>
              <w:autoSpaceDE w:val="0"/>
              <w:autoSpaceDN w:val="0"/>
              <w:adjustRightInd w:val="0"/>
              <w:snapToGrid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w:t>
            </w:r>
            <w:r>
              <w:rPr>
                <w:rFonts w:hint="eastAsia" w:ascii="宋体" w:hAnsi="宋体" w:eastAsia="宋体" w:cs="宋体"/>
                <w:sz w:val="24"/>
                <w:szCs w:val="24"/>
                <w:lang w:val="en-US" w:eastAsia="zh-CN"/>
              </w:rPr>
              <w:t>投标人提供投标产品</w:t>
            </w:r>
            <w:r>
              <w:rPr>
                <w:rFonts w:hint="eastAsia" w:ascii="宋体" w:hAnsi="宋体" w:eastAsia="宋体" w:cs="宋体"/>
                <w:b/>
                <w:bCs/>
                <w:i w:val="0"/>
                <w:iCs w:val="0"/>
                <w:color w:val="000000"/>
                <w:kern w:val="0"/>
                <w:sz w:val="24"/>
                <w:szCs w:val="24"/>
                <w:u w:val="none"/>
                <w:lang w:val="en-US" w:eastAsia="zh-CN" w:bidi="ar"/>
              </w:rPr>
              <w:t>拓展组合主体</w:t>
            </w:r>
            <w:r>
              <w:rPr>
                <w:rFonts w:hint="eastAsia" w:ascii="宋体" w:hAnsi="宋体" w:eastAsia="宋体" w:cs="宋体"/>
                <w:sz w:val="24"/>
                <w:szCs w:val="24"/>
                <w:lang w:val="en-US" w:eastAsia="zh-CN"/>
              </w:rPr>
              <w:t>的装配图的内容完整性、工艺先进性、结构合理性，由评委进行综合打分。（分值：3、2.5、2、1.5、1、0.5、0）</w:t>
            </w:r>
          </w:p>
        </w:tc>
      </w:tr>
      <w:tr w14:paraId="7A91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0" w:type="dxa"/>
            <w:vMerge w:val="restart"/>
            <w:noWrap w:val="0"/>
            <w:vAlign w:val="center"/>
          </w:tcPr>
          <w:p w14:paraId="6E82E307">
            <w:pPr>
              <w:spacing w:line="276"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95" w:type="dxa"/>
            <w:vMerge w:val="restart"/>
            <w:noWrap w:val="0"/>
            <w:vAlign w:val="center"/>
          </w:tcPr>
          <w:p w14:paraId="30D0EE4F">
            <w:pPr>
              <w:adjustRightInd w:val="0"/>
              <w:spacing w:before="100" w:after="50" w:line="276" w:lineRule="auto"/>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体能旋转滑梯设计图（</w:t>
            </w: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分）</w:t>
            </w:r>
          </w:p>
        </w:tc>
        <w:tc>
          <w:tcPr>
            <w:tcW w:w="7513" w:type="dxa"/>
            <w:noWrap w:val="0"/>
            <w:vAlign w:val="center"/>
          </w:tcPr>
          <w:p w14:paraId="22B171A4">
            <w:pPr>
              <w:pStyle w:val="3"/>
              <w:spacing w:after="0"/>
              <w:ind w:firstLine="0" w:firstLineChars="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根据</w:t>
            </w:r>
            <w:r>
              <w:rPr>
                <w:rFonts w:hint="eastAsia" w:ascii="宋体" w:hAnsi="宋体" w:eastAsia="宋体" w:cs="宋体"/>
                <w:sz w:val="24"/>
                <w:szCs w:val="24"/>
                <w:lang w:val="en-US" w:eastAsia="zh-CN"/>
              </w:rPr>
              <w:t>投标人提供投标产品</w:t>
            </w:r>
            <w:r>
              <w:rPr>
                <w:rFonts w:hint="eastAsia" w:ascii="宋体" w:hAnsi="宋体" w:eastAsia="宋体" w:cs="宋体"/>
                <w:b/>
                <w:bCs/>
                <w:kern w:val="2"/>
                <w:sz w:val="24"/>
                <w:szCs w:val="24"/>
                <w:lang w:val="en-US" w:eastAsia="zh-CN" w:bidi="ar-SA"/>
              </w:rPr>
              <w:t>体能旋转滑梯</w:t>
            </w:r>
            <w:r>
              <w:rPr>
                <w:rFonts w:hint="eastAsia" w:ascii="宋体" w:hAnsi="宋体" w:eastAsia="宋体" w:cs="宋体"/>
                <w:sz w:val="24"/>
                <w:szCs w:val="24"/>
                <w:lang w:val="en-US" w:eastAsia="zh-CN"/>
              </w:rPr>
              <w:t>的三视图的内容完整性、工艺先进性、结构合理性，由评委进行综合打分。（分值：3、2.5、2、1.5、1、0.5、0）</w:t>
            </w:r>
          </w:p>
        </w:tc>
      </w:tr>
      <w:tr w14:paraId="532A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0" w:type="dxa"/>
            <w:vMerge w:val="continue"/>
            <w:noWrap w:val="0"/>
            <w:vAlign w:val="center"/>
          </w:tcPr>
          <w:p w14:paraId="69928FF4">
            <w:pPr>
              <w:spacing w:line="276" w:lineRule="auto"/>
              <w:jc w:val="center"/>
              <w:rPr>
                <w:rFonts w:hint="eastAsia" w:ascii="宋体" w:hAnsi="宋体" w:eastAsia="宋体" w:cs="宋体"/>
                <w:sz w:val="24"/>
                <w:szCs w:val="24"/>
                <w:lang w:val="en-US" w:eastAsia="zh-CN"/>
              </w:rPr>
            </w:pPr>
          </w:p>
        </w:tc>
        <w:tc>
          <w:tcPr>
            <w:tcW w:w="1295" w:type="dxa"/>
            <w:vMerge w:val="continue"/>
            <w:noWrap w:val="0"/>
            <w:vAlign w:val="center"/>
          </w:tcPr>
          <w:p w14:paraId="5828A013">
            <w:pPr>
              <w:adjustRightInd w:val="0"/>
              <w:spacing w:before="100" w:after="50" w:line="276" w:lineRule="auto"/>
              <w:jc w:val="center"/>
              <w:rPr>
                <w:rFonts w:hint="eastAsia" w:ascii="宋体" w:hAnsi="宋体" w:eastAsia="宋体" w:cs="宋体"/>
                <w:sz w:val="24"/>
                <w:szCs w:val="24"/>
              </w:rPr>
            </w:pPr>
          </w:p>
        </w:tc>
        <w:tc>
          <w:tcPr>
            <w:tcW w:w="7513" w:type="dxa"/>
            <w:noWrap w:val="0"/>
            <w:vAlign w:val="center"/>
          </w:tcPr>
          <w:p w14:paraId="47CE9D76">
            <w:pPr>
              <w:autoSpaceDE w:val="0"/>
              <w:autoSpaceDN w:val="0"/>
              <w:adjustRightInd w:val="0"/>
              <w:snapToGrid w:val="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根据</w:t>
            </w:r>
            <w:r>
              <w:rPr>
                <w:rFonts w:hint="eastAsia" w:ascii="宋体" w:hAnsi="宋体" w:eastAsia="宋体" w:cs="宋体"/>
                <w:sz w:val="24"/>
                <w:szCs w:val="24"/>
                <w:lang w:val="en-US" w:eastAsia="zh-CN"/>
              </w:rPr>
              <w:t>投标人提供投标产品</w:t>
            </w:r>
            <w:r>
              <w:rPr>
                <w:rFonts w:hint="eastAsia" w:ascii="宋体" w:hAnsi="宋体" w:eastAsia="宋体" w:cs="宋体"/>
                <w:b/>
                <w:bCs/>
                <w:kern w:val="2"/>
                <w:sz w:val="24"/>
                <w:szCs w:val="24"/>
                <w:lang w:val="en-US" w:eastAsia="zh-CN" w:bidi="ar-SA"/>
              </w:rPr>
              <w:t>体能旋转滑梯</w:t>
            </w:r>
            <w:r>
              <w:rPr>
                <w:rFonts w:hint="eastAsia" w:ascii="宋体" w:hAnsi="宋体" w:eastAsia="宋体" w:cs="宋体"/>
                <w:sz w:val="24"/>
                <w:szCs w:val="24"/>
                <w:lang w:val="en-US" w:eastAsia="zh-CN"/>
              </w:rPr>
              <w:t>的装配图的内容完整性、工艺先进性、结构合理性，由评委进行综合打分。（分值：3、2.5、2、1.5、1、0.5、0）</w:t>
            </w:r>
          </w:p>
        </w:tc>
      </w:tr>
      <w:tr w14:paraId="2EE2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0" w:type="dxa"/>
            <w:noWrap w:val="0"/>
            <w:vAlign w:val="center"/>
          </w:tcPr>
          <w:p w14:paraId="120DD501">
            <w:pPr>
              <w:spacing w:line="276"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95" w:type="dxa"/>
            <w:noWrap w:val="0"/>
            <w:vAlign w:val="center"/>
          </w:tcPr>
          <w:p w14:paraId="02403EC5">
            <w:pPr>
              <w:adjustRightInd w:val="0"/>
              <w:spacing w:before="100" w:after="50"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整体设计方案（</w:t>
            </w:r>
            <w:r>
              <w:rPr>
                <w:rFonts w:hint="eastAsia" w:ascii="宋体" w:hAnsi="宋体" w:eastAsia="宋体" w:cs="宋体"/>
                <w:sz w:val="24"/>
                <w:szCs w:val="24"/>
                <w:lang w:val="en-US" w:eastAsia="zh-CN"/>
              </w:rPr>
              <w:t>5分</w:t>
            </w:r>
            <w:r>
              <w:rPr>
                <w:rFonts w:hint="eastAsia" w:ascii="宋体" w:hAnsi="宋体" w:eastAsia="宋体" w:cs="宋体"/>
                <w:sz w:val="24"/>
                <w:szCs w:val="24"/>
                <w:lang w:eastAsia="zh-CN"/>
              </w:rPr>
              <w:t>）</w:t>
            </w:r>
          </w:p>
        </w:tc>
        <w:tc>
          <w:tcPr>
            <w:tcW w:w="7513" w:type="dxa"/>
            <w:noWrap w:val="0"/>
            <w:vAlign w:val="center"/>
          </w:tcPr>
          <w:p w14:paraId="5588DC33">
            <w:pPr>
              <w:autoSpaceDE w:val="0"/>
              <w:autoSpaceDN w:val="0"/>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根据投标人结合实际现场对整体场景规划设计方案，包含各个产品合理安排落位是否能够做到产品之间巧妙结合且功能连贯，各功能区域规划是否明确，设计说明是否规范详细，动线规划是否合理，功能性是否完整，由评委进行综合打分</w:t>
            </w:r>
            <w:r>
              <w:rPr>
                <w:rFonts w:hint="eastAsia" w:ascii="宋体" w:hAnsi="宋体" w:eastAsia="宋体" w:cs="宋体"/>
                <w:sz w:val="24"/>
                <w:szCs w:val="24"/>
                <w:lang w:val="en-US" w:eastAsia="zh-CN"/>
              </w:rPr>
              <w:t>。（分值：</w:t>
            </w:r>
            <w:r>
              <w:rPr>
                <w:rFonts w:hint="eastAsia" w:ascii="宋体" w:hAnsi="宋体" w:cs="宋体"/>
                <w:sz w:val="24"/>
                <w:szCs w:val="24"/>
                <w:lang w:val="en-US" w:eastAsia="zh-CN"/>
              </w:rPr>
              <w:t>5、4.5、4、3.5、3、2.5、</w:t>
            </w:r>
            <w:r>
              <w:rPr>
                <w:rFonts w:hint="eastAsia" w:ascii="宋体" w:hAnsi="宋体" w:eastAsia="宋体" w:cs="宋体"/>
                <w:sz w:val="24"/>
                <w:szCs w:val="24"/>
                <w:lang w:val="en-US" w:eastAsia="zh-CN"/>
              </w:rPr>
              <w:t>2、1.5、1、0.5、0）</w:t>
            </w:r>
          </w:p>
        </w:tc>
      </w:tr>
      <w:tr w14:paraId="7996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0" w:type="dxa"/>
            <w:noWrap w:val="0"/>
            <w:vAlign w:val="center"/>
          </w:tcPr>
          <w:p w14:paraId="57B642B7">
            <w:pPr>
              <w:spacing w:line="276"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295" w:type="dxa"/>
            <w:noWrap w:val="0"/>
            <w:vAlign w:val="center"/>
          </w:tcPr>
          <w:p w14:paraId="729FC55F">
            <w:pPr>
              <w:autoSpaceDE w:val="0"/>
              <w:autoSpaceDN w:val="0"/>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实施方案（</w:t>
            </w:r>
            <w:r>
              <w:rPr>
                <w:rFonts w:hint="eastAsia" w:ascii="宋体" w:hAnsi="宋体" w:eastAsia="宋体" w:cs="宋体"/>
                <w:sz w:val="24"/>
                <w:szCs w:val="24"/>
                <w:lang w:val="en-US" w:eastAsia="zh-CN"/>
              </w:rPr>
              <w:t>5分</w:t>
            </w:r>
            <w:r>
              <w:rPr>
                <w:rFonts w:hint="eastAsia" w:ascii="宋体" w:hAnsi="宋体" w:eastAsia="宋体" w:cs="宋体"/>
                <w:sz w:val="24"/>
                <w:szCs w:val="24"/>
                <w:lang w:eastAsia="zh-CN"/>
              </w:rPr>
              <w:t>）</w:t>
            </w:r>
          </w:p>
        </w:tc>
        <w:tc>
          <w:tcPr>
            <w:tcW w:w="7513" w:type="dxa"/>
            <w:noWrap w:val="0"/>
            <w:vAlign w:val="center"/>
          </w:tcPr>
          <w:p w14:paraId="00D3BAC0">
            <w:pPr>
              <w:autoSpaceDE w:val="0"/>
              <w:autoSpaceDN w:val="0"/>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根据投标人提供的整体实施方案，包含</w:t>
            </w:r>
            <w:r>
              <w:rPr>
                <w:rFonts w:hint="eastAsia" w:ascii="宋体" w:hAnsi="宋体" w:eastAsia="宋体" w:cs="宋体"/>
                <w:sz w:val="24"/>
                <w:szCs w:val="24"/>
                <w:lang w:val="en-US" w:eastAsia="zh-CN"/>
              </w:rPr>
              <w:t>设备供货、验货、安装及调试、工作程序及步骤、关键步骤的思路及要点等内容是否合理、完整、科学，由评委进行综合评审。（分值：</w:t>
            </w:r>
            <w:r>
              <w:rPr>
                <w:rFonts w:hint="eastAsia" w:ascii="宋体" w:hAnsi="宋体" w:cs="宋体"/>
                <w:sz w:val="24"/>
                <w:szCs w:val="24"/>
                <w:lang w:val="en-US" w:eastAsia="zh-CN"/>
              </w:rPr>
              <w:t>5、4.5、4、3.5、3、2.5、</w:t>
            </w:r>
            <w:r>
              <w:rPr>
                <w:rFonts w:hint="eastAsia" w:ascii="宋体" w:hAnsi="宋体" w:eastAsia="宋体" w:cs="宋体"/>
                <w:sz w:val="24"/>
                <w:szCs w:val="24"/>
                <w:lang w:val="en-US" w:eastAsia="zh-CN"/>
              </w:rPr>
              <w:t>2、1.5、1、0.5、0）</w:t>
            </w:r>
          </w:p>
        </w:tc>
      </w:tr>
      <w:tr w14:paraId="6036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0" w:type="dxa"/>
            <w:noWrap w:val="0"/>
            <w:vAlign w:val="center"/>
          </w:tcPr>
          <w:p w14:paraId="27601CAA">
            <w:pPr>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1295" w:type="dxa"/>
            <w:noWrap w:val="0"/>
            <w:vAlign w:val="center"/>
          </w:tcPr>
          <w:p w14:paraId="6988CD2C">
            <w:pPr>
              <w:adjustRightInd w:val="0"/>
              <w:spacing w:before="100" w:after="50" w:line="276" w:lineRule="auto"/>
              <w:jc w:val="center"/>
              <w:rPr>
                <w:rFonts w:hint="eastAsia" w:ascii="宋体" w:hAnsi="宋体" w:eastAsia="宋体" w:cs="宋体"/>
                <w:sz w:val="24"/>
                <w:szCs w:val="24"/>
              </w:rPr>
            </w:pPr>
            <w:r>
              <w:rPr>
                <w:rFonts w:hint="eastAsia" w:ascii="宋体" w:hAnsi="宋体" w:eastAsia="宋体" w:cs="宋体"/>
                <w:sz w:val="24"/>
                <w:szCs w:val="24"/>
              </w:rPr>
              <w:t>进度计划（</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513" w:type="dxa"/>
            <w:noWrap w:val="0"/>
            <w:vAlign w:val="center"/>
          </w:tcPr>
          <w:p w14:paraId="3CF0AD98">
            <w:pPr>
              <w:autoSpaceDE w:val="0"/>
              <w:autoSpaceDN w:val="0"/>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rPr>
              <w:t>根据投标人的进度承诺是否符合采购需求的要求，按期完成实施、运行、验收等措施, 由评委进行综合打</w:t>
            </w:r>
            <w:r>
              <w:rPr>
                <w:rFonts w:hint="eastAsia" w:ascii="宋体" w:hAnsi="宋体" w:eastAsia="宋体" w:cs="宋体"/>
                <w:sz w:val="24"/>
                <w:szCs w:val="24"/>
                <w:lang w:val="en-US" w:eastAsia="zh-CN"/>
              </w:rPr>
              <w:t>。（分值：</w:t>
            </w:r>
            <w:r>
              <w:rPr>
                <w:rFonts w:hint="eastAsia" w:ascii="宋体" w:hAnsi="宋体" w:cs="宋体"/>
                <w:sz w:val="24"/>
                <w:szCs w:val="24"/>
                <w:lang w:val="en-US" w:eastAsia="zh-CN"/>
              </w:rPr>
              <w:t>4、3.5、3、2.5、</w:t>
            </w:r>
            <w:r>
              <w:rPr>
                <w:rFonts w:hint="eastAsia" w:ascii="宋体" w:hAnsi="宋体" w:eastAsia="宋体" w:cs="宋体"/>
                <w:sz w:val="24"/>
                <w:szCs w:val="24"/>
                <w:lang w:val="en-US" w:eastAsia="zh-CN"/>
              </w:rPr>
              <w:t>2、1.5、1、0.5、0）</w:t>
            </w:r>
          </w:p>
        </w:tc>
      </w:tr>
      <w:tr w14:paraId="21FE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40" w:type="dxa"/>
            <w:noWrap w:val="0"/>
            <w:vAlign w:val="center"/>
          </w:tcPr>
          <w:p w14:paraId="6014B757">
            <w:pPr>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1295" w:type="dxa"/>
            <w:noWrap w:val="0"/>
            <w:vAlign w:val="center"/>
          </w:tcPr>
          <w:p w14:paraId="4B7A47E1">
            <w:pPr>
              <w:adjustRightInd w:val="0"/>
              <w:spacing w:before="100" w:after="50" w:line="276" w:lineRule="auto"/>
              <w:jc w:val="center"/>
              <w:rPr>
                <w:rFonts w:hint="eastAsia" w:ascii="宋体" w:hAnsi="宋体" w:eastAsia="宋体" w:cs="宋体"/>
                <w:sz w:val="24"/>
                <w:szCs w:val="24"/>
              </w:rPr>
            </w:pPr>
            <w:r>
              <w:rPr>
                <w:rFonts w:hint="eastAsia" w:ascii="宋体" w:hAnsi="宋体" w:eastAsia="宋体" w:cs="宋体"/>
                <w:sz w:val="24"/>
                <w:szCs w:val="24"/>
              </w:rPr>
              <w:t>质量保证（</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513" w:type="dxa"/>
            <w:noWrap w:val="0"/>
            <w:vAlign w:val="center"/>
          </w:tcPr>
          <w:p w14:paraId="7620C2FA">
            <w:pPr>
              <w:autoSpaceDE w:val="0"/>
              <w:autoSpaceDN w:val="0"/>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根据投标人为保证本项目实施过程中的质量保证措施的合理性、科学性、全面性等由评委进行综合打分。</w:t>
            </w:r>
            <w:r>
              <w:rPr>
                <w:rFonts w:hint="eastAsia" w:ascii="宋体" w:hAnsi="宋体" w:eastAsia="宋体" w:cs="宋体"/>
                <w:sz w:val="24"/>
                <w:szCs w:val="24"/>
                <w:lang w:val="en-US" w:eastAsia="zh-CN"/>
              </w:rPr>
              <w:t>（分值：</w:t>
            </w:r>
            <w:r>
              <w:rPr>
                <w:rFonts w:hint="eastAsia" w:ascii="宋体" w:hAnsi="宋体" w:cs="宋体"/>
                <w:sz w:val="24"/>
                <w:szCs w:val="24"/>
                <w:lang w:val="en-US" w:eastAsia="zh-CN"/>
              </w:rPr>
              <w:t>4、3.5、3、2.5、</w:t>
            </w:r>
            <w:r>
              <w:rPr>
                <w:rFonts w:hint="eastAsia" w:ascii="宋体" w:hAnsi="宋体" w:eastAsia="宋体" w:cs="宋体"/>
                <w:sz w:val="24"/>
                <w:szCs w:val="24"/>
                <w:lang w:val="en-US" w:eastAsia="zh-CN"/>
              </w:rPr>
              <w:t>2、1.5、1、0.5、0）</w:t>
            </w:r>
          </w:p>
        </w:tc>
      </w:tr>
      <w:tr w14:paraId="0ABC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840" w:type="dxa"/>
            <w:vMerge w:val="restart"/>
            <w:noWrap w:val="0"/>
            <w:vAlign w:val="center"/>
          </w:tcPr>
          <w:p w14:paraId="4D7A2EB8">
            <w:pPr>
              <w:spacing w:line="276"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95" w:type="dxa"/>
            <w:vMerge w:val="restart"/>
            <w:noWrap w:val="0"/>
            <w:vAlign w:val="center"/>
          </w:tcPr>
          <w:p w14:paraId="6BDBF192">
            <w:pPr>
              <w:jc w:val="center"/>
              <w:rPr>
                <w:rFonts w:hint="eastAsia" w:ascii="宋体" w:hAnsi="宋体" w:eastAsia="宋体" w:cs="宋体"/>
                <w:sz w:val="24"/>
                <w:szCs w:val="24"/>
              </w:rPr>
            </w:pPr>
            <w:r>
              <w:rPr>
                <w:rFonts w:hint="eastAsia" w:ascii="宋体" w:hAnsi="宋体" w:eastAsia="宋体" w:cs="宋体"/>
                <w:sz w:val="24"/>
                <w:szCs w:val="24"/>
              </w:rPr>
              <w:t>售后服务</w:t>
            </w:r>
          </w:p>
          <w:p w14:paraId="2625A1CC">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7513" w:type="dxa"/>
            <w:noWrap w:val="0"/>
            <w:vAlign w:val="center"/>
          </w:tcPr>
          <w:p w14:paraId="500D5D42">
            <w:pPr>
              <w:pStyle w:val="6"/>
              <w:ind w:firstLine="0" w:firstLineChars="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投标人针对本项目提供详细的售后服务方案，质保期内的的响应速度、到达现场服务能力、结果反馈时间、售后服务保障及售后服务机构的综合实力等，由评委进行综合打分。（分值：3、2.5、2、1.5、1、0.5、0）</w:t>
            </w:r>
          </w:p>
        </w:tc>
      </w:tr>
      <w:tr w14:paraId="52DC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40" w:type="dxa"/>
            <w:vMerge w:val="continue"/>
            <w:noWrap w:val="0"/>
            <w:vAlign w:val="center"/>
          </w:tcPr>
          <w:p w14:paraId="1D01599C">
            <w:pPr>
              <w:spacing w:line="276" w:lineRule="auto"/>
              <w:jc w:val="center"/>
              <w:rPr>
                <w:rFonts w:hint="eastAsia" w:ascii="宋体" w:hAnsi="宋体" w:eastAsia="宋体" w:cs="宋体"/>
                <w:sz w:val="24"/>
                <w:szCs w:val="24"/>
              </w:rPr>
            </w:pPr>
          </w:p>
        </w:tc>
        <w:tc>
          <w:tcPr>
            <w:tcW w:w="1295" w:type="dxa"/>
            <w:vMerge w:val="continue"/>
            <w:noWrap w:val="0"/>
            <w:vAlign w:val="center"/>
          </w:tcPr>
          <w:p w14:paraId="1A5F78FC">
            <w:pPr>
              <w:jc w:val="center"/>
              <w:rPr>
                <w:rFonts w:hint="eastAsia" w:ascii="宋体" w:hAnsi="宋体" w:eastAsia="宋体" w:cs="宋体"/>
                <w:sz w:val="24"/>
                <w:szCs w:val="24"/>
              </w:rPr>
            </w:pPr>
          </w:p>
        </w:tc>
        <w:tc>
          <w:tcPr>
            <w:tcW w:w="7513" w:type="dxa"/>
            <w:noWrap w:val="0"/>
            <w:vAlign w:val="center"/>
          </w:tcPr>
          <w:p w14:paraId="07652AD4">
            <w:pPr>
              <w:pStyle w:val="6"/>
              <w:ind w:firstLine="0" w:firstLineChars="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投标人承诺质保期在相应基础的要求上，每增加1年得1分，最多3分。</w:t>
            </w:r>
          </w:p>
        </w:tc>
      </w:tr>
      <w:tr w14:paraId="6D72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40" w:type="dxa"/>
            <w:noWrap w:val="0"/>
            <w:vAlign w:val="center"/>
          </w:tcPr>
          <w:p w14:paraId="49C56663">
            <w:pPr>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1295" w:type="dxa"/>
            <w:noWrap w:val="0"/>
            <w:vAlign w:val="center"/>
          </w:tcPr>
          <w:p w14:paraId="0074C218">
            <w:pPr>
              <w:pStyle w:val="6"/>
              <w:ind w:firstLine="0" w:firstLineChars="0"/>
              <w:jc w:val="center"/>
              <w:rPr>
                <w:rFonts w:hint="eastAsia" w:ascii="宋体" w:hAnsi="宋体" w:eastAsia="宋体" w:cs="宋体"/>
                <w:b w:val="0"/>
                <w:kern w:val="2"/>
                <w:sz w:val="24"/>
                <w:szCs w:val="24"/>
                <w:lang w:val="en-US" w:eastAsia="zh-CN"/>
              </w:rPr>
            </w:pPr>
            <w:r>
              <w:rPr>
                <w:rFonts w:hint="eastAsia" w:ascii="宋体" w:hAnsi="宋体" w:eastAsia="宋体" w:cs="宋体"/>
                <w:b w:val="0"/>
                <w:kern w:val="2"/>
                <w:sz w:val="24"/>
                <w:szCs w:val="24"/>
                <w:lang w:val="en-US" w:eastAsia="zh-CN"/>
              </w:rPr>
              <w:t>突发事件应急预案（4分）</w:t>
            </w:r>
          </w:p>
        </w:tc>
        <w:tc>
          <w:tcPr>
            <w:tcW w:w="7513" w:type="dxa"/>
            <w:noWrap w:val="0"/>
            <w:vAlign w:val="center"/>
          </w:tcPr>
          <w:p w14:paraId="2B08C720">
            <w:pPr>
              <w:pStyle w:val="6"/>
              <w:ind w:firstLine="0" w:firstLineChars="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根据投标人提供的应急预案，突击保障、突发问题解决、故障的响应速度以及处理方案等是否具有可靠性和周密性等由</w:t>
            </w:r>
            <w:r>
              <w:rPr>
                <w:rFonts w:hint="eastAsia" w:ascii="宋体" w:hAnsi="宋体" w:eastAsia="宋体" w:cs="宋体"/>
                <w:b w:val="0"/>
                <w:bCs w:val="0"/>
                <w:kern w:val="2"/>
                <w:sz w:val="24"/>
                <w:szCs w:val="24"/>
                <w:lang w:val="en-US" w:eastAsia="zh-CN" w:bidi="ar-SA"/>
              </w:rPr>
              <w:t>评委进行综合打分。</w:t>
            </w:r>
            <w:r>
              <w:rPr>
                <w:rFonts w:hint="eastAsia" w:ascii="宋体" w:hAnsi="宋体" w:eastAsia="宋体" w:cs="宋体"/>
                <w:b w:val="0"/>
                <w:bCs w:val="0"/>
                <w:sz w:val="24"/>
                <w:szCs w:val="24"/>
                <w:lang w:val="en-US" w:eastAsia="zh-CN"/>
              </w:rPr>
              <w:t>（分值：</w:t>
            </w:r>
            <w:r>
              <w:rPr>
                <w:rFonts w:hint="eastAsia" w:ascii="宋体" w:hAnsi="宋体" w:cs="宋体"/>
                <w:b w:val="0"/>
                <w:bCs w:val="0"/>
                <w:sz w:val="24"/>
                <w:szCs w:val="24"/>
                <w:lang w:val="en-US" w:eastAsia="zh-CN"/>
              </w:rPr>
              <w:t>4、3.5、3、2.5、</w:t>
            </w:r>
            <w:r>
              <w:rPr>
                <w:rFonts w:hint="eastAsia" w:ascii="宋体" w:hAnsi="宋体" w:eastAsia="宋体" w:cs="宋体"/>
                <w:b w:val="0"/>
                <w:bCs w:val="0"/>
                <w:sz w:val="24"/>
                <w:szCs w:val="24"/>
                <w:lang w:val="en-US" w:eastAsia="zh-CN"/>
              </w:rPr>
              <w:t>2、1.5、1、0.5、0）</w:t>
            </w:r>
          </w:p>
        </w:tc>
      </w:tr>
      <w:tr w14:paraId="6E01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40" w:type="dxa"/>
            <w:vMerge w:val="restart"/>
            <w:noWrap w:val="0"/>
            <w:vAlign w:val="center"/>
          </w:tcPr>
          <w:p w14:paraId="363B4DF2">
            <w:pPr>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1295" w:type="dxa"/>
            <w:vMerge w:val="restart"/>
            <w:noWrap w:val="0"/>
            <w:vAlign w:val="center"/>
          </w:tcPr>
          <w:p w14:paraId="0D7E5D01">
            <w:pPr>
              <w:pStyle w:val="6"/>
              <w:ind w:firstLine="0" w:firstLineChars="0"/>
              <w:jc w:val="center"/>
              <w:rPr>
                <w:rFonts w:hint="eastAsia" w:ascii="宋体" w:hAnsi="宋体" w:eastAsia="宋体" w:cs="宋体"/>
                <w:b w:val="0"/>
                <w:kern w:val="2"/>
                <w:sz w:val="24"/>
                <w:szCs w:val="24"/>
                <w:lang w:val="en-US" w:eastAsia="zh-CN"/>
              </w:rPr>
            </w:pPr>
            <w:r>
              <w:rPr>
                <w:rFonts w:hint="eastAsia" w:ascii="宋体" w:hAnsi="宋体" w:eastAsia="宋体" w:cs="宋体"/>
                <w:b w:val="0"/>
                <w:kern w:val="2"/>
                <w:sz w:val="24"/>
                <w:szCs w:val="24"/>
                <w:lang w:val="en-US" w:eastAsia="zh-CN"/>
              </w:rPr>
              <w:t>样品</w:t>
            </w:r>
          </w:p>
          <w:p w14:paraId="1D150364">
            <w:pPr>
              <w:pStyle w:val="6"/>
              <w:ind w:firstLine="0" w:firstLineChars="0"/>
              <w:jc w:val="center"/>
              <w:rPr>
                <w:rFonts w:hint="eastAsia" w:ascii="宋体" w:hAnsi="宋体" w:eastAsia="宋体" w:cs="宋体"/>
                <w:b w:val="0"/>
                <w:kern w:val="2"/>
                <w:sz w:val="24"/>
                <w:szCs w:val="24"/>
                <w:lang w:val="en-US" w:eastAsia="zh-CN"/>
              </w:rPr>
            </w:pPr>
            <w:r>
              <w:rPr>
                <w:rFonts w:hint="eastAsia" w:ascii="宋体" w:hAnsi="宋体" w:eastAsia="宋体" w:cs="宋体"/>
                <w:b w:val="0"/>
                <w:kern w:val="2"/>
                <w:sz w:val="24"/>
                <w:szCs w:val="24"/>
                <w:lang w:val="en-US" w:eastAsia="zh-CN"/>
              </w:rPr>
              <w:t>（</w:t>
            </w:r>
            <w:r>
              <w:rPr>
                <w:rFonts w:hint="eastAsia" w:ascii="宋体" w:hAnsi="宋体" w:cs="宋体"/>
                <w:b w:val="0"/>
                <w:kern w:val="2"/>
                <w:sz w:val="24"/>
                <w:szCs w:val="24"/>
                <w:lang w:val="en-US" w:eastAsia="zh-CN"/>
              </w:rPr>
              <w:t>8</w:t>
            </w:r>
            <w:r>
              <w:rPr>
                <w:rFonts w:hint="eastAsia" w:ascii="宋体" w:hAnsi="宋体" w:eastAsia="宋体" w:cs="宋体"/>
                <w:b w:val="0"/>
                <w:kern w:val="2"/>
                <w:sz w:val="24"/>
                <w:szCs w:val="24"/>
                <w:lang w:val="en-US" w:eastAsia="zh-CN"/>
              </w:rPr>
              <w:t>分）</w:t>
            </w:r>
          </w:p>
        </w:tc>
        <w:tc>
          <w:tcPr>
            <w:tcW w:w="7513" w:type="dxa"/>
            <w:noWrap w:val="0"/>
            <w:vAlign w:val="center"/>
          </w:tcPr>
          <w:p w14:paraId="27AE18D9">
            <w:pPr>
              <w:jc w:val="left"/>
              <w:rPr>
                <w:rFonts w:hint="eastAsia" w:ascii="宋体" w:hAnsi="宋体" w:eastAsia="宋体" w:cs="宋体"/>
                <w:sz w:val="24"/>
                <w:szCs w:val="24"/>
                <w:lang w:val="en-US" w:eastAsia="zh-CN"/>
              </w:rPr>
            </w:pPr>
            <w:r>
              <w:rPr>
                <w:rFonts w:hint="eastAsia" w:ascii="宋体" w:hAnsi="宋体" w:eastAsia="宋体" w:cs="宋体"/>
                <w:b w:val="0"/>
                <w:kern w:val="2"/>
                <w:sz w:val="24"/>
                <w:szCs w:val="24"/>
                <w:lang w:val="en-US" w:eastAsia="zh-CN" w:bidi="ar-SA"/>
              </w:rPr>
              <w:t>根据投标人提供的拓展训练组合中的主立柱镀锌钢管：1个（直径≥100mm，壁厚≥2.5 mm，长≥100mm），其样品质量、工艺制作水平、安全性等方面，由评委进行综合评审；</w:t>
            </w:r>
            <w:r>
              <w:rPr>
                <w:rFonts w:hint="eastAsia" w:ascii="宋体" w:hAnsi="宋体" w:eastAsia="宋体" w:cs="宋体"/>
                <w:kern w:val="2"/>
                <w:sz w:val="24"/>
                <w:szCs w:val="24"/>
                <w:lang w:val="en-US" w:eastAsia="zh-CN"/>
              </w:rPr>
              <w:t>未提供样品不得分。</w:t>
            </w:r>
            <w:r>
              <w:rPr>
                <w:rFonts w:hint="eastAsia" w:ascii="宋体" w:hAnsi="宋体" w:eastAsia="宋体" w:cs="宋体"/>
                <w:sz w:val="24"/>
                <w:szCs w:val="24"/>
                <w:lang w:val="en-US" w:eastAsia="zh-CN"/>
              </w:rPr>
              <w:t>（分值：</w:t>
            </w:r>
            <w:r>
              <w:rPr>
                <w:rFonts w:hint="eastAsia" w:ascii="宋体" w:hAnsi="宋体" w:cs="宋体"/>
                <w:sz w:val="24"/>
                <w:szCs w:val="24"/>
                <w:lang w:val="en-US" w:eastAsia="zh-CN"/>
              </w:rPr>
              <w:t>4、3.5、3、2.5、</w:t>
            </w:r>
            <w:r>
              <w:rPr>
                <w:rFonts w:hint="eastAsia" w:ascii="宋体" w:hAnsi="宋体" w:eastAsia="宋体" w:cs="宋体"/>
                <w:sz w:val="24"/>
                <w:szCs w:val="24"/>
                <w:lang w:val="en-US" w:eastAsia="zh-CN"/>
              </w:rPr>
              <w:t>2、1.5、1、0.5、0）</w:t>
            </w:r>
          </w:p>
        </w:tc>
      </w:tr>
      <w:tr w14:paraId="4335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40" w:type="dxa"/>
            <w:vMerge w:val="continue"/>
            <w:noWrap w:val="0"/>
            <w:vAlign w:val="center"/>
          </w:tcPr>
          <w:p w14:paraId="2EEA0C73">
            <w:pPr>
              <w:spacing w:line="276" w:lineRule="auto"/>
              <w:jc w:val="center"/>
              <w:rPr>
                <w:rFonts w:hint="eastAsia" w:ascii="宋体" w:hAnsi="宋体" w:eastAsia="宋体" w:cs="宋体"/>
                <w:sz w:val="24"/>
                <w:szCs w:val="24"/>
              </w:rPr>
            </w:pPr>
          </w:p>
        </w:tc>
        <w:tc>
          <w:tcPr>
            <w:tcW w:w="1295" w:type="dxa"/>
            <w:vMerge w:val="continue"/>
            <w:noWrap w:val="0"/>
            <w:vAlign w:val="center"/>
          </w:tcPr>
          <w:p w14:paraId="67D04EE4">
            <w:pPr>
              <w:pStyle w:val="6"/>
              <w:ind w:firstLine="0" w:firstLineChars="0"/>
              <w:jc w:val="center"/>
              <w:rPr>
                <w:rFonts w:hint="eastAsia" w:ascii="宋体" w:hAnsi="宋体" w:eastAsia="宋体" w:cs="宋体"/>
                <w:b w:val="0"/>
                <w:kern w:val="2"/>
                <w:sz w:val="24"/>
                <w:szCs w:val="24"/>
                <w:lang w:val="en-US" w:eastAsia="zh-CN"/>
              </w:rPr>
            </w:pPr>
          </w:p>
        </w:tc>
        <w:tc>
          <w:tcPr>
            <w:tcW w:w="7513" w:type="dxa"/>
            <w:noWrap w:val="0"/>
            <w:vAlign w:val="center"/>
          </w:tcPr>
          <w:p w14:paraId="4FD36DCC">
            <w:pPr>
              <w:jc w:val="left"/>
              <w:rPr>
                <w:rFonts w:hint="eastAsia" w:ascii="宋体" w:hAnsi="宋体" w:eastAsia="宋体" w:cs="宋体"/>
                <w:kern w:val="2"/>
                <w:sz w:val="24"/>
                <w:szCs w:val="24"/>
                <w:lang w:val="en-US" w:eastAsia="zh-CN"/>
              </w:rPr>
            </w:pPr>
            <w:r>
              <w:rPr>
                <w:rFonts w:hint="eastAsia" w:ascii="宋体" w:hAnsi="宋体" w:eastAsia="宋体" w:cs="宋体"/>
                <w:b w:val="0"/>
                <w:kern w:val="2"/>
                <w:sz w:val="24"/>
                <w:szCs w:val="24"/>
                <w:lang w:val="en-US" w:eastAsia="zh-CN" w:bidi="ar-SA"/>
              </w:rPr>
              <w:t>根据投标人提供的拓展训练组合中的芬兰木：1块（长≥100mm，厚≥23mm，其样品平整度、光洁度、色泽、手感、耐磨性、表面有无毛刺等方面，由评委进行综合评审；</w:t>
            </w:r>
            <w:r>
              <w:rPr>
                <w:rFonts w:hint="eastAsia" w:ascii="宋体" w:hAnsi="宋体" w:eastAsia="宋体" w:cs="宋体"/>
                <w:kern w:val="2"/>
                <w:sz w:val="24"/>
                <w:szCs w:val="24"/>
                <w:lang w:val="en-US" w:eastAsia="zh-CN"/>
              </w:rPr>
              <w:t>未提供样品不得分。</w:t>
            </w:r>
            <w:r>
              <w:rPr>
                <w:rFonts w:hint="eastAsia" w:ascii="宋体" w:hAnsi="宋体" w:eastAsia="宋体" w:cs="宋体"/>
                <w:sz w:val="24"/>
                <w:szCs w:val="24"/>
                <w:lang w:val="en-US" w:eastAsia="zh-CN"/>
              </w:rPr>
              <w:t>（分值：</w:t>
            </w:r>
            <w:r>
              <w:rPr>
                <w:rFonts w:hint="eastAsia" w:ascii="宋体" w:hAnsi="宋体" w:cs="宋体"/>
                <w:sz w:val="24"/>
                <w:szCs w:val="24"/>
                <w:lang w:val="en-US" w:eastAsia="zh-CN"/>
              </w:rPr>
              <w:t>4、3.5、3、2.5、</w:t>
            </w:r>
            <w:r>
              <w:rPr>
                <w:rFonts w:hint="eastAsia" w:ascii="宋体" w:hAnsi="宋体" w:eastAsia="宋体" w:cs="宋体"/>
                <w:sz w:val="24"/>
                <w:szCs w:val="24"/>
                <w:lang w:val="en-US" w:eastAsia="zh-CN"/>
              </w:rPr>
              <w:t>2、1.5、1、0.5、0）</w:t>
            </w:r>
          </w:p>
        </w:tc>
      </w:tr>
    </w:tbl>
    <w:p w14:paraId="50CE5D02">
      <w:pPr>
        <w:widowControl/>
        <w:spacing w:line="700" w:lineRule="exact"/>
        <w:rPr>
          <w:rFonts w:hint="default" w:asciiTheme="minorEastAsia" w:hAnsiTheme="minorEastAsia" w:eastAsiaTheme="minorEastAsia"/>
          <w:b/>
          <w:sz w:val="28"/>
          <w:szCs w:val="28"/>
          <w:u w:val="single"/>
          <w:lang w:val="en-US" w:eastAsia="zh-CN"/>
        </w:rPr>
      </w:pPr>
      <w:r>
        <w:rPr>
          <w:rFonts w:hint="eastAsia" w:asciiTheme="minorEastAsia" w:hAnsiTheme="minorEastAsia" w:eastAsiaTheme="minorEastAsia"/>
          <w:b/>
          <w:sz w:val="28"/>
          <w:szCs w:val="28"/>
          <w:u w:val="none"/>
          <w:lang w:val="en-US" w:eastAsia="zh-CN"/>
        </w:rPr>
        <w:t>附件3：电子CAD图纸</w:t>
      </w:r>
    </w:p>
    <w:p w14:paraId="41887AF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D9276"/>
    <w:multiLevelType w:val="singleLevel"/>
    <w:tmpl w:val="0B9D927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073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208"/>
      </w:tabs>
      <w:spacing w:line="432" w:lineRule="auto"/>
    </w:pPr>
    <w:rPr>
      <w:rFonts w:ascii="仿宋_GB2312" w:eastAsia="仿宋_GB2312" w:cs="Times New Roman"/>
      <w:sz w:val="28"/>
    </w:rPr>
  </w:style>
  <w:style w:type="paragraph" w:styleId="3">
    <w:name w:val="Body Text First Indent"/>
    <w:basedOn w:val="2"/>
    <w:qFormat/>
    <w:uiPriority w:val="0"/>
    <w:pPr>
      <w:spacing w:after="120" w:line="240" w:lineRule="auto"/>
      <w:ind w:firstLine="420"/>
    </w:pPr>
    <w:rPr>
      <w:lang w:val="zh-CN"/>
    </w:rPr>
  </w:style>
  <w:style w:type="paragraph" w:styleId="4">
    <w:name w:val="Body Text Indent"/>
    <w:basedOn w:val="1"/>
    <w:next w:val="1"/>
    <w:qFormat/>
    <w:uiPriority w:val="0"/>
    <w:pPr>
      <w:ind w:firstLine="540"/>
    </w:pPr>
    <w:rPr>
      <w:rFonts w:cs="Times New Roman"/>
      <w:sz w:val="28"/>
      <w:szCs w:val="20"/>
    </w:rPr>
  </w:style>
  <w:style w:type="paragraph" w:styleId="5">
    <w:name w:val="Plain Text"/>
    <w:basedOn w:val="1"/>
    <w:next w:val="1"/>
    <w:qFormat/>
    <w:uiPriority w:val="99"/>
    <w:pPr>
      <w:jc w:val="both"/>
    </w:pPr>
    <w:rPr>
      <w:rFonts w:ascii="宋体" w:hAnsi="Courier New" w:cs="Times New Roman"/>
      <w:szCs w:val="20"/>
    </w:rPr>
  </w:style>
  <w:style w:type="paragraph" w:styleId="6">
    <w:name w:val="Body Text First Indent 2"/>
    <w:basedOn w:val="4"/>
    <w:next w:val="7"/>
    <w:qFormat/>
    <w:uiPriority w:val="0"/>
    <w:pPr>
      <w:ind w:firstLine="420" w:firstLineChars="200"/>
      <w:jc w:val="left"/>
    </w:pPr>
    <w:rPr>
      <w:b/>
      <w:kern w:val="1"/>
      <w:szCs w:val="24"/>
    </w:rPr>
  </w:style>
  <w:style w:type="paragraph" w:customStyle="1" w:styleId="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2025-06-23T00:33:26Z</dcterms:created>
  <dc:creator>Administrator</dc:creator>
  <cp:lastModifiedBy>沙漏</cp:lastModifiedBy>
  <dcterms:modified xsi:type="dcterms:W3CDTF">2025-06-23T00:33:41Z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eyJoZGlkIjoiMmE0ODI1ZWU4Y2FlMzFkMDQ0ZDYzMjJlYzU1YjljZmMiLCJ1c2VySWQiOiI1NTY4OTMyNjMifQ==</vt:lpwstr>
  </property>
  <property fmtid="{D5CDD505-2E9C-101B-9397-08002B2CF9AE}" pid="4" name="ICV">
    <vt:lpwstr>39A01CB286B4411983C0ACFC6112528C_12</vt:lpwstr>
  </property>
</Properties>
</file>