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6"/>
          <w:szCs w:val="36"/>
        </w:rPr>
      </w:pPr>
      <w:bookmarkStart w:id="0" w:name="OLE_LINK2"/>
      <w:bookmarkStart w:id="1" w:name="OLE_LINK1"/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6"/>
          <w:szCs w:val="36"/>
        </w:rPr>
        <w:t>绍兴文理学院商学院新大楼家具采购项目</w:t>
      </w:r>
      <w:bookmarkStart w:id="4" w:name="_GoBack"/>
      <w:bookmarkEnd w:id="4"/>
    </w:p>
    <w:p>
      <w:pPr>
        <w:jc w:val="center"/>
        <w:outlineLvl w:val="0"/>
        <w:rPr>
          <w:rFonts w:hint="default" w:ascii="仿宋_GB2312" w:hAnsi="仿宋_GB2312" w:eastAsia="仿宋_GB2312" w:cs="仿宋_GB2312"/>
          <w:b/>
          <w:bCs/>
          <w:color w:val="000000" w:themeColor="text1"/>
          <w:kern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6"/>
          <w:szCs w:val="36"/>
        </w:rPr>
        <w:t>更正公告</w:t>
      </w:r>
    </w:p>
    <w:p>
      <w:pPr>
        <w:pStyle w:val="13"/>
        <w:ind w:firstLine="210"/>
        <w:rPr>
          <w:rFonts w:ascii="仿宋_GB2312" w:hAnsi="仿宋_GB2312" w:eastAsia="仿宋_GB2312" w:cs="仿宋_GB2312"/>
        </w:rPr>
      </w:pPr>
    </w:p>
    <w:p>
      <w:pPr>
        <w:pStyle w:val="13"/>
        <w:ind w:firstLine="240"/>
        <w:rPr>
          <w:rFonts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一、采购人名称：绍兴文理学院</w:t>
      </w:r>
    </w:p>
    <w:p>
      <w:pPr>
        <w:pStyle w:val="13"/>
        <w:ind w:firstLine="240"/>
        <w:rPr>
          <w:rFonts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二、采购项目名称：绍兴文理学院商学院新大楼家具采购项目</w:t>
      </w:r>
    </w:p>
    <w:p>
      <w:pPr>
        <w:pStyle w:val="13"/>
        <w:ind w:firstLine="240"/>
        <w:rPr>
          <w:rFonts w:hint="eastAsia" w:ascii="仿宋_GB2312" w:hAnsi="仿宋_GB2312" w:eastAsia="仿宋_GB2312" w:cs="仿宋_GB2312"/>
          <w:sz w:val="24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三、招标编号：2025-06-005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2</w:t>
      </w:r>
    </w:p>
    <w:p>
      <w:pPr>
        <w:pStyle w:val="13"/>
        <w:ind w:firstLine="240"/>
        <w:rPr>
          <w:rFonts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四、原采购公告发布日期：2025年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4"/>
          <w:szCs w:val="32"/>
        </w:rPr>
        <w:t>月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32"/>
        </w:rPr>
        <w:t>日</w:t>
      </w:r>
    </w:p>
    <w:p>
      <w:pPr>
        <w:pStyle w:val="13"/>
        <w:ind w:firstLine="240"/>
        <w:rPr>
          <w:rFonts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五、更正理由：应采购人要求</w:t>
      </w:r>
    </w:p>
    <w:p>
      <w:pPr>
        <w:pStyle w:val="13"/>
        <w:ind w:firstLine="240"/>
        <w:rPr>
          <w:rFonts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六、更正事项：</w:t>
      </w:r>
    </w:p>
    <w:bookmarkEnd w:id="0"/>
    <w:bookmarkEnd w:id="1"/>
    <w:tbl>
      <w:tblPr>
        <w:tblStyle w:val="15"/>
        <w:tblW w:w="9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850"/>
        <w:gridCol w:w="3515"/>
        <w:gridCol w:w="3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bookmarkStart w:id="2" w:name="OLE_LINK6"/>
            <w:bookmarkStart w:id="3" w:name="OLE_LINK5"/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更正项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更正前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更正后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第三部分招标项目范围及要求--一、货物清单及技术要求--序号19“多功能电子讲台”</w:t>
            </w:r>
          </w:p>
        </w:tc>
        <w:tc>
          <w:tcPr>
            <w:tcW w:w="3515" w:type="dxa"/>
            <w:noWrap w:val="0"/>
            <w:vAlign w:val="top"/>
          </w:tcPr>
          <w:p>
            <w:pPr>
              <w:pStyle w:val="22"/>
              <w:wordWrap w:val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8、▲桌面接线盒：桌面上至少需具备1个以上万能5孔220V电源插座、2 个USB接口，1 个抽线区域，抽线孔位 ≥3（需提供国家认可的质检机构出具带有CMA或CNAS标识的检测报告复印件加盖投标人公章）。</w:t>
            </w:r>
          </w:p>
          <w:p>
            <w:pPr>
              <w:pStyle w:val="22"/>
              <w:wordWrap w:val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、▲显示器支架：桌面需设计有一体化的显示器支架，可调节高度≥90mm，可倾斜-5°~90°，同时支架底座需具备键鼠收纳空间，用于存放键鼠设备（需提供国家认可的质检机构出具带有CMA或CNAS标识的检测报告复印件加盖投标人公章）。</w:t>
            </w:r>
          </w:p>
          <w:p>
            <w:pPr>
              <w:pStyle w:val="22"/>
              <w:wordWrap w:val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、▲升降立柱：采用双电机两节电动升降立柱，超强抗下滑设计。管子尺寸：外管尺寸≥80*50mm，内管尺寸≥75*45mm，桌架最大均布载荷：≥100Kg均布。控制盒带陀螺仪功能：遇阻回退防夹保护，桌面震动和突然倾斜立刻停止升降（需提供国家认可的质检机构出具带有CMA或CNAS标识的检测报告复印件加盖投标人公章）。</w:t>
            </w:r>
          </w:p>
        </w:tc>
        <w:tc>
          <w:tcPr>
            <w:tcW w:w="3625" w:type="dxa"/>
            <w:noWrap w:val="0"/>
            <w:vAlign w:val="top"/>
          </w:tcPr>
          <w:p>
            <w:pPr>
              <w:pStyle w:val="22"/>
              <w:wordWrap w:val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8、▲桌面接线盒：桌面上至少需具备1个以上万能5孔220V电源插座、2 个USB接口，1 个抽线区域，抽线孔位 ≥3。</w:t>
            </w:r>
          </w:p>
          <w:p>
            <w:pPr>
              <w:pStyle w:val="22"/>
              <w:wordWrap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22"/>
              <w:wordWrap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22"/>
              <w:wordWrap w:val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9、▲显示器支架：桌面需设计有一体化的显示器支架，可调节高度≥90mm，可倾斜-5°~90°，同时支架底座需具备键鼠收纳空间，用于存放键鼠设备</w:t>
            </w: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。</w:t>
            </w:r>
          </w:p>
          <w:p>
            <w:pPr>
              <w:pStyle w:val="22"/>
              <w:wordWrap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22"/>
              <w:wordWrap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22"/>
              <w:wordWrap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22"/>
              <w:wordWrap w:val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、▲升降立柱：采用双电机两节电动升降立柱，超强抗下滑设计。管子尺寸：外管尺寸≥80*50mm，内管尺寸≥75*45mm，桌架最大均布载荷：≥100Kg均布。控制盒带陀螺仪功能：遇阻回退防夹保护，桌面震动和突然倾斜立刻停止升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第三部分招标项目范围及要求--二、招标其他要求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新增：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8.供货完成后，采购人对供货货物进行抽检。中标人应向采购人提交抽检货物的出厂合格证书（或报告）、检测报告等完整的技术资料，若中标人未能按要求履约的，导致无法及时验收的，由中标人承担一切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第五部分评标方法及标准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--2.1商务技术分--3检测报告</w:t>
            </w:r>
          </w:p>
        </w:tc>
        <w:tc>
          <w:tcPr>
            <w:tcW w:w="3515" w:type="dxa"/>
            <w:noWrap w:val="0"/>
            <w:vAlign w:val="top"/>
          </w:tcPr>
          <w:p>
            <w:pPr>
              <w:wordWrap w:val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、提供有效期内第三方检测机构检测的“钢管”检测报告，检测依据GB/T230.1-2018：洛氏硬度HRB≥30。GB/T3325-2024：金属喷漆（塑）涂层理化性能：硬度、冲击强度冲击高度400mm，无剥落、裂纹、皱纹；耐盐浴；附着力不低于1级。GB/T35607-2024：可迁移元素（砷As≤25mg/kg、硒Se≤500mg/kg、汞Hg≤25mg/kg、钡Ba≤1000mg/kg、铅Pb≤90mg/kg、铬Cr≤25mg/kg、锑Sb≤60mg/kg、镉Cd≤50mg/kg）。</w:t>
            </w:r>
          </w:p>
          <w:p>
            <w:pPr>
              <w:wordWrap w:val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QB/T 3826-1999、QB/T 3832-1999 ：中性盐雾试验≥400h，耐腐蚀等级10级。QB/T 3827-2021、QB/T 3832-1999：乙酸盐雾试验≥400h，耐腐蚀等级达到10级。GB/T 10125-2021、 GB/T 6461-2002：铜加速乙酸盐雾试验240h，保护评级和外观评级达到10级。GB/T 6394-2017：平均晶粒度达到9级。GB/T 13298-2015：显微组织：试样显微组织为铁素体。</w:t>
            </w:r>
          </w:p>
          <w:p>
            <w:pPr>
              <w:wordWrap w:val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ordWrap w:val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2、提供有效期内第三方检测机构检测的“冷轧钢板”检测报告，检测依据符合：GB/T 230.1-2018：洛氏硬度HRB≥30。GB/T 228.1-2021:抗拉强度≥400MPa、断后伸长率≥27、规定塑性延伸强度≥235MPa、晶粒度≥8级。GB/T 231.1-2018：布氏硬度≥110。GB/T 4340.1-2024：维氏硬度≥110HV5、耐晶间腐蚀试验 ：无晶间腐蚀裂纹。QB/T3826-1999；QB/T3832-1999：中性盐雾（连续喷雾 200小时），镀(涂)层对基体的保护等级10级，镀(涂)层本身的耐腐蚀等级10级。GB/T 226-2015：低倍组织及缺陷≤3级（中心疏松不大于3级、一般疏松不大于3级）。GB/T19746-2018：盐溶液周浸试验≥200h，质量损失率≤0.1g/㎡，经≥200 小时周浸试验后，样品表面涂层未被腐蚀。</w:t>
            </w:r>
          </w:p>
          <w:p>
            <w:pPr>
              <w:wordWrap w:val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ordWrap w:val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3、提供有效期内第三方检测机构检测的“塑粉”检测报告，检测依据符合：HG/T 2006-2022 ：耐人工气候老化性≥400h无粉化、起泡、开裂、剥落等异常现象；杯突试验≧4mm、铅笔硬度≧H、耐沸水性，无异常（2h）、外观：色泽均匀、无异物、呈松散粉末状、耐酸性：240h无异常、耐碱性：无异常。耐盐雾性：≥400h划痕处单向腐蚀蔓延宽度≤4.0mm，未划痕区无起泡、生锈、开裂、剥落等异常现象。GB/T 35602-2017：重金属元素含量：铅、镉、六价铬、汞、砷、钡、硒、锑、钴 未检出。GB/T 21782.3-2008：密度测定 1.2~1.8g/mL。GB/T 21782.5-2010：混合度流动性测试 ≤95。HG/T 3950-2007：产气肠杆菌、洋葱伯克霍尔德氏菌、粪肠球菌 抗菌率≥99%。</w:t>
            </w:r>
          </w:p>
          <w:p>
            <w:pPr>
              <w:pStyle w:val="4"/>
              <w:wordWrap w:val="0"/>
              <w:autoSpaceDE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</w:rPr>
            </w:pPr>
          </w:p>
          <w:p>
            <w:pPr>
              <w:pStyle w:val="4"/>
              <w:wordWrap w:val="0"/>
              <w:autoSpaceDE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</w:rPr>
              <w:t>4、提供有效期内第三方检测机构检测的“环保木器漆”检测报告，检测依据符合GB 18581-2020：甲醛释放量≤50mg/kg，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VOC含量≤250g/L。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</w:rPr>
              <w:t>GB 18584-2024：苯≤0.06mg/m³，甲苯≤0.15mg/m³，二甲苯≤0.2mg/m³，总挥发性有机化合物≤0.5mg/m³，总铅含量≤10mg/kg，可溶性重金属含量（镉≤75mg/kg、铬≤60mg/kg、汞≤60mg/kg。GB/T6739-2022:产品表面硬度≥2H。</w:t>
            </w:r>
          </w:p>
          <w:p>
            <w:pPr>
              <w:tabs>
                <w:tab w:val="left" w:pos="0"/>
                <w:tab w:val="left" w:pos="993"/>
                <w:tab w:val="left" w:pos="1134"/>
              </w:tabs>
              <w:wordWrap w:val="0"/>
              <w:spacing w:before="156" w:beforeLines="50" w:after="156" w:afterLines="5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以上4项每提供一个完整检测报告得2分，最高得8分；名称和检测依据不符合的不得分。</w:t>
            </w:r>
          </w:p>
          <w:p>
            <w:pPr>
              <w:pStyle w:val="2"/>
              <w:wordWrap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注：提供由国家认可的检测机构出具的封面带有CMA或CNAS标识的检测报告扫描件。</w:t>
            </w:r>
          </w:p>
        </w:tc>
        <w:tc>
          <w:tcPr>
            <w:tcW w:w="3625" w:type="dxa"/>
            <w:noWrap w:val="0"/>
            <w:vAlign w:val="top"/>
          </w:tcPr>
          <w:p>
            <w:pPr>
              <w:wordWrap w:val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、提供有效期内第三方检测机构检测的“钢管”检测报告，检测依据GB/T230.1-2018：洛氏硬度HRB≥30。GB/T3325-2024：金属喷漆（塑）涂层理化性能：硬度、冲击强度冲击高度400mm，无剥落、裂纹、皱纹；耐盐浴；附着力不低于1级。GB/T35607-2024：可迁移元素（砷As≤25mg/kg、硒Se≤500mg/kg、汞Hg≤25mg/kg、钡Ba≤1000mg/kg、铅Pb≤90mg/kg、铬Cr≤25mg/kg、锑Sb≤60mg/kg、镉Cd≤50mg/kg）。GB/T 10125-2021、 GB/T 6461-2002：铜加速乙酸盐雾试验240h，保护评级和外观评级达到10级。GB/T 6394-2017：平均晶粒度达到9级。GB/T 13298-2015：显微组织：试样显微组织为铁素体。</w:t>
            </w:r>
          </w:p>
          <w:p>
            <w:pPr>
              <w:wordWrap w:val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ordWrap w:val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ordWrap w:val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ordWrap w:val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ordWrap w:val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ordWrap w:val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ordWrap w:val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2、提供有效期内第三方检测机构检测的“冷轧钢板”检测报告，检测依据符合：GB/T 230.1-2018：洛氏硬度HRB≥30。GB/T 228.1-2021:抗拉强度≥400MPa、断后伸长率≥27、规定塑性延伸强度≥235MPa、晶粒度≥8级。GB/T 231.1-2018：布氏硬度≥110。GB/T 4340.1-2024：维氏硬度≥110HV5、耐晶间腐蚀试验 ：无晶间腐蚀裂纹。GB/T19746-2018：盐溶液周浸试验≥200h，质量损失率≤0.1g/㎡，经≥200 小时周浸试验后，样品表面涂层未被腐蚀。</w:t>
            </w:r>
          </w:p>
          <w:p>
            <w:pPr>
              <w:wordWrap w:val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ordWrap w:val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ordWrap w:val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ordWrap w:val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ordWrap w:val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ordWrap w:val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ordWrap w:val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ordWrap w:val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ordWrap w:val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3、提供有效期内第三方检测机构检测的“塑粉”检测报告，检测依据符合：GB/T 35602-2017：重金属元素含量：铅、镉、六价铬、汞、砷、钡、硒、锑、钴 未检出。GB/T 21782.3-2008：密度测定 1.2~1.8g/mL。GB/T 21782.5-2010：混合度流动性测试 ≤95。</w:t>
            </w:r>
          </w:p>
          <w:p>
            <w:pPr>
              <w:wordWrap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</w:rPr>
            </w:pPr>
          </w:p>
          <w:p>
            <w:pPr>
              <w:wordWrap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</w:rPr>
            </w:pPr>
          </w:p>
          <w:p>
            <w:pPr>
              <w:wordWrap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</w:rPr>
            </w:pPr>
          </w:p>
          <w:p>
            <w:pPr>
              <w:wordWrap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</w:rPr>
            </w:pPr>
          </w:p>
          <w:p>
            <w:pPr>
              <w:wordWrap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</w:rPr>
            </w:pPr>
          </w:p>
          <w:p>
            <w:pPr>
              <w:wordWrap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</w:rPr>
            </w:pPr>
          </w:p>
          <w:p>
            <w:pPr>
              <w:wordWrap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</w:rPr>
            </w:pPr>
          </w:p>
          <w:p>
            <w:pPr>
              <w:wordWrap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</w:rPr>
            </w:pPr>
          </w:p>
          <w:p>
            <w:pPr>
              <w:wordWrap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</w:rPr>
            </w:pPr>
          </w:p>
          <w:p>
            <w:pPr>
              <w:wordWrap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</w:rPr>
            </w:pPr>
          </w:p>
          <w:p>
            <w:pPr>
              <w:wordWrap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</w:rPr>
            </w:pPr>
          </w:p>
          <w:p>
            <w:pPr>
              <w:wordWrap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</w:rPr>
            </w:pPr>
          </w:p>
          <w:p>
            <w:pPr>
              <w:wordWrap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</w:rPr>
            </w:pPr>
          </w:p>
          <w:p>
            <w:pPr>
              <w:wordWrap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</w:rPr>
              <w:t>4、提供有效期内第三方检测机构检测的“环保木器漆”检测报告，检测依据符合GB 18581-2020：甲醛释放量≤50mg/kg，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VOC含量≤250g/L。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</w:rPr>
              <w:t>GB/T6739-2022:产品表面硬度≥2H。</w:t>
            </w:r>
          </w:p>
          <w:p>
            <w:pPr>
              <w:tabs>
                <w:tab w:val="left" w:pos="0"/>
                <w:tab w:val="left" w:pos="993"/>
                <w:tab w:val="left" w:pos="1134"/>
              </w:tabs>
              <w:wordWrap w:val="0"/>
              <w:spacing w:before="156" w:beforeLines="50" w:after="156" w:afterLines="5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tabs>
                <w:tab w:val="left" w:pos="0"/>
                <w:tab w:val="left" w:pos="993"/>
                <w:tab w:val="left" w:pos="1134"/>
              </w:tabs>
              <w:wordWrap w:val="0"/>
              <w:spacing w:before="156" w:beforeLines="50" w:after="156" w:afterLines="5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tabs>
                <w:tab w:val="left" w:pos="0"/>
                <w:tab w:val="left" w:pos="993"/>
                <w:tab w:val="left" w:pos="1134"/>
              </w:tabs>
              <w:wordWrap w:val="0"/>
              <w:spacing w:before="156" w:beforeLines="50" w:after="156" w:afterLines="5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tabs>
                <w:tab w:val="left" w:pos="0"/>
                <w:tab w:val="left" w:pos="993"/>
                <w:tab w:val="left" w:pos="1134"/>
              </w:tabs>
              <w:wordWrap w:val="0"/>
              <w:spacing w:before="156" w:beforeLines="50" w:after="156" w:afterLines="5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tabs>
                <w:tab w:val="left" w:pos="0"/>
                <w:tab w:val="left" w:pos="993"/>
                <w:tab w:val="left" w:pos="1134"/>
              </w:tabs>
              <w:wordWrap w:val="0"/>
              <w:spacing w:before="156" w:beforeLines="50" w:after="156" w:afterLines="5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以上4项每提供一个完整检测报告得2分，最高得8分；名称和检测依据不符合的不得分。</w:t>
            </w:r>
          </w:p>
          <w:p>
            <w:pPr>
              <w:wordWrap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注：提供由国家认可的检测机构出具的封面带有CMA或CNAS标识的检测报告扫描件。</w:t>
            </w:r>
          </w:p>
        </w:tc>
      </w:tr>
    </w:tbl>
    <w:p>
      <w:pPr>
        <w:pStyle w:val="13"/>
        <w:ind w:firstLine="241"/>
        <w:jc w:val="left"/>
        <w:rPr>
          <w:rFonts w:ascii="仿宋_GB2312" w:hAnsi="仿宋_GB2312" w:eastAsia="仿宋_GB2312" w:cs="仿宋_GB2312"/>
          <w:b/>
          <w:bCs/>
          <w:color w:val="000000" w:themeColor="text1"/>
          <w:sz w:val="24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szCs w:val="32"/>
        </w:rPr>
        <w:t>未涉及的其他内容不变。</w:t>
      </w:r>
      <w:bookmarkEnd w:id="2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7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RkOGYyMDdkMGYyMzk1NWQ1ZTcyMGI3MTQ2MmQyMDIifQ=="/>
  </w:docVars>
  <w:rsids>
    <w:rsidRoot w:val="37A93C63"/>
    <w:rsid w:val="00056313"/>
    <w:rsid w:val="00091D0C"/>
    <w:rsid w:val="000D0076"/>
    <w:rsid w:val="000D06FE"/>
    <w:rsid w:val="001D484F"/>
    <w:rsid w:val="002A4362"/>
    <w:rsid w:val="002D2CB4"/>
    <w:rsid w:val="00322758"/>
    <w:rsid w:val="0040010C"/>
    <w:rsid w:val="00557EB8"/>
    <w:rsid w:val="005C2E10"/>
    <w:rsid w:val="00737F70"/>
    <w:rsid w:val="00785D17"/>
    <w:rsid w:val="0080076B"/>
    <w:rsid w:val="00810E4D"/>
    <w:rsid w:val="00844AFE"/>
    <w:rsid w:val="0085168B"/>
    <w:rsid w:val="008A3569"/>
    <w:rsid w:val="00C90B46"/>
    <w:rsid w:val="00CE6E6D"/>
    <w:rsid w:val="00D310B0"/>
    <w:rsid w:val="00D400EC"/>
    <w:rsid w:val="00DB67F8"/>
    <w:rsid w:val="00DD1931"/>
    <w:rsid w:val="00DF1396"/>
    <w:rsid w:val="00E14C95"/>
    <w:rsid w:val="00F418A4"/>
    <w:rsid w:val="00FC5845"/>
    <w:rsid w:val="00FF3E12"/>
    <w:rsid w:val="013040A3"/>
    <w:rsid w:val="0156392B"/>
    <w:rsid w:val="017E7B66"/>
    <w:rsid w:val="022E6257"/>
    <w:rsid w:val="03127926"/>
    <w:rsid w:val="03CF75C5"/>
    <w:rsid w:val="03F67248"/>
    <w:rsid w:val="048900BC"/>
    <w:rsid w:val="05BE6CDA"/>
    <w:rsid w:val="067B1C86"/>
    <w:rsid w:val="074D1A69"/>
    <w:rsid w:val="07FB0273"/>
    <w:rsid w:val="083E511B"/>
    <w:rsid w:val="09EB579F"/>
    <w:rsid w:val="0A9F3D1A"/>
    <w:rsid w:val="0BF97F91"/>
    <w:rsid w:val="0D6B4803"/>
    <w:rsid w:val="0DD04666"/>
    <w:rsid w:val="0E8F2773"/>
    <w:rsid w:val="0EC71F0D"/>
    <w:rsid w:val="0EDD34DE"/>
    <w:rsid w:val="10E02E12"/>
    <w:rsid w:val="12C0739F"/>
    <w:rsid w:val="13196AAF"/>
    <w:rsid w:val="13337B71"/>
    <w:rsid w:val="143360D2"/>
    <w:rsid w:val="144227CC"/>
    <w:rsid w:val="15BA7712"/>
    <w:rsid w:val="15FA6724"/>
    <w:rsid w:val="163C2EED"/>
    <w:rsid w:val="165D4F05"/>
    <w:rsid w:val="16985F3D"/>
    <w:rsid w:val="16BF796D"/>
    <w:rsid w:val="16E15B36"/>
    <w:rsid w:val="17487FB7"/>
    <w:rsid w:val="187327BD"/>
    <w:rsid w:val="19F45B80"/>
    <w:rsid w:val="1B7346A5"/>
    <w:rsid w:val="1BA15893"/>
    <w:rsid w:val="1C6A625C"/>
    <w:rsid w:val="1CC61A56"/>
    <w:rsid w:val="1E334EC9"/>
    <w:rsid w:val="1EBE3889"/>
    <w:rsid w:val="1ECB0D63"/>
    <w:rsid w:val="1FE12702"/>
    <w:rsid w:val="20FF72E4"/>
    <w:rsid w:val="217823A6"/>
    <w:rsid w:val="221A44E7"/>
    <w:rsid w:val="22B1460E"/>
    <w:rsid w:val="230C7A96"/>
    <w:rsid w:val="23DC058E"/>
    <w:rsid w:val="24B6415E"/>
    <w:rsid w:val="262F5AB0"/>
    <w:rsid w:val="26B50445"/>
    <w:rsid w:val="286B34B1"/>
    <w:rsid w:val="289B3D11"/>
    <w:rsid w:val="296044C8"/>
    <w:rsid w:val="29E846DB"/>
    <w:rsid w:val="2A9A1E2C"/>
    <w:rsid w:val="2B2A2F01"/>
    <w:rsid w:val="2BA50A88"/>
    <w:rsid w:val="2C131E96"/>
    <w:rsid w:val="2CFB706C"/>
    <w:rsid w:val="2D4C1B03"/>
    <w:rsid w:val="2DB35827"/>
    <w:rsid w:val="2E053B48"/>
    <w:rsid w:val="2E450300"/>
    <w:rsid w:val="2E7832B7"/>
    <w:rsid w:val="2F372756"/>
    <w:rsid w:val="2FFC4702"/>
    <w:rsid w:val="31140B8A"/>
    <w:rsid w:val="311A046D"/>
    <w:rsid w:val="31322DBE"/>
    <w:rsid w:val="314F5391"/>
    <w:rsid w:val="31797FED"/>
    <w:rsid w:val="33A15FD9"/>
    <w:rsid w:val="34DA22D4"/>
    <w:rsid w:val="364F4F0A"/>
    <w:rsid w:val="37A93C63"/>
    <w:rsid w:val="37E64902"/>
    <w:rsid w:val="37FB3FE0"/>
    <w:rsid w:val="38175C36"/>
    <w:rsid w:val="3B677B08"/>
    <w:rsid w:val="3B9D79CE"/>
    <w:rsid w:val="3C406CD7"/>
    <w:rsid w:val="3E96C84D"/>
    <w:rsid w:val="3EBB0897"/>
    <w:rsid w:val="3F512FA9"/>
    <w:rsid w:val="3F874C1D"/>
    <w:rsid w:val="413154EC"/>
    <w:rsid w:val="42980EEF"/>
    <w:rsid w:val="42CC3B2C"/>
    <w:rsid w:val="4416031D"/>
    <w:rsid w:val="442278C7"/>
    <w:rsid w:val="449B0822"/>
    <w:rsid w:val="45C53DA9"/>
    <w:rsid w:val="45E44817"/>
    <w:rsid w:val="46341091"/>
    <w:rsid w:val="4A2E6CE6"/>
    <w:rsid w:val="4BDB66E1"/>
    <w:rsid w:val="4CAA5563"/>
    <w:rsid w:val="4D4128AF"/>
    <w:rsid w:val="4D704F42"/>
    <w:rsid w:val="4E037B64"/>
    <w:rsid w:val="4E5F1D45"/>
    <w:rsid w:val="50E35A2B"/>
    <w:rsid w:val="51BD44CE"/>
    <w:rsid w:val="51F223CA"/>
    <w:rsid w:val="526037D7"/>
    <w:rsid w:val="53AE40CE"/>
    <w:rsid w:val="555211D1"/>
    <w:rsid w:val="55C45E2B"/>
    <w:rsid w:val="56644F18"/>
    <w:rsid w:val="568D0913"/>
    <w:rsid w:val="57FF6D7B"/>
    <w:rsid w:val="58B73A25"/>
    <w:rsid w:val="59653481"/>
    <w:rsid w:val="596A6CE9"/>
    <w:rsid w:val="5A364E1D"/>
    <w:rsid w:val="5A7B0A82"/>
    <w:rsid w:val="5A924649"/>
    <w:rsid w:val="5AB41347"/>
    <w:rsid w:val="5C5873C8"/>
    <w:rsid w:val="5C874321"/>
    <w:rsid w:val="5CB83222"/>
    <w:rsid w:val="5D521F6E"/>
    <w:rsid w:val="5D600B2F"/>
    <w:rsid w:val="5DAF5613"/>
    <w:rsid w:val="5DFF99AD"/>
    <w:rsid w:val="5E6C2033"/>
    <w:rsid w:val="5EB86749"/>
    <w:rsid w:val="5EFF6BFE"/>
    <w:rsid w:val="5F4F4996"/>
    <w:rsid w:val="60936B26"/>
    <w:rsid w:val="619A3EE4"/>
    <w:rsid w:val="632F518E"/>
    <w:rsid w:val="634A36E8"/>
    <w:rsid w:val="63B23767"/>
    <w:rsid w:val="63D77671"/>
    <w:rsid w:val="64436AB5"/>
    <w:rsid w:val="65206DF6"/>
    <w:rsid w:val="65554CF2"/>
    <w:rsid w:val="65ED4F2A"/>
    <w:rsid w:val="671309C0"/>
    <w:rsid w:val="671D539B"/>
    <w:rsid w:val="67242BCD"/>
    <w:rsid w:val="685636C7"/>
    <w:rsid w:val="6A1B7B8C"/>
    <w:rsid w:val="6A425001"/>
    <w:rsid w:val="6ABC311D"/>
    <w:rsid w:val="6B735909"/>
    <w:rsid w:val="6CAE6A95"/>
    <w:rsid w:val="6DEC5AC7"/>
    <w:rsid w:val="6EBB1F26"/>
    <w:rsid w:val="71341C5F"/>
    <w:rsid w:val="713B43D1"/>
    <w:rsid w:val="722C0B88"/>
    <w:rsid w:val="724F0D1A"/>
    <w:rsid w:val="73691968"/>
    <w:rsid w:val="74416441"/>
    <w:rsid w:val="76965E80"/>
    <w:rsid w:val="76BB24DB"/>
    <w:rsid w:val="76DC7890"/>
    <w:rsid w:val="77303A34"/>
    <w:rsid w:val="777A4144"/>
    <w:rsid w:val="77B238DE"/>
    <w:rsid w:val="786170B2"/>
    <w:rsid w:val="7882108B"/>
    <w:rsid w:val="79173AAE"/>
    <w:rsid w:val="791B54B2"/>
    <w:rsid w:val="793A7F8B"/>
    <w:rsid w:val="79BC6C95"/>
    <w:rsid w:val="79C93160"/>
    <w:rsid w:val="7A341B5E"/>
    <w:rsid w:val="7B364826"/>
    <w:rsid w:val="7BA67BFD"/>
    <w:rsid w:val="7CB157F2"/>
    <w:rsid w:val="7D092550"/>
    <w:rsid w:val="7F1EA429"/>
    <w:rsid w:val="7FF72AA5"/>
    <w:rsid w:val="A9EB461C"/>
    <w:rsid w:val="B370C3B7"/>
    <w:rsid w:val="BE5C1514"/>
    <w:rsid w:val="DDBF0C0F"/>
    <w:rsid w:val="E7D3BD9D"/>
    <w:rsid w:val="EF2FBAEF"/>
    <w:rsid w:val="EFDB857A"/>
    <w:rsid w:val="FD4AD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paragraph" w:styleId="7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2651"/>
        <w:tab w:val="clear" w:pos="1200"/>
      </w:tabs>
      <w:spacing w:before="260" w:after="260" w:line="416" w:lineRule="auto"/>
      <w:ind w:left="1418" w:leftChars="0" w:hanging="567" w:firstLineChars="0"/>
      <w:outlineLvl w:val="2"/>
    </w:pPr>
    <w:rPr>
      <w:rFonts w:eastAsia="仿宋_GB2312"/>
      <w:b/>
      <w:sz w:val="32"/>
      <w:szCs w:val="20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5"/>
    <w:qFormat/>
    <w:uiPriority w:val="0"/>
    <w:pPr>
      <w:spacing w:line="360" w:lineRule="auto"/>
    </w:pPr>
    <w:rPr>
      <w:rFonts w:eastAsia="仿宋_GB2312"/>
      <w:sz w:val="28"/>
    </w:rPr>
  </w:style>
  <w:style w:type="paragraph" w:customStyle="1" w:styleId="5">
    <w:name w:val="自动更正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annotation text"/>
    <w:basedOn w:val="1"/>
    <w:qFormat/>
    <w:uiPriority w:val="99"/>
    <w:pPr>
      <w:jc w:val="left"/>
    </w:pPr>
  </w:style>
  <w:style w:type="paragraph" w:styleId="9">
    <w:name w:val="List 2"/>
    <w:basedOn w:val="1"/>
    <w:qFormat/>
    <w:uiPriority w:val="0"/>
    <w:pPr>
      <w:spacing w:line="360" w:lineRule="auto"/>
      <w:ind w:left="100" w:leftChars="200" w:hanging="200" w:hangingChars="200"/>
    </w:pPr>
    <w:rPr>
      <w:rFonts w:eastAsia="微软雅黑"/>
    </w:rPr>
  </w:style>
  <w:style w:type="paragraph" w:styleId="10">
    <w:name w:val="Plain Text"/>
    <w:basedOn w:val="1"/>
    <w:qFormat/>
    <w:uiPriority w:val="0"/>
    <w:rPr>
      <w:rFonts w:ascii="宋体" w:hAnsi="Courier New"/>
      <w:szCs w:val="20"/>
    </w:rPr>
  </w:style>
  <w:style w:type="paragraph" w:styleId="11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First Indent"/>
    <w:basedOn w:val="4"/>
    <w:next w:val="1"/>
    <w:link w:val="21"/>
    <w:qFormat/>
    <w:uiPriority w:val="0"/>
    <w:pPr>
      <w:spacing w:after="120" w:line="240" w:lineRule="auto"/>
      <w:ind w:firstLine="420" w:firstLineChars="100"/>
    </w:pPr>
    <w:rPr>
      <w:rFonts w:eastAsia="宋体"/>
      <w:sz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Hyperlink"/>
    <w:basedOn w:val="16"/>
    <w:uiPriority w:val="0"/>
    <w:rPr>
      <w:color w:val="0000FF"/>
      <w:u w:val="single"/>
    </w:rPr>
  </w:style>
  <w:style w:type="paragraph" w:customStyle="1" w:styleId="18">
    <w:name w:val="Char"/>
    <w:basedOn w:val="1"/>
    <w:qFormat/>
    <w:uiPriority w:val="0"/>
    <w:pPr>
      <w:adjustRightInd w:val="0"/>
      <w:snapToGrid w:val="0"/>
      <w:spacing w:beforeLines="150" w:afterLines="100" w:line="360" w:lineRule="auto"/>
      <w:ind w:firstLine="192" w:firstLineChars="192"/>
    </w:pPr>
  </w:style>
  <w:style w:type="character" w:customStyle="1" w:styleId="19">
    <w:name w:val="页眉 Char"/>
    <w:basedOn w:val="16"/>
    <w:link w:val="1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16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正文首行缩进 Char"/>
    <w:basedOn w:val="16"/>
    <w:link w:val="13"/>
    <w:qFormat/>
    <w:uiPriority w:val="0"/>
    <w:rPr>
      <w:rFonts w:asciiTheme="minorHAnsi" w:hAnsiTheme="minorHAnsi" w:cstheme="minorBidi"/>
      <w:kern w:val="2"/>
      <w:sz w:val="21"/>
      <w:szCs w:val="24"/>
    </w:rPr>
  </w:style>
  <w:style w:type="paragraph" w:customStyle="1" w:styleId="22">
    <w:name w:val="正文表格"/>
    <w:basedOn w:val="1"/>
    <w:qFormat/>
    <w:uiPriority w:val="0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1121</Characters>
  <Lines>9</Lines>
  <Paragraphs>2</Paragraphs>
  <TotalTime>0</TotalTime>
  <ScaleCrop>false</ScaleCrop>
  <LinksUpToDate>false</LinksUpToDate>
  <CharactersWithSpaces>1315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2024-11-19T05:22:00Z</dcterms:created>
  <dc:creator>GuoLiang Qian</dc:creator>
  <cp:lastModifiedBy>admin</cp:lastModifiedBy>
  <cp:lastPrinted>2025-06-19T08:25:00Z</cp:lastPrinted>
  <dcterms:modified xsi:type="dcterms:W3CDTF">2025-07-21T02:51:34Z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724D13F1B61B45FAB47B1F4706857387_13</vt:lpwstr>
  </property>
  <property fmtid="{D5CDD505-2E9C-101B-9397-08002B2CF9AE}" pid="4" name="KSOTemplateDocerSaveRecord">
    <vt:lpwstr>eyJoZGlkIjoiY2E2NWZjZThjNGI1MjI0ODM0MWQ0ZjI3Y2NhYzk1M2MiLCJ1c2VySWQiOiIzMzgyNDYxOTcifQ==</vt:lpwstr>
  </property>
</Properties>
</file>