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绍兴市公安局</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“雪亮工程”市本级前端1833个视频监控租赁服务项目</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pPr>
        <w:pStyle w:val="5"/>
        <w:kinsoku/>
        <w:wordWrap w:val="0"/>
        <w:overflowPunct/>
        <w:topLinePunct w:val="0"/>
        <w:bidi w:val="0"/>
        <w:rPr>
          <w:rFonts w:hint="eastAsia" w:ascii="仿宋_GB2312" w:hAnsi="仿宋_GB2312" w:eastAsia="仿宋_GB2312" w:cs="仿宋_GB2312"/>
          <w:b/>
          <w:color w:val="auto"/>
          <w:sz w:val="44"/>
          <w:szCs w:val="44"/>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2025-06-0054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绍兴市公安局    </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月</w:t>
            </w:r>
          </w:p>
        </w:tc>
      </w:tr>
    </w:tbl>
    <w:p>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绍兴市公安局“雪亮工程”市本级前端1833个视频监控租赁服务项目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5</w:t>
      </w:r>
      <w:r>
        <w:rPr>
          <w:rStyle w:val="77"/>
          <w:rFonts w:hint="eastAsia" w:ascii="仿宋_GB2312" w:hAnsi="仿宋_GB2312" w:eastAsia="仿宋_GB2312" w:cs="仿宋_GB2312"/>
          <w:snapToGrid/>
          <w:color w:val="auto"/>
          <w:kern w:val="2"/>
          <w:sz w:val="24"/>
          <w:szCs w:val="24"/>
          <w:highlight w:val="none"/>
        </w:rPr>
        <w:t>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2025-06-0054</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绍兴市公安局“雪亮工程”市本级前端1833个视频监控租赁服务项目</w:t>
      </w:r>
    </w:p>
    <w:p>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4900000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bookmarkStart w:id="165" w:name="_GoBack"/>
      <w:bookmarkEnd w:id="165"/>
      <w:r>
        <w:rPr>
          <w:rFonts w:hint="eastAsia" w:ascii="仿宋_GB2312" w:hAnsi="仿宋_GB2312" w:eastAsia="仿宋_GB2312" w:cs="仿宋_GB2312"/>
          <w:b/>
          <w:color w:val="auto"/>
          <w:sz w:val="24"/>
          <w:highlight w:val="none"/>
          <w:lang w:eastAsia="zh-CN"/>
        </w:rPr>
        <w:t>4787075</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标项名称：“雪亮工程”市本级前端1833个视频监控租赁服务项目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4900000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备注：最高限价4787075元</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19"/>
      <w:bookmarkStart w:id="6" w:name="_Toc35393806"/>
      <w:bookmarkStart w:id="7" w:name="_Toc35393637"/>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绍兴市公安局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9" w:name="_Toc28359020"/>
      <w:bookmarkStart w:id="10" w:name="_Toc28359097"/>
      <w:bookmarkStart w:id="11" w:name="_Toc35393638"/>
      <w:bookmarkStart w:id="12" w:name="_Toc35393807"/>
      <w:r>
        <w:rPr>
          <w:rFonts w:hint="eastAsia" w:ascii="仿宋_GB2312" w:hAnsi="仿宋_GB2312" w:eastAsia="仿宋_GB2312" w:cs="仿宋_GB2312"/>
          <w:color w:val="auto"/>
          <w:sz w:val="24"/>
          <w:highlight w:val="none"/>
        </w:rPr>
        <w:t>地址：绍兴市灵芝街道凤林西路1977号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传真：0575-88582382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项目联系人（询问）：陈鉴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项目联系方式（询问）：0575-88582382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质疑联系人：赵建伟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质疑联系方式：0575-88293999</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35393639"/>
      <w:bookmarkStart w:id="14" w:name="_Toc28359098"/>
      <w:bookmarkStart w:id="15" w:name="_Toc28359021"/>
      <w:bookmarkStart w:id="16" w:name="_Toc3539380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址：绍兴市越城区洋江西路699号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0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5236101"/>
      <w:bookmarkEnd w:id="20"/>
      <w:bookmarkStart w:id="21" w:name="_Hlt74707468"/>
      <w:bookmarkEnd w:id="21"/>
      <w:bookmarkStart w:id="22" w:name="_Hlt75236290"/>
      <w:bookmarkEnd w:id="22"/>
      <w:bookmarkStart w:id="23" w:name="_Hlt75236011"/>
      <w:bookmarkEnd w:id="23"/>
      <w:bookmarkStart w:id="24" w:name="_Hlt68403820"/>
      <w:bookmarkEnd w:id="24"/>
      <w:bookmarkStart w:id="25" w:name="_Hlt74729768"/>
      <w:bookmarkEnd w:id="25"/>
      <w:bookmarkStart w:id="26" w:name="_Hlt68072998"/>
      <w:bookmarkEnd w:id="26"/>
      <w:bookmarkStart w:id="27" w:name="_Hlt68057669"/>
      <w:bookmarkEnd w:id="27"/>
      <w:bookmarkStart w:id="28" w:name="_Hlt68073093"/>
      <w:bookmarkEnd w:id="28"/>
      <w:bookmarkStart w:id="29" w:name="_Hlt74714665"/>
      <w:bookmarkEnd w:id="29"/>
      <w:bookmarkStart w:id="30" w:name="_Hlt74730295"/>
      <w:bookmarkEnd w:id="30"/>
      <w:bookmarkStart w:id="31" w:name="_Hlt68072990"/>
      <w:bookmarkEnd w:id="31"/>
      <w:bookmarkStart w:id="32" w:name="_Toc81372953"/>
      <w:bookmarkStart w:id="33" w:name="_Toc81372776"/>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spacing w:line="440" w:lineRule="exact"/>
        <w:ind w:firstLine="482" w:firstLineChars="200"/>
        <w:rPr>
          <w:rFonts w:hint="eastAsia" w:ascii="仿宋_GB2312" w:hAnsi="仿宋_GB2312" w:eastAsia="仿宋_GB2312" w:cs="仿宋_GB2312"/>
          <w:b/>
          <w:bCs/>
          <w:color w:val="auto"/>
          <w:sz w:val="24"/>
          <w:szCs w:val="24"/>
          <w:highlight w:val="none"/>
          <w:lang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“雪亮工程”市本级前端1833个视频监控租赁服务项目</w:t>
      </w:r>
    </w:p>
    <w:p>
      <w:pPr>
        <w:spacing w:line="440" w:lineRule="exact"/>
        <w:ind w:firstLine="482" w:firstLineChars="200"/>
        <w:rPr>
          <w:rFonts w:hint="eastAsia" w:ascii="楷体_GB2312" w:hAnsi="楷体_GB2312" w:eastAsia="楷体_GB2312" w:cs="楷体_GB2312"/>
          <w:b/>
          <w:bCs/>
          <w:kern w:val="0"/>
          <w:sz w:val="24"/>
        </w:rPr>
      </w:pPr>
      <w:r>
        <w:rPr>
          <w:rFonts w:hint="eastAsia" w:ascii="楷体_GB2312" w:hAnsi="楷体_GB2312" w:eastAsia="楷体_GB2312" w:cs="楷体_GB2312"/>
          <w:b/>
          <w:bCs/>
          <w:kern w:val="0"/>
          <w:sz w:val="24"/>
        </w:rPr>
        <w:t>一、项目概述</w:t>
      </w:r>
    </w:p>
    <w:p>
      <w:pPr>
        <w:spacing w:line="440" w:lineRule="exact"/>
        <w:ind w:firstLine="482" w:firstLineChars="200"/>
        <w:rPr>
          <w:rFonts w:hint="eastAsia" w:ascii="楷体_GB2312" w:hAnsi="楷体_GB2312" w:eastAsia="楷体_GB2312" w:cs="楷体_GB2312"/>
          <w:b/>
          <w:bCs/>
          <w:kern w:val="0"/>
          <w:sz w:val="24"/>
        </w:rPr>
      </w:pPr>
      <w:bookmarkStart w:id="41" w:name="_Toc21752"/>
      <w:bookmarkStart w:id="42" w:name="_Toc31368"/>
      <w:r>
        <w:rPr>
          <w:rFonts w:hint="eastAsia" w:ascii="楷体_GB2312" w:hAnsi="楷体_GB2312" w:eastAsia="楷体_GB2312" w:cs="楷体_GB2312"/>
          <w:b/>
          <w:bCs/>
          <w:kern w:val="0"/>
          <w:sz w:val="24"/>
        </w:rPr>
        <w:t>（一）建设</w:t>
      </w:r>
      <w:bookmarkEnd w:id="41"/>
      <w:bookmarkEnd w:id="42"/>
      <w:r>
        <w:rPr>
          <w:rFonts w:hint="eastAsia" w:ascii="楷体_GB2312" w:hAnsi="楷体_GB2312" w:eastAsia="楷体_GB2312" w:cs="楷体_GB2312"/>
          <w:b/>
          <w:bCs/>
          <w:kern w:val="0"/>
          <w:sz w:val="24"/>
        </w:rPr>
        <w:t>背景</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为贯彻落实中央有关重大决策部署，针对当前工作中的短板和瓶颈环节，绍兴市决定推进公共安全视频监控建设联网应用(“雪亮工程”)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雪亮工程”建设取得更大成效。</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绍兴市公安“雪亮工程"的建设工作按照“统一建设、统一平台、统一标准、统一联网、统一管理”的原则，围绕“全域覆盖、全网共享、全时可用、全程可控”的核心思想，以加强治安防控、优化交通出行、服务城市管理、创新社会治理为出发点，打造绍兴特色的“雪亮工程+”，以新一代信息技术为支撑，实现对前端的感知、分析、处理和整合，实现更全面的感知、更智能的运维、更广泛的交互、更深度的融合和更紧密的协同应用。</w:t>
      </w:r>
    </w:p>
    <w:p>
      <w:pPr>
        <w:spacing w:line="440" w:lineRule="exact"/>
        <w:ind w:firstLine="482" w:firstLineChars="200"/>
        <w:rPr>
          <w:rFonts w:hint="eastAsia" w:ascii="楷体_GB2312" w:hAnsi="楷体_GB2312" w:eastAsia="楷体_GB2312" w:cs="楷体_GB2312"/>
          <w:b/>
          <w:bCs/>
          <w:kern w:val="0"/>
          <w:sz w:val="24"/>
        </w:rPr>
      </w:pPr>
      <w:r>
        <w:rPr>
          <w:rFonts w:hint="eastAsia" w:ascii="楷体_GB2312" w:hAnsi="楷体_GB2312" w:eastAsia="楷体_GB2312" w:cs="楷体_GB2312"/>
          <w:b/>
          <w:bCs/>
          <w:kern w:val="0"/>
          <w:sz w:val="24"/>
        </w:rPr>
        <w:t>（二）建设目标</w:t>
      </w:r>
    </w:p>
    <w:p>
      <w:pPr>
        <w:spacing w:line="440" w:lineRule="exact"/>
        <w:ind w:firstLine="480" w:firstLineChars="200"/>
        <w:rPr>
          <w:rFonts w:hint="eastAsia" w:ascii="楷体_GB2312" w:hAnsi="楷体_GB2312" w:eastAsia="楷体_GB2312" w:cs="楷体_GB2312"/>
          <w:kern w:val="0"/>
          <w:sz w:val="24"/>
        </w:rPr>
      </w:pPr>
      <w:r>
        <w:rPr>
          <w:rFonts w:hint="eastAsia" w:ascii="楷体_GB2312" w:hAnsi="楷体_GB2312" w:eastAsia="楷体_GB2312" w:cs="楷体_GB2312"/>
          <w:kern w:val="0"/>
          <w:sz w:val="24"/>
          <w:szCs w:val="21"/>
        </w:rPr>
        <w:t>采取统一规划、分级实施、突出重点、逐步建设的工作方法，构建一张全天候、全方位、立体化的市本级治安动态监控网络，实现“防控时空无缝衔接、防控目标全程追踪、防控区域城乡覆盖”的目标要求。</w:t>
      </w:r>
    </w:p>
    <w:p>
      <w:pPr>
        <w:spacing w:line="440" w:lineRule="exact"/>
        <w:ind w:firstLine="482" w:firstLineChars="200"/>
        <w:rPr>
          <w:rFonts w:hint="eastAsia" w:ascii="楷体_GB2312" w:hAnsi="楷体_GB2312" w:eastAsia="楷体_GB2312" w:cs="楷体_GB2312"/>
          <w:b/>
          <w:bCs/>
          <w:kern w:val="0"/>
          <w:sz w:val="24"/>
        </w:rPr>
      </w:pPr>
      <w:bookmarkStart w:id="43" w:name="_Toc31486"/>
      <w:bookmarkStart w:id="44" w:name="_Toc7994"/>
      <w:r>
        <w:rPr>
          <w:rFonts w:hint="eastAsia" w:ascii="楷体_GB2312" w:hAnsi="楷体_GB2312" w:eastAsia="楷体_GB2312" w:cs="楷体_GB2312"/>
          <w:b/>
          <w:bCs/>
          <w:kern w:val="0"/>
          <w:sz w:val="24"/>
        </w:rPr>
        <w:t>二、建设内容</w:t>
      </w:r>
      <w:bookmarkEnd w:id="43"/>
      <w:bookmarkEnd w:id="44"/>
    </w:p>
    <w:p>
      <w:pPr>
        <w:spacing w:line="440" w:lineRule="exact"/>
        <w:ind w:firstLine="482" w:firstLineChars="200"/>
        <w:rPr>
          <w:rFonts w:hint="eastAsia" w:ascii="楷体_GB2312" w:hAnsi="楷体_GB2312" w:eastAsia="楷体_GB2312" w:cs="楷体_GB2312"/>
          <w:b/>
          <w:bCs/>
          <w:kern w:val="0"/>
          <w:sz w:val="24"/>
        </w:rPr>
      </w:pPr>
      <w:r>
        <w:rPr>
          <w:rFonts w:hint="eastAsia" w:ascii="楷体_GB2312" w:hAnsi="楷体_GB2312" w:eastAsia="楷体_GB2312" w:cs="楷体_GB2312"/>
          <w:b/>
          <w:bCs/>
          <w:kern w:val="0"/>
          <w:sz w:val="24"/>
        </w:rPr>
        <w:t>（一）雪亮工程市本级前端1833个视频监控租赁服务项目</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本次租赁1861个高清监控、云存储IDC托管核心机房及网络租赁。</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本次招标所有图像先通过光纤网络接入中标人分控核心机房，实现集中存储，为保障设备的安全性和统一性，需要将后端的存储设备统一放在中标人分控核心机房。</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监控系统采用高清数字网络的方式，按照“既满足需求，又适度超前”的设计原则，以光纤网络为基础，实现全数字化信号传输。</w:t>
      </w:r>
    </w:p>
    <w:p>
      <w:pPr>
        <w:spacing w:line="440" w:lineRule="exact"/>
        <w:ind w:firstLine="480" w:firstLineChars="200"/>
        <w:rPr>
          <w:rFonts w:hint="eastAsia" w:ascii="楷体_GB2312" w:hAnsi="楷体_GB2312" w:eastAsia="楷体_GB2312" w:cs="楷体_GB2312"/>
          <w:kern w:val="0"/>
          <w:sz w:val="24"/>
          <w:szCs w:val="21"/>
        </w:rPr>
      </w:pPr>
      <w:r>
        <w:rPr>
          <w:rFonts w:hint="eastAsia" w:ascii="楷体_GB2312" w:hAnsi="楷体_GB2312" w:eastAsia="楷体_GB2312" w:cs="楷体_GB2312"/>
          <w:kern w:val="0"/>
          <w:sz w:val="24"/>
          <w:szCs w:val="21"/>
        </w:rPr>
        <w:t>租赁期：2025年12月5日-2026年12月4日。</w:t>
      </w:r>
    </w:p>
    <w:p>
      <w:pPr>
        <w:spacing w:after="120" w:afterLines="50" w:line="440" w:lineRule="exact"/>
        <w:ind w:firstLine="482" w:firstLineChars="200"/>
        <w:rPr>
          <w:rFonts w:hint="eastAsia" w:ascii="楷体_GB2312" w:hAnsi="楷体_GB2312" w:eastAsia="楷体_GB2312" w:cs="楷体_GB2312"/>
          <w:b/>
          <w:kern w:val="0"/>
          <w:sz w:val="24"/>
          <w:szCs w:val="21"/>
        </w:rPr>
      </w:pPr>
      <w:r>
        <w:rPr>
          <w:rFonts w:hint="eastAsia" w:ascii="楷体_GB2312" w:hAnsi="楷体_GB2312" w:eastAsia="楷体_GB2312" w:cs="楷体_GB2312"/>
          <w:b/>
          <w:kern w:val="0"/>
          <w:sz w:val="24"/>
          <w:szCs w:val="21"/>
        </w:rPr>
        <w:t>1、点位清单</w:t>
      </w:r>
    </w:p>
    <w:tbl>
      <w:tblPr>
        <w:tblStyle w:val="63"/>
        <w:tblW w:w="5000" w:type="pct"/>
        <w:tblInd w:w="0" w:type="dxa"/>
        <w:tblLayout w:type="autofit"/>
        <w:tblCellMar>
          <w:top w:w="0" w:type="dxa"/>
          <w:left w:w="108" w:type="dxa"/>
          <w:bottom w:w="0" w:type="dxa"/>
          <w:right w:w="108" w:type="dxa"/>
        </w:tblCellMar>
      </w:tblPr>
      <w:tblGrid>
        <w:gridCol w:w="717"/>
        <w:gridCol w:w="6351"/>
        <w:gridCol w:w="1427"/>
      </w:tblGrid>
      <w:tr>
        <w:tblPrEx>
          <w:tblCellMar>
            <w:top w:w="0" w:type="dxa"/>
            <w:left w:w="108" w:type="dxa"/>
            <w:bottom w:w="0" w:type="dxa"/>
            <w:right w:w="108" w:type="dxa"/>
          </w:tblCellMar>
        </w:tblPrEx>
        <w:trPr>
          <w:trHeight w:val="303"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序号</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点位地址</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数量</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沁雨园东门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马臻路鹿湖庄路照南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二环西路精英驾校照西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越秀路世纪街西照东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热诚小学后门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新世纪公寓7幢旁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环城南路-环城东路北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解放路-环城南路北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环城西路-丁向弄东南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府山西路-偏门直街西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鲁迅东路千客隆超市嘉禾店东南角道路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人民西路134号门口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解放南路鲁迅西路西北角人行道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水沟营越兰宾馆南侧10米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鲁迅小学和畅堂校区门口南侧公交站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和畅堂秋瑾故居门口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和畅堂水沟营南侧人行道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环城南路银泰农银行门口人行道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解放南路环城南路口东北角人行道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投醪河新建南路西南50米人行道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延安路塔山街道流动人口管理所东侧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中兴南路投醪河路东南角人行道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中兴南路投醪河路西北角人行道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人民西路248号城建大楼门口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府山直街96号门口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鲁迅西路291号人行道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人民中路62号农行东侧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延安路建功路西南角人行道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人民路花园畈北大门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人民路板马庄路口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驸马新村1幢北面桥头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蜂场12幢北面桥头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花园畈西出口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花园畈南北区桥头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东郭门新村东侧桥头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鲁迅路422号自行车厂宿舍路口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延安路春波弄口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延安路十三亩头路口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延安路金昌越府北门东照东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稽山路4号小区门口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投醪河罗北小区大门口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投醪河供销超市旁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稽山路天丰华府门口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罗门路罗门公园南大门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中兴路桂园畈出口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中兴路渔化商厦路口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观音弄唐家弄小区门口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中兴路若耶溪小区门口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第二医院门诊部门口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第二医院住院部门口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投醪河望花小学出口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延安路小禅法弄岔口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新建路大禅法弄岔口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新建路柔遁弄岔口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鹤池苑29幢照西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南后街北出口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静宁巷与高家弄岔口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满天红家具城路口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解放路与鲁迅路叉口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金时代广场南侧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环城西路-薛家弄路口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严家潭小区入口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环城南路建工路照西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稽山公园游船码头照东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环城南路稽山公园停车场附近照东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环城南路稽山公园停车场附近照西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罗门公园大门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延安东路环城东路口照北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中兴路人民路绍兴银行照南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解放路鲁迅路口照南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环城西路鲁迅路口照西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塔山中心校西门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亭山小学西门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鲁迅小学和畅堂校区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鲁迅幼托中心大门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银泰卢米埃影城大屏幕广场1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银泰卢米埃影城大屏幕广场3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银泰卢米埃影城大屏幕广场2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和畅堂银泰城广场处照西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银泰东广场照北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银泰东广场照南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环城南路惠丰路口照东南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环城南路解放路卡口北全景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环东路环南路南朝北非机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环东路环南路卡口北全景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环城东路鲁迅路卡口北全景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鲁迅路环城东路交叉口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罗门公园西侧小路东南路口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驸马池与黄蜂弄路口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伽篮殿塔山广场路口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鲁迅路咸亨酒店路口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鲁迅西路与府直街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中兴路缪家桥河沿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藕芽池底4号旁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藕芽池底三岔口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十三亩头鲁迅路口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天后宫9幢楼下路口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咸欢娱乐会所门口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向左向右酒吧门口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小禅法弄与白衙弄口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延安路锦绣花园路口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中兴路鲁迅故里</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人民路偏门直街西南照东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稽山路驸马新村门口照北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投醪河稽山中门口照西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府山直街20号照北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大云市场北门照西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驸马池小区西门照西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大树名园1幢东侧照北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罗门小区17幢北照北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供销超市罗门店门口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兴文桥与家电市场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府山横街-环山路北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新河弄铁甲营路口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武勋坊-翰林越府门口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新河弄-北海小学门口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宋梅桥BRT西人行道照南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BRT宋梅桥西人行道站南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偏门直街拆迁房东南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中兴路胜利东路东北角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中兴路胜利东路西北角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胜利东路移动公司对面人行道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新建北路210号门口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东街173号门口西5米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摩尔城颐景园5栋对面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解放北路新河弄路口西南角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八佰伴猫屎咖啡西侧日晖弄路边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解放北路163号交通银行门口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延安路二院门口对面斑马线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延安路二院住院部前人行道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人民中路241号南都酒店东侧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人民中路131号大明设计门口人行道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人民西路解放西路西北角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人民西路25号人行道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人民西路135号门口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摩尔城瑞丰银行南斑马线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胜利西路府山西路西南角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胜利西路府山西路东北角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府山西路环城西路西北角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绍钢5村5栋对面人行道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环城东路东池路西北角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人名中路学坛地路口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胜利东路东池路西南角人行道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东池路胜利东路南100米路西侧人行道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东池路都泗门路东北角花坛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都泗门路环城东路北侧人行道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胜利东路347号浦发银行门口人行道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东池路建功路口西北花坛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东池路建功路西南角人行道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环城东路中医院东门人行道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人民中路市中医院北侧公交站人行道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中兴路东街路口东南角人行道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建功路东街路口东北角人行道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中兴路-八字桥直街西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八字桥西侧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府山派出所门口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府山派出所后门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府山派出所西南角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戒珠寺口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西街老年公寓门口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局弄与西街四岔路口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局弄与营基弄岔口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蕺山街与斜桥弄岔口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萧山街与蕺山街岔口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萧山街与斜桥岔口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小江桥河沿望越花园中段</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胜利路新华书店门口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新建路唐皇街卡口南朝北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新建路劳动路口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劳动路串串香卡口西朝东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劳动路人文图书卡口西朝东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县前街金麦迪门口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县前街鲁迅电影城门口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县前街新建路口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解放路越红箱包门口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东街-中兴路西北角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保佑桥直街与断河头岔口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汽车东站旅客出口处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越都大酒店后煌家浴场路口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镜中园公寓大门口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东街望春桥河沿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绍钢5村2幢配电房旁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白果小区南门口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马弄西区7幢西北角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胜利西路铁甲营</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新河弄谢公桥桥脚</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铁甲营营桥河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摩尔城酒吧门口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府山西路府山乐购路口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环城西路北海西村口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北海社区三岔口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黄酒路-北海桥直街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环城北路下大路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环城北路小城北桥</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国商门口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绍兴大酒店门口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新河弄供销超市门口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人民路与四马路岔口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电信大楼旁路口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八佰伴东广场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摩尔城北海桥直街照西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下大路陈家台门照东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下大路陈家台门照西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摩尔城农业银行照东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摩尔城农业银行照西北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环城北路府山西路北照北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环城北路招商银行照西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环城北路招商银行照东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中兴路人民路中国人民银行照西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中医院大门照西北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职业教育中心分部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东风幼教集团早教部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新建北路指手画脚旁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东风艺术幼托中心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汇金广场北侧上大路口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一中初中部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鲁迅小学人民路校区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北海西村16幢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府山西路环城北路口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新建北路断头河路口照北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新建北路唐皇街路口照南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中兴路胜利路口照西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府山西路北海路口照北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环城西路环城北路交叉口照南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中兴路长桥直街东北照东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中兴路长桥直街东南照南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兴文桥与家电市场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石家池盐业公司旁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中日友好会馆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国商门口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胜利西路与环城西路朝北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白马市场门口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保佑桥直街北侧顶头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城市广场明珠苑交叉口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城市广场喷水池南面休息处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东街妇保院对面宝岛眼镜门口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东街教堂门口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东街农贸市场路口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府横街路口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府山西路国际大酒路口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广宁桥直街与新财神殿交叉处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国商大厦背后富民坊路口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国商后面富民坊横街丁字路口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环城西路天桥宾馆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环山路城墙处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解放路小江桥河沿口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马弄东区东大门口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人民西路情缘至尊酒吧门口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胜利东路与东池路交叉口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胜利路诚信一百对面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下大路黄酒一号桥路口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萧山街笔飞弄口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新建路与利济桥直街交叉口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新建路与渔化桥河沿口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衣之家北侧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执法局对面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寨下招待所旁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中兴路与白马路叉口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中医院西侧小路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环城东路西施山路西北照东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环城北路桂屏路照西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环城北路桂屏路照北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东街马弄西北照西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立交桥下西停车处照东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立交桥下河清园门口东照北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立交桥下东停车处照东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中兴中路白马路东南照北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新河弄小校场照南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新建北路288号照北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白马路39号南侧照南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四马路电信东门照南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华润万家后面小路照北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华润万家后面小路照南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偏门直街拆迁房西北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观澜豪庭北路口南照南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上寨路-车站路南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西小路与北海路东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299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北复线解放路东南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北复线解放路东南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北复线解放路东南1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北复线解放路东南2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山会大道越西路北全景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山会大道越西路北朝南1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山会大道越西路北朝南2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亭山路-河山公寓门口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越西路鉴湖前街照南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胜利路-快阁苑路口西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树下王路-消防支队门口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亭山路-邮电技校门口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杨绍线-树鹅王小区路口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鹅境雅苑北门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亭山路-杨绍线转盘北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树下王路树鹅王小区南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树鹅王小区西漓铁道口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亭山路-托普学院门口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杨绍线区人武部路口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胜利西路-夹塘路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御河湾门口-照东北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信达银郡-北面小路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环城北路-车站路北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朝皇路-正大装饰城南门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官渡路-富临名家门口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塘南菜场桥旁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马臻路-夹塘公寓西门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辕门新村热电一号桥西南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环城西路毓兰华庭路口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马臻路-西郊路南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环城北路-北海桥直街东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下大路-永和家园路口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环城北路兴文桥直街西南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观澜豪庭南门-照东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鉴湖前街元培中学分校口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跨湖桥直街马太守庙路口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锦园8栋外路东绿化带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1051西入口东照东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亭山路亭山下东公交站南侧花坛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第七人民医院北大门西侧花坛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马臻路196号门口人行道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马臻路霞西路口东南角50米花坛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云栖路西郊路西北角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云栖路霞西路150米水泥坪旁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北海联合市场果品区对面东侧花坛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北海联合市场果品区内浙安电缆店对面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云栖路西郊路西北照东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车站北路与车站西路西北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巴厘岛假日酒店停车场东南侧对面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公铁立交西侧上桥前20米辅道监控杆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公铁立交西侧下桥辅道100M处监控杆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公铁公交东南加油站前辅道50米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杨绍线恒隆公司东200米公交站西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越西路大叶池营业房42号前绿化带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阳明中学南门东100m花坛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越西路金德隆路口桥脚辅道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杨绍线恒隆公司对面东100米卡口旁中间花坛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朝皇路慧生府东门口中段东侧围墙边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寨下农贸市场东门自行车棚东面人行道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车站西路车站北路口北20m路西侧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车站路车站西路口东北角辅道路北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车站路车站西路路口东南角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朝皇路官渡二桥西30m桥北侧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杨绍线新交警支队路口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鹅境人才公寓门口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越西新村南大门口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越西新村幼儿园旁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越西新村东大门口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快阁苑馨月坊16幢桥头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快阁苑南大门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快阁苑小学旁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快阁苑北大门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天光桥5栋16幢岔口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胜利西路越西路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越西路延伸段金德隆市场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越西路延伸段桥北首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霞西路辕门新村口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辕门中区桥南侧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霞西路塘南果品市场东门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车站路铁路旅行社门口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车站派出所门口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北复线红木城门口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玛格丽特广场家乐福停车场出口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玛格丽特广场88酒吧门口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火车站镜湖管委会对面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霞西路紫金府大门照东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霞西路紫金府大门照西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紫金府西侧小路照南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紫金府西侧小路照北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越西路湾溇公寓西照南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越西路湾溇公寓西照北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越西路鉴湖直街口照东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树下王路跨户人家25幢照东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亭山路树下王路口照北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润樾山名邸东侧河边照北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马臻路鹿湖庄路北照南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绍兴市越城区快阁苑幼儿园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树鹅王希望幼儿园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绍兴艺术学校大门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维多利亚幼儿园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好时光幼儿园大门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元培幼儿园后门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元培幼儿园大门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元培小学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东风清水幼儿园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水木清华幼儿园大门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元培中学大门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春晖幼儿园后门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鹤池苑20幢照西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鹅境路鹅境东区照东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市立医院停车场门口照西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山阴路城南大道东北照北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跨湖人家35幢北照东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亭山立交桥下东南角照西北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山阴路淡烟路口照西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淡烟路兰桡桥照东南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淡烟路兰桡桥照西北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山阴路山山苑门口照东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山阴路28号东照南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山阴路28号东照北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公铁立交桥下照西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霞西路北海综合市场北门照南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公铁立交桥东下桥卡口东朝西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公铁立交桥东下桥卡口东朝西辅道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公铁立交桥东下桥卡口全景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北海综合市场北门卡口东朝西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北海综合市场北门卡口全景照西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北海综合市场北门卡口全景照东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北海综合市场北门辅道照东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公铁立交桥西南卡口东朝西非机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公铁立交桥西南卡口全景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公铁立交桥西北卡口西朝东辅道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公铁立交桥西北卡口全景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二环线亭山立交卡口东朝西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树下王路环保局门口照东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鹤池苑27幢照西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鹤池苑30幢北照西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世纪街与鸿滨路东北花坛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世纪街与鸿滨路东北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西郊路与西湖小区铁道口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胜利西路天地E家门口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越西路交警支队门口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越西路延伸段-快阁苑路口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马臻路塘南夹塘公寓门口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西湖新村世和坊西门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西郊路与越西路交叉口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锦园2幢西照东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百镇广场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清水嘉苑1幢围墙外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鹅镜人才公寓后门外大华驾校门口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鹅头桥三岔口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金寨公寓门口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原镜湖分局东侧三岔口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胜利西村1幢门口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树下王公寓27幢旁路口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湾娄公寓大门口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湾娄公寓东门市区维持门诊门口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西郊路与西湖小区铁道口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西郊路与西湖小区铁道口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霞西路铁路道口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下寨路与梅山路口交叉口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新汽车西站门口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越都加油站西侧路口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水景公寓4幢西照北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水景公寓4幢西照南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运河人家虹桥坊4幢东照南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运河人家虹桥坊4幢东照北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运河人家霞川坊4幢东照南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西湖新村西公交车停车场照南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西湖新村西公交车停车场照北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西湖新村塘田坊12幢西照北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冠城商业广场东照南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冠城商业广场东照北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二环西路青甸路东北照东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镜湖人家西照北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快阁苑路E佳电脑照西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极丰纺织有限公司西照南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极丰纺织有限公司西照北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杨绍线精英驾校西门照北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王家庄路天怡驾校对面人行道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官渡路朝皇路东北角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山阴路淡烟路东北角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木业大厦南侧人行道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城区交警大队机动大队门口北侧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山隐新村东区1栋南人行道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越城公安分局巡特警大队门口南侧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凌江农贸市场南门西桥上</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越西路鉴湖前街西北角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车站西路涵洞北出口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绍兴公路西站北面公交站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府山西路环城西路西北角照东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大华驾校停车场照东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新汽车西站旁通道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解放南路-天境南苑门口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镜湖路-树人小学中校区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高立花园东区北门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中兴南路-二环线南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廊桥大学路口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江家溇东区中国邮政门口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中兴路-城南大道西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499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城南大道-东光路东南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中兴南路-越州医院门口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绍兴市康复中心西门南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大宋阳明华都国东门北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玲珑湾小区南门东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中兴路镜湖路中兴农贸市场东南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出入境大队门口1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出入境大队门口2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江家楼西区东门南1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江家楼西区东门南2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树人小学东校区东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阳明华都国西门北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镜湖路树人小学东校区西北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镜湖路树人小学中校区东南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镜湖路树人小学中校区东南河边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镜湖路与朝阳路西南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翠苑新村南门东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南都新村南门西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高立花园北门西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凤江花园东门南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城南大道与朝辉路西南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城南大道中国石化东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城南大道大观园门口东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城南大道与西江路东北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西江路念苗吴村委对面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汉江花园东门北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龙珠花园西门南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解放路与华滨路西南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秦望花园西门北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城南大道俞家舍</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润和苑南门东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中兴路与城南大道东南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兴越花园西门南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鲁迅中学西BRT车站南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城南大道景都洛室对面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城南大道与东光路西北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城南大道与会稽路西南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城南大道浙涤桥东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南江枫林东区西区南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碧水南苑东门北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天境南苑南门西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解放路与凤凰路东北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解放路与凤凰路东南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东光路与城南大道东南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蔡江公寓东北桥下</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二环南路蔡家江村东北入口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文渊路风和苑路口西南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润和南岸花城西区1栋东南小桥角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润和南岸花城东区5栋西侧人行道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风和苑西门北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绍兴市立医院西门人行道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天镜南苑东区西人行道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翠苑新村15栋对面人行道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朝阳新村西门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温馨花园南门西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洪亮大厦北面桥西北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银塔路28号对面人行道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城南大道解放大道东南星火教育门口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润和南岸花城西区西北河边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中兴南路垃圾中转站东人行道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绍甘线九一村委门口照南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绍甘线九里村委门口照北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凤凰路洪氏汽车南侧路口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凤凰路永美厂与南亚厂岔口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中兴南路大明路岔口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东光路瀛洲名苑门口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中心南路与镜湖路岔口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城南大道中成新村北门口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中兴路温馨花园大门口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中兴大桥西侧下面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环城河景观带中段朝东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任家塔村39号岔口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任家塔村30号岔口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任家塔小区内</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任家塔菜市场路口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名人广场东出口处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名人广场西出口处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名人广场啤酒屋</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二环线与朝阳路岔口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天镜南苑南大门照东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天镜南苑南大门照西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沁雨苑小区门口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路车终点站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润和庄园门口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蔡江村委门口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铁板桥西南村中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观澜路观澜豪庭东照南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华侨新村社区门口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城南大道西江桥头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城南综合农贸市场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朝晖路高立花园东区大门口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高立大厦边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朝阳路13号对面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朝晖路-凤江路岔口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长城路与朝辉路岔口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新娄畈1幢与5幢间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外山村西侧路口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廊桥风和苑路口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城南大道凯京酒店门口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温馨幼儿园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599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绍兴市残疾人康复训练中心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树人小学东校区大门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树人小学南校区西门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剑桥幼儿园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城南长城路30号1单元对面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城南世纪贝贝幼儿园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高立幼儿园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晨光教育</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小天天幼儿园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新蕾幼儿园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金色未来幼儿园正门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天天教育培训中心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浙美文化艺术培训中心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树人幼儿园凤和分园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南江枫林幼儿园后门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树人幼儿园门口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繁荣村公寓小区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城南大道唯朵酒店门口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绍大线稽山翡翠园门口照东北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名人广场记事碑照西北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名人广场喷泉广场处照西北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大明路繁荣村入口照东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大明路繁荣村入口照西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中兴南路越剑路照北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市立医院照门诊处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市立医院照停车场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中兴南路凤江路口照南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城南大道常禧路口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329国道越兴路卡口西朝东2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329国道越兴路卡口北朝南1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二环线中兴南路南朝北非机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二环线中兴南路卡口北全景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绍兴市康复中心西门北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越西路-西郊路东北照东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二环线禹陵转盘卡口南朝北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越安北路于越东路东照西1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二环线禹陵转盘卡口南全景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解放路横湖路北照北1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解放路横湖路北照北2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孙皇公路与陈化路东南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孙皇公路与陈化路东南全景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二环线解放南路卡口南朝北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二环线解放南路南朝北非机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二环线解放南路卡口南全景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城南维朵酒店停车场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二环线解放南路北朝南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二环线解放南路卡口北全景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解放路西咸欢河沿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凤凰村王婆楼自然村大道地</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文理学院河西校区体育馆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繁荣村村十字路口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工贸园区金双牛与东方红交叉口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华滨路与朝辉路口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江峰修车行门口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镜湖路断桥附近</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镜湖路树人小学路段</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原东方虹彩印厂绍甘线路口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绿洲新村停车场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南江枫林市场门口附近</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千客隆超市门口附近</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绍坡公路凤凰石前庙岔口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树人幼儿园门口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外山村外山公寓东南角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温馨社区门口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越兰大厦肯德基旁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长城教苑门口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长城路长城中学路口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长城社区门口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市立医院停车场门口照西南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中兴南路公交公司西BRT照北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城南大道维朵酒店西边围墙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城南大道维朵酒店西通道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城南维朵酒店北围墙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解放路-大明路北-机动车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绍诸高速绍兴南收费出口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解放南路2896号前人行道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解放南路栖凫路西南角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经一路栖凫路西北角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经一路春风公寓北区西门对面人行道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解放南路骆家蒋村口花坛北侧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骆家葑村村口南侧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大家阳光里东门对面往北50M</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南池鉴园水区南门东南监控杆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南池鉴园水区南门东北监控杆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解放南路二路交叉口东南角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下白线延申段综合供能服务站西北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芳泉路经三路西北面监控杆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中兴南路公交公司门口南10米监控杆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南池村232号对面公厕</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苏泉路南池老街南20米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绍兴鼎力金属衣架门口东侧限高杆上</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下白线延申段柯桥交界处红绿灯路口西面中间绿化带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下白线延申段柯桥交界处红绿灯路口东面中间绿化带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铭丰臻园东大门外北侧100米处人行道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南山郡东公交站西侧10米对面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699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南山郡东公交站西侧10米对面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解放南路芳泉路东100米小区门口人行道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解放南路芳泉路东100米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春风公寓南区西门北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春风公寓南区西门对面南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栖凫路南池老街交叉口西北角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大家阳光里东面往北10M</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坡塘村302号东面花坛坡塘公交站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坡塘村36号对面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众香路半乐村路口北20m</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众香路半乐村村口西500m过桥路边花坛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西江路绍兴金怡梦纺织厂门口南侧花坛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西江路绍兴金怡梦纺织厂南侧100米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玉屏村农贸市场门口东北花坛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芳泉路西凫村村口西南20m</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芳泉路西凫村村口西20m</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解放南路苏泉路口西侧50米路北侧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绍兴市中等专业学校</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鉴湖镇中心幼儿谢墅分园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鉴湖镇中学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鉴湖镇中心小学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鉴湖镇中心幼儿园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坡塘小学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安心托管所</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鉴湖后岸幼儿园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长宝幼儿园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谢墅完小</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绍甘线下白线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绍甘线绍诸高速桥下照南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绍甘线绍诸高速桥下照北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中兴南路下白线口照东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解放南路下白线口照南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解放南路下白线口照北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解放南路延伸段4</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解放南路延伸段5</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解放南路延伸段6</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解放南路延伸段隧道口1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解放南路延伸段隧道口2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下白线方泉村口1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下白线方泉村口2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下白线栖凫饭店1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下白线栖凫饭店2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解放南路绍诸高速入口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解放南路纬二路口1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解放南路纬二路口2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解放南路栖凫路口照南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南池路底永和中学旁照北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南池路底永和中学旁照南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下白线应家潭路照东南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下白线坡塘村委附近照西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玉山路你好阳光里门口照东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玉山路你好阳光里门口照西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中兴南路骆家葑村照南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中兴南路骆家葑村照北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凤山名园东区9栋外人行道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凤山名园东区3栋外人行道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鉴湖长宝幼儿园北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浦阳路锡麟中学东门北侧200米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洋江西路南村村口西北角围墙根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洋江西路南村口西侧花坛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绿云路凤林西路西南角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东浦振兴路12号门口西5米人行道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环北路环西路口东侧路北面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耶溪路大越路东侧三叉路口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金家村北路口党群服务中心西南角花坛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东浦佳加乐工业区东北门西北100米花坛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凤林西路王城寺村对面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龙湖天街盒马鲜生北照东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天街游乐园旁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栖湖公园北入口人行道照东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栖湖公园北入口照北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栖湖公园湖南面西南人行道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栖湖公园湖南面南人行道信息管网碑旁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栖湖公园南面东南人行道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栖湖公园断桥对面人行道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栖湖公园断桥西边人行道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栖湖公园湖北面桥往东人行道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栖湖公园湖北面桥旁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栖湖公园北入口西人行道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栖湖公园西北休息平台</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栖湖公园西北广场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栖湖公园西入口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栖湖公园西北人行道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栖湖公园天桥处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栖湖公园西北人行道2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二环线亭山立交卡口东全景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震元路浙江医药维生素厂门口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329国道孙端路东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329国道孙端路西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市立医院停车场门口照东南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青甸路信达银郡北照东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骆家葑村入口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耶溪路金川路口南50米绿化带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环西路振兴路口西侧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东升幼儿园南门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耶溪路大越路东侧200米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耶溪路大越路东侧200米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洋江路延伸段袁川村口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329国道越兴路卡口西朝东1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兴越路镜水路北照南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兴越路镜水路西照东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东浦镇新东升幼儿园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东浦镇中心幼儿园大门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东浦镇中心幼儿园后门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锡麟中学南门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锡麟中学东门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热诚小学大门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栖湖公园栖湖饭店前人行道照南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栖湖公园栖湖饭店前人行道照北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陆游小学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清水闸幼儿园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东浦镇青甸湖幼儿园大门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胜利路绍齐公路东朝西非机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胜利路绍齐公路西朝东非机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胜利路绍齐公路北朝南非机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胜利路绍齐公路卡口北全景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绍齐公路群贤路卡口东朝西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绍齐公路群贤路东朝西非机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绍齐公路群贤路卡口东全景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越安北路于越东路东照西2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绍齐公路群贤路西朝东辅道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绍齐公路群贤路卡口西全景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耶溪路金家卡口东朝西非机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耶溪路金家卡口西朝东非机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耶溪路金家卡口西全景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绍齐公路凤林路卡口东朝西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绍齐公路凤林路东朝西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绍齐公路凤林路卡口西朝东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绍齐公路凤林路卡口西全景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安城路与隽贤路北照南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解放大道世纪街路口照东南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解放大道世纪街路口照北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越秀路启圣路西照西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越秀路启圣路北照北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于越中路与S308省道南照北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S308省道与于越中路西照东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解放大道育贤路口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解放大道群贤路口照东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解放大道群贤路口照西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环湖路裕民路东北照东北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环湖路裕民路东北照西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绿云路群贤路口照南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绿云路群贤路口西北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凤林西路金色家园照东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凤林西路金色家园照西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后墅路海樾传奇门口照南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北海小学镜湖校区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鹿湖庄路小桥东照东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3之3幼儿园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灵芝安心幼儿园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镜湖幼儿园早教部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越西路与凤林路交叉路口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灵芝世纪之星幼儿园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凤林西路与灵芝公路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立岱村329国道旁城北小学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灵芝小学大门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灵芝村农贸市场门口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灵芝幼儿园大门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灵芝幼儿园后门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解放路溢香街南照南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犭央犭茶湖小学大门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犭央犭茶湖小学后门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洋江西路金群家园照东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灵芝公路金群家园照南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灵芝公路金群家园照北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子真路曲屯家苑东区12幢南照东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子真路曲屯家苑东区12幢南照西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子真路颐高广场照西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曲屯路梅山路口照南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金时家园大门照东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金时家园大门照西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005乡道柯袍线卡口东朝西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005乡道柯袍线卡口全景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高铁北站下客处大厅3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高铁北站下客处大厅2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高铁北站下客处大厅1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阳明北路苗翠花饭店前辅道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森海豪庭香樟园9栋西绿化带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森海豪庭香樟园7栋西南30米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森海豪庭合欢苑2栋3单元西花坛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森海豪庭牡丹园3栋1单元北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勾乘路秀水超市门口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剡溪路延安东路东南角人行道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延安东路剡溪路东北角100米人行道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剡西路鲁迅东路西北角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鹤池苑20幢门卫处照东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899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风光大酒店停车场入口南花坛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延安路渡东桥路南100米非机动车道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延安路长诏路滨河公园入口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绍兴市强制医疗所南门对面花坛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涂山越府20栋南侧道路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袍中路三江路南照南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涂山路五泄路西南角非机动车道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五泄路东泽路西北角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涂山路门前江公寓4栋南侧辅道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人民东路平江路西南角人行道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开元名都和天下门口东北角花坛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新港小区西门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鲁迅东路cici宠物会所门口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东方花园西门南微偏对面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涂山花园北门西面交警杆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海纳百川停车场围墙边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曹江路与平江南路南100米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延安东路五泄路交叉口西北交警杆20米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瑞福康乐院门口小路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鲁迅东路香莲公寓西区南门东面20米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鲁迅东路198号名品烟酒行门口人行道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长诏路鹤池苑8栋东南人行道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东方花园西门西北30米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延安东路阳明北路西南角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小骑士幼儿园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快乐城堡艺术幼儿园南大门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快乐城堡艺术幼儿园北门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文澜中学分部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小星星幼儿园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阳明幼儿园教育集团鹤池园区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浙江越秀外国语学院北门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越秀双语幼儿园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浙江越秀外国语学院南大门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绍兴体校</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秀水第二幼儿园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稽山未来之星森海豪庭幼儿园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高级中学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少儿艺校</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艺术花苑幼儿园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二环南路越秀南门照东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宛委山绍兴品臻园阳明路口照南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宛委山绍兴品臻园阳明路口照北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阳明路阳明酒店入口照东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会稽路丰山路照北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会稽路越秀西门口南照南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二环东路人民路卡口东朝西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二环东路人民路东朝西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二环东路人民路卡口东全景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二环东路人民路卡口西朝东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二环东路人民路卡口西全景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观澜豪庭北路口南照北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城东体育馆停车场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鲁迅东路395号对面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剡溪路路延安东路东南角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剡溪路路延安东路西北角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阳明北路卧龙路西北花坛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绍兴龙山华利创业园门口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绍兴市强制医疗所门口西侧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鹤池苑19-20幢照西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平江路则水牌路西北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批发市场东门外路口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杨滨村文化广场东北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绍兴市粮食储备中心东北角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东湖风景区停车场西北角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会龙大道松陵路西南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客运中心中国石化门口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袍江交警大队对面小路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越东路与凤林路西北1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越东路与凤林路西北2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中兴路与凤林路东南公交站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凤林路与袍中路东南1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凤林路与袍中路东南2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凤林路新妇保医院东北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凤林路袍中路西100米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中兴路与凤林路东北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中兴路与凤林路东南1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中兴路与凤林路东南2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新凤林路新妇保医院南公交站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袍中路与会龙大道东南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凤林路新妇保医院北公交站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越东路凤林路西北公交站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松陵路与会龙大道东300米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五和枯桥东北出入口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小皋埠村北出入口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袍中路与松陵路西南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袍中路与松陵路东北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中兴路西庄大道东南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沈江村沈江大桥东侧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二环北路客运中心东小路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会龙大道滋江家园西北树下</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中兴路维也纳西南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锦洋西苑南入口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仁渎村与亭渎村交界</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教体局大门口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滋江花园入口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越安北路于越东路东照西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绍兴独树工贸区北门照东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东湖镇街道中心幼儿园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东湖镇中心小学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999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郦家埭完小东门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平江北路松陵路口照北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会龙大道松陵路口照东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袍中路凤林路口照南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袍中路凤林路口照北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龙湖天街西北河边照东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龙湖天街盒马鲜生北照西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丰民路越兴路口照南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丰民路越兴路口照北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越兴路中照南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越兴路中照北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越东路松陵路南照西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越兴路高平村口卡口南朝北1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越兴路高平村口卡口南朝北2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越兴路高平村口卡口南朝北非机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越兴路高平村口卡口北朝南1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越兴路高平村口卡口北朝南2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越兴路高平村口卡口西朝东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唐龙家园8栋马路对面人行道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客运中心中国石化门口照北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小皋埠新村10幢门口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客运中心出租车上客点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客运中心广场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樊拈线-牌口村口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人民路-吼山路东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朱林路天赐良缘小区108号门口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朱林路天赐良缘小区110号门口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银苑路天赐良缘南门东朝西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银苑路天赐良缘南门西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银苑路与银城路东北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银城路银蝶园15号门口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银城路与银兴路东南银蝶园27号门口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银兴路鼎天房产门口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金宇园公寓南门东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皋埠金宇园公寓1569号对面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东晶佳园200号店铺门口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朱林路金宇园公寓26号门口北小路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朱林路与银苑路西南怡康公寓100号门口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银春路银春新苑41栋北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银春路银春新苑35栋北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银春路银春银苑26栋南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104国道与银桥路东南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银春路银春新苑37栋南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银春路银春新苑18栋南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皋埠银春新苑48栋西南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银春路与皋埠市场东北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皋埠市场供销超市西南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银春路银春新苑15栋西北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银春路与银桥路西南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银春路与银桥路东北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金地阳光小区北面东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金地阳光小区东门南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东湖风景区对面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唐龙家园小区东门北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唐龙小区东门南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临江路东湖庄园南门东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临江路与东湖路西南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东湖路枫华景园西门南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东湖路枫华景园北门西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临江路东盛世家北门西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皋埠派出所门口西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临江路与敬滨路东北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樊拈线上蒋村农贸市场东门南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金地阳光西门南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临江路与敬宾路西南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临江路与敬滨路东南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中山路与东湖路东南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中山路与漫池路南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中山路与东湖路西北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中山路坝口村口西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临江路与上樊公路东北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中山路与漫池路西北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中山路与银城路东南_1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临江路与银桥路西南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中山路与银城路东北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中山路与银城路西北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临江路与朱林路西北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中山路与上樊公路东南_1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临江路与漫池路西北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中山路与上樊公路西北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中山路与上樊公路东北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临江路与上樊公路西北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临江路与银桥路西北_1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临江路与银洲路西南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临江路与银桥路东南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独树路香积路西北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临江路与朱林路东北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临江路与漫池路东北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银洲路与香积路西南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临江路与漫池路西南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临江路与银洲路西北_1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临江路与银洲路东南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人民东路与东池路东南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独树路香积路东南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银洲路香积路东南_1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银洲路香积路西北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临江路东湖路西北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银兴路与名湖路北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银兴路与漫池路西北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人民东路名湖路东北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银兴路独树路东南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银兴路与独树路西南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银兴路漫池路西南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银城路区间路西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银桥路银苑路东北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银桥路银苑路西北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银苑路三湖路西南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银城路与区间路西北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朱林路与银苑路西北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上樊公路银兴路东北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朱林路银苑路西北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上樊公路樊江街里东北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上樊公路绍兴市看守所门口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104国道樊江村出入口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上樊公路与银山路西北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新桥路藕径村出入口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新桥路吼山村口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上樊公路与银山路东北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上樊公路胜利村西北出入口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银桥路延伸段西南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朱林路与银山路西北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朱林路与银山路西南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皋埠下新埠村西出入口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银城路与银山路东北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银城路银山路东南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下皋村南出入口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皋埠芝山村西北入口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皋埠西横山三岔路口1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皋埠西横山三岔路口2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东湖庄园幼儿园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皋埠小太阳幼儿园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人民路与银城路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曙光幼儿园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吼山幼儿园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东湖中学西门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皋埠镇中兴幼儿园孟葑分园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皋埠镇中心幼儿园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皋埠未来幼儿园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皋埠镇上蒋幼儿园蒋幼儿园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上蒋小学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皋埠镇小</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皋埠镇中心小学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人民东路迎宾路东北角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银兴路与银洲路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东湖中学北门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银山路与朱林路十字路口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独树路与银兴路叉口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104国道独树路口照西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人民东路独树路口博艺家具照南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人民东路独树路口照东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人民东路东湖路口照西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人民东路美龙家园照东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人民东路美龙家园照西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龙池路临江路口照东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临江路龙景名园照西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临江路独树路口照东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银州路临江路口照西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漫池路临江路口照南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漫池路香积路口照东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漫池路香积路口照西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银洲路银山路口照西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人民东路银洲路口照西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人民东路银洲路口照北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人民东路银城路口照东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人民东路银城路口照西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漫池路银兴路口照东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漫池路银兴路口照西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银兴路越兴路口照南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皋杨路越兴路口照南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皋杨路越兴路口照北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丰乐桥西桐公路照西北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丰乐桥西桐公路照东南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中山路樊占线照西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临江路樊占线照南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临江路樊占线照北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银桥路中芯绍兴厂门口照南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银桥路中芯绍兴厂门口照北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人民东路银桥路口照东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银兴路银蝶园照东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银兴路银蝶园照西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104国道越兴路东下坡照西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104国道樊江路口照东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中山路上樊公路卡口南朝北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中山路上樊公路卡口南全景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人民路上樊公路西朝东非机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人民路上樊公路卡口北全景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1199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银洲路银兴路卡口北全景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银皋埠大桥西南侧绿化带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吼山南路159号对面绿化带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人民东路银桥路西南角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329国道越兴路大桥下东南侧交警高位杆边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人民东路银桥路东北角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银皋埠大桥西南侧绿化西侧小路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皋埠镇中心小学西北桥角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漫池路浙江东盛精密机械厂对面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漫池路绍兴奥克特家纺厂东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皋北大桥西北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大道地新区7幢照西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临江路老徐草莓棚照东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中山路银桥路北照南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皋埠镇后塘路30号</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皋埠中心小学樊江校区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皋埠镇樊江村东市</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皋埠樊江村委门口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茅洋村公交站对面东面30m人行道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104国道浔阳路口西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104国道浔阳路北侧红绿灯边上</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邵家楼资圣禅寺北面马路水泥杆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泾口大桥北100m电线杆</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104国道泾口村对面西人行道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平陶公路横旦村口对面北100米绿化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平陶公路横旦村口对面北30米绿化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平陶公路南环路口东北绿化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陶堰街道中心幼儿园西侧河对岸</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陶堰居委会F33号1单元101室门口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陶堰农贸市场对面西30米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成章中学西门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陶堰镇政府门口南侧花坛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陶堰村90号对面道路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堰中路9号门口人行道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堰中路80号门口人行道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堰中路131号西侧花坛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堰中路170号农行门口东人行道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104国道平陶公路南50米西侧人行道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堰中路瑞丰银行东侧小路尽头墙角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横旦村平陶公路口东200米过小桥</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横旦村村委会门口对面花坛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白富公路横泾村路口西南花坛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白富公路白塔头村委会南200米绿化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陶然名苑13栋和9栋中间对面路边草坪</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绍兴特斯林网业北门往东30米1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绍兴特斯林网业北门往东30米2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名爵府东门往南对面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名爵府东门往南对面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大自然酒家前面人行道路面2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市场监督管理局门口东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市场监督管理局对面非机动车道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绍兴毓盛新能源科技公司北门1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绍兴毓盛新能源科技公司北门2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邵家楼群贤东路口南面小桥头</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邵家楼群贤东路口西北绿化带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江南景园南大门东100米1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江南景园南大门东100米2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瑞丰大道南环路口北100米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堰中路101号门口1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堰中路101号门口2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陶堰镇政府东向公交站西20米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104国道亭山村莫家溇石碑西20米人行道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桃花源山庄北门东20米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陶堰华欣混凝土厂门卫北面30米行车道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张家岙与上虞交界处四岔口北70米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平陶公路陶堰富盛交界处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104国道和329国道交叉口照东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104国道和329国道交叉口照西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平陶公路新江南景园照南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平陶公路新江南景园照西北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市直街南环路口照东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市直街南环路口照西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平陶公路绍诸高速入口照南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平陶公路夏葑公路口照西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富盛镇卫生院门口西人行道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富盛路南北大道东北角40米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富盛路南北大道东40米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南北大道美地馨园门口东南桥角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中心大道与南北大道南侧50米花坛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中心大道与南北大道口公交站旁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富盛镇中心幼儿园门口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白富线求溢针织厂北200米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平陶公路跳山村口西南100米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平陶公路跳山村口西南100米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绍兴牛牛五金公司北门对面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富盛镇瑞丰银杭背面100米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富盛隧道西北100米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夏葑公路中国动监门口照东北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由由嘉园三岔口照东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101县道由由嘉园口照西南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西上线托斯卡纳城堡照南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101县道绍兴茶厂旁照东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1299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101县道绍兴茶厂旁照西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平陶公路辂山村入口南照北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剡溪路-夜排挡门口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沿江路昌安农贸市场照南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东湖风景区停车场出口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崇贤路范蠡路东南角人行道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范蠡路16号门口人行道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范蠡路湖滨商业中心2幢北侧花坛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惠利街59-1门口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金帝兰悦南门东北角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胜利东路梅龙湖路东北角人行道50米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胜利东路367号农行门口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阳明北路云东路口东北角花坛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人民医院东大门外南侧人行道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剡西路276号门口人行道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人民东路活禅酒店前花坛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人民东路鹿池路东北角人行道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人民东路鹿池路西北角人行道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人民东路鹿池路北侧西人行道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阳明路卧龙路东北角人行道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卧龙路燃气公司大门西南角人行道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平江路卧龙路东北角花坛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平江路剡溪路口西南角人行道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剡溪路花园265号东侧花坛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剡溪路228号029门口人行道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阳明北路77号比邻青年社区西北20米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阳明北路105内西大门南侧花坛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阳明北路1051西大门对面花坛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胜利东路五泄路东南角桥脚人行道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胜利东路五泄路西北角人行道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星尚悦湖苑南大门西南人行道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西施山路星尚悦湖苑北门东侧人行道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五云南路云东路东北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黄金时代大厦北面对面人行道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阳明路云东路口东南角花坛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阳明路云东路西北花坛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平江路云东路西南角人行道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平江路云东路口西北角花坛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蕺山街道池塘边三岔口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蕺山新村17幢龙洲花园66幢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龙洲花园东北大门口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72名座与昌安东村岔口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昌安街龙洲卡口东朝西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昌安街-章家弄路口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中兴路-人民医院路口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中兴北路引虎弄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昌安西街引虎弄口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昌安农贸市场北门路口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会龙大道与北复线叉口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中兴北路人民医院路口照北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中兴北路人民医院路口照南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中兴北路昌安西街口照南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中兴北路引虎弄口照北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中兴北路引虎弄口照南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立交桥下北停车场照北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立交桥下北停车场照南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立交桥下南停车场照北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龙华寺东池路入口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龙洲幼儿园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北海小学龙洲校区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世纪之光幼儿园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世禾启蒙幼儿园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成章小学后门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成章小学大门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阳明幼儿园云东校区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鲁迅幼托御景园区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迪荡幼儿园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平江路隧道西施山路口照东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平江路隧道西施山路口照西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胜利东路五泄路口照东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西施山路五泄路口照东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云东路五泄路口照东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云东路五泄路口照西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平江路秦望路口照东北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胜利路迪荡湖路卡口北全景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昌安家园东门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龙洲小学南门迪荡湖路口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昌安街与安昌新村出口处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蕺山新村南大门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鞋子畈入口南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沿江路与引虎弄交叉口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文化创意产业园照东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伟丰文化创意产业园西北入口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伟丰茗香楼东南侧照西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税务局入口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阳明路秦望路东北角照北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秦望路五泄路照西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秦望路诺德装饰对面照小路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云东路五泄路西南非机动车道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迪荡农贸市场南照西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五泄路胜利东路照东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云东路五云丰田门口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卧龙路鹿池路照南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1399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洄涌路秦望路照南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范蠡路西施山路照南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人民医院大门口北照南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蕺山新村1幢东侧照北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蕺山新村1幢东侧西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龙骧园62幢南侧照北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龙湖大厦101商铺照南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中富大厦地下停车场入口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汇银大厦北大门照西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龙骧园37栋南侧墙外人行道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西施山路星尚悦湖苑北门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迪荡湖都泗门路东北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客运中心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329国道越兴路卡口北朝南2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群贤路越英路西朝东1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群贤路越英路西朝东2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群贤路越英路东朝西1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群贤路越英路东朝西2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宝龙广场环球渔市门口花坛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宝龙广场肯德基门口花坛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群贤路西湖支路口西南角人行道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群贤路西湖支路口东南角人行道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新城悦隽公馆西门北70米桥边</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越安北路与安城路西北角花坛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茂林路永成天御湾西北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茂林路林立欣园南门西侧人行道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鸿滨路与茂林路西南角花坛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鸿宾路与茂林路东北角人行道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鸿宾路林立欣园东桥南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鸿宾路银湖湾西南桥北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群贤路鸿滨路东南人行道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群贤路鸿滨路西北人行道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袍江医院南门出入口绿化带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袍江医院内东门往西20米绿化</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越王路稽山石化南人行道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群贤路东安路东北角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越王路10号对面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育贤路越王路西北角公交站旁</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育贤路越王路西北角2桥南侧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育贤路与越安北路西南角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育贤路与越安北路东北角花坛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育贤路马山中学门口东侧人行道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世纪街越安北路东南角人行道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浩海沄天汗蒸汤泉</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世纪街与兴塘街南路口人行道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越王路袍江医院东门北人行道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马山街道办事处门口对面人行道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三涤楼村与蛏南与肖金交界朝东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马海路小谭路西北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三江路宋家溇北公交站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三江路宋家溇南公交站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启圣路宋家溇村南入口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马山路顾里纺织厂南门东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马山路陶家埭村委公交车站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 xml:space="preserve"> 越安北路与英秀路西北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英秀路浩变服饰南门东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马山医院东北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越兴路檀溪村口东南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越兴路檀渎村东南2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群贤路与越兴路西北公交站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群贤路与越兴路西南公交站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群贤路与海南路东北公交站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群贤路与海南路西南公交站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群贤路与越英路西北公交站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群贤路与越英路东南公交站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海南路与车站路东北停车场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海南路与开源路西南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越王路与敬敷路东南2_1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望海路与新海路东南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越王路与敬敷路东北朝西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望海路与新海路西南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越东路与望海路东南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越王路与茂林路东南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鸿滨路与茂林路东北1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鸿滨路与茂林路东北2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鸿滨路与茂林路西南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鸿滨路与茂林路东南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群贤路与越王路西北3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群贤路与越安北路公交站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群贤路与越王路东南3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群贤路与东安路西南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1499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群贤路与东安路西北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群贤路与东安路东南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群贤路与东安路东北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群贤路与东安路西北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越兴路与皋马线西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越兴路与皋马线东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越兴路与启圣路东北1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越兴路与启圣路东北2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越兴路与启圣路西南3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海南路与车站路西北1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海南路与车站路西北2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海南路与车站路东南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海南路与车站路西南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群贤路与鸿宾路西北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海南路与开源路西北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海南路与开源路东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越英路与开源路东南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越英路与开源路西北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越安路北路与开源路西北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越安路北路与开源路东南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越王路与开源路西南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越王路与马山路东北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越王路与越安北路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越安路与马山路东南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越安路与马山路东北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群贤路与越东路西北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越安路与马山路西南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群贤路与越东路公交站西南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越安路与马山路西北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英秀路鑫兴科技东北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越安路与英秀路东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群贤路与鸿宾路东南公交站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世纪街与越王路西北1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世纪街与越王路西北2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世纪街与越王路东北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世纪街与越王路西南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越东路与马山路东南朝西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越东路与马山路西北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越东路与启圣路东南_1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越兴路与三江路东北朝北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群贤路与袍中路西南公交站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海塘路与大谭路西_1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群贤路与越安路东南公交站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海塘路与大谭路西南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海塘路与大谭路东南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海塘路与大谭路东北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海塘路与小谭路西南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海塘路与新海路东南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海塘路与新海路西南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群贤路与袍中路西北公交站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马海路与新海路西北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马海路与新海路西南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马海路与新海路东南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马海路与大谭路东南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世纪街与鸿滨路西南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袍江越中幼儿园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柯灵小学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马山柯灵幼儿园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越英北路187号康思特门口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马海路与大谭路西北朝东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袍江群英小学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马山镇中心幼儿园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冠迪娱乐会所门口东照西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东方幼儿园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袍江小学马山校区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豆姜小学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豆姜幼儿园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车恂如小学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329国道越兴路卡口南全景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鹤池苑17幢照南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越东路51号双保物流楼道口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越东路51号双保物流二楼1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越东路51号双保物流二楼2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越兴路曹娥江桥卡口西朝东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越兴路曹娥江桥西朝东非机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越兴路曹娥江桥卡口西全景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皋马公路西墅卡口南朝北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皋马公路西墅卡口全景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马山路西塘卡口西朝东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马山路西塘卡口全景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群贤路越王路卡口南照南1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群贤路越王路卡口南照南2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群贤路越王路卡口北照北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袍江医院南门对面人行道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越王路茂林路东南角花坛</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群贤路榆林村口东南1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群贤路榆林村口东南2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海南路曹江公交站西南朝北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群贤路海南路西北1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群贤路海南路西北2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越英路与育贤路东南1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越英路与育贤路东南2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越兴路与丰民路西南100米处</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育贤路古越龙山酿酒厂北门西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1599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汤公路柯袍线卡口南朝北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后璜村小舜江移民户北侧</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水木清华17幢北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水木清华中心广场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水木清华15幢南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玛格丽特社区服务中心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玛格丽特广场中心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城南大道西江路西照西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海塘路与小谭路东南_1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世纪街苏泊尔南门西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世纪街三纺机械北门东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望海路中国体育彩票门口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望海路瑞佳汽修部门口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望海路好又多超市门口1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望海路好又多超市门口2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望海路与江中路东南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望海路集亚物流北门西桥</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望海路集亚物流北门东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望江路古纤道2号门西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望海路与江海路东南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镇海路与江海路往东500米</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江中路古纤道西门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临海路与江中路西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临海路与江中路西北2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临海路与江中路东北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曹娥江马海闸门口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临海路绍化厂北口公交站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临海路绍化厂南公交站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老益公路与马海路北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寺东街与百盛街西北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寺东街与百盛街东南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寺东街与百盛街西南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寺东街与百盛街东北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百盛街与昌明街东南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百盛街与昌蒲路西南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百盛街与昌蒲路东南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诚信路与凯旋路东北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诚信路与凯旋路东南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诚信路与凯旋路西南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诚信路与凯旋路西北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中兴大道与群贤路东南1_1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中兴大道与群贤路东南2_1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中兴大道与群贤路东南3</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中兴路与袍渎路东南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三江环路欧露玛妮西三岔口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三江路天鹅岛厂西北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育贤路昌明街西南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龙湖天街西南角灵芝路人行道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荷湖路民生走马观支路东南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汤公路与育贤路东北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汤公路与育贤路东南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汤公路与育贤路西南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汤公路与育贤路西北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中兴路与建设路西北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荷湖路民生支路南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菖蒲路与康城路西南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教育路与西湖路西北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荷湖村公墓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汤公路与荷湖路东北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汤公路与荷湖路东南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绍兴王宝和酒厂东南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二环路晨阳针织北三岔口东南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菖蒲路与康城路东北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中海世纪公馆世纪康城西南门口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三江路与震元路东北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三江路与震元路西南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袍中路与震元路西北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袍中路与震元路东南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康城路与昌明街西南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世纪康城东门口北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震元路与二环路西南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望海路与江中路东南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望海路与江中路西南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望海路与江中路西北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临海路与江中路西北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临海路与江中路西南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望海路与新闸江路东南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望海路与新闸江路西南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望海路与新闸江路东北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镇海路与新闸江路东南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斗门前璜村与齐贤后斋村交界1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斗门前璜村与齐贤后斋村交界2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斗门前璜村沙口岸村交界</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菖蒲路奔驰4S店门口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世纪街与菖蒲路北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世纪广场百合花园南门口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世纪街与袍中路东北1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世纪街与袍中路东北2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寺东街与诚信路东南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菖蒲路康城路西北照南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凯旋路诚信路南照北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1699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钱陶公路寺东路西小道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马臻南路万象更新场照东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永利百货东步行街照南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袍中路倾城路南照北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思强电子西路口照西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中兴大道袍渎路南照北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富恩大桥西入口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汤公路富陵控股对面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汤公路上窑村入口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金太阳幼儿园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敬敷小学大门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袍江世纪广场幼儿园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斗门上窑幼儿园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百盛街天缔公寓门口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敬敷幼儿园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柯灵小学斗门校区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袍江中学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越洲中学西门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越洲中学北门</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辨志小学</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旺宝幼儿园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袍江育才教育培训中心</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斗门幼儿园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贝贝幼儿园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小海螺幼儿园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柯灵幼儿园</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袍中路世纪街南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袍中路育贤路东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袍中路育贤路南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袍中路群贤路北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袍中路袍渎路东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袍中路袍渎路北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袍中路坝头丁村照北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袍中路洋江路南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江中路临海路东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江中路临海路南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江中路临海路西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江东路马海路南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江东路望海路西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江东路新闸江大桥入口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镇海路江海路南照南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镇海路江海路南照北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江中路望海路东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江中路马海路东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江中路马海路北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越东路马海路东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越东路海塘路东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越东路望海路东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越东路震元路西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越东路育贤路西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越东路袍渎路西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袍中南路3号双成电气门口照南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中兴大道育贤路东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中兴大道康宁路东照东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中兴大道康宁路东照西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中兴大道钱陶公路西南辅道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绍三线洋江路东朝西非机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绍三线洋江路卡口东全景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绍三线洋江路南朝北辅道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绍三线洋江路西朝东非机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绍三线洋江路北朝南辅道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绍三线洋江路卡口北全景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1769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绍三线杭甬高速卡口北朝南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绍三线杭甬高速卡口北全景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江东路临海路卡口南朝北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江东路临海路卡口西朝东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江东路临海路卡口西全景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江东路临海路卡口北全景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汤公路柯袍线卡口南全景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1779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汤公路柯袍线卡口北朝南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汤公路柯袍线卡口北全景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汤公路荷湖村卡口东朝西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汤公路荷湖村卡口全景</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世纪街袍中路口南卡口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世纪街昌明街北照北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世纪街昌明街西照东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昌明街康城路西北照西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菖蒲街中国人民保险西照西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汤公路玉园大酒店西南照北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1789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329国道教育路北照南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雪佛兰对面人行道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雪佛兰门口门卫边上</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双保物流大门球机</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袍中路三江路北照北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菖蒲路越星奔驰西照南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三江环路东方电热科技旁照东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孙端安桥头村口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孙皇公路与陈化路东南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上亭路与陈化路西南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1799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上亭路与陈化路东南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上亭路吴融村北入口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中兴大道与上亭路西南150米桥东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中兴大道与上亭路西北200米桥西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见龙路瑞丰银行对面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树童部落门上</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树童部落进口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树童部落出口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329国道小库村公交站东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孙端公路树人领带厂门口东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1809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孙皇公路碧波谭村东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孙皇公路与孙端路西南1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孙马公路绍兴达易电器厂北门西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孙皇公路与孙端路西北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孙皇公路与孙端路西南2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孙皇公路孙端路东南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孙端路与上亭路东南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陈化路上亭路东南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孙端路上亭路西北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孙端路与上亭路西南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1819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又新路上亭路东北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又新路上亭路西南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又新路见龙路西北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又新路见龙路东南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孙端路见龙路西南1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孙端路见龙路西南2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孙端路见龙路东北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孙端路与见龙路西北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329国道孙端路东北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龙湖天街西南角必胜客前照东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1829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龙湖天街西入口桥旁照南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群贤路越英路北朝南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孙曹公路孙端与上虞交界南1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孙曹公路孙端与上虞交界南2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孙曹公路孙端与上虞交界北1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孙曹公路孙端与上虞交界北2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329国道与孙曹公路西南1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孙曹公路张家沥村口北公交站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孙曹公路张家沥村口南公交站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329道孙曹公路东朝东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1839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329国道孙曹公路西北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329国道与群贤路东北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329国道与群贤路东南1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329国道与群贤路东南2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329国道与群贤路东南公交站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329国道与群贤路西北1</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329国道与群贤路西北2</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329国道与群贤路西北公交站</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孙皇公路三涤溇西北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1849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329国道孙端公路管理局门口</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孙端菜市场西南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孙皇公路孙端村口西</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1852</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孙皇路与又兴路西北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1853</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孙皇公路孙端村口东</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1854</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新河村与安桥头村交界</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1855</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孙皇公路便民中心对面</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1856</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孙端文化广场西南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1857</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孙端文化广场东南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1858</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329国道与兴滨特纤高铁桥下东北角</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1859</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329国道与兴滨特纤厂入口东南角辅道</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1860</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孙皇公路与陈化路西南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r>
        <w:tblPrEx>
          <w:tblCellMar>
            <w:top w:w="0" w:type="dxa"/>
            <w:left w:w="108" w:type="dxa"/>
            <w:bottom w:w="0" w:type="dxa"/>
            <w:right w:w="108" w:type="dxa"/>
          </w:tblCellMar>
        </w:tblPrEx>
        <w:trPr>
          <w:trHeight w:val="288"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1861</w:t>
            </w:r>
          </w:p>
        </w:tc>
        <w:tc>
          <w:tcPr>
            <w:tcW w:w="3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越秀路世纪街南照北</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楷体_GB2312" w:hAnsi="楷体_GB2312" w:eastAsia="楷体_GB2312" w:cs="楷体_GB2312"/>
                <w:color w:val="000000"/>
                <w:sz w:val="22"/>
                <w:szCs w:val="22"/>
              </w:rPr>
            </w:pPr>
            <w:r>
              <w:rPr>
                <w:rFonts w:hint="eastAsia" w:ascii="楷体_GB2312" w:hAnsi="楷体_GB2312" w:eastAsia="楷体_GB2312" w:cs="楷体_GB2312"/>
                <w:color w:val="000000"/>
                <w:kern w:val="0"/>
                <w:sz w:val="22"/>
                <w:szCs w:val="22"/>
                <w:lang w:bidi="ar"/>
              </w:rPr>
              <w:t>1</w:t>
            </w:r>
          </w:p>
        </w:tc>
      </w:tr>
    </w:tbl>
    <w:p>
      <w:pPr>
        <w:spacing w:before="120" w:beforeLines="50" w:after="120" w:afterLines="50" w:line="440" w:lineRule="exact"/>
        <w:ind w:firstLine="482" w:firstLineChars="200"/>
        <w:rPr>
          <w:rFonts w:ascii="仿宋_GB2312" w:eastAsia="仿宋_GB2312"/>
          <w:b/>
          <w:kern w:val="0"/>
          <w:sz w:val="24"/>
          <w:szCs w:val="21"/>
        </w:rPr>
      </w:pPr>
      <w:r>
        <w:rPr>
          <w:rFonts w:hint="eastAsia" w:ascii="仿宋_GB2312" w:eastAsia="仿宋_GB2312"/>
          <w:b/>
          <w:kern w:val="0"/>
          <w:sz w:val="24"/>
          <w:szCs w:val="21"/>
        </w:rPr>
        <w:t>2、租用清单</w:t>
      </w:r>
    </w:p>
    <w:tbl>
      <w:tblPr>
        <w:tblStyle w:val="63"/>
        <w:tblW w:w="5087" w:type="pct"/>
        <w:jc w:val="center"/>
        <w:tblLayout w:type="fixed"/>
        <w:tblCellMar>
          <w:top w:w="0" w:type="dxa"/>
          <w:left w:w="108" w:type="dxa"/>
          <w:bottom w:w="0" w:type="dxa"/>
          <w:right w:w="108" w:type="dxa"/>
        </w:tblCellMar>
      </w:tblPr>
      <w:tblGrid>
        <w:gridCol w:w="746"/>
        <w:gridCol w:w="1423"/>
        <w:gridCol w:w="4908"/>
        <w:gridCol w:w="755"/>
        <w:gridCol w:w="811"/>
      </w:tblGrid>
      <w:tr>
        <w:tblPrEx>
          <w:tblCellMar>
            <w:top w:w="0" w:type="dxa"/>
            <w:left w:w="108" w:type="dxa"/>
            <w:bottom w:w="0" w:type="dxa"/>
            <w:right w:w="108" w:type="dxa"/>
          </w:tblCellMar>
        </w:tblPrEx>
        <w:trPr>
          <w:trHeight w:val="412" w:hRule="atLeast"/>
          <w:jc w:val="center"/>
        </w:trPr>
        <w:tc>
          <w:tcPr>
            <w:tcW w:w="431"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序号</w:t>
            </w:r>
          </w:p>
        </w:tc>
        <w:tc>
          <w:tcPr>
            <w:tcW w:w="82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产品名称</w:t>
            </w:r>
          </w:p>
        </w:tc>
        <w:tc>
          <w:tcPr>
            <w:tcW w:w="2839"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产品参数</w:t>
            </w:r>
          </w:p>
        </w:tc>
        <w:tc>
          <w:tcPr>
            <w:tcW w:w="436"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单位</w:t>
            </w:r>
          </w:p>
        </w:tc>
        <w:tc>
          <w:tcPr>
            <w:tcW w:w="469"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数量</w:t>
            </w:r>
          </w:p>
        </w:tc>
      </w:tr>
      <w:tr>
        <w:tblPrEx>
          <w:tblCellMar>
            <w:top w:w="0" w:type="dxa"/>
            <w:left w:w="108" w:type="dxa"/>
            <w:bottom w:w="0" w:type="dxa"/>
            <w:right w:w="108" w:type="dxa"/>
          </w:tblCellMar>
        </w:tblPrEx>
        <w:trPr>
          <w:trHeight w:val="412" w:hRule="atLeast"/>
          <w:jc w:val="center"/>
        </w:trPr>
        <w:tc>
          <w:tcPr>
            <w:tcW w:w="431"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楷体_GB2312" w:hAnsi="楷体_GB2312" w:eastAsia="楷体_GB2312" w:cs="楷体_GB2312"/>
                <w:b/>
                <w:bCs/>
                <w:color w:val="auto"/>
                <w:kern w:val="0"/>
                <w:sz w:val="24"/>
                <w:highlight w:val="none"/>
              </w:rPr>
            </w:pPr>
          </w:p>
        </w:tc>
        <w:tc>
          <w:tcPr>
            <w:tcW w:w="823" w:type="pct"/>
            <w:vMerge w:val="continue"/>
            <w:tcBorders>
              <w:top w:val="single" w:color="auto" w:sz="4" w:space="0"/>
              <w:left w:val="single" w:color="auto" w:sz="4" w:space="0"/>
              <w:bottom w:val="single" w:color="000000" w:sz="4" w:space="0"/>
              <w:right w:val="single" w:color="auto" w:sz="4" w:space="0"/>
            </w:tcBorders>
            <w:vAlign w:val="center"/>
          </w:tcPr>
          <w:p>
            <w:pPr>
              <w:widowControl/>
              <w:rPr>
                <w:rFonts w:hint="eastAsia" w:ascii="楷体_GB2312" w:hAnsi="楷体_GB2312" w:eastAsia="楷体_GB2312" w:cs="楷体_GB2312"/>
                <w:b/>
                <w:bCs/>
                <w:color w:val="auto"/>
                <w:kern w:val="0"/>
                <w:sz w:val="24"/>
                <w:highlight w:val="none"/>
              </w:rPr>
            </w:pPr>
          </w:p>
        </w:tc>
        <w:tc>
          <w:tcPr>
            <w:tcW w:w="2839"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436"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楷体_GB2312" w:hAnsi="楷体_GB2312" w:eastAsia="楷体_GB2312" w:cs="楷体_GB2312"/>
                <w:b/>
                <w:bCs/>
                <w:color w:val="auto"/>
                <w:kern w:val="0"/>
                <w:sz w:val="24"/>
                <w:highlight w:val="none"/>
              </w:rPr>
            </w:pPr>
          </w:p>
        </w:tc>
        <w:tc>
          <w:tcPr>
            <w:tcW w:w="469"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楷体_GB2312" w:hAnsi="楷体_GB2312" w:eastAsia="楷体_GB2312" w:cs="楷体_GB2312"/>
                <w:b/>
                <w:bCs/>
                <w:color w:val="auto"/>
                <w:kern w:val="0"/>
                <w:sz w:val="24"/>
                <w:highlight w:val="none"/>
              </w:rPr>
            </w:pPr>
          </w:p>
        </w:tc>
      </w:tr>
      <w:tr>
        <w:tblPrEx>
          <w:tblCellMar>
            <w:top w:w="0" w:type="dxa"/>
            <w:left w:w="108" w:type="dxa"/>
            <w:bottom w:w="0" w:type="dxa"/>
            <w:right w:w="108" w:type="dxa"/>
          </w:tblCellMar>
        </w:tblPrEx>
        <w:trPr>
          <w:jc w:val="center"/>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pPr>
              <w:widowControl/>
              <w:jc w:val="both"/>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b/>
                <w:bCs/>
                <w:color w:val="auto"/>
                <w:kern w:val="0"/>
                <w:sz w:val="24"/>
                <w:highlight w:val="none"/>
              </w:rPr>
              <w:t>一、前端建设</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400万极光网络球机（含支架，电源）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1、图像传感器：≥1/1.8＂progressivescanCMOS，双sensor架构；</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2、▲最低照度：彩色：≤0.0005Lux；黑白：≤0.0001Lux；0LuxwithIR；</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3、需提供上述第2点参数的</w:t>
            </w:r>
            <w:r>
              <w:rPr>
                <w:rFonts w:hint="eastAsia" w:ascii="楷体_GB2312" w:hAnsi="楷体_GB2312" w:eastAsia="楷体_GB2312" w:cs="楷体_GB2312"/>
                <w:color w:val="auto"/>
                <w:kern w:val="0"/>
                <w:sz w:val="24"/>
                <w:highlight w:val="none"/>
                <w:lang w:val="en-US" w:eastAsia="zh-CN"/>
              </w:rPr>
              <w:t>第三方</w:t>
            </w:r>
            <w:r>
              <w:rPr>
                <w:rFonts w:hint="eastAsia" w:ascii="楷体_GB2312" w:hAnsi="楷体_GB2312" w:eastAsia="楷体_GB2312" w:cs="楷体_GB2312"/>
                <w:color w:val="auto"/>
                <w:kern w:val="0"/>
                <w:sz w:val="24"/>
                <w:highlight w:val="none"/>
              </w:rPr>
              <w:t>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4、分辨率及帧率：50Hz：≥25fps（2560×1440或2688×1512或2048×1536）；</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5、视频压缩：H.265/H.264/MJPEG；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6、红外照射距离：≧450米；</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7、焦距最小值≦6mm且最大值≧220mm，光学变焦≧35倍；</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8、Smart图像增强：≥120dB超宽动态、光学透雾、强光抑制、电子防抖、SmartIR；</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9、支持1万人及以上脸底库的人脸比对</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10、支持可视域、支持人机非视频结构化、支持人脸、车辆抓拍；</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11、支持周界防范、徘徊检测、物品遗留、快速移动、停车检测、人员聚集；</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12、电源接口：支持DC36V±25%宽电压输入；</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13、网络接口：RJ45网口，自适应10M/100M网络数据；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14、具备RS485控制接口：符合T17626.2/3/4/5/6四级标准；</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15、支持智能雨刷功能；</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16、内置GPU芯片，支持深度学习算法，有效提升检测准确率；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17、支持视频结构化功能：支持机动车抓拍、机动车属性提取，支持非机动车抓拍、非机动车属性提取，支持人体抓拍、人体属性提取，支持人脸抓拍、人脸属性提取，支持机非人数量统计，搜索报表；</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支持人脸检测,支持人脸优选抓拍；支持人脸增强,支持人脸属性提取,支持不少于7种属性5种表情：性别，年龄，眼镜，表情，口罩，人种肤色，胡子,支持多种人脸抠图方案设置：单寸照，人脸,支持人脸识别（前端支持导入≥1万张人脸库）；</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19、支持绊线入侵、区域入侵、穿越围栏、徘徊、物品遗留、物品搬移、快速移动、停车、人员聚集检测,支持人车分类报警,支持联动跟踪水平方向360°连续旋转，垂直方向-30°～90°，无监视盲区；</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20、支持≥300个预置位，≥8条巡航路径，≥5条巡迹路径；</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21、支持≥1路音频输入，≥1路音频输出；</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22、支持≥7路报警输入，≥2路报警输出；</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23、支持≥IP67防护等级，≥8000V防雷、防浪涌和防突波保护。</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589</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400万人脸网络摄像机（含支架，电源）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400万1/1.8”CMOS AI筒型网络摄像机</w:t>
            </w:r>
          </w:p>
          <w:p>
            <w:pPr>
              <w:widowControl/>
              <w:numPr>
                <w:ilvl w:val="0"/>
                <w:numId w:val="1"/>
              </w:numPr>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▲最低照度:彩色:≤0.001Lux；黑白: ≤0.0003Lux；</w:t>
            </w:r>
          </w:p>
          <w:p>
            <w:pPr>
              <w:widowControl/>
              <w:numPr>
                <w:ilvl w:val="0"/>
                <w:numId w:val="1"/>
              </w:numPr>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需提供上述第1点参数的</w:t>
            </w:r>
            <w:r>
              <w:rPr>
                <w:rFonts w:hint="eastAsia" w:ascii="楷体_GB2312" w:hAnsi="楷体_GB2312" w:eastAsia="楷体_GB2312" w:cs="楷体_GB2312"/>
                <w:color w:val="auto"/>
                <w:kern w:val="0"/>
                <w:sz w:val="24"/>
                <w:highlight w:val="none"/>
                <w:lang w:val="en-US" w:eastAsia="zh-CN"/>
              </w:rPr>
              <w:t>第三方</w:t>
            </w:r>
            <w:r>
              <w:rPr>
                <w:rFonts w:hint="eastAsia" w:ascii="楷体_GB2312" w:hAnsi="楷体_GB2312" w:eastAsia="楷体_GB2312" w:cs="楷体_GB2312"/>
                <w:color w:val="auto"/>
                <w:kern w:val="0"/>
                <w:sz w:val="24"/>
                <w:highlight w:val="none"/>
              </w:rPr>
              <w:t>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3、电动镜头焦距最小值≦6mm且最大值≧9mm；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4、视频压缩标准:H.265/H.264/MJPEG；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5、最大图像尺寸:≥2560×1440；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6、通讯接口:不少于1个RJ45，1个10M/100M自适应以太网口；</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7、红外补光距离（抓拍人脸）≧10m；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8、红外补光距离（治安监控）≧50m；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9、内置GPU芯片，支持深度学习算法，有效提升检测准确率；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10、支持人脸检测：支持跟踪，支持优选，支持抓拍，支持上报最优的人脸抓图，支持人脸增强，人脸曝光，支持人脸属性提取，支持不少于7种属性，8种表情；</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11、智能行为分析功能检验：当以下的智能分析行为达到设定的阈值时，可通过客户端软件或IE浏览器给出报警提示,a)绊线入侵b)区域入侵c)物品遗留d)物品消失e)徘徊检测f)非法停车g)快速移动h)人员聚集i) 进入区域j)离开区域,支持行为分析出发后联动抓图、录 像、报警上传、发送邮件、辅助输出等多种报警触发方式 。</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266</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230W高清网络摄像机（含镜头，支架，护罩，电源）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微卡口/智慧监控单元</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车辆识别、非机动车抓拍识别、行人人脸抓拍、行人特征识别</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1、像素：≧230W；</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2、分辨率：最大支持 ≥1920×1200；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3、帧率：≥25fps；</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4、感光器件：≥1/1.8"CMOS；</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5、镜头变焦焦距最小值≦11mm且最大值≧40mm；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6、▲照度：彩色:≤0.001Lux，黑白: ≤0.0001Lux；</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7、需提供上述第6点参数的</w:t>
            </w:r>
            <w:r>
              <w:rPr>
                <w:rFonts w:hint="eastAsia" w:ascii="楷体_GB2312" w:hAnsi="楷体_GB2312" w:eastAsia="楷体_GB2312" w:cs="楷体_GB2312"/>
                <w:color w:val="auto"/>
                <w:kern w:val="0"/>
                <w:sz w:val="24"/>
                <w:highlight w:val="none"/>
                <w:lang w:val="en-US" w:eastAsia="zh-CN"/>
              </w:rPr>
              <w:t>第三方</w:t>
            </w:r>
            <w:r>
              <w:rPr>
                <w:rFonts w:hint="eastAsia" w:ascii="楷体_GB2312" w:hAnsi="楷体_GB2312" w:eastAsia="楷体_GB2312" w:cs="楷体_GB2312"/>
                <w:color w:val="auto"/>
                <w:kern w:val="0"/>
                <w:sz w:val="24"/>
                <w:highlight w:val="none"/>
              </w:rPr>
              <w:t>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8、视频压缩标准：H.264/H.265/MJPEG；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9、图像输出格式：JPEG；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10、支持北斗/GPS定位校时，陀螺仪姿态检测，采用高性能VPU处理器，支持车辆结构化信息提取;</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11、支持1~4车道车辆抓拍、车牌识别和车辆结构化（机动车： 车牌，车辆类型，车身颜色，车牌颜色，车标，车辆年款，车系，遮阳板，安全带，抽烟，打电话，车内饰品(香水盒、纸巾盒、挂件)，年检标志等）信息提取；</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12、支持单快门；</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13、支持人脸检测、车辆检测、车牌识别、车辆类型识别、车身颜色识别、违法行为抓拍、视频结构化抓拍、OSD信息叠加；</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14、支持对逆行、行人、违法停车、交通拥堵等事件进行抓拍、短录像并进行报警；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15、支持车辆流量、平均速度、占有率、平均车头时距、平均排队长度、道路状态等流量信息采集。</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721</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400万星光级人脸变焦网络摄像机（含支架，电源）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400万1/1.8”CMOS抓拍护罩一体化网络摄像</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1、宽动态: ≥120dB；</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2、智能补光:设备内置高效白光阵列灯，可定时开启；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3、▲最低照度:彩色: ≤0.0005Lux；黑白: ≤0.0001Lux；</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4、需提供上述第3点参数的</w:t>
            </w:r>
            <w:r>
              <w:rPr>
                <w:rFonts w:hint="eastAsia" w:ascii="楷体_GB2312" w:hAnsi="楷体_GB2312" w:eastAsia="楷体_GB2312" w:cs="楷体_GB2312"/>
                <w:color w:val="auto"/>
                <w:kern w:val="0"/>
                <w:sz w:val="24"/>
                <w:highlight w:val="none"/>
                <w:lang w:val="en-US" w:eastAsia="zh-CN"/>
              </w:rPr>
              <w:t>第三方</w:t>
            </w:r>
            <w:r>
              <w:rPr>
                <w:rFonts w:hint="eastAsia" w:ascii="楷体_GB2312" w:hAnsi="楷体_GB2312" w:eastAsia="楷体_GB2312" w:cs="楷体_GB2312"/>
                <w:color w:val="auto"/>
                <w:kern w:val="0"/>
                <w:sz w:val="24"/>
                <w:highlight w:val="none"/>
              </w:rPr>
              <w:t>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5、电动镜头焦距最小值≦11mm且最大值≧32mm ；</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6、聚焦:支持自动聚焦；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7、视频压缩标准:H.265/H.264/MJPEG；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8、最大图像尺寸:≥2560x1440；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9、补光距离:白光：补光距离≧80m，人脸抓拍≧30m；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10、具有内置补光灯，支持白光和混合两种补光模式，在白光模式下，可开启白光灯；在混合模式下，可开启白光灯和红外灯，补光灯强度可调；</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11、内置GPU芯片，支持深度学习算法；</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12、支持视频结构化：支持机动车、非机动车、人脸、人员等目标的抓拍和属性识别，支持对画面中的人脸、人体、非机动车、机动车并发提取；</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13、人脸检测：支持同时检测32张人脸，对运动人脸进行检测、跟踪、抓拍、优选，输出最优的人脸抓图，支持人脸增强，人脸曝光，人脸属性提取13、人数统计：支持排队管理；</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14、支持区域内人数统计，进入/离开人数统计，并可生成人数统计日/月/年报表，导出使用；</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15、支持绊线入侵，区域入侵，快速移动（三项均支持人车分类及精准检测），物品遗留，物品搬移，徘徊检测，人员聚集，停车检测，热度图，人脸检测，人数统计；</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16、支持人脸比对功能，可对检测到的人脸与样本库中的人脸比对，并实现抓图联动报警；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17、支持设置不少于5组人脸库并进行独立布防，每个库的布撤防时间可单独设置，布防人员在布防区域和布防时间段内出现会触发报警，并联动告警信号、联动抓拍、联动截取一段视频，报警信息携带人脸属性、抓拍时间、人员注册信息、库名字等信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18、支持内置存储卡存储≥20万张人脸图片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可识别距样机≥40m处人体的体貌特征并截取小图小图中人脸水平像素不小于40个像素。</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900万卡口抓拍网络摄像机（含镜头，支架，护罩，电源）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高清抓拍单元</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1、像素：≧900W；</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2、分辨率：最大支持 ≥4096*2160；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3、帧率：≥25fps；</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4、图像传感器：采用≥1"英寸全局曝光CMOS（GMOS）传感器；</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5、镜头：25mm镜头；</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6、照度：彩色: ≤0.01Lux；</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7、视频压缩标准：H.265/H.264/MJPEG；</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8、采用高性能AI处理器，加载深度学习算法，支持多目标混合场景应用，实时提取机动车、非机动车、人体、人脸数十种全结构化信息，为业务快速决策提供全方位的特征数据；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9、支持一机并用，集卡口电警数十种违法抓拍业务、交通信息采集、事件检测于一体，适用于多种道路场景；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10、视频分析功能：支持导入普通监控视频进行二次分析；</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11、支持对机动车、非机动车、行人等混合目标进行检测，样机能同时检测不少于110个混合的静态目标并对这些目标进行绿框跟踪，可同时对至少100个混合的静态目标进行优选、抓拍及属性分析；</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12、智能识别功能：支持智能识别功能：内置视频识别功能，支持车牌识别、视频触发、车身颜色识别、车型识别、车标识别、车窗物件识别及通行车辆信息捕获。</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252</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400万星光级红外变焦枪型网络摄像机（含支架，电源）</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传感器类型：1/1.8英寸CMOS；</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像素：≧400万；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分辨率：最大支持≥2688×1520；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最低照度：≤0.001lux（彩色模式）；≤0.0001lux（黑白模式）；≤0lux（补光灯开启）；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补光距离：≧50m；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补光灯：≧4颗（红外灯）；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镜头类型：电动变焦；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镜头焦距：2.7mm～12mm；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镜头光圈：F1.8；</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视场角：水平：115°～47°；垂直：62°～27°；对角：137°～54°；</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支持热度图；</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周界防范：绊线入侵；区域入侵；快速移动（三项均支持人车分类及精准检测）；徘徊检测；人员聚集；停车检测；</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人脸检测：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道路监控：支持机动车抓拍，支持车牌、车牌颜色、车身颜色、车系、车标属性；</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智能编码：H.264:支持；H.265:支持；</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内置MIC：内置1个MIC；</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16</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接入标准：ONVIF；CGI；GB/T28181-2022（双国标）；GA/T1400；</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lang w:val="en-US" w:eastAsia="zh-CN"/>
              </w:rPr>
              <w:t>17、</w:t>
            </w:r>
            <w:r>
              <w:rPr>
                <w:rFonts w:hint="eastAsia" w:ascii="楷体_GB2312" w:hAnsi="楷体_GB2312" w:eastAsia="楷体_GB2312" w:cs="楷体_GB2312"/>
                <w:color w:val="auto"/>
                <w:kern w:val="0"/>
                <w:sz w:val="24"/>
                <w:highlight w:val="none"/>
              </w:rPr>
              <w:t>预览最大用户数：20个（总带宽:80M）；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lang w:val="en-US" w:eastAsia="zh-CN"/>
              </w:rPr>
              <w:t>18、</w:t>
            </w:r>
            <w:r>
              <w:rPr>
                <w:rFonts w:hint="eastAsia" w:ascii="楷体_GB2312" w:hAnsi="楷体_GB2312" w:eastAsia="楷体_GB2312" w:cs="楷体_GB2312"/>
                <w:color w:val="auto"/>
                <w:kern w:val="0"/>
                <w:sz w:val="24"/>
                <w:highlight w:val="none"/>
              </w:rPr>
              <w:t>音频输入：1路（RCA头）；</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lang w:val="en-US" w:eastAsia="zh-CN"/>
              </w:rPr>
              <w:t>19、</w:t>
            </w:r>
            <w:r>
              <w:rPr>
                <w:rFonts w:hint="eastAsia" w:ascii="楷体_GB2312" w:hAnsi="楷体_GB2312" w:eastAsia="楷体_GB2312" w:cs="楷体_GB2312"/>
                <w:color w:val="auto"/>
                <w:kern w:val="0"/>
                <w:sz w:val="24"/>
                <w:highlight w:val="none"/>
              </w:rPr>
              <w:t>音频输出：1路（RCA头）；</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lang w:val="en-US" w:eastAsia="zh-CN"/>
              </w:rPr>
              <w:t>20、</w:t>
            </w:r>
            <w:r>
              <w:rPr>
                <w:rFonts w:hint="eastAsia" w:ascii="楷体_GB2312" w:hAnsi="楷体_GB2312" w:eastAsia="楷体_GB2312" w:cs="楷体_GB2312"/>
                <w:color w:val="auto"/>
                <w:kern w:val="0"/>
                <w:sz w:val="24"/>
                <w:highlight w:val="none"/>
              </w:rPr>
              <w:t>防护等级：≧IP67</w:t>
            </w:r>
            <w:r>
              <w:rPr>
                <w:rFonts w:hint="eastAsia" w:ascii="楷体_GB2312" w:hAnsi="楷体_GB2312" w:eastAsia="楷体_GB2312" w:cs="楷体_GB2312"/>
                <w:color w:val="auto"/>
                <w:kern w:val="0"/>
                <w:sz w:val="24"/>
                <w:highlight w:val="none"/>
                <w:lang w:eastAsia="zh-CN"/>
              </w:rPr>
              <w:t>。</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28</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无极补光灯（含支架）</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1、整灯功率：60W±15%;</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2、色温：5000K±200K;</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3、显示指数≧85;</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4、发光角度：&gt;90度;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5、工作电压：180VAC-250VAC50HZ;</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6、日夜转换：自带光敏控制开关;</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7、含远端控制模块;</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8、防护等级：≧IP66。</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470</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室外常亮灯</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灯型：LED灯；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1、光源：可见光（波长350-780nm）；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2、色温：4500K；</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3、中心光照度：&lt;40lx（20m光照度）；</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4、触发方式：光敏控制或者相机端控制；</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可根据环境亮度自动点亮或者熄灭补光灯，环境亮度阀值10档可调</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需提供</w:t>
            </w:r>
            <w:r>
              <w:rPr>
                <w:rFonts w:hint="eastAsia" w:ascii="楷体_GB2312" w:hAnsi="楷体_GB2312" w:eastAsia="楷体_GB2312" w:cs="楷体_GB2312"/>
                <w:color w:val="auto"/>
                <w:kern w:val="0"/>
                <w:sz w:val="24"/>
                <w:highlight w:val="none"/>
                <w:lang w:val="en-US" w:eastAsia="zh-CN"/>
              </w:rPr>
              <w:t>第三方</w:t>
            </w:r>
            <w:r>
              <w:rPr>
                <w:rFonts w:hint="eastAsia" w:ascii="楷体_GB2312" w:hAnsi="楷体_GB2312" w:eastAsia="楷体_GB2312" w:cs="楷体_GB2312"/>
                <w:color w:val="auto"/>
                <w:kern w:val="0"/>
                <w:sz w:val="24"/>
                <w:highlight w:val="none"/>
              </w:rPr>
              <w:t>检测报告；5、光斑覆盖范围：≥3车道；</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6、补光距离：18m~25m；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7、频率：常亮；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8、灯珠数量：≥16颗；</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9、光通量：≥1800lm；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10、日夜切换：支持，1~6级灵敏度可设置；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远程故障显示：支持远程显示补光灯故障、正常状态；</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11、亮度调节：1~20级亮度可调；</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12、供电方式：AC220V±10％。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150</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机箱</w:t>
            </w:r>
          </w:p>
        </w:tc>
        <w:tc>
          <w:tcPr>
            <w:tcW w:w="2839" w:type="pct"/>
            <w:tcBorders>
              <w:top w:val="nil"/>
              <w:left w:val="nil"/>
              <w:bottom w:val="single" w:color="auto" w:sz="4" w:space="0"/>
              <w:right w:val="single" w:color="auto" w:sz="4" w:space="0"/>
            </w:tcBorders>
            <w:shd w:val="clear" w:color="auto" w:fill="auto"/>
            <w:vAlign w:val="center"/>
          </w:tcPr>
          <w:p>
            <w:pPr>
              <w:widowControl/>
              <w:numPr>
                <w:ilvl w:val="0"/>
                <w:numId w:val="2"/>
              </w:numPr>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lang w:val="en-US" w:eastAsia="zh-CN"/>
              </w:rPr>
              <w:t>尺寸：</w:t>
            </w:r>
            <w:r>
              <w:rPr>
                <w:rFonts w:hint="eastAsia" w:ascii="楷体_GB2312" w:hAnsi="楷体_GB2312" w:eastAsia="楷体_GB2312" w:cs="楷体_GB2312"/>
                <w:color w:val="auto"/>
                <w:kern w:val="0"/>
                <w:sz w:val="24"/>
                <w:highlight w:val="none"/>
              </w:rPr>
              <w:t>500*400*180监控设备箱</w:t>
            </w:r>
            <w:r>
              <w:rPr>
                <w:rFonts w:hint="eastAsia" w:ascii="楷体_GB2312" w:hAnsi="楷体_GB2312" w:eastAsia="楷体_GB2312" w:cs="楷体_GB2312"/>
                <w:color w:val="auto"/>
                <w:kern w:val="0"/>
                <w:sz w:val="24"/>
                <w:highlight w:val="none"/>
                <w:lang w:eastAsia="zh-CN"/>
              </w:rPr>
              <w:t>；</w:t>
            </w:r>
          </w:p>
          <w:p>
            <w:pPr>
              <w:widowControl/>
              <w:numPr>
                <w:ilvl w:val="0"/>
                <w:numId w:val="2"/>
              </w:numPr>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冷轧钢板厚度≧1.5mm</w:t>
            </w:r>
            <w:r>
              <w:rPr>
                <w:rFonts w:hint="eastAsia" w:ascii="楷体_GB2312" w:hAnsi="楷体_GB2312" w:eastAsia="楷体_GB2312" w:cs="楷体_GB2312"/>
                <w:color w:val="auto"/>
                <w:kern w:val="0"/>
                <w:sz w:val="24"/>
                <w:highlight w:val="none"/>
                <w:lang w:eastAsia="zh-CN"/>
              </w:rPr>
              <w:t>；</w:t>
            </w:r>
          </w:p>
          <w:p>
            <w:pPr>
              <w:widowControl/>
              <w:numPr>
                <w:ilvl w:val="0"/>
                <w:numId w:val="2"/>
              </w:numPr>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主要电气配件：控制器、重合闸、电源防雷器、维修插座</w:t>
            </w:r>
            <w:r>
              <w:rPr>
                <w:rFonts w:hint="eastAsia" w:ascii="楷体_GB2312" w:hAnsi="楷体_GB2312" w:eastAsia="楷体_GB2312" w:cs="楷体_GB2312"/>
                <w:color w:val="auto"/>
                <w:kern w:val="0"/>
                <w:sz w:val="24"/>
                <w:highlight w:val="none"/>
                <w:lang w:eastAsia="zh-CN"/>
              </w:rPr>
              <w:t>；</w:t>
            </w:r>
          </w:p>
          <w:p>
            <w:pPr>
              <w:widowControl/>
              <w:numPr>
                <w:ilvl w:val="0"/>
                <w:numId w:val="2"/>
              </w:numPr>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安装方式抱杆/墙装。</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1833</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爆闪灯（含支架）</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1、灯型氙气灯；</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2、光源可见光（波长350-780nm）；</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3、色温5800±200K；中心光照度≤4000Lx；</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4、触发方式干接点触发；光斑覆盖范围1车道；</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5、补光距离16m~26m；</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6、回电时间≤60ms，满足相机2张连拍需求；</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7、闪光持续时间1/3000s；</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8、爆闪计数支持统计爆闪次数和触发次数；</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9、闪光灯寿命≧1000万次；</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10、日夜切换支持；</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11、远程故障显示支持远程显示补光灯故障、正常状态；</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12、供电方式AC220V±10％。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250</w:t>
            </w:r>
          </w:p>
        </w:tc>
      </w:tr>
      <w:tr>
        <w:tblPrEx>
          <w:tblCellMar>
            <w:top w:w="0" w:type="dxa"/>
            <w:left w:w="108" w:type="dxa"/>
            <w:bottom w:w="0" w:type="dxa"/>
            <w:right w:w="108" w:type="dxa"/>
          </w:tblCellMar>
        </w:tblPrEx>
        <w:trPr>
          <w:jc w:val="center"/>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pPr>
              <w:widowControl/>
              <w:jc w:val="both"/>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b/>
                <w:bCs/>
                <w:color w:val="auto"/>
                <w:kern w:val="0"/>
                <w:sz w:val="24"/>
                <w:highlight w:val="none"/>
              </w:rPr>
              <w:t>二、后端部分</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接入服务器（中高端）</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lang w:val="en-US" w:eastAsia="zh-CN"/>
              </w:rPr>
            </w:pPr>
            <w:r>
              <w:rPr>
                <w:rFonts w:hint="eastAsia" w:ascii="楷体_GB2312" w:hAnsi="楷体_GB2312" w:eastAsia="楷体_GB2312" w:cs="楷体_GB2312"/>
                <w:color w:val="auto"/>
                <w:kern w:val="0"/>
                <w:sz w:val="24"/>
                <w:highlight w:val="none"/>
              </w:rPr>
              <w:t>配置不低于：2颗4114(10核2.2GHz)/32GDDR4/1TB7.2KSATA×2/SAS_HBA/1GbE×2/550W(1+1)/2U/16DIMM</w:t>
            </w:r>
            <w:r>
              <w:rPr>
                <w:rFonts w:hint="eastAsia" w:ascii="楷体_GB2312" w:hAnsi="楷体_GB2312" w:eastAsia="楷体_GB2312" w:cs="楷体_GB2312"/>
                <w:color w:val="auto"/>
                <w:kern w:val="0"/>
                <w:sz w:val="24"/>
                <w:highlight w:val="none"/>
                <w:lang w:val="en-US" w:eastAsia="zh-CN"/>
              </w:rPr>
              <w:t>。</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视频云存储管理服务器（云存储系统含软件）</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配置不低于：2颗4210/64GBDDR4ECC/960GSSDx3+150GSSDx1/热插拔/以太网口1Gx2/</w:t>
            </w:r>
            <w:r>
              <w:rPr>
                <w:rFonts w:hint="eastAsia" w:ascii="楷体_GB2312" w:hAnsi="楷体_GB2312" w:eastAsia="楷体_GB2312" w:cs="楷体_GB2312"/>
                <w:color w:val="auto"/>
                <w:kern w:val="0"/>
                <w:sz w:val="24"/>
                <w:highlight w:val="none"/>
                <w:lang w:val="en-US" w:eastAsia="zh-CN"/>
              </w:rPr>
              <w:t>1+1</w:t>
            </w:r>
            <w:r>
              <w:rPr>
                <w:rFonts w:hint="eastAsia" w:ascii="楷体_GB2312" w:hAnsi="楷体_GB2312" w:eastAsia="楷体_GB2312" w:cs="楷体_GB2312"/>
                <w:color w:val="auto"/>
                <w:kern w:val="0"/>
                <w:sz w:val="24"/>
                <w:highlight w:val="none"/>
              </w:rPr>
              <w:t>冗余电源/2U</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注：操作系统：CentOS764位</w:t>
            </w:r>
            <w:r>
              <w:rPr>
                <w:rFonts w:hint="eastAsia" w:ascii="楷体_GB2312" w:hAnsi="楷体_GB2312" w:eastAsia="楷体_GB2312" w:cs="楷体_GB2312"/>
                <w:color w:val="auto"/>
                <w:kern w:val="0"/>
                <w:sz w:val="24"/>
                <w:highlight w:val="none"/>
                <w:lang w:eastAsia="zh-CN"/>
              </w:rPr>
              <w:t>。</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视频云存储运维服务器（云存储系统含软件）</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配置不低于：2颗4214/16GBDDR4ECC/1TSATAx2磁盘/热插拔/以太网口1Gx2/</w:t>
            </w:r>
            <w:r>
              <w:rPr>
                <w:rFonts w:hint="eastAsia" w:ascii="楷体_GB2312" w:hAnsi="楷体_GB2312" w:eastAsia="楷体_GB2312" w:cs="楷体_GB2312"/>
                <w:color w:val="auto"/>
                <w:kern w:val="0"/>
                <w:sz w:val="24"/>
                <w:highlight w:val="none"/>
                <w:lang w:val="en-US" w:eastAsia="zh-CN"/>
              </w:rPr>
              <w:t>1+1</w:t>
            </w:r>
            <w:r>
              <w:rPr>
                <w:rFonts w:hint="eastAsia" w:ascii="楷体_GB2312" w:hAnsi="楷体_GB2312" w:eastAsia="楷体_GB2312" w:cs="楷体_GB2312"/>
                <w:color w:val="auto"/>
                <w:kern w:val="0"/>
                <w:sz w:val="24"/>
                <w:highlight w:val="none"/>
              </w:rPr>
              <w:t>冗余电源/2U</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注：操作系统：CentOS764位</w:t>
            </w:r>
            <w:r>
              <w:rPr>
                <w:rFonts w:hint="eastAsia" w:ascii="楷体_GB2312" w:hAnsi="楷体_GB2312" w:eastAsia="楷体_GB2312" w:cs="楷体_GB2312"/>
                <w:color w:val="auto"/>
                <w:kern w:val="0"/>
                <w:sz w:val="24"/>
                <w:highlight w:val="none"/>
                <w:lang w:eastAsia="zh-CN"/>
              </w:rPr>
              <w:t>。</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72盘位视频云存储节点</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配置不低于：</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1、双控制器架构，8U72盘位，3+1冗余电源；</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2、支持热插拔，冗余双滚珠轴承风扇，MTBF&gt;10万小时，双64位六核处理器，16GB缓存科扩展至64G，支持SATA/SAS硬盘，支持网络RAID；</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3、不少于3个12GbSAS扩展接口，2个千兆管理电口，8个千兆数据电口；</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4、最大支持512路（1024Mbps）前端接入、存储、转发，32路（64Mbps）网络回放；</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5、支持扩展4个万兆光口。</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视频存储硬盘</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6TB/128MB（12GB/秒NCQ）/7200RPM/SAS3.5HDD</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块</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1296</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w:t>
            </w:r>
          </w:p>
        </w:tc>
        <w:tc>
          <w:tcPr>
            <w:tcW w:w="823" w:type="pct"/>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人脸识别服务器</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1、配置不低于：双路多核处理器，6GBRDIMM2666MT/sx8，4TBSATA6GbpsHDDx5，RAID2GbCachex1，双千兆网口，NVIDIATeslaP4x1，1+1冗余电源；</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2、支持在一台服务器上同时实现抓拍、 存储、 检测、 对比和数据库服务</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需提供第三方检测报告；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3、支持多台服务器集群实现抓拍、存储、检测、对比和数据库服务；</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4、服务器支持前端摄像机视频流和图片流接入；</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5、支持识别不少于200路前端的人脸解析，最小人脸图片不大于80×80像素；</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6、支持识别不低于7MB的人脸图片；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7、视频流支持DAHUA3协议、ONVIF协议、RTSP协议；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8、图片流支持DAHUA3协议；</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9、GPU计算卡建模能力不低于230张/秒</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需提供第三方检测报告；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10、支持比对两眼瞳距不小于20像素点人脸图片；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支持用户可以选择某张人脸图片，在静态名单库或实时视频和录像的抓拍库中查找相似度高于设定阈值的人脸图片，系统根据相似度高低来排序。首张图片命中率不低于99%，前10位命中率不低于99.9%，前50位命中率不低于99.99%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12、支持导入两张人脸图片进行一对一比对，输出比对相似度，比对速度不低于32对/s，1:1比对响应时间不超过1s；</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13、支持在两个人像库之间进行N:N交叉比对，找到同时在两个库中出现的人像，可查看、删除比对任务；</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14、支持针对单个人脸库或两个人脸库之间的重复人员查询，并返回查重结果，可查看正在进行的查重任务状态、相关信息，并可对己完成的查重任务进行查看或删除；</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15、30万人脸库同100万人脸库进行N:N比对，比对时间不超过300分钟；</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16、支持人脸正对摄像机，在无干扰情况下，正确识别率不低于99%；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17、支持实时抓拍的人脸在水平转动角度（左右侧脸）超过30°且不超过45°的情况下，人脸识别正确率不低于99%；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18、支持实时抓拍的人脸在俯仰角（低头、抬头角度）不超过20°的情况下，人脸识别正确率不低于99%；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19、支持实时抓拍的人脸在倾斜角（左右歪头角度）不超过45°的情况下，人脸识别正确率不低于99%；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20、支持识别人脸是否戴眼镜。在实时视频中，人戴普通眼镜的情况下，人脸检出率不低于99%，人脸识别准确率不低于99%；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21、人脸检索误识别率和人脸检索漏识率不大于1%；</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22、支持单张人脸图片导入、批量人脸导入和断点导入功能；</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23、支持人脸库的增加、删除、修改、查询操作；</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24、支持动态人脸识别，对抓拍的人脸图片进行分析，分析后的结果与关联的黑名单库进行比较，比对成功时触发报警，并产生报警提示（显示报警时间、地点、相似度值等信息）；</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25、支持对接入服务器的摄像机或者导入服务器的录像进行人脸识别布控；</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26、每个摄像机或录像可指定一个或多个人脸库进行比对布控，每个人脸库可以分别设置相似度阈值；</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27、支持按时间、通道等条件查询比对结果，支持比对结果单张导出和批量导出功能；</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28、人脸图片建模成功率不低于99.9%</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t>需提供第三方检测报告；</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29、动态比对的黑名单库不低于200万张图片；</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30、黑名单识别准确率不低于99%；</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31、支持黑名单报警历史信息查询及查询结果导出。</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r>
      <w:tr>
        <w:tblPrEx>
          <w:tblCellMar>
            <w:top w:w="0" w:type="dxa"/>
            <w:left w:w="108" w:type="dxa"/>
            <w:bottom w:w="0" w:type="dxa"/>
            <w:right w:w="108" w:type="dxa"/>
          </w:tblCellMar>
        </w:tblPrEx>
        <w:trPr>
          <w:jc w:val="center"/>
        </w:trPr>
        <w:tc>
          <w:tcPr>
            <w:tcW w:w="43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w:t>
            </w:r>
          </w:p>
        </w:tc>
        <w:tc>
          <w:tcPr>
            <w:tcW w:w="823" w:type="pct"/>
            <w:tcBorders>
              <w:top w:val="nil"/>
              <w:left w:val="nil"/>
              <w:bottom w:val="single" w:color="auto" w:sz="4" w:space="0"/>
              <w:right w:val="single" w:color="auto" w:sz="4" w:space="0"/>
            </w:tcBorders>
            <w:shd w:val="clear" w:color="auto" w:fill="auto"/>
            <w:vAlign w:val="center"/>
          </w:tcPr>
          <w:p>
            <w:pPr>
              <w:widowControl/>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36盘位图片云存储（高端）</w:t>
            </w:r>
          </w:p>
        </w:tc>
        <w:tc>
          <w:tcPr>
            <w:tcW w:w="2839" w:type="pct"/>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配置不低于：</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1、机架式36盘位，双路64位多核处理器；32GB缓存；</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2、支持SATA/SAS硬盘；6个千兆网口，</w:t>
            </w:r>
            <w:r>
              <w:rPr>
                <w:rFonts w:hint="eastAsia" w:ascii="楷体_GB2312" w:hAnsi="楷体_GB2312" w:eastAsia="楷体_GB2312" w:cs="楷体_GB2312"/>
                <w:color w:val="auto"/>
                <w:kern w:val="0"/>
                <w:sz w:val="24"/>
                <w:highlight w:val="none"/>
                <w:lang w:val="en-US" w:eastAsia="zh-CN"/>
              </w:rPr>
              <w:t>1+1</w:t>
            </w:r>
            <w:r>
              <w:rPr>
                <w:rFonts w:hint="eastAsia" w:ascii="楷体_GB2312" w:hAnsi="楷体_GB2312" w:eastAsia="楷体_GB2312" w:cs="楷体_GB2312"/>
                <w:color w:val="auto"/>
                <w:kern w:val="0"/>
                <w:sz w:val="24"/>
                <w:highlight w:val="none"/>
              </w:rPr>
              <w:t>冗余电源；</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3、支持网络RAID。</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套</w:t>
            </w:r>
          </w:p>
        </w:tc>
        <w:tc>
          <w:tcPr>
            <w:tcW w:w="469"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图片存储硬盘</w:t>
            </w:r>
          </w:p>
        </w:tc>
        <w:tc>
          <w:tcPr>
            <w:tcW w:w="28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3.5英寸6000G7200128MSATA3</w:t>
            </w:r>
            <w:r>
              <w:rPr>
                <w:rFonts w:hint="eastAsia" w:ascii="楷体_GB2312" w:hAnsi="楷体_GB2312" w:eastAsia="楷体_GB2312" w:cs="楷体_GB2312"/>
                <w:color w:val="auto"/>
                <w:kern w:val="0"/>
                <w:sz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72</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国产化安全网关</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rPr>
              <w:t>1、业务接口：千兆电口16个，万兆光口16个（配置4个万兆光模块），100G光口2个，2个扩展槽，1T SSD动态存储硬盘，双交流电源，高度1U；</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2、吞吐量40Gbps，并发连接1200万,新建23万；</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3、CPU：飞腾，8核；OS：麒麟；</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4、支持IPSec VPN、L2TP VPN、GRE VPN、SSL VPN，全内置硬件加密芯片，配置SSL VPN并发用户10个；</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5、支持深入到应用层的防护，内嵌丰富的应用层过滤与控制引擎，支持IPS、防病毒、流控等功能，支持可升级的专业特征库；</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6、支持一对一、地址池等NAT方式</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支持多种应用协议，如FTP、H.323、RAS、RTSP、SIP、ICMP、DNS、PPTP、NBT的NAT ALG功能；</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7、原厂质保3年，提供3年IPS库升级，3年病毒库升级</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3</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固态硬盘</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SSD固态硬盘-MZ7KH960HAJR-00005-960G-无缓存-Samsung-3D MLC-2.5寸-SATA-寿命参数：5,256 TB-HXM7404Q</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12</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固态硬盘</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SSD固态硬盘   960G</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16</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国产化计算节点服务器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rPr>
              <w:t>2U机架式服务器</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系统参数</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主处理器：kunpeng 920 5220*2</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内存：8 X 32GB/DDR4 RDIMM内存-2933MT/s</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RAID卡：1 X 9560-8I/LR382J/8口/SAS 12Gb/半高/PCIe 4.0 x8/DDR4 4GB/SFF-8654/支持NVMe</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外部接口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网络接口：1 X TM280板载灵活网卡-25GE/10GE光口-4端口-SFP28</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(含光模块)</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硬盘：1.2TB SAS 盘*2，960G SSD*1，4T SATA盘 *12</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1</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国产化数据计算服务器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主处理器：24核处理器*2，主频：≥2.4GHz高速缓存：512G DDR4 ECC内存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电源冗余：</w:t>
            </w:r>
            <w:r>
              <w:rPr>
                <w:rFonts w:hint="eastAsia" w:ascii="楷体_GB2312" w:hAnsi="楷体_GB2312" w:eastAsia="楷体_GB2312" w:cs="楷体_GB2312"/>
                <w:color w:val="auto"/>
                <w:kern w:val="0"/>
                <w:sz w:val="24"/>
                <w:szCs w:val="24"/>
                <w:highlight w:val="none"/>
                <w:lang w:eastAsia="zh-CN"/>
              </w:rPr>
              <w:t>1</w:t>
            </w:r>
            <w:r>
              <w:rPr>
                <w:rFonts w:hint="eastAsia" w:ascii="楷体_GB2312" w:hAnsi="楷体_GB2312" w:eastAsia="楷体_GB2312" w:cs="楷体_GB2312"/>
                <w:color w:val="auto"/>
                <w:kern w:val="0"/>
                <w:sz w:val="24"/>
                <w:szCs w:val="24"/>
                <w:highlight w:val="none"/>
                <w:lang w:val="en-US" w:eastAsia="zh-CN"/>
              </w:rPr>
              <w:t>+1冗余电源</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RAID控制器：1Gb缓存/支持掉电保护</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智能卡：可插1张智能卡</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外部接口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网络接口：2个千兆GE网口2个万兆光口（内置2个LC多模光模块，对端需另配，推荐多模光模块TSFP-850-MMF）</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VGA接口：1个</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USB接口：USB2.0 接口：2个USB3.0 接口：5个</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硬盘参数</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2块 2.5英寸 SAS 1.2T 企业级硬盘标配</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12块 3.5英寸 SATA 4T 企业硬盘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供电方式：100V~240V，50/60Hz，支持热插拔</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满配功耗&lt;1300W</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1</w:t>
            </w:r>
          </w:p>
        </w:tc>
      </w:tr>
      <w:tr>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国产化管理节点服务器</w:t>
            </w:r>
          </w:p>
        </w:tc>
        <w:tc>
          <w:tcPr>
            <w:tcW w:w="2839" w:type="pct"/>
            <w:tcBorders>
              <w:top w:val="single" w:color="auto" w:sz="4" w:space="0"/>
              <w:left w:val="nil"/>
              <w:bottom w:val="single" w:color="auto" w:sz="4" w:space="0"/>
              <w:right w:val="single" w:color="auto" w:sz="4" w:space="0"/>
            </w:tcBorders>
            <w:shd w:val="clear" w:color="auto" w:fill="auto"/>
          </w:tcPr>
          <w:p>
            <w:pPr>
              <w:widowControl/>
              <w:numPr>
                <w:ilvl w:val="0"/>
                <w:numId w:val="3"/>
              </w:numPr>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管理功能：主板集成Ibmc, 支持 IPMI、SOL、KVM over IP 以及虚拟媒体，提供 1 个10/100/1000Mbps 的 RJ45 管理网口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工作海拔：-60～3000m（海拔高于900m 时，每升高100m，规格最高温度降低0.33°C）</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湿度：5%～ 95%（非凝结）</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温度：-40℃～+60℃</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湿度：8%～90%</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温度：+5℃～+40℃</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整机功耗：≤250W</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安装方式：含导轨</w:t>
            </w:r>
            <w:r>
              <w:rPr>
                <w:rFonts w:hint="eastAsia" w:ascii="楷体_GB2312" w:hAnsi="楷体_GB2312" w:eastAsia="楷体_GB2312" w:cs="楷体_GB2312"/>
                <w:color w:val="auto"/>
                <w:kern w:val="0"/>
                <w:sz w:val="24"/>
                <w:szCs w:val="24"/>
                <w:highlight w:val="none"/>
                <w:lang w:val="en-US" w:eastAsia="zh-CN"/>
              </w:rPr>
              <w:t>；</w:t>
            </w:r>
          </w:p>
          <w:p>
            <w:pPr>
              <w:widowControl/>
              <w:numPr>
                <w:ilvl w:val="-1"/>
                <w:numId w:val="0"/>
              </w:numPr>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电源：2×服务器白金900 W交流电源</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其他接口：前面板提供 2 个 USB 3.0 端口、1 个 DB15 VGA 端口。后面板提供 2 个 USB 3.0 端口、1 个 DB15 VGA 端口、1 个RJ45 串口、1 个 RJ45 系统管理端口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网络接口：8个千兆网口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RAID控制器：SAS3908 4G</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固态硬盘：2×2.5寸 480G SATA硬盘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机械盘：2 × 2TB 3.5寸硬盘12LFF 硬盘机型：最多支持前部12LFF 硬盘7200转，SATA接口，6GB</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11、</w:t>
            </w:r>
            <w:r>
              <w:rPr>
                <w:rFonts w:hint="eastAsia" w:ascii="楷体_GB2312" w:hAnsi="楷体_GB2312" w:eastAsia="楷体_GB2312" w:cs="楷体_GB2312"/>
                <w:color w:val="auto"/>
                <w:kern w:val="0"/>
                <w:sz w:val="24"/>
                <w:szCs w:val="24"/>
                <w:highlight w:val="none"/>
              </w:rPr>
              <w:t>内存：配置4条32GB 2666内存。支持16根DDR4内存条支持的单根DIMM容量：8 GB、16 GB和32GB,64GB</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12、</w:t>
            </w:r>
            <w:r>
              <w:rPr>
                <w:rFonts w:hint="eastAsia" w:ascii="楷体_GB2312" w:hAnsi="楷体_GB2312" w:eastAsia="楷体_GB2312" w:cs="楷体_GB2312"/>
                <w:color w:val="auto"/>
                <w:kern w:val="0"/>
                <w:sz w:val="24"/>
                <w:szCs w:val="24"/>
                <w:highlight w:val="none"/>
              </w:rPr>
              <w:t>处理器：2×鲲鹏920 3210,24Core@2.6GHz</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重量（不带包装）：最大27 千克（不含导轨）</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整机尺寸（深×宽×高)：790mm × 447mm × 86.1mm(深×宽×高)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13、</w:t>
            </w:r>
            <w:r>
              <w:rPr>
                <w:rFonts w:hint="eastAsia" w:ascii="楷体_GB2312" w:hAnsi="楷体_GB2312" w:eastAsia="楷体_GB2312" w:cs="楷体_GB2312"/>
                <w:color w:val="auto"/>
                <w:kern w:val="0"/>
                <w:sz w:val="24"/>
                <w:szCs w:val="24"/>
                <w:highlight w:val="none"/>
              </w:rPr>
              <w:t>规格：2U</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4</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15</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国产化视图库服务器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lang w:val="en-US" w:eastAsia="zh-CN"/>
              </w:rPr>
            </w:pPr>
            <w:r>
              <w:rPr>
                <w:rFonts w:hint="eastAsia" w:ascii="楷体_GB2312" w:hAnsi="楷体_GB2312" w:eastAsia="楷体_GB2312" w:cs="楷体_GB2312"/>
                <w:color w:val="auto"/>
                <w:kern w:val="0"/>
                <w:sz w:val="24"/>
                <w:szCs w:val="24"/>
                <w:highlight w:val="none"/>
              </w:rPr>
              <w:t>2U机架式服务器</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处理器：2颗国产化鲲鹏916处理器，32核，2.4GHz</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内存：≥64G内存，内存槽位数≥16个，单根支持：≥32GB，最大支持内存512GB</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硬盘：≥2块2TB 3.5吋硬盘,≥7200转，SATA接口，支持≥12块硬盘，≥2块480G 2.5吋 固态硬盘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RAID卡：LSI 3008 SAS卡/无缓存，支持RAID 0/1/10/1E</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网口：4个千兆网口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接口：4个USB 2.0，1个DB15 VGA，1个DB9串口，1个RJ45管理网口，1个RJ45调试串口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电源：双电源：白金1200W 交流电源</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风扇：4个热拔插风扇模组，支持N+1冗余</w:t>
            </w:r>
            <w:r>
              <w:rPr>
                <w:rFonts w:hint="eastAsia" w:ascii="楷体_GB2312" w:hAnsi="楷体_GB2312" w:eastAsia="楷体_GB2312" w:cs="楷体_GB2312"/>
                <w:color w:val="auto"/>
                <w:kern w:val="0"/>
                <w:sz w:val="24"/>
                <w:szCs w:val="24"/>
                <w:highlight w:val="none"/>
                <w:lang w:val="en-US"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整机功耗：≤370W</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工作海拔：≤2000m</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一、软件参数</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1、支持符合视图库协议GA/T 1400协议规范的接口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2、支持采集设备、采集系统、卡口、分析系统、视图库服务、应用平台的增加、删除和修改</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3、支持上下级视图库进行注册、保活及白名单设置，同时可查看已订阅注册的上下级视图库域在离线情况</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4、支持订阅、取消订阅和修改订阅时间功能</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5、支持多个上级域视图库同时联网接入</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6、支持多个下级域视图库同时联网接入</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7、具备独立的认证鉴权能力，对接入到本级视图库的上下级域视图库身份合法性进行鉴权认证</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8、支持根据绑定设备用户权限方式，控制推送联网上级视图库平台的设备和数据权限</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9、作为下级时，支持推送本级设备平台设备变更消息推送上级视图库平台</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10、作为上级时，对下级推送的设备数据，进行合法性校验，并支持根据指定的规则，在设备平台上进行设备的组织创建和设备挂靠</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11、支持按照GA/T1400协议规定的数据格式推送过车、人脸、人体、非机动车等视图结构化数据给上级</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12、支持按照约定的方式推送上级图片数据格式（URL地址或Base64图片流）</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13、做上级时，支持对下级通知数据进行统计记录，并可页面查看</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14、做下级时，支持对共享推送的数据进行统计记录，并可页面查看</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15、支持治安部标协议推送小区一标三实及过车、人脸抓拍等数据</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16、支持同网级联和跨网摆渡两种方式与上下级视图库服务交互</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17、本机支持上级按照1400接口标砖下发布控功能，并将布控告警数据推送上级平台</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18、本级支持上级按照1400接口标准图搜功能</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19、支持向下级订阅1400协议规定的数据类别</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20、支持上级向本级视图库订阅1400协议规定的数据类别</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21、支持推送上级数据时，按照约定的方式将标准校验码进行转换</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4</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16</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国产化人像解析服务器（含4张国产化比对卡2张国产化GPU卡）</w:t>
            </w:r>
          </w:p>
        </w:tc>
        <w:tc>
          <w:tcPr>
            <w:tcW w:w="2839" w:type="pct"/>
            <w:tcBorders>
              <w:top w:val="single" w:color="auto" w:sz="4" w:space="0"/>
              <w:left w:val="nil"/>
              <w:bottom w:val="single" w:color="auto" w:sz="4" w:space="0"/>
              <w:right w:val="single" w:color="auto" w:sz="4" w:space="0"/>
            </w:tcBorders>
            <w:shd w:val="clear" w:color="auto" w:fill="auto"/>
          </w:tcPr>
          <w:p>
            <w:pPr>
              <w:widowControl/>
              <w:numPr>
                <w:ilvl w:val="0"/>
                <w:numId w:val="4"/>
              </w:numPr>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CPU：</w:t>
            </w:r>
            <w:r>
              <w:rPr>
                <w:rFonts w:hint="eastAsia" w:ascii="楷体_GB2312" w:hAnsi="楷体_GB2312" w:eastAsia="楷体_GB2312" w:cs="楷体_GB2312"/>
                <w:color w:val="auto"/>
                <w:kern w:val="0"/>
                <w:sz w:val="24"/>
                <w:szCs w:val="24"/>
                <w:highlight w:val="none"/>
                <w:lang w:val="en-US" w:eastAsia="zh-CN"/>
              </w:rPr>
              <w:t>性能不低于</w:t>
            </w:r>
            <w:r>
              <w:rPr>
                <w:rFonts w:hint="eastAsia" w:ascii="楷体_GB2312" w:hAnsi="楷体_GB2312" w:eastAsia="楷体_GB2312" w:cs="楷体_GB2312"/>
                <w:color w:val="auto"/>
                <w:kern w:val="0"/>
                <w:sz w:val="24"/>
                <w:szCs w:val="24"/>
                <w:highlight w:val="none"/>
              </w:rPr>
              <w:t>2颗鲲鹏920 CPU，24核，2.6GHz</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内存:≥4根32GB DDR4内存条，槽位数≥16个</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硬盘:≥2块2.5寸480GB SSD硬盘，≥4块3.5寸4TB 机械硬盘，硬盘槽位数≥12个</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RAID:支持raid0/1/10</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扩展槽：支持≥6张国产化算力卡</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网络接口:4个千兆自适应网口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USB接口:前置≥2个USB3.0接口，后置≥2个USB3.0接口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VGA接口:≥2个VGA接口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供电方式:100–240VAC，50/60Hz，10–5.5A</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电源冗余:</w:t>
            </w:r>
            <w:r>
              <w:rPr>
                <w:rFonts w:hint="eastAsia" w:ascii="楷体_GB2312" w:hAnsi="楷体_GB2312" w:eastAsia="楷体_GB2312" w:cs="楷体_GB2312"/>
                <w:color w:val="auto"/>
                <w:kern w:val="0"/>
                <w:sz w:val="24"/>
                <w:szCs w:val="24"/>
                <w:highlight w:val="none"/>
                <w:lang w:eastAsia="zh-CN"/>
              </w:rPr>
              <w:t>1</w:t>
            </w:r>
            <w:r>
              <w:rPr>
                <w:rFonts w:hint="eastAsia" w:ascii="楷体_GB2312" w:hAnsi="楷体_GB2312" w:eastAsia="楷体_GB2312" w:cs="楷体_GB2312"/>
                <w:color w:val="auto"/>
                <w:kern w:val="0"/>
                <w:sz w:val="24"/>
                <w:szCs w:val="24"/>
                <w:highlight w:val="none"/>
                <w:lang w:val="en-US" w:eastAsia="zh-CN"/>
              </w:rPr>
              <w:t>+1冗余电源</w:t>
            </w:r>
            <w:r>
              <w:rPr>
                <w:rFonts w:hint="eastAsia" w:ascii="楷体_GB2312" w:hAnsi="楷体_GB2312" w:eastAsia="楷体_GB2312" w:cs="楷体_GB2312"/>
                <w:color w:val="auto"/>
                <w:kern w:val="0"/>
                <w:sz w:val="24"/>
                <w:szCs w:val="24"/>
                <w:highlight w:val="none"/>
              </w:rPr>
              <w:t>，2 个 900W 交流电源模块，1+1 冗余</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11、</w:t>
            </w:r>
            <w:r>
              <w:rPr>
                <w:rFonts w:hint="eastAsia" w:ascii="楷体_GB2312" w:hAnsi="楷体_GB2312" w:eastAsia="楷体_GB2312" w:cs="楷体_GB2312"/>
                <w:color w:val="auto"/>
                <w:kern w:val="0"/>
                <w:sz w:val="24"/>
                <w:szCs w:val="24"/>
                <w:highlight w:val="none"/>
              </w:rPr>
              <w:t>功耗:≤900W</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12、</w:t>
            </w:r>
            <w:r>
              <w:rPr>
                <w:rFonts w:hint="eastAsia" w:ascii="楷体_GB2312" w:hAnsi="楷体_GB2312" w:eastAsia="楷体_GB2312" w:cs="楷体_GB2312"/>
                <w:color w:val="auto"/>
                <w:kern w:val="0"/>
                <w:sz w:val="24"/>
                <w:szCs w:val="24"/>
                <w:highlight w:val="none"/>
              </w:rPr>
              <w:t>国产化GPU卡，</w:t>
            </w:r>
            <w:r>
              <w:rPr>
                <w:rFonts w:hint="eastAsia" w:ascii="楷体_GB2312" w:hAnsi="楷体_GB2312" w:eastAsia="楷体_GB2312" w:cs="楷体_GB2312"/>
                <w:color w:val="auto"/>
                <w:kern w:val="0"/>
                <w:sz w:val="24"/>
                <w:szCs w:val="24"/>
                <w:highlight w:val="none"/>
                <w:lang w:val="en-US" w:eastAsia="zh-CN"/>
              </w:rPr>
              <w:t>配置不低于</w:t>
            </w:r>
            <w:r>
              <w:rPr>
                <w:rFonts w:hint="eastAsia" w:ascii="楷体_GB2312" w:hAnsi="楷体_GB2312" w:eastAsia="楷体_GB2312" w:cs="楷体_GB2312"/>
                <w:color w:val="auto"/>
                <w:kern w:val="0"/>
                <w:sz w:val="24"/>
                <w:szCs w:val="24"/>
                <w:highlight w:val="none"/>
              </w:rPr>
              <w:t>4个AI处理器</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13、</w:t>
            </w:r>
            <w:r>
              <w:rPr>
                <w:rFonts w:hint="eastAsia" w:ascii="楷体_GB2312" w:hAnsi="楷体_GB2312" w:eastAsia="楷体_GB2312" w:cs="楷体_GB2312"/>
                <w:color w:val="auto"/>
                <w:kern w:val="0"/>
                <w:sz w:val="24"/>
                <w:szCs w:val="24"/>
                <w:highlight w:val="none"/>
              </w:rPr>
              <w:t>图片流分析能力:单卡支持150张/秒人脸小图</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14、</w:t>
            </w:r>
            <w:r>
              <w:rPr>
                <w:rFonts w:hint="eastAsia" w:ascii="楷体_GB2312" w:hAnsi="楷体_GB2312" w:eastAsia="楷体_GB2312" w:cs="楷体_GB2312"/>
                <w:color w:val="auto"/>
                <w:kern w:val="0"/>
                <w:sz w:val="24"/>
                <w:szCs w:val="24"/>
                <w:highlight w:val="none"/>
              </w:rPr>
              <w:t>功耗:≤</w:t>
            </w:r>
            <w:r>
              <w:rPr>
                <w:rFonts w:hint="eastAsia" w:ascii="楷体_GB2312" w:hAnsi="楷体_GB2312" w:eastAsia="楷体_GB2312" w:cs="楷体_GB2312"/>
                <w:color w:val="auto"/>
                <w:kern w:val="0"/>
                <w:sz w:val="24"/>
                <w:szCs w:val="24"/>
                <w:highlight w:val="none"/>
                <w:lang w:eastAsia="zh-CN"/>
              </w:rPr>
              <w:t>7</w:t>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W</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15、</w:t>
            </w:r>
            <w:r>
              <w:rPr>
                <w:rFonts w:hint="eastAsia" w:ascii="楷体_GB2312" w:hAnsi="楷体_GB2312" w:eastAsia="楷体_GB2312" w:cs="楷体_GB2312"/>
                <w:color w:val="auto"/>
                <w:kern w:val="0"/>
                <w:sz w:val="24"/>
                <w:szCs w:val="24"/>
                <w:highlight w:val="none"/>
              </w:rPr>
              <w:t>工作温度:0℃～+55℃</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16、</w:t>
            </w:r>
            <w:r>
              <w:rPr>
                <w:rFonts w:hint="eastAsia" w:ascii="楷体_GB2312" w:hAnsi="楷体_GB2312" w:eastAsia="楷体_GB2312" w:cs="楷体_GB2312"/>
                <w:color w:val="auto"/>
                <w:kern w:val="0"/>
                <w:sz w:val="24"/>
                <w:szCs w:val="24"/>
                <w:highlight w:val="none"/>
              </w:rPr>
              <w:t>安装方式:PCIe接口，x16 Lanes，兼容x8</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分析卡形态:HHHL Low Profile标卡，支持全高和半高两种拉手条</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17、</w:t>
            </w:r>
            <w:r>
              <w:rPr>
                <w:rFonts w:hint="eastAsia" w:ascii="楷体_GB2312" w:hAnsi="楷体_GB2312" w:eastAsia="楷体_GB2312" w:cs="楷体_GB2312"/>
                <w:color w:val="auto"/>
                <w:kern w:val="0"/>
                <w:sz w:val="24"/>
                <w:szCs w:val="24"/>
                <w:highlight w:val="none"/>
              </w:rPr>
              <w:t>分析卡功耗:≤7</w:t>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W</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18、</w:t>
            </w:r>
            <w:r>
              <w:rPr>
                <w:rFonts w:hint="eastAsia" w:ascii="楷体_GB2312" w:hAnsi="楷体_GB2312" w:eastAsia="楷体_GB2312" w:cs="楷体_GB2312"/>
                <w:color w:val="auto"/>
                <w:kern w:val="0"/>
                <w:sz w:val="24"/>
                <w:szCs w:val="24"/>
                <w:highlight w:val="none"/>
              </w:rPr>
              <w:t>内存规格:LPDDR4X 24GB</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19、</w:t>
            </w:r>
            <w:r>
              <w:rPr>
                <w:rFonts w:hint="eastAsia" w:ascii="楷体_GB2312" w:hAnsi="楷体_GB2312" w:eastAsia="楷体_GB2312" w:cs="楷体_GB2312"/>
                <w:color w:val="auto"/>
                <w:kern w:val="0"/>
                <w:sz w:val="24"/>
                <w:szCs w:val="24"/>
                <w:highlight w:val="none"/>
              </w:rPr>
              <w:t>AI算力:单卡实际业务性能涉及解码能力和AI算力，单卡纯硬件算力半精度（FP16）：50 TFLOPS（峰值算力）整数精度（INT8）：100 TOPS（峰值算力）</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20、</w:t>
            </w:r>
            <w:r>
              <w:rPr>
                <w:rFonts w:hint="eastAsia" w:ascii="楷体_GB2312" w:hAnsi="楷体_GB2312" w:eastAsia="楷体_GB2312" w:cs="楷体_GB2312"/>
                <w:color w:val="auto"/>
                <w:kern w:val="0"/>
                <w:sz w:val="24"/>
                <w:szCs w:val="24"/>
                <w:highlight w:val="none"/>
              </w:rPr>
              <w:t>PCIe接口:x16 Lanes，兼容x8，PCIe Gen4.0</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配置国产比对卡*4</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21、</w:t>
            </w:r>
            <w:r>
              <w:rPr>
                <w:rFonts w:hint="eastAsia" w:ascii="楷体_GB2312" w:hAnsi="楷体_GB2312" w:eastAsia="楷体_GB2312" w:cs="楷体_GB2312"/>
                <w:color w:val="auto"/>
                <w:kern w:val="0"/>
                <w:sz w:val="24"/>
                <w:szCs w:val="24"/>
                <w:highlight w:val="none"/>
              </w:rPr>
              <w:t>国产比对卡单卡要求：标准PCIe接口，支持对人脸、车辆、结构化分析特征值进行比对，以实现图搜、布控业务。内存：64GB DDR4内存AI算力：整数精度（INT8）：128TOPS（峰值算力）</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22、</w:t>
            </w:r>
            <w:r>
              <w:rPr>
                <w:rFonts w:hint="eastAsia" w:ascii="楷体_GB2312" w:hAnsi="楷体_GB2312" w:eastAsia="楷体_GB2312" w:cs="楷体_GB2312"/>
                <w:color w:val="auto"/>
                <w:kern w:val="0"/>
                <w:sz w:val="24"/>
                <w:szCs w:val="24"/>
                <w:highlight w:val="none"/>
              </w:rPr>
              <w:t>配置国产GPU卡*2</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lang w:val="en-US" w:eastAsia="zh-CN"/>
              </w:rPr>
              <w:t>配置不低于</w:t>
            </w:r>
            <w:r>
              <w:rPr>
                <w:rFonts w:hint="eastAsia" w:ascii="楷体_GB2312" w:hAnsi="楷体_GB2312" w:eastAsia="楷体_GB2312" w:cs="楷体_GB2312"/>
                <w:color w:val="auto"/>
                <w:kern w:val="0"/>
                <w:sz w:val="24"/>
                <w:szCs w:val="24"/>
                <w:highlight w:val="none"/>
              </w:rPr>
              <w:t>4个AI处理器</w:t>
            </w:r>
            <w:r>
              <w:rPr>
                <w:rFonts w:hint="eastAsia" w:ascii="楷体_GB2312" w:hAnsi="楷体_GB2312" w:eastAsia="楷体_GB2312" w:cs="楷体_GB2312"/>
                <w:color w:val="auto"/>
                <w:kern w:val="0"/>
                <w:sz w:val="24"/>
                <w:szCs w:val="24"/>
                <w:highlight w:val="none"/>
                <w:lang w:eastAsia="zh-CN"/>
              </w:rPr>
              <w:t>；</w:t>
            </w:r>
          </w:p>
          <w:p>
            <w:pPr>
              <w:widowControl/>
              <w:numPr>
                <w:ilvl w:val="0"/>
                <w:numId w:val="5"/>
              </w:numPr>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分析卡形态：HHHL Low Profile标卡，支持全高和半高两种拉手条</w:t>
            </w:r>
            <w:r>
              <w:rPr>
                <w:rFonts w:hint="eastAsia" w:ascii="楷体_GB2312" w:hAnsi="楷体_GB2312" w:eastAsia="楷体_GB2312" w:cs="楷体_GB2312"/>
                <w:color w:val="auto"/>
                <w:kern w:val="0"/>
                <w:sz w:val="24"/>
                <w:szCs w:val="24"/>
                <w:highlight w:val="none"/>
                <w:lang w:eastAsia="zh-CN"/>
              </w:rPr>
              <w:t>；</w:t>
            </w:r>
          </w:p>
          <w:p>
            <w:pPr>
              <w:widowControl/>
              <w:numPr>
                <w:ilvl w:val="0"/>
                <w:numId w:val="5"/>
              </w:numPr>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rPr>
              <w:t>内存规格：LPDDR4X 24GBAI</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算力：单卡</w:t>
            </w:r>
            <w:r>
              <w:rPr>
                <w:rFonts w:hint="eastAsia" w:ascii="楷体_GB2312" w:hAnsi="楷体_GB2312" w:eastAsia="楷体_GB2312" w:cs="楷体_GB2312"/>
                <w:color w:val="auto"/>
                <w:kern w:val="0"/>
                <w:sz w:val="24"/>
                <w:szCs w:val="24"/>
                <w:highlight w:val="none"/>
                <w:lang w:val="en-US" w:eastAsia="zh-CN"/>
              </w:rPr>
              <w:t>具有</w:t>
            </w:r>
            <w:r>
              <w:rPr>
                <w:rFonts w:hint="eastAsia" w:ascii="楷体_GB2312" w:hAnsi="楷体_GB2312" w:eastAsia="楷体_GB2312" w:cs="楷体_GB2312"/>
                <w:color w:val="auto"/>
                <w:kern w:val="0"/>
                <w:sz w:val="24"/>
                <w:szCs w:val="24"/>
                <w:highlight w:val="none"/>
              </w:rPr>
              <w:t>解码能力和AI算力，单卡纯硬件算力</w:t>
            </w:r>
            <w:r>
              <w:rPr>
                <w:rFonts w:hint="eastAsia" w:ascii="楷体_GB2312" w:hAnsi="楷体_GB2312" w:eastAsia="楷体_GB2312" w:cs="楷体_GB2312"/>
                <w:color w:val="auto"/>
                <w:kern w:val="0"/>
                <w:sz w:val="24"/>
                <w:szCs w:val="24"/>
                <w:highlight w:val="none"/>
                <w:lang w:val="en-US" w:eastAsia="zh-CN"/>
              </w:rPr>
              <w:t>不低于</w:t>
            </w:r>
            <w:r>
              <w:rPr>
                <w:rFonts w:hint="eastAsia" w:ascii="楷体_GB2312" w:hAnsi="楷体_GB2312" w:eastAsia="楷体_GB2312" w:cs="楷体_GB2312"/>
                <w:color w:val="auto"/>
                <w:kern w:val="0"/>
                <w:sz w:val="24"/>
                <w:szCs w:val="24"/>
                <w:highlight w:val="none"/>
              </w:rPr>
              <w:t>半精度（FP16）：50 TFLOPS（峰值算力）</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整数精度（INT8）：100 TOPS（峰值算力）</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PCIe接口：x16 Lanes，兼容x8，PCIe Gen4.0</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1</w:t>
            </w:r>
          </w:p>
        </w:tc>
      </w:tr>
      <w:tr>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17</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车辆解析算力服务器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主处理器:</w:t>
            </w:r>
            <w:r>
              <w:rPr>
                <w:rFonts w:hint="eastAsia" w:ascii="楷体_GB2312" w:hAnsi="楷体_GB2312" w:eastAsia="楷体_GB2312" w:cs="楷体_GB2312"/>
                <w:color w:val="auto"/>
                <w:kern w:val="0"/>
                <w:sz w:val="24"/>
                <w:szCs w:val="24"/>
                <w:highlight w:val="none"/>
                <w:lang w:val="en-US" w:eastAsia="zh-CN"/>
              </w:rPr>
              <w:t>配置不低于</w:t>
            </w:r>
            <w:r>
              <w:rPr>
                <w:rFonts w:hint="eastAsia" w:ascii="楷体_GB2312" w:hAnsi="楷体_GB2312" w:eastAsia="楷体_GB2312" w:cs="楷体_GB2312"/>
                <w:color w:val="auto"/>
                <w:kern w:val="0"/>
                <w:sz w:val="24"/>
                <w:szCs w:val="24"/>
                <w:highlight w:val="none"/>
              </w:rPr>
              <w:t>2颗14核28线程，2.2GHZ</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最大可支持4张 GPU卡</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内存:≥8根16GB DDR4内存条，槽位数≥24个</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硬盘:≥5块3.5寸4T硬盘，最大扩展32T（每块4T），槽位数≥8盘位7.2K RPM SATA 6Gbps 512n 3.5inchh</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2</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数据传输网关服务器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处理器：</w:t>
            </w:r>
            <w:r>
              <w:rPr>
                <w:rFonts w:hint="eastAsia" w:ascii="楷体_GB2312" w:hAnsi="楷体_GB2312" w:eastAsia="楷体_GB2312" w:cs="楷体_GB2312"/>
                <w:color w:val="auto"/>
                <w:kern w:val="0"/>
                <w:sz w:val="24"/>
                <w:szCs w:val="24"/>
                <w:highlight w:val="none"/>
                <w:lang w:val="en-US" w:eastAsia="zh-CN"/>
              </w:rPr>
              <w:t>性能不低于</w:t>
            </w:r>
            <w:r>
              <w:rPr>
                <w:rFonts w:hint="eastAsia" w:ascii="楷体_GB2312" w:hAnsi="楷体_GB2312" w:eastAsia="楷体_GB2312" w:cs="楷体_GB2312"/>
                <w:color w:val="auto"/>
                <w:kern w:val="0"/>
                <w:sz w:val="24"/>
                <w:szCs w:val="24"/>
                <w:highlight w:val="none"/>
              </w:rPr>
              <w:t>2颗鲲鹏920,24核,主频2.6GHz</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内存：≥128GB内存。支持≥16根DDR4内存条；</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硬盘：≥2块4TB3.5寸硬盘；12LFF硬盘机型：支持前部≥12LFF硬盘；7200转，SATA接口，6GB；2×2.5寸480G固态硬盘</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RAID卡：9560-8i-SAS3908-9.64W-0~55℃-SAS39084G阵列标卡-无，RAID0/1/10/5/50/6/60</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网口：≥8个千兆网口</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接口：前面板提供2个USB3.0端口、1个DB15VGA端口。后面板提供2个USB3.0端口、1个DB15VGA端口、1个RJ45串口、1个RJ45系统管理端口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电源：2×服务器白金900W交流电源</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风扇：4个热插拔</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整机功耗：≤900W</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3</w:t>
            </w:r>
          </w:p>
        </w:tc>
      </w:tr>
      <w:tr>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19</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24"/>
                <w:highlight w:val="none"/>
              </w:rPr>
              <w:t>容器云服务器</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CPU：</w:t>
            </w:r>
            <w:r>
              <w:rPr>
                <w:rFonts w:hint="eastAsia" w:ascii="楷体_GB2312" w:hAnsi="楷体_GB2312" w:eastAsia="楷体_GB2312" w:cs="楷体_GB2312"/>
                <w:color w:val="auto"/>
                <w:kern w:val="0"/>
                <w:sz w:val="24"/>
                <w:szCs w:val="24"/>
                <w:highlight w:val="none"/>
                <w:lang w:val="en-US" w:eastAsia="zh-CN"/>
              </w:rPr>
              <w:t>性能不低于</w:t>
            </w:r>
            <w:r>
              <w:rPr>
                <w:rFonts w:hint="eastAsia" w:ascii="楷体_GB2312" w:hAnsi="楷体_GB2312" w:eastAsia="楷体_GB2312" w:cs="楷体_GB2312"/>
                <w:color w:val="auto"/>
                <w:kern w:val="0"/>
                <w:sz w:val="24"/>
                <w:szCs w:val="24"/>
                <w:highlight w:val="none"/>
              </w:rPr>
              <w:t>kunpeng 920 5220×2</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 xml:space="preserve">内存：≥8 </w:t>
            </w:r>
            <w:r>
              <w:rPr>
                <w:rFonts w:hint="eastAsia" w:ascii="楷体_GB2312" w:hAnsi="楷体_GB2312" w:eastAsia="楷体_GB2312" w:cs="楷体_GB2312"/>
                <w:color w:val="auto"/>
                <w:kern w:val="0"/>
                <w:sz w:val="24"/>
                <w:szCs w:val="24"/>
                <w:highlight w:val="none"/>
                <w:lang w:val="en-US" w:eastAsia="zh-CN"/>
              </w:rPr>
              <w:t>快</w:t>
            </w:r>
            <w:r>
              <w:rPr>
                <w:rFonts w:hint="eastAsia" w:ascii="楷体_GB2312" w:hAnsi="楷体_GB2312" w:eastAsia="楷体_GB2312" w:cs="楷体_GB2312"/>
                <w:color w:val="auto"/>
                <w:kern w:val="0"/>
                <w:sz w:val="24"/>
                <w:szCs w:val="24"/>
                <w:highlight w:val="none"/>
              </w:rPr>
              <w:t xml:space="preserve"> 32GB/DDR4 RDIMM内存-2933MT/s</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RAID卡：1 × 9560-8I/LR382J/8口/SAS 12Gb/半高/PCIe 4.0 × 8/DDR4 4GB/SFF-8654/支持NVMe</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网络接口</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1 × TM280板载灵活网卡-25GE/10GE光口-4端口-SFP28(含光模块)</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磁盘信息</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t>1.2TB SAS 盘×2，960G SSD×1，4T SATA盘×12</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sz w:val="20"/>
                <w:szCs w:val="20"/>
                <w:highlight w:val="none"/>
              </w:rPr>
              <w:t>3</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20</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数据存储（96T容量）</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外形规格：4U机架；</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主处理器：</w:t>
            </w:r>
            <w:r>
              <w:rPr>
                <w:rFonts w:hint="eastAsia" w:ascii="楷体_GB2312" w:hAnsi="楷体_GB2312" w:eastAsia="楷体_GB2312" w:cs="楷体_GB2312"/>
                <w:color w:val="auto"/>
                <w:kern w:val="0"/>
                <w:sz w:val="24"/>
                <w:szCs w:val="24"/>
                <w:highlight w:val="none"/>
                <w:lang w:val="en-US" w:eastAsia="zh-CN"/>
              </w:rPr>
              <w:t>配置不低于</w:t>
            </w:r>
            <w:r>
              <w:rPr>
                <w:rFonts w:hint="eastAsia" w:ascii="楷体_GB2312" w:hAnsi="楷体_GB2312" w:eastAsia="楷体_GB2312" w:cs="楷体_GB2312"/>
                <w:color w:val="auto"/>
                <w:kern w:val="0"/>
                <w:sz w:val="24"/>
                <w:szCs w:val="24"/>
                <w:highlight w:val="none"/>
              </w:rPr>
              <w:t xml:space="preserve">2颗64位多核处理器；            </w:t>
            </w: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存储容量：≥12*8T企业级硬盘（缓存：256MB；转速：7200RPM；硬盘接口：SATA）</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高速缓存：192GB DDR4，支持≥24根内存条；</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电源冗余：1+1冗余电源；</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RAID控制器：RAID支持0，1，10.；</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网络接口：4个万兆光口用于数据传输（含4个850nm多模光模块），2个千兆电口用于pxe烧机与bmc管理；</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VGA接口：1个；</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USB接口：4个USB 3.0；</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硬盘个数：≥2块 3.5英寸 SATA 2TB 企业级机械硬盘，2块2.5英寸 960GB SSD，最大扩展≥36块3.5英寸硬盘，单盘支持≥20TB；</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11、</w:t>
            </w:r>
            <w:r>
              <w:rPr>
                <w:rFonts w:hint="eastAsia" w:ascii="楷体_GB2312" w:hAnsi="楷体_GB2312" w:eastAsia="楷体_GB2312" w:cs="楷体_GB2312"/>
                <w:color w:val="auto"/>
                <w:kern w:val="0"/>
                <w:sz w:val="24"/>
                <w:szCs w:val="24"/>
                <w:highlight w:val="none"/>
              </w:rPr>
              <w:t>供电方式：220-240V AC/10A;240V DC/10A;</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12、</w:t>
            </w:r>
            <w:r>
              <w:rPr>
                <w:rFonts w:hint="eastAsia" w:ascii="楷体_GB2312" w:hAnsi="楷体_GB2312" w:eastAsia="楷体_GB2312" w:cs="楷体_GB2312"/>
                <w:color w:val="auto"/>
                <w:kern w:val="0"/>
                <w:sz w:val="24"/>
                <w:szCs w:val="24"/>
                <w:highlight w:val="none"/>
              </w:rPr>
              <w:t>功耗：≤2000W</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1</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21</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48口10G2口40G光交换机</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三层管理型交换机：</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≥48个10G SFP+光口，≥2个40G QSFP+光口；</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交换容量：≥2.56Tbps/25.6Tbps，包转发率：1080Mpps/1620Mpps；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支持VLAN：802.1Q VLAN、端口VLAN、QinQ、Voice VLAN、协议VLAN、MAC VLAN；</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支持链路聚合：静态聚合、动态聚合；</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支持生成树STP/RSTP/MSTP，支持RRPP/ERPS；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支持虚拟化堆叠技术；</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支持IPv4路由、IPv6路由、组播、MPLS；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支持ACL、QoS、端口镜像；</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支持CLI，SSH，SNMP V1/V2C/V3等管理方式；</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1U高度，19英寸宽，支持机架安装；</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11、</w:t>
            </w:r>
            <w:r>
              <w:rPr>
                <w:rFonts w:hint="eastAsia" w:ascii="楷体_GB2312" w:hAnsi="楷体_GB2312" w:eastAsia="楷体_GB2312" w:cs="楷体_GB2312"/>
                <w:color w:val="auto"/>
                <w:kern w:val="0"/>
                <w:sz w:val="24"/>
                <w:szCs w:val="24"/>
                <w:highlight w:val="none"/>
              </w:rPr>
              <w:t>默认标配模块化双电源、双风扇，且均支持热插拔；</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12、</w:t>
            </w:r>
            <w:r>
              <w:rPr>
                <w:rFonts w:hint="eastAsia" w:ascii="楷体_GB2312" w:hAnsi="楷体_GB2312" w:eastAsia="楷体_GB2312" w:cs="楷体_GB2312"/>
                <w:color w:val="auto"/>
                <w:kern w:val="0"/>
                <w:sz w:val="24"/>
                <w:szCs w:val="24"/>
                <w:highlight w:val="none"/>
              </w:rPr>
              <w:t>提供≥2个业务扩展槽位，可扩展1G/2.5G/5G/40G端口；</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13、</w:t>
            </w:r>
            <w:r>
              <w:rPr>
                <w:rFonts w:hint="eastAsia" w:ascii="楷体_GB2312" w:hAnsi="楷体_GB2312" w:eastAsia="楷体_GB2312" w:cs="楷体_GB2312"/>
                <w:color w:val="auto"/>
                <w:kern w:val="0"/>
                <w:sz w:val="24"/>
                <w:szCs w:val="24"/>
                <w:highlight w:val="none"/>
              </w:rPr>
              <w:t>工作温度：-5℃～45℃；</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2</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22</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24口10G2口40G光交换机</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w:t>
            </w:r>
            <w:r>
              <w:rPr>
                <w:rFonts w:hint="eastAsia" w:ascii="楷体_GB2312" w:hAnsi="楷体_GB2312" w:eastAsia="楷体_GB2312" w:cs="楷体_GB2312"/>
                <w:color w:val="auto"/>
                <w:kern w:val="0"/>
                <w:sz w:val="24"/>
                <w:szCs w:val="24"/>
                <w:highlight w:val="none"/>
              </w:rPr>
              <w:t>三层管理型交换机：</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≥24个10G SFP+光口，≥2个40G QSFP+光口；</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2、</w:t>
            </w:r>
            <w:r>
              <w:rPr>
                <w:rFonts w:hint="eastAsia" w:ascii="楷体_GB2312" w:hAnsi="楷体_GB2312" w:eastAsia="楷体_GB2312" w:cs="楷体_GB2312"/>
                <w:color w:val="auto"/>
                <w:kern w:val="0"/>
                <w:sz w:val="24"/>
                <w:szCs w:val="24"/>
                <w:highlight w:val="none"/>
              </w:rPr>
              <w:t>交换容量：≥2.56Tbps/25.6Tbps，包转发率：720Mpps/1260Mpps；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3、</w:t>
            </w:r>
            <w:r>
              <w:rPr>
                <w:rFonts w:hint="eastAsia" w:ascii="楷体_GB2312" w:hAnsi="楷体_GB2312" w:eastAsia="楷体_GB2312" w:cs="楷体_GB2312"/>
                <w:color w:val="auto"/>
                <w:kern w:val="0"/>
                <w:sz w:val="24"/>
                <w:szCs w:val="24"/>
                <w:highlight w:val="none"/>
              </w:rPr>
              <w:t>支持VLAN：802.1Q VLAN、端口VLAN、QinQ、Voice VLAN、协议VLAN、MAC VLAN；</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4、</w:t>
            </w:r>
            <w:r>
              <w:rPr>
                <w:rFonts w:hint="eastAsia" w:ascii="楷体_GB2312" w:hAnsi="楷体_GB2312" w:eastAsia="楷体_GB2312" w:cs="楷体_GB2312"/>
                <w:color w:val="auto"/>
                <w:kern w:val="0"/>
                <w:sz w:val="24"/>
                <w:szCs w:val="24"/>
                <w:highlight w:val="none"/>
              </w:rPr>
              <w:t>支持链路聚合：静态聚合、动态聚合；</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5、</w:t>
            </w:r>
            <w:r>
              <w:rPr>
                <w:rFonts w:hint="eastAsia" w:ascii="楷体_GB2312" w:hAnsi="楷体_GB2312" w:eastAsia="楷体_GB2312" w:cs="楷体_GB2312"/>
                <w:color w:val="auto"/>
                <w:kern w:val="0"/>
                <w:sz w:val="24"/>
                <w:szCs w:val="24"/>
                <w:highlight w:val="none"/>
              </w:rPr>
              <w:t>支持生成树STP/RSTP/MSTP，支持RRPP/ERPS；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6、</w:t>
            </w:r>
            <w:r>
              <w:rPr>
                <w:rFonts w:hint="eastAsia" w:ascii="楷体_GB2312" w:hAnsi="楷体_GB2312" w:eastAsia="楷体_GB2312" w:cs="楷体_GB2312"/>
                <w:color w:val="auto"/>
                <w:kern w:val="0"/>
                <w:sz w:val="24"/>
                <w:szCs w:val="24"/>
                <w:highlight w:val="none"/>
              </w:rPr>
              <w:t>支持虚拟化堆叠技术；</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7、</w:t>
            </w:r>
            <w:r>
              <w:rPr>
                <w:rFonts w:hint="eastAsia" w:ascii="楷体_GB2312" w:hAnsi="楷体_GB2312" w:eastAsia="楷体_GB2312" w:cs="楷体_GB2312"/>
                <w:color w:val="auto"/>
                <w:kern w:val="0"/>
                <w:sz w:val="24"/>
                <w:szCs w:val="24"/>
                <w:highlight w:val="none"/>
              </w:rPr>
              <w:t>支持IPv4路由、IPv6路由、组播、MPLS；</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8、</w:t>
            </w:r>
            <w:r>
              <w:rPr>
                <w:rFonts w:hint="eastAsia" w:ascii="楷体_GB2312" w:hAnsi="楷体_GB2312" w:eastAsia="楷体_GB2312" w:cs="楷体_GB2312"/>
                <w:color w:val="auto"/>
                <w:kern w:val="0"/>
                <w:sz w:val="24"/>
                <w:szCs w:val="24"/>
                <w:highlight w:val="none"/>
              </w:rPr>
              <w:t>支持ACL、QoS、端口镜像；</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9、</w:t>
            </w:r>
            <w:r>
              <w:rPr>
                <w:rFonts w:hint="eastAsia" w:ascii="楷体_GB2312" w:hAnsi="楷体_GB2312" w:eastAsia="楷体_GB2312" w:cs="楷体_GB2312"/>
                <w:color w:val="auto"/>
                <w:kern w:val="0"/>
                <w:sz w:val="24"/>
                <w:szCs w:val="24"/>
                <w:highlight w:val="none"/>
              </w:rPr>
              <w:t>支持CLI，SSH，SNMP V1/V2C/V3等管理方式；</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10、</w:t>
            </w:r>
            <w:r>
              <w:rPr>
                <w:rFonts w:hint="eastAsia" w:ascii="楷体_GB2312" w:hAnsi="楷体_GB2312" w:eastAsia="楷体_GB2312" w:cs="楷体_GB2312"/>
                <w:color w:val="auto"/>
                <w:kern w:val="0"/>
                <w:sz w:val="24"/>
                <w:szCs w:val="24"/>
                <w:highlight w:val="none"/>
              </w:rPr>
              <w:t>1U高度，19英寸宽，支持机架安装；</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11、</w:t>
            </w:r>
            <w:r>
              <w:rPr>
                <w:rFonts w:hint="eastAsia" w:ascii="楷体_GB2312" w:hAnsi="楷体_GB2312" w:eastAsia="楷体_GB2312" w:cs="楷体_GB2312"/>
                <w:color w:val="auto"/>
                <w:kern w:val="0"/>
                <w:sz w:val="24"/>
                <w:szCs w:val="24"/>
                <w:highlight w:val="none"/>
              </w:rPr>
              <w:t>默认标配模块化双电源、双风扇，且均支持热插拔；</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lang w:val="en-US" w:eastAsia="zh-CN"/>
              </w:rPr>
              <w:t>12、</w:t>
            </w:r>
            <w:r>
              <w:rPr>
                <w:rFonts w:hint="eastAsia" w:ascii="楷体_GB2312" w:hAnsi="楷体_GB2312" w:eastAsia="楷体_GB2312" w:cs="楷体_GB2312"/>
                <w:color w:val="auto"/>
                <w:kern w:val="0"/>
                <w:sz w:val="24"/>
                <w:szCs w:val="24"/>
                <w:highlight w:val="none"/>
              </w:rPr>
              <w:t>提供≥2个业务扩展槽位，可扩展1G/2.5G/5G/40G端口；</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lang w:val="en-US" w:eastAsia="zh-CN"/>
              </w:rPr>
              <w:t>13、</w:t>
            </w:r>
            <w:r>
              <w:rPr>
                <w:rFonts w:hint="eastAsia" w:ascii="楷体_GB2312" w:hAnsi="楷体_GB2312" w:eastAsia="楷体_GB2312" w:cs="楷体_GB2312"/>
                <w:color w:val="auto"/>
                <w:kern w:val="0"/>
                <w:sz w:val="24"/>
                <w:szCs w:val="24"/>
                <w:highlight w:val="none"/>
              </w:rPr>
              <w:t>工作温度：-5℃～45℃</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1</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23</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万兆光模块</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工业级万兆SFP+光模块TSFP-850-MMF 多模双纤 300m 850nm发送 850nm接收 LC接口</w:t>
            </w:r>
            <w:r>
              <w:rPr>
                <w:rFonts w:hint="eastAsia" w:ascii="楷体_GB2312" w:hAnsi="楷体_GB2312" w:eastAsia="楷体_GB2312" w:cs="楷体_GB2312"/>
                <w:color w:val="auto"/>
                <w:kern w:val="0"/>
                <w:sz w:val="24"/>
                <w:szCs w:val="24"/>
                <w:highlight w:val="none"/>
                <w:lang w:eastAsia="zh-CN"/>
              </w:rPr>
              <w:t>。</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96</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24</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插卡（8端口5G/2.5G/1G电接口板卡）</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8端口1/2.5/5G BASE-T以太网电接口模块</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1</w:t>
            </w:r>
          </w:p>
        </w:tc>
      </w:tr>
      <w:tr>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25</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违规外联检测服务（包含检测探针）</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违规外联检测服务，配套视频专网违规外联监测服务探针，1U机架式，2个USB口，4个千兆电口，支持终端直连互联网检测、串线转发设备接入检测、互联网终端接入检测、互联网代理接入检测等；支持违规外联检测平台级联，支持市局报警平台。</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套</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1</w:t>
            </w:r>
          </w:p>
        </w:tc>
      </w:tr>
      <w:tr>
        <w:tblPrEx>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26</w:t>
            </w:r>
          </w:p>
        </w:tc>
        <w:tc>
          <w:tcPr>
            <w:tcW w:w="8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检测服务</w:t>
            </w:r>
          </w:p>
        </w:tc>
        <w:tc>
          <w:tcPr>
            <w:tcW w:w="2839" w:type="pct"/>
            <w:tcBorders>
              <w:top w:val="single" w:color="auto" w:sz="4" w:space="0"/>
              <w:left w:val="nil"/>
              <w:bottom w:val="single" w:color="auto" w:sz="4" w:space="0"/>
              <w:right w:val="single" w:color="auto" w:sz="4" w:space="0"/>
            </w:tcBorders>
            <w:shd w:val="clear" w:color="auto" w:fill="auto"/>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因设备已使用多年，需对视频图像质量进行安全防范符合性检测，并出具具有法律效力的检测报告。</w:t>
            </w:r>
          </w:p>
        </w:tc>
        <w:tc>
          <w:tcPr>
            <w:tcW w:w="43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项</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sz w:val="20"/>
                <w:szCs w:val="20"/>
                <w:highlight w:val="none"/>
              </w:rPr>
            </w:pPr>
            <w:r>
              <w:rPr>
                <w:rFonts w:hint="eastAsia" w:ascii="楷体_GB2312" w:hAnsi="楷体_GB2312" w:eastAsia="楷体_GB2312" w:cs="楷体_GB2312"/>
                <w:color w:val="auto"/>
                <w:sz w:val="20"/>
                <w:szCs w:val="20"/>
                <w:highlight w:val="none"/>
              </w:rPr>
              <w:t>1</w:t>
            </w:r>
          </w:p>
        </w:tc>
      </w:tr>
    </w:tbl>
    <w:p>
      <w:pPr>
        <w:spacing w:before="120" w:beforeLines="50" w:after="120" w:afterLines="50" w:line="440" w:lineRule="exact"/>
        <w:rPr>
          <w:rFonts w:hint="eastAsia" w:ascii="楷体_GB2312" w:hAnsi="楷体_GB2312" w:eastAsia="楷体_GB2312" w:cs="楷体_GB2312"/>
          <w:b/>
          <w:color w:val="auto"/>
          <w:kern w:val="0"/>
          <w:sz w:val="24"/>
          <w:szCs w:val="21"/>
          <w:highlight w:val="none"/>
        </w:rPr>
      </w:pPr>
      <w:r>
        <w:rPr>
          <w:rFonts w:hint="eastAsia" w:ascii="楷体_GB2312" w:hAnsi="楷体_GB2312" w:eastAsia="楷体_GB2312" w:cs="楷体_GB2312"/>
          <w:b/>
          <w:color w:val="auto"/>
          <w:kern w:val="0"/>
          <w:sz w:val="24"/>
          <w:szCs w:val="21"/>
          <w:highlight w:val="none"/>
        </w:rPr>
        <w:t>3、维护清单</w:t>
      </w:r>
    </w:p>
    <w:tbl>
      <w:tblPr>
        <w:tblStyle w:val="63"/>
        <w:tblW w:w="0" w:type="auto"/>
        <w:tblInd w:w="113" w:type="dxa"/>
        <w:tblLayout w:type="autofit"/>
        <w:tblCellMar>
          <w:top w:w="0" w:type="dxa"/>
          <w:left w:w="108" w:type="dxa"/>
          <w:bottom w:w="0" w:type="dxa"/>
          <w:right w:w="108" w:type="dxa"/>
        </w:tblCellMar>
      </w:tblPr>
      <w:tblGrid>
        <w:gridCol w:w="698"/>
        <w:gridCol w:w="1034"/>
        <w:gridCol w:w="5254"/>
        <w:gridCol w:w="698"/>
        <w:gridCol w:w="698"/>
      </w:tblGrid>
      <w:tr>
        <w:trPr>
          <w:trHeight w:val="62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产品名称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产品参数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单位</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数量</w:t>
            </w:r>
          </w:p>
        </w:tc>
      </w:tr>
      <w:tr>
        <w:tblPrEx>
          <w:tblCellMar>
            <w:top w:w="0" w:type="dxa"/>
            <w:left w:w="108" w:type="dxa"/>
            <w:bottom w:w="0" w:type="dxa"/>
            <w:right w:w="108" w:type="dxa"/>
          </w:tblCellMar>
        </w:tblPrEx>
        <w:trPr>
          <w:trHeight w:val="62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3.5米以内监控杆维护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1、立杆维护要求如下：</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（1）立杆高度2-3.5m，臂长0.5-3米壁厚度为3mm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（2）摄像机安装位置与立杆垂直线之间水平距离≧0.5M的比例约为4：3：3</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（3）立杆下端管径应在180mm±10mm上端管径应在130mm±5mm,管壁厚度应≧4mm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（4）杆型为六边或八边形，杆体在40米/秒的风速条件下，不应发生明显抖动、严重歪斜或永久性变形，杆体需牢固、美观，表面镀锌喷塑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2、立杆基础的维护要求如下：</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（1）基础要求：设计安装立杆的路口必须先灌筑基础。基础尺寸：0.8m*0.8m*1.0m(长*宽*深)</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（2）前端机箱抱杆安装，电源进线和光缆引入机箱内，考虑和立杆统一接地，以避雷</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（3）电源进线可采用就近取电源</w:t>
            </w:r>
            <w:r>
              <w:rPr>
                <w:rFonts w:hint="eastAsia" w:ascii="楷体_GB2312" w:hAnsi="楷体_GB2312" w:eastAsia="楷体_GB2312" w:cs="楷体_GB2312"/>
                <w:color w:val="auto"/>
                <w:kern w:val="0"/>
                <w:sz w:val="24"/>
                <w:szCs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675</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1、立杆维护要求如下：</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（1）立杆高度4m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（2）臂长0.5-4米壁厚度为3mm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（3）摄象机安装位置与立杆垂直线之间水平距离≧0.5M的比例约为4：3：3</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（4）立杆下端管径应在180mm±10mm上端管径应在130mm±5mm,管壁厚度应≧4mm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（5）杆型为六边或八边形。杆体在40米/秒的风速条件下，不应发生明显抖动、严重歪斜或永久性变形，杆体需牢固、美观，表面镀锌喷塑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2、立杆基础的维护要求如下：</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（1）基础要求：设计安装立杆的路口必须先灌筑基础。基础尺寸：0.8m*0.8m*1.0m(长*宽*深)</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（2）前端机箱抱杆安装，电源进线和光缆引入机箱内，考虑和立杆统一接地，以避雷</w:t>
            </w:r>
            <w:r>
              <w:rPr>
                <w:rFonts w:hint="eastAsia" w:ascii="楷体_GB2312" w:hAnsi="楷体_GB2312" w:eastAsia="楷体_GB2312" w:cs="楷体_GB2312"/>
                <w:color w:val="auto"/>
                <w:kern w:val="0"/>
                <w:sz w:val="24"/>
                <w:szCs w:val="24"/>
                <w:highlight w:val="none"/>
                <w:lang w:eastAsia="zh-CN"/>
              </w:rPr>
              <w:t>；</w:t>
            </w:r>
            <w:r>
              <w:rPr>
                <w:rFonts w:hint="eastAsia" w:ascii="楷体_GB2312" w:hAnsi="楷体_GB2312" w:eastAsia="楷体_GB2312" w:cs="楷体_GB2312"/>
                <w:color w:val="auto"/>
                <w:kern w:val="0"/>
                <w:sz w:val="24"/>
                <w:szCs w:val="24"/>
                <w:highlight w:val="none"/>
              </w:rPr>
              <w:br w:type="textWrapping"/>
            </w:r>
            <w:r>
              <w:rPr>
                <w:rFonts w:hint="eastAsia" w:ascii="楷体_GB2312" w:hAnsi="楷体_GB2312" w:eastAsia="楷体_GB2312" w:cs="楷体_GB2312"/>
                <w:color w:val="auto"/>
                <w:kern w:val="0"/>
                <w:sz w:val="24"/>
                <w:szCs w:val="24"/>
                <w:highlight w:val="none"/>
              </w:rPr>
              <w:t>（3）电源进线可采用就近取电源</w:t>
            </w:r>
            <w:r>
              <w:rPr>
                <w:rFonts w:hint="eastAsia" w:ascii="楷体_GB2312" w:hAnsi="楷体_GB2312" w:eastAsia="楷体_GB2312" w:cs="楷体_GB2312"/>
                <w:color w:val="auto"/>
                <w:kern w:val="0"/>
                <w:sz w:val="24"/>
                <w:szCs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55</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t>1、立杆维护要求如下：</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（1）立杆高度5m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（2）臂长0.5-4米壁厚度为3mm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（3）摄象机安装位置与立杆垂直线之间水平距离≧0.5M的比例约为4：3：3</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（4）立杆下端管径应在180mm±10mm上端管径应在130mm±5mm,管壁厚度应≧4mm</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（5）杆型为六边或八边形。杆体在40米/秒的风速条件下，不应发生明显抖动、严重歪斜或永久性变形，杆体需牢固、美观，表面镀锌喷塑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rPr>
            </w:pPr>
            <w:r>
              <w:rPr>
                <w:rFonts w:hint="eastAsia" w:ascii="楷体_GB2312" w:hAnsi="楷体_GB2312" w:eastAsia="楷体_GB2312" w:cs="楷体_GB2312"/>
                <w:color w:val="auto"/>
                <w:kern w:val="0"/>
                <w:sz w:val="24"/>
                <w:szCs w:val="24"/>
                <w:highlight w:val="none"/>
              </w:rPr>
              <w:br w:type="page"/>
            </w:r>
            <w:r>
              <w:rPr>
                <w:rFonts w:hint="eastAsia" w:ascii="楷体_GB2312" w:hAnsi="楷体_GB2312" w:eastAsia="楷体_GB2312" w:cs="楷体_GB2312"/>
                <w:color w:val="auto"/>
                <w:kern w:val="0"/>
                <w:sz w:val="24"/>
                <w:szCs w:val="24"/>
                <w:highlight w:val="none"/>
              </w:rPr>
              <w:t>2、立杆基础的维护要求如下：</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（1）基础要求：设计安装立杆的路口必须先灌筑基础。基础尺寸：0.8m*0.8m*1.3m(长*宽*深)</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（2）前端机箱抱杆安装，电源进线和光缆引入机箱内，考虑和立杆统一接地，以避雷</w:t>
            </w:r>
            <w:r>
              <w:rPr>
                <w:rFonts w:hint="eastAsia" w:ascii="楷体_GB2312" w:hAnsi="楷体_GB2312" w:eastAsia="楷体_GB2312" w:cs="楷体_GB2312"/>
                <w:color w:val="auto"/>
                <w:kern w:val="0"/>
                <w:sz w:val="24"/>
                <w:szCs w:val="24"/>
                <w:highlight w:val="none"/>
                <w:lang w:eastAsia="zh-CN"/>
              </w:rPr>
              <w:t>；</w:t>
            </w:r>
          </w:p>
          <w:p>
            <w:pPr>
              <w:widowControl/>
              <w:jc w:val="left"/>
              <w:rPr>
                <w:rFonts w:hint="eastAsia" w:ascii="楷体_GB2312" w:hAnsi="楷体_GB2312" w:eastAsia="楷体_GB2312" w:cs="楷体_GB2312"/>
                <w:color w:val="auto"/>
                <w:kern w:val="0"/>
                <w:sz w:val="24"/>
                <w:szCs w:val="24"/>
                <w:highlight w:val="none"/>
                <w:lang w:eastAsia="zh-CN"/>
              </w:rPr>
            </w:pPr>
            <w:r>
              <w:rPr>
                <w:rFonts w:hint="eastAsia" w:ascii="楷体_GB2312" w:hAnsi="楷体_GB2312" w:eastAsia="楷体_GB2312" w:cs="楷体_GB2312"/>
                <w:color w:val="auto"/>
                <w:kern w:val="0"/>
                <w:sz w:val="24"/>
                <w:szCs w:val="24"/>
                <w:highlight w:val="none"/>
              </w:rPr>
              <w:t>（3）电源进线可采用就近取电源</w:t>
            </w:r>
            <w:r>
              <w:rPr>
                <w:rFonts w:hint="eastAsia" w:ascii="楷体_GB2312" w:hAnsi="楷体_GB2312" w:eastAsia="楷体_GB2312" w:cs="楷体_GB2312"/>
                <w:color w:val="auto"/>
                <w:kern w:val="0"/>
                <w:sz w:val="24"/>
                <w:szCs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40</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1、立杆维护要求如下：</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（1）立杆高度6m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（2）臂长1-6米壁厚度为3-6mm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（3）摄象机安装位置与立杆垂直线之间水平距离≧0.5M的比例约为4：3：3</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（4）立杆下端管径应在360mm±10mm上端管径应在280mm±5mm,管壁厚度应≧8mm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（5）杆型为六边或八边形。杆体在40米/秒的风速条件下，不应发生明显抖动、严重歪斜或永久性变形，杆体需牢固、美观，表面镀锌喷塑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2、立杆基础的维护要求如下：</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（1）基础要求：设计安装立杆的路口必须先灌筑基础。基础尺寸：0.8m*0.8m*1.6m(长*宽*深)</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（2）前端机箱抱杆安装，电源进线和光缆引入机箱内，考虑和立杆统一接地，以避雷</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（3）电源进线可采用就近取电源</w:t>
            </w:r>
            <w:r>
              <w:rPr>
                <w:rFonts w:hint="eastAsia" w:ascii="楷体_GB2312" w:hAnsi="楷体_GB2312" w:eastAsia="楷体_GB2312" w:cs="楷体_GB2312"/>
                <w:color w:val="auto"/>
                <w:kern w:val="0"/>
                <w:sz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471</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6.5米监控杆维护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1、立杆维护要求如下：</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（1）立杆高度6.5m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（2）臂长2-7米壁厚度为3-6mm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（3）摄象机安装位置与立杆垂直线之间水平距离≧0.5M的比例约为4：3：3</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（4）立杆下端管径应在360mm±10mm上端管径应在280mm±5mm,管壁厚度应≧8mm</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（5）杆型为六边或八边形。杆体在40米/秒的风速条件下，不应发生明显抖动、严重歪斜或永久性变形，杆体需牢固、美观，表面镀锌喷塑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2、立杆基础的维护要求如下：</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（1）基础要求：设计安装立杆的路口必须先灌筑基础。基础尺寸：0.8m*0.8m*1.6m(长*宽*深)</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（2）前端机箱落地安装，电源进线和光缆引入机箱内，考虑和立杆统一接地，以避雷</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（3）电源进线可采用就近取电源</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19</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6.8米监控杆维护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1、立杆维护要求如下：</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（1）立杆高度6.8m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（2）臂长4-13米壁厚度为3-6mm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（3）摄象机安装位置与立杆垂直线之间水平距离≧0.5M的比例约为4：3：3</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（4）立杆下端管径应在360mm±10mm上端管径应在280mm±5mm,管壁厚度应≧8mm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（5）杆型为六边或八边形。杆体在40米/秒的风速条件下，不应发生明显抖动、严重歪斜或永久性变形，杆体需牢固、美观，表面镀锌喷塑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 xml:space="preserve">2、立杆基础的维护要求如下： </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（1）基础要求：设计安装立杆的路口必须先灌筑基础。基础尺寸：0.8m*0.8m*1.6m(长*宽*深)</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br w:type="page"/>
            </w:r>
            <w:r>
              <w:rPr>
                <w:rFonts w:hint="eastAsia" w:ascii="楷体_GB2312" w:hAnsi="楷体_GB2312" w:eastAsia="楷体_GB2312" w:cs="楷体_GB2312"/>
                <w:color w:val="auto"/>
                <w:kern w:val="0"/>
                <w:sz w:val="24"/>
                <w:highlight w:val="none"/>
              </w:rPr>
              <w:t>（2）前端机箱抱杆安装，电源进线和光缆引入机箱内，考虑和立杆统一接地，以避雷</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（3）电源进线可采用就近取电源</w:t>
            </w:r>
            <w:r>
              <w:rPr>
                <w:rFonts w:hint="eastAsia" w:ascii="楷体_GB2312" w:hAnsi="楷体_GB2312" w:eastAsia="楷体_GB2312" w:cs="楷体_GB2312"/>
                <w:color w:val="auto"/>
                <w:kern w:val="0"/>
                <w:sz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109</w:t>
            </w:r>
          </w:p>
        </w:tc>
      </w:tr>
      <w:tr>
        <w:tblPrEx>
          <w:tblCellMar>
            <w:top w:w="0" w:type="dxa"/>
            <w:left w:w="108" w:type="dxa"/>
            <w:bottom w:w="0" w:type="dxa"/>
            <w:right w:w="108" w:type="dxa"/>
          </w:tblCellMar>
        </w:tblPrEx>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7.8米监控杆维护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1、立杆维护要求如下：</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（1）立杆高度7.8m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（2）臂长13米壁厚度为3-6mm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（3）摄象机安装位置与立杆垂直线之间水平距离≧0.5M的比例约为4：3：3</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（4）立杆下端管径应在360mm±10mm上端管径应在280mm±5mm,管壁厚度应≧8mm</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（5）杆型为六边或八边形。杆体在40米/秒的风速条件下，不应发生明显抖动、严重歪斜或永久性变形，杆体需牢固、美观，表面镀锌喷塑</w:t>
            </w:r>
            <w:r>
              <w:rPr>
                <w:rFonts w:hint="eastAsia" w:ascii="楷体_GB2312" w:hAnsi="楷体_GB2312" w:eastAsia="楷体_GB2312" w:cs="楷体_GB2312"/>
                <w:color w:val="auto"/>
                <w:kern w:val="0"/>
                <w:sz w:val="24"/>
                <w:highlight w:val="none"/>
                <w:lang w:eastAsia="zh-CN"/>
              </w:rPr>
              <w:t>；</w:t>
            </w:r>
          </w:p>
          <w:p>
            <w:pPr>
              <w:widowControl/>
              <w:jc w:val="left"/>
              <w:rPr>
                <w:rFonts w:hint="eastAsia" w:ascii="楷体_GB2312" w:hAnsi="楷体_GB2312" w:eastAsia="楷体_GB2312" w:cs="楷体_GB2312"/>
                <w:color w:val="auto"/>
                <w:kern w:val="0"/>
                <w:sz w:val="24"/>
                <w:highlight w:val="none"/>
                <w:lang w:eastAsia="zh-CN"/>
              </w:rPr>
            </w:pPr>
            <w:r>
              <w:rPr>
                <w:rFonts w:hint="eastAsia" w:ascii="楷体_GB2312" w:hAnsi="楷体_GB2312" w:eastAsia="楷体_GB2312" w:cs="楷体_GB2312"/>
                <w:color w:val="auto"/>
                <w:kern w:val="0"/>
                <w:sz w:val="24"/>
                <w:highlight w:val="none"/>
              </w:rPr>
              <w:t>2、立杆基础的维护要求如下：</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（1）基础要求：设计安装立杆的路口必须先灌筑基础。基础尺寸：1.5m*2.0m*2.0m(长*宽*深)</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（2）前端机箱落地安装，电源进线和光缆引入机箱内，考虑和立杆统一接地，以避雷</w:t>
            </w:r>
            <w:r>
              <w:rPr>
                <w:rFonts w:hint="eastAsia" w:ascii="楷体_GB2312" w:hAnsi="楷体_GB2312" w:eastAsia="楷体_GB2312" w:cs="楷体_GB2312"/>
                <w:color w:val="auto"/>
                <w:kern w:val="0"/>
                <w:sz w:val="24"/>
                <w:highlight w:val="none"/>
                <w:lang w:eastAsia="zh-CN"/>
              </w:rPr>
              <w:t>；</w:t>
            </w:r>
            <w:r>
              <w:rPr>
                <w:rFonts w:hint="eastAsia" w:ascii="楷体_GB2312" w:hAnsi="楷体_GB2312" w:eastAsia="楷体_GB2312" w:cs="楷体_GB2312"/>
                <w:color w:val="auto"/>
                <w:kern w:val="0"/>
                <w:sz w:val="24"/>
                <w:highlight w:val="none"/>
              </w:rPr>
              <w:br w:type="textWrapping"/>
            </w:r>
            <w:r>
              <w:rPr>
                <w:rFonts w:hint="eastAsia" w:ascii="楷体_GB2312" w:hAnsi="楷体_GB2312" w:eastAsia="楷体_GB2312" w:cs="楷体_GB2312"/>
                <w:color w:val="auto"/>
                <w:kern w:val="0"/>
                <w:sz w:val="24"/>
                <w:highlight w:val="none"/>
              </w:rPr>
              <w:t>（3）电源进线可采用就近取电源</w:t>
            </w:r>
            <w:r>
              <w:rPr>
                <w:rFonts w:hint="eastAsia" w:ascii="楷体_GB2312" w:hAnsi="楷体_GB2312" w:eastAsia="楷体_GB2312" w:cs="楷体_GB2312"/>
                <w:color w:val="auto"/>
                <w:kern w:val="0"/>
                <w:sz w:val="24"/>
                <w:highlight w:val="none"/>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个</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r>
    </w:tbl>
    <w:p>
      <w:pPr>
        <w:spacing w:before="120" w:beforeLines="50" w:after="120" w:afterLines="50" w:line="440" w:lineRule="exact"/>
        <w:ind w:left="482"/>
        <w:rPr>
          <w:rFonts w:hint="eastAsia" w:ascii="楷体_GB2312" w:hAnsi="楷体_GB2312" w:eastAsia="楷体_GB2312" w:cs="楷体_GB2312"/>
          <w:b/>
          <w:color w:val="auto"/>
          <w:kern w:val="0"/>
          <w:sz w:val="24"/>
          <w:highlight w:val="none"/>
        </w:rPr>
      </w:pPr>
      <w:r>
        <w:rPr>
          <w:rFonts w:hint="eastAsia" w:ascii="楷体_GB2312" w:hAnsi="楷体_GB2312" w:eastAsia="楷体_GB2312" w:cs="楷体_GB2312"/>
          <w:b/>
          <w:color w:val="auto"/>
          <w:kern w:val="0"/>
          <w:sz w:val="24"/>
          <w:highlight w:val="none"/>
        </w:rPr>
        <w:t>4、租赁清单</w:t>
      </w:r>
    </w:p>
    <w:tbl>
      <w:tblPr>
        <w:tblStyle w:val="63"/>
        <w:tblW w:w="0" w:type="auto"/>
        <w:tblInd w:w="113" w:type="dxa"/>
        <w:tblLayout w:type="autofit"/>
        <w:tblCellMar>
          <w:top w:w="0" w:type="dxa"/>
          <w:left w:w="108" w:type="dxa"/>
          <w:bottom w:w="0" w:type="dxa"/>
          <w:right w:w="108" w:type="dxa"/>
        </w:tblCellMar>
      </w:tblPr>
      <w:tblGrid>
        <w:gridCol w:w="698"/>
        <w:gridCol w:w="1318"/>
        <w:gridCol w:w="4970"/>
        <w:gridCol w:w="698"/>
        <w:gridCol w:w="698"/>
      </w:tblGrid>
      <w:tr>
        <w:trPr>
          <w:trHeight w:val="624" w:hRule="atLeast"/>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产品名称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产品参数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单位</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rPr>
              <w:t>数量</w:t>
            </w:r>
          </w:p>
        </w:tc>
      </w:tr>
      <w:tr>
        <w:tblPrEx>
          <w:tblCellMar>
            <w:top w:w="0" w:type="dxa"/>
            <w:left w:w="108" w:type="dxa"/>
            <w:bottom w:w="0" w:type="dxa"/>
            <w:right w:w="108" w:type="dxa"/>
          </w:tblCellMar>
        </w:tblPrEx>
        <w:trPr>
          <w:trHeight w:val="62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楷体_GB2312" w:hAnsi="楷体_GB2312" w:eastAsia="楷体_GB2312" w:cs="楷体_GB2312"/>
                <w:b/>
                <w:bCs/>
                <w:color w:val="auto"/>
                <w:kern w:val="0"/>
                <w:sz w:val="24"/>
                <w:highlight w:val="none"/>
              </w:rPr>
            </w:pPr>
          </w:p>
        </w:tc>
      </w:tr>
      <w:tr>
        <w:tblPrEx>
          <w:tblCellMar>
            <w:top w:w="0" w:type="dxa"/>
            <w:left w:w="108" w:type="dxa"/>
            <w:bottom w:w="0" w:type="dxa"/>
            <w:right w:w="108" w:type="dxa"/>
          </w:tblCellMar>
        </w:tblPrEx>
        <w:trPr>
          <w:trHeight w:val="91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200M MPLS-VPN电路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光纤通信业务网络线路（含OLT机框及板卡、分光器、光猫等相关配套网络设备）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1861</w:t>
            </w:r>
          </w:p>
        </w:tc>
      </w:tr>
      <w:tr>
        <w:tblPrEx>
          <w:tblCellMar>
            <w:top w:w="0" w:type="dxa"/>
            <w:left w:w="108" w:type="dxa"/>
            <w:bottom w:w="0" w:type="dxa"/>
            <w:right w:w="108" w:type="dxa"/>
          </w:tblCellMar>
        </w:tblPrEx>
        <w:trPr>
          <w:trHeight w:val="70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电费</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电费包干（包含爆闪灯及补光灯电费）</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1861</w:t>
            </w:r>
          </w:p>
        </w:tc>
      </w:tr>
      <w:tr>
        <w:tblPrEx>
          <w:tblCellMar>
            <w:top w:w="0" w:type="dxa"/>
            <w:left w:w="108" w:type="dxa"/>
            <w:bottom w:w="0" w:type="dxa"/>
            <w:right w:w="108" w:type="dxa"/>
          </w:tblCellMar>
        </w:tblPrEx>
        <w:trPr>
          <w:trHeight w:val="796"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1年运维</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故障应承诺在24小时内修复故障，最长不得超过48小时，因第三方原因引起的市电停电、光纤等管线断裂和重新敷设等造成的故障在72小时内不能修复的，服务提供单位应向采购人申请报备，提出故障延期修复申请，确定解决办法和最后期限，最大延期时间（累计）30天，采购人酌情作出审批。</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2.画面遮挡48小时内未修复：扣除该点位当天日租金；情况持续1周以上，加扣点位1个月租金；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3.画面噪点48小时内未修复：扣除该点位当天日租金；情况持续1周以上，加扣点位1个月租金；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4.夜间视频全黑24小时内未修复：扣除该点位当天日租金；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5.经纬度漂移、不准被业主或使用单位发现扣除该点位半个月租金,24小时内未修复加扣点位1个月租金；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6.OSD叠加信息不准：扣除该点位当天日租金；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7.无极灯常亮：发现问题后48小时内完成修复，超时未修复扣除该点为当月租金；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8.离线48小时未修复，扣除该点位当天日租金，离线30天以上还未上线，扣除3个月租金。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9.非不可抗力因素导致录像丢失当日累计30分钟以上，扣除该点位当天日租金；情况持续10天以上，加扣点位1个月租金，持续20天以上加扣点位3个月租金。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10.点位设备不一致，30天内未完成设备还原的，按日扣除该点位租金。</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11.如遇12345投诉、信访、重大领导投诉，若无正当理由，一次扣款5000元。若造成重大后果、恶劣影响，按照集体讨论决定具体惩罚措施。</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12.检查发现机箱损坏（不可抗拒因素除外）、不能锁住或者机箱内设备杂乱不清洁的，每发现一次扣500元。</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13.因采购人发起的移位、机房搬迁、整改等原因引起的故障，不列入考核。</w:t>
            </w:r>
          </w:p>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14.因政府建设项目造成移位、机房搬迁等引起的故障，经报备并出具相关证明的不列入考核（涉及点位租费暂停计算）。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1861</w:t>
            </w:r>
          </w:p>
        </w:tc>
      </w:tr>
      <w:tr>
        <w:tblPrEx>
          <w:tblCellMar>
            <w:top w:w="0" w:type="dxa"/>
            <w:left w:w="108" w:type="dxa"/>
            <w:bottom w:w="0" w:type="dxa"/>
            <w:right w:w="108" w:type="dxa"/>
          </w:tblCellMar>
        </w:tblPrEx>
        <w:trPr>
          <w:trHeight w:val="77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1年机柜租赁费</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存储机柜</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12</w:t>
            </w:r>
          </w:p>
        </w:tc>
      </w:tr>
      <w:tr>
        <w:tblPrEx>
          <w:tblCellMar>
            <w:top w:w="0" w:type="dxa"/>
            <w:left w:w="108" w:type="dxa"/>
            <w:bottom w:w="0" w:type="dxa"/>
            <w:right w:w="108" w:type="dxa"/>
          </w:tblCellMar>
        </w:tblPrEx>
        <w:trPr>
          <w:trHeight w:val="77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5</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1年现场服务保障</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负责派不少于两名运维服务人员到采购人单位协助办公，要求在0.5小时内响应，1小时内到达现场，1个工作日解决问题，对未能解决的问题提供可行性方案，并提供周转设备或更换设备。完成各项采购人布置的工作，保障采购人的正常使用。</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项</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1</w:t>
            </w:r>
          </w:p>
        </w:tc>
      </w:tr>
    </w:tbl>
    <w:p>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lang w:val="en-US" w:eastAsia="zh-CN"/>
        </w:rPr>
        <w:t>三</w:t>
      </w:r>
      <w:r>
        <w:rPr>
          <w:rFonts w:hint="eastAsia" w:ascii="楷体_GB2312" w:hAnsi="楷体_GB2312" w:eastAsia="楷体_GB2312" w:cs="楷体_GB2312"/>
          <w:b/>
          <w:bCs/>
          <w:color w:val="auto"/>
          <w:kern w:val="0"/>
          <w:sz w:val="24"/>
          <w:highlight w:val="none"/>
        </w:rPr>
        <w:t>、</w:t>
      </w:r>
      <w:bookmarkStart w:id="45" w:name="_Toc8760737"/>
      <w:r>
        <w:rPr>
          <w:rFonts w:hint="eastAsia" w:ascii="楷体_GB2312" w:hAnsi="楷体_GB2312" w:eastAsia="楷体_GB2312" w:cs="楷体_GB2312"/>
          <w:b/>
          <w:bCs/>
          <w:color w:val="auto"/>
          <w:kern w:val="0"/>
          <w:sz w:val="24"/>
          <w:highlight w:val="none"/>
        </w:rPr>
        <w:t>建设要求</w:t>
      </w:r>
      <w:bookmarkEnd w:id="45"/>
      <w:r>
        <w:rPr>
          <w:rFonts w:hint="eastAsia" w:ascii="楷体_GB2312" w:hAnsi="楷体_GB2312" w:eastAsia="楷体_GB2312" w:cs="楷体_GB2312"/>
          <w:b/>
          <w:bCs/>
          <w:color w:val="auto"/>
          <w:kern w:val="0"/>
          <w:sz w:val="24"/>
          <w:highlight w:val="none"/>
        </w:rPr>
        <w:t>及付款方式</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lang w:val="en-US" w:eastAsia="zh-CN"/>
        </w:rPr>
        <w:t>1.</w:t>
      </w:r>
      <w:r>
        <w:rPr>
          <w:rFonts w:hint="eastAsia" w:ascii="楷体_GB2312" w:hAnsi="楷体_GB2312" w:eastAsia="楷体_GB2312" w:cs="楷体_GB2312"/>
          <w:color w:val="auto"/>
          <w:kern w:val="0"/>
          <w:sz w:val="24"/>
          <w:highlight w:val="none"/>
        </w:rPr>
        <w:t>建设要求：合同签订后在前一服务期满前，中标人需完成项目建设，同时中标人完成建设报监理单位和采购人确认后，由采购人组织专家进行验收。验收通过后进入租赁服务期。</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lang w:val="en-US" w:eastAsia="zh-CN"/>
        </w:rPr>
        <w:t>2</w:t>
      </w:r>
      <w:r>
        <w:rPr>
          <w:rFonts w:hint="eastAsia" w:ascii="楷体_GB2312" w:hAnsi="楷体_GB2312" w:eastAsia="楷体_GB2312" w:cs="楷体_GB2312"/>
          <w:color w:val="auto"/>
          <w:kern w:val="0"/>
          <w:sz w:val="24"/>
          <w:highlight w:val="none"/>
        </w:rPr>
        <w:t>.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楷体_GB2312" w:hAnsi="楷体_GB2312" w:eastAsia="楷体_GB2312" w:cs="楷体_GB2312"/>
          <w:b/>
          <w:bCs/>
          <w:color w:val="auto"/>
          <w:kern w:val="0"/>
          <w:sz w:val="24"/>
          <w:highlight w:val="none"/>
        </w:rPr>
      </w:pPr>
      <w:r>
        <w:rPr>
          <w:rFonts w:hint="eastAsia" w:ascii="楷体_GB2312" w:hAnsi="楷体_GB2312" w:eastAsia="楷体_GB2312" w:cs="楷体_GB2312"/>
          <w:b/>
          <w:bCs/>
          <w:color w:val="auto"/>
          <w:kern w:val="0"/>
          <w:sz w:val="24"/>
          <w:highlight w:val="none"/>
          <w:lang w:val="en-US" w:eastAsia="zh-CN"/>
        </w:rPr>
        <w:t>四、</w:t>
      </w:r>
      <w:r>
        <w:rPr>
          <w:rFonts w:hint="eastAsia" w:ascii="楷体_GB2312" w:hAnsi="楷体_GB2312" w:eastAsia="楷体_GB2312" w:cs="楷体_GB2312"/>
          <w:b/>
          <w:bCs/>
          <w:color w:val="auto"/>
          <w:kern w:val="0"/>
          <w:sz w:val="24"/>
          <w:highlight w:val="none"/>
        </w:rPr>
        <w:t>其他要求</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32"/>
          <w:szCs w:val="32"/>
          <w:highlight w:val="none"/>
        </w:rPr>
      </w:pPr>
      <w:r>
        <w:rPr>
          <w:rFonts w:hint="eastAsia" w:ascii="楷体_GB2312" w:hAnsi="楷体_GB2312" w:eastAsia="楷体_GB2312" w:cs="楷体_GB2312"/>
          <w:color w:val="auto"/>
          <w:kern w:val="0"/>
          <w:sz w:val="24"/>
          <w:highlight w:val="none"/>
        </w:rPr>
        <w:t>1.中标人须提供</w:t>
      </w:r>
      <w:r>
        <w:rPr>
          <w:rFonts w:hint="eastAsia" w:ascii="楷体_GB2312" w:hAnsi="楷体_GB2312" w:eastAsia="楷体_GB2312" w:cs="楷体_GB2312"/>
          <w:color w:val="auto"/>
          <w:kern w:val="0"/>
          <w:sz w:val="24"/>
          <w:szCs w:val="21"/>
          <w:highlight w:val="none"/>
        </w:rPr>
        <w:t>符合验收标准的</w:t>
      </w:r>
      <w:r>
        <w:rPr>
          <w:rFonts w:hint="eastAsia" w:ascii="楷体_GB2312" w:hAnsi="楷体_GB2312" w:eastAsia="楷体_GB2312" w:cs="楷体_GB2312"/>
          <w:color w:val="auto"/>
          <w:kern w:val="0"/>
          <w:sz w:val="24"/>
          <w:highlight w:val="none"/>
        </w:rPr>
        <w:t>资料，</w:t>
      </w:r>
      <w:r>
        <w:rPr>
          <w:rFonts w:hint="eastAsia" w:ascii="楷体_GB2312" w:hAnsi="楷体_GB2312" w:eastAsia="楷体_GB2312" w:cs="楷体_GB2312"/>
          <w:color w:val="auto"/>
          <w:kern w:val="0"/>
          <w:sz w:val="24"/>
          <w:szCs w:val="21"/>
          <w:highlight w:val="none"/>
        </w:rPr>
        <w:t>以配合相关部门及监理、审计单位的工作，</w:t>
      </w:r>
      <w:r>
        <w:rPr>
          <w:rFonts w:hint="eastAsia" w:ascii="楷体_GB2312" w:hAnsi="楷体_GB2312" w:eastAsia="楷体_GB2312" w:cs="楷体_GB2312"/>
          <w:color w:val="auto"/>
          <w:kern w:val="0"/>
          <w:sz w:val="24"/>
          <w:highlight w:val="none"/>
        </w:rPr>
        <w:t>包括但不仅限于:</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1.1投标文件（包含其他所有投标承诺）；</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1.2项目合同及附件、协议书；</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1.3验收文档及过程资料；</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1.4服务期成果及总结资料：</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（1）项目履行情况（包含项目名称、服务单位、人员到位情况、履行服务、奖惩情况、被服务单位意见等）；</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（2）项目承建单位服务过程中须留存维保记录，并需监理单位确认后提交项目建设部门，再由项目建设部门签章及项目负责人签字确认；</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（3）工作方案（系统试运行报告、完工报告等）；</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（3）项目实施过程中会议纪要；</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（4）项目完成后工作总结资料。</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1.5承建单位编制的结算清单；</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1.6监理相关资料；</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1.7相关会议决议纪要（若有）；</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1.8项目变更资料（若有）；</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1.9有关未采纳采购前、合同签订前审计意见的说明；</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1.10中标人需无条件根据“雪亮工程”相关建设及审计要求，提供相应的文档及技术支撑；</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szCs w:val="32"/>
          <w:highlight w:val="none"/>
        </w:rPr>
        <w:t>1.11其他有关影响项目造价、工期等资料。</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highlight w:val="none"/>
        </w:rPr>
      </w:pPr>
      <w:r>
        <w:rPr>
          <w:rFonts w:hint="eastAsia" w:ascii="楷体_GB2312" w:hAnsi="楷体_GB2312" w:eastAsia="楷体_GB2312" w:cs="楷体_GB2312"/>
          <w:color w:val="auto"/>
          <w:kern w:val="0"/>
          <w:sz w:val="24"/>
          <w:highlight w:val="none"/>
        </w:rPr>
        <w:t>2.维护条例主要内容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1.前端维护：</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（1）前端点位的维护、保养：前端点位清洗，巡检，维修等工作；</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（2）前端线路的维护、保养：监控视频线路的检修，光纤链路的检修，电源取、接电等工作；</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（3）前端基础工程的施工：前端点位新建、移位、搬迁工程；</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（4）设备新产品、系统新技术的更新和替换：新增及设备更新的安装工程；</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（5）对设备更新替换按照采购人实际要求和工期完成安装，具体以合同约定为准。</w:t>
      </w:r>
    </w:p>
    <w:p>
      <w:pPr>
        <w:keepNext w:val="0"/>
        <w:keepLines w:val="0"/>
        <w:pageBreakBefore w:val="0"/>
        <w:widowControl w:val="0"/>
        <w:tabs>
          <w:tab w:val="left" w:pos="426"/>
          <w:tab w:val="left" w:pos="709"/>
          <w:tab w:val="left" w:pos="851"/>
          <w:tab w:val="left" w:pos="993"/>
          <w:tab w:val="left" w:pos="1418"/>
        </w:tabs>
        <w:kinsoku/>
        <w:wordWrap/>
        <w:overflowPunct/>
        <w:topLinePunct w:val="0"/>
        <w:autoSpaceDE/>
        <w:autoSpaceDN/>
        <w:bidi w:val="0"/>
        <w:adjustRightInd w:val="0"/>
        <w:spacing w:line="440" w:lineRule="exact"/>
        <w:ind w:left="56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2.后端维护：</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（1）对所有采购人视频机房的设备维护、保养：应用中心的监控设备的维保工作；</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（2）对所有采购人视频机房的环境维护，对空调的运行情况，UPS供电情况，机房温湿度情况的记录与监测，确保公安视频机房设备运行的正常；</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（3）后端各类服务器、网络设备、应用系统的维护服务；</w:t>
      </w:r>
    </w:p>
    <w:p>
      <w:pPr>
        <w:keepNext w:val="0"/>
        <w:keepLines w:val="0"/>
        <w:pageBreakBefore w:val="0"/>
        <w:widowControl w:val="0"/>
        <w:tabs>
          <w:tab w:val="left" w:pos="851"/>
          <w:tab w:val="left" w:pos="993"/>
        </w:tabs>
        <w:kinsoku/>
        <w:wordWrap/>
        <w:overflowPunct/>
        <w:topLinePunct w:val="0"/>
        <w:autoSpaceDE/>
        <w:autoSpaceDN/>
        <w:bidi w:val="0"/>
        <w:adjustRightInd w:val="0"/>
        <w:spacing w:line="440" w:lineRule="exact"/>
        <w:ind w:firstLine="484" w:firstLineChars="202"/>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（4）与视频监控相关的各类数据的采集、录入、修改等。</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楷体_GB2312" w:hAnsi="楷体_GB2312" w:eastAsia="楷体_GB2312" w:cs="楷体_GB2312"/>
          <w:b/>
          <w:bCs/>
          <w:color w:val="auto"/>
          <w:kern w:val="0"/>
          <w:sz w:val="24"/>
          <w:szCs w:val="32"/>
          <w:highlight w:val="none"/>
        </w:rPr>
      </w:pPr>
      <w:r>
        <w:rPr>
          <w:rFonts w:hint="eastAsia" w:ascii="楷体_GB2312" w:hAnsi="楷体_GB2312" w:eastAsia="楷体_GB2312" w:cs="楷体_GB2312"/>
          <w:b/>
          <w:bCs/>
          <w:color w:val="auto"/>
          <w:kern w:val="0"/>
          <w:sz w:val="24"/>
          <w:szCs w:val="32"/>
          <w:highlight w:val="none"/>
          <w:lang w:val="en-US" w:eastAsia="zh-CN"/>
        </w:rPr>
        <w:t>五</w:t>
      </w:r>
      <w:r>
        <w:rPr>
          <w:rFonts w:hint="eastAsia" w:ascii="楷体_GB2312" w:hAnsi="楷体_GB2312" w:eastAsia="楷体_GB2312" w:cs="楷体_GB2312"/>
          <w:b/>
          <w:bCs/>
          <w:color w:val="auto"/>
          <w:kern w:val="0"/>
          <w:sz w:val="24"/>
          <w:szCs w:val="32"/>
          <w:highlight w:val="none"/>
        </w:rPr>
        <w:t>、维护要求</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1、安全生产管理要求。</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（1）中标人要加强生产安全管理，落实维护和施工过程中的各项安全措施，确保人身和其他财产的安全；</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（2）中标人要加强设备安全管理，落实防火、防盗、防破坏等安全措施；对于前端市电接入、接地电阻、后端防火防水、设备接地、用电负载等应严格落实施工与维护的工作规范；</w:t>
      </w:r>
    </w:p>
    <w:p>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中标人要加强数据安全管理。对于公安的各类数据，在施工维护、第三方研发、共享联网等过程中，要特别注意保护公安数据的安全，杜绝随意泄露公安数据用户账户口令，严禁向无关人员泄露公安的图像数据，做好防泄密、防窃密等安全保密工作；</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（4）中标人要落实人员安全管理。维护人员必须持证上岗，必须</w:t>
      </w:r>
      <w:r>
        <w:rPr>
          <w:rFonts w:hint="eastAsia" w:ascii="楷体_GB2312" w:hAnsi="楷体_GB2312" w:eastAsia="楷体_GB2312" w:cs="楷体_GB2312"/>
          <w:color w:val="auto"/>
          <w:sz w:val="24"/>
          <w:highlight w:val="none"/>
        </w:rPr>
        <w:t>持有应急管理部门颁发或监制的特种作业操作证（低压电工作业）及应急管理部门颁发或监制的特种作业操作证（登高作业证）</w:t>
      </w:r>
      <w:r>
        <w:rPr>
          <w:rFonts w:hint="eastAsia" w:ascii="楷体_GB2312" w:hAnsi="楷体_GB2312" w:eastAsia="楷体_GB2312" w:cs="楷体_GB2312"/>
          <w:color w:val="auto"/>
          <w:kern w:val="0"/>
          <w:sz w:val="24"/>
          <w:szCs w:val="32"/>
          <w:highlight w:val="none"/>
        </w:rPr>
        <w:t>，并落实人身意外保险。</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2、维护时效性要求：</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（1）中标人应加强节假日、非正常工作时间的值班备勤，明确应急措施、落实值班人员、备足应急设备和交通工具，提供7*24小时响应服务。</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（2）中标人对于前后端设备有人身和财产安全隐患的，必须即刻响应，立即消除，最长不得超过2小时。</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中标人对于采购人各类临时性、突发性的应急保障任务，须即时响应，城区1小时内，农村2小时内到达现场；前后端设备的调测、检修、清洁在12小时内完成；现场临时搭建视频监控点及中心的在48小时内完成；属日常性的保障，采购人提前48小时通知，服务提供单位应在3日内完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 xml:space="preserve">    （4）每个月至少对前端设备和存储设备进行一次巡检和保养。主要查看基础设施（基础、立杆、控制柜等），控制设备等有无遭到损坏（被车磕、撞、碰、绊等）和人为破坏（被撬、砸、拆、偷）以及是否整洁。并作好巡检记录。如有发现损坏和破坏的则及时予以修复，不能修复的则予以更换，但都必须报业主单位进行确认后再实施。</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 xml:space="preserve">    （5）在每年的3月份雷雨季节来临前，检查所有的监控点的避雷是否正常。对达不到要求的点采用增加接地桩等措施解决，并更换被雷击穿的避雷器，以保证在雷雨季节避雷器被击而造成设备损坏。</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 xml:space="preserve">    （6）每周检查一次信号传输质量，对检查情况作好记录，并将情况及时反馈给维修组。由维修人员及时处理。</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 xml:space="preserve">    （7）立杆、机柜因均为外露设备，常年受日晒雨淋，容易造成油漆脱落，出现锈铁，影响了美观，减少了使用寿命。项目中标人应在日常巡检过程中，如出现有生锈的情况，则及时进行除锈油漆处理。</w:t>
      </w:r>
    </w:p>
    <w:p>
      <w:pPr>
        <w:keepNext w:val="0"/>
        <w:keepLines w:val="0"/>
        <w:pageBreakBefore w:val="0"/>
        <w:widowControl w:val="0"/>
        <w:tabs>
          <w:tab w:val="left" w:pos="1134"/>
        </w:tabs>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（8）服务提供单位对于核心交换机、存储设备、服务器、系统平台和应用平台等重要系统、重要设备故障，须立即响应，采取应急措施，迅速恢复功能。</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 xml:space="preserve">（9）因采购人使用需求及市政建设需要等原因产生的前端点位的移位和其他原因造成无法追偿的人为损坏修复，应及时完成。 </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3、备用设备安全要求：</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（1）备用设备数量及类型按照项目招标文件要求配备，招标文件内无要求的，应采用国内知名品牌，性能参数指标不低于原有标准，具有前瞻性，且选型与本项目系统同类设备保持相对统一。</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（2）符合《安全防范工程设计规范》GB50348-2004、《浙江省社会治安动态视频监控系统技术规范》DB33/T 502--2004、《安全防范视频监控联网系统信息传输、交换、控制技术要求》GB/T28181-2011等标准。</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楷体_GB2312" w:hAnsi="楷体_GB2312" w:eastAsia="楷体_GB2312" w:cs="楷体_GB2312"/>
          <w:b/>
          <w:bCs/>
          <w:color w:val="auto"/>
          <w:kern w:val="0"/>
          <w:sz w:val="24"/>
          <w:szCs w:val="32"/>
          <w:highlight w:val="none"/>
        </w:rPr>
      </w:pPr>
      <w:r>
        <w:rPr>
          <w:rFonts w:hint="eastAsia" w:ascii="楷体_GB2312" w:hAnsi="楷体_GB2312" w:eastAsia="楷体_GB2312" w:cs="楷体_GB2312"/>
          <w:b/>
          <w:bCs/>
          <w:color w:val="auto"/>
          <w:kern w:val="0"/>
          <w:sz w:val="24"/>
          <w:szCs w:val="32"/>
          <w:highlight w:val="none"/>
          <w:lang w:val="en-US" w:eastAsia="zh-CN"/>
        </w:rPr>
        <w:t>六</w:t>
      </w:r>
      <w:r>
        <w:rPr>
          <w:rFonts w:hint="eastAsia" w:ascii="楷体_GB2312" w:hAnsi="楷体_GB2312" w:eastAsia="楷体_GB2312" w:cs="楷体_GB2312"/>
          <w:b/>
          <w:bCs/>
          <w:color w:val="auto"/>
          <w:kern w:val="0"/>
          <w:sz w:val="24"/>
          <w:szCs w:val="32"/>
          <w:highlight w:val="none"/>
        </w:rPr>
        <w:t>、维护考核</w:t>
      </w:r>
    </w:p>
    <w:p>
      <w:pPr>
        <w:keepNext w:val="0"/>
        <w:keepLines w:val="0"/>
        <w:pageBreakBefore w:val="0"/>
        <w:widowControl w:val="0"/>
        <w:kinsoku/>
        <w:wordWrap/>
        <w:overflowPunct/>
        <w:topLinePunct w:val="0"/>
        <w:autoSpaceDE/>
        <w:autoSpaceDN/>
        <w:bidi w:val="0"/>
        <w:adjustRightInd w:val="0"/>
        <w:spacing w:line="440" w:lineRule="exact"/>
        <w:ind w:firstLine="470" w:firstLineChars="196"/>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1、故障抢修考核</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故障主要指前端摄像机、网络传输、服务器、系统平台、主干光缆发生故障以及第三方原因引起的市电停电、光纤等管线断裂和重新敷设等设备不能正常工作：</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故障应承诺在24小时内修复故障，最长不得超过48小时，因第三方原因引起的市电停电、光纤等管线断裂和重新敷设等造成的故障在72小时内不能修复的，服务提供单位应向采购人申请报备，提出故障延期修复申请，确定解决办法和最后期限，最大延期时间（累计）30天，采购人酌情作出审批。</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画面遮挡48小时内未修复：扣除该点位当天日租金；情况持续1周以上，加扣点位1个月租金；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画面噪点48小时内未修复：扣除该点位当天日租金；情况持续1周以上，加扣点位1个月租金；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夜间视频全黑24小时内未修复：扣除该点位当天日租金；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经纬度漂移、不准被业主或使用单位发现扣除该点位半个月租金,24小时内未修复加扣点位1个月租金；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OSD叠加信息不准：扣除该点位当天日租金；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无极灯常亮：发现问题后48小时内完成修复，超时未修复扣除该点为当月租金；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离线48小时未修复，扣除该点位当天日租金，离线30天以上还未上线，扣除3个月租金。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非不可抗力因素导致录像丢失当日累计30分钟以上，扣除该点位当天日租金；情况持续10天以上，加扣点位1个月租金，持续20天以上加扣点位3个月租金。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点位设备不一致，30天内未完成设备还原的，按日扣除该点位租金。</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如遇12345投诉、信访、重大领导投诉，若无正当理由，一次扣款5000元。若造成重大后果、恶劣影响，按照集体讨论决定具体惩罚措施。</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检查发现机箱损坏（不可抗拒因素除外）、不能锁住或者机箱内设备杂乱不清洁的，每发现一次扣500元。</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因采购人发起的移位、机房搬迁、整改等原因引起的故障，不列入考核。</w:t>
      </w:r>
    </w:p>
    <w:p>
      <w:pPr>
        <w:pStyle w:val="257"/>
        <w:keepNext w:val="0"/>
        <w:keepLines w:val="0"/>
        <w:pageBreakBefore w:val="0"/>
        <w:widowControl w:val="0"/>
        <w:numPr>
          <w:ilvl w:val="0"/>
          <w:numId w:val="6"/>
        </w:numPr>
        <w:kinsoku/>
        <w:wordWrap/>
        <w:overflowPunct/>
        <w:topLinePunct w:val="0"/>
        <w:autoSpaceDE/>
        <w:autoSpaceDN/>
        <w:bidi w:val="0"/>
        <w:adjustRightInd w:val="0"/>
        <w:spacing w:after="0" w:line="440" w:lineRule="exact"/>
        <w:ind w:left="0" w:firstLine="470" w:firstLineChars="196"/>
        <w:contextualSpacing w:val="0"/>
        <w:jc w:val="both"/>
        <w:textAlignment w:val="auto"/>
        <w:rPr>
          <w:rFonts w:hint="eastAsia" w:ascii="楷体_GB2312" w:hAnsi="楷体_GB2312" w:eastAsia="楷体_GB2312" w:cs="楷体_GB2312"/>
          <w:color w:val="auto"/>
          <w:sz w:val="24"/>
          <w:szCs w:val="32"/>
          <w:highlight w:val="none"/>
        </w:rPr>
      </w:pPr>
      <w:r>
        <w:rPr>
          <w:rFonts w:hint="eastAsia" w:ascii="楷体_GB2312" w:hAnsi="楷体_GB2312" w:eastAsia="楷体_GB2312" w:cs="楷体_GB2312"/>
          <w:color w:val="auto"/>
          <w:sz w:val="24"/>
          <w:szCs w:val="32"/>
          <w:highlight w:val="none"/>
        </w:rPr>
        <w:t>因政府建设项目造成移位、机房搬迁等引起的故障，经报备并出具相关证明的不列入考核（涉及点位租费暂停计算）。</w:t>
      </w:r>
    </w:p>
    <w:p>
      <w:pPr>
        <w:keepNext w:val="0"/>
        <w:keepLines w:val="0"/>
        <w:pageBreakBefore w:val="0"/>
        <w:widowControl w:val="0"/>
        <w:kinsoku/>
        <w:wordWrap/>
        <w:overflowPunct/>
        <w:topLinePunct w:val="0"/>
        <w:autoSpaceDE/>
        <w:autoSpaceDN/>
        <w:bidi w:val="0"/>
        <w:adjustRightInd w:val="0"/>
        <w:spacing w:line="440" w:lineRule="exact"/>
        <w:ind w:firstLine="470" w:firstLineChars="196"/>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3、信息安全考核</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（1）未按要求完成与本服务相关的如信息采集、录入、核对、修改等日常性、事务性工作被上级机关通报的，每一次扣除租赁费用2000元。</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（2）因未按规定施工、维护，发生“一机两用”、病毒攻击、不同网络互联等网络安全事件的，每发生一起扣除5000元，被部省检测考核扣分的，每起扣除10000元。</w:t>
      </w:r>
    </w:p>
    <w:p>
      <w:pPr>
        <w:keepNext w:val="0"/>
        <w:keepLines w:val="0"/>
        <w:pageBreakBefore w:val="0"/>
        <w:widowControl w:val="0"/>
        <w:tabs>
          <w:tab w:val="left" w:pos="1134"/>
        </w:tabs>
        <w:kinsoku/>
        <w:wordWrap/>
        <w:overflowPunct/>
        <w:topLinePunct w:val="0"/>
        <w:autoSpaceDE/>
        <w:autoSpaceDN/>
        <w:bidi w:val="0"/>
        <w:adjustRightInd w:val="0"/>
        <w:spacing w:line="440" w:lineRule="exact"/>
        <w:ind w:firstLine="424" w:firstLineChars="177"/>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（3）因视频、数据等信息泄露，造成严重后果的，每次扣除20000元以上租赁费用。</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楷体_GB2312" w:hAnsi="楷体_GB2312" w:eastAsia="楷体_GB2312" w:cs="楷体_GB2312"/>
          <w:b/>
          <w:bCs/>
          <w:color w:val="auto"/>
          <w:kern w:val="0"/>
          <w:sz w:val="24"/>
          <w:szCs w:val="32"/>
          <w:highlight w:val="none"/>
        </w:rPr>
      </w:pPr>
      <w:r>
        <w:rPr>
          <w:rFonts w:hint="eastAsia" w:ascii="楷体_GB2312" w:hAnsi="楷体_GB2312" w:eastAsia="楷体_GB2312" w:cs="楷体_GB2312"/>
          <w:b/>
          <w:bCs/>
          <w:color w:val="auto"/>
          <w:kern w:val="0"/>
          <w:sz w:val="24"/>
          <w:szCs w:val="32"/>
          <w:highlight w:val="none"/>
          <w:lang w:val="en-US" w:eastAsia="zh-CN"/>
        </w:rPr>
        <w:t>七</w:t>
      </w:r>
      <w:r>
        <w:rPr>
          <w:rFonts w:hint="eastAsia" w:ascii="楷体_GB2312" w:hAnsi="楷体_GB2312" w:eastAsia="楷体_GB2312" w:cs="楷体_GB2312"/>
          <w:b/>
          <w:bCs/>
          <w:color w:val="auto"/>
          <w:kern w:val="0"/>
          <w:sz w:val="24"/>
          <w:szCs w:val="32"/>
          <w:highlight w:val="none"/>
        </w:rPr>
        <w:t>、其他事项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楷体_GB2312" w:hAnsi="楷体_GB2312" w:eastAsia="楷体_GB2312" w:cs="楷体_GB2312"/>
          <w:color w:val="auto"/>
          <w:kern w:val="0"/>
          <w:sz w:val="24"/>
          <w:szCs w:val="32"/>
          <w:highlight w:val="none"/>
        </w:rPr>
      </w:pPr>
      <w:r>
        <w:rPr>
          <w:rFonts w:hint="eastAsia" w:ascii="楷体_GB2312" w:hAnsi="楷体_GB2312" w:eastAsia="楷体_GB2312" w:cs="楷体_GB2312"/>
          <w:color w:val="auto"/>
          <w:kern w:val="0"/>
          <w:sz w:val="24"/>
          <w:szCs w:val="32"/>
          <w:highlight w:val="none"/>
        </w:rPr>
        <w:t>1、由于不可抗拒因素，如自然灾害等，由服务提供单位上报采购人，对故障点位恢复做出期限，超出期限按照相关约定扣款。</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楷体_GB2312" w:hAnsi="楷体_GB2312" w:eastAsia="楷体_GB2312" w:cs="楷体_GB2312"/>
          <w:color w:val="auto"/>
          <w:kern w:val="0"/>
          <w:sz w:val="24"/>
          <w:szCs w:val="32"/>
          <w:highlight w:val="none"/>
        </w:rPr>
        <w:t xml:space="preserve">2、根据双方签订的保密协议，双方均有义务保守商业机密、公众秘密，未经双方许可，任何一方不得向第三方披露项目有关的资料和信息。 </w:t>
      </w:r>
    </w:p>
    <w:bookmarkEnd w:id="36"/>
    <w:bookmarkEnd w:id="39"/>
    <w:bookmarkEnd w:id="40"/>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5"/>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绍兴市公安局“雪亮工程”市本级前端1833个视频监控租赁服务项目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6" w:name="_Toc15367"/>
      <w:bookmarkStart w:id="47" w:name="_Toc28855"/>
      <w:bookmarkStart w:id="48" w:name="_Toc22967"/>
      <w:bookmarkStart w:id="49" w:name="_Toc20421"/>
      <w:bookmarkStart w:id="50" w:name="_Toc19273"/>
      <w:r>
        <w:rPr>
          <w:rFonts w:hint="eastAsia" w:ascii="仿宋_GB2312" w:hAnsi="仿宋_GB2312" w:eastAsia="仿宋_GB2312" w:cs="仿宋_GB2312"/>
          <w:b/>
          <w:color w:val="auto"/>
          <w:sz w:val="24"/>
          <w:highlight w:val="none"/>
        </w:rPr>
        <w:t>1.1 合同组成部分</w:t>
      </w:r>
      <w:bookmarkEnd w:id="46"/>
      <w:bookmarkEnd w:id="47"/>
      <w:bookmarkEnd w:id="48"/>
      <w:bookmarkEnd w:id="49"/>
      <w:bookmarkEnd w:id="5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51" w:name="_Toc6311"/>
      <w:bookmarkStart w:id="52" w:name="_Toc2918"/>
      <w:bookmarkStart w:id="53" w:name="_Toc6773"/>
      <w:bookmarkStart w:id="54" w:name="_Toc22185"/>
      <w:bookmarkStart w:id="55" w:name="_Toc18585"/>
      <w:r>
        <w:rPr>
          <w:rFonts w:hint="eastAsia" w:ascii="仿宋_GB2312" w:hAnsi="仿宋_GB2312" w:eastAsia="仿宋_GB2312" w:cs="仿宋_GB2312"/>
          <w:b/>
          <w:color w:val="auto"/>
          <w:sz w:val="24"/>
          <w:highlight w:val="none"/>
        </w:rPr>
        <w:t>1.2 标的</w:t>
      </w:r>
      <w:bookmarkEnd w:id="51"/>
      <w:bookmarkEnd w:id="52"/>
      <w:bookmarkEnd w:id="53"/>
      <w:bookmarkEnd w:id="54"/>
      <w:bookmarkEnd w:id="5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6" w:name="_Toc13918"/>
      <w:bookmarkStart w:id="57" w:name="_Toc1386"/>
      <w:bookmarkStart w:id="58" w:name="_Toc5635"/>
      <w:bookmarkStart w:id="59" w:name="_Toc4929"/>
      <w:bookmarkStart w:id="60"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6"/>
      <w:bookmarkEnd w:id="57"/>
      <w:bookmarkEnd w:id="58"/>
      <w:bookmarkEnd w:id="59"/>
      <w:bookmarkEnd w:id="6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61" w:name="_Toc3654"/>
      <w:bookmarkStart w:id="62" w:name="_Toc26916"/>
      <w:bookmarkStart w:id="63" w:name="_Toc30506"/>
      <w:bookmarkStart w:id="64" w:name="_Toc14993"/>
      <w:bookmarkStart w:id="65" w:name="_Toc30158"/>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61"/>
    <w:bookmarkEnd w:id="62"/>
    <w:bookmarkEnd w:id="63"/>
    <w:bookmarkEnd w:id="64"/>
    <w:bookmarkEnd w:id="65"/>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6" w:name="_Toc1814"/>
      <w:bookmarkStart w:id="67" w:name="_Toc22618"/>
      <w:bookmarkStart w:id="68" w:name="_Toc10340"/>
      <w:bookmarkStart w:id="69" w:name="_Toc4760"/>
      <w:bookmarkStart w:id="70" w:name="_Toc31421"/>
      <w:bookmarkStart w:id="71" w:name="_Toc3625"/>
      <w:bookmarkStart w:id="72" w:name="_Toc11108"/>
      <w:bookmarkStart w:id="73" w:name="_Toc8772"/>
      <w:r>
        <w:rPr>
          <w:rFonts w:hint="eastAsia" w:ascii="仿宋_GB2312" w:hAnsi="仿宋_GB2312" w:eastAsia="仿宋_GB2312" w:cs="仿宋_GB2312"/>
          <w:b/>
          <w:color w:val="auto"/>
          <w:highlight w:val="none"/>
        </w:rPr>
        <w:t>1.4履约保证金</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6"/>
      <w:bookmarkEnd w:id="67"/>
      <w:bookmarkEnd w:id="68"/>
      <w:r>
        <w:rPr>
          <w:rFonts w:hint="eastAsia" w:ascii="仿宋_GB2312" w:hAnsi="仿宋_GB2312" w:eastAsia="仿宋_GB2312" w:cs="仿宋_GB2312"/>
          <w:b/>
          <w:color w:val="auto"/>
          <w:sz w:val="24"/>
          <w:highlight w:val="none"/>
        </w:rPr>
        <w:t>预付款</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9"/>
      <w:bookmarkEnd w:id="70"/>
      <w:bookmarkEnd w:id="71"/>
      <w:bookmarkEnd w:id="72"/>
      <w:bookmarkEnd w:id="7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74" w:name="_Toc24662"/>
      <w:bookmarkStart w:id="75" w:name="_Toc5698"/>
      <w:bookmarkStart w:id="76" w:name="_Toc2375"/>
      <w:bookmarkStart w:id="77" w:name="_Toc8586"/>
      <w:bookmarkStart w:id="78" w:name="_Toc3079"/>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74"/>
      <w:bookmarkEnd w:id="75"/>
      <w:bookmarkEnd w:id="76"/>
      <w:bookmarkEnd w:id="77"/>
      <w:bookmarkEnd w:id="7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9" w:name="_Toc26807"/>
      <w:bookmarkStart w:id="80" w:name="_Toc9497"/>
      <w:bookmarkStart w:id="81" w:name="_Toc18683"/>
      <w:bookmarkStart w:id="82" w:name="_Toc32454"/>
      <w:bookmarkStart w:id="83" w:name="_Toc30329"/>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9"/>
    <w:bookmarkEnd w:id="80"/>
    <w:bookmarkEnd w:id="81"/>
    <w:bookmarkEnd w:id="82"/>
    <w:bookmarkEnd w:id="83"/>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4" w:name="_Toc28375"/>
      <w:bookmarkStart w:id="85" w:name="_Toc16021"/>
      <w:bookmarkStart w:id="86" w:name="_Toc15583"/>
      <w:r>
        <w:rPr>
          <w:rFonts w:hint="eastAsia" w:ascii="仿宋_GB2312" w:hAnsi="仿宋_GB2312" w:eastAsia="仿宋_GB2312" w:cs="仿宋_GB2312"/>
          <w:b/>
          <w:color w:val="auto"/>
          <w:sz w:val="24"/>
          <w:highlight w:val="none"/>
        </w:rPr>
        <w:t>1.9合同争议的解决</w:t>
      </w:r>
      <w:bookmarkEnd w:id="84"/>
      <w:bookmarkEnd w:id="85"/>
      <w:bookmarkEnd w:id="86"/>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7" w:name="_Toc11173"/>
      <w:bookmarkStart w:id="88" w:name="_Toc7245"/>
      <w:bookmarkStart w:id="89" w:name="_Toc15322"/>
      <w:r>
        <w:rPr>
          <w:rFonts w:hint="eastAsia" w:ascii="仿宋_GB2312" w:hAnsi="仿宋_GB2312" w:eastAsia="仿宋_GB2312" w:cs="仿宋_GB2312"/>
          <w:b/>
          <w:color w:val="auto"/>
          <w:sz w:val="24"/>
          <w:highlight w:val="none"/>
        </w:rPr>
        <w:t>2.0 合同生效</w:t>
      </w:r>
      <w:bookmarkEnd w:id="87"/>
      <w:bookmarkEnd w:id="88"/>
      <w:bookmarkEnd w:id="8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5228"/>
      <w:bookmarkStart w:id="91" w:name="_Toc25079"/>
      <w:bookmarkStart w:id="92" w:name="_Toc14021"/>
      <w:bookmarkStart w:id="93" w:name="_Toc19680"/>
      <w:bookmarkStart w:id="94" w:name="_Toc31297"/>
      <w:r>
        <w:rPr>
          <w:rFonts w:hint="eastAsia" w:ascii="仿宋_GB2312" w:hAnsi="仿宋_GB2312" w:eastAsia="仿宋_GB2312" w:cs="仿宋_GB2312"/>
          <w:b/>
          <w:color w:val="auto"/>
          <w:sz w:val="24"/>
          <w:highlight w:val="none"/>
        </w:rPr>
        <w:t>2.1 定义</w:t>
      </w:r>
      <w:bookmarkEnd w:id="90"/>
      <w:bookmarkEnd w:id="91"/>
      <w:bookmarkEnd w:id="92"/>
      <w:bookmarkEnd w:id="93"/>
      <w:bookmarkEnd w:id="9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23289"/>
      <w:bookmarkStart w:id="96" w:name="_Toc16752"/>
      <w:bookmarkStart w:id="97" w:name="_Toc31402"/>
      <w:bookmarkStart w:id="98" w:name="_Toc19539"/>
      <w:bookmarkStart w:id="99" w:name="_Toc3769"/>
      <w:r>
        <w:rPr>
          <w:rFonts w:hint="eastAsia" w:ascii="仿宋_GB2312" w:hAnsi="仿宋_GB2312" w:eastAsia="仿宋_GB2312" w:cs="仿宋_GB2312"/>
          <w:b/>
          <w:color w:val="auto"/>
          <w:sz w:val="24"/>
          <w:highlight w:val="none"/>
        </w:rPr>
        <w:t>2.2 技术规范</w:t>
      </w:r>
      <w:bookmarkEnd w:id="95"/>
      <w:bookmarkEnd w:id="96"/>
      <w:bookmarkEnd w:id="97"/>
      <w:bookmarkEnd w:id="98"/>
      <w:bookmarkEnd w:id="9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4133"/>
      <w:bookmarkStart w:id="101" w:name="_Toc9161"/>
      <w:bookmarkStart w:id="102" w:name="_Toc13673"/>
      <w:bookmarkStart w:id="103" w:name="_Toc27945"/>
      <w:bookmarkStart w:id="104" w:name="_Toc12412"/>
      <w:r>
        <w:rPr>
          <w:rFonts w:hint="eastAsia" w:ascii="仿宋_GB2312" w:hAnsi="仿宋_GB2312" w:eastAsia="仿宋_GB2312" w:cs="仿宋_GB2312"/>
          <w:b/>
          <w:color w:val="auto"/>
          <w:sz w:val="24"/>
          <w:highlight w:val="none"/>
        </w:rPr>
        <w:t>2.3 知识产权</w:t>
      </w:r>
      <w:bookmarkEnd w:id="100"/>
      <w:bookmarkEnd w:id="101"/>
      <w:bookmarkEnd w:id="102"/>
      <w:bookmarkEnd w:id="103"/>
      <w:bookmarkEnd w:id="10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22011"/>
      <w:bookmarkStart w:id="106" w:name="_Toc15447"/>
      <w:bookmarkStart w:id="107" w:name="_Toc31233"/>
      <w:bookmarkStart w:id="108" w:name="_Toc26555"/>
      <w:bookmarkStart w:id="109" w:name="_Toc32670"/>
      <w:r>
        <w:rPr>
          <w:rFonts w:hint="eastAsia" w:ascii="仿宋_GB2312" w:hAnsi="仿宋_GB2312" w:eastAsia="仿宋_GB2312" w:cs="仿宋_GB2312"/>
          <w:b/>
          <w:color w:val="auto"/>
          <w:sz w:val="24"/>
          <w:highlight w:val="none"/>
        </w:rPr>
        <w:t>2.5 结算方式和付款条件</w:t>
      </w:r>
      <w:bookmarkEnd w:id="105"/>
      <w:bookmarkEnd w:id="106"/>
      <w:bookmarkEnd w:id="107"/>
      <w:bookmarkEnd w:id="108"/>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6163"/>
      <w:bookmarkStart w:id="111" w:name="_Toc18990"/>
      <w:bookmarkStart w:id="112" w:name="_Toc13467"/>
      <w:bookmarkStart w:id="113" w:name="_Toc13154"/>
      <w:bookmarkStart w:id="114" w:name="_Toc30507"/>
      <w:r>
        <w:rPr>
          <w:rFonts w:hint="eastAsia" w:ascii="仿宋_GB2312" w:hAnsi="仿宋_GB2312" w:eastAsia="仿宋_GB2312" w:cs="仿宋_GB2312"/>
          <w:b/>
          <w:color w:val="auto"/>
          <w:sz w:val="24"/>
          <w:highlight w:val="none"/>
        </w:rPr>
        <w:t>2.6 技术资料和保密义务</w:t>
      </w:r>
      <w:bookmarkEnd w:id="110"/>
      <w:bookmarkEnd w:id="111"/>
      <w:bookmarkEnd w:id="112"/>
      <w:bookmarkEnd w:id="113"/>
      <w:bookmarkEnd w:id="11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5" w:name="_Toc19069"/>
      <w:r>
        <w:rPr>
          <w:rFonts w:hint="eastAsia" w:ascii="仿宋_GB2312" w:hAnsi="仿宋_GB2312" w:eastAsia="仿宋_GB2312" w:cs="仿宋_GB2312"/>
          <w:b/>
          <w:color w:val="auto"/>
          <w:sz w:val="24"/>
          <w:highlight w:val="none"/>
        </w:rPr>
        <w:t>2.7 质量保证</w:t>
      </w:r>
      <w:bookmarkEnd w:id="11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6" w:name="_Toc22267"/>
      <w:r>
        <w:rPr>
          <w:rFonts w:hint="eastAsia" w:ascii="仿宋_GB2312" w:hAnsi="仿宋_GB2312" w:eastAsia="仿宋_GB2312" w:cs="仿宋_GB2312"/>
          <w:b/>
          <w:color w:val="auto"/>
          <w:sz w:val="24"/>
          <w:highlight w:val="none"/>
        </w:rPr>
        <w:t>2.8 延迟履行</w:t>
      </w:r>
      <w:bookmarkEnd w:id="11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7" w:name="_Toc10611"/>
      <w:r>
        <w:rPr>
          <w:rFonts w:hint="eastAsia" w:ascii="仿宋_GB2312" w:hAnsi="仿宋_GB2312" w:eastAsia="仿宋_GB2312" w:cs="仿宋_GB2312"/>
          <w:b/>
          <w:color w:val="auto"/>
          <w:sz w:val="24"/>
          <w:highlight w:val="none"/>
        </w:rPr>
        <w:t>2.9 合同变更</w:t>
      </w:r>
      <w:bookmarkEnd w:id="11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10663"/>
      <w:bookmarkStart w:id="119" w:name="_Toc26689"/>
      <w:bookmarkStart w:id="120" w:name="_Toc21830"/>
      <w:bookmarkStart w:id="121" w:name="_Toc42"/>
      <w:bookmarkStart w:id="122" w:name="_Toc23368"/>
      <w:r>
        <w:rPr>
          <w:rFonts w:hint="eastAsia" w:ascii="仿宋_GB2312" w:hAnsi="仿宋_GB2312" w:eastAsia="仿宋_GB2312" w:cs="仿宋_GB2312"/>
          <w:b/>
          <w:color w:val="auto"/>
          <w:sz w:val="24"/>
          <w:highlight w:val="none"/>
        </w:rPr>
        <w:t>2.10 合同转让和分包</w:t>
      </w:r>
      <w:bookmarkEnd w:id="118"/>
      <w:bookmarkEnd w:id="119"/>
      <w:bookmarkEnd w:id="120"/>
      <w:bookmarkEnd w:id="121"/>
      <w:bookmarkEnd w:id="12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26633"/>
      <w:bookmarkStart w:id="124" w:name="_Toc32494"/>
      <w:bookmarkStart w:id="125" w:name="_Toc4720"/>
      <w:bookmarkStart w:id="126" w:name="_Toc14371"/>
      <w:bookmarkStart w:id="127" w:name="_Toc25571"/>
      <w:r>
        <w:rPr>
          <w:rFonts w:hint="eastAsia" w:ascii="仿宋_GB2312" w:hAnsi="仿宋_GB2312" w:eastAsia="仿宋_GB2312" w:cs="仿宋_GB2312"/>
          <w:b/>
          <w:color w:val="auto"/>
          <w:sz w:val="24"/>
          <w:highlight w:val="none"/>
        </w:rPr>
        <w:t>2.11 不可抗力</w:t>
      </w:r>
      <w:bookmarkEnd w:id="123"/>
      <w:bookmarkEnd w:id="124"/>
      <w:bookmarkEnd w:id="125"/>
      <w:bookmarkEnd w:id="126"/>
      <w:bookmarkEnd w:id="12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4465"/>
      <w:bookmarkStart w:id="129" w:name="_Toc23854"/>
      <w:bookmarkStart w:id="130" w:name="_Toc25783"/>
      <w:bookmarkStart w:id="131" w:name="_Toc14115"/>
      <w:bookmarkStart w:id="132" w:name="_Toc3638"/>
      <w:r>
        <w:rPr>
          <w:rFonts w:hint="eastAsia" w:ascii="仿宋_GB2312" w:hAnsi="仿宋_GB2312" w:eastAsia="仿宋_GB2312" w:cs="仿宋_GB2312"/>
          <w:b/>
          <w:color w:val="auto"/>
          <w:sz w:val="24"/>
          <w:highlight w:val="none"/>
        </w:rPr>
        <w:t>2.12 税费</w:t>
      </w:r>
      <w:bookmarkEnd w:id="128"/>
      <w:bookmarkEnd w:id="129"/>
      <w:bookmarkEnd w:id="130"/>
      <w:bookmarkEnd w:id="131"/>
      <w:bookmarkEnd w:id="13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26883"/>
      <w:bookmarkStart w:id="134" w:name="_Toc25525"/>
      <w:bookmarkStart w:id="135" w:name="_Toc7315"/>
      <w:bookmarkStart w:id="136" w:name="_Toc30105"/>
      <w:bookmarkStart w:id="137" w:name="_Toc14814"/>
      <w:r>
        <w:rPr>
          <w:rFonts w:hint="eastAsia" w:ascii="仿宋_GB2312" w:hAnsi="仿宋_GB2312" w:eastAsia="仿宋_GB2312" w:cs="仿宋_GB2312"/>
          <w:b/>
          <w:color w:val="auto"/>
          <w:sz w:val="24"/>
          <w:highlight w:val="none"/>
        </w:rPr>
        <w:t>2.13 乙方破产</w:t>
      </w:r>
      <w:bookmarkEnd w:id="133"/>
      <w:bookmarkEnd w:id="134"/>
      <w:bookmarkEnd w:id="135"/>
      <w:bookmarkEnd w:id="136"/>
      <w:bookmarkEnd w:id="13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8" w:name="_Toc1123"/>
      <w:bookmarkStart w:id="139" w:name="_Toc2016"/>
      <w:bookmarkStart w:id="140" w:name="_Toc23323"/>
      <w:r>
        <w:rPr>
          <w:rFonts w:hint="eastAsia" w:ascii="仿宋_GB2312" w:hAnsi="仿宋_GB2312" w:eastAsia="仿宋_GB2312" w:cs="仿宋_GB2312"/>
          <w:b/>
          <w:color w:val="auto"/>
          <w:sz w:val="24"/>
          <w:highlight w:val="none"/>
        </w:rPr>
        <w:t>2.14 合同中止、终止</w:t>
      </w:r>
      <w:bookmarkEnd w:id="138"/>
      <w:bookmarkEnd w:id="139"/>
      <w:bookmarkEnd w:id="14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1" w:name="_Toc14525"/>
      <w:bookmarkStart w:id="142" w:name="_Toc1969"/>
      <w:bookmarkStart w:id="143" w:name="_Toc17363"/>
      <w:r>
        <w:rPr>
          <w:rFonts w:hint="eastAsia" w:ascii="仿宋_GB2312" w:hAnsi="仿宋_GB2312" w:eastAsia="仿宋_GB2312" w:cs="仿宋_GB2312"/>
          <w:b/>
          <w:color w:val="auto"/>
          <w:sz w:val="24"/>
          <w:highlight w:val="none"/>
        </w:rPr>
        <w:t>2.15 检验和验收</w:t>
      </w:r>
      <w:bookmarkEnd w:id="141"/>
      <w:bookmarkEnd w:id="142"/>
      <w:bookmarkEnd w:id="143"/>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4" w:name="_Toc12666"/>
      <w:bookmarkStart w:id="145" w:name="_Toc9808"/>
      <w:bookmarkStart w:id="146" w:name="_Toc31892"/>
      <w:bookmarkStart w:id="147" w:name="_Toc2308"/>
      <w:bookmarkStart w:id="148" w:name="_Toc25198"/>
      <w:r>
        <w:rPr>
          <w:rFonts w:hint="eastAsia" w:ascii="仿宋_GB2312" w:hAnsi="仿宋_GB2312" w:eastAsia="仿宋_GB2312" w:cs="仿宋_GB2312"/>
          <w:b/>
          <w:color w:val="auto"/>
          <w:sz w:val="24"/>
          <w:highlight w:val="none"/>
        </w:rPr>
        <w:t>2.16 通知和送达</w:t>
      </w:r>
      <w:bookmarkEnd w:id="144"/>
      <w:bookmarkEnd w:id="145"/>
      <w:bookmarkEnd w:id="146"/>
      <w:bookmarkEnd w:id="147"/>
      <w:bookmarkEnd w:id="14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9" w:name="_Toc18401"/>
      <w:bookmarkStart w:id="150"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28906"/>
      <w:bookmarkStart w:id="152" w:name="_Toc20808"/>
      <w:bookmarkStart w:id="153" w:name="_Toc12254"/>
      <w:bookmarkStart w:id="154" w:name="_Toc27644"/>
      <w:bookmarkStart w:id="155" w:name="_Toc5063"/>
      <w:r>
        <w:rPr>
          <w:rFonts w:hint="eastAsia" w:ascii="仿宋_GB2312" w:hAnsi="仿宋_GB2312" w:eastAsia="仿宋_GB2312" w:cs="仿宋_GB2312"/>
          <w:b/>
          <w:color w:val="auto"/>
          <w:sz w:val="24"/>
          <w:highlight w:val="none"/>
        </w:rPr>
        <w:t>2.17 合同使用的文字和适用的法律</w:t>
      </w:r>
      <w:bookmarkEnd w:id="151"/>
      <w:bookmarkEnd w:id="152"/>
      <w:bookmarkEnd w:id="153"/>
      <w:bookmarkEnd w:id="154"/>
      <w:bookmarkEnd w:id="15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6" w:name="_Toc18540"/>
      <w:bookmarkStart w:id="157" w:name="_Toc4355"/>
      <w:bookmarkStart w:id="158" w:name="_Toc30599"/>
      <w:r>
        <w:rPr>
          <w:rFonts w:hint="eastAsia" w:ascii="仿宋_GB2312" w:hAnsi="仿宋_GB2312" w:eastAsia="仿宋_GB2312" w:cs="仿宋_GB2312"/>
          <w:b/>
          <w:color w:val="auto"/>
          <w:sz w:val="24"/>
          <w:highlight w:val="none"/>
        </w:rPr>
        <w:t>2.18 计量单位</w:t>
      </w:r>
      <w:bookmarkEnd w:id="156"/>
      <w:bookmarkEnd w:id="157"/>
      <w:bookmarkEnd w:id="15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left"/>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9" w:name="_Toc331685784"/>
      <w:r>
        <w:rPr>
          <w:rFonts w:hint="eastAsia" w:ascii="仿宋_GB2312" w:hAnsi="仿宋_GB2312" w:eastAsia="仿宋_GB2312" w:cs="仿宋_GB2312"/>
          <w:b/>
          <w:color w:val="auto"/>
          <w:sz w:val="24"/>
          <w:highlight w:val="none"/>
        </w:rPr>
        <w:t xml:space="preserve"> </w:t>
      </w:r>
      <w:bookmarkEnd w:id="159"/>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26"/>
        <w:rPr>
          <w:rFonts w:hint="eastAsia"/>
          <w:color w:val="auto"/>
        </w:rPr>
      </w:pPr>
    </w:p>
    <w:p>
      <w:pPr>
        <w:pStyle w:val="23"/>
        <w:rPr>
          <w:rFonts w:hint="eastAsia" w:ascii="仿宋_GB2312" w:hAnsi="仿宋_GB2312" w:eastAsia="仿宋_GB2312" w:cs="仿宋_GB2312"/>
          <w:color w:val="auto"/>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lang w:eastAsia="zh-CN"/>
              </w:rPr>
              <w:t>序号</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lang w:eastAsia="zh-CN"/>
              </w:rPr>
              <w:t>评分项</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lang w:eastAsia="zh-CN"/>
              </w:rPr>
              <w:t>评审依据及标准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1</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sz w:val="24"/>
                <w:szCs w:val="24"/>
              </w:rPr>
              <w:t>企业认证</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rPr>
              <w:t>根据投标人企业认证证书情况进行打分，提供相关证明并加盖投标人公章。(本项分值设置为3,2,1,0.5,0分)</w:t>
            </w:r>
          </w:p>
        </w:tc>
        <w:tc>
          <w:tcPr>
            <w:tcW w:w="786"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sz w:val="24"/>
                <w:szCs w:val="24"/>
              </w:rPr>
              <w:t>业绩案例</w:t>
            </w:r>
          </w:p>
        </w:tc>
        <w:tc>
          <w:tcPr>
            <w:tcW w:w="6416" w:type="dxa"/>
            <w:vAlign w:val="center"/>
          </w:tcPr>
          <w:p>
            <w:pPr>
              <w:widowControl/>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投标人自2022年1月1日以来（以合同签订时间为准）完成的同类案例，每有1个得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注：每个案例提供合同和验收报告</w:t>
            </w:r>
            <w:r>
              <w:rPr>
                <w:rFonts w:hint="eastAsia" w:ascii="仿宋_GB2312" w:hAnsi="仿宋_GB2312" w:eastAsia="仿宋_GB2312" w:cs="仿宋_GB2312"/>
                <w:b/>
                <w:bCs/>
                <w:color w:val="auto"/>
                <w:sz w:val="24"/>
                <w:szCs w:val="24"/>
                <w:highlight w:val="none"/>
                <w:lang w:val="en-US" w:eastAsia="zh-CN"/>
              </w:rPr>
              <w:t>复印件</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并加盖投标人公章。</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c>
          <w:tcPr>
            <w:tcW w:w="1413" w:type="dxa"/>
            <w:vAlign w:val="center"/>
          </w:tcPr>
          <w:p>
            <w:pPr>
              <w:keepNext w:val="0"/>
              <w:keepLines w:val="0"/>
              <w:pageBreakBefore w:val="0"/>
              <w:widowControl/>
              <w:kinsoku/>
              <w:wordWrap w:val="0"/>
              <w:overflowPunct/>
              <w:topLinePunct w:val="0"/>
              <w:bidi w:val="0"/>
              <w:adjustRightInd w:val="0"/>
              <w:snapToGrid w:val="0"/>
              <w:spacing w:line="44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rPr>
              <w:t>技术要求</w:t>
            </w:r>
          </w:p>
        </w:tc>
        <w:tc>
          <w:tcPr>
            <w:tcW w:w="6416" w:type="dxa"/>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技术参数响应情况：对应于招标文件第三部分招标项目范围及要求——“二、建设内容——2、租用清单</w:t>
            </w:r>
            <w:r>
              <w:rPr>
                <w:rFonts w:hint="eastAsia" w:ascii="仿宋_GB2312" w:hAnsi="仿宋_GB2312" w:eastAsia="仿宋_GB2312" w:cs="仿宋_GB2312"/>
                <w:color w:val="auto"/>
                <w:sz w:val="24"/>
                <w:szCs w:val="24"/>
                <w:highlight w:val="none"/>
                <w:lang w:val="en-US" w:eastAsia="zh-CN"/>
              </w:rPr>
              <w:t>+3、维护清单+4、租赁清单</w:t>
            </w:r>
            <w:r>
              <w:rPr>
                <w:rFonts w:hint="eastAsia" w:ascii="仿宋_GB2312" w:hAnsi="仿宋_GB2312" w:eastAsia="仿宋_GB2312" w:cs="仿宋_GB2312"/>
                <w:color w:val="auto"/>
                <w:sz w:val="24"/>
                <w:szCs w:val="24"/>
                <w:highlight w:val="none"/>
                <w:lang w:eastAsia="zh-CN"/>
              </w:rPr>
              <w:t>”，完全满足指标参数得</w:t>
            </w:r>
            <w:r>
              <w:rPr>
                <w:rFonts w:hint="eastAsia" w:ascii="仿宋_GB2312" w:hAnsi="仿宋_GB2312" w:eastAsia="仿宋_GB2312" w:cs="仿宋_GB2312"/>
                <w:color w:val="auto"/>
                <w:kern w:val="0"/>
                <w:sz w:val="24"/>
                <w:szCs w:val="24"/>
                <w:highlight w:val="none"/>
                <w:lang w:val="en-US" w:eastAsia="zh-CN"/>
              </w:rPr>
              <w:t>33</w:t>
            </w:r>
            <w:r>
              <w:rPr>
                <w:rFonts w:hint="eastAsia" w:ascii="仿宋_GB2312" w:hAnsi="仿宋_GB2312" w:eastAsia="仿宋_GB2312" w:cs="仿宋_GB2312"/>
                <w:color w:val="auto"/>
                <w:sz w:val="24"/>
                <w:szCs w:val="24"/>
                <w:highlight w:val="none"/>
                <w:lang w:eastAsia="zh-CN"/>
              </w:rPr>
              <w:t>分。</w:t>
            </w:r>
            <w:r>
              <w:rPr>
                <w:rFonts w:hint="eastAsia" w:ascii="仿宋_GB2312" w:hAnsi="仿宋_GB2312" w:eastAsia="仿宋_GB2312" w:cs="仿宋_GB2312"/>
                <w:sz w:val="24"/>
                <w:highlight w:val="none"/>
              </w:rPr>
              <w:t>打“▲”为主要性能指标，每有一项负偏离扣</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分；其他指标，每有一项负偏离扣</w:t>
            </w:r>
            <w:r>
              <w:rPr>
                <w:rFonts w:ascii="仿宋_GB2312" w:hAnsi="仿宋_GB2312" w:eastAsia="仿宋_GB2312" w:cs="仿宋_GB2312"/>
                <w:sz w:val="24"/>
                <w:highlight w:val="none"/>
              </w:rPr>
              <w:t>1</w:t>
            </w:r>
            <w:r>
              <w:rPr>
                <w:rFonts w:hint="eastAsia" w:ascii="仿宋_GB2312" w:hAnsi="仿宋_GB2312" w:eastAsia="仿宋_GB2312" w:cs="仿宋_GB2312"/>
                <w:sz w:val="24"/>
                <w:highlight w:val="none"/>
              </w:rPr>
              <w:t>分，扣完为止。</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整体方案</w:t>
            </w:r>
          </w:p>
        </w:tc>
        <w:tc>
          <w:tcPr>
            <w:tcW w:w="6416" w:type="dxa"/>
            <w:vAlign w:val="center"/>
          </w:tcPr>
          <w:p>
            <w:pPr>
              <w:keepNext w:val="0"/>
              <w:keepLines w:val="0"/>
              <w:pageBreakBefore w:val="0"/>
              <w:widowControl/>
              <w:kinsoku/>
              <w:wordWrap w:val="0"/>
              <w:overflowPunct/>
              <w:topLinePunct w:val="0"/>
              <w:bidi w:val="0"/>
              <w:adjustRightInd w:val="0"/>
              <w:snapToGrid w:val="0"/>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等线" w:eastAsia="仿宋_GB2312" w:cs="宋体"/>
                <w:color w:val="000000"/>
                <w:kern w:val="0"/>
                <w:sz w:val="24"/>
                <w:lang w:val="en-US" w:eastAsia="zh-CN"/>
              </w:rPr>
              <w:t>根据投标人提供的整体技术方案进行打分，包括但不限于完整租赁维护方案，拟投入设备方案，</w:t>
            </w:r>
            <w:r>
              <w:rPr>
                <w:rFonts w:hint="eastAsia" w:ascii="仿宋_GB2312" w:hAnsi="仿宋_GB2312" w:eastAsia="仿宋_GB2312" w:cs="仿宋_GB2312"/>
                <w:color w:val="auto"/>
                <w:sz w:val="24"/>
                <w:szCs w:val="24"/>
                <w:highlight w:val="none"/>
                <w:lang w:eastAsia="zh-CN"/>
              </w:rPr>
              <w:t>管理和协调方法等方面。</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sz w:val="24"/>
                <w:szCs w:val="24"/>
              </w:rPr>
              <w:t>（本项分值设置为5,4,3,2,1,0.5,0分）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5</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项目团队人员</w:t>
            </w:r>
          </w:p>
        </w:tc>
        <w:tc>
          <w:tcPr>
            <w:tcW w:w="6416" w:type="dxa"/>
            <w:vAlign w:val="center"/>
          </w:tcPr>
          <w:p>
            <w:pPr>
              <w:pStyle w:val="19"/>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拟派</w:t>
            </w:r>
            <w:r>
              <w:rPr>
                <w:rFonts w:hint="eastAsia" w:ascii="仿宋_GB2312" w:hAnsi="等线" w:eastAsia="仿宋_GB2312" w:cs="宋体"/>
                <w:color w:val="000000"/>
                <w:kern w:val="0"/>
                <w:sz w:val="24"/>
              </w:rPr>
              <w:t>项目负责人</w:t>
            </w:r>
            <w:r>
              <w:rPr>
                <w:rFonts w:hint="eastAsia" w:ascii="仿宋_GB2312" w:hAnsi="等线" w:eastAsia="仿宋_GB2312" w:cs="宋体"/>
                <w:color w:val="000000"/>
                <w:kern w:val="0"/>
                <w:sz w:val="24"/>
                <w:lang w:eastAsia="zh-CN"/>
              </w:rPr>
              <w:t>：</w:t>
            </w:r>
          </w:p>
          <w:p>
            <w:pPr>
              <w:pStyle w:val="19"/>
              <w:keepNext w:val="0"/>
              <w:keepLines w:val="0"/>
              <w:pageBreakBefore w:val="0"/>
              <w:numPr>
                <w:ilvl w:val="0"/>
                <w:numId w:val="7"/>
              </w:numPr>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sz w:val="24"/>
                <w:szCs w:val="24"/>
              </w:rPr>
            </w:pPr>
            <w:r>
              <w:rPr>
                <w:rFonts w:hint="eastAsia" w:ascii="仿宋_GB2312" w:hAnsi="等线" w:eastAsia="仿宋_GB2312" w:cs="宋体"/>
                <w:color w:val="000000"/>
                <w:kern w:val="0"/>
                <w:sz w:val="24"/>
                <w:lang w:val="en-US" w:eastAsia="zh-CN"/>
              </w:rPr>
              <w:t>持有国家计算机网络应急技术处理协调中心</w:t>
            </w:r>
            <w:r>
              <w:rPr>
                <w:rFonts w:hint="eastAsia" w:ascii="仿宋_GB2312" w:hAnsi="等线" w:eastAsia="仿宋_GB2312" w:cs="宋体"/>
                <w:color w:val="000000"/>
                <w:kern w:val="0"/>
                <w:sz w:val="24"/>
              </w:rPr>
              <w:t>颁发的网络安全能力认证</w:t>
            </w:r>
            <w:r>
              <w:rPr>
                <w:rFonts w:hint="eastAsia" w:ascii="仿宋_GB2312" w:hAnsi="等线" w:eastAsia="仿宋_GB2312" w:cs="宋体"/>
                <w:color w:val="000000"/>
                <w:kern w:val="0"/>
                <w:sz w:val="24"/>
                <w:lang w:val="en-US" w:eastAsia="zh-CN"/>
              </w:rPr>
              <w:t>证书的得1分；</w:t>
            </w:r>
          </w:p>
          <w:p>
            <w:pPr>
              <w:pStyle w:val="19"/>
              <w:keepNext w:val="0"/>
              <w:keepLines w:val="0"/>
              <w:pageBreakBefore w:val="0"/>
              <w:numPr>
                <w:ilvl w:val="0"/>
                <w:numId w:val="7"/>
              </w:numPr>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sz w:val="24"/>
                <w:szCs w:val="24"/>
              </w:rPr>
            </w:pPr>
            <w:r>
              <w:rPr>
                <w:rFonts w:hint="eastAsia" w:ascii="仿宋_GB2312" w:hAnsi="等线" w:eastAsia="仿宋_GB2312" w:cs="宋体"/>
                <w:color w:val="000000"/>
                <w:kern w:val="0"/>
                <w:sz w:val="24"/>
                <w:lang w:val="en-US" w:eastAsia="zh-CN"/>
              </w:rPr>
              <w:t>持有国家计算机网络应急技术处理协调中心</w:t>
            </w:r>
            <w:r>
              <w:rPr>
                <w:rFonts w:hint="eastAsia" w:ascii="仿宋_GB2312" w:hAnsi="等线" w:eastAsia="仿宋_GB2312" w:cs="宋体"/>
                <w:color w:val="000000"/>
                <w:kern w:val="0"/>
                <w:sz w:val="24"/>
              </w:rPr>
              <w:t>颁发的信息安全保障人员认证证书</w:t>
            </w:r>
            <w:r>
              <w:rPr>
                <w:rFonts w:hint="eastAsia" w:ascii="仿宋_GB2312" w:hAnsi="等线" w:eastAsia="仿宋_GB2312" w:cs="宋体"/>
                <w:color w:val="000000"/>
                <w:kern w:val="0"/>
                <w:sz w:val="24"/>
                <w:lang w:val="en-US" w:eastAsia="zh-CN"/>
              </w:rPr>
              <w:t>的得1分；</w:t>
            </w:r>
          </w:p>
          <w:p>
            <w:pPr>
              <w:pStyle w:val="19"/>
              <w:keepNext w:val="0"/>
              <w:keepLines w:val="0"/>
              <w:pageBreakBefore w:val="0"/>
              <w:numPr>
                <w:ilvl w:val="0"/>
                <w:numId w:val="7"/>
              </w:numPr>
              <w:kinsoku/>
              <w:wordWrap/>
              <w:overflowPunct/>
              <w:topLinePunct w:val="0"/>
              <w:autoSpaceDE/>
              <w:autoSpaceDN/>
              <w:bidi w:val="0"/>
              <w:adjustRightInd w:val="0"/>
              <w:spacing w:line="440" w:lineRule="exact"/>
              <w:jc w:val="both"/>
              <w:textAlignment w:val="auto"/>
              <w:rPr>
                <w:rFonts w:hint="eastAsia" w:ascii="仿宋_GB2312" w:hAnsi="仿宋_GB2312" w:eastAsia="仿宋_GB2312" w:cs="仿宋_GB2312"/>
                <w:sz w:val="24"/>
                <w:szCs w:val="24"/>
              </w:rPr>
            </w:pPr>
            <w:r>
              <w:rPr>
                <w:rFonts w:hint="eastAsia" w:ascii="仿宋_GB2312" w:hAnsi="等线" w:eastAsia="仿宋_GB2312" w:cs="宋体"/>
                <w:color w:val="000000"/>
                <w:kern w:val="0"/>
                <w:sz w:val="24"/>
                <w:lang w:val="en-US" w:eastAsia="zh-CN"/>
              </w:rPr>
              <w:t>持有人社部门颁发的</w:t>
            </w:r>
            <w:r>
              <w:rPr>
                <w:rFonts w:hint="eastAsia" w:ascii="仿宋_GB2312" w:hAnsi="等线" w:eastAsia="仿宋_GB2312" w:cs="宋体"/>
                <w:color w:val="000000"/>
                <w:kern w:val="0"/>
                <w:sz w:val="24"/>
              </w:rPr>
              <w:t>通信</w:t>
            </w:r>
            <w:r>
              <w:rPr>
                <w:rFonts w:hint="eastAsia" w:ascii="仿宋_GB2312" w:hAnsi="等线" w:eastAsia="仿宋_GB2312" w:cs="宋体"/>
                <w:color w:val="000000"/>
                <w:kern w:val="0"/>
                <w:sz w:val="24"/>
                <w:lang w:val="en-US" w:eastAsia="zh-CN"/>
              </w:rPr>
              <w:t>中级及以上</w:t>
            </w:r>
            <w:r>
              <w:rPr>
                <w:rFonts w:hint="eastAsia" w:ascii="仿宋_GB2312" w:hAnsi="等线" w:eastAsia="仿宋_GB2312" w:cs="宋体"/>
                <w:color w:val="000000"/>
                <w:kern w:val="0"/>
                <w:sz w:val="24"/>
              </w:rPr>
              <w:t>工程师证书（互联网技术</w:t>
            </w:r>
            <w:r>
              <w:rPr>
                <w:rFonts w:hint="eastAsia" w:ascii="仿宋_GB2312" w:hAnsi="等线" w:eastAsia="仿宋_GB2312" w:cs="宋体"/>
                <w:color w:val="000000"/>
                <w:kern w:val="0"/>
                <w:sz w:val="24"/>
                <w:lang w:val="en-US" w:eastAsia="zh-CN"/>
              </w:rPr>
              <w:t>专业类别</w:t>
            </w:r>
            <w:r>
              <w:rPr>
                <w:rFonts w:hint="eastAsia" w:ascii="仿宋_GB2312" w:hAnsi="等线" w:eastAsia="仿宋_GB2312" w:cs="宋体"/>
                <w:color w:val="000000"/>
                <w:kern w:val="0"/>
                <w:sz w:val="24"/>
              </w:rPr>
              <w:t>）的</w:t>
            </w:r>
            <w:r>
              <w:rPr>
                <w:rFonts w:hint="eastAsia" w:ascii="仿宋_GB2312" w:hAnsi="等线" w:eastAsia="仿宋_GB2312" w:cs="宋体"/>
                <w:color w:val="000000"/>
                <w:kern w:val="0"/>
                <w:sz w:val="24"/>
                <w:lang w:val="en-US" w:eastAsia="zh-CN"/>
              </w:rPr>
              <w:t>得1分；</w:t>
            </w:r>
          </w:p>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szCs w:val="24"/>
                <w:lang w:val="en"/>
              </w:rPr>
            </w:pPr>
            <w:r>
              <w:rPr>
                <w:rFonts w:hint="eastAsia" w:ascii="仿宋_GB2312" w:hAnsi="仿宋_GB2312" w:eastAsia="仿宋_GB2312" w:cs="仿宋_GB2312"/>
                <w:kern w:val="0"/>
                <w:sz w:val="24"/>
                <w:szCs w:val="24"/>
                <w:lang w:val="en-US" w:eastAsia="zh-CN"/>
              </w:rPr>
              <w:t>二、</w:t>
            </w:r>
            <w:r>
              <w:rPr>
                <w:rFonts w:hint="eastAsia" w:ascii="仿宋_GB2312" w:hAnsi="仿宋_GB2312" w:eastAsia="仿宋_GB2312" w:cs="仿宋_GB2312"/>
                <w:kern w:val="0"/>
                <w:sz w:val="24"/>
                <w:szCs w:val="24"/>
              </w:rPr>
              <w:t>拟派项目技术负责人</w:t>
            </w:r>
            <w:r>
              <w:rPr>
                <w:rFonts w:hint="eastAsia" w:ascii="仿宋_GB2312" w:hAnsi="仿宋_GB2312" w:eastAsia="仿宋_GB2312" w:cs="仿宋_GB2312"/>
                <w:kern w:val="0"/>
                <w:sz w:val="24"/>
                <w:szCs w:val="24"/>
                <w:lang w:val="en"/>
              </w:rPr>
              <w:t>：</w:t>
            </w:r>
          </w:p>
          <w:p>
            <w:pPr>
              <w:pStyle w:val="19"/>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 w:hAnsi="仿宋" w:eastAsia="仿宋" w:cs="仿宋"/>
                <w:sz w:val="24"/>
                <w:lang w:val="en-US" w:eastAsia="zh-CN"/>
              </w:rPr>
              <w:t>1.</w:t>
            </w:r>
            <w:r>
              <w:rPr>
                <w:rFonts w:hint="eastAsia" w:ascii="仿宋_GB2312" w:hAnsi="等线" w:eastAsia="仿宋_GB2312" w:cs="宋体"/>
                <w:color w:val="000000"/>
                <w:kern w:val="0"/>
                <w:sz w:val="24"/>
                <w:lang w:val="en-US" w:eastAsia="zh-CN"/>
              </w:rPr>
              <w:t>持有人社部门颁发的信息系统项目管理师证书的得1分</w:t>
            </w:r>
            <w:r>
              <w:rPr>
                <w:rFonts w:hint="eastAsia" w:ascii="仿宋_GB2312" w:hAnsi="仿宋_GB2312" w:eastAsia="仿宋_GB2312" w:cs="仿宋_GB2312"/>
                <w:color w:val="auto"/>
                <w:sz w:val="24"/>
                <w:szCs w:val="24"/>
                <w:highlight w:val="none"/>
                <w:lang w:val="en-US" w:eastAsia="zh-CN"/>
              </w:rPr>
              <w:t>；</w:t>
            </w:r>
          </w:p>
          <w:p>
            <w:pPr>
              <w:pStyle w:val="19"/>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等线" w:eastAsia="仿宋_GB2312" w:cs="宋体"/>
                <w:color w:val="000000"/>
                <w:kern w:val="0"/>
                <w:sz w:val="24"/>
                <w:lang w:val="en-US" w:eastAsia="zh-CN"/>
              </w:rPr>
              <w:t>持有人社部门颁发的</w:t>
            </w:r>
            <w:r>
              <w:rPr>
                <w:rFonts w:hint="eastAsia" w:ascii="仿宋_GB2312" w:hAnsi="仿宋_GB2312" w:eastAsia="仿宋_GB2312" w:cs="仿宋_GB2312"/>
                <w:color w:val="auto"/>
                <w:sz w:val="24"/>
                <w:szCs w:val="24"/>
                <w:highlight w:val="none"/>
                <w:lang w:val="en-US" w:eastAsia="zh-CN"/>
              </w:rPr>
              <w:t>网络工程师</w:t>
            </w:r>
            <w:r>
              <w:rPr>
                <w:rFonts w:hint="eastAsia" w:ascii="仿宋_GB2312" w:hAnsi="等线" w:eastAsia="仿宋_GB2312" w:cs="宋体"/>
                <w:color w:val="000000"/>
                <w:kern w:val="0"/>
                <w:sz w:val="24"/>
                <w:lang w:val="en-US" w:eastAsia="zh-CN"/>
              </w:rPr>
              <w:t>证书的得1分</w:t>
            </w:r>
            <w:r>
              <w:rPr>
                <w:rFonts w:hint="eastAsia" w:ascii="仿宋_GB2312" w:hAnsi="仿宋_GB2312" w:eastAsia="仿宋_GB2312" w:cs="仿宋_GB2312"/>
                <w:color w:val="auto"/>
                <w:sz w:val="24"/>
                <w:szCs w:val="24"/>
                <w:highlight w:val="none"/>
                <w:lang w:val="en-US" w:eastAsia="zh-CN"/>
              </w:rPr>
              <w:t>；</w:t>
            </w:r>
          </w:p>
          <w:p>
            <w:pPr>
              <w:pStyle w:val="19"/>
              <w:keepNext w:val="0"/>
              <w:keepLines w:val="0"/>
              <w:pageBreakBefore w:val="0"/>
              <w:kinsoku/>
              <w:wordWrap/>
              <w:overflowPunct/>
              <w:topLinePunct w:val="0"/>
              <w:autoSpaceDE/>
              <w:autoSpaceDN/>
              <w:bidi w:val="0"/>
              <w:adjustRightInd w:val="0"/>
              <w:spacing w:line="440" w:lineRule="exact"/>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等线" w:eastAsia="仿宋_GB2312" w:cs="宋体"/>
                <w:color w:val="000000"/>
                <w:kern w:val="0"/>
                <w:sz w:val="24"/>
                <w:lang w:val="en-US" w:eastAsia="zh-CN"/>
              </w:rPr>
              <w:t>持有人社部门颁发的工程类或技术类高级及以上工程师证书的得1分；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kern w:val="0"/>
                <w:sz w:val="24"/>
                <w:szCs w:val="24"/>
              </w:rPr>
              <w:t>拟派</w:t>
            </w:r>
            <w:r>
              <w:rPr>
                <w:rFonts w:hint="eastAsia" w:ascii="仿宋_GB2312" w:hAnsi="等线" w:eastAsia="仿宋_GB2312" w:cs="宋体"/>
                <w:color w:val="000000"/>
                <w:kern w:val="0"/>
                <w:sz w:val="24"/>
              </w:rPr>
              <w:t>项目团队人员</w:t>
            </w:r>
            <w:r>
              <w:rPr>
                <w:rFonts w:hint="eastAsia" w:ascii="仿宋_GB2312" w:eastAsia="仿宋_GB2312"/>
                <w:sz w:val="24"/>
              </w:rPr>
              <w:t>持有</w:t>
            </w:r>
            <w:r>
              <w:rPr>
                <w:rFonts w:hint="eastAsia" w:ascii="仿宋_GB2312" w:hAnsi="仿宋_GB2312" w:eastAsia="仿宋_GB2312" w:cs="仿宋_GB2312"/>
                <w:color w:val="auto"/>
                <w:sz w:val="24"/>
                <w:szCs w:val="24"/>
                <w:highlight w:val="none"/>
                <w:lang w:val="en-US" w:eastAsia="zh-CN"/>
              </w:rPr>
              <w:t>中国信息安全测评中心</w:t>
            </w:r>
            <w:r>
              <w:rPr>
                <w:rFonts w:hint="eastAsia" w:ascii="仿宋_GB2312" w:hAnsi="等线" w:eastAsia="仿宋_GB2312" w:cs="宋体"/>
                <w:color w:val="000000"/>
                <w:kern w:val="0"/>
                <w:sz w:val="24"/>
                <w:lang w:val="en-US" w:eastAsia="zh-CN"/>
              </w:rPr>
              <w:t>颁发的</w:t>
            </w:r>
            <w:r>
              <w:rPr>
                <w:rFonts w:hint="eastAsia" w:ascii="仿宋_GB2312" w:hAnsi="等线" w:eastAsia="仿宋_GB2312" w:cs="宋体"/>
                <w:color w:val="000000"/>
                <w:kern w:val="0"/>
                <w:sz w:val="24"/>
              </w:rPr>
              <w:t>信息安全认证工程师</w:t>
            </w:r>
            <w:r>
              <w:rPr>
                <w:rFonts w:hint="eastAsia" w:ascii="仿宋_GB2312" w:hAnsi="等线" w:eastAsia="仿宋_GB2312" w:cs="宋体"/>
                <w:color w:val="000000"/>
                <w:kern w:val="0"/>
                <w:sz w:val="24"/>
                <w:lang w:val="en-US" w:eastAsia="zh-CN"/>
              </w:rPr>
              <w:t>证书的，每有1本得1分，最高得2分</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kern w:val="0"/>
                <w:sz w:val="24"/>
                <w:szCs w:val="24"/>
              </w:rPr>
              <w:t>拟派项目现场实施团队</w:t>
            </w:r>
            <w:r>
              <w:rPr>
                <w:rFonts w:hint="eastAsia" w:ascii="仿宋_GB2312" w:hAnsi="仿宋_GB2312" w:eastAsia="仿宋_GB2312" w:cs="仿宋_GB2312"/>
                <w:kern w:val="0"/>
                <w:sz w:val="24"/>
                <w:szCs w:val="24"/>
                <w:lang w:eastAsia="zh-CN"/>
              </w:rPr>
              <w:t>：</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等线" w:eastAsia="仿宋_GB2312" w:cs="宋体"/>
                <w:color w:val="000000"/>
                <w:kern w:val="0"/>
                <w:sz w:val="24"/>
              </w:rPr>
            </w:pPr>
            <w:r>
              <w:rPr>
                <w:rFonts w:hint="eastAsia" w:ascii="仿宋_GB2312" w:hAnsi="等线" w:eastAsia="仿宋_GB2312" w:cs="宋体"/>
                <w:color w:val="000000"/>
                <w:kern w:val="0"/>
                <w:sz w:val="24"/>
              </w:rPr>
              <w:t>1</w:t>
            </w:r>
            <w:r>
              <w:rPr>
                <w:rFonts w:hint="eastAsia" w:ascii="仿宋_GB2312" w:hAnsi="等线" w:eastAsia="仿宋_GB2312" w:cs="宋体"/>
                <w:color w:val="000000"/>
                <w:kern w:val="0"/>
                <w:sz w:val="24"/>
                <w:lang w:val="en-US" w:eastAsia="zh-CN"/>
              </w:rPr>
              <w:t>.</w:t>
            </w:r>
            <w:r>
              <w:rPr>
                <w:rFonts w:hint="eastAsia" w:ascii="仿宋_GB2312" w:hAnsi="等线" w:eastAsia="仿宋_GB2312" w:cs="宋体"/>
                <w:color w:val="000000"/>
                <w:kern w:val="0"/>
                <w:sz w:val="24"/>
              </w:rPr>
              <w:t>持有应急管理部门颁发或监制的特种作业操作证（低压电工作业）的，每有1本得0.5分，最高得3分；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等线" w:eastAsia="仿宋_GB2312" w:cs="宋体"/>
                <w:color w:val="000000"/>
                <w:kern w:val="0"/>
                <w:sz w:val="24"/>
                <w:lang w:eastAsia="zh-CN"/>
              </w:rPr>
            </w:pPr>
            <w:r>
              <w:rPr>
                <w:rFonts w:hint="eastAsia" w:ascii="仿宋_GB2312" w:hAnsi="等线" w:eastAsia="仿宋_GB2312" w:cs="宋体"/>
                <w:color w:val="000000"/>
                <w:kern w:val="0"/>
                <w:sz w:val="24"/>
              </w:rPr>
              <w:t>2</w:t>
            </w:r>
            <w:r>
              <w:rPr>
                <w:rFonts w:hint="eastAsia" w:ascii="仿宋_GB2312" w:hAnsi="等线" w:eastAsia="仿宋_GB2312" w:cs="宋体"/>
                <w:color w:val="000000"/>
                <w:kern w:val="0"/>
                <w:sz w:val="24"/>
                <w:lang w:val="en-US" w:eastAsia="zh-CN"/>
              </w:rPr>
              <w:t>.</w:t>
            </w:r>
            <w:r>
              <w:rPr>
                <w:rFonts w:hint="eastAsia" w:ascii="仿宋_GB2312" w:eastAsia="仿宋_GB2312"/>
                <w:sz w:val="24"/>
              </w:rPr>
              <w:t>持有应急管理部门颁发或监制的特种作业操作证（登高作业证）</w:t>
            </w:r>
            <w:r>
              <w:rPr>
                <w:rFonts w:hint="eastAsia" w:ascii="仿宋_GB2312" w:hAnsi="等线" w:eastAsia="仿宋_GB2312" w:cs="宋体"/>
                <w:color w:val="000000"/>
                <w:kern w:val="0"/>
                <w:sz w:val="24"/>
              </w:rPr>
              <w:t>，每有1本得0.5分，最高得3分</w:t>
            </w:r>
            <w:r>
              <w:rPr>
                <w:rFonts w:hint="eastAsia" w:ascii="仿宋_GB2312" w:hAnsi="等线" w:eastAsia="仿宋_GB2312" w:cs="宋体"/>
                <w:color w:val="000000"/>
                <w:kern w:val="0"/>
                <w:sz w:val="24"/>
                <w:lang w:eastAsia="zh-CN"/>
              </w:rPr>
              <w:t>；</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等线" w:eastAsia="仿宋_GB2312" w:cs="宋体"/>
                <w:color w:val="000000"/>
                <w:kern w:val="0"/>
                <w:sz w:val="24"/>
                <w:lang w:val="en-US" w:eastAsia="zh-CN"/>
              </w:rPr>
            </w:pPr>
            <w:r>
              <w:rPr>
                <w:rFonts w:hint="eastAsia" w:ascii="仿宋_GB2312" w:hAnsi="等线" w:eastAsia="仿宋_GB2312" w:cs="宋体"/>
                <w:color w:val="000000"/>
                <w:kern w:val="0"/>
                <w:sz w:val="24"/>
                <w:lang w:val="en-US" w:eastAsia="zh-CN"/>
              </w:rPr>
              <w:t>五、拟派项目售后负责人：</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eastAsia="仿宋_GB2312"/>
                <w:sz w:val="24"/>
                <w:lang w:val="en-US" w:eastAsia="zh-CN"/>
              </w:rPr>
            </w:pPr>
            <w:r>
              <w:rPr>
                <w:rFonts w:hint="eastAsia" w:ascii="仿宋_GB2312" w:hAnsi="等线" w:eastAsia="仿宋_GB2312" w:cs="宋体"/>
                <w:color w:val="000000"/>
                <w:kern w:val="0"/>
                <w:sz w:val="24"/>
                <w:lang w:val="en-US" w:eastAsia="zh-CN"/>
              </w:rPr>
              <w:t>1.</w:t>
            </w:r>
            <w:r>
              <w:rPr>
                <w:rFonts w:hint="eastAsia" w:ascii="仿宋_GB2312" w:eastAsia="仿宋_GB2312"/>
                <w:sz w:val="24"/>
              </w:rPr>
              <w:t>持有</w:t>
            </w:r>
            <w:r>
              <w:rPr>
                <w:rFonts w:hint="eastAsia" w:ascii="仿宋_GB2312" w:eastAsia="仿宋_GB2312"/>
                <w:sz w:val="24"/>
                <w:lang w:val="en-US" w:eastAsia="zh-CN"/>
              </w:rPr>
              <w:t>住建部</w:t>
            </w:r>
            <w:r>
              <w:rPr>
                <w:rFonts w:hint="eastAsia" w:ascii="仿宋_GB2312" w:eastAsia="仿宋_GB2312"/>
                <w:sz w:val="24"/>
              </w:rPr>
              <w:t>颁发</w:t>
            </w:r>
            <w:r>
              <w:rPr>
                <w:rFonts w:hint="eastAsia" w:ascii="仿宋_GB2312" w:eastAsia="仿宋_GB2312"/>
                <w:sz w:val="24"/>
                <w:lang w:val="en-US" w:eastAsia="zh-CN"/>
              </w:rPr>
              <w:t>的二级及以上建造师（机电工程</w:t>
            </w:r>
            <w:r>
              <w:rPr>
                <w:rFonts w:hint="eastAsia" w:ascii="仿宋_GB2312" w:hAnsi="等线" w:eastAsia="仿宋_GB2312" w:cs="宋体"/>
                <w:color w:val="000000"/>
                <w:kern w:val="0"/>
                <w:sz w:val="24"/>
                <w:lang w:val="en-US" w:eastAsia="zh-CN"/>
              </w:rPr>
              <w:t>专业类别</w:t>
            </w:r>
            <w:r>
              <w:rPr>
                <w:rFonts w:hint="eastAsia" w:ascii="仿宋_GB2312" w:eastAsia="仿宋_GB2312"/>
                <w:sz w:val="24"/>
                <w:lang w:val="en-US" w:eastAsia="zh-CN"/>
              </w:rPr>
              <w:t>）证书的得1分；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eastAsia="仿宋_GB2312"/>
                <w:sz w:val="24"/>
                <w:lang w:val="en-US" w:eastAsia="zh-CN"/>
              </w:rPr>
            </w:pPr>
            <w:r>
              <w:rPr>
                <w:rFonts w:hint="eastAsia" w:ascii="仿宋_GB2312" w:eastAsia="仿宋_GB2312"/>
                <w:sz w:val="24"/>
                <w:lang w:val="en-US" w:eastAsia="zh-CN"/>
              </w:rPr>
              <w:t>2.</w:t>
            </w:r>
            <w:r>
              <w:rPr>
                <w:rFonts w:hint="eastAsia" w:ascii="仿宋_GB2312" w:hAnsi="等线" w:eastAsia="仿宋_GB2312" w:cs="宋体"/>
                <w:color w:val="000000"/>
                <w:kern w:val="0"/>
                <w:sz w:val="24"/>
                <w:lang w:val="en-US" w:eastAsia="zh-CN"/>
              </w:rPr>
              <w:t>持有人社部门颁发的系统</w:t>
            </w:r>
            <w:r>
              <w:rPr>
                <w:rFonts w:hint="eastAsia" w:ascii="仿宋_GB2312" w:hAnsi="等线" w:eastAsia="仿宋_GB2312" w:cs="宋体"/>
                <w:color w:val="000000"/>
                <w:kern w:val="0"/>
                <w:sz w:val="24"/>
              </w:rPr>
              <w:t>集成</w:t>
            </w:r>
            <w:r>
              <w:rPr>
                <w:rFonts w:hint="eastAsia" w:ascii="仿宋_GB2312" w:hAnsi="等线" w:eastAsia="仿宋_GB2312" w:cs="宋体"/>
                <w:color w:val="000000"/>
                <w:kern w:val="0"/>
                <w:sz w:val="24"/>
                <w:lang w:val="en-US" w:eastAsia="zh-CN"/>
              </w:rPr>
              <w:t>项目管理</w:t>
            </w:r>
            <w:r>
              <w:rPr>
                <w:rFonts w:hint="eastAsia" w:ascii="仿宋_GB2312" w:hAnsi="等线" w:eastAsia="仿宋_GB2312" w:cs="宋体"/>
                <w:color w:val="000000"/>
                <w:kern w:val="0"/>
                <w:sz w:val="24"/>
              </w:rPr>
              <w:t>工程师证书的</w:t>
            </w:r>
            <w:r>
              <w:rPr>
                <w:rFonts w:hint="eastAsia" w:ascii="仿宋_GB2312" w:eastAsia="仿宋_GB2312"/>
                <w:sz w:val="24"/>
                <w:lang w:val="en-US" w:eastAsia="zh-CN"/>
              </w:rPr>
              <w:t>得1分；</w:t>
            </w:r>
          </w:p>
          <w:p>
            <w:pPr>
              <w:keepNext w:val="0"/>
              <w:keepLines w:val="0"/>
              <w:pageBreakBefore w:val="0"/>
              <w:kinsoku/>
              <w:wordWrap/>
              <w:overflowPunct/>
              <w:topLinePunct w:val="0"/>
              <w:autoSpaceDE/>
              <w:autoSpaceDN/>
              <w:bidi w:val="0"/>
              <w:adjustRightInd w:val="0"/>
              <w:spacing w:line="440" w:lineRule="exact"/>
              <w:jc w:val="left"/>
              <w:textAlignment w:val="auto"/>
              <w:rPr>
                <w:rFonts w:hint="default"/>
                <w:lang w:val="en-US" w:eastAsia="zh-CN"/>
              </w:rPr>
            </w:pPr>
            <w:r>
              <w:rPr>
                <w:rFonts w:hint="eastAsia" w:ascii="仿宋_GB2312" w:eastAsia="仿宋_GB2312"/>
                <w:sz w:val="24"/>
                <w:lang w:val="en-US" w:eastAsia="zh-CN"/>
              </w:rPr>
              <w:t>六、</w:t>
            </w:r>
            <w:r>
              <w:rPr>
                <w:rFonts w:hint="eastAsia" w:ascii="仿宋_GB2312" w:hAnsi="等线" w:eastAsia="仿宋_GB2312" w:cs="宋体"/>
                <w:color w:val="000000"/>
                <w:kern w:val="0"/>
                <w:sz w:val="24"/>
                <w:lang w:val="en-US" w:eastAsia="zh-CN"/>
              </w:rPr>
              <w:t>拟派</w:t>
            </w:r>
            <w:r>
              <w:rPr>
                <w:rFonts w:hint="eastAsia" w:ascii="仿宋_GB2312" w:hAnsi="等线" w:eastAsia="仿宋_GB2312" w:cs="宋体"/>
                <w:color w:val="000000"/>
                <w:kern w:val="0"/>
                <w:sz w:val="24"/>
              </w:rPr>
              <w:t>售后服务维护团队人员</w:t>
            </w:r>
            <w:r>
              <w:rPr>
                <w:rFonts w:hint="eastAsia" w:ascii="仿宋_GB2312" w:hAnsi="等线" w:eastAsia="仿宋_GB2312" w:cs="宋体"/>
                <w:color w:val="000000"/>
                <w:kern w:val="0"/>
                <w:sz w:val="24"/>
                <w:lang w:val="en-US" w:eastAsia="zh-CN"/>
              </w:rPr>
              <w:t>持有人社部门颁发的信息系统项目管理师证书的，每有1本得1分，最高得2分。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注：以上所有的团队人员须为投标人的在职正式员工，一人多证不重复得分，提供以上相关人员本单位的社保证明材料及相关证书材料复印件并加盖投标人公章,否则不得分。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6</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等线" w:eastAsia="仿宋_GB2312" w:cs="宋体"/>
                <w:color w:val="000000"/>
                <w:kern w:val="0"/>
                <w:sz w:val="24"/>
              </w:rPr>
              <w:t>通信线路</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投标人若采用自有管线组网的得3分，但需持有固定网通信运营商资格或有线电视网络运营商证明文件，投标文件中提供相关证明复印件并加盖投标人公章，未提供证明不得分；</w:t>
            </w:r>
          </w:p>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3分，未提供不得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7</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等线" w:eastAsia="仿宋_GB2312" w:cs="宋体"/>
                <w:color w:val="000000"/>
                <w:kern w:val="0"/>
                <w:sz w:val="24"/>
              </w:rPr>
              <w:t>售后服务方案</w:t>
            </w:r>
          </w:p>
        </w:tc>
        <w:tc>
          <w:tcPr>
            <w:tcW w:w="6416" w:type="dxa"/>
            <w:vAlign w:val="center"/>
          </w:tcPr>
          <w:p>
            <w:pPr>
              <w:keepNext w:val="0"/>
              <w:keepLines w:val="0"/>
              <w:pageBreakBefore w:val="0"/>
              <w:kinsoku/>
              <w:wordWrap/>
              <w:overflowPunct/>
              <w:topLinePunct w:val="0"/>
              <w:autoSpaceDE/>
              <w:autoSpaceDN/>
              <w:bidi w:val="0"/>
              <w:adjustRightInd w:val="0"/>
              <w:spacing w:line="440" w:lineRule="exact"/>
              <w:jc w:val="left"/>
              <w:textAlignment w:val="auto"/>
              <w:rPr>
                <w:rFonts w:hint="eastAsia" w:ascii="仿宋_GB2312" w:hAnsi="仿宋_GB2312" w:eastAsia="仿宋_GB2312" w:cs="仿宋_GB2312"/>
                <w:bCs/>
                <w:iCs/>
                <w:color w:val="auto"/>
                <w:sz w:val="24"/>
                <w:szCs w:val="24"/>
                <w:highlight w:val="none"/>
                <w:lang w:eastAsia="zh-CN"/>
              </w:rPr>
            </w:pPr>
            <w:r>
              <w:rPr>
                <w:rFonts w:hint="eastAsia" w:ascii="仿宋_GB2312" w:hAnsi="等线" w:eastAsia="仿宋_GB2312" w:cs="宋体"/>
                <w:color w:val="000000"/>
                <w:kern w:val="0"/>
                <w:sz w:val="24"/>
              </w:rPr>
              <w:t>根据投标人</w:t>
            </w:r>
            <w:r>
              <w:rPr>
                <w:rFonts w:hint="eastAsia" w:ascii="仿宋_GB2312" w:hAnsi="等线" w:eastAsia="仿宋_GB2312" w:cs="宋体"/>
                <w:color w:val="000000"/>
                <w:kern w:val="0"/>
                <w:sz w:val="24"/>
                <w:lang w:val="en-US" w:eastAsia="zh-CN"/>
              </w:rPr>
              <w:t>提供</w:t>
            </w:r>
            <w:r>
              <w:rPr>
                <w:rFonts w:hint="eastAsia" w:ascii="仿宋_GB2312" w:hAnsi="等线" w:eastAsia="仿宋_GB2312" w:cs="宋体"/>
                <w:color w:val="000000"/>
                <w:kern w:val="0"/>
                <w:sz w:val="24"/>
              </w:rPr>
              <w:t>的售后服务方案进行打分，</w:t>
            </w:r>
            <w:r>
              <w:rPr>
                <w:rFonts w:hint="eastAsia" w:ascii="仿宋_GB2312" w:hAnsi="仿宋_GB2312" w:eastAsia="仿宋_GB2312" w:cs="仿宋_GB2312"/>
                <w:sz w:val="24"/>
              </w:rPr>
              <w:t>包括但不限于</w:t>
            </w:r>
            <w:r>
              <w:rPr>
                <w:rFonts w:hint="eastAsia" w:ascii="仿宋_GB2312" w:hAnsi="等线" w:eastAsia="仿宋_GB2312" w:cs="宋体"/>
                <w:color w:val="000000"/>
                <w:kern w:val="0"/>
                <w:sz w:val="24"/>
              </w:rPr>
              <w:t>响应速度、服务内容、突发事件应对措施、备品备件管理制度等方面。（本项分值设置为3,2.5,2,1.5,1,0.5,0分）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8</w:t>
            </w:r>
          </w:p>
        </w:tc>
        <w:tc>
          <w:tcPr>
            <w:tcW w:w="1413"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培训方案</w:t>
            </w:r>
          </w:p>
        </w:tc>
        <w:tc>
          <w:tcPr>
            <w:tcW w:w="6416" w:type="dxa"/>
            <w:vAlign w:val="center"/>
          </w:tcPr>
          <w:p>
            <w:pPr>
              <w:pStyle w:val="19"/>
              <w:keepNext w:val="0"/>
              <w:keepLines w:val="0"/>
              <w:pageBreakBefore w:val="0"/>
              <w:kinsoku/>
              <w:wordWrap/>
              <w:overflowPunct/>
              <w:topLinePunct w:val="0"/>
              <w:autoSpaceDE/>
              <w:autoSpaceDN/>
              <w:bidi w:val="0"/>
              <w:adjustRightInd w:val="0"/>
              <w:spacing w:line="440" w:lineRule="exact"/>
              <w:textAlignment w:val="auto"/>
              <w:rPr>
                <w:rFonts w:hint="eastAsia" w:ascii="仿宋_GB2312" w:hAnsi="仿宋_GB2312" w:eastAsia="仿宋_GB2312" w:cs="仿宋_GB2312"/>
                <w:bCs/>
                <w:iCs/>
                <w:color w:val="auto"/>
                <w:sz w:val="24"/>
                <w:szCs w:val="24"/>
                <w:highlight w:val="none"/>
              </w:rPr>
            </w:pPr>
            <w:r>
              <w:rPr>
                <w:rFonts w:hint="eastAsia" w:ascii="仿宋_GB2312" w:hAnsi="等线" w:eastAsia="仿宋_GB2312" w:cs="宋体"/>
                <w:color w:val="000000"/>
                <w:kern w:val="0"/>
                <w:sz w:val="24"/>
              </w:rPr>
              <w:t>根据投标人</w:t>
            </w:r>
            <w:r>
              <w:rPr>
                <w:rFonts w:hint="eastAsia" w:ascii="仿宋_GB2312" w:hAnsi="等线" w:eastAsia="仿宋_GB2312" w:cs="宋体"/>
                <w:color w:val="000000"/>
                <w:kern w:val="0"/>
                <w:sz w:val="24"/>
                <w:lang w:val="en-US" w:eastAsia="zh-CN"/>
              </w:rPr>
              <w:t>提供</w:t>
            </w:r>
            <w:r>
              <w:rPr>
                <w:rFonts w:hint="eastAsia" w:ascii="仿宋_GB2312" w:hAnsi="等线" w:eastAsia="仿宋_GB2312" w:cs="宋体"/>
                <w:color w:val="000000"/>
                <w:kern w:val="0"/>
                <w:sz w:val="24"/>
              </w:rPr>
              <w:t>的培训方案进行打分，</w:t>
            </w:r>
            <w:r>
              <w:rPr>
                <w:rFonts w:hint="eastAsia" w:ascii="仿宋_GB2312" w:hAnsi="仿宋_GB2312" w:eastAsia="仿宋_GB2312" w:cs="仿宋_GB2312"/>
                <w:sz w:val="24"/>
              </w:rPr>
              <w:t>包括但不限于</w:t>
            </w:r>
            <w:r>
              <w:rPr>
                <w:rFonts w:hint="eastAsia" w:ascii="仿宋_GB2312" w:hAnsi="等线" w:eastAsia="仿宋_GB2312" w:cs="宋体"/>
                <w:color w:val="000000"/>
                <w:kern w:val="0"/>
                <w:sz w:val="24"/>
              </w:rPr>
              <w:t>课程资料、培训内容、培训讲师等方面。（本项分值设置为2,1.5,1,0.5,0分）</w:t>
            </w:r>
          </w:p>
        </w:tc>
        <w:tc>
          <w:tcPr>
            <w:tcW w:w="786" w:type="dxa"/>
            <w:vAlign w:val="center"/>
          </w:tcPr>
          <w:p>
            <w:pPr>
              <w:keepNext w:val="0"/>
              <w:keepLines w:val="0"/>
              <w:pageBreakBefore w:val="0"/>
              <w:kinsoku/>
              <w:wordWrap/>
              <w:overflowPunct/>
              <w:topLinePunct w:val="0"/>
              <w:autoSpaceDE/>
              <w:autoSpaceDN/>
              <w:bidi w:val="0"/>
              <w:adjustRightInd w:val="0"/>
              <w:spacing w:line="440" w:lineRule="exact"/>
              <w:jc w:val="center"/>
              <w:textAlignment w:val="auto"/>
              <w:rPr>
                <w:rFonts w:hint="default"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pPr>
        <w:pStyle w:val="23"/>
        <w:rPr>
          <w:rFonts w:hint="eastAsia" w:ascii="仿宋_GB2312" w:hAnsi="仿宋_GB2312" w:eastAsia="仿宋_GB2312" w:cs="仿宋_GB2312"/>
          <w:color w:val="auto"/>
          <w:lang w:val="en-US" w:eastAsia="zh-CN"/>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绍兴市公安局“雪亮工程”市本级前端1833个视频监控租赁服务项目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2025-06-0054</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5"/>
        <w:numPr>
          <w:ilvl w:val="0"/>
          <w:numId w:val="8"/>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u w:val="single"/>
          <w:lang w:eastAsia="zh-CN"/>
        </w:rPr>
        <w:t>绍兴市公安局</w:t>
      </w:r>
      <w:r>
        <w:rPr>
          <w:rFonts w:hint="eastAsia" w:ascii="仿宋_GB2312" w:hAnsi="仿宋_GB2312" w:eastAsia="仿宋_GB2312" w:cs="仿宋_GB2312"/>
          <w:color w:val="auto"/>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绍兴市公安局、绍兴市公共资源交易中心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绍兴市公安局“雪亮工程”市本级前端1833个视频监控租赁服务项目（招标编号:2025-06-0054）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绍兴市公安局、绍兴市公共资源交易中心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绍兴市公安局“雪亮工程”市本级前端1833个视频监控租赁服务项目（招标编号:2025-06-0054）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80"/>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绍兴市公安局“雪亮工程”市本级前端1833个视频监控租赁服务项目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2025-06-0054</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3"/>
        <w:tblW w:w="1423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2"/>
        <w:gridCol w:w="2260"/>
        <w:gridCol w:w="1415"/>
        <w:gridCol w:w="1521"/>
        <w:gridCol w:w="2763"/>
        <w:gridCol w:w="2938"/>
        <w:gridCol w:w="230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1032" w:type="dxa"/>
            <w:vAlign w:val="center"/>
          </w:tcPr>
          <w:p>
            <w:pPr>
              <w:tabs>
                <w:tab w:val="left" w:pos="540"/>
              </w:tabs>
              <w:adjustRightInd w:val="0"/>
              <w:snapToGrid w:val="0"/>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序号</w:t>
            </w:r>
          </w:p>
        </w:tc>
        <w:tc>
          <w:tcPr>
            <w:tcW w:w="2260" w:type="dxa"/>
            <w:tcBorders>
              <w:right w:val="single" w:color="auto" w:sz="4" w:space="0"/>
            </w:tcBorders>
            <w:vAlign w:val="center"/>
          </w:tcPr>
          <w:p>
            <w:pPr>
              <w:adjustRightInd w:val="0"/>
              <w:snapToGrid w:val="0"/>
              <w:ind w:left="-107" w:leftChars="-51" w:right="-107" w:rightChars="-51" w:firstLine="2"/>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岗位类别名称</w:t>
            </w:r>
          </w:p>
        </w:tc>
        <w:tc>
          <w:tcPr>
            <w:tcW w:w="1415" w:type="dxa"/>
            <w:tcBorders>
              <w:left w:val="single" w:color="auto" w:sz="4" w:space="0"/>
            </w:tcBorders>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数量</w:t>
            </w:r>
          </w:p>
        </w:tc>
        <w:tc>
          <w:tcPr>
            <w:tcW w:w="1521" w:type="dxa"/>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单位</w:t>
            </w:r>
          </w:p>
        </w:tc>
        <w:tc>
          <w:tcPr>
            <w:tcW w:w="2763" w:type="dxa"/>
            <w:vAlign w:val="center"/>
          </w:tcPr>
          <w:p>
            <w:pPr>
              <w:adjustRightInd w:val="0"/>
              <w:snapToGrid w:val="0"/>
              <w:ind w:left="-107" w:leftChars="-51" w:right="-107" w:rightChars="-51" w:firstLine="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服务单价</w:t>
            </w:r>
          </w:p>
        </w:tc>
        <w:tc>
          <w:tcPr>
            <w:tcW w:w="2938" w:type="dxa"/>
            <w:vAlign w:val="center"/>
          </w:tcPr>
          <w:p>
            <w:pPr>
              <w:adjustRightInd w:val="0"/>
              <w:snapToGrid w:val="0"/>
              <w:ind w:left="30" w:leftChars="-51" w:right="-107" w:rightChars="-51" w:hanging="137" w:hangingChars="49"/>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服务总价</w:t>
            </w:r>
          </w:p>
        </w:tc>
        <w:tc>
          <w:tcPr>
            <w:tcW w:w="2308" w:type="dxa"/>
            <w:vAlign w:val="center"/>
          </w:tcPr>
          <w:p>
            <w:pPr>
              <w:tabs>
                <w:tab w:val="left" w:pos="1224"/>
              </w:tabs>
              <w:adjustRightInd w:val="0"/>
              <w:snapToGrid w:val="0"/>
              <w:ind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备注（如有）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032" w:type="dxa"/>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1</w:t>
            </w:r>
          </w:p>
        </w:tc>
        <w:tc>
          <w:tcPr>
            <w:tcW w:w="2260" w:type="dxa"/>
            <w:tcBorders>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保洁服务</w:t>
            </w:r>
          </w:p>
        </w:tc>
        <w:tc>
          <w:tcPr>
            <w:tcW w:w="1415" w:type="dxa"/>
            <w:tcBorders>
              <w:lef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111</w:t>
            </w:r>
          </w:p>
        </w:tc>
        <w:tc>
          <w:tcPr>
            <w:tcW w:w="1521" w:type="dxa"/>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岗</w:t>
            </w:r>
          </w:p>
        </w:tc>
        <w:tc>
          <w:tcPr>
            <w:tcW w:w="2763"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938"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308" w:type="dxa"/>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032" w:type="dxa"/>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2</w:t>
            </w:r>
          </w:p>
        </w:tc>
        <w:tc>
          <w:tcPr>
            <w:tcW w:w="2260" w:type="dxa"/>
            <w:tcBorders>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勤务（运送）服务</w:t>
            </w:r>
          </w:p>
        </w:tc>
        <w:tc>
          <w:tcPr>
            <w:tcW w:w="1415" w:type="dxa"/>
            <w:tcBorders>
              <w:left w:val="single" w:color="auto" w:sz="4" w:space="0"/>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59</w:t>
            </w:r>
          </w:p>
        </w:tc>
        <w:tc>
          <w:tcPr>
            <w:tcW w:w="1521" w:type="dxa"/>
            <w:tcBorders>
              <w:left w:val="single" w:color="auto" w:sz="4" w:space="0"/>
            </w:tcBorders>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岗</w:t>
            </w:r>
          </w:p>
        </w:tc>
        <w:tc>
          <w:tcPr>
            <w:tcW w:w="2763"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938"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308" w:type="dxa"/>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032" w:type="dxa"/>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3</w:t>
            </w:r>
          </w:p>
        </w:tc>
        <w:tc>
          <w:tcPr>
            <w:tcW w:w="2260" w:type="dxa"/>
            <w:tcBorders>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护工服务</w:t>
            </w:r>
          </w:p>
        </w:tc>
        <w:tc>
          <w:tcPr>
            <w:tcW w:w="1415" w:type="dxa"/>
            <w:tcBorders>
              <w:left w:val="single" w:color="auto" w:sz="4" w:space="0"/>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43</w:t>
            </w:r>
          </w:p>
        </w:tc>
        <w:tc>
          <w:tcPr>
            <w:tcW w:w="1521" w:type="dxa"/>
            <w:tcBorders>
              <w:left w:val="single" w:color="auto" w:sz="4" w:space="0"/>
            </w:tcBorders>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岗</w:t>
            </w:r>
          </w:p>
        </w:tc>
        <w:tc>
          <w:tcPr>
            <w:tcW w:w="2763"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938"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308" w:type="dxa"/>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032" w:type="dxa"/>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4</w:t>
            </w:r>
          </w:p>
        </w:tc>
        <w:tc>
          <w:tcPr>
            <w:tcW w:w="2260" w:type="dxa"/>
            <w:tcBorders>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特殊岗位服务</w:t>
            </w:r>
          </w:p>
        </w:tc>
        <w:tc>
          <w:tcPr>
            <w:tcW w:w="1415" w:type="dxa"/>
            <w:tcBorders>
              <w:left w:val="single" w:color="auto" w:sz="4" w:space="0"/>
              <w:right w:val="single" w:color="auto" w:sz="4" w:space="0"/>
            </w:tcBorders>
            <w:vAlign w:val="center"/>
          </w:tcPr>
          <w:p>
            <w:pPr>
              <w:adjustRightInd w:val="0"/>
              <w:snapToGrid w:val="0"/>
              <w:ind w:right="-134" w:rightChars="-64"/>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39</w:t>
            </w:r>
          </w:p>
        </w:tc>
        <w:tc>
          <w:tcPr>
            <w:tcW w:w="1521" w:type="dxa"/>
            <w:tcBorders>
              <w:left w:val="single" w:color="auto" w:sz="4" w:space="0"/>
            </w:tcBorders>
            <w:vAlign w:val="center"/>
          </w:tcPr>
          <w:p>
            <w:pPr>
              <w:adjustRightInd w:val="0"/>
              <w:snapToGrid w:val="0"/>
              <w:ind w:left="-107" w:leftChars="-51" w:right="-107" w:rightChars="-51"/>
              <w:jc w:val="center"/>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岗</w:t>
            </w:r>
          </w:p>
        </w:tc>
        <w:tc>
          <w:tcPr>
            <w:tcW w:w="2763"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938" w:type="dxa"/>
            <w:vAlign w:val="center"/>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c>
          <w:tcPr>
            <w:tcW w:w="2308" w:type="dxa"/>
          </w:tcPr>
          <w:p>
            <w:pPr>
              <w:adjustRightInd w:val="0"/>
              <w:snapToGrid w:val="0"/>
              <w:ind w:right="172" w:rightChars="82" w:firstLine="565" w:firstLineChars="202"/>
              <w:rPr>
                <w:rFonts w:hint="eastAsia" w:ascii="仿宋_GB2312" w:hAnsi="仿宋_GB2312" w:eastAsia="仿宋_GB2312" w:cs="仿宋_GB2312"/>
                <w:color w:val="auto"/>
                <w:spacing w:val="2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3292" w:type="dxa"/>
            <w:gridSpan w:val="2"/>
            <w:vMerge w:val="restart"/>
            <w:tcBorders>
              <w:right w:val="single" w:color="auto" w:sz="4" w:space="0"/>
            </w:tcBorders>
            <w:vAlign w:val="center"/>
          </w:tcPr>
          <w:p>
            <w:pPr>
              <w:adjustRightInd w:val="0"/>
              <w:snapToGrid w:val="0"/>
              <w:ind w:right="172" w:rightChars="82" w:firstLine="565" w:firstLineChars="202"/>
              <w:jc w:val="center"/>
              <w:rPr>
                <w:rFonts w:hint="eastAsia" w:ascii="仿宋_GB2312" w:hAnsi="仿宋_GB2312" w:eastAsia="仿宋_GB2312" w:cs="仿宋_GB2312"/>
                <w:color w:val="auto"/>
                <w:spacing w:val="20"/>
                <w:sz w:val="24"/>
                <w:szCs w:val="24"/>
                <w:lang w:eastAsia="zh-CN"/>
              </w:rPr>
            </w:pPr>
            <w:r>
              <w:rPr>
                <w:rFonts w:hint="eastAsia" w:ascii="仿宋_GB2312" w:hAnsi="仿宋_GB2312" w:eastAsia="仿宋_GB2312" w:cs="仿宋_GB2312"/>
                <w:color w:val="auto"/>
                <w:spacing w:val="20"/>
                <w:sz w:val="24"/>
                <w:szCs w:val="24"/>
              </w:rPr>
              <w:t>投标报价</w:t>
            </w:r>
          </w:p>
        </w:tc>
        <w:tc>
          <w:tcPr>
            <w:tcW w:w="10945" w:type="dxa"/>
            <w:gridSpan w:val="5"/>
            <w:tcBorders>
              <w:left w:val="single" w:color="auto" w:sz="4" w:space="0"/>
              <w:bottom w:val="single" w:color="auto" w:sz="4" w:space="0"/>
            </w:tcBorders>
            <w:vAlign w:val="center"/>
          </w:tcPr>
          <w:p>
            <w:pPr>
              <w:adjustRightInd w:val="0"/>
              <w:snapToGrid w:val="0"/>
              <w:ind w:right="172" w:rightChars="82"/>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3292" w:type="dxa"/>
            <w:gridSpan w:val="2"/>
            <w:vMerge w:val="continue"/>
            <w:tcBorders>
              <w:right w:val="single" w:color="auto" w:sz="4" w:space="0"/>
            </w:tcBorders>
            <w:vAlign w:val="center"/>
          </w:tcPr>
          <w:p>
            <w:pPr>
              <w:adjustRightInd w:val="0"/>
              <w:snapToGrid w:val="0"/>
              <w:ind w:right="172" w:rightChars="82" w:firstLine="565" w:firstLineChars="202"/>
              <w:jc w:val="center"/>
              <w:rPr>
                <w:rFonts w:hint="eastAsia" w:ascii="仿宋_GB2312" w:hAnsi="仿宋_GB2312" w:eastAsia="仿宋_GB2312" w:cs="仿宋_GB2312"/>
                <w:color w:val="auto"/>
                <w:spacing w:val="20"/>
                <w:sz w:val="24"/>
                <w:szCs w:val="24"/>
              </w:rPr>
            </w:pPr>
          </w:p>
        </w:tc>
        <w:tc>
          <w:tcPr>
            <w:tcW w:w="10945" w:type="dxa"/>
            <w:gridSpan w:val="5"/>
            <w:tcBorders>
              <w:top w:val="single" w:color="auto" w:sz="4" w:space="0"/>
              <w:left w:val="single" w:color="auto" w:sz="4" w:space="0"/>
            </w:tcBorders>
            <w:vAlign w:val="center"/>
          </w:tcPr>
          <w:p>
            <w:pPr>
              <w:adjustRightInd w:val="0"/>
              <w:snapToGrid w:val="0"/>
              <w:ind w:right="172" w:rightChars="82"/>
              <w:rPr>
                <w:rFonts w:hint="eastAsia" w:ascii="仿宋_GB2312" w:hAnsi="仿宋_GB2312" w:eastAsia="仿宋_GB2312" w:cs="仿宋_GB2312"/>
                <w:color w:val="auto"/>
                <w:spacing w:val="20"/>
                <w:sz w:val="24"/>
                <w:szCs w:val="24"/>
              </w:rPr>
            </w:pPr>
            <w:r>
              <w:rPr>
                <w:rFonts w:hint="eastAsia" w:ascii="仿宋_GB2312" w:hAnsi="仿宋_GB2312" w:eastAsia="仿宋_GB2312" w:cs="仿宋_GB2312"/>
                <w:color w:val="auto"/>
                <w:spacing w:val="20"/>
                <w:sz w:val="24"/>
                <w:szCs w:val="24"/>
              </w:rPr>
              <w:t>大写：</w:t>
            </w:r>
          </w:p>
        </w:tc>
      </w:tr>
    </w:tbl>
    <w:p>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绍兴市公安局“雪亮工程”市本级前端1833个视频监控租赁服务项目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2025-06-0054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绍兴市公安局“雪亮工程”市本级前端1833个视频监控租赁服务项目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2025-06-0054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60" w:name="_Hlk101131882"/>
      <w:r>
        <w:rPr>
          <w:rFonts w:hint="eastAsia" w:ascii="仿宋_GB2312" w:hAnsi="仿宋_GB2312" w:eastAsia="仿宋_GB2312" w:cs="仿宋_GB2312"/>
          <w:color w:val="auto"/>
          <w:kern w:val="0"/>
          <w:sz w:val="24"/>
          <w:highlight w:val="none"/>
          <w:u w:val="single"/>
        </w:rPr>
        <w:t>联合体成员X,……</w:t>
      </w:r>
      <w:bookmarkEnd w:id="160"/>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61"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61"/>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2"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2"/>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绍兴市公安局“雪亮工程”市本级前端1833个视频监控租赁服务项目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2025-06-0054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3" w:name="OLE_LINK14"/>
      <w:bookmarkStart w:id="164" w:name="OLE_LINK13"/>
      <w:r>
        <w:rPr>
          <w:rFonts w:hint="eastAsia" w:ascii="仿宋_GB2312" w:hAnsi="仿宋_GB2312" w:eastAsia="仿宋_GB2312" w:cs="仿宋_GB2312"/>
          <w:b/>
          <w:color w:val="auto"/>
          <w:spacing w:val="6"/>
          <w:sz w:val="32"/>
          <w:szCs w:val="32"/>
          <w:highlight w:val="none"/>
        </w:rPr>
        <w:t>残疾人福利性单位声明函</w:t>
      </w:r>
    </w:p>
    <w:bookmarkEnd w:id="163"/>
    <w:bookmarkEnd w:id="164"/>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绍兴市公安局“雪亮工程”市本级前端1833个视频监控租赁服务项目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3"/>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绍兴市公安局“雪亮工程”市本级前端1833个视频监控租赁服务项目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招标编号:2025-06-0054</w:t>
    </w:r>
  </w:p>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招标编号:2025-06-0054</w:t>
    </w:r>
  </w:p>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2"/>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6ABB8"/>
    <w:multiLevelType w:val="singleLevel"/>
    <w:tmpl w:val="BBD6ABB8"/>
    <w:lvl w:ilvl="0" w:tentative="0">
      <w:start w:val="23"/>
      <w:numFmt w:val="decimal"/>
      <w:suff w:val="nothing"/>
      <w:lvlText w:val="%1、"/>
      <w:lvlJc w:val="left"/>
    </w:lvl>
  </w:abstractNum>
  <w:abstractNum w:abstractNumId="1">
    <w:nsid w:val="EBC49209"/>
    <w:multiLevelType w:val="singleLevel"/>
    <w:tmpl w:val="EBC49209"/>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E23A953"/>
    <w:multiLevelType w:val="singleLevel"/>
    <w:tmpl w:val="0E23A953"/>
    <w:lvl w:ilvl="0" w:tentative="0">
      <w:start w:val="1"/>
      <w:numFmt w:val="decimal"/>
      <w:suff w:val="nothing"/>
      <w:lvlText w:val="%1、"/>
      <w:lvlJc w:val="left"/>
    </w:lvl>
  </w:abstractNum>
  <w:abstractNum w:abstractNumId="5">
    <w:nsid w:val="17E02E4C"/>
    <w:multiLevelType w:val="singleLevel"/>
    <w:tmpl w:val="17E02E4C"/>
    <w:lvl w:ilvl="0" w:tentative="0">
      <w:start w:val="1"/>
      <w:numFmt w:val="decimal"/>
      <w:suff w:val="nothing"/>
      <w:lvlText w:val="%1、"/>
      <w:lvlJc w:val="left"/>
    </w:lvl>
  </w:abstractNum>
  <w:abstractNum w:abstractNumId="6">
    <w:nsid w:val="41DB22BD"/>
    <w:multiLevelType w:val="multilevel"/>
    <w:tmpl w:val="41DB22BD"/>
    <w:lvl w:ilvl="0" w:tentative="0">
      <w:start w:val="1"/>
      <w:numFmt w:val="decimal"/>
      <w:lvlText w:val="（%1）"/>
      <w:lvlJc w:val="left"/>
      <w:pPr>
        <w:ind w:left="987"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14DB42"/>
    <w:multiLevelType w:val="singleLevel"/>
    <w:tmpl w:val="4414DB42"/>
    <w:lvl w:ilvl="0" w:tentative="0">
      <w:start w:val="1"/>
      <w:numFmt w:val="decimal"/>
      <w:suff w:val="nothing"/>
      <w:lvlText w:val="%1、"/>
      <w:lvlJc w:val="left"/>
    </w:lvl>
  </w:abstractNum>
  <w:abstractNum w:abstractNumId="8">
    <w:nsid w:val="5D257642"/>
    <w:multiLevelType w:val="singleLevel"/>
    <w:tmpl w:val="5D257642"/>
    <w:lvl w:ilvl="0" w:tentative="0">
      <w:start w:val="1"/>
      <w:numFmt w:val="decimal"/>
      <w:lvlText w:val="%1."/>
      <w:lvlJc w:val="left"/>
      <w:pPr>
        <w:tabs>
          <w:tab w:val="left" w:pos="312"/>
        </w:tabs>
      </w:pPr>
    </w:lvl>
  </w:abstractNum>
  <w:num w:numId="1">
    <w:abstractNumId w:val="7"/>
  </w:num>
  <w:num w:numId="2">
    <w:abstractNumId w:val="4"/>
  </w:num>
  <w:num w:numId="3">
    <w:abstractNumId w:val="1"/>
  </w:num>
  <w:num w:numId="4">
    <w:abstractNumId w:val="5"/>
  </w:num>
  <w:num w:numId="5">
    <w:abstractNumId w:val="0"/>
  </w:num>
  <w:num w:numId="6">
    <w:abstractNumId w:val="6"/>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EA521F"/>
    <w:rsid w:val="09392985"/>
    <w:rsid w:val="0C080F2B"/>
    <w:rsid w:val="0D05270C"/>
    <w:rsid w:val="0ED066DD"/>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5B74D9"/>
    <w:rsid w:val="326F4556"/>
    <w:rsid w:val="343524A0"/>
    <w:rsid w:val="34985663"/>
    <w:rsid w:val="34C311A7"/>
    <w:rsid w:val="34D04EBC"/>
    <w:rsid w:val="34D4228C"/>
    <w:rsid w:val="37772AB0"/>
    <w:rsid w:val="38805C9A"/>
    <w:rsid w:val="38A71B3B"/>
    <w:rsid w:val="38D72BE1"/>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8C80011"/>
    <w:rsid w:val="5A087C92"/>
    <w:rsid w:val="5B3A5A13"/>
    <w:rsid w:val="5B41777E"/>
    <w:rsid w:val="5B73EE39"/>
    <w:rsid w:val="5C1A2FAD"/>
    <w:rsid w:val="5CFAC9C4"/>
    <w:rsid w:val="5D2259CE"/>
    <w:rsid w:val="5E2E4BD1"/>
    <w:rsid w:val="5EAE6770"/>
    <w:rsid w:val="5F561B6F"/>
    <w:rsid w:val="5F57E5CA"/>
    <w:rsid w:val="5FD75EED"/>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86</Pages>
  <Words>40152</Words>
  <Characters>42752</Characters>
  <Paragraphs>1943</Paragraphs>
  <TotalTime>6</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市交易中心</cp:lastModifiedBy>
  <cp:lastPrinted>2025-06-03T03:04:00Z</cp:lastPrinted>
  <dcterms:modified xsi:type="dcterms:W3CDTF">2025-06-23T03:00:22Z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