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900" w:lineRule="exact"/>
        <w:jc w:val="center"/>
        <w:rPr>
          <w:rFonts w:ascii="微软雅黑" w:hAnsi="微软雅黑" w:eastAsia="微软雅黑" w:cs="微软雅黑"/>
          <w:b/>
          <w:bCs/>
          <w:color w:val="auto"/>
          <w:sz w:val="48"/>
          <w:szCs w:val="48"/>
          <w:highlight w:val="none"/>
        </w:rPr>
      </w:pPr>
    </w:p>
    <w:p>
      <w:pPr>
        <w:spacing w:line="900" w:lineRule="exact"/>
        <w:jc w:val="center"/>
        <w:rPr>
          <w:rFonts w:hint="eastAsia" w:ascii="微软雅黑" w:hAnsi="微软雅黑" w:eastAsia="微软雅黑" w:cs="微软雅黑"/>
          <w:b/>
          <w:bCs/>
          <w:color w:val="auto"/>
          <w:sz w:val="44"/>
          <w:szCs w:val="44"/>
          <w:highlight w:val="none"/>
          <w:lang w:eastAsia="zh-CN"/>
        </w:rPr>
      </w:pPr>
      <w:r>
        <w:rPr>
          <w:rFonts w:hint="eastAsia" w:ascii="微软雅黑" w:hAnsi="微软雅黑" w:eastAsia="微软雅黑" w:cs="微软雅黑"/>
          <w:b/>
          <w:bCs/>
          <w:color w:val="auto"/>
          <w:sz w:val="44"/>
          <w:szCs w:val="44"/>
          <w:highlight w:val="none"/>
          <w:lang w:eastAsia="zh-CN"/>
        </w:rPr>
        <w:t>安吉县山川乡人民政府</w:t>
      </w:r>
    </w:p>
    <w:p>
      <w:pPr>
        <w:pStyle w:val="11"/>
        <w:ind w:left="63" w:right="63"/>
        <w:rPr>
          <w:rFonts w:hint="eastAsia"/>
          <w:color w:val="auto"/>
          <w:highlight w:val="none"/>
        </w:rPr>
      </w:pPr>
      <w:r>
        <w:rPr>
          <w:rFonts w:hint="eastAsia" w:ascii="微软雅黑" w:hAnsi="微软雅黑" w:eastAsia="微软雅黑" w:cs="微软雅黑"/>
          <w:b/>
          <w:bCs/>
          <w:color w:val="auto"/>
          <w:sz w:val="44"/>
          <w:szCs w:val="44"/>
          <w:highlight w:val="none"/>
          <w:lang w:eastAsia="zh-CN"/>
        </w:rPr>
        <w:t>山川旅游度假区基础设施一期建设工程之浪漫山川全域智慧旅游系统(山区数据采集通讯基础设施)设计施工一体化政府采购项目</w:t>
      </w:r>
    </w:p>
    <w:p>
      <w:pPr>
        <w:pStyle w:val="12"/>
        <w:rPr>
          <w:rFonts w:hint="eastAsia"/>
          <w:color w:val="auto"/>
          <w:highlight w:val="none"/>
        </w:rPr>
      </w:pPr>
    </w:p>
    <w:p>
      <w:pPr>
        <w:rPr>
          <w:rFonts w:hint="eastAsia"/>
          <w:color w:val="auto"/>
          <w:highlight w:val="none"/>
        </w:rPr>
      </w:pPr>
    </w:p>
    <w:p>
      <w:pPr>
        <w:rPr>
          <w:rFonts w:hint="eastAsia"/>
          <w:color w:val="auto"/>
          <w:highlight w:val="none"/>
        </w:rPr>
      </w:pPr>
    </w:p>
    <w:p>
      <w:pPr>
        <w:spacing w:line="900" w:lineRule="exact"/>
        <w:jc w:val="center"/>
        <w:rPr>
          <w:rFonts w:ascii="微软雅黑" w:hAnsi="微软雅黑" w:eastAsia="微软雅黑" w:cs="微软雅黑"/>
          <w:b/>
          <w:color w:val="auto"/>
          <w:sz w:val="40"/>
          <w:szCs w:val="40"/>
          <w:highlight w:val="none"/>
        </w:rPr>
      </w:pPr>
      <w:r>
        <w:rPr>
          <w:rFonts w:hint="eastAsia" w:ascii="微软雅黑" w:hAnsi="微软雅黑" w:eastAsia="微软雅黑" w:cs="微软雅黑"/>
          <w:b/>
          <w:color w:val="auto"/>
          <w:sz w:val="40"/>
          <w:szCs w:val="40"/>
          <w:highlight w:val="none"/>
        </w:rPr>
        <w:t>竞争性磋商文件</w:t>
      </w:r>
    </w:p>
    <w:p>
      <w:pPr>
        <w:jc w:val="center"/>
        <w:rPr>
          <w:rFonts w:hint="eastAsia" w:ascii="微软雅黑" w:hAnsi="微软雅黑" w:eastAsia="微软雅黑" w:cs="微软雅黑"/>
          <w:b/>
          <w:color w:val="auto"/>
          <w:sz w:val="32"/>
          <w:szCs w:val="32"/>
          <w:highlight w:val="none"/>
          <w:lang w:eastAsia="zh-CN"/>
        </w:rPr>
      </w:pPr>
      <w:r>
        <w:rPr>
          <w:rFonts w:hint="eastAsia" w:ascii="微软雅黑" w:hAnsi="微软雅黑" w:eastAsia="微软雅黑" w:cs="微软雅黑"/>
          <w:b/>
          <w:color w:val="auto"/>
          <w:sz w:val="32"/>
          <w:szCs w:val="32"/>
          <w:highlight w:val="none"/>
        </w:rPr>
        <w:t>磋商文件编号：</w:t>
      </w:r>
      <w:r>
        <w:rPr>
          <w:rFonts w:hint="eastAsia" w:ascii="微软雅黑" w:hAnsi="微软雅黑" w:eastAsia="微软雅黑" w:cs="微软雅黑"/>
          <w:b/>
          <w:color w:val="auto"/>
          <w:sz w:val="32"/>
          <w:szCs w:val="32"/>
          <w:highlight w:val="none"/>
          <w:lang w:eastAsia="zh-CN"/>
        </w:rPr>
        <w:t>ZJMY（采）2022-040</w:t>
      </w:r>
    </w:p>
    <w:p>
      <w:pPr>
        <w:ind w:firstLine="800" w:firstLineChars="200"/>
        <w:jc w:val="center"/>
        <w:rPr>
          <w:rFonts w:ascii="微软雅黑" w:hAnsi="微软雅黑" w:eastAsia="微软雅黑" w:cs="微软雅黑"/>
          <w:b/>
          <w:color w:val="auto"/>
          <w:sz w:val="40"/>
          <w:szCs w:val="40"/>
          <w:highlight w:val="none"/>
        </w:rPr>
      </w:pPr>
    </w:p>
    <w:p>
      <w:pPr>
        <w:tabs>
          <w:tab w:val="left" w:pos="6161"/>
        </w:tabs>
        <w:ind w:firstLine="880" w:firstLineChars="200"/>
        <w:jc w:val="left"/>
        <w:rPr>
          <w:rFonts w:ascii="微软雅黑" w:hAnsi="微软雅黑" w:eastAsia="微软雅黑" w:cs="微软雅黑"/>
          <w:b/>
          <w:color w:val="auto"/>
          <w:sz w:val="44"/>
          <w:szCs w:val="44"/>
          <w:highlight w:val="none"/>
        </w:rPr>
      </w:pPr>
      <w:r>
        <w:rPr>
          <w:rFonts w:hint="eastAsia" w:ascii="微软雅黑" w:hAnsi="微软雅黑" w:eastAsia="微软雅黑" w:cs="微软雅黑"/>
          <w:b/>
          <w:color w:val="auto"/>
          <w:sz w:val="44"/>
          <w:szCs w:val="44"/>
          <w:highlight w:val="none"/>
        </w:rPr>
        <w:tab/>
      </w:r>
    </w:p>
    <w:p>
      <w:pPr>
        <w:spacing w:line="700" w:lineRule="exact"/>
        <w:rPr>
          <w:rFonts w:ascii="微软雅黑" w:hAnsi="微软雅黑" w:eastAsia="微软雅黑" w:cs="微软雅黑"/>
          <w:b/>
          <w:bCs/>
          <w:color w:val="auto"/>
          <w:sz w:val="30"/>
          <w:szCs w:val="30"/>
          <w:highlight w:val="none"/>
        </w:rPr>
      </w:pPr>
    </w:p>
    <w:p>
      <w:pPr>
        <w:pStyle w:val="11"/>
        <w:ind w:left="63" w:right="63"/>
        <w:rPr>
          <w:color w:val="auto"/>
          <w:highlight w:val="none"/>
        </w:rPr>
      </w:pPr>
    </w:p>
    <w:p>
      <w:pPr>
        <w:pStyle w:val="12"/>
        <w:ind w:left="63" w:right="63" w:firstLine="280"/>
        <w:rPr>
          <w:color w:val="auto"/>
          <w:highlight w:val="none"/>
        </w:rPr>
      </w:pPr>
    </w:p>
    <w:p>
      <w:pPr>
        <w:rPr>
          <w:color w:val="auto"/>
          <w:highlight w:val="none"/>
        </w:rPr>
      </w:pPr>
    </w:p>
    <w:p>
      <w:pPr>
        <w:spacing w:line="700" w:lineRule="exact"/>
        <w:ind w:firstLine="600" w:firstLineChars="200"/>
        <w:rPr>
          <w:rFonts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rPr>
        <w:t>采  购  人：</w:t>
      </w:r>
      <w:r>
        <w:rPr>
          <w:rFonts w:hint="eastAsia" w:ascii="微软雅黑" w:hAnsi="微软雅黑" w:eastAsia="微软雅黑" w:cs="微软雅黑"/>
          <w:b/>
          <w:bCs/>
          <w:color w:val="auto"/>
          <w:sz w:val="30"/>
          <w:szCs w:val="30"/>
          <w:highlight w:val="none"/>
          <w:lang w:eastAsia="zh-CN"/>
        </w:rPr>
        <w:t>安吉县山川乡人民政府</w:t>
      </w:r>
      <w:r>
        <w:rPr>
          <w:rFonts w:hint="eastAsia" w:ascii="微软雅黑" w:hAnsi="微软雅黑" w:eastAsia="微软雅黑" w:cs="微软雅黑"/>
          <w:b/>
          <w:bCs/>
          <w:color w:val="auto"/>
          <w:sz w:val="30"/>
          <w:szCs w:val="30"/>
          <w:highlight w:val="none"/>
        </w:rPr>
        <w:t>（盖章）</w:t>
      </w:r>
    </w:p>
    <w:p>
      <w:pPr>
        <w:spacing w:line="700" w:lineRule="exact"/>
        <w:ind w:firstLine="600" w:firstLineChars="200"/>
        <w:rPr>
          <w:rFonts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rPr>
        <w:t>采购代理机构：</w:t>
      </w:r>
      <w:r>
        <w:rPr>
          <w:rFonts w:hint="eastAsia" w:ascii="微软雅黑" w:hAnsi="微软雅黑" w:eastAsia="微软雅黑" w:cs="微软雅黑"/>
          <w:b/>
          <w:color w:val="auto"/>
          <w:sz w:val="30"/>
          <w:szCs w:val="30"/>
          <w:highlight w:val="none"/>
        </w:rPr>
        <w:t>浙江明业项目管理有限公司</w:t>
      </w:r>
      <w:r>
        <w:rPr>
          <w:rFonts w:hint="eastAsia" w:ascii="微软雅黑" w:hAnsi="微软雅黑" w:eastAsia="微软雅黑" w:cs="微软雅黑"/>
          <w:b/>
          <w:bCs/>
          <w:color w:val="auto"/>
          <w:sz w:val="30"/>
          <w:szCs w:val="30"/>
          <w:highlight w:val="none"/>
        </w:rPr>
        <w:t>（盖章）</w:t>
      </w:r>
    </w:p>
    <w:p>
      <w:pPr>
        <w:spacing w:line="700" w:lineRule="exact"/>
        <w:ind w:firstLine="600" w:firstLineChars="200"/>
        <w:rPr>
          <w:rFonts w:hint="eastAsia" w:ascii="微软雅黑" w:hAnsi="微软雅黑" w:eastAsia="微软雅黑" w:cs="微软雅黑"/>
          <w:color w:val="auto"/>
          <w:sz w:val="32"/>
          <w:szCs w:val="32"/>
          <w:highlight w:val="none"/>
          <w:lang w:val="zh-CN" w:eastAsia="zh-CN"/>
        </w:rPr>
      </w:pPr>
      <w:r>
        <w:rPr>
          <w:rFonts w:hint="eastAsia" w:ascii="微软雅黑" w:hAnsi="微软雅黑" w:eastAsia="微软雅黑" w:cs="微软雅黑"/>
          <w:b/>
          <w:bCs/>
          <w:color w:val="auto"/>
          <w:sz w:val="30"/>
          <w:szCs w:val="30"/>
          <w:highlight w:val="none"/>
        </w:rPr>
        <w:t>日 期：</w:t>
      </w:r>
      <w:r>
        <w:rPr>
          <w:rFonts w:hint="eastAsia" w:ascii="微软雅黑" w:hAnsi="微软雅黑" w:eastAsia="微软雅黑" w:cs="微软雅黑"/>
          <w:b/>
          <w:bCs/>
          <w:color w:val="auto"/>
          <w:sz w:val="30"/>
          <w:szCs w:val="30"/>
          <w:highlight w:val="none"/>
          <w:lang w:eastAsia="zh-CN"/>
        </w:rPr>
        <w:t>2022年7月</w:t>
      </w:r>
    </w:p>
    <w:sdt>
      <w:sdtPr>
        <w:rPr>
          <w:rFonts w:hint="eastAsia" w:ascii="微软雅黑" w:hAnsi="微软雅黑" w:eastAsia="微软雅黑" w:cs="微软雅黑"/>
          <w:color w:val="auto"/>
          <w:highlight w:val="none"/>
        </w:rPr>
        <w:id w:val="147479700"/>
        <w15:color w:val="DBDBDB"/>
        <w:docPartObj>
          <w:docPartGallery w:val="Table of Contents"/>
          <w:docPartUnique/>
        </w:docPartObj>
      </w:sdtPr>
      <w:sdtEndPr>
        <w:rPr>
          <w:rFonts w:hint="eastAsia" w:ascii="微软雅黑" w:hAnsi="微软雅黑" w:eastAsia="微软雅黑" w:cs="微软雅黑"/>
          <w:b/>
          <w:bCs/>
          <w:color w:val="auto"/>
          <w:szCs w:val="21"/>
          <w:highlight w:val="none"/>
        </w:rPr>
      </w:sdtEndPr>
      <w:sdtContent>
        <w:p>
          <w:pPr>
            <w:jc w:val="center"/>
            <w:rPr>
              <w:rFonts w:ascii="微软雅黑" w:hAnsi="微软雅黑" w:eastAsia="微软雅黑" w:cs="微软雅黑"/>
              <w:b/>
              <w:bCs/>
              <w:color w:val="auto"/>
              <w:sz w:val="28"/>
              <w:szCs w:val="36"/>
              <w:highlight w:val="none"/>
            </w:rPr>
          </w:pPr>
          <w:r>
            <w:rPr>
              <w:rFonts w:hint="eastAsia" w:ascii="微软雅黑" w:hAnsi="微软雅黑" w:eastAsia="微软雅黑" w:cs="微软雅黑"/>
              <w:b/>
              <w:bCs/>
              <w:color w:val="auto"/>
              <w:sz w:val="36"/>
              <w:szCs w:val="44"/>
              <w:highlight w:val="none"/>
            </w:rPr>
            <w:t>目录</w:t>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TOC \o "1-1" \h \u </w:instrText>
          </w:r>
          <w:r>
            <w:rPr>
              <w:rFonts w:hint="eastAsia" w:ascii="微软雅黑" w:hAnsi="微软雅黑" w:eastAsia="微软雅黑" w:cs="微软雅黑"/>
              <w:b/>
              <w:bCs/>
              <w:color w:val="auto"/>
              <w:sz w:val="21"/>
              <w:szCs w:val="21"/>
              <w:highlight w:val="none"/>
            </w:rPr>
            <w:fldChar w:fldCharType="separate"/>
          </w:r>
          <w:r>
            <w:rPr>
              <w:color w:val="auto"/>
              <w:highlight w:val="none"/>
            </w:rPr>
            <w:fldChar w:fldCharType="begin"/>
          </w:r>
          <w:r>
            <w:rPr>
              <w:color w:val="auto"/>
              <w:highlight w:val="none"/>
            </w:rPr>
            <w:instrText xml:space="preserve"> HYPERLINK \l "_Toc2702"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第一章  竞争性磋商公告</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_Toc2702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3</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"_Toc542"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第二章  响应人须知</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_Toc542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9</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"_Toc29268"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第三章  磋商项目服务范围及要求</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_Toc29268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22</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"_Toc2865"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第四章  磋商原则和程序</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_Toc2865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27</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"_Toc31117"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第五章  合同主要条款</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_Toc31117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34</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"_Toc25421" </w:instrText>
          </w:r>
          <w:r>
            <w:rPr>
              <w:color w:val="auto"/>
              <w:highlight w:val="none"/>
            </w:rPr>
            <w:fldChar w:fldCharType="separate"/>
          </w:r>
          <w:r>
            <w:rPr>
              <w:rFonts w:hint="eastAsia" w:ascii="微软雅黑" w:hAnsi="微软雅黑" w:eastAsia="微软雅黑" w:cs="微软雅黑"/>
              <w:b/>
              <w:bCs/>
              <w:color w:val="auto"/>
              <w:sz w:val="21"/>
              <w:szCs w:val="21"/>
              <w:highlight w:val="none"/>
            </w:rPr>
            <w:t>第六章  响应文件格式</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_Toc25421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34</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"_Toc4458" </w:instrText>
          </w:r>
          <w:r>
            <w:rPr>
              <w:color w:val="auto"/>
              <w:highlight w:val="none"/>
            </w:rPr>
            <w:fldChar w:fldCharType="separate"/>
          </w:r>
          <w:r>
            <w:rPr>
              <w:rFonts w:hint="eastAsia" w:ascii="微软雅黑" w:hAnsi="微软雅黑" w:eastAsia="微软雅黑" w:cs="微软雅黑"/>
              <w:b/>
              <w:bCs/>
              <w:color w:val="auto"/>
              <w:sz w:val="21"/>
              <w:szCs w:val="21"/>
              <w:highlight w:val="none"/>
            </w:rPr>
            <w:t>（1）磋商响应函；</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_Toc4458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"_Toc31477" </w:instrText>
          </w:r>
          <w:r>
            <w:rPr>
              <w:color w:val="auto"/>
              <w:highlight w:val="none"/>
            </w:rPr>
            <w:fldChar w:fldCharType="separate"/>
          </w:r>
          <w:r>
            <w:rPr>
              <w:rFonts w:hint="eastAsia" w:ascii="微软雅黑" w:hAnsi="微软雅黑" w:eastAsia="微软雅黑" w:cs="微软雅黑"/>
              <w:b/>
              <w:bCs/>
              <w:color w:val="auto"/>
              <w:sz w:val="21"/>
              <w:szCs w:val="21"/>
              <w:highlight w:val="none"/>
            </w:rPr>
            <w:t>（2）开标一览表；</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_Toc31477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"_Toc17329" </w:instrText>
          </w:r>
          <w:r>
            <w:rPr>
              <w:color w:val="auto"/>
              <w:highlight w:val="none"/>
            </w:rPr>
            <w:fldChar w:fldCharType="separate"/>
          </w:r>
          <w:r>
            <w:rPr>
              <w:rFonts w:hint="eastAsia" w:ascii="微软雅黑" w:hAnsi="微软雅黑" w:eastAsia="微软雅黑" w:cs="微软雅黑"/>
              <w:b/>
              <w:bCs/>
              <w:color w:val="auto"/>
              <w:sz w:val="21"/>
              <w:szCs w:val="21"/>
              <w:highlight w:val="none"/>
            </w:rPr>
            <w:t>（3）磋商响应报价明细表；</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_Toc17329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"_Toc14105" </w:instrText>
          </w:r>
          <w:r>
            <w:rPr>
              <w:color w:val="auto"/>
              <w:highlight w:val="none"/>
            </w:rPr>
            <w:fldChar w:fldCharType="separate"/>
          </w:r>
          <w:r>
            <w:rPr>
              <w:rFonts w:hint="eastAsia" w:ascii="微软雅黑" w:hAnsi="微软雅黑" w:eastAsia="微软雅黑" w:cs="微软雅黑"/>
              <w:b/>
              <w:bCs/>
              <w:color w:val="auto"/>
              <w:sz w:val="21"/>
              <w:szCs w:val="21"/>
              <w:highlight w:val="none"/>
            </w:rPr>
            <w:t>（4）中小企业声明函、网页证明资料；</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_Toc14105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"_Toc6907" </w:instrText>
          </w:r>
          <w:r>
            <w:rPr>
              <w:color w:val="auto"/>
              <w:highlight w:val="none"/>
            </w:rPr>
            <w:fldChar w:fldCharType="separate"/>
          </w:r>
          <w:r>
            <w:rPr>
              <w:rFonts w:hint="eastAsia" w:ascii="微软雅黑" w:hAnsi="微软雅黑" w:eastAsia="微软雅黑" w:cs="微软雅黑"/>
              <w:b/>
              <w:bCs/>
              <w:color w:val="auto"/>
              <w:sz w:val="21"/>
              <w:szCs w:val="21"/>
              <w:highlight w:val="none"/>
            </w:rPr>
            <w:t>（5）采购代理费承诺函；</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_Toc6907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pStyle w:val="48"/>
            <w:tabs>
              <w:tab w:val="right" w:leader="dot" w:pos="9497"/>
            </w:tabs>
            <w:spacing w:line="900" w:lineRule="exact"/>
            <w:rPr>
              <w:rFonts w:ascii="微软雅黑" w:hAnsi="微软雅黑" w:eastAsia="微软雅黑" w:cs="微软雅黑"/>
              <w:b/>
              <w:bCs/>
              <w:color w:val="auto"/>
              <w:sz w:val="21"/>
              <w:szCs w:val="21"/>
              <w:highlight w:val="none"/>
            </w:rPr>
          </w:pPr>
          <w:r>
            <w:rPr>
              <w:color w:val="auto"/>
              <w:highlight w:val="none"/>
            </w:rPr>
            <w:fldChar w:fldCharType="begin"/>
          </w:r>
          <w:r>
            <w:rPr>
              <w:color w:val="auto"/>
              <w:highlight w:val="none"/>
            </w:rPr>
            <w:instrText xml:space="preserve"> HYPERLINK \l "_Toc58" </w:instrText>
          </w:r>
          <w:r>
            <w:rPr>
              <w:color w:val="auto"/>
              <w:highlight w:val="none"/>
            </w:rPr>
            <w:fldChar w:fldCharType="separate"/>
          </w:r>
          <w:r>
            <w:rPr>
              <w:rFonts w:hint="eastAsia" w:ascii="微软雅黑" w:hAnsi="微软雅黑" w:eastAsia="微软雅黑" w:cs="微软雅黑"/>
              <w:b/>
              <w:bCs/>
              <w:color w:val="auto"/>
              <w:sz w:val="21"/>
              <w:szCs w:val="21"/>
              <w:highlight w:val="none"/>
            </w:rPr>
            <w:t>（6）供应商针对报价需要说明的其他文件和说明。</w:t>
          </w:r>
          <w:r>
            <w:rPr>
              <w:rFonts w:hint="eastAsia" w:ascii="微软雅黑" w:hAnsi="微软雅黑" w:eastAsia="微软雅黑" w:cs="微软雅黑"/>
              <w:b/>
              <w:bCs/>
              <w:color w:val="auto"/>
              <w:sz w:val="21"/>
              <w:szCs w:val="21"/>
              <w:highlight w:val="none"/>
            </w:rPr>
            <w:tab/>
          </w:r>
          <w:r>
            <w:rPr>
              <w:rFonts w:hint="eastAsia" w:ascii="微软雅黑" w:hAnsi="微软雅黑" w:eastAsia="微软雅黑" w:cs="微软雅黑"/>
              <w:b/>
              <w:bCs/>
              <w:color w:val="auto"/>
              <w:sz w:val="21"/>
              <w:szCs w:val="21"/>
              <w:highlight w:val="none"/>
            </w:rPr>
            <w:fldChar w:fldCharType="begin"/>
          </w:r>
          <w:r>
            <w:rPr>
              <w:rFonts w:hint="eastAsia" w:ascii="微软雅黑" w:hAnsi="微软雅黑" w:eastAsia="微软雅黑" w:cs="微软雅黑"/>
              <w:b/>
              <w:bCs/>
              <w:color w:val="auto"/>
              <w:sz w:val="21"/>
              <w:szCs w:val="21"/>
              <w:highlight w:val="none"/>
            </w:rPr>
            <w:instrText xml:space="preserve"> PAGEREF _Toc58 </w:instrText>
          </w:r>
          <w:r>
            <w:rPr>
              <w:rFonts w:hint="eastAsia" w:ascii="微软雅黑" w:hAnsi="微软雅黑" w:eastAsia="微软雅黑" w:cs="微软雅黑"/>
              <w:b/>
              <w:bCs/>
              <w:color w:val="auto"/>
              <w:sz w:val="21"/>
              <w:szCs w:val="21"/>
              <w:highlight w:val="none"/>
            </w:rPr>
            <w:fldChar w:fldCharType="separate"/>
          </w:r>
          <w:r>
            <w:rPr>
              <w:rFonts w:hint="eastAsia" w:ascii="微软雅黑" w:hAnsi="微软雅黑" w:eastAsia="微软雅黑" w:cs="微软雅黑"/>
              <w:b/>
              <w:bCs/>
              <w:color w:val="auto"/>
              <w:sz w:val="21"/>
              <w:szCs w:val="21"/>
              <w:highlight w:val="none"/>
            </w:rPr>
            <w:t>46</w:t>
          </w:r>
          <w:r>
            <w:rPr>
              <w:rFonts w:hint="eastAsia" w:ascii="微软雅黑" w:hAnsi="微软雅黑" w:eastAsia="微软雅黑" w:cs="微软雅黑"/>
              <w:b/>
              <w:bCs/>
              <w:color w:val="auto"/>
              <w:sz w:val="21"/>
              <w:szCs w:val="21"/>
              <w:highlight w:val="none"/>
            </w:rPr>
            <w:fldChar w:fldCharType="end"/>
          </w:r>
          <w:r>
            <w:rPr>
              <w:rFonts w:hint="eastAsia" w:ascii="微软雅黑" w:hAnsi="微软雅黑" w:eastAsia="微软雅黑" w:cs="微软雅黑"/>
              <w:b/>
              <w:bCs/>
              <w:color w:val="auto"/>
              <w:sz w:val="21"/>
              <w:szCs w:val="21"/>
              <w:highlight w:val="none"/>
            </w:rPr>
            <w:fldChar w:fldCharType="end"/>
          </w:r>
        </w:p>
        <w:p>
          <w:pPr>
            <w:spacing w:line="900" w:lineRule="exact"/>
            <w:rPr>
              <w:rFonts w:ascii="微软雅黑" w:hAnsi="微软雅黑" w:eastAsia="微软雅黑" w:cs="微软雅黑"/>
              <w:b/>
              <w:bCs/>
              <w:color w:val="auto"/>
              <w:highlight w:val="none"/>
            </w:rPr>
          </w:pPr>
          <w:r>
            <w:rPr>
              <w:rFonts w:hint="eastAsia" w:ascii="微软雅黑" w:hAnsi="微软雅黑" w:eastAsia="微软雅黑" w:cs="微软雅黑"/>
              <w:b/>
              <w:bCs/>
              <w:color w:val="auto"/>
              <w:szCs w:val="21"/>
              <w:highlight w:val="none"/>
            </w:rPr>
            <w:fldChar w:fldCharType="end"/>
          </w:r>
        </w:p>
      </w:sdtContent>
    </w:sdt>
    <w:p>
      <w:pPr>
        <w:pStyle w:val="28"/>
        <w:ind w:firstLine="640" w:firstLineChars="200"/>
        <w:rPr>
          <w:rFonts w:ascii="微软雅黑" w:hAnsi="微软雅黑" w:eastAsia="微软雅黑" w:cs="微软雅黑"/>
          <w:color w:val="auto"/>
          <w:highlight w:val="none"/>
        </w:rPr>
      </w:pPr>
      <w:bookmarkStart w:id="0" w:name="_Toc13387"/>
      <w:bookmarkEnd w:id="0"/>
      <w:bookmarkStart w:id="1" w:name="_Toc16770358"/>
      <w:r>
        <w:rPr>
          <w:rFonts w:hint="eastAsia" w:ascii="微软雅黑" w:hAnsi="微软雅黑" w:eastAsia="微软雅黑" w:cs="微软雅黑"/>
          <w:color w:val="auto"/>
          <w:highlight w:val="none"/>
        </w:rPr>
        <w:br w:type="page"/>
      </w:r>
      <w:bookmarkStart w:id="2" w:name="_Toc2702"/>
      <w:r>
        <w:rPr>
          <w:rFonts w:hint="eastAsia" w:ascii="微软雅黑" w:hAnsi="微软雅黑" w:eastAsia="微软雅黑" w:cs="微软雅黑"/>
          <w:color w:val="auto"/>
          <w:highlight w:val="none"/>
        </w:rPr>
        <w:t>第一章   竞争性磋商公告</w:t>
      </w:r>
      <w:bookmarkEnd w:id="1"/>
      <w:bookmarkEnd w:id="2"/>
      <w:bookmarkStart w:id="3" w:name="OLE_LINK1"/>
    </w:p>
    <w:p>
      <w:pPr>
        <w:jc w:val="center"/>
        <w:rPr>
          <w:rFonts w:ascii="微软雅黑" w:hAnsi="微软雅黑" w:eastAsia="微软雅黑" w:cs="微软雅黑"/>
          <w:b/>
          <w:bCs/>
          <w:color w:val="auto"/>
          <w:sz w:val="28"/>
          <w:szCs w:val="28"/>
          <w:highlight w:val="none"/>
        </w:rPr>
      </w:pPr>
      <w:bookmarkStart w:id="4" w:name="OLE_LINK5"/>
      <w:r>
        <w:rPr>
          <w:rFonts w:hint="eastAsia" w:ascii="微软雅黑" w:hAnsi="微软雅黑" w:eastAsia="微软雅黑" w:cs="微软雅黑"/>
          <w:b/>
          <w:bCs/>
          <w:color w:val="auto"/>
          <w:sz w:val="28"/>
          <w:szCs w:val="28"/>
          <w:highlight w:val="none"/>
          <w:lang w:eastAsia="zh-CN"/>
        </w:rPr>
        <w:t>山川旅游度假区基础设施一期建设工程之浪漫山川全域智慧旅游系统(山区数据采集通讯基础设施)设计施工一体化政府采购项目</w:t>
      </w:r>
      <w:r>
        <w:rPr>
          <w:rFonts w:hint="eastAsia" w:ascii="微软雅黑" w:hAnsi="微软雅黑" w:eastAsia="微软雅黑" w:cs="微软雅黑"/>
          <w:b/>
          <w:bCs/>
          <w:color w:val="auto"/>
          <w:sz w:val="28"/>
          <w:szCs w:val="28"/>
          <w:highlight w:val="none"/>
        </w:rPr>
        <w:t>竞争性磋商公告</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5" w:name="OLE_LINK2"/>
      <w:bookmarkStart w:id="6" w:name="OLE_LINK4"/>
      <w:bookmarkStart w:id="7" w:name="OLE_LINK6"/>
      <w:bookmarkStart w:id="8" w:name="OLE_LINK3"/>
      <w:r>
        <w:rPr>
          <w:rFonts w:hint="eastAsia" w:ascii="微软雅黑" w:hAnsi="微软雅黑" w:eastAsia="微软雅黑" w:cs="微软雅黑"/>
          <w:color w:val="auto"/>
          <w:kern w:val="2"/>
          <w:sz w:val="21"/>
          <w:szCs w:val="21"/>
          <w:highlight w:val="none"/>
        </w:rPr>
        <w:t>根据《中华人民共和国政府采购法》、《政府采购竞争性磋商采购方式管理暂行办法》等有关规定，经政府采购管理部门批准，浙江明业项目管理有限公司受</w:t>
      </w:r>
      <w:r>
        <w:rPr>
          <w:rFonts w:hint="eastAsia" w:ascii="微软雅黑" w:hAnsi="微软雅黑" w:eastAsia="微软雅黑" w:cs="微软雅黑"/>
          <w:color w:val="auto"/>
          <w:kern w:val="2"/>
          <w:sz w:val="21"/>
          <w:szCs w:val="21"/>
          <w:highlight w:val="none"/>
          <w:lang w:eastAsia="zh-CN"/>
        </w:rPr>
        <w:t>安吉县山川乡人民政府</w:t>
      </w:r>
      <w:r>
        <w:rPr>
          <w:rFonts w:hint="eastAsia" w:ascii="微软雅黑" w:hAnsi="微软雅黑" w:eastAsia="微软雅黑" w:cs="微软雅黑"/>
          <w:color w:val="auto"/>
          <w:kern w:val="2"/>
          <w:sz w:val="21"/>
          <w:szCs w:val="21"/>
          <w:highlight w:val="none"/>
        </w:rPr>
        <w:t>的委托，就</w:t>
      </w:r>
      <w:r>
        <w:rPr>
          <w:rFonts w:hint="eastAsia" w:ascii="微软雅黑" w:hAnsi="微软雅黑" w:eastAsia="微软雅黑" w:cs="微软雅黑"/>
          <w:color w:val="auto"/>
          <w:kern w:val="2"/>
          <w:sz w:val="21"/>
          <w:szCs w:val="21"/>
          <w:highlight w:val="none"/>
          <w:lang w:eastAsia="zh-CN"/>
        </w:rPr>
        <w:t>山川旅游度假区基础设施一期建设工程之浪漫山川全域智慧旅游系统(山区数据采集通讯基础设施)设计施工一体化政府采购项目</w:t>
      </w:r>
      <w:r>
        <w:rPr>
          <w:rFonts w:hint="eastAsia" w:ascii="微软雅黑" w:hAnsi="微软雅黑" w:eastAsia="微软雅黑" w:cs="微软雅黑"/>
          <w:color w:val="auto"/>
          <w:kern w:val="2"/>
          <w:sz w:val="21"/>
          <w:szCs w:val="21"/>
          <w:highlight w:val="none"/>
        </w:rPr>
        <w:t>进行竞争性磋商，欢迎国内合格的供应商前来磋商。</w:t>
      </w:r>
    </w:p>
    <w:p>
      <w:pPr>
        <w:snapToGrid w:val="0"/>
        <w:spacing w:line="440" w:lineRule="exact"/>
        <w:ind w:firstLine="420" w:firstLineChars="200"/>
        <w:rPr>
          <w:rFonts w:hint="eastAsia" w:ascii="微软雅黑" w:hAnsi="微软雅黑" w:eastAsia="微软雅黑" w:cs="微软雅黑"/>
          <w:color w:val="auto"/>
          <w:kern w:val="0"/>
          <w:szCs w:val="21"/>
          <w:highlight w:val="none"/>
          <w:lang w:eastAsia="zh-CN"/>
        </w:rPr>
      </w:pPr>
      <w:r>
        <w:rPr>
          <w:rFonts w:hint="eastAsia" w:ascii="微软雅黑" w:hAnsi="微软雅黑" w:eastAsia="微软雅黑" w:cs="微软雅黑"/>
          <w:b/>
          <w:color w:val="auto"/>
          <w:kern w:val="0"/>
          <w:szCs w:val="21"/>
          <w:highlight w:val="none"/>
        </w:rPr>
        <w:t>一、磋商项目编号</w:t>
      </w:r>
      <w:r>
        <w:rPr>
          <w:rFonts w:hint="eastAsia" w:ascii="微软雅黑" w:hAnsi="微软雅黑" w:eastAsia="微软雅黑" w:cs="微软雅黑"/>
          <w:color w:val="auto"/>
          <w:kern w:val="0"/>
          <w:szCs w:val="21"/>
          <w:highlight w:val="none"/>
        </w:rPr>
        <w:t>:</w:t>
      </w:r>
      <w:r>
        <w:rPr>
          <w:rFonts w:hint="eastAsia" w:ascii="微软雅黑" w:hAnsi="微软雅黑" w:eastAsia="微软雅黑" w:cs="微软雅黑"/>
          <w:color w:val="auto"/>
          <w:kern w:val="0"/>
          <w:szCs w:val="21"/>
          <w:highlight w:val="none"/>
          <w:lang w:eastAsia="zh-CN"/>
        </w:rPr>
        <w:t>ZJMY（采）2022-040</w:t>
      </w:r>
    </w:p>
    <w:p>
      <w:pPr>
        <w:snapToGrid w:val="0"/>
        <w:spacing w:line="440" w:lineRule="exact"/>
        <w:ind w:firstLine="420" w:firstLineChars="200"/>
        <w:rPr>
          <w:rFonts w:ascii="微软雅黑" w:hAnsi="微软雅黑" w:eastAsia="微软雅黑" w:cs="微软雅黑"/>
          <w:color w:val="auto"/>
          <w:kern w:val="0"/>
          <w:szCs w:val="21"/>
          <w:highlight w:val="none"/>
        </w:rPr>
      </w:pPr>
      <w:r>
        <w:rPr>
          <w:rFonts w:hint="eastAsia" w:ascii="微软雅黑" w:hAnsi="微软雅黑" w:eastAsia="微软雅黑" w:cs="微软雅黑"/>
          <w:b/>
          <w:color w:val="auto"/>
          <w:kern w:val="0"/>
          <w:szCs w:val="21"/>
          <w:highlight w:val="none"/>
        </w:rPr>
        <w:t>二、磋商项目概况</w:t>
      </w:r>
      <w:r>
        <w:rPr>
          <w:rFonts w:hint="eastAsia" w:ascii="微软雅黑" w:hAnsi="微软雅黑" w:eastAsia="微软雅黑" w:cs="微软雅黑"/>
          <w:color w:val="auto"/>
          <w:kern w:val="0"/>
          <w:szCs w:val="21"/>
          <w:highlight w:val="none"/>
        </w:rPr>
        <w:t>：</w:t>
      </w:r>
      <w:bookmarkStart w:id="9" w:name="B09_招标内容"/>
    </w:p>
    <w:bookmarkEnd w:id="9"/>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3126"/>
        <w:gridCol w:w="1941"/>
        <w:gridCol w:w="2057"/>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exact"/>
        </w:trPr>
        <w:tc>
          <w:tcPr>
            <w:tcW w:w="770"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序号</w:t>
            </w:r>
          </w:p>
        </w:tc>
        <w:tc>
          <w:tcPr>
            <w:tcW w:w="3126"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项目名称</w:t>
            </w:r>
          </w:p>
        </w:tc>
        <w:tc>
          <w:tcPr>
            <w:tcW w:w="1941" w:type="dxa"/>
            <w:vAlign w:val="center"/>
          </w:tcPr>
          <w:p>
            <w:pPr>
              <w:snapToGrid w:val="0"/>
              <w:spacing w:line="440" w:lineRule="exact"/>
              <w:jc w:val="center"/>
              <w:rPr>
                <w:rFonts w:hint="default" w:ascii="微软雅黑" w:hAnsi="微软雅黑" w:eastAsia="微软雅黑" w:cs="微软雅黑"/>
                <w:color w:val="auto"/>
                <w:kern w:val="0"/>
                <w:szCs w:val="21"/>
                <w:highlight w:val="none"/>
                <w:lang w:val="en-US" w:eastAsia="zh-CN"/>
              </w:rPr>
            </w:pPr>
            <w:r>
              <w:rPr>
                <w:rFonts w:hint="eastAsia" w:ascii="微软雅黑" w:hAnsi="微软雅黑" w:eastAsia="微软雅黑" w:cs="微软雅黑"/>
                <w:color w:val="auto"/>
                <w:kern w:val="0"/>
                <w:szCs w:val="21"/>
                <w:highlight w:val="none"/>
                <w:lang w:val="en-US" w:eastAsia="zh-CN"/>
              </w:rPr>
              <w:t>项目内容</w:t>
            </w:r>
          </w:p>
        </w:tc>
        <w:tc>
          <w:tcPr>
            <w:tcW w:w="2057"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lang w:val="en-US" w:eastAsia="zh-CN"/>
              </w:rPr>
              <w:t>服务</w:t>
            </w:r>
            <w:r>
              <w:rPr>
                <w:rFonts w:hint="eastAsia" w:ascii="微软雅黑" w:hAnsi="微软雅黑" w:eastAsia="微软雅黑" w:cs="微软雅黑"/>
                <w:color w:val="auto"/>
                <w:kern w:val="0"/>
                <w:szCs w:val="21"/>
                <w:highlight w:val="none"/>
              </w:rPr>
              <w:t>期</w:t>
            </w:r>
          </w:p>
        </w:tc>
        <w:tc>
          <w:tcPr>
            <w:tcW w:w="1387"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770" w:type="dxa"/>
            <w:vAlign w:val="center"/>
          </w:tcPr>
          <w:p>
            <w:pPr>
              <w:snapToGrid w:val="0"/>
              <w:spacing w:line="440" w:lineRule="exact"/>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1</w:t>
            </w:r>
          </w:p>
        </w:tc>
        <w:tc>
          <w:tcPr>
            <w:tcW w:w="3126" w:type="dxa"/>
            <w:vAlign w:val="center"/>
          </w:tcPr>
          <w:p>
            <w:pPr>
              <w:snapToGrid w:val="0"/>
              <w:spacing w:line="440" w:lineRule="exact"/>
              <w:jc w:val="left"/>
              <w:rPr>
                <w:rFonts w:hint="eastAsia" w:ascii="微软雅黑" w:hAnsi="微软雅黑" w:eastAsia="微软雅黑" w:cs="微软雅黑"/>
                <w:color w:val="auto"/>
                <w:kern w:val="0"/>
                <w:szCs w:val="21"/>
                <w:highlight w:val="none"/>
                <w:lang w:eastAsia="zh-CN"/>
              </w:rPr>
            </w:pPr>
            <w:r>
              <w:rPr>
                <w:rFonts w:hint="eastAsia" w:ascii="微软雅黑" w:hAnsi="微软雅黑" w:eastAsia="微软雅黑" w:cs="微软雅黑"/>
                <w:color w:val="auto"/>
                <w:kern w:val="0"/>
                <w:szCs w:val="21"/>
                <w:highlight w:val="none"/>
                <w:lang w:eastAsia="zh-CN"/>
              </w:rPr>
              <w:t>山川旅游度假区基础设施一期建设工程之浪漫山川全域智慧旅游系统(山区数据采集通讯基础设施)设计施工一体化政府采购项目</w:t>
            </w:r>
          </w:p>
        </w:tc>
        <w:tc>
          <w:tcPr>
            <w:tcW w:w="1941"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详见第三章磋商需求</w:t>
            </w:r>
          </w:p>
        </w:tc>
        <w:tc>
          <w:tcPr>
            <w:tcW w:w="2057" w:type="dxa"/>
            <w:vAlign w:val="center"/>
          </w:tcPr>
          <w:p>
            <w:pPr>
              <w:snapToGrid w:val="0"/>
              <w:spacing w:line="440" w:lineRule="exact"/>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lang w:val="en-US" w:eastAsia="zh-CN"/>
              </w:rPr>
              <w:t>50</w:t>
            </w:r>
            <w:r>
              <w:rPr>
                <w:rFonts w:hint="eastAsia" w:ascii="微软雅黑" w:hAnsi="微软雅黑" w:eastAsia="微软雅黑" w:cs="微软雅黑"/>
                <w:color w:val="auto"/>
                <w:kern w:val="0"/>
                <w:szCs w:val="21"/>
                <w:highlight w:val="none"/>
              </w:rPr>
              <w:t>天</w:t>
            </w:r>
          </w:p>
        </w:tc>
        <w:tc>
          <w:tcPr>
            <w:tcW w:w="1387" w:type="dxa"/>
            <w:vAlign w:val="center"/>
          </w:tcPr>
          <w:p>
            <w:pPr>
              <w:snapToGrid w:val="0"/>
              <w:spacing w:line="440" w:lineRule="exact"/>
              <w:ind w:firstLine="210" w:firstLineChars="100"/>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lang w:val="en-US" w:eastAsia="zh-CN"/>
              </w:rPr>
              <w:t>395</w:t>
            </w:r>
            <w:r>
              <w:rPr>
                <w:rFonts w:hint="eastAsia" w:ascii="微软雅黑" w:hAnsi="微软雅黑" w:eastAsia="微软雅黑" w:cs="微软雅黑"/>
                <w:color w:val="auto"/>
                <w:kern w:val="0"/>
                <w:szCs w:val="21"/>
                <w:highlight w:val="none"/>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770" w:type="dxa"/>
            <w:vAlign w:val="center"/>
          </w:tcPr>
          <w:p>
            <w:pPr>
              <w:snapToGrid w:val="0"/>
              <w:spacing w:line="440" w:lineRule="exact"/>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注</w:t>
            </w:r>
          </w:p>
        </w:tc>
        <w:tc>
          <w:tcPr>
            <w:tcW w:w="8511" w:type="dxa"/>
            <w:gridSpan w:val="4"/>
            <w:vAlign w:val="center"/>
          </w:tcPr>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firstLine="0" w:firstLineChars="0"/>
              <w:jc w:val="left"/>
              <w:textAlignment w:val="auto"/>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lang w:val="en-US" w:eastAsia="zh-CN"/>
              </w:rPr>
              <w:t>1、</w:t>
            </w:r>
            <w:r>
              <w:rPr>
                <w:rFonts w:hint="eastAsia" w:ascii="微软雅黑" w:hAnsi="微软雅黑" w:eastAsia="微软雅黑" w:cs="微软雅黑"/>
                <w:color w:val="auto"/>
                <w:kern w:val="0"/>
                <w:szCs w:val="21"/>
                <w:highlight w:val="none"/>
              </w:rPr>
              <w:t>本项目采用总价报价，最高合同总金额不超过人民币</w:t>
            </w:r>
            <w:r>
              <w:rPr>
                <w:rFonts w:hint="eastAsia" w:ascii="微软雅黑" w:hAnsi="微软雅黑" w:eastAsia="微软雅黑" w:cs="微软雅黑"/>
                <w:color w:val="auto"/>
                <w:kern w:val="0"/>
                <w:szCs w:val="21"/>
                <w:highlight w:val="none"/>
                <w:lang w:val="en-US" w:eastAsia="zh-CN"/>
              </w:rPr>
              <w:t>395</w:t>
            </w:r>
            <w:r>
              <w:rPr>
                <w:rFonts w:hint="eastAsia" w:ascii="微软雅黑" w:hAnsi="微软雅黑" w:eastAsia="微软雅黑" w:cs="微软雅黑"/>
                <w:color w:val="auto"/>
                <w:kern w:val="0"/>
                <w:szCs w:val="21"/>
                <w:highlight w:val="none"/>
              </w:rPr>
              <w:t>万元整。任何超过最高限价的报价将被认定为无效报价。</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firstLine="0" w:firstLineChars="0"/>
              <w:jc w:val="left"/>
              <w:textAlignment w:val="auto"/>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2、具体结算金额以实际工程量为准。</w:t>
            </w:r>
          </w:p>
        </w:tc>
      </w:tr>
    </w:tbl>
    <w:p>
      <w:pPr>
        <w:snapToGrid w:val="0"/>
        <w:spacing w:line="440" w:lineRule="exact"/>
        <w:ind w:firstLine="420" w:firstLineChars="200"/>
        <w:rPr>
          <w:rFonts w:ascii="微软雅黑" w:hAnsi="微软雅黑" w:eastAsia="微软雅黑" w:cs="微软雅黑"/>
          <w:color w:val="auto"/>
          <w:kern w:val="0"/>
          <w:szCs w:val="21"/>
          <w:highlight w:val="none"/>
        </w:rPr>
      </w:pPr>
      <w:r>
        <w:rPr>
          <w:rFonts w:hint="eastAsia" w:ascii="微软雅黑" w:hAnsi="微软雅黑" w:eastAsia="微软雅黑" w:cs="微软雅黑"/>
          <w:b/>
          <w:color w:val="auto"/>
          <w:kern w:val="0"/>
          <w:szCs w:val="21"/>
          <w:highlight w:val="none"/>
        </w:rPr>
        <w:t>三、磋商供应商资格要求</w:t>
      </w:r>
      <w:r>
        <w:rPr>
          <w:rFonts w:hint="eastAsia" w:ascii="微软雅黑" w:hAnsi="微软雅黑" w:eastAsia="微软雅黑" w:cs="微软雅黑"/>
          <w:color w:val="auto"/>
          <w:kern w:val="0"/>
          <w:szCs w:val="21"/>
          <w:highlight w:val="none"/>
        </w:rPr>
        <w:t>：</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符合《中华人民共和国政府采购法》第二十二条规定：供应商应具有独立承担民事责任的能力；具有良好的商业信誉和健全的财务会计制度；具有履行合同所必需的设备和专业技术能力；有依法缴纳税收和社会保障资金的良好记录；参加本项目采购活动前三年内，在经营活动中没有重大违法记录；</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至本项目磋商响应截止时间前，供应商未列入失信被执行人、重大税收违法案件当事人名单、政府采购严重违法失信行为记录名单（以“信用中国”网站www.creditchina.gov.cn、“中国政府采购网”www.ccgp.gov.cn查询结果为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3、单位负责人为同一人或者存在控股、管理关系的不同单位，不得同时参加本项目采购活动；</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4、供应商的特定条件：</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（1）本项目不接受联合体磋商响应，禁止转包。</w:t>
      </w:r>
    </w:p>
    <w:p>
      <w:pPr>
        <w:pStyle w:val="13"/>
        <w:snapToGrid w:val="0"/>
        <w:spacing w:line="440" w:lineRule="exact"/>
        <w:ind w:firstLine="420" w:firstLineChars="200"/>
        <w:rPr>
          <w:rFonts w:hint="eastAsia" w:ascii="微软雅黑" w:hAnsi="微软雅黑" w:eastAsia="微软雅黑" w:cs="微软雅黑"/>
          <w:color w:val="auto"/>
          <w:sz w:val="21"/>
          <w:szCs w:val="21"/>
          <w:highlight w:val="none"/>
          <w:lang w:bidi="ar"/>
        </w:rPr>
      </w:pPr>
      <w:r>
        <w:rPr>
          <w:rFonts w:hint="eastAsia" w:ascii="微软雅黑" w:hAnsi="微软雅黑" w:eastAsia="微软雅黑" w:cs="微软雅黑"/>
          <w:b/>
          <w:bCs/>
          <w:color w:val="auto"/>
          <w:sz w:val="21"/>
          <w:szCs w:val="21"/>
          <w:highlight w:val="none"/>
          <w:lang w:bidi="ar"/>
        </w:rPr>
        <w:t>（3）本项目为专门面向中小企业采购，响应单位提供的服务非中小企业生产的，资格审查不通过；符合上述条件的中小微型企业应按照磋商文件附件的格式要求在资格文件中提供《中小企业声明函》</w:t>
      </w:r>
      <w:r>
        <w:rPr>
          <w:rFonts w:hint="eastAsia" w:ascii="微软雅黑" w:hAnsi="微软雅黑" w:eastAsia="微软雅黑" w:cs="微软雅黑"/>
          <w:color w:val="auto"/>
          <w:sz w:val="21"/>
          <w:szCs w:val="21"/>
          <w:highlight w:val="none"/>
          <w:lang w:bidi="ar"/>
        </w:rPr>
        <w:t>；</w:t>
      </w:r>
    </w:p>
    <w:p>
      <w:pPr>
        <w:pStyle w:val="13"/>
        <w:snapToGrid w:val="0"/>
        <w:spacing w:line="440" w:lineRule="exact"/>
        <w:ind w:firstLine="420" w:firstLineChars="200"/>
        <w:rPr>
          <w:rFonts w:hint="eastAsia" w:ascii="微软雅黑" w:hAnsi="微软雅黑" w:eastAsia="微软雅黑" w:cs="微软雅黑"/>
          <w:b/>
          <w:bCs/>
          <w:color w:val="auto"/>
          <w:sz w:val="21"/>
          <w:szCs w:val="21"/>
          <w:highlight w:val="none"/>
          <w:lang w:bidi="ar"/>
        </w:rPr>
      </w:pPr>
      <w:r>
        <w:rPr>
          <w:rFonts w:hint="eastAsia" w:ascii="微软雅黑" w:hAnsi="微软雅黑" w:eastAsia="微软雅黑" w:cs="微软雅黑"/>
          <w:b/>
          <w:bCs/>
          <w:color w:val="auto"/>
          <w:sz w:val="21"/>
          <w:szCs w:val="21"/>
          <w:highlight w:val="none"/>
          <w:lang w:bidi="ar"/>
        </w:rPr>
        <w:t>（</w:t>
      </w:r>
      <w:r>
        <w:rPr>
          <w:rFonts w:hint="eastAsia" w:ascii="微软雅黑" w:hAnsi="微软雅黑" w:eastAsia="微软雅黑" w:cs="微软雅黑"/>
          <w:b/>
          <w:bCs/>
          <w:color w:val="auto"/>
          <w:sz w:val="21"/>
          <w:szCs w:val="21"/>
          <w:highlight w:val="none"/>
          <w:lang w:val="en-US" w:eastAsia="zh-CN" w:bidi="ar"/>
        </w:rPr>
        <w:t>4</w:t>
      </w:r>
      <w:r>
        <w:rPr>
          <w:rFonts w:hint="eastAsia" w:ascii="微软雅黑" w:hAnsi="微软雅黑" w:eastAsia="微软雅黑" w:cs="微软雅黑"/>
          <w:b/>
          <w:bCs/>
          <w:color w:val="auto"/>
          <w:sz w:val="21"/>
          <w:szCs w:val="21"/>
          <w:highlight w:val="none"/>
          <w:lang w:bidi="ar"/>
        </w:rPr>
        <w:t>）供应商需具备住房和城乡建设主管部门颁发的电子与智能化工程专业承包二级及以上资质。</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四、竞争性磋商文件的获取时间及地点等：</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1、报名及获取竞争性磋商文件时间：202</w:t>
      </w:r>
      <w:r>
        <w:rPr>
          <w:rFonts w:ascii="微软雅黑" w:hAnsi="微软雅黑" w:eastAsia="微软雅黑" w:cs="微软雅黑"/>
          <w:color w:val="auto"/>
          <w:kern w:val="2"/>
          <w:sz w:val="21"/>
          <w:szCs w:val="21"/>
          <w:highlight w:val="none"/>
        </w:rPr>
        <w:t>2</w:t>
      </w:r>
      <w:r>
        <w:rPr>
          <w:rFonts w:hint="eastAsia" w:ascii="微软雅黑" w:hAnsi="微软雅黑" w:eastAsia="微软雅黑" w:cs="微软雅黑"/>
          <w:color w:val="auto"/>
          <w:kern w:val="2"/>
          <w:sz w:val="21"/>
          <w:szCs w:val="21"/>
          <w:highlight w:val="none"/>
        </w:rPr>
        <w:t>年</w:t>
      </w:r>
      <w:r>
        <w:rPr>
          <w:rFonts w:hint="eastAsia" w:ascii="微软雅黑" w:hAnsi="微软雅黑" w:eastAsia="微软雅黑" w:cs="微软雅黑"/>
          <w:color w:val="auto"/>
          <w:kern w:val="2"/>
          <w:sz w:val="21"/>
          <w:szCs w:val="21"/>
          <w:highlight w:val="none"/>
          <w:lang w:val="en-US" w:eastAsia="zh-CN"/>
        </w:rPr>
        <w:t>7</w:t>
      </w:r>
      <w:r>
        <w:rPr>
          <w:rFonts w:hint="eastAsia" w:ascii="微软雅黑" w:hAnsi="微软雅黑" w:eastAsia="微软雅黑" w:cs="微软雅黑"/>
          <w:color w:val="auto"/>
          <w:kern w:val="2"/>
          <w:sz w:val="21"/>
          <w:szCs w:val="21"/>
          <w:highlight w:val="none"/>
        </w:rPr>
        <w:t>月</w:t>
      </w:r>
      <w:r>
        <w:rPr>
          <w:rFonts w:hint="eastAsia" w:ascii="微软雅黑" w:hAnsi="微软雅黑" w:eastAsia="微软雅黑" w:cs="微软雅黑"/>
          <w:color w:val="auto"/>
          <w:kern w:val="2"/>
          <w:sz w:val="21"/>
          <w:szCs w:val="21"/>
          <w:highlight w:val="none"/>
          <w:lang w:val="en-US" w:eastAsia="zh-CN"/>
        </w:rPr>
        <w:t>26</w:t>
      </w:r>
      <w:r>
        <w:rPr>
          <w:rFonts w:hint="eastAsia" w:ascii="微软雅黑" w:hAnsi="微软雅黑" w:eastAsia="微软雅黑" w:cs="微软雅黑"/>
          <w:color w:val="auto"/>
          <w:kern w:val="2"/>
          <w:sz w:val="21"/>
          <w:szCs w:val="21"/>
          <w:highlight w:val="none"/>
        </w:rPr>
        <w:t>日至202</w:t>
      </w:r>
      <w:r>
        <w:rPr>
          <w:rFonts w:ascii="微软雅黑" w:hAnsi="微软雅黑" w:eastAsia="微软雅黑" w:cs="微软雅黑"/>
          <w:color w:val="auto"/>
          <w:kern w:val="2"/>
          <w:sz w:val="21"/>
          <w:szCs w:val="21"/>
          <w:highlight w:val="none"/>
        </w:rPr>
        <w:t>2</w:t>
      </w:r>
      <w:r>
        <w:rPr>
          <w:rFonts w:hint="eastAsia" w:ascii="微软雅黑" w:hAnsi="微软雅黑" w:eastAsia="微软雅黑" w:cs="微软雅黑"/>
          <w:color w:val="auto"/>
          <w:kern w:val="2"/>
          <w:sz w:val="21"/>
          <w:szCs w:val="21"/>
          <w:highlight w:val="none"/>
        </w:rPr>
        <w:t>年</w:t>
      </w:r>
      <w:r>
        <w:rPr>
          <w:rFonts w:hint="eastAsia" w:ascii="微软雅黑" w:hAnsi="微软雅黑" w:eastAsia="微软雅黑" w:cs="微软雅黑"/>
          <w:color w:val="auto"/>
          <w:kern w:val="2"/>
          <w:sz w:val="21"/>
          <w:szCs w:val="21"/>
          <w:highlight w:val="none"/>
          <w:lang w:val="en-US" w:eastAsia="zh-CN"/>
        </w:rPr>
        <w:t>8</w:t>
      </w:r>
      <w:r>
        <w:rPr>
          <w:rFonts w:hint="eastAsia" w:ascii="微软雅黑" w:hAnsi="微软雅黑" w:eastAsia="微软雅黑" w:cs="微软雅黑"/>
          <w:color w:val="auto"/>
          <w:kern w:val="2"/>
          <w:sz w:val="21"/>
          <w:szCs w:val="21"/>
          <w:highlight w:val="none"/>
        </w:rPr>
        <w:t>月</w:t>
      </w:r>
      <w:r>
        <w:rPr>
          <w:rFonts w:hint="eastAsia" w:ascii="微软雅黑" w:hAnsi="微软雅黑" w:eastAsia="微软雅黑" w:cs="微软雅黑"/>
          <w:color w:val="auto"/>
          <w:kern w:val="2"/>
          <w:sz w:val="21"/>
          <w:szCs w:val="21"/>
          <w:highlight w:val="none"/>
          <w:lang w:val="en-US" w:eastAsia="zh-CN"/>
        </w:rPr>
        <w:t>5</w:t>
      </w:r>
      <w:r>
        <w:rPr>
          <w:rFonts w:hint="eastAsia" w:ascii="微软雅黑" w:hAnsi="微软雅黑" w:eastAsia="微软雅黑" w:cs="微软雅黑"/>
          <w:color w:val="auto"/>
          <w:kern w:val="2"/>
          <w:sz w:val="21"/>
          <w:szCs w:val="21"/>
          <w:highlight w:val="none"/>
        </w:rPr>
        <w:t xml:space="preserve">日（潜在供应商报名及获取磋商文件前应当在政采云电子交易平台上注册账号并登录，截止时间后不再接受潜在供应商报名及获取磋商文件) </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本项目不接受供应商现场报名，供应商须登录浙江政府采购网（http://zfcg.czt.zj.gov.cn/）进入政采云系统“项目采购”模块“获取采购文件”菜单，进行网上获取磋商文件（“政采云”注册账号、密码登录系统后获取磋商文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3、免费注册网址：浙江政府采购网（供应商注册页面）：</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https://middle.zcygov.cn/settle-front/#/registry“政采云”，咨询电话：400-881-7190。</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已经注册成功的供应商无需重复注册。</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磋商公告附件内的磋商文件（或采购需求）仅供阅览使用，供应商只有在“政府采购云平台”完成磋商响应报名并下载了磋商文件后才视作依法获取磋商文件。未按规定在“政府采购云平台”完成磋商响应报名并获取磋商文件的供应商，对磋商文件提起的质疑、投诉将不予受理。</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五、磋商响应文件的递交及相关事宜：</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1、磋商响应文件递交的截止时间（磋商响应截止时间，下同）：202</w:t>
      </w:r>
      <w:r>
        <w:rPr>
          <w:rFonts w:ascii="微软雅黑" w:hAnsi="微软雅黑" w:eastAsia="微软雅黑" w:cs="微软雅黑"/>
          <w:color w:val="auto"/>
          <w:kern w:val="2"/>
          <w:sz w:val="21"/>
          <w:szCs w:val="21"/>
          <w:highlight w:val="none"/>
        </w:rPr>
        <w:t>2</w:t>
      </w:r>
      <w:r>
        <w:rPr>
          <w:rFonts w:hint="eastAsia" w:ascii="微软雅黑" w:hAnsi="微软雅黑" w:eastAsia="微软雅黑" w:cs="微软雅黑"/>
          <w:color w:val="auto"/>
          <w:kern w:val="2"/>
          <w:sz w:val="21"/>
          <w:szCs w:val="21"/>
          <w:highlight w:val="none"/>
        </w:rPr>
        <w:t>年</w:t>
      </w:r>
      <w:r>
        <w:rPr>
          <w:rFonts w:hint="eastAsia" w:ascii="微软雅黑" w:hAnsi="微软雅黑" w:eastAsia="微软雅黑" w:cs="微软雅黑"/>
          <w:color w:val="auto"/>
          <w:kern w:val="2"/>
          <w:sz w:val="21"/>
          <w:szCs w:val="21"/>
          <w:highlight w:val="none"/>
          <w:lang w:val="en-US" w:eastAsia="zh-CN"/>
        </w:rPr>
        <w:t>8</w:t>
      </w:r>
      <w:r>
        <w:rPr>
          <w:rFonts w:hint="eastAsia" w:ascii="微软雅黑" w:hAnsi="微软雅黑" w:eastAsia="微软雅黑" w:cs="微软雅黑"/>
          <w:color w:val="auto"/>
          <w:kern w:val="2"/>
          <w:sz w:val="21"/>
          <w:szCs w:val="21"/>
          <w:highlight w:val="none"/>
        </w:rPr>
        <w:t>月</w:t>
      </w:r>
      <w:r>
        <w:rPr>
          <w:rFonts w:hint="eastAsia" w:ascii="微软雅黑" w:hAnsi="微软雅黑" w:eastAsia="微软雅黑" w:cs="微软雅黑"/>
          <w:color w:val="auto"/>
          <w:kern w:val="2"/>
          <w:sz w:val="21"/>
          <w:szCs w:val="21"/>
          <w:highlight w:val="none"/>
          <w:lang w:val="en-US" w:eastAsia="zh-CN"/>
        </w:rPr>
        <w:t>5</w:t>
      </w:r>
      <w:r>
        <w:rPr>
          <w:rFonts w:hint="eastAsia" w:ascii="微软雅黑" w:hAnsi="微软雅黑" w:eastAsia="微软雅黑" w:cs="微软雅黑"/>
          <w:color w:val="auto"/>
          <w:kern w:val="2"/>
          <w:sz w:val="21"/>
          <w:szCs w:val="21"/>
          <w:highlight w:val="none"/>
        </w:rPr>
        <w:t>日</w:t>
      </w:r>
      <w:r>
        <w:rPr>
          <w:rFonts w:hint="eastAsia" w:ascii="微软雅黑" w:hAnsi="微软雅黑" w:eastAsia="微软雅黑" w:cs="微软雅黑"/>
          <w:color w:val="auto"/>
          <w:kern w:val="2"/>
          <w:sz w:val="21"/>
          <w:szCs w:val="21"/>
          <w:highlight w:val="none"/>
          <w:lang w:val="en-US" w:eastAsia="zh-CN"/>
        </w:rPr>
        <w:t>下午14</w:t>
      </w:r>
      <w:r>
        <w:rPr>
          <w:rFonts w:hint="eastAsia" w:ascii="微软雅黑" w:hAnsi="微软雅黑" w:eastAsia="微软雅黑" w:cs="微软雅黑"/>
          <w:color w:val="auto"/>
          <w:kern w:val="2"/>
          <w:sz w:val="21"/>
          <w:szCs w:val="21"/>
          <w:highlight w:val="none"/>
        </w:rPr>
        <w:t>：</w:t>
      </w:r>
      <w:r>
        <w:rPr>
          <w:rFonts w:ascii="微软雅黑" w:hAnsi="微软雅黑" w:eastAsia="微软雅黑" w:cs="微软雅黑"/>
          <w:color w:val="auto"/>
          <w:kern w:val="2"/>
          <w:sz w:val="21"/>
          <w:szCs w:val="21"/>
          <w:highlight w:val="none"/>
        </w:rPr>
        <w:t>00</w:t>
      </w:r>
      <w:r>
        <w:rPr>
          <w:rFonts w:hint="eastAsia" w:ascii="微软雅黑" w:hAnsi="微软雅黑" w:eastAsia="微软雅黑" w:cs="微软雅黑"/>
          <w:color w:val="auto"/>
          <w:kern w:val="2"/>
          <w:sz w:val="21"/>
          <w:szCs w:val="21"/>
          <w:highlight w:val="none"/>
        </w:rPr>
        <w:t>时（北京时间）。</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2、磋商响应文件的递交方式：</w:t>
      </w:r>
    </w:p>
    <w:p>
      <w:pPr>
        <w:pStyle w:val="13"/>
        <w:snapToGrid w:val="0"/>
        <w:spacing w:line="440" w:lineRule="exact"/>
        <w:ind w:left="210" w:leftChars="100" w:firstLine="210" w:firstLineChars="1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2.1按政采云平台项目采购-电子交易操作指南及本磋商文件要求递交。供应商应当在202</w:t>
      </w:r>
      <w:r>
        <w:rPr>
          <w:rFonts w:ascii="微软雅黑" w:hAnsi="微软雅黑" w:eastAsia="微软雅黑" w:cs="微软雅黑"/>
          <w:color w:val="auto"/>
          <w:kern w:val="2"/>
          <w:sz w:val="21"/>
          <w:szCs w:val="21"/>
          <w:highlight w:val="none"/>
        </w:rPr>
        <w:t>2</w:t>
      </w:r>
      <w:r>
        <w:rPr>
          <w:rFonts w:hint="eastAsia" w:ascii="微软雅黑" w:hAnsi="微软雅黑" w:eastAsia="微软雅黑" w:cs="微软雅黑"/>
          <w:color w:val="auto"/>
          <w:kern w:val="2"/>
          <w:sz w:val="21"/>
          <w:szCs w:val="21"/>
          <w:highlight w:val="none"/>
        </w:rPr>
        <w:t>年</w:t>
      </w:r>
      <w:r>
        <w:rPr>
          <w:rFonts w:hint="eastAsia" w:ascii="微软雅黑" w:hAnsi="微软雅黑" w:eastAsia="微软雅黑" w:cs="微软雅黑"/>
          <w:color w:val="auto"/>
          <w:kern w:val="2"/>
          <w:sz w:val="21"/>
          <w:szCs w:val="21"/>
          <w:highlight w:val="none"/>
          <w:lang w:val="en-US" w:eastAsia="zh-CN"/>
        </w:rPr>
        <w:t>8</w:t>
      </w:r>
      <w:r>
        <w:rPr>
          <w:rFonts w:hint="eastAsia" w:ascii="微软雅黑" w:hAnsi="微软雅黑" w:eastAsia="微软雅黑" w:cs="微软雅黑"/>
          <w:color w:val="auto"/>
          <w:kern w:val="2"/>
          <w:sz w:val="21"/>
          <w:szCs w:val="21"/>
          <w:highlight w:val="none"/>
        </w:rPr>
        <w:t>月</w:t>
      </w:r>
      <w:r>
        <w:rPr>
          <w:rFonts w:hint="eastAsia" w:ascii="微软雅黑" w:hAnsi="微软雅黑" w:eastAsia="微软雅黑" w:cs="微软雅黑"/>
          <w:color w:val="auto"/>
          <w:kern w:val="2"/>
          <w:sz w:val="21"/>
          <w:szCs w:val="21"/>
          <w:highlight w:val="none"/>
          <w:lang w:val="en-US" w:eastAsia="zh-CN"/>
        </w:rPr>
        <w:t>5</w:t>
      </w:r>
      <w:r>
        <w:rPr>
          <w:rFonts w:hint="eastAsia" w:ascii="微软雅黑" w:hAnsi="微软雅黑" w:eastAsia="微软雅黑" w:cs="微软雅黑"/>
          <w:color w:val="auto"/>
          <w:kern w:val="2"/>
          <w:sz w:val="21"/>
          <w:szCs w:val="21"/>
          <w:highlight w:val="none"/>
        </w:rPr>
        <w:t>日</w:t>
      </w:r>
      <w:r>
        <w:rPr>
          <w:rFonts w:hint="eastAsia" w:ascii="微软雅黑" w:hAnsi="微软雅黑" w:eastAsia="微软雅黑" w:cs="微软雅黑"/>
          <w:color w:val="auto"/>
          <w:kern w:val="2"/>
          <w:sz w:val="21"/>
          <w:szCs w:val="21"/>
          <w:highlight w:val="none"/>
          <w:lang w:val="en-US" w:eastAsia="zh-CN"/>
        </w:rPr>
        <w:t>下午14</w:t>
      </w:r>
      <w:r>
        <w:rPr>
          <w:rFonts w:hint="eastAsia" w:ascii="微软雅黑" w:hAnsi="微软雅黑" w:eastAsia="微软雅黑" w:cs="微软雅黑"/>
          <w:color w:val="auto"/>
          <w:kern w:val="2"/>
          <w:sz w:val="21"/>
          <w:szCs w:val="21"/>
          <w:highlight w:val="none"/>
        </w:rPr>
        <w:t>：00时前（北京时间），将生成的“电子加密磋商响应文件”上传递交至“政采云平台”。磋商响应截止时间以后上传递交的磋商响应文件将被“政采云平台”拒收。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2.2供应商在“政采云平台”完成“电子加密磋商响应文件”的上传递交后，还可以在磋商响应截止时间前递交以介质（U盘）存储的数据电文形式的“备份磋商响应文件”。“备份磋商响应文件”是指与“电子加密磋商响应文件”同时生成的数据电文形式的电子文件，其他方式编制的备份磋商响应文件无效。“备份磋商响应文件”应当密封包装并在包装上标注磋商响应项目名称、供应商名称并加盖公章。在开标前递交至以下地址：安吉县公共资源交易中心（浙江省安吉县昌硕街道天荒坪南路99号（天荒坪路与穆王路交叉口）安吉商会大厦A座7楼开标室）具体详见七楼休息区大屏幕。</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通过“政采云平台”上传递交的“电子加密磋商响应文件”无法按时解密，供应商递交了备份磋商响应文件的，以备份磋商响应文件为依据，否则视为磋商响应文件撤回。通过“政采云平台”上传递交的“电子加密磋商响应文件”已按时解密的，“备份磋商响应文件”自动失效。供应商仅递交备份磋商响应文件的，磋商响应无效。</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为确保网上操作合法、有效和安全，供应商应当在磋商响应截止时间前完成在“政府采购云平台”的身份认证，确保在电子磋商响应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CA驱动和申领流程”进行查阅。办理流程详见http://www.zjzfcg.gov.cn/bidClientTemplate/2019-05-27/12945.html），并登陆“浙江政府采购网”（http://zfcg.czt.zj.gov.cn/），进入“下载专区”下载“电子交易客户端”，制作磋商响应文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供应商通过政采云平台电子磋商响应工具制作磋商响应文件，电子磋商响应工具请供应商自行前往浙江省政府采购网下载并安装，（下载网址：http://www.zjzfcg.gov.cn/bidClientTemplate/2019-09-24/12975.html），供应商电子交易操作指南详见网址：https://help.zcygov.cn/web/site_2/2018/12-28/2573.html）</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六、磋商时间：</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2022年8月5日下午14：00时整（北京时间）</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七、磋商地址：</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浙江省安吉县昌硕街道天荒坪南路99号（天荒坪路与穆王路交叉口）安吉商会大厦A座7楼第</w:t>
      </w:r>
      <w:r>
        <w:rPr>
          <w:rFonts w:hint="eastAsia" w:ascii="微软雅黑" w:hAnsi="微软雅黑" w:eastAsia="微软雅黑" w:cs="微软雅黑"/>
          <w:color w:val="auto"/>
          <w:kern w:val="2"/>
          <w:sz w:val="21"/>
          <w:szCs w:val="21"/>
          <w:highlight w:val="none"/>
          <w:lang w:val="en-US" w:eastAsia="zh-CN"/>
        </w:rPr>
        <w:t>二</w:t>
      </w:r>
      <w:r>
        <w:rPr>
          <w:rFonts w:hint="eastAsia" w:ascii="微软雅黑" w:hAnsi="微软雅黑" w:eastAsia="微软雅黑" w:cs="微软雅黑"/>
          <w:color w:val="auto"/>
          <w:kern w:val="2"/>
          <w:sz w:val="21"/>
          <w:szCs w:val="21"/>
          <w:highlight w:val="none"/>
        </w:rPr>
        <w:t>开标室，具体详见七楼休息区电子显示屏。供应商可以派授权代表出席开标会议（授权代表必须携带身份证、法人授权委托书或法人身份证明文书等有效证明文件以及最近一个月个人社保缴纳证明文件）。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注：疫情防控期，按照“不见面、少接触”的原则，供应商可不委派专人（法定代表人或委托代理人）参加现场开标。因未到场而不能提供数据电文形式的“备份磋商响应文件”的，相关磋商响应风险由供应商自行承担，疫情防控期采购过程接受邮寄备份磋商响应文件模式，采用邮寄方式递交备份磋商响应文件的，供应商应确保备份磋商响应文件在磋商响应截止时间前送达（以收件人实际签收时间为准）。邮寄地址：浙江省安吉县昌硕街道递二社区综合楼三楼（浙江明业项目管理有限公司）；收件人：黄先生；联系电话：19957211776。邮寄时，应注明磋商响应单位名称、磋商响应单位的联系人、联系电话及磋商响应项目名称。</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八、磋商保证金：</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不收取</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九、其他事项：</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本项目公告期限为5个工作日，供应商认为采购文件使自己的权益受到损害的，可以自获取采购文件之日起7个工作日内。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本项目为电子招投标（磋商响应）项目，实行网上招投标（磋商响应），应按照本采购文件及政采云平台的要求编制、加密并要求供应商通过政采云系统在线招投标（磋商响应），投标（磋商响应）截止时间前须完成电子投标（磋商响应）文件的上传，同时供应商须随身携带制作在线投标（磋商响应）文件时所用的CA锁，供应商在使用系统进行投标（磋商响应）的过程中遇到涉及平台使用的任何问题，可致电政采云平台技术支持热线咨询，联系方式：400-881-7190。供应商递交数据电子备份投标（磋商响应）文件（U盘）的，应在投标（磋商响应）截止时间前于开标现场以密封、包装的形式提供。</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本项目开评标会议通过政采云电子交易系统在线完成，请潜在供应商代表自行准备联网的计算机设备、“政府采购云平台”CA数字证书。开评标会议开始后，应全程关注政采云电子交易系统的各类通知：在线询标等，及时澄清、响应等，避免逾期无效等情况的发生。</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2、本项目公告发布网站：</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浙江政府采购网：http://zfcg.czt.zj.gov.cn/</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 xml:space="preserve">安吉县公共资源交易信息网：http://www.ajztb.com/ajzbtb/ </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3、质疑和投诉：</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4、本项目执行的政府采购政策：</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《政府采购促进中小企业发展管理办法》（财库〔2020〕46号）；</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《财政部、司法部关于政府采购支持监狱企业发展有关问题的通知》（财库〔2014〕68号）；</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《国务院办公厅关于建立政府强制采购节能产品制度的通知》（国办发〔2007〕51号）；</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《财政部、国家环保总局关于环境标志产品政府采购实施的意见》（财库[2006]90号）；</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财政部 民政部 中国残疾人联合会《关于促进残疾人就业政府采购政策的通知》（财库〔2017〕141号）。</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4、资格审查：</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本项目采用资格后审。</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十、告知事项：</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10" w:name="_Hlk40945649"/>
      <w:r>
        <w:rPr>
          <w:rFonts w:hint="eastAsia" w:ascii="微软雅黑" w:hAnsi="微软雅黑" w:eastAsia="微软雅黑" w:cs="微软雅黑"/>
          <w:color w:val="auto"/>
          <w:kern w:val="2"/>
          <w:sz w:val="21"/>
          <w:szCs w:val="21"/>
          <w:highlight w:val="none"/>
        </w:rPr>
        <w:t>1、供应商可以指派无疫情接触史、身体健康且符合防控要求、佩戴口罩的人员参与开标现场活动，请严格把关。每个供应商一般只能指派1人参加现场开标活动；</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参加磋商响应的人员，请自觉做好个人防护工作，必须全程佩戴口罩（自备），听从交易中心工作人员引导，必须提供“一证一码一表”，即：身份证、“湖州健康码”（个人支付宝或浙里办APP中申领）、开评标人员健康信息登记表（格式详见附件），主动配合做好体温测量等各项疫情防控措施，健康信息登记表必须如实填写，不得弄虚作假，如出现隐瞒信息导致发生疫情传播事件的，将报告有关部门依法追究其责任。供应商若为省外的，供应商代表在持有“湖州健康码”的同时，须在支付宝APP在线申请入浙通行申报。</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3、“湖州健康码”显示为绿色可进入交易中心，“湖州健康码”显示为黄色、红色或者现场测量体温高于37.2℃且不符合防控管理要求的人员，一律谢绝进入交易中心参加开标活动；</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4、请各供应商充分考虑因路程、卡口防疫检查等因素（注：不得违反国家、浙江省、湖州市等相关规定）。特殊时期，为避免各因素带来不便导致时间效率问题，请各供应商提前30分钟到场，确保磋商响应有效。</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5、所有进入安吉县公共资源交易中心的相关人员应自觉遵守国家以及省、市、区有关疫情防控的其他规定。</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6、本采购项目成交单位与采购单位签订的政府采购合同适用于浙江省政府采购贷款政策，简称“政采贷”，具体内容可参阅《安吉财政“政采贷”办理指引》。</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7、网址：</w:t>
      </w:r>
      <w:r>
        <w:rPr>
          <w:color w:val="auto"/>
          <w:highlight w:val="none"/>
        </w:rPr>
        <w:fldChar w:fldCharType="begin"/>
      </w:r>
      <w:r>
        <w:rPr>
          <w:color w:val="auto"/>
          <w:highlight w:val="none"/>
        </w:rPr>
        <w:instrText xml:space="preserve"> HYPERLINK "https://mp.weixin.qq.com/s/FxzZ-CGhtaDj0aORl7XnqQ" </w:instrText>
      </w:r>
      <w:r>
        <w:rPr>
          <w:color w:val="auto"/>
          <w:highlight w:val="none"/>
        </w:rPr>
        <w:fldChar w:fldCharType="separate"/>
      </w:r>
      <w:r>
        <w:rPr>
          <w:rFonts w:hint="eastAsia" w:ascii="微软雅黑" w:hAnsi="微软雅黑" w:eastAsia="微软雅黑" w:cs="微软雅黑"/>
          <w:color w:val="auto"/>
          <w:kern w:val="2"/>
          <w:sz w:val="21"/>
          <w:szCs w:val="21"/>
          <w:highlight w:val="none"/>
        </w:rPr>
        <w:t>https://mp.weixin.qq.com/s/FxzZ-CGhtaDj0aORl7XnqQ</w:t>
      </w:r>
      <w:r>
        <w:rPr>
          <w:rFonts w:hint="eastAsia" w:ascii="微软雅黑" w:hAnsi="微软雅黑" w:eastAsia="微软雅黑" w:cs="微软雅黑"/>
          <w:color w:val="auto"/>
          <w:kern w:val="2"/>
          <w:sz w:val="21"/>
          <w:szCs w:val="21"/>
          <w:highlight w:val="none"/>
        </w:rPr>
        <w:fldChar w:fldCharType="end"/>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8、本项目是否专门面向中小企业采购：是。</w:t>
      </w:r>
    </w:p>
    <w:bookmarkEnd w:id="10"/>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十一、联系方式：</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lang w:eastAsia="zh-CN"/>
        </w:rPr>
      </w:pPr>
      <w:r>
        <w:rPr>
          <w:rFonts w:hint="eastAsia" w:ascii="微软雅黑" w:hAnsi="微软雅黑" w:eastAsia="微软雅黑" w:cs="微软雅黑"/>
          <w:color w:val="auto"/>
          <w:kern w:val="2"/>
          <w:sz w:val="21"/>
          <w:szCs w:val="21"/>
          <w:highlight w:val="none"/>
        </w:rPr>
        <w:t>1、采购人：</w:t>
      </w:r>
      <w:r>
        <w:rPr>
          <w:rFonts w:hint="eastAsia" w:ascii="微软雅黑" w:hAnsi="微软雅黑" w:eastAsia="微软雅黑" w:cs="微软雅黑"/>
          <w:color w:val="auto"/>
          <w:kern w:val="2"/>
          <w:sz w:val="21"/>
          <w:szCs w:val="21"/>
          <w:highlight w:val="none"/>
          <w:lang w:eastAsia="zh-CN"/>
        </w:rPr>
        <w:t>安吉县山川乡人民政府</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lang w:eastAsia="zh-CN"/>
        </w:rPr>
      </w:pPr>
      <w:r>
        <w:rPr>
          <w:rFonts w:hint="eastAsia" w:ascii="微软雅黑" w:hAnsi="微软雅黑" w:eastAsia="微软雅黑" w:cs="微软雅黑"/>
          <w:color w:val="auto"/>
          <w:kern w:val="2"/>
          <w:sz w:val="21"/>
          <w:szCs w:val="21"/>
          <w:highlight w:val="none"/>
        </w:rPr>
        <w:t>联系人：</w:t>
      </w:r>
      <w:r>
        <w:rPr>
          <w:rFonts w:hint="eastAsia" w:ascii="微软雅黑" w:hAnsi="微软雅黑" w:eastAsia="微软雅黑" w:cs="微软雅黑"/>
          <w:color w:val="auto"/>
          <w:kern w:val="2"/>
          <w:sz w:val="21"/>
          <w:szCs w:val="21"/>
          <w:highlight w:val="none"/>
          <w:lang w:val="en-US" w:eastAsia="zh-CN"/>
        </w:rPr>
        <w:t>潘先生</w:t>
      </w:r>
      <w:r>
        <w:rPr>
          <w:rFonts w:ascii="微软雅黑" w:hAnsi="微软雅黑" w:eastAsia="微软雅黑" w:cs="微软雅黑"/>
          <w:color w:val="auto"/>
          <w:kern w:val="2"/>
          <w:sz w:val="21"/>
          <w:szCs w:val="21"/>
          <w:highlight w:val="none"/>
        </w:rPr>
        <w:t xml:space="preserve"> </w:t>
      </w:r>
      <w:r>
        <w:rPr>
          <w:rFonts w:hint="eastAsia" w:ascii="微软雅黑" w:hAnsi="微软雅黑" w:eastAsia="微软雅黑" w:cs="微软雅黑"/>
          <w:color w:val="auto"/>
          <w:kern w:val="2"/>
          <w:sz w:val="21"/>
          <w:szCs w:val="21"/>
          <w:highlight w:val="none"/>
        </w:rPr>
        <w:t xml:space="preserve">    </w:t>
      </w:r>
      <w:r>
        <w:rPr>
          <w:rFonts w:ascii="微软雅黑" w:hAnsi="微软雅黑" w:eastAsia="微软雅黑" w:cs="微软雅黑"/>
          <w:color w:val="auto"/>
          <w:kern w:val="2"/>
          <w:sz w:val="21"/>
          <w:szCs w:val="21"/>
          <w:highlight w:val="none"/>
        </w:rPr>
        <w:t xml:space="preserve">    </w:t>
      </w:r>
      <w:r>
        <w:rPr>
          <w:rFonts w:hint="eastAsia" w:ascii="微软雅黑" w:hAnsi="微软雅黑" w:eastAsia="微软雅黑" w:cs="微软雅黑"/>
          <w:color w:val="auto"/>
          <w:kern w:val="2"/>
          <w:sz w:val="21"/>
          <w:szCs w:val="21"/>
          <w:highlight w:val="none"/>
          <w:lang w:val="en-US" w:eastAsia="zh-CN"/>
        </w:rPr>
        <w:t xml:space="preserve">   </w:t>
      </w:r>
      <w:r>
        <w:rPr>
          <w:rFonts w:hint="eastAsia" w:ascii="微软雅黑" w:hAnsi="微软雅黑" w:eastAsia="微软雅黑" w:cs="微软雅黑"/>
          <w:color w:val="auto"/>
          <w:kern w:val="2"/>
          <w:sz w:val="21"/>
          <w:szCs w:val="21"/>
          <w:highlight w:val="none"/>
        </w:rPr>
        <w:t xml:space="preserve">  联系电话：</w:t>
      </w:r>
      <w:r>
        <w:rPr>
          <w:rFonts w:hint="eastAsia" w:ascii="微软雅黑" w:hAnsi="微软雅黑" w:eastAsia="微软雅黑" w:cs="微软雅黑"/>
          <w:color w:val="auto"/>
          <w:kern w:val="2"/>
          <w:sz w:val="21"/>
          <w:szCs w:val="21"/>
          <w:highlight w:val="none"/>
          <w:lang w:val="en-US" w:eastAsia="zh-CN"/>
        </w:rPr>
        <w:t>0572-5049111</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2、采购代理机构：浙江明业项目管理有限公司</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联系人：黄先生              联系电话：1</w:t>
      </w:r>
      <w:r>
        <w:rPr>
          <w:rFonts w:ascii="微软雅黑" w:hAnsi="微软雅黑" w:eastAsia="微软雅黑" w:cs="微软雅黑"/>
          <w:color w:val="auto"/>
          <w:kern w:val="2"/>
          <w:sz w:val="21"/>
          <w:szCs w:val="21"/>
          <w:highlight w:val="none"/>
        </w:rPr>
        <w:t>9957211776</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3、书面质疑受理联系人</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联系人：杨先生              联系电话：0572-5501567</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4、政府采购行政监管及投诉受理部门：安吉县财政局</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联系电话：0572-5302207      传真：0572-5302207</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地址：浙江省安吉县递铺镇胜利东路308号</w:t>
      </w:r>
      <w:bookmarkEnd w:id="3"/>
      <w:bookmarkEnd w:id="5"/>
      <w:bookmarkEnd w:id="6"/>
    </w:p>
    <w:bookmarkEnd w:id="4"/>
    <w:bookmarkEnd w:id="7"/>
    <w:p>
      <w:pPr>
        <w:snapToGrid w:val="0"/>
        <w:spacing w:line="440" w:lineRule="exact"/>
        <w:ind w:firstLine="420" w:firstLineChars="200"/>
        <w:rPr>
          <w:rFonts w:ascii="微软雅黑" w:hAnsi="微软雅黑" w:eastAsia="微软雅黑" w:cs="微软雅黑"/>
          <w:color w:val="auto"/>
          <w:kern w:val="0"/>
          <w:szCs w:val="21"/>
          <w:highlight w:val="none"/>
        </w:rPr>
      </w:pPr>
    </w:p>
    <w:p>
      <w:pPr>
        <w:snapToGrid w:val="0"/>
        <w:spacing w:line="440" w:lineRule="exact"/>
        <w:ind w:firstLine="440" w:firstLineChars="200"/>
        <w:jc w:val="right"/>
        <w:rPr>
          <w:rFonts w:hint="eastAsia" w:ascii="微软雅黑" w:hAnsi="微软雅黑" w:eastAsia="微软雅黑" w:cs="微软雅黑"/>
          <w:color w:val="auto"/>
          <w:sz w:val="22"/>
          <w:szCs w:val="22"/>
          <w:highlight w:val="none"/>
          <w:lang w:eastAsia="zh-CN"/>
        </w:rPr>
      </w:pPr>
      <w:bookmarkStart w:id="11" w:name="_Hlk24636010"/>
      <w:r>
        <w:rPr>
          <w:rFonts w:hint="eastAsia" w:ascii="微软雅黑" w:hAnsi="微软雅黑" w:eastAsia="微软雅黑" w:cs="微软雅黑"/>
          <w:color w:val="auto"/>
          <w:sz w:val="22"/>
          <w:szCs w:val="22"/>
          <w:highlight w:val="none"/>
          <w:lang w:eastAsia="zh-CN"/>
        </w:rPr>
        <w:t>安吉县山川乡人民政府</w:t>
      </w:r>
    </w:p>
    <w:bookmarkEnd w:id="11"/>
    <w:p>
      <w:pPr>
        <w:snapToGrid w:val="0"/>
        <w:spacing w:line="440" w:lineRule="exact"/>
        <w:ind w:firstLine="440" w:firstLineChars="200"/>
        <w:jc w:val="righ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浙江明业项目管理有限公司</w:t>
      </w:r>
    </w:p>
    <w:p>
      <w:pPr>
        <w:spacing w:line="440" w:lineRule="exact"/>
        <w:ind w:firstLine="440" w:firstLineChars="200"/>
        <w:jc w:val="right"/>
        <w:rPr>
          <w:rFonts w:ascii="微软雅黑" w:hAnsi="微软雅黑" w:eastAsia="微软雅黑" w:cs="微软雅黑"/>
          <w:color w:val="auto"/>
          <w:szCs w:val="21"/>
          <w:highlight w:val="none"/>
        </w:rPr>
      </w:pPr>
      <w:r>
        <w:rPr>
          <w:rFonts w:hint="eastAsia" w:ascii="微软雅黑" w:hAnsi="微软雅黑" w:eastAsia="微软雅黑" w:cs="微软雅黑"/>
          <w:color w:val="auto"/>
          <w:sz w:val="22"/>
          <w:szCs w:val="22"/>
          <w:highlight w:val="none"/>
        </w:rPr>
        <w:t xml:space="preserve">                     202</w:t>
      </w:r>
      <w:r>
        <w:rPr>
          <w:rFonts w:ascii="微软雅黑" w:hAnsi="微软雅黑" w:eastAsia="微软雅黑" w:cs="微软雅黑"/>
          <w:color w:val="auto"/>
          <w:sz w:val="22"/>
          <w:szCs w:val="22"/>
          <w:highlight w:val="none"/>
        </w:rPr>
        <w:t>2</w:t>
      </w:r>
      <w:r>
        <w:rPr>
          <w:rFonts w:hint="eastAsia" w:ascii="微软雅黑" w:hAnsi="微软雅黑" w:eastAsia="微软雅黑" w:cs="微软雅黑"/>
          <w:color w:val="auto"/>
          <w:sz w:val="22"/>
          <w:szCs w:val="22"/>
          <w:highlight w:val="none"/>
        </w:rPr>
        <w:t>年</w:t>
      </w:r>
      <w:r>
        <w:rPr>
          <w:rFonts w:hint="eastAsia" w:ascii="微软雅黑" w:hAnsi="微软雅黑" w:eastAsia="微软雅黑" w:cs="微软雅黑"/>
          <w:color w:val="auto"/>
          <w:sz w:val="22"/>
          <w:szCs w:val="22"/>
          <w:highlight w:val="none"/>
          <w:lang w:val="en-US" w:eastAsia="zh-CN"/>
        </w:rPr>
        <w:t>7</w:t>
      </w:r>
      <w:r>
        <w:rPr>
          <w:rFonts w:hint="eastAsia" w:ascii="微软雅黑" w:hAnsi="微软雅黑" w:eastAsia="微软雅黑" w:cs="微软雅黑"/>
          <w:color w:val="auto"/>
          <w:sz w:val="22"/>
          <w:szCs w:val="22"/>
          <w:highlight w:val="none"/>
        </w:rPr>
        <w:t>月</w:t>
      </w:r>
      <w:r>
        <w:rPr>
          <w:rFonts w:hint="eastAsia" w:ascii="微软雅黑" w:hAnsi="微软雅黑" w:eastAsia="微软雅黑" w:cs="微软雅黑"/>
          <w:color w:val="auto"/>
          <w:sz w:val="22"/>
          <w:szCs w:val="22"/>
          <w:highlight w:val="none"/>
          <w:lang w:val="en-US" w:eastAsia="zh-CN"/>
        </w:rPr>
        <w:t>26</w:t>
      </w:r>
      <w:r>
        <w:rPr>
          <w:rFonts w:hint="eastAsia" w:ascii="微软雅黑" w:hAnsi="微软雅黑" w:eastAsia="微软雅黑" w:cs="微软雅黑"/>
          <w:color w:val="auto"/>
          <w:sz w:val="22"/>
          <w:szCs w:val="22"/>
          <w:highlight w:val="none"/>
        </w:rPr>
        <w:t>日</w:t>
      </w:r>
    </w:p>
    <w:bookmarkEnd w:id="8"/>
    <w:p>
      <w:pPr>
        <w:pStyle w:val="28"/>
        <w:rPr>
          <w:rFonts w:ascii="微软雅黑" w:hAnsi="微软雅黑" w:eastAsia="微软雅黑" w:cs="微软雅黑"/>
          <w:color w:val="auto"/>
          <w:sz w:val="30"/>
          <w:szCs w:val="30"/>
          <w:highlight w:val="none"/>
        </w:rPr>
      </w:pPr>
      <w:bookmarkStart w:id="12" w:name="_Toc410379351"/>
      <w:r>
        <w:rPr>
          <w:rFonts w:hint="eastAsia" w:ascii="微软雅黑" w:hAnsi="微软雅黑" w:eastAsia="微软雅黑" w:cs="微软雅黑"/>
          <w:color w:val="auto"/>
          <w:highlight w:val="none"/>
        </w:rPr>
        <w:br w:type="page"/>
      </w:r>
      <w:bookmarkStart w:id="13" w:name="_Toc16770359"/>
      <w:bookmarkStart w:id="14" w:name="_Toc542"/>
      <w:r>
        <w:rPr>
          <w:rFonts w:hint="eastAsia" w:ascii="微软雅黑" w:hAnsi="微软雅黑" w:eastAsia="微软雅黑" w:cs="微软雅黑"/>
          <w:color w:val="auto"/>
          <w:sz w:val="30"/>
          <w:szCs w:val="30"/>
          <w:highlight w:val="none"/>
        </w:rPr>
        <w:t>第二章  响应人须知</w:t>
      </w:r>
      <w:bookmarkEnd w:id="12"/>
      <w:bookmarkEnd w:id="13"/>
      <w:bookmarkEnd w:id="14"/>
    </w:p>
    <w:p>
      <w:pPr>
        <w:pStyle w:val="24"/>
        <w:spacing w:before="0" w:after="0"/>
        <w:rPr>
          <w:rFonts w:ascii="微软雅黑" w:hAnsi="微软雅黑" w:eastAsia="微软雅黑" w:cs="微软雅黑"/>
          <w:color w:val="auto"/>
          <w:sz w:val="30"/>
          <w:szCs w:val="30"/>
          <w:highlight w:val="none"/>
        </w:rPr>
      </w:pPr>
      <w:bookmarkStart w:id="15" w:name="_Toc16770360"/>
      <w:bookmarkStart w:id="16" w:name="_Toc410379352"/>
      <w:r>
        <w:rPr>
          <w:rFonts w:hint="eastAsia" w:ascii="微软雅黑" w:hAnsi="微软雅黑" w:eastAsia="微软雅黑" w:cs="微软雅黑"/>
          <w:color w:val="auto"/>
          <w:sz w:val="30"/>
          <w:szCs w:val="30"/>
          <w:highlight w:val="none"/>
        </w:rPr>
        <w:t>前 附 表</w:t>
      </w:r>
      <w:bookmarkEnd w:id="15"/>
      <w:bookmarkEnd w:id="16"/>
    </w:p>
    <w:tbl>
      <w:tblPr>
        <w:tblStyle w:val="30"/>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bookmarkStart w:id="17" w:name="_Toc410379353"/>
            <w:bookmarkStart w:id="18" w:name="_Toc113441587"/>
            <w:r>
              <w:rPr>
                <w:rFonts w:hint="eastAsia" w:ascii="微软雅黑" w:hAnsi="微软雅黑" w:eastAsia="微软雅黑" w:cs="微软雅黑"/>
                <w:color w:val="auto"/>
                <w:szCs w:val="21"/>
                <w:highlight w:val="none"/>
              </w:rPr>
              <w:t>序号</w:t>
            </w:r>
          </w:p>
        </w:tc>
        <w:tc>
          <w:tcPr>
            <w:tcW w:w="8640"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内容 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p>
        </w:tc>
        <w:tc>
          <w:tcPr>
            <w:tcW w:w="8640" w:type="dxa"/>
            <w:vAlign w:val="center"/>
          </w:tcPr>
          <w:p>
            <w:pPr>
              <w:spacing w:line="360" w:lineRule="exact"/>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项目名称：</w:t>
            </w:r>
            <w:r>
              <w:rPr>
                <w:rFonts w:hint="eastAsia" w:ascii="微软雅黑" w:hAnsi="微软雅黑" w:eastAsia="微软雅黑" w:cs="微软雅黑"/>
                <w:color w:val="auto"/>
                <w:szCs w:val="21"/>
                <w:highlight w:val="none"/>
                <w:lang w:eastAsia="zh-CN"/>
              </w:rPr>
              <w:t>山川旅游度假区基础设施一期建设工程之浪漫山川全域智慧旅游系统(山区数据采集通讯基础设施)设计施工一体化政府采购项目</w:t>
            </w:r>
          </w:p>
          <w:p>
            <w:pPr>
              <w:spacing w:line="360" w:lineRule="exact"/>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项目编号：</w:t>
            </w:r>
            <w:r>
              <w:rPr>
                <w:rFonts w:hint="eastAsia" w:ascii="微软雅黑" w:hAnsi="微软雅黑" w:eastAsia="微软雅黑" w:cs="微软雅黑"/>
                <w:color w:val="auto"/>
                <w:szCs w:val="21"/>
                <w:highlight w:val="none"/>
                <w:lang w:eastAsia="zh-CN"/>
              </w:rPr>
              <w:t>ZJMY（采）2022-040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项目内容：详见磋商需求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磋商报价及费用：</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1、本项目磋商应以人民币报价，总价承包（结算详见采购需求）；</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2、不论磋商结果如何，供应商均应自行承担所有与磋商有关的全部费用；</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3、采购代理费用由成交供应商支付，按标项预算价为标准进行计算，收费按标准为：100万以内按1.5%，100-500万按1</w:t>
            </w:r>
            <w:r>
              <w:rPr>
                <w:rFonts w:hint="eastAsia" w:ascii="微软雅黑" w:hAnsi="微软雅黑" w:eastAsia="微软雅黑" w:cs="微软雅黑"/>
                <w:color w:val="auto"/>
                <w:szCs w:val="21"/>
                <w:highlight w:val="none"/>
                <w:lang w:val="en-US" w:eastAsia="zh-CN"/>
              </w:rPr>
              <w:t>.1</w:t>
            </w:r>
            <w:r>
              <w:rPr>
                <w:rFonts w:hint="eastAsia" w:ascii="微软雅黑" w:hAnsi="微软雅黑" w:eastAsia="微软雅黑" w:cs="微软雅黑"/>
                <w:color w:val="auto"/>
                <w:szCs w:val="21"/>
                <w:highlight w:val="none"/>
              </w:rPr>
              <w:t>%，差额定率累进法计算，不足6</w:t>
            </w:r>
            <w:r>
              <w:rPr>
                <w:rFonts w:ascii="微软雅黑" w:hAnsi="微软雅黑" w:eastAsia="微软雅黑" w:cs="微软雅黑"/>
                <w:color w:val="auto"/>
                <w:szCs w:val="21"/>
                <w:highlight w:val="none"/>
              </w:rPr>
              <w:t>000</w:t>
            </w:r>
            <w:r>
              <w:rPr>
                <w:rFonts w:hint="eastAsia" w:ascii="微软雅黑" w:hAnsi="微软雅黑" w:eastAsia="微软雅黑" w:cs="微软雅黑"/>
                <w:color w:val="auto"/>
                <w:szCs w:val="21"/>
                <w:highlight w:val="none"/>
              </w:rPr>
              <w:t>元按6</w:t>
            </w:r>
            <w:r>
              <w:rPr>
                <w:rFonts w:ascii="微软雅黑" w:hAnsi="微软雅黑" w:eastAsia="微软雅黑" w:cs="微软雅黑"/>
                <w:color w:val="auto"/>
                <w:szCs w:val="21"/>
                <w:highlight w:val="none"/>
              </w:rPr>
              <w:t>000</w:t>
            </w:r>
            <w:r>
              <w:rPr>
                <w:rFonts w:hint="eastAsia" w:ascii="微软雅黑" w:hAnsi="微软雅黑" w:eastAsia="微软雅黑" w:cs="微软雅黑"/>
                <w:color w:val="auto"/>
                <w:szCs w:val="21"/>
                <w:highlight w:val="none"/>
              </w:rPr>
              <w:t>元计算，在确定成交供应商后，领取成交通知书前，由成交供应商全额支付，请各供应商自行考虑计入磋商响应报价中。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现场踏勘：</w:t>
            </w:r>
          </w:p>
          <w:p>
            <w:pPr>
              <w:spacing w:line="360" w:lineRule="exact"/>
              <w:rPr>
                <w:rFonts w:ascii="微软雅黑" w:hAnsi="微软雅黑" w:eastAsia="微软雅黑" w:cs="微软雅黑"/>
                <w:color w:val="auto"/>
                <w:szCs w:val="21"/>
                <w:highlight w:val="none"/>
              </w:rPr>
            </w:pPr>
            <w:r>
              <w:rPr>
                <w:rFonts w:ascii="微软雅黑" w:hAnsi="微软雅黑" w:eastAsia="微软雅黑" w:cs="微软雅黑"/>
                <w:color w:val="auto"/>
                <w:szCs w:val="21"/>
                <w:highlight w:val="none"/>
              </w:rPr>
              <w:fldChar w:fldCharType="begin"/>
            </w:r>
            <w:r>
              <w:rPr>
                <w:rFonts w:ascii="微软雅黑" w:hAnsi="微软雅黑" w:eastAsia="微软雅黑" w:cs="微软雅黑"/>
                <w:color w:val="auto"/>
                <w:szCs w:val="21"/>
                <w:highlight w:val="none"/>
              </w:rPr>
              <w:instrText xml:space="preserve"> </w:instrText>
            </w:r>
            <w:r>
              <w:rPr>
                <w:rFonts w:hint="eastAsia" w:ascii="微软雅黑" w:hAnsi="微软雅黑" w:eastAsia="微软雅黑" w:cs="微软雅黑"/>
                <w:color w:val="auto"/>
                <w:szCs w:val="21"/>
                <w:highlight w:val="none"/>
              </w:rPr>
              <w:instrText xml:space="preserve">eq \o\ac(□,√)</w:instrText>
            </w:r>
            <w:r>
              <w:rPr>
                <w:rFonts w:ascii="微软雅黑" w:hAnsi="微软雅黑" w:eastAsia="微软雅黑" w:cs="微软雅黑"/>
                <w:color w:val="auto"/>
                <w:szCs w:val="21"/>
                <w:highlight w:val="none"/>
              </w:rPr>
              <w:fldChar w:fldCharType="end"/>
            </w:r>
            <w:r>
              <w:rPr>
                <w:rFonts w:hint="eastAsia" w:ascii="微软雅黑" w:hAnsi="微软雅黑" w:eastAsia="微软雅黑" w:cs="微软雅黑"/>
                <w:color w:val="auto"/>
                <w:szCs w:val="21"/>
                <w:highlight w:val="none"/>
              </w:rPr>
              <w:t xml:space="preserve"> 不组织</w:t>
            </w:r>
          </w:p>
          <w:p>
            <w:pPr>
              <w:spacing w:line="360" w:lineRule="exact"/>
              <w:rPr>
                <w:rFonts w:ascii="微软雅黑" w:hAnsi="微软雅黑" w:eastAsia="微软雅黑" w:cs="微软雅黑"/>
                <w:color w:val="auto"/>
                <w:szCs w:val="21"/>
                <w:highlight w:val="none"/>
              </w:rPr>
            </w:pPr>
            <w:r>
              <w:rPr>
                <w:rFonts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rPr>
              <w:t xml:space="preserve"> 组织</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踏勘时间：                 踏勘集中地点：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答疑与澄清：</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质疑受理：供应商应将书面质疑函邮寄至浙江省安吉县昌硕街道递二社区综合楼三楼浙江明业项目管理有限公司，联系人：黄强，联系电话：19957211776，同时将质疑函扫描件以电子邮件形式发送至电子邮箱390739901@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磋商响应文件制作及组成：</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(1)磋商响应文件分商务资信、技术文件和价格三部分。</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(2)磋商响应文件编制：</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供应商应先安装“政采云电子交易客户端”，并按照本采购文件和“政采云平台”的要求，通过“政采云电子交易客户端”编制并加密磋商响应文件。</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(3)磋商响应文件的形式：</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☑电子磋商响应文件（包括“电子加密磋商响应文件”和“备份磋商响应文件”，在磋商响应文件编制完成后同时生成）。</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加密磋商响应文件”是指通过“政采云电子交易客户端”完成磋商响应文件编制后生成并加密的数据电文形式的磋商响应文件；“备份磋商响应文件”是指与“电子加密磋商响应文件”同时生成的数据电文形式的电子文件，其他方式编制的备份磋商响应文件无效。</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(4)磋商响应文件份数：</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“电子加密磋商响应文件”(必须提交）：在线上传递交一份。</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备份磋商响应文件”（不强制提交）：应当密封包装并在包装上标注磋商响应项目名称、供应商名称并加盖公章。在开标前递交至以下地址：安吉县公共资源交易中心（浙江省安吉县昌硕街道天荒坪南路99号（天荒坪路与穆王路交叉口）安吉商会大厦A座7楼开标室）具体详见七楼休息区大屏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w:t>
            </w:r>
          </w:p>
        </w:tc>
        <w:tc>
          <w:tcPr>
            <w:tcW w:w="8640" w:type="dxa"/>
            <w:vAlign w:val="center"/>
          </w:tcPr>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磋商响应文件的上传和递交：</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（1）“电子加密磋商响应文件”的上传、递交：</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供应商应在磋商响应截止时间前将“电子加密磋商响应文件”成功上传递交至“政采云平台”，否则磋商响应无效。</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“电子加密磋商响应文件”成功上传递交后，供应商可自行打印磋商响应文件接收回执。</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（2）“备份磋商响应文件”的密封包装、递交：</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供应商在“政采云平台”完成“电子加密磋商响应文件”的上传递交后，还可以在磋商响应截止时间前递交以介质（U盘）存储的 “备份磋商响应文件”（一份）；</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“备份磋商响应文件”应当密封包装，并在包装上标注磋商响应项目名称、磋商响应单位名称并加盖公章。没有密封包装或者逾期送达的“备份磋商响应文件”无效；</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通过“政府采购云平台”成功上传递交的“电子加密磋商响应文件”已按时解密的，“备份磋商响应文件”自动失效。磋商响应截止时间前，供应商仅递交了“备份磋商响应文件”而未将“电子加密磋商响应文件”成功上传至“政采云平台”的，磋商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8</w:t>
            </w:r>
          </w:p>
        </w:tc>
        <w:tc>
          <w:tcPr>
            <w:tcW w:w="8640" w:type="dxa"/>
            <w:vAlign w:val="center"/>
          </w:tcPr>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磋商地点及截止时间：</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地点：安吉县公共资源交易中心（浙江省安吉县昌硕街道天荒坪南路99号（天荒坪路与穆王路交叉口）安吉商会大厦A座7楼第</w:t>
            </w:r>
            <w:r>
              <w:rPr>
                <w:rFonts w:hint="eastAsia" w:ascii="微软雅黑" w:hAnsi="微软雅黑" w:eastAsia="微软雅黑" w:cs="微软雅黑"/>
                <w:color w:val="auto"/>
                <w:szCs w:val="21"/>
                <w:highlight w:val="none"/>
                <w:lang w:val="en-US" w:eastAsia="zh-CN"/>
              </w:rPr>
              <w:t>二</w:t>
            </w:r>
            <w:r>
              <w:rPr>
                <w:rFonts w:hint="eastAsia" w:ascii="微软雅黑" w:hAnsi="微软雅黑" w:eastAsia="微软雅黑" w:cs="微软雅黑"/>
                <w:color w:val="auto"/>
                <w:szCs w:val="21"/>
                <w:highlight w:val="none"/>
              </w:rPr>
              <w:t>开标室</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时间：2022年8月5日下午14：00时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9</w:t>
            </w:r>
          </w:p>
        </w:tc>
        <w:tc>
          <w:tcPr>
            <w:tcW w:w="8640" w:type="dxa"/>
            <w:vAlign w:val="center"/>
          </w:tcPr>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磋商响应文件评审地点及时间：</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地点：安吉县公共资源交易中心（浙江省安吉县昌硕街道天荒坪南路99号（天荒坪路与穆王路交叉口）安吉商会大厦A座8楼第</w:t>
            </w:r>
            <w:r>
              <w:rPr>
                <w:rFonts w:hint="eastAsia" w:ascii="微软雅黑" w:hAnsi="微软雅黑" w:eastAsia="微软雅黑" w:cs="微软雅黑"/>
                <w:color w:val="auto"/>
                <w:szCs w:val="21"/>
                <w:highlight w:val="none"/>
                <w:lang w:val="en-US" w:eastAsia="zh-CN"/>
              </w:rPr>
              <w:t>二</w:t>
            </w:r>
            <w:r>
              <w:rPr>
                <w:rFonts w:hint="eastAsia" w:ascii="微软雅黑" w:hAnsi="微软雅黑" w:eastAsia="微软雅黑" w:cs="微软雅黑"/>
                <w:color w:val="auto"/>
                <w:szCs w:val="21"/>
                <w:highlight w:val="none"/>
              </w:rPr>
              <w:t>评标室</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时间：2022年8月5日下午14：00时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10</w:t>
            </w:r>
          </w:p>
        </w:tc>
        <w:tc>
          <w:tcPr>
            <w:tcW w:w="8640" w:type="dxa"/>
            <w:vAlign w:val="center"/>
          </w:tcPr>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电子加密磋商响应文件的解密和异常情况处理：</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（1）开标后，采购组织机构将向各供应商发出“电子加密磋商响应文件”的解密通知，各供应商代表应当在接到解密通知后30分钟内自行完成“电子加密磋商响应文件”的在线解密。</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通过“政采云平台”成功上传递交的“电子加密磋商响应文件”无法按时解密的，供应商如按规定递交了“备份磋商响应文件”的，以“备份磋商响应文件”为依据（由采购组织机构按“政采云平台”操作规范将“备份磋商响应文件”上传至“政采云平台”，上传成功后，“电子加密磋商响应文件”自动失效），否则视为磋商响应文件撤回。</w:t>
            </w:r>
          </w:p>
          <w:p>
            <w:pPr>
              <w:widowControl/>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（3）磋商响应截止时间前，供应商仅递交了“备份磋商响应文件”而未将电子加密磋商响应文件上传至“政府采购云平台”的，磋商响应无效。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11</w:t>
            </w:r>
          </w:p>
        </w:tc>
        <w:tc>
          <w:tcPr>
            <w:tcW w:w="8640" w:type="dxa"/>
            <w:vAlign w:val="center"/>
          </w:tcPr>
          <w:p>
            <w:pPr>
              <w:pStyle w:val="4"/>
              <w:tabs>
                <w:tab w:val="left" w:pos="720"/>
              </w:tabs>
              <w:spacing w:before="0" w:after="0" w:line="360" w:lineRule="exact"/>
              <w:rPr>
                <w:rFonts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可中止电子交易活动的情形：</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采购过程中出现以下情形，导致电子交易平台无法正常运行，或者无法保证电子交易的公平、公正和安全时，采购组织机构可中止电子交易活动：</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（1）电子交易平台发生故障而无法登录访问的；</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（2）电子交易平台应用或数据库出现错误，不能进行正常操作的；</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（3）电子交易平台发现严重安全漏洞，有潜在泄密危险的；</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（4）病毒发作导致不能进行正常操作的；</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（5）其他无法保证电子交易的公平、公正和安全的情况。</w:t>
            </w:r>
          </w:p>
          <w:p>
            <w:pPr>
              <w:autoSpaceDE w:val="0"/>
              <w:autoSpaceDN w:val="0"/>
              <w:adjustRightInd w:val="0"/>
              <w:spacing w:line="360" w:lineRule="exact"/>
              <w:rPr>
                <w:rFonts w:ascii="微软雅黑" w:hAnsi="微软雅黑" w:eastAsia="微软雅黑" w:cs="微软雅黑"/>
                <w:color w:val="auto"/>
                <w:szCs w:val="21"/>
                <w:highlight w:val="none"/>
                <w:lang w:bidi="ar"/>
              </w:rPr>
            </w:pPr>
            <w:r>
              <w:rPr>
                <w:rFonts w:hint="eastAsia" w:ascii="微软雅黑" w:hAnsi="微软雅黑" w:eastAsia="微软雅黑" w:cs="微软雅黑"/>
                <w:color w:val="auto"/>
                <w:szCs w:val="21"/>
                <w:highlight w:val="none"/>
              </w:rPr>
              <w:t>出现上述情形，不影响采购公平、公正性的，采购组织机构可以待上述情形消除后继续组织电子交易活动，也可以决定某些环节以纸质形式进行；影响或可能影响采购公平、公正性的，应当重新采购。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12</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评标办法及评分标准：</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综合评分法 详见本磋商文件第四章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13</w:t>
            </w:r>
          </w:p>
        </w:tc>
        <w:tc>
          <w:tcPr>
            <w:tcW w:w="8640" w:type="dxa"/>
            <w:vAlign w:val="center"/>
          </w:tcPr>
          <w:p>
            <w:pPr>
              <w:autoSpaceDE w:val="0"/>
              <w:autoSpaceDN w:val="0"/>
              <w:adjustRightInd w:val="0"/>
              <w:snapToGrid w:val="0"/>
              <w:spacing w:line="360" w:lineRule="exac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磋商结果公示：</w:t>
            </w:r>
          </w:p>
          <w:p>
            <w:pPr>
              <w:autoSpaceDE w:val="0"/>
              <w:autoSpaceDN w:val="0"/>
              <w:adjustRightInd w:val="0"/>
              <w:snapToGrid w:val="0"/>
              <w:spacing w:line="360" w:lineRule="exac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浙江政府采购网  (</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35"/>
                <w:rFonts w:hint="eastAsia" w:ascii="微软雅黑" w:hAnsi="微软雅黑" w:eastAsia="微软雅黑" w:cs="微软雅黑"/>
                <w:color w:val="auto"/>
                <w:szCs w:val="21"/>
                <w:highlight w:val="none"/>
              </w:rPr>
              <w:t>http://www.zjzfcg.gov.cn</w:t>
            </w:r>
            <w:r>
              <w:rPr>
                <w:rStyle w:val="35"/>
                <w:rFonts w:hint="eastAsia" w:ascii="微软雅黑" w:hAnsi="微软雅黑" w:eastAsia="微软雅黑" w:cs="微软雅黑"/>
                <w:color w:val="auto"/>
                <w:szCs w:val="21"/>
                <w:highlight w:val="none"/>
              </w:rPr>
              <w:fldChar w:fldCharType="end"/>
            </w:r>
            <w:r>
              <w:rPr>
                <w:rFonts w:hint="eastAsia" w:ascii="微软雅黑" w:hAnsi="微软雅黑" w:eastAsia="微软雅黑" w:cs="微软雅黑"/>
                <w:color w:val="auto"/>
                <w:szCs w:val="21"/>
                <w:highlight w:val="none"/>
              </w:rPr>
              <w:t>)</w:t>
            </w:r>
          </w:p>
          <w:p>
            <w:pPr>
              <w:autoSpaceDE w:val="0"/>
              <w:autoSpaceDN w:val="0"/>
              <w:adjustRightInd w:val="0"/>
              <w:snapToGrid w:val="0"/>
              <w:spacing w:line="360" w:lineRule="exac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安吉县公共资源交易网（</w:t>
            </w:r>
            <w:r>
              <w:rPr>
                <w:color w:val="auto"/>
                <w:highlight w:val="none"/>
              </w:rPr>
              <w:fldChar w:fldCharType="begin"/>
            </w:r>
            <w:r>
              <w:rPr>
                <w:color w:val="auto"/>
                <w:highlight w:val="none"/>
              </w:rPr>
              <w:instrText xml:space="preserve"> HYPERLINK "http://new.ajztb.com:2236/" </w:instrText>
            </w:r>
            <w:r>
              <w:rPr>
                <w:color w:val="auto"/>
                <w:highlight w:val="none"/>
              </w:rPr>
              <w:fldChar w:fldCharType="separate"/>
            </w:r>
            <w:r>
              <w:rPr>
                <w:rFonts w:hint="eastAsia" w:ascii="微软雅黑" w:hAnsi="微软雅黑" w:eastAsia="微软雅黑" w:cs="微软雅黑"/>
                <w:color w:val="auto"/>
                <w:szCs w:val="21"/>
                <w:highlight w:val="none"/>
                <w:u w:val="single"/>
              </w:rPr>
              <w:t>http://new.ajztb.com:2236</w:t>
            </w:r>
            <w:r>
              <w:rPr>
                <w:rFonts w:hint="eastAsia" w:ascii="微软雅黑" w:hAnsi="微软雅黑" w:eastAsia="微软雅黑" w:cs="微软雅黑"/>
                <w:color w:val="auto"/>
                <w:szCs w:val="21"/>
                <w:highlight w:val="none"/>
                <w:u w:val="single"/>
              </w:rPr>
              <w:fldChar w:fldCharType="end"/>
            </w:r>
            <w:r>
              <w:rPr>
                <w:rFonts w:hint="eastAsia" w:ascii="微软雅黑" w:hAnsi="微软雅黑" w:eastAsia="微软雅黑" w:cs="微软雅黑"/>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14</w:t>
            </w:r>
          </w:p>
        </w:tc>
        <w:tc>
          <w:tcPr>
            <w:tcW w:w="8640" w:type="dxa"/>
            <w:vAlign w:val="center"/>
          </w:tcPr>
          <w:p>
            <w:pPr>
              <w:autoSpaceDE w:val="0"/>
              <w:autoSpaceDN w:val="0"/>
              <w:adjustRightInd w:val="0"/>
              <w:snapToGrid w:val="0"/>
              <w:spacing w:line="360" w:lineRule="exac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成交通知书：采购人确定成交供应商后2个工作日内发出书面的成交通知书，同时磋商结果在网上进行公示。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15</w:t>
            </w:r>
          </w:p>
        </w:tc>
        <w:tc>
          <w:tcPr>
            <w:tcW w:w="8640" w:type="dxa"/>
            <w:vAlign w:val="center"/>
          </w:tcPr>
          <w:p>
            <w:pPr>
              <w:autoSpaceDE w:val="0"/>
              <w:autoSpaceDN w:val="0"/>
              <w:adjustRightInd w:val="0"/>
              <w:snapToGrid w:val="0"/>
              <w:spacing w:line="360" w:lineRule="exact"/>
              <w:jc w:val="lef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履约保证金：成交人签订合同前缴纳履约证保金0元，服务期满后无违约的无息退还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16</w:t>
            </w:r>
          </w:p>
        </w:tc>
        <w:tc>
          <w:tcPr>
            <w:tcW w:w="8640" w:type="dxa"/>
            <w:vAlign w:val="center"/>
          </w:tcPr>
          <w:p>
            <w:pPr>
              <w:autoSpaceDE w:val="0"/>
              <w:autoSpaceDN w:val="0"/>
              <w:adjustRightInd w:val="0"/>
              <w:snapToGrid w:val="0"/>
              <w:spacing w:line="360" w:lineRule="exact"/>
              <w:textAlignment w:val="bottom"/>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签订合同：成交通知书发出后30天内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17</w:t>
            </w:r>
          </w:p>
        </w:tc>
        <w:tc>
          <w:tcPr>
            <w:tcW w:w="8640" w:type="dxa"/>
            <w:vAlign w:val="center"/>
          </w:tcPr>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信用记录查询：依据财库[2016]125号文件执行</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查询渠道：信用中国（www.creditchina.gov.cn）、中国政府采购网（www.ccgp.gov.cn）；</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时间：提交首次响应文件截止时间前3年内；</w:t>
            </w:r>
          </w:p>
          <w:p>
            <w:pPr>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查询记录和证据的留存：网站查询，打印留存。</w:t>
            </w:r>
          </w:p>
          <w:p>
            <w:pPr>
              <w:autoSpaceDE w:val="0"/>
              <w:autoSpaceDN w:val="0"/>
              <w:adjustRightIn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使用规则：</w:t>
            </w:r>
          </w:p>
          <w:p>
            <w:pPr>
              <w:autoSpaceDE w:val="0"/>
              <w:autoSpaceDN w:val="0"/>
              <w:adjustRightInd w:val="0"/>
              <w:spacing w:line="360" w:lineRule="exact"/>
              <w:rPr>
                <w:rFonts w:ascii="微软雅黑" w:hAnsi="微软雅黑" w:eastAsia="微软雅黑" w:cs="微软雅黑"/>
                <w:color w:val="auto"/>
                <w:szCs w:val="21"/>
                <w:highlight w:val="none"/>
                <w:lang w:val="zh-CN"/>
              </w:rPr>
            </w:pPr>
            <w:r>
              <w:rPr>
                <w:rFonts w:hint="eastAsia" w:ascii="微软雅黑" w:hAnsi="微软雅黑" w:eastAsia="微软雅黑" w:cs="微软雅黑"/>
                <w:color w:val="auto"/>
                <w:szCs w:val="21"/>
                <w:highlight w:val="none"/>
              </w:rPr>
              <w:t>被列入失信被执行人、重大税收违法案件当事人名单、政府采购严重违法失信行为记录名单及其它不符合《中华人民共和国政府采购法》第二十二条规定条件的，其磋商响应将被拒绝。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18</w:t>
            </w:r>
          </w:p>
        </w:tc>
        <w:tc>
          <w:tcPr>
            <w:tcW w:w="8640" w:type="dxa"/>
            <w:vAlign w:val="center"/>
          </w:tcPr>
          <w:p>
            <w:pPr>
              <w:snapToGri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政府采购政策执行：</w:t>
            </w:r>
          </w:p>
          <w:p>
            <w:pPr>
              <w:snapToGrid w:val="0"/>
              <w:spacing w:line="360" w:lineRule="exact"/>
              <w:ind w:firstLine="420" w:firstLineChars="200"/>
              <w:rPr>
                <w:rFonts w:ascii="微软雅黑" w:hAnsi="微软雅黑" w:eastAsia="微软雅黑" w:cs="微软雅黑"/>
                <w:color w:val="auto"/>
                <w:kern w:val="0"/>
                <w:szCs w:val="21"/>
                <w:highlight w:val="none"/>
                <w:lang w:bidi="ar"/>
              </w:rPr>
            </w:pPr>
            <w:r>
              <w:rPr>
                <w:rFonts w:hint="eastAsia" w:ascii="微软雅黑" w:hAnsi="微软雅黑" w:eastAsia="微软雅黑" w:cs="微软雅黑"/>
                <w:color w:val="auto"/>
                <w:szCs w:val="21"/>
                <w:highlight w:val="none"/>
              </w:rPr>
              <w:t>根据工信部等部委发布的《关于印发中小企业划型标准规定的通知》（工信部联企业〔2011〕300号），根据具体品目确定相应标准。</w:t>
            </w:r>
            <w:r>
              <w:rPr>
                <w:rFonts w:hint="eastAsia" w:ascii="微软雅黑" w:hAnsi="微软雅黑" w:eastAsia="微软雅黑" w:cs="微软雅黑"/>
                <w:color w:val="auto"/>
                <w:kern w:val="0"/>
                <w:szCs w:val="21"/>
                <w:highlight w:val="none"/>
                <w:lang w:bidi="ar"/>
              </w:rPr>
              <w:t>为本项目提供服务的企业按照《关于印发中小企业划型标准规定的通知》（工信部联企业〔2011〕300 号）的所属行业分类为</w:t>
            </w:r>
            <w:r>
              <w:rPr>
                <w:rFonts w:hint="eastAsia" w:ascii="微软雅黑" w:hAnsi="微软雅黑" w:eastAsia="微软雅黑" w:cs="微软雅黑"/>
                <w:b/>
                <w:bCs/>
                <w:color w:val="auto"/>
                <w:kern w:val="0"/>
                <w:szCs w:val="21"/>
                <w:highlight w:val="none"/>
                <w:lang w:bidi="ar"/>
              </w:rPr>
              <w:t>建筑业或其他未列明行业</w:t>
            </w:r>
            <w:r>
              <w:rPr>
                <w:rFonts w:hint="eastAsia" w:ascii="微软雅黑" w:hAnsi="微软雅黑" w:eastAsia="微软雅黑" w:cs="微软雅黑"/>
                <w:color w:val="auto"/>
                <w:kern w:val="0"/>
                <w:szCs w:val="21"/>
                <w:highlight w:val="none"/>
                <w:lang w:bidi="ar"/>
              </w:rPr>
              <w:t>。</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①根据财政部、工业和信息化部发布的《政府采购促进中小企业发展管理办法》【财库（2020）46号】规定，对于经主管预算单位统筹后未预留份额专门面向中小企业采购的采购项目，以及预留份额项目中的非预留部分采购包，采购人、采购代理机构应当对符合本办法规定的小微企业报价给予</w:t>
            </w:r>
            <w:r>
              <w:rPr>
                <w:rFonts w:hint="eastAsia" w:ascii="微软雅黑" w:hAnsi="微软雅黑" w:eastAsia="微软雅黑" w:cs="微软雅黑"/>
                <w:color w:val="auto"/>
                <w:sz w:val="21"/>
                <w:szCs w:val="21"/>
                <w:highlight w:val="none"/>
                <w:lang w:val="en-US" w:eastAsia="zh-CN"/>
              </w:rPr>
              <w:t>20</w:t>
            </w:r>
            <w:r>
              <w:rPr>
                <w:rFonts w:hint="eastAsia" w:ascii="微软雅黑" w:hAnsi="微软雅黑" w:eastAsia="微软雅黑" w:cs="微软雅黑"/>
                <w:color w:val="auto"/>
                <w:sz w:val="21"/>
                <w:szCs w:val="21"/>
                <w:highlight w:val="none"/>
              </w:rPr>
              <w:t>%的扣除，用扣除后的价格参加评审。</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w:t>
            </w:r>
            <w:r>
              <w:rPr>
                <w:rFonts w:hint="eastAsia" w:ascii="微软雅黑" w:hAnsi="微软雅黑" w:eastAsia="微软雅黑" w:cs="微软雅黑"/>
                <w:color w:val="auto"/>
                <w:sz w:val="21"/>
                <w:szCs w:val="21"/>
                <w:highlight w:val="none"/>
                <w:lang w:val="en-US" w:eastAsia="zh-CN"/>
              </w:rPr>
              <w:t>6</w:t>
            </w:r>
            <w:r>
              <w:rPr>
                <w:rFonts w:hint="eastAsia" w:ascii="微软雅黑" w:hAnsi="微软雅黑" w:eastAsia="微软雅黑" w:cs="微软雅黑"/>
                <w:color w:val="auto"/>
                <w:sz w:val="21"/>
                <w:szCs w:val="21"/>
                <w:highlight w:val="none"/>
              </w:rPr>
              <w:t>%的扣除，用扣除后的价格参加评审。</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组成联合体或者接受分包的小微企业与联合体内其他企业、分包企业之间存在直接控股、管理关系的，不享受价格扣除优惠政策。</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以联合体形式参加政府采购活动，联合体各方均为中小企业的，联合体视同中小企业。其中，联合体各方均为小微企业的，联合体视同小微企业。</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投标文件中须同时出具《政府采购促进中小企业发展管理办法》【财库（2020）46号】规定的《中小企业声明函》，否则不得享受价格扣除。</w:t>
            </w:r>
          </w:p>
          <w:p>
            <w:pPr>
              <w:spacing w:line="440" w:lineRule="exact"/>
              <w:ind w:firstLine="420" w:firstLineChars="200"/>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本项目为专门面向中小企业采购项目，不再执行价格评审优惠的扶持政策。</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②监狱企业视同小微企业，参加本项目投标的，享受小微企业同等的价格扣除。【注：提供《监狱企业声明函》】。</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③残疾人福利性单位参加投标【提供《残疾人福利性单位声明函》】，视为小型、微型企业，享受小微企业政策扶持。</w:t>
            </w:r>
          </w:p>
          <w:p>
            <w:pPr>
              <w:snapToGri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b/>
                <w:bCs/>
                <w:color w:val="auto"/>
                <w:szCs w:val="21"/>
                <w:highlight w:val="none"/>
                <w:lang w:bidi="ar"/>
              </w:rPr>
              <w:t>特别提醒：供应商按照本办法规定提供声明函内容不实的，属于提供虚假材料谋取</w:t>
            </w:r>
            <w:r>
              <w:rPr>
                <w:rFonts w:hint="eastAsia" w:ascii="微软雅黑" w:hAnsi="微软雅黑" w:eastAsia="微软雅黑" w:cs="微软雅黑"/>
                <w:b/>
                <w:bCs/>
                <w:color w:val="auto"/>
                <w:szCs w:val="21"/>
                <w:highlight w:val="none"/>
                <w:lang w:eastAsia="zh-CN" w:bidi="ar"/>
              </w:rPr>
              <w:t>成交</w:t>
            </w:r>
            <w:r>
              <w:rPr>
                <w:rFonts w:hint="eastAsia" w:ascii="微软雅黑" w:hAnsi="微软雅黑" w:eastAsia="微软雅黑" w:cs="微软雅黑"/>
                <w:b/>
                <w:bCs/>
                <w:color w:val="auto"/>
                <w:szCs w:val="21"/>
                <w:highlight w:val="none"/>
                <w:lang w:bidi="ar"/>
              </w:rPr>
              <w:t>、成交，依照《中华人民共和国政府采购法》等国家有关规定追究相应责任。采购代理机构在成交结果公告中公开成交供应商的《中小企业声明函》。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19</w:t>
            </w:r>
          </w:p>
        </w:tc>
        <w:tc>
          <w:tcPr>
            <w:tcW w:w="8640" w:type="dxa"/>
            <w:vAlign w:val="center"/>
          </w:tcPr>
          <w:p>
            <w:pPr>
              <w:adjustRightInd w:val="0"/>
              <w:snapToGri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节能环保要求：</w:t>
            </w:r>
          </w:p>
          <w:p>
            <w:pPr>
              <w:snapToGri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根据财政部、国家发改委最新一期“节能产品政府采购清单的通知” （以下简称“节能清单”），本项目如需采购节能清单中的政府强制采购的节能产品，供应商所投的相应产品须为列入最新一期节能产品政府采购清单的产品，并且提供该产品所在的节能产品政府采购清单页，注明页码，否则磋商响应无效。（注：在最新一期节能清单发布之后开展的政府采购活动，执行最新一期节能清单。在此之前已经开展但尚未进入评审环节的政府采购活动，执行上期或最新一期节能清单。）</w:t>
            </w:r>
          </w:p>
          <w:p>
            <w:pPr>
              <w:autoSpaceDE w:val="0"/>
              <w:autoSpaceDN w:val="0"/>
              <w:adjustRightInd w:val="0"/>
              <w:spacing w:line="36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20</w:t>
            </w:r>
          </w:p>
        </w:tc>
        <w:tc>
          <w:tcPr>
            <w:tcW w:w="8640" w:type="dxa"/>
            <w:vAlign w:val="center"/>
          </w:tcPr>
          <w:p>
            <w:pPr>
              <w:autoSpaceDE w:val="0"/>
              <w:autoSpaceDN w:val="0"/>
              <w:adjustRightInd w:val="0"/>
              <w:spacing w:line="360" w:lineRule="exact"/>
              <w:rPr>
                <w:rFonts w:ascii="微软雅黑" w:hAnsi="微软雅黑" w:eastAsia="微软雅黑" w:cs="微软雅黑"/>
                <w:color w:val="auto"/>
                <w:szCs w:val="21"/>
                <w:highlight w:val="none"/>
                <w:lang w:bidi="ar"/>
              </w:rPr>
            </w:pPr>
            <w:r>
              <w:rPr>
                <w:rFonts w:hint="eastAsia" w:ascii="微软雅黑" w:hAnsi="微软雅黑" w:eastAsia="微软雅黑" w:cs="微软雅黑"/>
                <w:color w:val="auto"/>
                <w:szCs w:val="21"/>
                <w:highlight w:val="none"/>
                <w:lang w:bidi="ar"/>
              </w:rPr>
              <w:t>磋商注意事项：</w:t>
            </w:r>
          </w:p>
          <w:p>
            <w:pPr>
              <w:autoSpaceDE w:val="0"/>
              <w:autoSpaceDN w:val="0"/>
              <w:adjustRightInd w:val="0"/>
              <w:spacing w:line="360" w:lineRule="exact"/>
              <w:rPr>
                <w:rFonts w:ascii="微软雅黑" w:hAnsi="微软雅黑" w:eastAsia="微软雅黑" w:cs="微软雅黑"/>
                <w:color w:val="auto"/>
                <w:szCs w:val="21"/>
                <w:highlight w:val="none"/>
                <w:lang w:bidi="ar"/>
              </w:rPr>
            </w:pPr>
            <w:r>
              <w:rPr>
                <w:rFonts w:hint="eastAsia" w:ascii="微软雅黑" w:hAnsi="微软雅黑" w:eastAsia="微软雅黑" w:cs="微软雅黑"/>
                <w:color w:val="auto"/>
                <w:szCs w:val="21"/>
                <w:highlight w:val="none"/>
                <w:lang w:bidi="ar"/>
              </w:rPr>
              <w:t>（1）成交后，供应商拒绝签订合同的，采购人可以依法按照评审报告推荐的成交候选人名单排序，确定下一候选人为成交供应商，也可以重新开展政府采购活动。供应商成交后拒绝签订合同的，应按预算金额的2%对采购人进行赔偿；赔偿金额不足以弥补采购人损失的，供应商应继续承担超过部分的损失。</w:t>
            </w:r>
          </w:p>
          <w:p>
            <w:pPr>
              <w:autoSpaceDE w:val="0"/>
              <w:autoSpaceDN w:val="0"/>
              <w:adjustRightInd w:val="0"/>
              <w:spacing w:line="360" w:lineRule="exact"/>
              <w:rPr>
                <w:rFonts w:ascii="微软雅黑" w:hAnsi="微软雅黑" w:eastAsia="微软雅黑" w:cs="微软雅黑"/>
                <w:color w:val="auto"/>
                <w:szCs w:val="21"/>
                <w:highlight w:val="none"/>
                <w:lang w:bidi="ar"/>
              </w:rPr>
            </w:pPr>
            <w:r>
              <w:rPr>
                <w:rFonts w:hint="eastAsia" w:ascii="微软雅黑" w:hAnsi="微软雅黑" w:eastAsia="微软雅黑" w:cs="微软雅黑"/>
                <w:color w:val="auto"/>
                <w:szCs w:val="21"/>
                <w:highlight w:val="none"/>
                <w:lang w:bidi="ar"/>
              </w:rPr>
              <w:t>（2）存在下列行为的，采购人将其失信行为上报政府采购主管部门，由主管部门按有关规定对其违法失信行为记录进行公开：</w:t>
            </w:r>
          </w:p>
          <w:p>
            <w:pPr>
              <w:autoSpaceDE w:val="0"/>
              <w:autoSpaceDN w:val="0"/>
              <w:adjustRightInd w:val="0"/>
              <w:spacing w:line="360" w:lineRule="exact"/>
              <w:rPr>
                <w:rFonts w:ascii="微软雅黑" w:hAnsi="微软雅黑" w:eastAsia="微软雅黑" w:cs="微软雅黑"/>
                <w:color w:val="auto"/>
                <w:szCs w:val="21"/>
                <w:highlight w:val="none"/>
                <w:lang w:bidi="ar"/>
              </w:rPr>
            </w:pPr>
            <w:r>
              <w:rPr>
                <w:rFonts w:hint="eastAsia" w:ascii="微软雅黑" w:hAnsi="微软雅黑" w:eastAsia="微软雅黑" w:cs="微软雅黑"/>
                <w:color w:val="auto"/>
                <w:szCs w:val="21"/>
                <w:highlight w:val="none"/>
                <w:lang w:bidi="ar"/>
              </w:rPr>
              <w:t>成交或者成交后，拒绝签订政府采购合同的；</w:t>
            </w:r>
          </w:p>
          <w:p>
            <w:pPr>
              <w:autoSpaceDE w:val="0"/>
              <w:autoSpaceDN w:val="0"/>
              <w:adjustRightInd w:val="0"/>
              <w:spacing w:line="360" w:lineRule="exac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szCs w:val="21"/>
                <w:highlight w:val="none"/>
                <w:lang w:bidi="ar"/>
              </w:rPr>
              <w:t>磋商响应有效期内撤销磋商响应文件的。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21</w:t>
            </w:r>
          </w:p>
        </w:tc>
        <w:tc>
          <w:tcPr>
            <w:tcW w:w="8640" w:type="dxa"/>
            <w:vAlign w:val="center"/>
          </w:tcPr>
          <w:p>
            <w:pPr>
              <w:autoSpaceDE w:val="0"/>
              <w:autoSpaceDN w:val="0"/>
              <w:adjustRightInd w:val="0"/>
              <w:snapToGrid w:val="0"/>
              <w:spacing w:line="360" w:lineRule="exact"/>
              <w:textAlignment w:val="bottom"/>
              <w:rPr>
                <w:rFonts w:ascii="微软雅黑" w:hAnsi="微软雅黑" w:eastAsia="微软雅黑" w:cs="微软雅黑"/>
                <w:b/>
                <w:bCs/>
                <w:color w:val="auto"/>
                <w:szCs w:val="21"/>
                <w:highlight w:val="none"/>
              </w:rPr>
            </w:pPr>
            <w:r>
              <w:rPr>
                <w:rFonts w:hint="eastAsia" w:ascii="微软雅黑" w:hAnsi="微软雅黑" w:eastAsia="微软雅黑" w:cs="微软雅黑"/>
                <w:b/>
                <w:bCs/>
                <w:color w:val="auto"/>
                <w:szCs w:val="21"/>
                <w:highlight w:val="none"/>
              </w:rPr>
              <w:t>采购资金来源：</w:t>
            </w:r>
          </w:p>
          <w:p>
            <w:pPr>
              <w:autoSpaceDE w:val="0"/>
              <w:autoSpaceDN w:val="0"/>
              <w:adjustRightInd w:val="0"/>
              <w:snapToGrid w:val="0"/>
              <w:spacing w:line="360" w:lineRule="exact"/>
              <w:textAlignment w:val="bottom"/>
              <w:rPr>
                <w:rFonts w:ascii="微软雅黑" w:hAnsi="微软雅黑" w:eastAsia="微软雅黑" w:cs="微软雅黑"/>
                <w:b/>
                <w:bCs/>
                <w:color w:val="auto"/>
                <w:szCs w:val="21"/>
                <w:highlight w:val="none"/>
              </w:rPr>
            </w:pPr>
            <w:r>
              <w:rPr>
                <w:rFonts w:hint="eastAsia" w:ascii="微软雅黑" w:hAnsi="微软雅黑" w:eastAsia="微软雅黑" w:cs="微软雅黑"/>
                <w:b/>
                <w:bCs/>
                <w:color w:val="auto"/>
                <w:szCs w:val="21"/>
                <w:highlight w:val="none"/>
              </w:rPr>
              <w:t>预算资金，已落实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22</w:t>
            </w:r>
          </w:p>
        </w:tc>
        <w:tc>
          <w:tcPr>
            <w:tcW w:w="8640" w:type="dxa"/>
            <w:vAlign w:val="center"/>
          </w:tcPr>
          <w:p>
            <w:pPr>
              <w:spacing w:line="360" w:lineRule="exact"/>
              <w:rPr>
                <w:rFonts w:ascii="微软雅黑" w:hAnsi="微软雅黑" w:eastAsia="微软雅黑" w:cs="微软雅黑"/>
                <w:b/>
                <w:bCs/>
                <w:color w:val="auto"/>
                <w:kern w:val="44"/>
                <w:szCs w:val="21"/>
                <w:highlight w:val="none"/>
              </w:rPr>
            </w:pPr>
            <w:r>
              <w:rPr>
                <w:rFonts w:hint="eastAsia" w:ascii="微软雅黑" w:hAnsi="微软雅黑" w:eastAsia="微软雅黑" w:cs="微软雅黑"/>
                <w:b/>
                <w:bCs/>
                <w:color w:val="auto"/>
                <w:kern w:val="44"/>
                <w:szCs w:val="21"/>
                <w:highlight w:val="none"/>
              </w:rPr>
              <w:t>付款方式：</w:t>
            </w:r>
          </w:p>
          <w:p>
            <w:pPr>
              <w:spacing w:line="360" w:lineRule="exact"/>
              <w:rPr>
                <w:rFonts w:ascii="微软雅黑" w:hAnsi="微软雅黑" w:eastAsia="微软雅黑" w:cs="微软雅黑"/>
                <w:b/>
                <w:bCs/>
                <w:color w:val="auto"/>
                <w:kern w:val="44"/>
                <w:szCs w:val="21"/>
                <w:highlight w:val="none"/>
              </w:rPr>
            </w:pPr>
            <w:r>
              <w:rPr>
                <w:rFonts w:hint="eastAsia" w:ascii="微软雅黑" w:hAnsi="微软雅黑" w:eastAsia="微软雅黑" w:cs="微软雅黑"/>
                <w:b/>
                <w:bCs/>
                <w:color w:val="auto"/>
                <w:kern w:val="44"/>
                <w:szCs w:val="21"/>
                <w:highlight w:val="none"/>
              </w:rPr>
              <w:t>财政授权支付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23</w:t>
            </w:r>
          </w:p>
        </w:tc>
        <w:tc>
          <w:tcPr>
            <w:tcW w:w="8640" w:type="dxa"/>
            <w:vAlign w:val="center"/>
          </w:tcPr>
          <w:p>
            <w:pPr>
              <w:adjustRightInd w:val="0"/>
              <w:snapToGrid w:val="0"/>
              <w:spacing w:line="360" w:lineRule="exact"/>
              <w:rPr>
                <w:rFonts w:ascii="微软雅黑" w:hAnsi="微软雅黑" w:eastAsia="微软雅黑" w:cs="微软雅黑"/>
                <w:b/>
                <w:bCs/>
                <w:color w:val="auto"/>
                <w:szCs w:val="21"/>
                <w:highlight w:val="none"/>
              </w:rPr>
            </w:pPr>
            <w:r>
              <w:rPr>
                <w:rFonts w:hint="eastAsia" w:ascii="微软雅黑" w:hAnsi="微软雅黑" w:eastAsia="微软雅黑" w:cs="微软雅黑"/>
                <w:b/>
                <w:bCs/>
                <w:color w:val="auto"/>
                <w:szCs w:val="21"/>
                <w:highlight w:val="none"/>
              </w:rPr>
              <w:t>磋商响应文件有效期：</w:t>
            </w:r>
          </w:p>
          <w:p>
            <w:pPr>
              <w:adjustRightInd w:val="0"/>
              <w:snapToGrid w:val="0"/>
              <w:spacing w:line="360" w:lineRule="exact"/>
              <w:rPr>
                <w:rFonts w:ascii="微软雅黑" w:hAnsi="微软雅黑" w:eastAsia="微软雅黑" w:cs="微软雅黑"/>
                <w:b/>
                <w:bCs/>
                <w:color w:val="auto"/>
                <w:szCs w:val="21"/>
                <w:highlight w:val="none"/>
              </w:rPr>
            </w:pPr>
            <w:r>
              <w:rPr>
                <w:rFonts w:hint="eastAsia" w:ascii="微软雅黑" w:hAnsi="微软雅黑" w:eastAsia="微软雅黑" w:cs="微软雅黑"/>
                <w:b/>
                <w:bCs/>
                <w:color w:val="auto"/>
                <w:szCs w:val="21"/>
                <w:highlight w:val="none"/>
                <w:u w:val="single"/>
              </w:rPr>
              <w:t>90</w:t>
            </w:r>
            <w:r>
              <w:rPr>
                <w:rFonts w:hint="eastAsia" w:ascii="微软雅黑" w:hAnsi="微软雅黑" w:eastAsia="微软雅黑" w:cs="微软雅黑"/>
                <w:b/>
                <w:bCs/>
                <w:color w:val="auto"/>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24</w:t>
            </w:r>
          </w:p>
        </w:tc>
        <w:tc>
          <w:tcPr>
            <w:tcW w:w="8640" w:type="dxa"/>
            <w:vAlign w:val="center"/>
          </w:tcPr>
          <w:p>
            <w:pPr>
              <w:adjustRightInd w:val="0"/>
              <w:snapToGrid w:val="0"/>
              <w:spacing w:line="360" w:lineRule="exact"/>
              <w:rPr>
                <w:rFonts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纸质版响应文件的提供：成交供应商应在成交公告发出后三天内提供与在线响应文件一致的纸质版响应文件及在线询标答复函、最终报价表等，共一式三套。具有电子签章或单位公章，提交给采购代理机构作为各单位资料存档使用。成交供应商应确保纸质版资料与在线电子版资料的一致性，否则导致后期纠纷的责任由成交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25</w:t>
            </w:r>
          </w:p>
        </w:tc>
        <w:tc>
          <w:tcPr>
            <w:tcW w:w="8640" w:type="dxa"/>
            <w:vAlign w:val="center"/>
          </w:tcPr>
          <w:p>
            <w:pPr>
              <w:adjustRightInd w:val="0"/>
              <w:snapToGrid w:val="0"/>
              <w:spacing w:line="360" w:lineRule="exact"/>
              <w:rPr>
                <w:rFonts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补充说明：</w:t>
            </w:r>
          </w:p>
          <w:p>
            <w:pPr>
              <w:adjustRightInd w:val="0"/>
              <w:snapToGrid w:val="0"/>
              <w:spacing w:line="360" w:lineRule="exact"/>
              <w:rPr>
                <w:rFonts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为提高采购效率，节省采购成本，获取了磋商文件的供应商，若放弃参加磋商的，请在开标前1个工作日10:00之前以书面形式（电子扫描件、传真或书面送达，加盖单位公章，电子扫描件、传真件与原件具有同等效力）通知采购代理机构，以便代理机构决定是否申请抽取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adjustRightInd w:val="0"/>
              <w:snapToGrid w:val="0"/>
              <w:spacing w:line="360" w:lineRule="exact"/>
              <w:jc w:val="center"/>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26</w:t>
            </w:r>
          </w:p>
        </w:tc>
        <w:tc>
          <w:tcPr>
            <w:tcW w:w="8640" w:type="dxa"/>
            <w:vAlign w:val="center"/>
          </w:tcPr>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特别说明:</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1.如遇“政采云平台”电子化开标或评审程序调整的，按调整后程序执行。</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2.在磋商响应文件解密前，请务必检验 CA 锁与所用电脑的兼容性，部分电脑因 CA 驱动未正常安装、USB 接口兼容性差等原因可能造成磋商响应文件解密失败。</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3.使用综合评分法的采购项目，单一产品采购项目中提供相同品牌产品且通过资格审查、符合性审查的不同供应商参加同一合同项下响应的，按一家供应商计算，评审后得分最高得同品牌供应商获得成交候选供应商推荐资格；评审得分相同的，采取随机抽取方式确定，其他同品牌供应商不作为成交候选供应商。</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非单一产品采购项目，已根据采购项目技术构成、产品价格比重等确定了核心产品，多家供应商提供的核心产品品牌相同的，按前款规定处理。</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4.供应商响应所使用的资格、信誉、荣誉、业绩与企业认证必须为本法人所拥有。供应商响应所使用的采购项目实施人员必须为本法人员工（或必须为本法人或控股公司正式员工）。</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5.供应商应仔细阅读磋商文件的所有内容，按照磋商文件的要求提交磋商响应文件，并对所提供的全部资料的真实性承担法律责任。</w:t>
            </w:r>
          </w:p>
          <w:p>
            <w:pPr>
              <w:adjustRightInd w:val="0"/>
              <w:snapToGrid w:val="0"/>
              <w:spacing w:line="360" w:lineRule="exact"/>
              <w:rPr>
                <w:rFonts w:ascii="微软雅黑" w:hAnsi="微软雅黑" w:eastAsia="微软雅黑" w:cs="微软雅黑"/>
                <w:b/>
                <w:bCs/>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6.供应商在响应活动中提供任何虚假材料,其响应无效，并报监管部门查处；成交后发现的,成交供应商须依照《中华人民共和国消费者权益保护法》相关规定赔偿采购人，且民事赔偿并不免除违法供应商的行政与刑事责任。</w:t>
            </w:r>
          </w:p>
          <w:p>
            <w:pPr>
              <w:adjustRightInd w:val="0"/>
              <w:snapToGrid w:val="0"/>
              <w:spacing w:line="360" w:lineRule="exact"/>
              <w:rPr>
                <w:rFonts w:ascii="微软雅黑" w:hAnsi="微软雅黑" w:eastAsia="微软雅黑" w:cs="微软雅黑"/>
                <w:color w:val="auto"/>
                <w:spacing w:val="8"/>
                <w:kern w:val="0"/>
                <w:szCs w:val="21"/>
                <w:highlight w:val="none"/>
              </w:rPr>
            </w:pPr>
            <w:r>
              <w:rPr>
                <w:rFonts w:hint="eastAsia" w:ascii="微软雅黑" w:hAnsi="微软雅黑" w:eastAsia="微软雅黑" w:cs="微软雅黑"/>
                <w:b/>
                <w:bCs/>
                <w:color w:val="auto"/>
                <w:spacing w:val="8"/>
                <w:kern w:val="0"/>
                <w:szCs w:val="21"/>
                <w:highlight w:val="none"/>
              </w:rPr>
              <w:t>7.本表与采购文件其他部分内容不一致的，以本表为准。本采购文件的解释权属于采购人和采购代理机构。本磋商文件的解释权属于采购采购单位。</w:t>
            </w:r>
          </w:p>
        </w:tc>
      </w:tr>
      <w:bookmarkEnd w:id="17"/>
      <w:bookmarkEnd w:id="18"/>
    </w:tbl>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19" w:name="_Toc16770361"/>
      <w:bookmarkStart w:id="20" w:name="_Toc282640696"/>
      <w:bookmarkStart w:id="21" w:name="_Toc410379354"/>
      <w:r>
        <w:rPr>
          <w:rFonts w:hint="eastAsia" w:ascii="微软雅黑" w:hAnsi="微软雅黑" w:eastAsia="微软雅黑" w:cs="微软雅黑"/>
          <w:color w:val="auto"/>
          <w:sz w:val="21"/>
          <w:szCs w:val="21"/>
          <w:highlight w:val="none"/>
        </w:rPr>
        <w:t>一、适用范围</w:t>
      </w:r>
      <w:bookmarkEnd w:id="19"/>
      <w:bookmarkEnd w:id="20"/>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仅适用于本次竞争性磋商采购所叙述的工程、货物和服务。</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22" w:name="_Toc282640697"/>
      <w:bookmarkStart w:id="23" w:name="_Toc16770362"/>
      <w:r>
        <w:rPr>
          <w:rFonts w:hint="eastAsia" w:ascii="微软雅黑" w:hAnsi="微软雅黑" w:eastAsia="微软雅黑" w:cs="微软雅黑"/>
          <w:color w:val="auto"/>
          <w:sz w:val="21"/>
          <w:szCs w:val="21"/>
          <w:highlight w:val="none"/>
        </w:rPr>
        <w:t>二、定义</w:t>
      </w:r>
      <w:bookmarkEnd w:id="22"/>
      <w:bookmarkEnd w:id="23"/>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1、“采购人”系指</w:t>
      </w:r>
      <w:r>
        <w:rPr>
          <w:rFonts w:hint="eastAsia" w:ascii="微软雅黑" w:hAnsi="微软雅黑" w:eastAsia="微软雅黑" w:cs="微软雅黑"/>
          <w:color w:val="auto"/>
          <w:kern w:val="2"/>
          <w:sz w:val="21"/>
          <w:szCs w:val="21"/>
          <w:highlight w:val="none"/>
          <w:lang w:eastAsia="zh-CN"/>
        </w:rPr>
        <w:t>安吉县山川乡人民政府</w:t>
      </w:r>
      <w:r>
        <w:rPr>
          <w:rFonts w:hint="eastAsia" w:ascii="微软雅黑" w:hAnsi="微软雅黑" w:eastAsia="微软雅黑" w:cs="微软雅黑"/>
          <w:color w:val="auto"/>
          <w:kern w:val="2"/>
          <w:sz w:val="21"/>
          <w:szCs w:val="21"/>
          <w:highlight w:val="none"/>
        </w:rPr>
        <w:t>。</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2、“采购代理机构”系指浙江明业项目管理有限公司。</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3、“供应商”系指向采购代理机构提交磋商响应文件的供应商。</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4、“工程、货物和服务”系指按竞争性磋商文件要求的工程、货物和服务。</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5、“采购采购单位”系指组织本次磋商的“采购代理机构”和“采购人”。</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24" w:name="_Toc16770363"/>
      <w:bookmarkStart w:id="25" w:name="_Toc282640698"/>
      <w:r>
        <w:rPr>
          <w:rFonts w:hint="eastAsia" w:ascii="微软雅黑" w:hAnsi="微软雅黑" w:eastAsia="微软雅黑" w:cs="微软雅黑"/>
          <w:color w:val="auto"/>
          <w:sz w:val="21"/>
          <w:szCs w:val="21"/>
          <w:highlight w:val="none"/>
        </w:rPr>
        <w:t>三、供应商的资格要求</w:t>
      </w:r>
      <w:bookmarkEnd w:id="24"/>
      <w:bookmarkEnd w:id="25"/>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26" w:name="_Toc282640699"/>
      <w:r>
        <w:rPr>
          <w:rFonts w:hint="eastAsia" w:ascii="微软雅黑" w:hAnsi="微软雅黑" w:eastAsia="微软雅黑" w:cs="微软雅黑"/>
          <w:color w:val="auto"/>
          <w:kern w:val="2"/>
          <w:sz w:val="21"/>
          <w:szCs w:val="21"/>
          <w:highlight w:val="none"/>
        </w:rPr>
        <w:t>符合竞争性磋商公告第三条供应商资格要求。</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27" w:name="_Toc16770364"/>
      <w:r>
        <w:rPr>
          <w:rFonts w:hint="eastAsia" w:ascii="微软雅黑" w:hAnsi="微软雅黑" w:eastAsia="微软雅黑" w:cs="微软雅黑"/>
          <w:color w:val="auto"/>
          <w:sz w:val="21"/>
          <w:szCs w:val="21"/>
          <w:highlight w:val="none"/>
        </w:rPr>
        <w:t>四、磋商费用</w:t>
      </w:r>
      <w:bookmarkEnd w:id="26"/>
      <w:bookmarkEnd w:id="27"/>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1、无论竞争性磋商过程和结果如何，供应商自行承担与磋商响应有关的全部费用。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2、本项目采购代理服务费向成交单位收取（根据本须知前附表第3条标准收取），请各响应人自行考虑计入磋商响应报价中。</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3、缴纳时间应于成交单位领取成交通知书之前，可用银行转账、网银汇款等方式（缴纳时须注明本项目编号</w:t>
      </w:r>
      <w:r>
        <w:rPr>
          <w:rFonts w:hint="eastAsia" w:ascii="微软雅黑" w:hAnsi="微软雅黑" w:eastAsia="微软雅黑" w:cs="微软雅黑"/>
          <w:color w:val="auto"/>
          <w:kern w:val="2"/>
          <w:sz w:val="21"/>
          <w:szCs w:val="21"/>
          <w:highlight w:val="none"/>
          <w:lang w:eastAsia="zh-CN"/>
        </w:rPr>
        <w:t>ZJMY（采）2022-040</w:t>
      </w:r>
      <w:r>
        <w:rPr>
          <w:rFonts w:hint="eastAsia" w:ascii="微软雅黑" w:hAnsi="微软雅黑" w:eastAsia="微软雅黑" w:cs="微软雅黑"/>
          <w:color w:val="auto"/>
          <w:kern w:val="2"/>
          <w:sz w:val="21"/>
          <w:szCs w:val="21"/>
          <w:highlight w:val="none"/>
        </w:rPr>
        <w:t>），代理服务费缴入：</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帐户名称：浙江明业项目管理有限公司安吉分公司</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开户银行：安吉农商昌硕支行</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帐    号：201000144576348</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28" w:name="_Toc282640700"/>
      <w:bookmarkStart w:id="29" w:name="_Toc16770365"/>
      <w:r>
        <w:rPr>
          <w:rFonts w:hint="eastAsia" w:ascii="微软雅黑" w:hAnsi="微软雅黑" w:eastAsia="微软雅黑" w:cs="微软雅黑"/>
          <w:color w:val="auto"/>
          <w:sz w:val="21"/>
          <w:szCs w:val="21"/>
          <w:highlight w:val="none"/>
        </w:rPr>
        <w:t>五、竞争性磋商报价</w:t>
      </w:r>
      <w:bookmarkEnd w:id="28"/>
      <w:bookmarkEnd w:id="29"/>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1、竞争性磋商报价以人民币为结算货币。</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▲2.磋商响应文件中只允许有一个报价，有选择的或有条件的报价将不予接受。</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磋商报价分二轮进行，首次报价在响应文件中体现；最终报价由各供应商在规定的时间内在政采云平台在线完成；政采云平台在线报价操作失败的，供应商应及时联系采购代理机构，通过指定的电子邮箱提供（最终报价表格式见附件，指定邮箱390739901@qq.com）。</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因本项目采用竞争性磋商方式，供应商最终报价与其响应文件中的初次报价不一致的，各项成交单价按最终报价总价计算。</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供应商应按竞争性磋商文件的要求认真填写相应材料，磋商响应文件的大写金额和小写金额不一致的，以大写金额为准；总价金额与按单价汇总金额不一致的，以单价金额计算结果为准；单价金额小数点有明显错位的，应以总价为准，并修改单价。</w:t>
      </w:r>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30" w:name="_Toc282640701"/>
      <w:r>
        <w:rPr>
          <w:rFonts w:hint="eastAsia" w:ascii="微软雅黑" w:hAnsi="微软雅黑" w:eastAsia="微软雅黑" w:cs="微软雅黑"/>
          <w:color w:val="auto"/>
          <w:kern w:val="2"/>
          <w:sz w:val="21"/>
          <w:szCs w:val="21"/>
          <w:highlight w:val="none"/>
        </w:rPr>
        <w:t>▲ 5、磋商报价是履行合同的最终价格，费用应包括人工费、材料费、管理费、利润、风险费、税金、利润、采购代理费等一切费用。磋商报价以总价的形式进行报价。</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6、供应商应充分考虑因各种原因可能发生的费用。对没有填报的费用，采购人认为所有费用已包含在总价中，除合同条款另有规定外，不得进行调整。</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7、供应商对竞争性磋商文件里有关磋商报价的全部内容应仔细确认，若有个别异议，应在磋商前提出修改意见，否则视同全部确认。</w:t>
      </w:r>
    </w:p>
    <w:p>
      <w:pPr>
        <w:spacing w:line="440" w:lineRule="exact"/>
        <w:ind w:firstLine="420" w:firstLineChars="200"/>
        <w:rPr>
          <w:rFonts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六、磋商保证金</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不收取</w:t>
      </w:r>
    </w:p>
    <w:bookmarkEnd w:id="30"/>
    <w:p>
      <w:pPr>
        <w:pStyle w:val="13"/>
        <w:spacing w:line="440" w:lineRule="exact"/>
        <w:ind w:firstLine="420" w:firstLineChars="200"/>
        <w:rPr>
          <w:rFonts w:ascii="微软雅黑" w:hAnsi="微软雅黑" w:eastAsia="微软雅黑" w:cs="微软雅黑"/>
          <w:b/>
          <w:bCs/>
          <w:color w:val="auto"/>
          <w:kern w:val="2"/>
          <w:sz w:val="21"/>
          <w:szCs w:val="21"/>
          <w:highlight w:val="none"/>
        </w:rPr>
      </w:pPr>
      <w:bookmarkStart w:id="31" w:name="_Toc16770366"/>
      <w:r>
        <w:rPr>
          <w:rFonts w:hint="eastAsia" w:ascii="微软雅黑" w:hAnsi="微软雅黑" w:eastAsia="微软雅黑" w:cs="微软雅黑"/>
          <w:b/>
          <w:bCs/>
          <w:color w:val="auto"/>
          <w:kern w:val="2"/>
          <w:sz w:val="21"/>
          <w:szCs w:val="21"/>
          <w:highlight w:val="none"/>
        </w:rPr>
        <w:t>七、履约保证</w:t>
      </w:r>
      <w:bookmarkEnd w:id="31"/>
      <w:r>
        <w:rPr>
          <w:rFonts w:hint="eastAsia" w:ascii="微软雅黑" w:hAnsi="微软雅黑" w:eastAsia="微软雅黑" w:cs="微软雅黑"/>
          <w:b/>
          <w:bCs/>
          <w:color w:val="auto"/>
          <w:kern w:val="2"/>
          <w:sz w:val="21"/>
          <w:szCs w:val="21"/>
          <w:highlight w:val="none"/>
        </w:rPr>
        <w:t>金</w:t>
      </w:r>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32" w:name="_Toc16770367"/>
      <w:r>
        <w:rPr>
          <w:rFonts w:hint="eastAsia" w:ascii="微软雅黑" w:hAnsi="微软雅黑" w:eastAsia="微软雅黑" w:cs="微软雅黑"/>
          <w:color w:val="auto"/>
          <w:kern w:val="2"/>
          <w:sz w:val="21"/>
          <w:szCs w:val="21"/>
          <w:highlight w:val="none"/>
        </w:rPr>
        <w:t>成交人签订合同前缴纳履约证保金0元，服务期满后无违约的无息退还。</w:t>
      </w:r>
    </w:p>
    <w:p>
      <w:pPr>
        <w:spacing w:line="440" w:lineRule="exact"/>
        <w:ind w:firstLine="420" w:firstLineChars="200"/>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八、质疑和投诉</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 xml:space="preserve">根据《中华人民共和国政府采购法》和《政府采购质疑和投诉办法》(财政部令第94号)的规定，供应商对政府采购活动事项有疑问的，可以向采购人和采购代理机构提出询问，采购人和采购代理机构应当及时作出答复，但答复的内容不得涉及商业秘密。  </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1、供应商认为采购文件、采购过程和成交结果使自己的权益受到损害的，应当在知道或者应知其权益受到损害之日起七个工作日内，以书面形式向采购人、采购代理机构提出质疑。质疑起算日期如下：</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（1）对可以质疑的采购文件提出质疑的，为收到采购文件之日或者采购文件公告期限届满之日（公告期限届满后获取采购文件的，以公告期限届满之日为准）；</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（2）对采购过程提出质疑的，为各采购程序环节结束之日；</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（3）对成交结果提出质疑的，为成交结果公告期限届满之日。</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2、质疑供应商对采购人、采购代理机构的答复不满意或者采购人、采购代理机构未在规定时间内作出答复的，可以在答复期满后十五个工作日内向同级政府采购监管部门投诉。</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质疑书、投诉书均应明确阐述采购文件、采购过程和成交结果中使自己合法权益受到损害的实质性内容，提供相关事实、依据和证据及其来源或线索，便于有关单位调查、答复和处理。</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4、供应商一旦递交了响应文件，即被视为接受了本采购文件的所有内容，对采购文件无任何异议。</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九、采购文件的澄清与修改 </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提交响应文件截止之日前，采购人、采购代理机构或者磋商小组可以对已发出的采购文件进行必要的澄清或修改，澄清或者修改的内容作为采购文件的组成部分。澄清或者修改的内容可能影响响应文件编制的，采购人、采购代理机构应当在提交响应文件截止时间至少5日前，以书面形式通知所有获取采购文件的供应商；不足5日的，采购人、采购代理机构应当顺延提交响应文件截止时间。</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十、磋商文件有效期</w:t>
      </w:r>
      <w:bookmarkEnd w:id="32"/>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1、响应文件从磋商之日起，有效期为90天。</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2、特殊情况下，采购人可与供应商协商延缓响应文件的有效期，这种要求和答复均以书面形式进行。</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3、供应商可拒绝接受延期要求,同意延长有效期的供应商不能修改磋商响应文件。</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33" w:name="_Toc282640702"/>
      <w:bookmarkStart w:id="34" w:name="_Toc16770368"/>
      <w:r>
        <w:rPr>
          <w:rFonts w:hint="eastAsia" w:ascii="微软雅黑" w:hAnsi="微软雅黑" w:eastAsia="微软雅黑" w:cs="微软雅黑"/>
          <w:color w:val="auto"/>
          <w:sz w:val="21"/>
          <w:szCs w:val="21"/>
          <w:highlight w:val="none"/>
        </w:rPr>
        <w:t>十一、响应文件的组成</w:t>
      </w:r>
      <w:bookmarkEnd w:id="33"/>
      <w:bookmarkEnd w:id="34"/>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供应商应仔细阅读竞争性磋商文件中的所有内容，按照磋商文件及采购服要求，详细编制响应文件，并对磋商文件的要求做出实质上的响应。未实质上响应的响应文件将可能导致被拒绝，但允许报价在满足并优于采购要求的前提下出现的微小差异。</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供应商必须按竞争性磋商文件的要求提供相关技术文件、资料，包括采用的计量单位，并保证响应文件的正确性和真实性，响应文件全部内容应保持一致，否则可能导致不利于其磋商的评定甚至被拒绝。技术和商务如有偏离均应填写偏离表。</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b/>
          <w:bCs/>
          <w:color w:val="auto"/>
          <w:sz w:val="21"/>
          <w:szCs w:val="21"/>
          <w:highlight w:val="none"/>
        </w:rPr>
        <w:t>3、响应文件由资格部分、商务资信部分、技术部分和价格部分组成</w:t>
      </w:r>
      <w:r>
        <w:rPr>
          <w:rFonts w:hint="eastAsia" w:ascii="微软雅黑" w:hAnsi="微软雅黑" w:eastAsia="微软雅黑" w:cs="微软雅黑"/>
          <w:color w:val="auto"/>
          <w:sz w:val="21"/>
          <w:szCs w:val="21"/>
          <w:highlight w:val="none"/>
        </w:rPr>
        <w:t>。</w:t>
      </w:r>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35" w:name="_Toc282640709"/>
      <w:bookmarkStart w:id="36" w:name="_Toc16770370"/>
      <w:r>
        <w:rPr>
          <w:rFonts w:hint="eastAsia" w:ascii="微软雅黑" w:hAnsi="微软雅黑" w:eastAsia="微软雅黑" w:cs="微软雅黑"/>
          <w:color w:val="auto"/>
          <w:kern w:val="2"/>
          <w:sz w:val="21"/>
          <w:szCs w:val="21"/>
          <w:highlight w:val="none"/>
        </w:rPr>
        <w:t>3.1.技术、商务、资信及其他文件主要包括下列内容：</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供应商自评分索引表：</w:t>
      </w:r>
    </w:p>
    <w:p>
      <w:pPr>
        <w:pStyle w:val="13"/>
        <w:numPr>
          <w:ilvl w:val="0"/>
          <w:numId w:val="1"/>
        </w:numPr>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资格文件</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(1)磋商响应声明书（格式见附件）；</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(2)营业执照副本复印件或民办非企业证书复印件；</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(3)供应商的资质证书复印件；</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(4)法定代表人身份证明书和授权委托书（格式见附件）；</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(5)最近一个季度依法缴纳税收和社保费的证明[税费凭证复印件，或者依法缴纳税费或依法免缴税费的证明]；</w:t>
      </w:r>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(6)中小企业声明函。（注：本项目为专门面向中小企业采购，供应商非中小企业的，资格审查不通过；符合上述条件的中小微型企业应按照磋商文件附件的格式要求在资格证明文件中提供《中小企业声明函》）</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2、技术文件、商务资信及其他文件：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（1）按评分表顺序编制；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（2）供应商需要说明的其他文件和说明。</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（3）磋商响应声明书（格式详见附件）；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（4）磋商响应单位情况表（格式详见附件）；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（5）供应商业绩（如有，格式详见附件）；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（6）供应商综合实力（如有）；</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w:t>
      </w:r>
      <w:r>
        <w:rPr>
          <w:rFonts w:ascii="微软雅黑" w:hAnsi="微软雅黑" w:eastAsia="微软雅黑" w:cs="微软雅黑"/>
          <w:color w:val="auto"/>
          <w:kern w:val="2"/>
          <w:sz w:val="21"/>
          <w:szCs w:val="21"/>
          <w:highlight w:val="none"/>
        </w:rPr>
        <w:t>7</w:t>
      </w:r>
      <w:r>
        <w:rPr>
          <w:rFonts w:hint="eastAsia" w:ascii="微软雅黑" w:hAnsi="微软雅黑" w:eastAsia="微软雅黑" w:cs="微软雅黑"/>
          <w:color w:val="auto"/>
          <w:kern w:val="2"/>
          <w:sz w:val="21"/>
          <w:szCs w:val="21"/>
          <w:highlight w:val="none"/>
        </w:rPr>
        <w:t>）商务条款偏离表（格式详见附件）；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w:t>
      </w:r>
      <w:r>
        <w:rPr>
          <w:rFonts w:ascii="微软雅黑" w:hAnsi="微软雅黑" w:eastAsia="微软雅黑" w:cs="微软雅黑"/>
          <w:color w:val="auto"/>
          <w:kern w:val="2"/>
          <w:sz w:val="21"/>
          <w:szCs w:val="21"/>
          <w:highlight w:val="none"/>
        </w:rPr>
        <w:t>8</w:t>
      </w:r>
      <w:r>
        <w:rPr>
          <w:rFonts w:hint="eastAsia" w:ascii="微软雅黑" w:hAnsi="微软雅黑" w:eastAsia="微软雅黑" w:cs="微软雅黑"/>
          <w:color w:val="auto"/>
          <w:kern w:val="2"/>
          <w:sz w:val="21"/>
          <w:szCs w:val="21"/>
          <w:highlight w:val="none"/>
        </w:rPr>
        <w:t>）供应商认为需要提供的文件和资料。</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3、报价文件：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 xml:space="preserve">（1）磋商响应函（格式见附件）； </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（2）开标一览表（格式见附件）；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（3）磋商响应报价明细表（格式自拟）；</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w:t>
      </w:r>
      <w:r>
        <w:rPr>
          <w:rFonts w:ascii="微软雅黑" w:hAnsi="微软雅黑" w:eastAsia="微软雅黑" w:cs="微软雅黑"/>
          <w:color w:val="auto"/>
          <w:kern w:val="2"/>
          <w:sz w:val="21"/>
          <w:szCs w:val="21"/>
          <w:highlight w:val="none"/>
        </w:rPr>
        <w:t>4</w:t>
      </w:r>
      <w:r>
        <w:rPr>
          <w:rFonts w:hint="eastAsia" w:ascii="微软雅黑" w:hAnsi="微软雅黑" w:eastAsia="微软雅黑" w:cs="微软雅黑"/>
          <w:color w:val="auto"/>
          <w:kern w:val="2"/>
          <w:sz w:val="21"/>
          <w:szCs w:val="21"/>
          <w:highlight w:val="none"/>
        </w:rPr>
        <w:t>）采购代理费承诺函；</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w:t>
      </w:r>
      <w:r>
        <w:rPr>
          <w:rFonts w:ascii="微软雅黑" w:hAnsi="微软雅黑" w:eastAsia="微软雅黑" w:cs="微软雅黑"/>
          <w:color w:val="auto"/>
          <w:kern w:val="2"/>
          <w:sz w:val="21"/>
          <w:szCs w:val="21"/>
          <w:highlight w:val="none"/>
        </w:rPr>
        <w:t>5</w:t>
      </w:r>
      <w:r>
        <w:rPr>
          <w:rFonts w:hint="eastAsia" w:ascii="微软雅黑" w:hAnsi="微软雅黑" w:eastAsia="微软雅黑" w:cs="微软雅黑"/>
          <w:color w:val="auto"/>
          <w:kern w:val="2"/>
          <w:sz w:val="21"/>
          <w:szCs w:val="21"/>
          <w:highlight w:val="none"/>
        </w:rPr>
        <w:t>）供应商针对报价需要说明的其他文件和说明（格式自拟）。</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▲注：（1）上述内容本采购文件中有提供格式的，供应商须参照格式进行编制（格式中要求提供相关证明材料的还需后附相关证明材料），并按格式要求在指定位置根据要求进行签章，否则视为未提供；</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（2）采购文件未提供格式的，请各供应商自行拟定格式，并加盖单位公章并由法定代表人或其授权代表签署（签字或盖章），否则视为未提供；</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（3）可以提供复制件的相关证明材料必须加盖供应商公章，否则视为未提供（例如：各类资格资质证书、业绩材料等）</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十二、响应文件</w:t>
      </w:r>
      <w:bookmarkEnd w:id="35"/>
      <w:bookmarkEnd w:id="36"/>
      <w:r>
        <w:rPr>
          <w:rFonts w:hint="eastAsia" w:ascii="微软雅黑" w:hAnsi="微软雅黑" w:eastAsia="微软雅黑" w:cs="微软雅黑"/>
          <w:color w:val="auto"/>
          <w:sz w:val="21"/>
          <w:szCs w:val="21"/>
          <w:highlight w:val="none"/>
        </w:rPr>
        <w:t>编制、上传、递交（电子交易）</w:t>
      </w:r>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37" w:name="_Toc282640710"/>
      <w:bookmarkStart w:id="38" w:name="_Toc16770371"/>
      <w:r>
        <w:rPr>
          <w:rFonts w:hint="eastAsia" w:ascii="微软雅黑" w:hAnsi="微软雅黑" w:eastAsia="微软雅黑" w:cs="微软雅黑"/>
          <w:color w:val="auto"/>
          <w:kern w:val="2"/>
          <w:sz w:val="21"/>
          <w:szCs w:val="21"/>
          <w:highlight w:val="none"/>
        </w:rPr>
        <w:t>1、本项目通过“政采云平台（www.zcygov.cn）”实行在线响应（电子交易）。供应商应通过“政采云电子交易客户端”，并按照本采购文件和“政府采购云平台”的要求编制并加密响应文件。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2、供应商应当按照本章节 “响应文件的组成”规定的内容及顺序在“政采云电子交易客户端”编制响应文件。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本采购文件中有提供格式的，供应商须参照格式进行编制（格式中要求提供相关证明材料的或采购文件要求提供相关证明的，还需后附相关证明材料），未提供格式的，请各供应商自行拟定格式，加盖单位公章并由法定代表人或其授权代表签署（签字或盖章），否则视为未提供。</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4、响应文件内容不完整、编排混乱导致响应文件被误读、漏读或者查找不到相关内容的，是供应商的责任。</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5、响应文件因字迹潦草或表达不清所引起的后果由供应商负责。</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6、供应商没有按照本采购文件内 “响应文件的组成”要求提供全部资料，或者没有仔细阅读采购文件，或者没有对采购文件在各方面的要求作出实质性响应是供应商的风险，由此造成的一切后果由供应商自行承担。</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7、响应文件的签章</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7.1 响应文件的签章见《前附表》；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7.2 响应文件应由供应商法定代表人或其授权代表签字（或盖章），并加盖供应商公章。</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7.3 参与在线响应时如遇平台技术问题详询400-881-7190。</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8、响应文件的形式</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8.1 响应文件的形式：见《前附表》；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8.2 “电子加密响应文件”：“电子加密响应文件”是指通过“政采云电子交易客户端”完成响应文件编制后生成并加密的数据电文形式的响应文件。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8.3 “备份响应文件”：“备份响应文件”是指与“电子加密响应文件”同时生成的数据电文形式的电子文件（备份标书），其他方式编制的“备份响应文件”视为无效的“备份响应文件”。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9、响应文件的份数</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响应文件的份数：见《前附表》。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10、响应文件的上传、递交</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响应文件”的上传、递交：见《前附表》。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11、“电子加密响应文件”解密和异常情况处理</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“电子加密响应文件”解密：见《前附表》。</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12、响应文件的补充、修改或撤回</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12.1 供应商应当在响应截止时间前完成响应文件的上传、递交，并可以补充、修改或者撤回响应文件。补充或者修改响应文件的，应当先行撤回原文件，补充、修改后重新上传、递交。响应截止时间前未完成上传、递交的，视为撤回响应文件。响应截止时间后递交的响应文件，“政采云平台”将予以拒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12.2 响应截止时间后，供应商不得撤回、修改《响应文件》。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13、响应文件的备选方案</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供应商不得递交任何的备选（替代）方案，否则其响应文件将作无效处理。与“电子加密响应文件”同时生成的“备份响应文件”不是备选方案。</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14、响应截止期</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14.1供应商应按前附表规定的时间、地点将“电子加密响应文件”上传至“政采云平台”，响应截止时间后递交的“电子加密响应文件”，“政采云平台”将予以拒收。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14.2供应商应按前附表规定的时间、地点将“备份响应文件”递交给采购代理机构，采购代理机构将拒绝接受逾期送达的“备份响应文件”。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14.3采购人可以按本须知规定以补充通知的方式，酌情延长递交响应文件的截止日期。在上述情况下，采购人与供应商以前在响应截止期方面的全部权利、责任和义务，将适用于延长至新的响应截止期。</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十三、无效响应文件</w:t>
      </w:r>
      <w:bookmarkEnd w:id="37"/>
      <w:bookmarkEnd w:id="38"/>
    </w:p>
    <w:p>
      <w:pPr>
        <w:spacing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b/>
          <w:color w:val="auto"/>
          <w:sz w:val="21"/>
          <w:szCs w:val="21"/>
          <w:highlight w:val="none"/>
        </w:rPr>
        <w:t>发生下列情况之一的响应文件被视为无效：</w:t>
      </w:r>
    </w:p>
    <w:p>
      <w:pPr>
        <w:pStyle w:val="13"/>
        <w:spacing w:line="440" w:lineRule="exact"/>
        <w:ind w:firstLine="420" w:firstLineChars="200"/>
        <w:rPr>
          <w:rFonts w:ascii="微软雅黑" w:hAnsi="微软雅黑" w:eastAsia="微软雅黑" w:cs="微软雅黑"/>
          <w:color w:val="auto"/>
          <w:kern w:val="2"/>
          <w:sz w:val="21"/>
          <w:szCs w:val="21"/>
          <w:highlight w:val="none"/>
        </w:rPr>
      </w:pPr>
      <w:bookmarkStart w:id="39" w:name="_Toc16770372"/>
      <w:bookmarkStart w:id="40" w:name="_Toc282640720"/>
      <w:r>
        <w:rPr>
          <w:rFonts w:hint="eastAsia" w:ascii="微软雅黑" w:hAnsi="微软雅黑" w:eastAsia="微软雅黑" w:cs="微软雅黑"/>
          <w:color w:val="auto"/>
          <w:kern w:val="2"/>
          <w:sz w:val="21"/>
          <w:szCs w:val="21"/>
          <w:highlight w:val="none"/>
        </w:rPr>
        <w:t>1、在采购文件规定的递交截止时间以后送达的响应文件；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2、响应文件递交截止时间前，供应商仅递交了“备份响应文件”而未将电子加密响应文件上传至“政府采购云平台”的，响应文件无效。</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3、与采购文件有重大偏离的响应文件；</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4、磋商时供应商法定代表人（或授权代表）未在线参加磋商的；</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5、不具备磋商文件中规定的资格条件要求的；</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6、不符合法律、法规和本采购文件规定的其他实质性要求的。</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7、供应商提供的《中小企业声明函》未采用本采购文件附件模板；</w:t>
      </w:r>
    </w:p>
    <w:p>
      <w:pPr>
        <w:pStyle w:val="13"/>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8、供应商提供的《中小企业声明函》未填写完整的；</w:t>
      </w:r>
    </w:p>
    <w:p>
      <w:pPr>
        <w:pStyle w:val="13"/>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kern w:val="2"/>
          <w:sz w:val="21"/>
          <w:szCs w:val="21"/>
          <w:highlight w:val="none"/>
        </w:rPr>
        <w:t>9、供应商未如实填写《中小企业声明函》的。</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十二、竞争性磋商文件答疑</w:t>
      </w:r>
      <w:bookmarkEnd w:id="39"/>
      <w:bookmarkEnd w:id="40"/>
    </w:p>
    <w:p>
      <w:pPr>
        <w:spacing w:line="440" w:lineRule="exact"/>
        <w:ind w:firstLine="420" w:firstLineChars="200"/>
        <w:jc w:val="left"/>
        <w:rPr>
          <w:rFonts w:ascii="微软雅黑" w:hAnsi="微软雅黑" w:eastAsia="微软雅黑" w:cs="微软雅黑"/>
          <w:b/>
          <w:color w:val="auto"/>
          <w:sz w:val="21"/>
          <w:szCs w:val="21"/>
          <w:highlight w:val="none"/>
        </w:rPr>
      </w:pPr>
      <w:r>
        <w:rPr>
          <w:rFonts w:hint="eastAsia" w:ascii="微软雅黑" w:hAnsi="微软雅黑" w:eastAsia="微软雅黑" w:cs="微软雅黑"/>
          <w:color w:val="auto"/>
          <w:sz w:val="21"/>
          <w:szCs w:val="21"/>
          <w:highlight w:val="none"/>
        </w:rPr>
        <w:t>如对本次竞争性磋商文件存在疑问，请将书面质疑函文件在202</w:t>
      </w:r>
      <w:r>
        <w:rPr>
          <w:rFonts w:ascii="微软雅黑" w:hAnsi="微软雅黑" w:eastAsia="微软雅黑" w:cs="微软雅黑"/>
          <w:color w:val="auto"/>
          <w:sz w:val="21"/>
          <w:szCs w:val="21"/>
          <w:highlight w:val="none"/>
        </w:rPr>
        <w:t>2</w:t>
      </w:r>
      <w:r>
        <w:rPr>
          <w:rFonts w:hint="eastAsia" w:ascii="微软雅黑" w:hAnsi="微软雅黑" w:eastAsia="微软雅黑" w:cs="微软雅黑"/>
          <w:color w:val="auto"/>
          <w:sz w:val="21"/>
          <w:szCs w:val="21"/>
          <w:highlight w:val="none"/>
        </w:rPr>
        <w:t>年</w:t>
      </w:r>
      <w:r>
        <w:rPr>
          <w:rFonts w:hint="eastAsia" w:ascii="微软雅黑" w:hAnsi="微软雅黑" w:eastAsia="微软雅黑" w:cs="微软雅黑"/>
          <w:color w:val="auto"/>
          <w:sz w:val="21"/>
          <w:szCs w:val="21"/>
          <w:highlight w:val="none"/>
          <w:lang w:val="en-US" w:eastAsia="zh-CN"/>
        </w:rPr>
        <w:t>8</w:t>
      </w:r>
      <w:r>
        <w:rPr>
          <w:rFonts w:hint="eastAsia" w:ascii="微软雅黑" w:hAnsi="微软雅黑" w:eastAsia="微软雅黑" w:cs="微软雅黑"/>
          <w:color w:val="auto"/>
          <w:sz w:val="21"/>
          <w:szCs w:val="21"/>
          <w:highlight w:val="none"/>
        </w:rPr>
        <w:t>月</w:t>
      </w:r>
      <w:r>
        <w:rPr>
          <w:rFonts w:hint="eastAsia" w:ascii="微软雅黑" w:hAnsi="微软雅黑" w:eastAsia="微软雅黑" w:cs="微软雅黑"/>
          <w:color w:val="auto"/>
          <w:sz w:val="21"/>
          <w:szCs w:val="21"/>
          <w:highlight w:val="none"/>
          <w:lang w:val="en-US" w:eastAsia="zh-CN"/>
        </w:rPr>
        <w:t>2</w:t>
      </w:r>
      <w:r>
        <w:rPr>
          <w:rFonts w:hint="eastAsia" w:ascii="微软雅黑" w:hAnsi="微软雅黑" w:eastAsia="微软雅黑" w:cs="微软雅黑"/>
          <w:color w:val="auto"/>
          <w:sz w:val="21"/>
          <w:szCs w:val="21"/>
          <w:highlight w:val="none"/>
        </w:rPr>
        <w:t>日下午17：00时之前邮寄至浙江省安吉县昌硕街道递二社区综合楼三楼浙江明业项目管理有限公司，联系人：黄强 联系电话：19957211776，同时将质疑函扫描件以电子邮件形式发送至电子邮箱390739901@qq.com。采购单位将做统一答复，如规定时间内未收到任何质疑，则视为各供应商对此均无异议。</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41" w:name="_Toc16770373"/>
      <w:bookmarkStart w:id="42" w:name="_Toc282640721"/>
      <w:r>
        <w:rPr>
          <w:rFonts w:hint="eastAsia" w:ascii="微软雅黑" w:hAnsi="微软雅黑" w:eastAsia="微软雅黑" w:cs="微软雅黑"/>
          <w:color w:val="auto"/>
          <w:sz w:val="21"/>
          <w:szCs w:val="21"/>
          <w:highlight w:val="none"/>
        </w:rPr>
        <w:t>十三、确定成交供应商方法</w:t>
      </w:r>
      <w:bookmarkEnd w:id="41"/>
      <w:bookmarkEnd w:id="42"/>
    </w:p>
    <w:p>
      <w:pPr>
        <w:pStyle w:val="13"/>
        <w:spacing w:line="440" w:lineRule="exact"/>
        <w:ind w:firstLine="420" w:firstLineChars="200"/>
        <w:rPr>
          <w:rFonts w:ascii="微软雅黑" w:hAnsi="微软雅黑" w:eastAsia="微软雅黑" w:cs="微软雅黑"/>
          <w:b/>
          <w:bCs/>
          <w:color w:val="auto"/>
          <w:kern w:val="2"/>
          <w:sz w:val="21"/>
          <w:szCs w:val="21"/>
          <w:highlight w:val="none"/>
        </w:rPr>
      </w:pPr>
      <w:bookmarkStart w:id="43" w:name="_Toc282640722"/>
      <w:r>
        <w:rPr>
          <w:rFonts w:hint="eastAsia" w:ascii="微软雅黑" w:hAnsi="微软雅黑" w:eastAsia="微软雅黑" w:cs="微软雅黑"/>
          <w:b/>
          <w:bCs/>
          <w:color w:val="auto"/>
          <w:kern w:val="2"/>
          <w:sz w:val="21"/>
          <w:szCs w:val="21"/>
          <w:highlight w:val="none"/>
        </w:rPr>
        <w:t>在质量与服务均能满足采购项目要求的前提下，以综合得分由高到低的原则确定成交供应商,详细的磋商程序见竞争性磋商文件第四章内容。</w:t>
      </w:r>
      <w:bookmarkEnd w:id="43"/>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44" w:name="_Toc402872212"/>
      <w:bookmarkStart w:id="45" w:name="_Toc282640750"/>
      <w:bookmarkStart w:id="46" w:name="_Toc16770374"/>
      <w:r>
        <w:rPr>
          <w:rFonts w:hint="eastAsia" w:ascii="微软雅黑" w:hAnsi="微软雅黑" w:eastAsia="微软雅黑" w:cs="微软雅黑"/>
          <w:color w:val="auto"/>
          <w:sz w:val="21"/>
          <w:szCs w:val="21"/>
          <w:highlight w:val="none"/>
        </w:rPr>
        <w:t>十四、 成交通知</w:t>
      </w:r>
      <w:bookmarkEnd w:id="44"/>
      <w:bookmarkEnd w:id="45"/>
      <w:bookmarkEnd w:id="46"/>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1、本项目由采购人确定成交供应商。</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2、本次评审采用综合评分法，即</w:t>
      </w:r>
      <w:r>
        <w:rPr>
          <w:rFonts w:hint="eastAsia" w:ascii="微软雅黑" w:hAnsi="微软雅黑" w:eastAsia="微软雅黑" w:cs="微软雅黑"/>
          <w:b/>
          <w:bCs/>
          <w:color w:val="auto"/>
          <w:sz w:val="21"/>
          <w:szCs w:val="21"/>
          <w:highlight w:val="none"/>
        </w:rPr>
        <w:t>在质量和服务均能满足竞争性磋商文件实质性要求且综合得分由高到低的原则确定成交供应商。</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sz w:val="21"/>
          <w:szCs w:val="21"/>
          <w:highlight w:val="none"/>
        </w:rPr>
        <w:t>3、磋商结束后，磋商小组拟制评审报告。</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4、采购代理机构在评审结束后2个工作日内将评审报告交采购人确认。</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5、采购人在收到评审报告后5个工作日内对评审结果进行确认。</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6、采购人确定成交供应商后2个工作日内，采购代理机构在相关网站上发布成交公告，同时发出成交通知书。</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47" w:name="_Toc16770375"/>
      <w:r>
        <w:rPr>
          <w:rFonts w:hint="eastAsia" w:ascii="微软雅黑" w:hAnsi="微软雅黑" w:eastAsia="微软雅黑" w:cs="微软雅黑"/>
          <w:color w:val="auto"/>
          <w:sz w:val="21"/>
          <w:szCs w:val="21"/>
          <w:highlight w:val="none"/>
        </w:rPr>
        <w:t>十五、授予合同</w:t>
      </w:r>
      <w:bookmarkEnd w:id="47"/>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b/>
          <w:color w:val="auto"/>
          <w:sz w:val="21"/>
          <w:szCs w:val="21"/>
          <w:highlight w:val="none"/>
        </w:rPr>
        <w:t>1、</w:t>
      </w:r>
      <w:r>
        <w:rPr>
          <w:rFonts w:hint="eastAsia" w:ascii="微软雅黑" w:hAnsi="微软雅黑" w:eastAsia="微软雅黑" w:cs="微软雅黑"/>
          <w:color w:val="auto"/>
          <w:sz w:val="21"/>
          <w:szCs w:val="21"/>
          <w:highlight w:val="none"/>
        </w:rPr>
        <w:t>授予合同的依据</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采购采购单位签发的成交通知书；</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磋商文件、磋商文件的修改及补充通知（函）；</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响应文件和磋商时供应商作出的书面澄清、说明、纠正、承诺等；</w:t>
      </w:r>
    </w:p>
    <w:p>
      <w:pPr>
        <w:spacing w:line="440" w:lineRule="exact"/>
        <w:ind w:firstLine="420" w:firstLineChars="200"/>
        <w:rPr>
          <w:rFonts w:ascii="微软雅黑" w:hAnsi="微软雅黑" w:eastAsia="微软雅黑" w:cs="微软雅黑"/>
          <w:bCs/>
          <w:color w:val="auto"/>
          <w:sz w:val="21"/>
          <w:szCs w:val="21"/>
          <w:highlight w:val="none"/>
        </w:rPr>
      </w:pPr>
      <w:r>
        <w:rPr>
          <w:rFonts w:hint="eastAsia" w:ascii="微软雅黑" w:hAnsi="微软雅黑" w:eastAsia="微软雅黑" w:cs="微软雅黑"/>
          <w:b/>
          <w:bCs/>
          <w:color w:val="auto"/>
          <w:sz w:val="21"/>
          <w:szCs w:val="21"/>
          <w:highlight w:val="none"/>
        </w:rPr>
        <w:t>2、</w:t>
      </w:r>
      <w:r>
        <w:rPr>
          <w:rFonts w:hint="eastAsia" w:ascii="微软雅黑" w:hAnsi="微软雅黑" w:eastAsia="微软雅黑" w:cs="微软雅黑"/>
          <w:bCs/>
          <w:color w:val="auto"/>
          <w:sz w:val="21"/>
          <w:szCs w:val="21"/>
          <w:highlight w:val="none"/>
        </w:rPr>
        <w:t>合同签订</w:t>
      </w:r>
    </w:p>
    <w:p>
      <w:pPr>
        <w:spacing w:line="440" w:lineRule="exact"/>
        <w:ind w:firstLine="420" w:firstLineChars="200"/>
        <w:rPr>
          <w:rFonts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2.1成交供应商与采购人应按本文件及成交通知书中规定的时间、地点签订合同，否则应承担相应的法律责任。</w:t>
      </w:r>
    </w:p>
    <w:p>
      <w:pPr>
        <w:spacing w:line="440" w:lineRule="exact"/>
        <w:ind w:firstLine="420" w:firstLineChars="200"/>
        <w:rPr>
          <w:rFonts w:ascii="微软雅黑" w:hAnsi="微软雅黑" w:eastAsia="微软雅黑" w:cs="微软雅黑"/>
          <w:b/>
          <w:bCs/>
          <w:color w:val="auto"/>
          <w:sz w:val="21"/>
          <w:szCs w:val="21"/>
          <w:highlight w:val="none"/>
        </w:rPr>
      </w:pPr>
      <w:r>
        <w:rPr>
          <w:rFonts w:hint="eastAsia" w:ascii="微软雅黑" w:hAnsi="微软雅黑" w:eastAsia="微软雅黑" w:cs="微软雅黑"/>
          <w:bCs/>
          <w:color w:val="auto"/>
          <w:sz w:val="21"/>
          <w:szCs w:val="21"/>
          <w:highlight w:val="none"/>
        </w:rPr>
        <w:t>2.2 磋商文件、成交供应商的响应文件及磋商过程中有关澄清文件和承诺均为合同附件。</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2.3 </w:t>
      </w:r>
      <w:r>
        <w:rPr>
          <w:rFonts w:hint="eastAsia" w:ascii="微软雅黑" w:hAnsi="微软雅黑" w:eastAsia="微软雅黑" w:cs="微软雅黑"/>
          <w:snapToGrid w:val="0"/>
          <w:color w:val="auto"/>
          <w:sz w:val="21"/>
          <w:szCs w:val="21"/>
          <w:highlight w:val="none"/>
        </w:rPr>
        <w:t>采购人与成交供应商将根据《中华人民共和国合同法》的规定，依据磋商文件和成交供应商的响应文件签订书面合同。</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2.4 采购人如不与</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供应商订立合同，或者采购人、</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供应商订立背离合同实质性内容的协议，由政府有关部门责令改正，同时依法承担相应法律责任；</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2.5 </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供应商如不按规定与采购人订立合同，则采购采购单位将废除授标，给采购采购单位造成的损失超过磋商担保数额的，还应当对超过部分予以赔偿，同时依法承担相应法律责任。</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2.6 </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供应商应当按照合同约定履行义务，完成</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项目各项工作，不得将</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项目违法转让（转包）给他人；</w:t>
      </w:r>
    </w:p>
    <w:p>
      <w:pPr>
        <w:spacing w:line="440" w:lineRule="exact"/>
        <w:ind w:firstLine="420" w:firstLineChars="2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2.7如果</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供应商未能遵守上述2.5条的规定，则可取消其</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资格。在此情况下，可将合同授予排序在</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供应商之后的第一位</w:t>
      </w:r>
      <w:r>
        <w:rPr>
          <w:rFonts w:hint="eastAsia" w:ascii="微软雅黑" w:hAnsi="微软雅黑" w:eastAsia="微软雅黑" w:cs="微软雅黑"/>
          <w:snapToGrid w:val="0"/>
          <w:color w:val="auto"/>
          <w:sz w:val="21"/>
          <w:szCs w:val="21"/>
          <w:highlight w:val="none"/>
        </w:rPr>
        <w:t>成交</w:t>
      </w:r>
      <w:r>
        <w:rPr>
          <w:rFonts w:hint="eastAsia" w:ascii="微软雅黑" w:hAnsi="微软雅黑" w:eastAsia="微软雅黑" w:cs="微软雅黑"/>
          <w:color w:val="auto"/>
          <w:sz w:val="21"/>
          <w:szCs w:val="21"/>
          <w:highlight w:val="none"/>
        </w:rPr>
        <w:t>候选供应商。</w:t>
      </w:r>
    </w:p>
    <w:p>
      <w:pPr>
        <w:spacing w:line="440" w:lineRule="exact"/>
        <w:ind w:firstLine="420" w:firstLineChars="200"/>
        <w:rPr>
          <w:rFonts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2.8自合同签订之日起七个工作日内，成交供应商需将合同副本分别送安吉县公共资源交易中心和采购代理机构备案。</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48" w:name="_Toc16770376"/>
      <w:r>
        <w:rPr>
          <w:rFonts w:hint="eastAsia" w:ascii="微软雅黑" w:hAnsi="微软雅黑" w:eastAsia="微软雅黑" w:cs="微软雅黑"/>
          <w:color w:val="auto"/>
          <w:sz w:val="21"/>
          <w:szCs w:val="21"/>
          <w:highlight w:val="none"/>
        </w:rPr>
        <w:t>十六、特殊说明：</w:t>
      </w:r>
      <w:bookmarkEnd w:id="48"/>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1、可中止电子交易活动的情形</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标“▲”条款是实质性条款，响应人必须全部响应，否则磋商响应无效。</w:t>
      </w:r>
      <w:bookmarkEnd w:id="21"/>
      <w:bookmarkStart w:id="49" w:name="_Toc478668190"/>
      <w:r>
        <w:rPr>
          <w:rFonts w:hint="eastAsia" w:ascii="微软雅黑" w:hAnsi="微软雅黑" w:eastAsia="微软雅黑" w:cs="微软雅黑"/>
          <w:color w:val="auto"/>
          <w:kern w:val="0"/>
          <w:sz w:val="21"/>
          <w:szCs w:val="21"/>
          <w:highlight w:val="none"/>
        </w:rPr>
        <w:t>采购过程中出现以下情形，导致电子交易平台无法正常运行，或者无法保证电子交易的公平、公正和安全时，采购组织机构可中止电子交易活动：</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电子交易平台发生故障而无法登录访问的；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电子交易平台应用或数据库出现错误，不能进行正常操作的；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电子交易平台发现严重安全漏洞，有潜在泄密危险的；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病毒发作导致不能进行正常操作的；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其他无法保证电子交易的公平、公正和安全的情况。</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出现上述情形，不影响采购公平、公正性的，采购组织机构可以待上述情形消除后继续组织电子交易活动；影响或可能影响采购公平、公正性的，应当重新采购。</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2、终止采购活动</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出现下列情形之一的，采购人或者采购代理机构应当终止竞争性磋商采购活动，发布项目终止公告并说明原因，重新开展采购活动：</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因情况变化，不再符合规定的竞争性磋商采购方式适用情形的；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出现影响采购公正的违法、违规行为的；</w:t>
      </w:r>
    </w:p>
    <w:p>
      <w:pPr>
        <w:autoSpaceDE w:val="0"/>
        <w:autoSpaceDN w:val="0"/>
        <w:spacing w:line="440" w:lineRule="exact"/>
        <w:ind w:firstLine="420" w:firstLineChars="200"/>
        <w:jc w:val="left"/>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除相关规定情形外，在采购过程中符合要求的供应商或者报价未超过采购预算的供应商不足3家的。</w:t>
      </w:r>
    </w:p>
    <w:p>
      <w:pPr>
        <w:pStyle w:val="28"/>
        <w:ind w:firstLine="440" w:firstLineChars="200"/>
        <w:rPr>
          <w:rFonts w:ascii="微软雅黑" w:hAnsi="微软雅黑" w:eastAsia="微软雅黑" w:cs="微软雅黑"/>
          <w:color w:val="auto"/>
          <w:sz w:val="30"/>
          <w:szCs w:val="30"/>
          <w:highlight w:val="none"/>
        </w:rPr>
      </w:pPr>
      <w:bookmarkStart w:id="50" w:name="_Toc16770377"/>
      <w:r>
        <w:rPr>
          <w:rFonts w:hint="eastAsia" w:ascii="微软雅黑" w:hAnsi="微软雅黑" w:eastAsia="微软雅黑" w:cs="微软雅黑"/>
          <w:color w:val="auto"/>
          <w:kern w:val="0"/>
          <w:sz w:val="22"/>
          <w:szCs w:val="22"/>
          <w:highlight w:val="none"/>
        </w:rPr>
        <w:br w:type="page"/>
      </w:r>
      <w:bookmarkStart w:id="51" w:name="_Toc29268"/>
      <w:r>
        <w:rPr>
          <w:rFonts w:hint="eastAsia" w:ascii="微软雅黑" w:hAnsi="微软雅黑" w:eastAsia="微软雅黑" w:cs="微软雅黑"/>
          <w:color w:val="auto"/>
          <w:sz w:val="30"/>
          <w:szCs w:val="30"/>
          <w:highlight w:val="none"/>
        </w:rPr>
        <w:t>第三章  磋商项目服务范围及要求</w:t>
      </w:r>
      <w:bookmarkEnd w:id="49"/>
      <w:bookmarkEnd w:id="50"/>
      <w:bookmarkEnd w:id="51"/>
    </w:p>
    <w:p>
      <w:pPr>
        <w:snapToGrid w:val="0"/>
        <w:spacing w:line="440" w:lineRule="exact"/>
        <w:ind w:firstLine="440" w:firstLineChars="200"/>
        <w:rPr>
          <w:rFonts w:ascii="微软雅黑" w:hAnsi="微软雅黑" w:eastAsia="微软雅黑" w:cs="微软雅黑"/>
          <w:b/>
          <w:bCs/>
          <w:color w:val="auto"/>
          <w:sz w:val="22"/>
          <w:szCs w:val="22"/>
          <w:highlight w:val="none"/>
        </w:rPr>
      </w:pPr>
      <w:bookmarkStart w:id="52" w:name="_Toc410379362"/>
      <w:bookmarkStart w:id="53" w:name="_Toc410379356"/>
      <w:r>
        <w:rPr>
          <w:rFonts w:hint="eastAsia" w:ascii="微软雅黑" w:hAnsi="微软雅黑" w:eastAsia="微软雅黑" w:cs="微软雅黑"/>
          <w:b/>
          <w:bCs/>
          <w:color w:val="auto"/>
          <w:sz w:val="22"/>
          <w:szCs w:val="22"/>
          <w:highlight w:val="none"/>
        </w:rPr>
        <w:t>本章要求适用于</w:t>
      </w:r>
      <w:r>
        <w:rPr>
          <w:rFonts w:hint="eastAsia" w:ascii="微软雅黑" w:hAnsi="微软雅黑" w:eastAsia="微软雅黑" w:cs="微软雅黑"/>
          <w:b/>
          <w:bCs/>
          <w:color w:val="auto"/>
          <w:sz w:val="22"/>
          <w:szCs w:val="22"/>
          <w:highlight w:val="none"/>
          <w:lang w:eastAsia="zh-CN"/>
        </w:rPr>
        <w:t>山川旅游度假区基础设施一期建设工程之浪漫山川全域智慧旅游系统(山区数据采集通讯基础设施)设计施工一体化政府采购项目</w:t>
      </w:r>
      <w:r>
        <w:rPr>
          <w:rFonts w:hint="eastAsia" w:ascii="微软雅黑" w:hAnsi="微软雅黑" w:eastAsia="微软雅黑" w:cs="微软雅黑"/>
          <w:b/>
          <w:bCs/>
          <w:color w:val="auto"/>
          <w:sz w:val="22"/>
          <w:szCs w:val="22"/>
          <w:highlight w:val="none"/>
        </w:rPr>
        <w:t>的采购，是采购人为该项目的供应商提出的技术规范要求，为供应商完成响应文件的依据。本章所提出的内容为本项目的最低要求，供应商必须认真阅读以下内容，以免造成磋商损失。</w:t>
      </w:r>
      <w:bookmarkStart w:id="54" w:name="_Toc282640725"/>
    </w:p>
    <w:bookmarkEnd w:id="54"/>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b/>
          <w:bCs/>
          <w:color w:val="auto"/>
          <w:kern w:val="0"/>
          <w:sz w:val="21"/>
          <w:szCs w:val="21"/>
          <w:highlight w:val="none"/>
        </w:rPr>
      </w:pPr>
      <w:bookmarkStart w:id="55" w:name="_Toc9792"/>
      <w:bookmarkStart w:id="56" w:name="_Toc478376517"/>
      <w:bookmarkStart w:id="57" w:name="_Toc513655949"/>
      <w:r>
        <w:rPr>
          <w:rFonts w:hint="eastAsia" w:ascii="微软雅黑" w:hAnsi="微软雅黑" w:eastAsia="微软雅黑" w:cs="微软雅黑"/>
          <w:b/>
          <w:bCs/>
          <w:color w:val="auto"/>
          <w:kern w:val="0"/>
          <w:sz w:val="21"/>
          <w:szCs w:val="21"/>
          <w:highlight w:val="none"/>
        </w:rPr>
        <w:t>一、项目概况</w:t>
      </w:r>
      <w:bookmarkEnd w:id="55"/>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rPr>
      </w:pPr>
      <w:bookmarkStart w:id="58" w:name="_Toc25761"/>
      <w:r>
        <w:rPr>
          <w:rFonts w:hint="eastAsia" w:ascii="微软雅黑" w:hAnsi="微软雅黑" w:eastAsia="微软雅黑" w:cs="微软雅黑"/>
          <w:color w:val="auto"/>
          <w:kern w:val="0"/>
          <w:sz w:val="21"/>
          <w:szCs w:val="21"/>
          <w:highlight w:val="none"/>
        </w:rPr>
        <w:t>中国金钱松森林公园位于浙江省湖州市安吉县山川乡九亩村，海拔800多米。公园占地5500亩，共有金钱松50000多株，是国内现存国家二级保护植物金钱松多、规模大的区域，也是国内极少的金钱松森林公园。</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本项目为金钱松古树公园多功能灯杆项目，计划在公园漫道上建设多功能路灯（包含信号基站、监控、环境监测等功能），道路全长近5公里，其中游客漫步道1.9公里。</w:t>
      </w:r>
    </w:p>
    <w:p>
      <w:pPr>
        <w:pStyle w:val="37"/>
        <w:keepNext w:val="0"/>
        <w:keepLines w:val="0"/>
        <w:pageBreakBefore w:val="0"/>
        <w:widowControl w:val="0"/>
        <w:kinsoku/>
        <w:wordWrap/>
        <w:overflowPunct/>
        <w:topLinePunct w:val="0"/>
        <w:autoSpaceDE/>
        <w:autoSpaceDN/>
        <w:bidi w:val="0"/>
        <w:adjustRightInd/>
        <w:snapToGrid/>
        <w:spacing w:after="0" w:line="440" w:lineRule="exact"/>
        <w:ind w:left="0" w:leftChars="0" w:firstLine="420" w:firstLineChars="200"/>
        <w:textAlignment w:val="auto"/>
        <w:rPr>
          <w:rFonts w:hint="eastAsia"/>
          <w:color w:val="auto"/>
          <w:highlight w:val="none"/>
        </w:rPr>
      </w:pPr>
      <w:r>
        <w:rPr>
          <w:rFonts w:hint="eastAsia" w:ascii="微软雅黑" w:hAnsi="微软雅黑" w:eastAsia="微软雅黑" w:cs="微软雅黑"/>
          <w:color w:val="auto"/>
          <w:kern w:val="0"/>
          <w:sz w:val="21"/>
          <w:szCs w:val="21"/>
          <w:highlight w:val="none"/>
          <w:lang w:val="en-US" w:eastAsia="zh-CN" w:bidi="ar-SA"/>
        </w:rPr>
        <w:t>随着中国金钱松古树公园的不断开发，伴随着景区基础设施建设的不断投入，古树公园得到了空前的发展。但受基础建设滞后的限制，目前公园大部分区域移动信号没有覆盖，监控只有零星点位，游步道、部分公路没有照明设施，这对公园接待游客，后续发展产生了较大的影响。</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本项目内容包括设计（含方案设计、施工图设计）以及设计待采购人确定最终设计方案后的设施、设备安装、调试直至项目验收通过为止。磋商响应单位须根据各自的设计方案和施工图设计编制详细的工程量清单供评委审查，工程量清单是后期核对实际工程量、审计的重要依据，设计效果中有但工程量清单中没有的，由成交供应商自行承担，采购人将不再增加任何费用。</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bCs/>
          <w:color w:val="auto"/>
          <w:kern w:val="0"/>
          <w:sz w:val="21"/>
          <w:szCs w:val="21"/>
          <w:highlight w:val="none"/>
          <w:lang w:val="en-US" w:eastAsia="zh-CN"/>
        </w:rPr>
      </w:pPr>
      <w:r>
        <w:rPr>
          <w:rFonts w:hint="eastAsia" w:ascii="微软雅黑" w:hAnsi="微软雅黑" w:eastAsia="微软雅黑" w:cs="微软雅黑"/>
          <w:b/>
          <w:bCs/>
          <w:color w:val="auto"/>
          <w:kern w:val="0"/>
          <w:sz w:val="21"/>
          <w:szCs w:val="21"/>
          <w:highlight w:val="none"/>
          <w:lang w:val="en-US" w:eastAsia="zh-CN"/>
        </w:rPr>
        <w:t>二、设计理念</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default"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多杆合一：</w:t>
      </w:r>
      <w:r>
        <w:rPr>
          <w:rFonts w:hint="default" w:ascii="微软雅黑" w:hAnsi="微软雅黑" w:eastAsia="微软雅黑" w:cs="微软雅黑"/>
          <w:color w:val="auto"/>
          <w:kern w:val="0"/>
          <w:sz w:val="21"/>
          <w:szCs w:val="21"/>
          <w:highlight w:val="none"/>
          <w:lang w:val="en-US" w:eastAsia="zh-CN"/>
        </w:rPr>
        <w:t>解决公园杆件林立所带来的安全、线路与视野问题，充分考虑公园与周边自然景物的融合，提升公园整体的视觉感官。</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lang w:val="en-US" w:eastAsia="zh-CN"/>
        </w:rPr>
      </w:pPr>
      <w:r>
        <w:rPr>
          <w:rFonts w:hint="default" w:ascii="微软雅黑" w:hAnsi="微软雅黑" w:eastAsia="微软雅黑" w:cs="微软雅黑"/>
          <w:color w:val="auto"/>
          <w:kern w:val="0"/>
          <w:sz w:val="21"/>
          <w:szCs w:val="21"/>
          <w:highlight w:val="none"/>
          <w:lang w:val="en-US" w:eastAsia="zh-CN"/>
        </w:rPr>
        <w:t>充分预留</w:t>
      </w:r>
      <w:r>
        <w:rPr>
          <w:rFonts w:hint="eastAsia" w:ascii="微软雅黑" w:hAnsi="微软雅黑" w:eastAsia="微软雅黑" w:cs="微软雅黑"/>
          <w:color w:val="auto"/>
          <w:kern w:val="0"/>
          <w:sz w:val="21"/>
          <w:szCs w:val="21"/>
          <w:highlight w:val="none"/>
          <w:lang w:val="en-US" w:eastAsia="zh-CN"/>
        </w:rPr>
        <w:t>：项目整体从管道、电缆、基础承重、杆体搭载能力等，全方位充分预留充足的发展空间，满足未来5年以上的发展需求。</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lang w:val="en-US" w:eastAsia="zh-CN"/>
        </w:rPr>
      </w:pPr>
      <w:r>
        <w:rPr>
          <w:rFonts w:hint="default" w:ascii="微软雅黑" w:hAnsi="微软雅黑" w:eastAsia="微软雅黑" w:cs="微软雅黑"/>
          <w:color w:val="auto"/>
          <w:kern w:val="0"/>
          <w:sz w:val="21"/>
          <w:szCs w:val="21"/>
          <w:highlight w:val="none"/>
          <w:lang w:val="en-US" w:eastAsia="zh-CN"/>
        </w:rPr>
        <w:t>按需加载</w:t>
      </w:r>
      <w:r>
        <w:rPr>
          <w:rFonts w:hint="eastAsia" w:ascii="微软雅黑" w:hAnsi="微软雅黑" w:eastAsia="微软雅黑" w:cs="微软雅黑"/>
          <w:color w:val="auto"/>
          <w:kern w:val="0"/>
          <w:sz w:val="21"/>
          <w:szCs w:val="21"/>
          <w:highlight w:val="none"/>
          <w:lang w:val="en-US" w:eastAsia="zh-CN"/>
        </w:rPr>
        <w:t>：可按场景需求和发展需求，不断加载可替换的构件，如控制器、传感器、监控横臂、信息发布屏等, 满足不同位置、不同场景下的布设需求，以满足包括移动网微基站、高清摄像头、LED发布屏、充电桩、广播音柱等功能加载，实现智能照明、智慧广播等多种功能，打造智慧景区。</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color w:val="auto"/>
          <w:kern w:val="0"/>
          <w:sz w:val="21"/>
          <w:szCs w:val="21"/>
          <w:highlight w:val="none"/>
          <w:lang w:val="en-US" w:eastAsia="zh-CN"/>
        </w:rPr>
      </w:pPr>
      <w:r>
        <w:rPr>
          <w:rFonts w:hint="default" w:ascii="微软雅黑" w:hAnsi="微软雅黑" w:eastAsia="微软雅黑" w:cs="微软雅黑"/>
          <w:color w:val="auto"/>
          <w:kern w:val="0"/>
          <w:sz w:val="21"/>
          <w:szCs w:val="21"/>
          <w:highlight w:val="none"/>
          <w:lang w:val="en-US" w:eastAsia="zh-CN"/>
        </w:rPr>
        <w:t>商业经营</w:t>
      </w:r>
      <w:r>
        <w:rPr>
          <w:rFonts w:hint="eastAsia" w:ascii="微软雅黑" w:hAnsi="微软雅黑" w:eastAsia="微软雅黑" w:cs="微软雅黑"/>
          <w:color w:val="auto"/>
          <w:kern w:val="0"/>
          <w:sz w:val="21"/>
          <w:szCs w:val="21"/>
          <w:highlight w:val="none"/>
          <w:lang w:val="en-US" w:eastAsia="zh-CN"/>
        </w:rPr>
        <w:t>：移动网智慧杆的建设不仅可以满足智慧公园建设所需的功能，亦能兼顾经济效益。通过商业经营创造价值，减少财政投入，加快公园建设和提升管理运维能力。</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bCs/>
          <w:color w:val="auto"/>
          <w:sz w:val="21"/>
          <w:szCs w:val="21"/>
          <w:highlight w:val="none"/>
          <w:lang w:val="en-US" w:eastAsia="zh-CN"/>
        </w:rPr>
      </w:pPr>
      <w:r>
        <w:rPr>
          <w:rFonts w:hint="eastAsia" w:ascii="微软雅黑" w:hAnsi="微软雅黑" w:eastAsia="微软雅黑" w:cs="微软雅黑"/>
          <w:b/>
          <w:bCs/>
          <w:color w:val="auto"/>
          <w:sz w:val="21"/>
          <w:szCs w:val="21"/>
          <w:highlight w:val="none"/>
          <w:lang w:val="en-US" w:eastAsia="zh-CN"/>
        </w:rPr>
        <w:t>三、设计原则</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路灯点位：车行道按40米左右设置1个，游客漫步道按30米左右设置1个；</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宏基站点位：按覆盖半径500米间距，再结合景区实际地形确定；</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监控点位：按覆盖距离40至50米确定；</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信息发布点位：公园入口、游客漫道入口和出口；</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一键报警点位：东侧和西侧车行道中段位置各设置1个，游客漫步道按150米左右设置1个；</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环境监测点位：东侧、西侧车行道及游客漫步道各设置1个；</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广播音箱点位：游客漫步道按150米左右设置1个，东侧行车道设置3个，公园入口停车场设置1个，游客活动区域各设置1个。</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WiFi信号点位：根据信号覆盖范围设置</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最终方案根据景区实际地形和业主需求进行深度优化。</w:t>
      </w:r>
    </w:p>
    <w:bookmarkEnd w:id="58"/>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b/>
          <w:bCs/>
          <w:color w:val="auto"/>
          <w:kern w:val="0"/>
          <w:sz w:val="21"/>
          <w:szCs w:val="21"/>
          <w:highlight w:val="none"/>
          <w:lang w:val="en-US" w:eastAsia="zh-CN" w:bidi="ar-SA"/>
        </w:rPr>
      </w:pPr>
      <w:bookmarkStart w:id="59" w:name="_Toc19230"/>
      <w:bookmarkStart w:id="60" w:name="_Toc297198870"/>
      <w:bookmarkStart w:id="61" w:name="_Toc296512295"/>
      <w:r>
        <w:rPr>
          <w:rFonts w:hint="default" w:ascii="微软雅黑" w:hAnsi="微软雅黑" w:eastAsia="微软雅黑" w:cs="微软雅黑"/>
          <w:b/>
          <w:bCs/>
          <w:color w:val="auto"/>
          <w:kern w:val="0"/>
          <w:sz w:val="21"/>
          <w:szCs w:val="21"/>
          <w:highlight w:val="none"/>
          <w:lang w:val="en-US" w:eastAsia="zh-CN" w:bidi="ar-SA"/>
        </w:rPr>
        <w:t>四、建设要求</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1、项目建设要求</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1.1</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应保证所有设备及材料是未使用过的原厂合格正品，并完全符合</w:t>
      </w:r>
      <w:r>
        <w:rPr>
          <w:rFonts w:hint="eastAsia" w:ascii="微软雅黑" w:hAnsi="微软雅黑" w:eastAsia="微软雅黑" w:cs="微软雅黑"/>
          <w:color w:val="auto"/>
          <w:kern w:val="0"/>
          <w:sz w:val="21"/>
          <w:szCs w:val="21"/>
          <w:highlight w:val="none"/>
          <w:lang w:val="en-US" w:eastAsia="zh-CN" w:bidi="ar-SA"/>
        </w:rPr>
        <w:t>磋商文件</w:t>
      </w:r>
      <w:r>
        <w:rPr>
          <w:rFonts w:hint="default" w:ascii="微软雅黑" w:hAnsi="微软雅黑" w:eastAsia="微软雅黑" w:cs="微软雅黑"/>
          <w:color w:val="auto"/>
          <w:kern w:val="0"/>
          <w:sz w:val="21"/>
          <w:szCs w:val="21"/>
          <w:highlight w:val="none"/>
          <w:lang w:val="en-US" w:eastAsia="zh-CN" w:bidi="ar-SA"/>
        </w:rPr>
        <w:t>规定的质量和性能的要求。</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1.2项目建设所需设备及主要部件均须非停产设备，应是目前市场上的主流设备。主要设备须附公安部安全产品质量监督检测中心出具的检测报告等证明材料。并能在质保期内提供充足的备品备件，满足日常维护需求。</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1.3本项目的所有软、硬件(如线缆、软件、硬件模块等，包括未列出而系统实施又必需的软件、硬件)需配齐以构成一套完整实用系统，如有任何遗漏，由</w:t>
      </w:r>
      <w:r>
        <w:rPr>
          <w:rFonts w:hint="eastAsia" w:ascii="微软雅黑" w:hAnsi="微软雅黑" w:eastAsia="微软雅黑" w:cs="微软雅黑"/>
          <w:color w:val="auto"/>
          <w:kern w:val="0"/>
          <w:sz w:val="21"/>
          <w:szCs w:val="21"/>
          <w:highlight w:val="none"/>
          <w:lang w:val="en-US" w:eastAsia="zh-CN" w:bidi="ar-SA"/>
        </w:rPr>
        <w:t>响应单位</w:t>
      </w:r>
      <w:r>
        <w:rPr>
          <w:rFonts w:hint="default" w:ascii="微软雅黑" w:hAnsi="微软雅黑" w:eastAsia="微软雅黑" w:cs="微软雅黑"/>
          <w:color w:val="auto"/>
          <w:kern w:val="0"/>
          <w:sz w:val="21"/>
          <w:szCs w:val="21"/>
          <w:highlight w:val="none"/>
          <w:lang w:val="en-US" w:eastAsia="zh-CN" w:bidi="ar-SA"/>
        </w:rPr>
        <w:t>免费补齐。</w:t>
      </w:r>
      <w:r>
        <w:rPr>
          <w:rFonts w:hint="eastAsia" w:ascii="微软雅黑" w:hAnsi="微软雅黑" w:eastAsia="微软雅黑" w:cs="微软雅黑"/>
          <w:color w:val="auto"/>
          <w:kern w:val="0"/>
          <w:sz w:val="21"/>
          <w:szCs w:val="21"/>
          <w:highlight w:val="none"/>
          <w:lang w:val="en-US" w:eastAsia="zh-CN" w:bidi="ar-SA"/>
        </w:rPr>
        <w:t>响应文件</w:t>
      </w:r>
      <w:r>
        <w:rPr>
          <w:rFonts w:hint="default" w:ascii="微软雅黑" w:hAnsi="微软雅黑" w:eastAsia="微软雅黑" w:cs="微软雅黑"/>
          <w:color w:val="auto"/>
          <w:kern w:val="0"/>
          <w:sz w:val="21"/>
          <w:szCs w:val="21"/>
          <w:highlight w:val="none"/>
          <w:lang w:val="en-US" w:eastAsia="zh-CN" w:bidi="ar-SA"/>
        </w:rPr>
        <w:t>中的硬件设备,如需使用特别接头、插座等，由</w:t>
      </w:r>
      <w:r>
        <w:rPr>
          <w:rFonts w:hint="eastAsia" w:ascii="微软雅黑" w:hAnsi="微软雅黑" w:eastAsia="微软雅黑" w:cs="微软雅黑"/>
          <w:color w:val="auto"/>
          <w:kern w:val="0"/>
          <w:sz w:val="21"/>
          <w:szCs w:val="21"/>
          <w:highlight w:val="none"/>
          <w:lang w:val="en-US" w:eastAsia="zh-CN" w:bidi="ar-SA"/>
        </w:rPr>
        <w:t>响应单位</w:t>
      </w:r>
      <w:r>
        <w:rPr>
          <w:rFonts w:hint="default" w:ascii="微软雅黑" w:hAnsi="微软雅黑" w:eastAsia="微软雅黑" w:cs="微软雅黑"/>
          <w:color w:val="auto"/>
          <w:kern w:val="0"/>
          <w:sz w:val="21"/>
          <w:szCs w:val="21"/>
          <w:highlight w:val="none"/>
          <w:lang w:val="en-US" w:eastAsia="zh-CN" w:bidi="ar-SA"/>
        </w:rPr>
        <w:t>提供。</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1.4所采用的设备能够与采购人现有设备正常连接，设备安装调试完毕后，能在其功能范围内 保障用户的系统安全、稳定运行。</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1.5设备的拆箱、通电、调试等各项工作由</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负责，但必须在采购人指定人员的参与下进 行。在实际实施前必须先经采购人同意方可进行。</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1.6系统安装调试所需专用工具、设施物料等由</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自备、自费运到现场，完工后自费搬走。</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1.7</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应派采购人认可的有经验和能力、具有相应资质的技术人员，负责系统设备安装工</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作，在设备安装调试期间应充分了解项目进度要求，解决安装中出现的技术问题。</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▲1.8工期要求：合同签订后</w:t>
      </w:r>
      <w:r>
        <w:rPr>
          <w:rFonts w:hint="eastAsia" w:ascii="微软雅黑" w:hAnsi="微软雅黑" w:eastAsia="微软雅黑" w:cs="微软雅黑"/>
          <w:color w:val="auto"/>
          <w:kern w:val="0"/>
          <w:sz w:val="21"/>
          <w:szCs w:val="21"/>
          <w:highlight w:val="none"/>
          <w:lang w:val="en-US" w:eastAsia="zh-CN" w:bidi="ar-SA"/>
        </w:rPr>
        <w:t>50</w:t>
      </w:r>
      <w:r>
        <w:rPr>
          <w:rFonts w:hint="default" w:ascii="微软雅黑" w:hAnsi="微软雅黑" w:eastAsia="微软雅黑" w:cs="微软雅黑"/>
          <w:color w:val="auto"/>
          <w:kern w:val="0"/>
          <w:sz w:val="21"/>
          <w:szCs w:val="21"/>
          <w:highlight w:val="none"/>
          <w:lang w:val="en-US" w:eastAsia="zh-CN" w:bidi="ar-SA"/>
        </w:rPr>
        <w:t>天内建设并验收完成。</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2、供货、安装、调试及验收</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2.1、本项目由</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负责所有设备的供货、运输装卸、安装直至所有项目通过验收为止，期间所有费用均由</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自行承担。</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2.2、</w:t>
      </w:r>
      <w:r>
        <w:rPr>
          <w:rFonts w:hint="eastAsia" w:ascii="微软雅黑" w:hAnsi="微软雅黑" w:eastAsia="微软雅黑" w:cs="微软雅黑"/>
          <w:color w:val="auto"/>
          <w:kern w:val="0"/>
          <w:sz w:val="21"/>
          <w:szCs w:val="21"/>
          <w:highlight w:val="none"/>
          <w:lang w:val="en-US" w:eastAsia="zh-CN" w:bidi="ar-SA"/>
        </w:rPr>
        <w:t>响应单位</w:t>
      </w:r>
      <w:r>
        <w:rPr>
          <w:rFonts w:hint="default" w:ascii="微软雅黑" w:hAnsi="微软雅黑" w:eastAsia="微软雅黑" w:cs="微软雅黑"/>
          <w:color w:val="auto"/>
          <w:kern w:val="0"/>
          <w:sz w:val="21"/>
          <w:szCs w:val="21"/>
          <w:highlight w:val="none"/>
          <w:lang w:val="en-US" w:eastAsia="zh-CN" w:bidi="ar-SA"/>
        </w:rPr>
        <w:t>应保证所提供产品是全新的、未经使用过的原厂原装产品。</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2.3、</w:t>
      </w:r>
      <w:r>
        <w:rPr>
          <w:rFonts w:hint="eastAsia" w:ascii="微软雅黑" w:hAnsi="微软雅黑" w:eastAsia="微软雅黑" w:cs="微软雅黑"/>
          <w:color w:val="auto"/>
          <w:kern w:val="0"/>
          <w:sz w:val="21"/>
          <w:szCs w:val="21"/>
          <w:highlight w:val="none"/>
          <w:lang w:val="en-US" w:eastAsia="zh-CN" w:bidi="ar-SA"/>
        </w:rPr>
        <w:t>响应单位</w:t>
      </w:r>
      <w:r>
        <w:rPr>
          <w:rFonts w:hint="default" w:ascii="微软雅黑" w:hAnsi="微软雅黑" w:eastAsia="微软雅黑" w:cs="微软雅黑"/>
          <w:color w:val="auto"/>
          <w:kern w:val="0"/>
          <w:sz w:val="21"/>
          <w:szCs w:val="21"/>
          <w:highlight w:val="none"/>
          <w:lang w:val="en-US" w:eastAsia="zh-CN" w:bidi="ar-SA"/>
        </w:rPr>
        <w:t>所供产品应用一流的工艺制作而成，并完全符合</w:t>
      </w:r>
      <w:r>
        <w:rPr>
          <w:rFonts w:hint="eastAsia" w:ascii="微软雅黑" w:hAnsi="微软雅黑" w:eastAsia="微软雅黑" w:cs="微软雅黑"/>
          <w:color w:val="auto"/>
          <w:kern w:val="0"/>
          <w:sz w:val="21"/>
          <w:szCs w:val="21"/>
          <w:highlight w:val="none"/>
          <w:lang w:val="en-US" w:eastAsia="zh-CN" w:bidi="ar-SA"/>
        </w:rPr>
        <w:t>磋商文件</w:t>
      </w:r>
      <w:r>
        <w:rPr>
          <w:rFonts w:hint="default" w:ascii="微软雅黑" w:hAnsi="微软雅黑" w:eastAsia="微软雅黑" w:cs="微软雅黑"/>
          <w:color w:val="auto"/>
          <w:kern w:val="0"/>
          <w:sz w:val="21"/>
          <w:szCs w:val="21"/>
          <w:highlight w:val="none"/>
          <w:lang w:val="en-US" w:eastAsia="zh-CN" w:bidi="ar-SA"/>
        </w:rPr>
        <w:t>规定的质量、规格和性 能要求。</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2.4、供应的货物交货时，应附有原厂产品合格证书、质量检测报告、装箱单等。包装箱外面应注明数量、名称、外形尺寸、毛重、厂家及品牌等。</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2.5、</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应对整个交货过程负责，包括运输、装卸及安全措施。</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2.6、货物到达指定地点后，由双方指定联系人点箱点件进行数量统计，</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对原包装箱内 的数量负责。</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2.7、货物交货时，采购人应严格按产品验收制度验收，检查报验手续，查验产品出厂合格证、 产品质量检测报告和装箱单等。</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2.8、</w:t>
      </w:r>
      <w:r>
        <w:rPr>
          <w:rFonts w:hint="eastAsia" w:ascii="微软雅黑" w:hAnsi="微软雅黑" w:eastAsia="微软雅黑" w:cs="微软雅黑"/>
          <w:color w:val="auto"/>
          <w:kern w:val="0"/>
          <w:sz w:val="21"/>
          <w:szCs w:val="21"/>
          <w:highlight w:val="none"/>
          <w:lang w:val="en-US" w:eastAsia="zh-CN" w:bidi="ar-SA"/>
        </w:rPr>
        <w:t>响应单位</w:t>
      </w:r>
      <w:r>
        <w:rPr>
          <w:rFonts w:hint="default" w:ascii="微软雅黑" w:hAnsi="微软雅黑" w:eastAsia="微软雅黑" w:cs="微软雅黑"/>
          <w:color w:val="auto"/>
          <w:kern w:val="0"/>
          <w:sz w:val="21"/>
          <w:szCs w:val="21"/>
          <w:highlight w:val="none"/>
          <w:lang w:val="en-US" w:eastAsia="zh-CN" w:bidi="ar-SA"/>
        </w:rPr>
        <w:t>所供产品应达到国家合格品标准。国家没有规定的按厂商规定执行。国家规定标 准低于厂商标准的按厂商标准执行。做到无明显批次差异，无歪斜、裂缝等缺陷。</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2.9、若因</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制造工艺、质量问题等导致验收不合格，</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应及时予以处理，直至验收 合格，期间发生的一切费用由</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承担，采购人保留向</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索赔的权利。</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2.10、验收标准按照国家标准及</w:t>
      </w:r>
      <w:r>
        <w:rPr>
          <w:rFonts w:hint="eastAsia" w:ascii="微软雅黑" w:hAnsi="微软雅黑" w:eastAsia="微软雅黑" w:cs="微软雅黑"/>
          <w:color w:val="auto"/>
          <w:kern w:val="0"/>
          <w:sz w:val="21"/>
          <w:szCs w:val="21"/>
          <w:highlight w:val="none"/>
          <w:lang w:val="en-US" w:eastAsia="zh-CN" w:bidi="ar-SA"/>
        </w:rPr>
        <w:t>磋商文件</w:t>
      </w:r>
      <w:r>
        <w:rPr>
          <w:rFonts w:hint="default" w:ascii="微软雅黑" w:hAnsi="微软雅黑" w:eastAsia="微软雅黑" w:cs="微软雅黑"/>
          <w:color w:val="auto"/>
          <w:kern w:val="0"/>
          <w:sz w:val="21"/>
          <w:szCs w:val="21"/>
          <w:highlight w:val="none"/>
          <w:lang w:val="en-US" w:eastAsia="zh-CN" w:bidi="ar-SA"/>
        </w:rPr>
        <w:t>规定的要求执行。验收时双方对供应货物的质量有争 议时，可委托第三方权威机构对该批次货物进行随机抽检，根据抽检结果判断是否合格。检测费用由责任方承担。项目最终须通过县大数据验收。</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2.11、按规定必须进行复检的产品需复检，经复检存在质量问题的，采购人应出具权威部门的 检测报告，</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负责更换同时承担由此造成的损失，对于不合格产品应在技术监督部门和有关部门监督下进行处理，不得以任何形式转移和继续销售。</w:t>
      </w:r>
    </w:p>
    <w:p>
      <w:pPr>
        <w:pStyle w:val="38"/>
        <w:keepNext w:val="0"/>
        <w:keepLines w:val="0"/>
        <w:pageBreakBefore w:val="0"/>
        <w:widowControl w:val="0"/>
        <w:numPr>
          <w:ilvl w:val="0"/>
          <w:numId w:val="0"/>
        </w:numPr>
        <w:kinsoku/>
        <w:wordWrap/>
        <w:overflowPunct/>
        <w:topLinePunct w:val="0"/>
        <w:autoSpaceDE/>
        <w:autoSpaceDN/>
        <w:bidi w:val="0"/>
        <w:adjustRightInd/>
        <w:snapToGrid/>
        <w:spacing w:beforeLines="0" w:after="0" w:line="440" w:lineRule="exact"/>
        <w:ind w:leftChars="0" w:firstLine="420" w:firstLineChars="200"/>
        <w:textAlignment w:val="auto"/>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2.12、如</w:t>
      </w:r>
      <w:r>
        <w:rPr>
          <w:rFonts w:hint="eastAsia" w:ascii="微软雅黑" w:hAnsi="微软雅黑" w:eastAsia="微软雅黑" w:cs="微软雅黑"/>
          <w:color w:val="auto"/>
          <w:kern w:val="0"/>
          <w:sz w:val="21"/>
          <w:szCs w:val="21"/>
          <w:highlight w:val="none"/>
          <w:lang w:val="en-US" w:eastAsia="zh-CN" w:bidi="ar-SA"/>
        </w:rPr>
        <w:t>成交人</w:t>
      </w:r>
      <w:r>
        <w:rPr>
          <w:rFonts w:hint="default" w:ascii="微软雅黑" w:hAnsi="微软雅黑" w:eastAsia="微软雅黑" w:cs="微软雅黑"/>
          <w:color w:val="auto"/>
          <w:kern w:val="0"/>
          <w:sz w:val="21"/>
          <w:szCs w:val="21"/>
          <w:highlight w:val="none"/>
          <w:lang w:val="en-US" w:eastAsia="zh-CN" w:bidi="ar-SA"/>
        </w:rPr>
        <w:t>提供的产品与投标承诺不符或在质保期内证明产品质量是有缺陷的（包括潜在 缺陷和使用不合格的原材料等） ，采购人应报第三方权威机构进行检测，并凭有关单据进行索赔。</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lang w:val="en-US" w:eastAsia="zh-CN"/>
        </w:rPr>
        <w:t>五</w:t>
      </w:r>
      <w:r>
        <w:rPr>
          <w:rFonts w:hint="eastAsia" w:ascii="微软雅黑" w:hAnsi="微软雅黑" w:eastAsia="微软雅黑" w:cs="微软雅黑"/>
          <w:b/>
          <w:bCs/>
          <w:color w:val="auto"/>
          <w:kern w:val="0"/>
          <w:sz w:val="21"/>
          <w:szCs w:val="21"/>
          <w:highlight w:val="none"/>
        </w:rPr>
        <w:t>、知识产权保护</w:t>
      </w:r>
      <w:bookmarkEnd w:id="59"/>
      <w:bookmarkEnd w:id="60"/>
      <w:bookmarkEnd w:id="61"/>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1、交易申请人保证本项交易申请文件及资料均未侵犯他人的知识产权，否则须承担由此引起的全部法律责任和经济责任；</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2、若交易申请人使用他人的专利、专有技术，交易申请人应自行承担所涉及的一切费用；</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3、发包人对各交易申请人递交的设计方案不予退回。</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lang w:val="en-US" w:eastAsia="zh-CN"/>
        </w:rPr>
        <w:t>六</w:t>
      </w:r>
      <w:r>
        <w:rPr>
          <w:rFonts w:hint="eastAsia" w:ascii="微软雅黑" w:hAnsi="微软雅黑" w:eastAsia="微软雅黑" w:cs="微软雅黑"/>
          <w:b/>
          <w:bCs/>
          <w:color w:val="auto"/>
          <w:kern w:val="0"/>
          <w:sz w:val="21"/>
          <w:szCs w:val="21"/>
          <w:highlight w:val="none"/>
        </w:rPr>
        <w:t>、项目质量目标</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1、达到国家现行有关设计建造技术规范、标准及规程，并满足采购人所期望实现的质量目标。</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lang w:val="en-US" w:eastAsia="zh-CN"/>
        </w:rPr>
        <w:t>七</w:t>
      </w:r>
      <w:r>
        <w:rPr>
          <w:rFonts w:hint="eastAsia" w:ascii="微软雅黑" w:hAnsi="微软雅黑" w:eastAsia="微软雅黑" w:cs="微软雅黑"/>
          <w:b/>
          <w:bCs/>
          <w:color w:val="auto"/>
          <w:kern w:val="0"/>
          <w:sz w:val="21"/>
          <w:szCs w:val="21"/>
          <w:highlight w:val="none"/>
        </w:rPr>
        <w:t>、▲安全责任</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1、成交供应商在服务应接受采购人的协调管理和考核，成交供应商应采取严格的安全措施，承担由于自身原因所造成的事故责任及因此发生的一切费用。</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2、成交供应商必须按规定办理有关保险。成交供应商在施工期间发生人身安全、交通安全等大小事故，一切责任和经济补偿均由成交供应商负责，与采购人无关。</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3、成交供应商应设置专门的安全员，做好安全生产台账记录。</w:t>
      </w:r>
    </w:p>
    <w:p>
      <w:pPr>
        <w:keepNext w:val="0"/>
        <w:keepLines w:val="0"/>
        <w:pageBreakBefore w:val="0"/>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kinsoku/>
        <w:wordWrap/>
        <w:overflowPunct/>
        <w:topLinePunct w:val="0"/>
        <w:autoSpaceDE w:val="0"/>
        <w:autoSpaceDN w:val="0"/>
        <w:bidi w:val="0"/>
        <w:adjustRightInd w:val="0"/>
        <w:snapToGrid/>
        <w:spacing w:line="440" w:lineRule="exact"/>
        <w:ind w:leftChars="0" w:firstLine="420" w:firstLineChars="200"/>
        <w:jc w:val="left"/>
        <w:textAlignment w:val="auto"/>
        <w:rPr>
          <w:rFonts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上述关于安全责任的要求，供应商必须在磋商响应文件中作出明确的响应承诺。</w:t>
      </w:r>
    </w:p>
    <w:p>
      <w:pPr>
        <w:keepNext w:val="0"/>
        <w:keepLines w:val="0"/>
        <w:pageBreakBefore w:val="0"/>
        <w:widowControl/>
        <w:numPr>
          <w:ilvl w:val="0"/>
          <w:numId w:val="0"/>
        </w:numPr>
        <w:kinsoku/>
        <w:wordWrap/>
        <w:overflowPunct/>
        <w:topLinePunct w:val="0"/>
        <w:bidi w:val="0"/>
        <w:snapToGrid/>
        <w:spacing w:line="440" w:lineRule="exact"/>
        <w:ind w:leftChars="200"/>
        <w:textAlignment w:val="auto"/>
        <w:rPr>
          <w:rFonts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lang w:val="en-US" w:eastAsia="zh-CN"/>
        </w:rPr>
        <w:t>八、</w:t>
      </w:r>
      <w:r>
        <w:rPr>
          <w:rFonts w:hint="eastAsia" w:ascii="微软雅黑" w:hAnsi="微软雅黑" w:eastAsia="微软雅黑" w:cs="微软雅黑"/>
          <w:b/>
          <w:bCs/>
          <w:color w:val="auto"/>
          <w:kern w:val="0"/>
          <w:sz w:val="21"/>
          <w:szCs w:val="21"/>
          <w:highlight w:val="none"/>
        </w:rPr>
        <w:t>付款方式：</w:t>
      </w:r>
    </w:p>
    <w:tbl>
      <w:tblPr>
        <w:tblStyle w:val="30"/>
        <w:tblW w:w="94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2"/>
        <w:gridCol w:w="7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b/>
                <w:color w:val="auto"/>
                <w:sz w:val="21"/>
                <w:szCs w:val="21"/>
                <w:highlight w:val="none"/>
              </w:rPr>
              <w:t>质保期</w:t>
            </w:r>
          </w:p>
        </w:tc>
        <w:tc>
          <w:tcPr>
            <w:tcW w:w="7814" w:type="dxa"/>
            <w:noWrap w:val="0"/>
            <w:vAlign w:val="center"/>
          </w:tcPr>
          <w:p>
            <w:pPr>
              <w:adjustRightInd w:val="0"/>
              <w:snapToGrid w:val="0"/>
              <w:spacing w:line="400" w:lineRule="exact"/>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bCs/>
                <w:color w:val="auto"/>
                <w:sz w:val="21"/>
                <w:szCs w:val="21"/>
                <w:highlight w:val="none"/>
              </w:rPr>
              <w:t>验收合格后，质保期不少于</w:t>
            </w:r>
            <w:r>
              <w:rPr>
                <w:rFonts w:hint="eastAsia" w:ascii="微软雅黑" w:hAnsi="微软雅黑" w:eastAsia="微软雅黑" w:cs="微软雅黑"/>
                <w:bCs/>
                <w:color w:val="auto"/>
                <w:sz w:val="21"/>
                <w:szCs w:val="21"/>
                <w:highlight w:val="none"/>
                <w:lang w:val="en-US" w:eastAsia="zh-CN"/>
              </w:rPr>
              <w:t>2</w:t>
            </w:r>
            <w:r>
              <w:rPr>
                <w:rFonts w:hint="eastAsia" w:ascii="微软雅黑" w:hAnsi="微软雅黑" w:eastAsia="微软雅黑" w:cs="微软雅黑"/>
                <w:bCs/>
                <w:color w:val="auto"/>
                <w:sz w:val="21"/>
                <w:szCs w:val="21"/>
                <w:highlight w:val="none"/>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b/>
                <w:color w:val="auto"/>
                <w:sz w:val="21"/>
                <w:szCs w:val="21"/>
                <w:highlight w:val="none"/>
              </w:rPr>
              <w:t>售后技术服务要求</w:t>
            </w:r>
          </w:p>
        </w:tc>
        <w:tc>
          <w:tcPr>
            <w:tcW w:w="7814" w:type="dxa"/>
            <w:noWrap w:val="0"/>
            <w:vAlign w:val="top"/>
          </w:tcPr>
          <w:p>
            <w:pPr>
              <w:adjustRightInd w:val="0"/>
              <w:snapToGrid w:val="0"/>
              <w:spacing w:line="400" w:lineRule="exact"/>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1、货物验收过程中，由于质量不合格或运输等原因所造成的一切费用均由</w:t>
            </w:r>
            <w:r>
              <w:rPr>
                <w:rFonts w:hint="eastAsia" w:ascii="微软雅黑" w:hAnsi="微软雅黑" w:eastAsia="微软雅黑" w:cs="微软雅黑"/>
                <w:bCs/>
                <w:color w:val="auto"/>
                <w:sz w:val="21"/>
                <w:szCs w:val="21"/>
                <w:highlight w:val="none"/>
                <w:lang w:eastAsia="zh-CN"/>
              </w:rPr>
              <w:t>成交人</w:t>
            </w:r>
            <w:r>
              <w:rPr>
                <w:rFonts w:hint="eastAsia" w:ascii="微软雅黑" w:hAnsi="微软雅黑" w:eastAsia="微软雅黑" w:cs="微软雅黑"/>
                <w:bCs/>
                <w:color w:val="auto"/>
                <w:sz w:val="21"/>
                <w:szCs w:val="21"/>
                <w:highlight w:val="none"/>
              </w:rPr>
              <w:t>负责。</w:t>
            </w:r>
          </w:p>
          <w:p>
            <w:pPr>
              <w:adjustRightInd w:val="0"/>
              <w:snapToGrid w:val="0"/>
              <w:spacing w:line="400" w:lineRule="exact"/>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2、应保证在质保期内对设备进行免费维修，维护，软件提供质保期内免费升级服务，免费提供人员技术培训和软件文档、资料；质保期外发生的损坏，负责设备的终身维修，修理和换件应按成本费收取，不再收取其它费用。</w:t>
            </w:r>
          </w:p>
          <w:p>
            <w:pPr>
              <w:adjustRightInd w:val="0"/>
              <w:snapToGrid w:val="0"/>
              <w:spacing w:line="400" w:lineRule="exact"/>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3、在使用过程中发生问题，提供电话咨询半小时内响应服务；现场响应 3 小时 内上门技术服务、24小时内解决问题。</w:t>
            </w:r>
          </w:p>
          <w:p>
            <w:pPr>
              <w:adjustRightInd w:val="0"/>
              <w:snapToGrid w:val="0"/>
              <w:spacing w:line="400" w:lineRule="exact"/>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4、由维护单位提供满足整体系统设备正常运转所需的能耗、环境、配件材料等 一切费用。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b/>
                <w:color w:val="auto"/>
                <w:sz w:val="21"/>
                <w:szCs w:val="21"/>
                <w:highlight w:val="none"/>
              </w:rPr>
              <w:t>交货时间及地点</w:t>
            </w:r>
          </w:p>
        </w:tc>
        <w:tc>
          <w:tcPr>
            <w:tcW w:w="7814"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交货时间：合同签订后</w:t>
            </w:r>
            <w:r>
              <w:rPr>
                <w:rFonts w:hint="eastAsia" w:ascii="微软雅黑" w:hAnsi="微软雅黑" w:eastAsia="微软雅黑" w:cs="微软雅黑"/>
                <w:color w:val="auto"/>
                <w:sz w:val="21"/>
                <w:szCs w:val="21"/>
                <w:highlight w:val="none"/>
                <w:lang w:val="en-US" w:eastAsia="zh-CN"/>
              </w:rPr>
              <w:t>50</w:t>
            </w:r>
            <w:r>
              <w:rPr>
                <w:rFonts w:hint="eastAsia" w:ascii="微软雅黑" w:hAnsi="微软雅黑" w:eastAsia="微软雅黑" w:cs="微软雅黑"/>
                <w:color w:val="auto"/>
                <w:sz w:val="21"/>
                <w:szCs w:val="21"/>
                <w:highlight w:val="none"/>
              </w:rPr>
              <w:t>天内完成所有设计及</w:t>
            </w:r>
            <w:r>
              <w:rPr>
                <w:rFonts w:hint="eastAsia" w:ascii="微软雅黑" w:hAnsi="微软雅黑" w:eastAsia="微软雅黑" w:cs="微软雅黑"/>
                <w:color w:val="auto"/>
                <w:sz w:val="21"/>
                <w:szCs w:val="21"/>
                <w:highlight w:val="none"/>
                <w:lang w:val="en-US" w:eastAsia="zh-CN"/>
              </w:rPr>
              <w:t>设备</w:t>
            </w:r>
            <w:r>
              <w:rPr>
                <w:rFonts w:hint="eastAsia" w:ascii="微软雅黑" w:hAnsi="微软雅黑" w:eastAsia="微软雅黑" w:cs="微软雅黑"/>
                <w:color w:val="auto"/>
                <w:sz w:val="21"/>
                <w:szCs w:val="21"/>
                <w:highlight w:val="none"/>
              </w:rPr>
              <w:t>安装</w:t>
            </w:r>
            <w:r>
              <w:rPr>
                <w:rFonts w:hint="eastAsia" w:ascii="微软雅黑" w:hAnsi="微软雅黑" w:eastAsia="微软雅黑" w:cs="微软雅黑"/>
                <w:color w:val="auto"/>
                <w:sz w:val="21"/>
                <w:szCs w:val="21"/>
                <w:highlight w:val="none"/>
                <w:lang w:val="en-US" w:eastAsia="zh-CN"/>
              </w:rPr>
              <w:t>调试</w:t>
            </w:r>
            <w:r>
              <w:rPr>
                <w:rFonts w:hint="eastAsia" w:ascii="微软雅黑" w:hAnsi="微软雅黑" w:eastAsia="微软雅黑" w:cs="微软雅黑"/>
                <w:color w:val="auto"/>
                <w:sz w:val="21"/>
                <w:szCs w:val="21"/>
                <w:highlight w:val="none"/>
              </w:rPr>
              <w:t>。</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592"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磋商报价</w:t>
            </w:r>
          </w:p>
        </w:tc>
        <w:tc>
          <w:tcPr>
            <w:tcW w:w="7814" w:type="dxa"/>
            <w:noWrap w:val="0"/>
            <w:vAlign w:val="top"/>
          </w:tcPr>
          <w:p>
            <w:pPr>
              <w:numPr>
                <w:ilvl w:val="0"/>
                <w:numId w:val="2"/>
              </w:num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最终报价包括设计费、设备货物及材料采购、施工、安装、人工费、设备设施投入、税费、保险等所有费用。</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因本项目属于设计施工一体化采购，供应商在磋商时提交的设计文件，为达到展示效果，采购人有提出修改的权利，供应商应充分考虑因各种原因可能发生的费用。因采购人原因提出的设计变更造成的工程量项目缺项的，以审计定价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592"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报价明细要求及结算价确定方式</w:t>
            </w:r>
          </w:p>
          <w:p>
            <w:pPr>
              <w:adjustRightInd w:val="0"/>
              <w:snapToGrid w:val="0"/>
              <w:spacing w:line="400" w:lineRule="exact"/>
              <w:rPr>
                <w:rFonts w:hint="eastAsia" w:ascii="微软雅黑" w:hAnsi="微软雅黑" w:eastAsia="微软雅黑" w:cs="微软雅黑"/>
                <w:color w:val="auto"/>
                <w:sz w:val="21"/>
                <w:szCs w:val="21"/>
                <w:highlight w:val="none"/>
              </w:rPr>
            </w:pPr>
          </w:p>
        </w:tc>
        <w:tc>
          <w:tcPr>
            <w:tcW w:w="7814" w:type="dxa"/>
            <w:noWrap w:val="0"/>
            <w:vAlign w:val="top"/>
          </w:tcPr>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1、各供应商应提供详细的工程量清单及报价。根据现场踏勘情况、设计文件、项目经验自行编制报价清单；</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2、设计费总价一次性包死，成交后不论设计方案如何调整，该费用均固定不变；</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3、最终结算价根据正式实施的工程量结合成交综合单价计费；</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4、由于供应商自身原因引起的工程量清单缺漏项计入其他费用中，无论其是否列明，成交后均不增加；</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5、因采购人原因提出的设计变更造成的工程量项目缺项的，以审计定价为准；</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6、供应商现场的最终报价如与初次报价不一致的，除采购文件或磋商现场确定的情形外，按以下方式确定成交单价：</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（1）设计费固定不变；</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（2）有明细清单的按同比例关系调整单价；</w:t>
            </w:r>
          </w:p>
          <w:p>
            <w:p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（3）以项、批等模糊的表述作单位名称的内容，固定不变。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5"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b/>
                <w:bCs/>
                <w:color w:val="auto"/>
                <w:sz w:val="21"/>
                <w:szCs w:val="21"/>
                <w:highlight w:val="none"/>
              </w:rPr>
              <w:t>▲付款条件</w:t>
            </w:r>
          </w:p>
        </w:tc>
        <w:tc>
          <w:tcPr>
            <w:tcW w:w="7814" w:type="dxa"/>
            <w:noWrap w:val="0"/>
            <w:vAlign w:val="center"/>
          </w:tcPr>
          <w:p>
            <w:pPr>
              <w:numPr>
                <w:ilvl w:val="0"/>
                <w:numId w:val="3"/>
              </w:numPr>
              <w:adjustRightInd w:val="0"/>
              <w:snapToGrid w:val="0"/>
              <w:spacing w:line="400" w:lineRule="exact"/>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合同签订完成后7</w:t>
            </w:r>
            <w:r>
              <w:rPr>
                <w:rFonts w:hint="eastAsia" w:ascii="微软雅黑" w:hAnsi="微软雅黑" w:eastAsia="微软雅黑" w:cs="微软雅黑"/>
                <w:color w:val="auto"/>
                <w:sz w:val="21"/>
                <w:szCs w:val="21"/>
                <w:highlight w:val="none"/>
              </w:rPr>
              <w:t>个工作日内支付合同总价的</w:t>
            </w:r>
            <w:r>
              <w:rPr>
                <w:rFonts w:hint="eastAsia" w:ascii="微软雅黑" w:hAnsi="微软雅黑" w:eastAsia="微软雅黑" w:cs="微软雅黑"/>
                <w:color w:val="auto"/>
                <w:sz w:val="21"/>
                <w:szCs w:val="21"/>
                <w:highlight w:val="none"/>
                <w:lang w:val="en-US" w:eastAsia="zh-CN"/>
              </w:rPr>
              <w:t>40</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供货安装调试完成经验收合格后支付至合同金额的70%，审计完成后支付至审定价的95%，剩余5%质保期满后支付完成</w:t>
            </w:r>
            <w:r>
              <w:rPr>
                <w:rFonts w:hint="eastAsia" w:ascii="微软雅黑" w:hAnsi="微软雅黑" w:eastAsia="微软雅黑" w:cs="微软雅黑"/>
                <w:color w:val="auto"/>
                <w:sz w:val="21"/>
                <w:szCs w:val="21"/>
                <w:highlight w:val="none"/>
              </w:rPr>
              <w:t>。</w:t>
            </w:r>
          </w:p>
          <w:p>
            <w:pPr>
              <w:numPr>
                <w:ilvl w:val="0"/>
                <w:numId w:val="3"/>
              </w:num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在签订合同时，供应商明确表示无需预付款</w:t>
            </w:r>
            <w:r>
              <w:rPr>
                <w:rFonts w:hint="eastAsia" w:ascii="微软雅黑" w:hAnsi="微软雅黑" w:eastAsia="微软雅黑" w:cs="微软雅黑"/>
                <w:color w:val="auto"/>
                <w:sz w:val="21"/>
                <w:szCs w:val="21"/>
                <w:highlight w:val="none"/>
                <w:lang w:val="en-US" w:eastAsia="zh-CN"/>
              </w:rPr>
              <w:t>时按供货安装调试完成经验收合格后支付至合同金额的70%，验收完成后支付至实际货款的95%，剩余5%质保期满后支付完成、</w:t>
            </w:r>
            <w:r>
              <w:rPr>
                <w:rFonts w:hint="eastAsia" w:ascii="微软雅黑" w:hAnsi="微软雅黑" w:eastAsia="微软雅黑" w:cs="微软雅黑"/>
                <w:color w:val="auto"/>
                <w:sz w:val="21"/>
                <w:szCs w:val="21"/>
                <w:highlight w:val="none"/>
              </w:rPr>
              <w:t>主动要求降低预付款比例的</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按实际比例支付预付款。</w:t>
            </w:r>
          </w:p>
          <w:p>
            <w:pPr>
              <w:adjustRightInd w:val="0"/>
              <w:snapToGrid w:val="0"/>
              <w:spacing w:line="400" w:lineRule="exact"/>
              <w:rPr>
                <w:rFonts w:hint="default"/>
                <w:color w:val="auto"/>
                <w:highlight w:val="none"/>
                <w:lang w:val="en-US" w:eastAsia="zh-CN"/>
              </w:rPr>
            </w:pP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上述款项支付时，成交供应商需向采购人提供正规税务发票以及采购人要求提供的资料。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5"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主要设备、附件、备品备件及耗材等要求</w:t>
            </w:r>
          </w:p>
        </w:tc>
        <w:tc>
          <w:tcPr>
            <w:tcW w:w="7814"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成交人对项目所有设备和附件（包括安装配件、材料等）需统一进行采购和配送。所有成交设备必须原包装运送到采购人指定处，原包装内均需有生产厂商标识、装箱清单、使用说明书、质保卡、联系方式等。</w:t>
            </w:r>
          </w:p>
          <w:p>
            <w:p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2、主要附件、线材、耗材等（电源线、PVC线槽、钢制盖板、电源插座、双绞线、水晶头等）应选用主流品牌。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5" w:hRule="atLeast"/>
          <w:jc w:val="center"/>
        </w:trPr>
        <w:tc>
          <w:tcPr>
            <w:tcW w:w="1592" w:type="dxa"/>
            <w:noWrap w:val="0"/>
            <w:vAlign w:val="center"/>
          </w:tcPr>
          <w:p>
            <w:pPr>
              <w:adjustRightInd w:val="0"/>
              <w:snapToGrid w:val="0"/>
              <w:spacing w:line="400" w:lineRule="exact"/>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其他</w:t>
            </w:r>
          </w:p>
        </w:tc>
        <w:tc>
          <w:tcPr>
            <w:tcW w:w="7814" w:type="dxa"/>
            <w:noWrap w:val="0"/>
            <w:vAlign w:val="center"/>
          </w:tcPr>
          <w:p>
            <w:p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1、成交人对各种型号的设备须提供足够的备件、附件和易损件并保证是原厂生产的产品，以满足设备正常运行的需要。</w:t>
            </w:r>
          </w:p>
          <w:p>
            <w:p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2、检验和维修设备及工具</w:t>
            </w:r>
          </w:p>
          <w:p>
            <w:pPr>
              <w:adjustRightInd w:val="0"/>
              <w:snapToGrid w:val="0"/>
              <w:spacing w:line="400" w:lineRule="exac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2.1须提供足够的常用检修设备与工具。推荐的检修设备须在响应文件中说明。这些设备及工具不能在安装时使用。</w:t>
            </w:r>
          </w:p>
        </w:tc>
      </w:tr>
    </w:tbl>
    <w:p>
      <w:pPr>
        <w:keepNext w:val="0"/>
        <w:keepLines w:val="0"/>
        <w:pageBreakBefore w:val="0"/>
        <w:kinsoku/>
        <w:wordWrap/>
        <w:overflowPunct/>
        <w:topLinePunct w:val="0"/>
        <w:bidi w:val="0"/>
        <w:snapToGrid/>
        <w:spacing w:line="440" w:lineRule="exact"/>
        <w:ind w:leftChars="0" w:firstLine="420" w:firstLineChars="200"/>
        <w:jc w:val="left"/>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十一、注意事项</w:t>
      </w:r>
      <w:bookmarkEnd w:id="56"/>
      <w:bookmarkEnd w:id="57"/>
    </w:p>
    <w:p>
      <w:pPr>
        <w:keepNext w:val="0"/>
        <w:keepLines w:val="0"/>
        <w:pageBreakBefore w:val="0"/>
        <w:kinsoku/>
        <w:wordWrap/>
        <w:overflowPunct/>
        <w:topLinePunct w:val="0"/>
        <w:bidi w:val="0"/>
        <w:snapToGrid/>
        <w:spacing w:line="440" w:lineRule="exact"/>
        <w:ind w:leftChars="0" w:firstLine="420" w:firstLineChars="200"/>
        <w:jc w:val="lef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1、依据《政府采购促进中小企业发展管理办法》（财库【2020】46号）规定享受扶持政策获得政府采购合同的，小微企业不得将合同分包给大中型企业，中型企业不得将合同分包给大型企业。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napToGrid/>
        <w:spacing w:line="440" w:lineRule="exact"/>
        <w:ind w:leftChars="0" w:firstLine="420" w:firstLineChars="200"/>
        <w:jc w:val="lef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为了更好地实现采购目标，磋商小组可以修改竞争性磋商文件，对采购需求、合同草案作出实质性变动，并以书面形式通知所有参加磋商的供应商。供应商收到修改采购文件的通知后，可以决定是否继续参加磋商活动。</w:t>
      </w:r>
    </w:p>
    <w:p>
      <w:pPr>
        <w:pStyle w:val="28"/>
        <w:ind w:firstLine="480" w:firstLineChars="200"/>
        <w:rPr>
          <w:rFonts w:ascii="微软雅黑" w:hAnsi="微软雅黑" w:eastAsia="微软雅黑" w:cs="微软雅黑"/>
          <w:color w:val="auto"/>
          <w:sz w:val="30"/>
          <w:szCs w:val="30"/>
          <w:highlight w:val="none"/>
        </w:rPr>
      </w:pPr>
      <w:r>
        <w:rPr>
          <w:rFonts w:hint="eastAsia" w:ascii="微软雅黑" w:hAnsi="微软雅黑" w:eastAsia="微软雅黑" w:cs="微软雅黑"/>
          <w:b w:val="0"/>
          <w:bCs w:val="0"/>
          <w:color w:val="auto"/>
          <w:sz w:val="24"/>
          <w:szCs w:val="24"/>
          <w:highlight w:val="none"/>
        </w:rPr>
        <w:br w:type="page"/>
      </w:r>
      <w:bookmarkStart w:id="62" w:name="_Toc16770378"/>
      <w:bookmarkStart w:id="63" w:name="_Toc2865"/>
      <w:r>
        <w:rPr>
          <w:rFonts w:hint="eastAsia" w:ascii="微软雅黑" w:hAnsi="微软雅黑" w:eastAsia="微软雅黑" w:cs="微软雅黑"/>
          <w:color w:val="auto"/>
          <w:sz w:val="30"/>
          <w:szCs w:val="30"/>
          <w:highlight w:val="none"/>
        </w:rPr>
        <w:t>第四章  磋商原则</w:t>
      </w:r>
      <w:bookmarkEnd w:id="52"/>
      <w:r>
        <w:rPr>
          <w:rFonts w:hint="eastAsia" w:ascii="微软雅黑" w:hAnsi="微软雅黑" w:eastAsia="微软雅黑" w:cs="微软雅黑"/>
          <w:color w:val="auto"/>
          <w:sz w:val="30"/>
          <w:szCs w:val="30"/>
          <w:highlight w:val="none"/>
        </w:rPr>
        <w:t>和程序</w:t>
      </w:r>
      <w:bookmarkEnd w:id="62"/>
      <w:bookmarkEnd w:id="63"/>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根据《中华人民共和国政府采购法》、《政府采购竞争性磋商采购方式管理暂行办法》等要求，遵循公开、公平、公正、科学、择优原则和诚实、信誉、效率的服务原则，制定本评审办法。</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bookmarkStart w:id="64" w:name="_Toc282640744"/>
      <w:bookmarkStart w:id="65" w:name="_Toc402872205"/>
      <w:bookmarkStart w:id="66" w:name="_Toc16770380"/>
      <w:r>
        <w:rPr>
          <w:rFonts w:hint="eastAsia" w:ascii="微软雅黑" w:hAnsi="微软雅黑" w:eastAsia="微软雅黑" w:cs="微软雅黑"/>
          <w:b/>
          <w:bCs/>
          <w:color w:val="auto"/>
          <w:kern w:val="2"/>
          <w:sz w:val="21"/>
          <w:szCs w:val="21"/>
          <w:highlight w:val="none"/>
        </w:rPr>
        <w:t>一、开启响应文件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 采购组织机构将按照采购文件规定的时间组织磋商、开启响应文件。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2、供应商法定代表人或法定代表人授权代表必须在线出席磋商会议。供应商因未在线出席磋商会议而导致响应文件无法按时解密等一切后果由供应商自行承担。</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3、磋商时间到，采购代理机构将向各供应商发出“电子加密响应文件”的解密通知，各供应商代表应当在接到解密通知后30分钟内自行完成“电子加密响应文件”的在线解密。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通过“政采云平台”成功上传递交的“电子加密响应文件”无法按时解密的，供应商如按规定递交了“备份响应文件”的，以“备份响应文件”为依据（由采购代理机构按“政采云平台”操作规范将“备份响应文件”上传至“政采云平台”，上传成功后，“电子加密响应文件”自动失效），否则视为响应文件撤回。</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二、磋商小组</w:t>
      </w:r>
      <w:bookmarkEnd w:id="64"/>
      <w:bookmarkEnd w:id="65"/>
      <w:bookmarkEnd w:id="66"/>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67" w:name="_Toc282640745"/>
      <w:bookmarkStart w:id="68" w:name="_Toc414960376"/>
      <w:r>
        <w:rPr>
          <w:rFonts w:hint="eastAsia" w:ascii="微软雅黑" w:hAnsi="微软雅黑" w:eastAsia="微软雅黑" w:cs="微软雅黑"/>
          <w:color w:val="auto"/>
          <w:kern w:val="2"/>
          <w:sz w:val="21"/>
          <w:szCs w:val="21"/>
          <w:highlight w:val="none"/>
        </w:rPr>
        <w:t>1、本项目磋商小组依法由3人（含）以上奇数的人员组成，磋商小组对响应文件进行审查、质疑、评估和比较。</w:t>
      </w:r>
      <w:bookmarkEnd w:id="67"/>
      <w:bookmarkEnd w:id="68"/>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2、磋商过程应严格保密，磋商小组及有关工作人员应严格遵守纪律，不得泄露任何磋商信息。</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3、磋商期间，供应商法人代表或授权委托人必须全程在线，负责解答有关事宜。</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69" w:name="_Toc402872206"/>
      <w:bookmarkStart w:id="70" w:name="_Toc16770381"/>
      <w:r>
        <w:rPr>
          <w:rFonts w:hint="eastAsia" w:ascii="微软雅黑" w:hAnsi="微软雅黑" w:eastAsia="微软雅黑" w:cs="微软雅黑"/>
          <w:color w:val="auto"/>
          <w:kern w:val="2"/>
          <w:sz w:val="21"/>
          <w:szCs w:val="21"/>
          <w:highlight w:val="none"/>
        </w:rPr>
        <w:t>三、竞争性磋商原则与方法</w:t>
      </w:r>
      <w:bookmarkEnd w:id="69"/>
      <w:bookmarkEnd w:id="70"/>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1、磋商小组将遵循公开、公平、公正的原则，对供应商提供工程、货物或服务的价格、技术性能、服务期、服务实施方案、售后服务、培训计划、公司基本情况、履约能力等进行综合分析考评。</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2、磋商小组应客观、公正的对待所有供应商，对所有响应文件评价，均采用相同的程序和标准。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3、在磋商期间，供应商不得向磋商小组成员询问磋商情况，不得进行旨在影响磋商结果的活动，否则将废除其磋商资格。</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4、在磋商过程中，磋商小组成员不得与供应商私下交换意见，在竞争性磋商工作结束后，凡与磋商情况有接触的人不得将磋商情况扩散出磋商小组成员之外。</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5、采购采购单位不向未成交供应商解释未成交原因，不退还响应文件。</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71" w:name="_Toc16770382"/>
      <w:bookmarkStart w:id="72" w:name="_Toc282640747"/>
      <w:bookmarkStart w:id="73" w:name="_Toc402872207"/>
      <w:r>
        <w:rPr>
          <w:rFonts w:hint="eastAsia" w:ascii="微软雅黑" w:hAnsi="微软雅黑" w:eastAsia="微软雅黑" w:cs="微软雅黑"/>
          <w:color w:val="auto"/>
          <w:sz w:val="21"/>
          <w:szCs w:val="21"/>
          <w:highlight w:val="none"/>
        </w:rPr>
        <w:t>四、磋商程序</w:t>
      </w:r>
      <w:bookmarkEnd w:id="71"/>
      <w:bookmarkEnd w:id="72"/>
      <w:bookmarkEnd w:id="73"/>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74" w:name="_Toc282640735"/>
      <w:bookmarkStart w:id="75" w:name="_Toc16770383"/>
      <w:bookmarkStart w:id="76" w:name="_Toc402872208"/>
      <w:r>
        <w:rPr>
          <w:rFonts w:hint="eastAsia" w:ascii="微软雅黑" w:hAnsi="微软雅黑" w:eastAsia="微软雅黑" w:cs="微软雅黑"/>
          <w:color w:val="auto"/>
          <w:kern w:val="2"/>
          <w:sz w:val="21"/>
          <w:szCs w:val="21"/>
          <w:highlight w:val="none"/>
        </w:rPr>
        <w:t>响应文件解密后，磋商小组将对依法对供应商的资格进行审查，资格审查结束后进入符合性审查和资信技术的评审工作。</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磋商小组要求供应商澄清、说明或者更正响应文件应当以书面形式作出。供应商的澄清、说明或者更正应当由法定代表人或其授权代表签字或者加盖公章。由授权代表签字的，应当附法定代表人授权书。</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磋商小组所有成员应当集中与单一供应商分别进行磋商，并给予所有参加磋商的供应商平等的磋商机会。</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对磋商文件作出的实质性变动是磋商文件的有效组成部分，磋商小组应当及时以书面形式同时通知所有参加磋商的供应商。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供应商应当按照磋商文件的变动情况和磋商小组的要求重新提交响应文件，并由其法定代表人或授权代表签字或者加盖公章。由授权代表签字的，应当附法定代表人授权书。</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最后报价是供应商响应文件的有效组成部分。初次报价不公开。</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已提交响应文件的供应商，在提交最后报价之前，可以根据磋商情况退出磋商。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根据《关于政府采购竞争性磋商采购方式管理暂行办法有关问题的补充通知》财库〔2015〕124号）以及《财政部关于印发&lt;政府采购竞争性磋商采购方式管理暂行办法&gt;的通知》（财库〔2014〕214号）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经磋商确定最终采购需求后，由磋商小组根据采购文件规定的评分办法对响应文件的技术资信部分进行评分。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磋商小组在磋商结束后，要求所有继续参加磋商的供应商在规定时间内提交最后报价。超过规定时间提交的报价无效。</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供应商在规定的时间内提交最终报价，代理机构协助计算供应商的价格得分。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采购代理机构协助磋商小组汇总计算各供应商综合得分。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应当根据综合评分情况，按照评审得分由高到低顺序推荐3名成交候选供应商，并编写评审报告。符合相关规定情形的，可以推荐2家成交候选供应商。评审得分相同的，按照最后报价由低到高的顺序推荐。评审得分且最后报价相同的，按照技术指标优劣顺序推荐。</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磋商小组通过电子交易平台向采购人及其委托的代理机构提交评审报告。同时打印纸质评审报告签署后由采购代理机构保存。</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评审结束后，代理机构通过电子交易平台或发送邮件形式向各供应商公布成交（成交）候选供应商名单，及采购人最终确定成交或成交供应商名单的时间和公告方式等。</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磋商会议结束。</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特别说明：如遇“政府采购云平台”电子化开标或评审程序调整的，按调整后程序执行。</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五、磋商文件的澄清</w:t>
      </w:r>
      <w:bookmarkEnd w:id="74"/>
      <w:bookmarkEnd w:id="75"/>
      <w:bookmarkEnd w:id="76"/>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1、供应商对磋商文件如有疑义的，应在规定的答疑时间内以书面形式告知采购人，以便及时对磋商文件作出澄清。</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2、在磋商期间，磋商小组有权要求供应商对其提交的文件资料进行澄清。供应商应派授权代表和有关专业人员在线接受询问，并对有关内容进行澄清。</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3、对在澄清中涉及到的商业秘密，磋商小组成员及参加磋商的有关工作人员负有保密责任。</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4、磋商小组以书面形式对磋商文件作出的修改或补充，与磋商文件具有同等法律效力。</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77" w:name="_Toc402872209"/>
      <w:bookmarkStart w:id="78" w:name="_Toc16770384"/>
      <w:r>
        <w:rPr>
          <w:rFonts w:hint="eastAsia" w:ascii="微软雅黑" w:hAnsi="微软雅黑" w:eastAsia="微软雅黑" w:cs="微软雅黑"/>
          <w:color w:val="auto"/>
          <w:sz w:val="21"/>
          <w:szCs w:val="21"/>
          <w:highlight w:val="none"/>
        </w:rPr>
        <w:t>六、确定供应商办法</w:t>
      </w:r>
      <w:bookmarkEnd w:id="77"/>
      <w:bookmarkEnd w:id="78"/>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bookmarkStart w:id="79" w:name="_Toc402872210"/>
      <w:bookmarkStart w:id="80" w:name="_Toc282640748"/>
      <w:bookmarkStart w:id="81" w:name="_Toc389216170"/>
      <w:r>
        <w:rPr>
          <w:rFonts w:hint="eastAsia" w:ascii="微软雅黑" w:hAnsi="微软雅黑" w:eastAsia="微软雅黑" w:cs="微软雅黑"/>
          <w:color w:val="auto"/>
          <w:kern w:val="2"/>
          <w:sz w:val="21"/>
          <w:szCs w:val="21"/>
          <w:highlight w:val="none"/>
        </w:rPr>
        <w:t>本项目由采购人确定成交供应商。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本次评审采用综合评分法，即在质量和服务均能满足竞争性磋商文件实质性要求且综合得分由高到低的原则确定成交供应商。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磋商结束后，磋商小组拟制评审报告。</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采购代理机构在评审结束后2个工作日内将评审报告交采购人确认。</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采购人在收到评审报告后5个工作日内对评审结果进行确认。</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采购人确定成交供应商后2个工作日内，采购代理机构在相关网站上发布成交公告，同时发出成交通知书。</w:t>
      </w:r>
    </w:p>
    <w:p>
      <w:pPr>
        <w:pStyle w:val="24"/>
        <w:spacing w:before="0" w:after="0" w:line="440" w:lineRule="exact"/>
        <w:ind w:firstLine="420" w:firstLineChars="200"/>
        <w:jc w:val="left"/>
        <w:rPr>
          <w:rFonts w:ascii="微软雅黑" w:hAnsi="微软雅黑" w:eastAsia="微软雅黑" w:cs="微软雅黑"/>
          <w:color w:val="auto"/>
          <w:sz w:val="21"/>
          <w:szCs w:val="21"/>
          <w:highlight w:val="none"/>
        </w:rPr>
      </w:pPr>
      <w:bookmarkStart w:id="82" w:name="_Toc16770385"/>
      <w:r>
        <w:rPr>
          <w:rFonts w:hint="eastAsia" w:ascii="微软雅黑" w:hAnsi="微软雅黑" w:eastAsia="微软雅黑" w:cs="微软雅黑"/>
          <w:color w:val="auto"/>
          <w:sz w:val="21"/>
          <w:szCs w:val="21"/>
          <w:highlight w:val="none"/>
        </w:rPr>
        <w:t>七、综合评分法</w:t>
      </w:r>
      <w:bookmarkEnd w:id="79"/>
      <w:bookmarkEnd w:id="80"/>
      <w:bookmarkEnd w:id="81"/>
      <w:bookmarkEnd w:id="82"/>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1、总则</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b/>
          <w:bCs/>
          <w:color w:val="auto"/>
          <w:kern w:val="2"/>
          <w:sz w:val="21"/>
          <w:szCs w:val="21"/>
          <w:highlight w:val="none"/>
        </w:rPr>
        <w:t>本次评标采用综合评分法，总分为100分，其中价格分</w:t>
      </w:r>
      <w:r>
        <w:rPr>
          <w:rFonts w:hint="eastAsia" w:ascii="微软雅黑" w:hAnsi="微软雅黑" w:eastAsia="微软雅黑" w:cs="微软雅黑"/>
          <w:b/>
          <w:bCs/>
          <w:color w:val="auto"/>
          <w:kern w:val="2"/>
          <w:sz w:val="21"/>
          <w:szCs w:val="21"/>
          <w:highlight w:val="none"/>
          <w:lang w:val="en-US" w:eastAsia="zh-CN"/>
        </w:rPr>
        <w:t>10</w:t>
      </w:r>
      <w:r>
        <w:rPr>
          <w:rFonts w:hint="eastAsia" w:ascii="微软雅黑" w:hAnsi="微软雅黑" w:eastAsia="微软雅黑" w:cs="微软雅黑"/>
          <w:b/>
          <w:bCs/>
          <w:color w:val="auto"/>
          <w:kern w:val="2"/>
          <w:sz w:val="21"/>
          <w:szCs w:val="21"/>
          <w:highlight w:val="none"/>
        </w:rPr>
        <w:t>分，技术商务资信分</w:t>
      </w:r>
      <w:r>
        <w:rPr>
          <w:rFonts w:hint="eastAsia" w:ascii="微软雅黑" w:hAnsi="微软雅黑" w:eastAsia="微软雅黑" w:cs="微软雅黑"/>
          <w:b/>
          <w:bCs/>
          <w:color w:val="auto"/>
          <w:kern w:val="2"/>
          <w:sz w:val="21"/>
          <w:szCs w:val="21"/>
          <w:highlight w:val="none"/>
          <w:lang w:val="en-US" w:eastAsia="zh-CN"/>
        </w:rPr>
        <w:t>90</w:t>
      </w:r>
      <w:r>
        <w:rPr>
          <w:rFonts w:hint="eastAsia" w:ascii="微软雅黑" w:hAnsi="微软雅黑" w:eastAsia="微软雅黑" w:cs="微软雅黑"/>
          <w:b/>
          <w:bCs/>
          <w:color w:val="auto"/>
          <w:kern w:val="2"/>
          <w:sz w:val="21"/>
          <w:szCs w:val="21"/>
          <w:highlight w:val="none"/>
        </w:rPr>
        <w:t>分，合格供应商的评标得分为各项目汇总得分，成交候选供应商资格按评标总分由高到低顺序排列，评标总分相同的，按照最后报价由低到高的顺序推荐。评标总分且最后报价相同的，按照技术指标优劣顺序推荐。排名第一的的供应商为成交候选人，排名第二的供应商为候补成交候选人，其他供应商的成交候选资格依此类推，评分过程中采用四舍五入法，并保留小数2位。</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2、评标内容及标准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2.1价格分（</w:t>
      </w:r>
      <w:r>
        <w:rPr>
          <w:rFonts w:hint="eastAsia" w:ascii="微软雅黑" w:hAnsi="微软雅黑" w:eastAsia="微软雅黑" w:cs="微软雅黑"/>
          <w:color w:val="auto"/>
          <w:kern w:val="2"/>
          <w:sz w:val="21"/>
          <w:szCs w:val="21"/>
          <w:highlight w:val="none"/>
          <w:lang w:val="en-US" w:eastAsia="zh-CN"/>
        </w:rPr>
        <w:t>10</w:t>
      </w:r>
      <w:r>
        <w:rPr>
          <w:rFonts w:hint="eastAsia" w:ascii="微软雅黑" w:hAnsi="微软雅黑" w:eastAsia="微软雅黑" w:cs="微软雅黑"/>
          <w:color w:val="auto"/>
          <w:kern w:val="2"/>
          <w:sz w:val="21"/>
          <w:szCs w:val="21"/>
          <w:highlight w:val="none"/>
        </w:rPr>
        <w:t>分）</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color w:val="auto"/>
          <w:kern w:val="2"/>
          <w:sz w:val="21"/>
          <w:szCs w:val="21"/>
          <w:highlight w:val="none"/>
        </w:rPr>
        <w:t>根据财库〔2014〕214号关于印发《政府采购竞争性磋商采购方式管理暂行办法》的通知，</w:t>
      </w:r>
      <w:r>
        <w:rPr>
          <w:rFonts w:hint="eastAsia" w:ascii="微软雅黑" w:hAnsi="微软雅黑" w:eastAsia="微软雅黑" w:cs="微软雅黑"/>
          <w:b/>
          <w:bCs/>
          <w:color w:val="auto"/>
          <w:kern w:val="2"/>
          <w:sz w:val="21"/>
          <w:szCs w:val="21"/>
          <w:highlight w:val="none"/>
        </w:rPr>
        <w:t>本项目价格分评分：</w:t>
      </w:r>
      <w:bookmarkStart w:id="83" w:name="_Hlk45549156"/>
      <w:r>
        <w:rPr>
          <w:rFonts w:hint="eastAsia" w:ascii="微软雅黑" w:hAnsi="微软雅黑" w:eastAsia="微软雅黑" w:cs="微软雅黑"/>
          <w:b/>
          <w:bCs/>
          <w:color w:val="auto"/>
          <w:kern w:val="2"/>
          <w:sz w:val="21"/>
          <w:szCs w:val="21"/>
          <w:highlight w:val="none"/>
        </w:rPr>
        <w:t>1、价格分采用低价优先法计算，即满足磋商文件要求且响应报价最低的价格为评标基准价，其他供应商的价格分按照下列公式计算：</w:t>
      </w:r>
    </w:p>
    <w:p>
      <w:pPr>
        <w:pStyle w:val="13"/>
        <w:snapToGrid w:val="0"/>
        <w:spacing w:line="440" w:lineRule="exact"/>
        <w:ind w:firstLine="420" w:firstLineChars="200"/>
        <w:rPr>
          <w:rFonts w:ascii="微软雅黑" w:hAnsi="微软雅黑" w:eastAsia="微软雅黑" w:cs="微软雅黑"/>
          <w:b/>
          <w:bCs/>
          <w:color w:val="auto"/>
          <w:kern w:val="2"/>
          <w:sz w:val="21"/>
          <w:szCs w:val="21"/>
          <w:highlight w:val="none"/>
        </w:rPr>
      </w:pPr>
      <w:r>
        <w:rPr>
          <w:rFonts w:hint="eastAsia" w:ascii="微软雅黑" w:hAnsi="微软雅黑" w:eastAsia="微软雅黑" w:cs="微软雅黑"/>
          <w:b/>
          <w:bCs/>
          <w:color w:val="auto"/>
          <w:kern w:val="2"/>
          <w:sz w:val="21"/>
          <w:szCs w:val="21"/>
          <w:highlight w:val="none"/>
        </w:rPr>
        <w:t>其他供应商的价格分=</w:t>
      </w:r>
      <w:bookmarkEnd w:id="83"/>
      <w:r>
        <w:rPr>
          <w:rFonts w:hint="eastAsia" w:ascii="微软雅黑" w:hAnsi="微软雅黑" w:eastAsia="微软雅黑" w:cs="微软雅黑"/>
          <w:b/>
          <w:bCs/>
          <w:color w:val="auto"/>
          <w:kern w:val="2"/>
          <w:sz w:val="21"/>
          <w:szCs w:val="21"/>
          <w:highlight w:val="none"/>
        </w:rPr>
        <w:t>（评标基准价/磋商响应报价）×</w:t>
      </w:r>
      <w:r>
        <w:rPr>
          <w:rFonts w:hint="eastAsia" w:ascii="微软雅黑" w:hAnsi="微软雅黑" w:eastAsia="微软雅黑" w:cs="微软雅黑"/>
          <w:b/>
          <w:bCs/>
          <w:color w:val="auto"/>
          <w:kern w:val="2"/>
          <w:sz w:val="21"/>
          <w:szCs w:val="21"/>
          <w:highlight w:val="none"/>
          <w:lang w:val="en-US" w:eastAsia="zh-CN"/>
        </w:rPr>
        <w:t>10</w:t>
      </w:r>
      <w:r>
        <w:rPr>
          <w:rFonts w:hint="eastAsia" w:ascii="微软雅黑" w:hAnsi="微软雅黑" w:eastAsia="微软雅黑" w:cs="微软雅黑"/>
          <w:b/>
          <w:bCs/>
          <w:color w:val="auto"/>
          <w:kern w:val="2"/>
          <w:sz w:val="21"/>
          <w:szCs w:val="21"/>
          <w:highlight w:val="none"/>
        </w:rPr>
        <w:t>%×100</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b/>
          <w:bCs/>
          <w:color w:val="auto"/>
          <w:kern w:val="2"/>
          <w:sz w:val="21"/>
          <w:szCs w:val="21"/>
          <w:highlight w:val="none"/>
        </w:rPr>
        <w:t>供应商未按照上述规定报价的，响应文件无效。</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评标委员会认为响应单位的报价明显低于其他通过符合性审查响应单位的报价，有可能影响产品质量或者不能诚信履约的，应当要求其在评标现场合理的时间内提供书面说明，必要时提交相关证明材料；响应单位不能证明其报价合理性的，评标委员会应当将其作为无效响应处理。</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2.2 中小企业政策执行：</w:t>
      </w:r>
    </w:p>
    <w:p>
      <w:pPr>
        <w:pStyle w:val="13"/>
        <w:snapToGrid w:val="0"/>
        <w:spacing w:line="440" w:lineRule="exact"/>
        <w:ind w:firstLine="420" w:firstLineChars="20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根据工信部等部委发布的《关于印发中小企业划型标准规定的通知》（工信部联企业〔2011〕300号），根据具体品目确定相应标准。为本项目提供服务的企业按照《关于印发中小企业划型标准规定的通知》（工信部联企业〔2011〕300 号）的所属行业分类为建筑业或其他未列明行业。</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①根据财政部、工业和信息化部发布的《政府采购促进中小企业发展管理办法》【财库（2020）46号】规定，对于经主管预算单位统筹后未预留份额专门面向中小企业采购的采购项目，以及预留份额项目中的非预留部分采购包，采购人、采购代理机构应当对符合本办法规定的小微企业报价给予</w:t>
      </w:r>
      <w:r>
        <w:rPr>
          <w:rFonts w:hint="eastAsia" w:ascii="微软雅黑" w:hAnsi="微软雅黑" w:eastAsia="微软雅黑" w:cs="微软雅黑"/>
          <w:color w:val="auto"/>
          <w:sz w:val="21"/>
          <w:szCs w:val="21"/>
          <w:highlight w:val="none"/>
          <w:lang w:val="en-US" w:eastAsia="zh-CN"/>
        </w:rPr>
        <w:t>20</w:t>
      </w:r>
      <w:r>
        <w:rPr>
          <w:rFonts w:hint="eastAsia" w:ascii="微软雅黑" w:hAnsi="微软雅黑" w:eastAsia="微软雅黑" w:cs="微软雅黑"/>
          <w:color w:val="auto"/>
          <w:sz w:val="21"/>
          <w:szCs w:val="21"/>
          <w:highlight w:val="none"/>
        </w:rPr>
        <w:t>%的扣除，用扣除后的价格参加评审。</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w:t>
      </w:r>
      <w:r>
        <w:rPr>
          <w:rFonts w:hint="eastAsia" w:ascii="微软雅黑" w:hAnsi="微软雅黑" w:eastAsia="微软雅黑" w:cs="微软雅黑"/>
          <w:color w:val="auto"/>
          <w:sz w:val="21"/>
          <w:szCs w:val="21"/>
          <w:highlight w:val="none"/>
          <w:lang w:val="en-US" w:eastAsia="zh-CN"/>
        </w:rPr>
        <w:t>6</w:t>
      </w:r>
      <w:r>
        <w:rPr>
          <w:rFonts w:hint="eastAsia" w:ascii="微软雅黑" w:hAnsi="微软雅黑" w:eastAsia="微软雅黑" w:cs="微软雅黑"/>
          <w:color w:val="auto"/>
          <w:sz w:val="21"/>
          <w:szCs w:val="21"/>
          <w:highlight w:val="none"/>
        </w:rPr>
        <w:t>%的扣除，用扣除后的价格参加评审。</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组成联合体或者接受分包的小微企业与联合体内其他企业、分包企业之间存在直接控股、管理关系的，不享受价格扣除优惠政策。</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以联合体形式参加政府采购活动，联合体各方均为中小企业的，联合体视同中小企业。其中，联合体各方均为小微企业的，联合体视同小微企业。</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投标文件中须同时出具《政府采购促进中小企业发展管理办法》【财库（2020）46号】规定的《中小企业声明函》，否则不得享受价格扣除。</w:t>
      </w:r>
    </w:p>
    <w:p>
      <w:pPr>
        <w:spacing w:line="440" w:lineRule="exact"/>
        <w:ind w:firstLine="420" w:firstLineChars="200"/>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本项目为专门面向中小企业采购项目，不再执行价格评审优惠的扶持政策。</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②监狱企业视同小微企业，参加本项目投标的，享受小微企业同等的价格扣除。【注：提供《监狱企业声明函》】。</w:t>
      </w:r>
    </w:p>
    <w:p>
      <w:pPr>
        <w:spacing w:line="44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③残疾人福利性单位参加投标【提供《残疾人福利性单位声明函》】，视为小型、微型企业，享受小微企业政策扶持。</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2.2技术分、商务资信分，共</w:t>
      </w:r>
      <w:r>
        <w:rPr>
          <w:rFonts w:hint="eastAsia" w:ascii="微软雅黑" w:hAnsi="微软雅黑" w:eastAsia="微软雅黑" w:cs="微软雅黑"/>
          <w:color w:val="auto"/>
          <w:kern w:val="2"/>
          <w:sz w:val="21"/>
          <w:szCs w:val="21"/>
          <w:highlight w:val="none"/>
          <w:lang w:val="en-US" w:eastAsia="zh-CN"/>
        </w:rPr>
        <w:t>90</w:t>
      </w:r>
      <w:r>
        <w:rPr>
          <w:rFonts w:hint="eastAsia" w:ascii="微软雅黑" w:hAnsi="微软雅黑" w:eastAsia="微软雅黑" w:cs="微软雅黑"/>
          <w:color w:val="auto"/>
          <w:kern w:val="2"/>
          <w:sz w:val="21"/>
          <w:szCs w:val="21"/>
          <w:highlight w:val="none"/>
        </w:rPr>
        <w:t>分。</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确定进入报价评审的响应人。有效响应人不足3名时由评标委员会视情而定。</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2.3技术、商务资信分的计算</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技术、商务资信分按照评标委员会成员的独立评分结果汇总数算术平均分计算，计算公式为：</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技术、商务资信分=评标委员会成员评分合计数/评标委员会组成人员数。</w:t>
      </w:r>
    </w:p>
    <w:p>
      <w:pPr>
        <w:pStyle w:val="13"/>
        <w:snapToGrid w:val="0"/>
        <w:spacing w:line="440" w:lineRule="exact"/>
        <w:ind w:firstLine="420" w:firstLineChars="200"/>
        <w:rPr>
          <w:rFonts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响应报价超出采购预算的，其磋商响应无效。</w:t>
      </w:r>
    </w:p>
    <w:p>
      <w:pPr>
        <w:spacing w:line="440" w:lineRule="exact"/>
        <w:rPr>
          <w:rFonts w:ascii="微软雅黑" w:hAnsi="微软雅黑" w:eastAsia="微软雅黑" w:cs="微软雅黑"/>
          <w:b/>
          <w:bCs/>
          <w:color w:val="auto"/>
          <w:szCs w:val="21"/>
          <w:highlight w:val="none"/>
        </w:rPr>
      </w:pPr>
      <w:r>
        <w:rPr>
          <w:rFonts w:hint="eastAsia" w:ascii="微软雅黑" w:hAnsi="微软雅黑" w:eastAsia="微软雅黑" w:cs="微软雅黑"/>
          <w:b/>
          <w:color w:val="auto"/>
          <w:szCs w:val="21"/>
          <w:highlight w:val="none"/>
        </w:rPr>
        <w:t>附件：评分表格式（技术、商务、资信及其他分，共</w:t>
      </w:r>
      <w:r>
        <w:rPr>
          <w:rFonts w:hint="eastAsia" w:ascii="微软雅黑" w:hAnsi="微软雅黑" w:eastAsia="微软雅黑" w:cs="微软雅黑"/>
          <w:b/>
          <w:color w:val="auto"/>
          <w:szCs w:val="21"/>
          <w:highlight w:val="none"/>
          <w:lang w:val="en-US" w:eastAsia="zh-CN"/>
        </w:rPr>
        <w:t>90</w:t>
      </w:r>
      <w:r>
        <w:rPr>
          <w:rFonts w:hint="eastAsia" w:ascii="微软雅黑" w:hAnsi="微软雅黑" w:eastAsia="微软雅黑" w:cs="微软雅黑"/>
          <w:b/>
          <w:color w:val="auto"/>
          <w:szCs w:val="21"/>
          <w:highlight w:val="none"/>
        </w:rPr>
        <w:t>分）</w:t>
      </w:r>
      <w:bookmarkEnd w:id="53"/>
      <w:bookmarkStart w:id="84" w:name="_Toc152043787"/>
      <w:bookmarkStart w:id="85" w:name="_Toc410379360"/>
    </w:p>
    <w:tbl>
      <w:tblPr>
        <w:tblStyle w:val="30"/>
        <w:tblW w:w="4991"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826"/>
        <w:gridCol w:w="599"/>
        <w:gridCol w:w="964"/>
        <w:gridCol w:w="809"/>
        <w:gridCol w:w="649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b/>
                <w:bCs/>
                <w:snapToGrid w:val="0"/>
                <w:color w:val="auto"/>
                <w:sz w:val="21"/>
                <w:szCs w:val="21"/>
                <w:highlight w:val="none"/>
              </w:rPr>
            </w:pPr>
            <w:r>
              <w:rPr>
                <w:rFonts w:hint="eastAsia" w:ascii="微软雅黑" w:hAnsi="微软雅黑" w:eastAsia="微软雅黑" w:cs="微软雅黑"/>
                <w:b/>
                <w:bCs/>
                <w:snapToGrid w:val="0"/>
                <w:color w:val="auto"/>
                <w:sz w:val="21"/>
                <w:szCs w:val="21"/>
                <w:highlight w:val="none"/>
              </w:rPr>
              <w:t>序号</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b/>
                <w:bCs/>
                <w:snapToGrid w:val="0"/>
                <w:color w:val="auto"/>
                <w:sz w:val="21"/>
                <w:szCs w:val="21"/>
                <w:highlight w:val="none"/>
              </w:rPr>
            </w:pPr>
            <w:r>
              <w:rPr>
                <w:rFonts w:hint="eastAsia" w:ascii="微软雅黑" w:hAnsi="微软雅黑" w:eastAsia="微软雅黑" w:cs="微软雅黑"/>
                <w:b/>
                <w:bCs/>
                <w:color w:val="auto"/>
                <w:sz w:val="21"/>
                <w:szCs w:val="21"/>
                <w:highlight w:val="none"/>
              </w:rPr>
              <w:t>评分项目</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b/>
                <w:bCs/>
                <w:snapToGrid w:val="0"/>
                <w:color w:val="auto"/>
                <w:sz w:val="21"/>
                <w:szCs w:val="21"/>
                <w:highlight w:val="none"/>
              </w:rPr>
            </w:pPr>
            <w:r>
              <w:rPr>
                <w:rFonts w:hint="eastAsia" w:ascii="微软雅黑" w:hAnsi="微软雅黑" w:eastAsia="微软雅黑" w:cs="微软雅黑"/>
                <w:b/>
                <w:bCs/>
                <w:color w:val="auto"/>
                <w:sz w:val="21"/>
                <w:szCs w:val="21"/>
                <w:highlight w:val="none"/>
              </w:rPr>
              <w:t>分值</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b/>
                <w:bCs/>
                <w:snapToGrid w:val="0"/>
                <w:color w:val="auto"/>
                <w:sz w:val="21"/>
                <w:szCs w:val="21"/>
                <w:highlight w:val="none"/>
              </w:rPr>
            </w:pPr>
            <w:r>
              <w:rPr>
                <w:rFonts w:hint="eastAsia" w:ascii="微软雅黑" w:hAnsi="微软雅黑" w:eastAsia="微软雅黑" w:cs="微软雅黑"/>
                <w:b/>
                <w:bCs/>
                <w:color w:val="auto"/>
                <w:sz w:val="21"/>
                <w:szCs w:val="21"/>
                <w:highlight w:val="none"/>
              </w:rPr>
              <w:t>评分标准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r>
              <w:rPr>
                <w:rFonts w:hint="eastAsia" w:ascii="微软雅黑" w:hAnsi="微软雅黑" w:eastAsia="微软雅黑" w:cs="微软雅黑"/>
                <w:snapToGrid w:val="0"/>
                <w:color w:val="auto"/>
                <w:sz w:val="21"/>
                <w:szCs w:val="21"/>
                <w:highlight w:val="none"/>
              </w:rPr>
              <w:t>1</w:t>
            </w:r>
          </w:p>
        </w:tc>
        <w:tc>
          <w:tcPr>
            <w:tcW w:w="309"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方案设计</w:t>
            </w:r>
          </w:p>
        </w:tc>
        <w:tc>
          <w:tcPr>
            <w:tcW w:w="49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对本项目的理解和总体设计思路</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20</w:t>
            </w:r>
          </w:p>
        </w:tc>
        <w:tc>
          <w:tcPr>
            <w:tcW w:w="3349" w:type="pct"/>
            <w:tcBorders>
              <w:tl2br w:val="nil"/>
              <w:tr2bl w:val="nil"/>
            </w:tcBorders>
            <w:noWrap w:val="0"/>
            <w:vAlign w:val="center"/>
          </w:tcPr>
          <w:p>
            <w:pPr>
              <w:pStyle w:val="13"/>
              <w:keepNext w:val="0"/>
              <w:keepLines w:val="0"/>
              <w:pageBreakBefore w:val="0"/>
              <w:kinsoku/>
              <w:wordWrap/>
              <w:overflowPunct/>
              <w:topLinePunct w:val="0"/>
              <w:autoSpaceDE/>
              <w:autoSpaceDN/>
              <w:bidi w:val="0"/>
              <w:snapToGrid w:val="0"/>
              <w:spacing w:line="360" w:lineRule="exact"/>
              <w:ind w:left="0" w:leftChars="0" w:firstLine="0" w:firstLineChars="0"/>
              <w:textAlignment w:val="auto"/>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lang w:val="en-US" w:eastAsia="zh-CN"/>
              </w:rPr>
              <w:t>1、</w:t>
            </w:r>
            <w:r>
              <w:rPr>
                <w:rFonts w:hint="eastAsia" w:ascii="微软雅黑" w:hAnsi="微软雅黑" w:eastAsia="微软雅黑" w:cs="微软雅黑"/>
                <w:color w:val="auto"/>
                <w:kern w:val="2"/>
                <w:sz w:val="21"/>
                <w:szCs w:val="21"/>
                <w:highlight w:val="none"/>
              </w:rPr>
              <w:t>现状分析，包括相关背景解读，项目区位与现状场地分析：分析具体、详细、到位，并提出深刻且合理的解读的得7-10分；分析比较具体、详细、到位、解读比较合理4-6（含）分；分析不够具体、详细、到位，解读不够合理的得1-3（含）分。不提供不得分。</w:t>
            </w:r>
          </w:p>
          <w:p>
            <w:pPr>
              <w:pStyle w:val="13"/>
              <w:keepNext w:val="0"/>
              <w:keepLines w:val="0"/>
              <w:pageBreakBefore w:val="0"/>
              <w:kinsoku/>
              <w:wordWrap/>
              <w:overflowPunct/>
              <w:topLinePunct w:val="0"/>
              <w:autoSpaceDE/>
              <w:autoSpaceDN/>
              <w:bidi w:val="0"/>
              <w:snapToGrid w:val="0"/>
              <w:spacing w:line="360" w:lineRule="exact"/>
              <w:ind w:left="0" w:leftChars="0" w:firstLine="0" w:firstLineChars="0"/>
              <w:textAlignment w:val="auto"/>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lang w:val="en-US" w:eastAsia="zh-CN"/>
              </w:rPr>
              <w:t>2、</w:t>
            </w:r>
            <w:r>
              <w:rPr>
                <w:rFonts w:hint="eastAsia" w:ascii="微软雅黑" w:hAnsi="微软雅黑" w:eastAsia="微软雅黑" w:cs="微软雅黑"/>
                <w:color w:val="auto"/>
                <w:kern w:val="2"/>
                <w:sz w:val="21"/>
                <w:szCs w:val="21"/>
                <w:highlight w:val="none"/>
              </w:rPr>
              <w:t>目标定位，包括：通过相关案例分析，结合规划研究；总体定位等：思路清晰，理解深刻，有独到见解，针对性强，立意新，符合规划要求的得7-10分；总体思路较清晰，理解较深刻，基本符合招标人要求的得4-6（含）分；内容较为简洁且无法与项目相关联的得1-4（含）分。不提供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p>
        </w:tc>
        <w:tc>
          <w:tcPr>
            <w:tcW w:w="3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96"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设计方案</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8</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明确工程概况，确定本项目解决方案，符合实际，有特色，对项目建设核心需求的理解明了6-8分；对工程概况、核心需求把握不准、设计概念模糊，但符合实际，对项目建设核心需求的理解一般得3-5分。对工程概况、核心需求等概念模糊设计方案与项目需求不吻合的得1-2分，不提供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53" w:hRule="atLeast"/>
          <w:jc w:val="center"/>
        </w:trPr>
        <w:tc>
          <w:tcPr>
            <w:tcW w:w="42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p>
        </w:tc>
        <w:tc>
          <w:tcPr>
            <w:tcW w:w="3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9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10</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设计方案充分考虑公园与周边自然景物充分结合</w:t>
            </w:r>
            <w:r>
              <w:rPr>
                <w:rFonts w:hint="eastAsia" w:ascii="微软雅黑" w:hAnsi="微软雅黑" w:eastAsia="微软雅黑" w:cs="微软雅黑"/>
                <w:color w:val="auto"/>
                <w:sz w:val="21"/>
                <w:szCs w:val="21"/>
                <w:highlight w:val="none"/>
                <w:lang w:eastAsia="zh-CN"/>
              </w:rPr>
              <w:t>，提升公园整体的视觉感官</w:t>
            </w:r>
            <w:r>
              <w:rPr>
                <w:rFonts w:hint="eastAsia" w:ascii="微软雅黑" w:hAnsi="微软雅黑" w:eastAsia="微软雅黑" w:cs="微软雅黑"/>
                <w:color w:val="auto"/>
                <w:sz w:val="21"/>
                <w:szCs w:val="21"/>
                <w:highlight w:val="none"/>
              </w:rPr>
              <w:t>、理念新颖、可实施性强，设计有特色，视觉美观</w:t>
            </w:r>
            <w:r>
              <w:rPr>
                <w:rFonts w:hint="eastAsia" w:ascii="微软雅黑" w:hAnsi="微软雅黑" w:eastAsia="微软雅黑" w:cs="微软雅黑"/>
                <w:color w:val="auto"/>
                <w:sz w:val="21"/>
                <w:szCs w:val="21"/>
                <w:highlight w:val="none"/>
                <w:lang w:val="en-US" w:eastAsia="zh-CN"/>
              </w:rPr>
              <w:t>得7-10分</w:t>
            </w:r>
            <w:r>
              <w:rPr>
                <w:rFonts w:hint="eastAsia" w:ascii="微软雅黑" w:hAnsi="微软雅黑" w:eastAsia="微软雅黑" w:cs="微软雅黑"/>
                <w:color w:val="auto"/>
                <w:sz w:val="21"/>
                <w:szCs w:val="21"/>
                <w:highlight w:val="none"/>
              </w:rPr>
              <w:t>，方案符合地方实际，</w:t>
            </w:r>
            <w:r>
              <w:rPr>
                <w:rFonts w:hint="eastAsia" w:ascii="微软雅黑" w:hAnsi="微软雅黑" w:eastAsia="微软雅黑" w:cs="微软雅黑"/>
                <w:color w:val="auto"/>
                <w:sz w:val="21"/>
                <w:szCs w:val="21"/>
                <w:highlight w:val="none"/>
                <w:lang w:val="en-US" w:eastAsia="zh-CN"/>
              </w:rPr>
              <w:t>设计方案简洁、大方的4-6</w:t>
            </w:r>
            <w:r>
              <w:rPr>
                <w:rFonts w:hint="eastAsia" w:ascii="微软雅黑" w:hAnsi="微软雅黑" w:eastAsia="微软雅黑" w:cs="微软雅黑"/>
                <w:color w:val="auto"/>
                <w:sz w:val="21"/>
                <w:szCs w:val="21"/>
                <w:highlight w:val="none"/>
              </w:rPr>
              <w:t>分；</w:t>
            </w:r>
            <w:r>
              <w:rPr>
                <w:rFonts w:hint="eastAsia" w:ascii="微软雅黑" w:hAnsi="微软雅黑" w:eastAsia="微软雅黑" w:cs="微软雅黑"/>
                <w:color w:val="auto"/>
                <w:sz w:val="21"/>
                <w:szCs w:val="21"/>
                <w:highlight w:val="none"/>
                <w:lang w:val="en-US" w:eastAsia="zh-CN"/>
              </w:rPr>
              <w:t>有提供设计方案，但</w:t>
            </w:r>
            <w:r>
              <w:rPr>
                <w:rFonts w:hint="eastAsia" w:ascii="微软雅黑" w:hAnsi="微软雅黑" w:eastAsia="微软雅黑" w:cs="微软雅黑"/>
                <w:color w:val="auto"/>
                <w:sz w:val="21"/>
                <w:szCs w:val="21"/>
                <w:highlight w:val="none"/>
              </w:rPr>
              <w:t>考虑不够充分，有欠缺1-</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分。不提供不得分。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p>
        </w:tc>
        <w:tc>
          <w:tcPr>
            <w:tcW w:w="3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9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6</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color w:val="auto"/>
                <w:highlight w:val="none"/>
                <w:lang w:val="en-US" w:eastAsia="zh-CN"/>
              </w:rPr>
            </w:pPr>
            <w:r>
              <w:rPr>
                <w:rFonts w:hint="default" w:ascii="微软雅黑" w:hAnsi="微软雅黑" w:eastAsia="微软雅黑" w:cs="微软雅黑"/>
                <w:color w:val="auto"/>
                <w:sz w:val="21"/>
                <w:szCs w:val="21"/>
                <w:highlight w:val="none"/>
                <w:lang w:val="en-US" w:eastAsia="zh-CN"/>
              </w:rPr>
              <w:t>结合实调情况，对施工点位完成现场勘查，提供设计图纸和效果图。设计内容满足项目需求，完整的执行相关设计规范的要求</w:t>
            </w:r>
            <w:r>
              <w:rPr>
                <w:rFonts w:hint="eastAsia" w:ascii="微软雅黑" w:hAnsi="微软雅黑" w:eastAsia="微软雅黑" w:cs="微软雅黑"/>
                <w:color w:val="auto"/>
                <w:sz w:val="21"/>
                <w:szCs w:val="21"/>
                <w:highlight w:val="none"/>
                <w:lang w:val="en-US" w:eastAsia="zh-CN"/>
              </w:rPr>
              <w:t>、</w:t>
            </w:r>
            <w:r>
              <w:rPr>
                <w:rFonts w:hint="default" w:ascii="微软雅黑" w:hAnsi="微软雅黑" w:eastAsia="微软雅黑" w:cs="微软雅黑"/>
                <w:color w:val="auto"/>
                <w:sz w:val="21"/>
                <w:szCs w:val="21"/>
                <w:highlight w:val="none"/>
                <w:lang w:val="en-US" w:eastAsia="zh-CN"/>
              </w:rPr>
              <w:t>图纸能充分展现</w:t>
            </w:r>
            <w:r>
              <w:rPr>
                <w:rFonts w:hint="eastAsia" w:ascii="微软雅黑" w:hAnsi="微软雅黑" w:eastAsia="微软雅黑" w:cs="微软雅黑"/>
                <w:color w:val="auto"/>
                <w:sz w:val="21"/>
                <w:szCs w:val="21"/>
                <w:highlight w:val="none"/>
                <w:lang w:val="en-US" w:eastAsia="zh-CN"/>
              </w:rPr>
              <w:t>各</w:t>
            </w:r>
            <w:r>
              <w:rPr>
                <w:rFonts w:hint="default" w:ascii="微软雅黑" w:hAnsi="微软雅黑" w:eastAsia="微软雅黑" w:cs="微软雅黑"/>
                <w:color w:val="auto"/>
                <w:sz w:val="21"/>
                <w:szCs w:val="21"/>
                <w:highlight w:val="none"/>
                <w:lang w:val="en-US" w:eastAsia="zh-CN"/>
              </w:rPr>
              <w:t>区域内设计要求和效果</w:t>
            </w:r>
            <w:r>
              <w:rPr>
                <w:rFonts w:hint="eastAsia" w:ascii="微软雅黑" w:hAnsi="微软雅黑" w:eastAsia="微软雅黑" w:cs="微软雅黑"/>
                <w:color w:val="auto"/>
                <w:sz w:val="21"/>
                <w:szCs w:val="21"/>
                <w:highlight w:val="none"/>
                <w:lang w:val="en-US" w:eastAsia="zh-CN"/>
              </w:rPr>
              <w:t>的、</w:t>
            </w:r>
            <w:r>
              <w:rPr>
                <w:rFonts w:hint="default" w:ascii="微软雅黑" w:hAnsi="微软雅黑" w:eastAsia="微软雅黑" w:cs="微软雅黑"/>
                <w:color w:val="auto"/>
                <w:sz w:val="21"/>
                <w:szCs w:val="21"/>
                <w:highlight w:val="none"/>
                <w:lang w:val="en-US" w:eastAsia="zh-CN"/>
              </w:rPr>
              <w:t>设计图纸及节点图内容明确、完善且完整</w:t>
            </w:r>
            <w:r>
              <w:rPr>
                <w:rFonts w:hint="eastAsia" w:ascii="微软雅黑" w:hAnsi="微软雅黑" w:eastAsia="微软雅黑" w:cs="微软雅黑"/>
                <w:color w:val="auto"/>
                <w:sz w:val="21"/>
                <w:szCs w:val="21"/>
                <w:highlight w:val="none"/>
                <w:lang w:val="en-US" w:eastAsia="zh-CN"/>
              </w:rPr>
              <w:t>得4-6分，完成现场勘察，提供设计图纸和效果图，设计内容满足项目需求，但方案相对简单，区域效果展示不完整，方案有缺失的得1-3分</w:t>
            </w:r>
            <w:r>
              <w:rPr>
                <w:rFonts w:hint="default" w:ascii="微软雅黑" w:hAnsi="微软雅黑" w:eastAsia="微软雅黑" w:cs="微软雅黑"/>
                <w:color w:val="auto"/>
                <w:sz w:val="21"/>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42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p>
        </w:tc>
        <w:tc>
          <w:tcPr>
            <w:tcW w:w="3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96"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4</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asciiTheme="minorHAnsi" w:hAnsiTheme="minorHAnsi" w:eastAsiaTheme="minorEastAsia" w:cstheme="minorBidi"/>
                <w:color w:val="auto"/>
                <w:kern w:val="2"/>
                <w:sz w:val="21"/>
                <w:szCs w:val="24"/>
                <w:highlight w:val="none"/>
                <w:lang w:val="en-US" w:eastAsia="zh-CN" w:bidi="ar-SA"/>
              </w:rPr>
            </w:pPr>
            <w:r>
              <w:rPr>
                <w:rFonts w:hint="eastAsia" w:ascii="微软雅黑" w:hAnsi="微软雅黑" w:eastAsia="微软雅黑" w:cs="微软雅黑"/>
                <w:color w:val="auto"/>
                <w:sz w:val="21"/>
                <w:szCs w:val="21"/>
                <w:highlight w:val="none"/>
                <w:lang w:val="en-US" w:eastAsia="zh-CN"/>
              </w:rPr>
              <w:t>设计方案充分考虑预留空间的得2分，设计方案能满足本项目需求且能兼顾经济效益的得2分，提供佐证资料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r>
              <w:rPr>
                <w:rFonts w:hint="eastAsia" w:ascii="微软雅黑" w:hAnsi="微软雅黑" w:eastAsia="微软雅黑" w:cs="微软雅黑"/>
                <w:snapToGrid w:val="0"/>
                <w:color w:val="auto"/>
                <w:sz w:val="21"/>
                <w:szCs w:val="21"/>
                <w:highlight w:val="none"/>
              </w:rPr>
              <w:t>2</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项目实施方案</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10</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1、根据供应商提供的针对本项的实施方案与技术措施</w:t>
            </w:r>
            <w:r>
              <w:rPr>
                <w:rFonts w:hint="eastAsia" w:ascii="微软雅黑" w:hAnsi="微软雅黑" w:eastAsia="微软雅黑" w:cs="微软雅黑"/>
                <w:color w:val="auto"/>
                <w:sz w:val="21"/>
                <w:szCs w:val="21"/>
                <w:highlight w:val="none"/>
                <w:lang w:val="en-US" w:eastAsia="zh-CN"/>
              </w:rPr>
              <w:t>评议，供应商提供的实施方案与技术措施有详细、具体、明确</w:t>
            </w:r>
            <w:r>
              <w:rPr>
                <w:rFonts w:hint="eastAsia" w:ascii="微软雅黑" w:hAnsi="微软雅黑" w:eastAsia="微软雅黑" w:cs="微软雅黑"/>
                <w:color w:val="auto"/>
                <w:sz w:val="21"/>
                <w:szCs w:val="21"/>
                <w:highlight w:val="none"/>
              </w:rPr>
              <w:t>流程、目标</w:t>
            </w:r>
            <w:r>
              <w:rPr>
                <w:rFonts w:hint="eastAsia" w:ascii="微软雅黑" w:hAnsi="微软雅黑" w:eastAsia="微软雅黑" w:cs="微软雅黑"/>
                <w:color w:val="auto"/>
                <w:sz w:val="21"/>
                <w:szCs w:val="21"/>
                <w:highlight w:val="none"/>
                <w:lang w:val="en-US" w:eastAsia="zh-CN"/>
              </w:rPr>
              <w:t>，</w:t>
            </w:r>
            <w:r>
              <w:rPr>
                <w:rFonts w:hint="eastAsia" w:ascii="微软雅黑" w:hAnsi="微软雅黑" w:eastAsia="微软雅黑" w:cs="微软雅黑"/>
                <w:color w:val="auto"/>
                <w:sz w:val="21"/>
                <w:szCs w:val="21"/>
                <w:highlight w:val="none"/>
              </w:rPr>
              <w:t>并具有严谨的组织机构、</w:t>
            </w:r>
            <w:r>
              <w:rPr>
                <w:rFonts w:hint="eastAsia" w:ascii="微软雅黑" w:hAnsi="微软雅黑" w:eastAsia="微软雅黑" w:cs="微软雅黑"/>
                <w:color w:val="auto"/>
                <w:sz w:val="21"/>
                <w:szCs w:val="21"/>
                <w:highlight w:val="none"/>
                <w:lang w:val="en-US" w:eastAsia="zh-CN"/>
              </w:rPr>
              <w:t>有详细具体</w:t>
            </w:r>
            <w:r>
              <w:rPr>
                <w:rFonts w:hint="eastAsia" w:ascii="微软雅黑" w:hAnsi="微软雅黑" w:eastAsia="微软雅黑" w:cs="微软雅黑"/>
                <w:color w:val="auto"/>
                <w:sz w:val="21"/>
                <w:szCs w:val="21"/>
                <w:highlight w:val="none"/>
              </w:rPr>
              <w:t>工作程序和步骤、管理和协调方法、</w:t>
            </w:r>
            <w:r>
              <w:rPr>
                <w:rFonts w:hint="eastAsia" w:ascii="微软雅黑" w:hAnsi="微软雅黑" w:eastAsia="微软雅黑" w:cs="微软雅黑"/>
                <w:color w:val="auto"/>
                <w:sz w:val="21"/>
                <w:szCs w:val="21"/>
                <w:highlight w:val="none"/>
                <w:lang w:val="en-US" w:eastAsia="zh-CN"/>
              </w:rPr>
              <w:t>有</w:t>
            </w:r>
            <w:r>
              <w:rPr>
                <w:rFonts w:hint="eastAsia" w:ascii="微软雅黑" w:hAnsi="微软雅黑" w:eastAsia="微软雅黑" w:cs="微软雅黑"/>
                <w:color w:val="auto"/>
                <w:sz w:val="21"/>
                <w:szCs w:val="21"/>
                <w:highlight w:val="none"/>
              </w:rPr>
              <w:t>关键步骤的思路和要点有明确的表述</w:t>
            </w:r>
            <w:r>
              <w:rPr>
                <w:rFonts w:hint="eastAsia" w:ascii="微软雅黑" w:hAnsi="微软雅黑" w:eastAsia="微软雅黑" w:cs="微软雅黑"/>
                <w:color w:val="auto"/>
                <w:sz w:val="21"/>
                <w:szCs w:val="21"/>
                <w:highlight w:val="none"/>
                <w:lang w:val="en-US" w:eastAsia="zh-CN"/>
              </w:rPr>
              <w:t>的得7-10分，有实施方案与技术措施，方案相对简单，但能体现项目实施流程和目标，且符合本项目需求的得4-6分，有提供方案，方案符合本项目需求，流程和目标表述模糊的得1-3分。未提供方案或方案与本项目需求无法匹配的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r>
              <w:rPr>
                <w:rFonts w:hint="eastAsia" w:ascii="微软雅黑" w:hAnsi="微软雅黑" w:eastAsia="微软雅黑" w:cs="微软雅黑"/>
                <w:snapToGrid w:val="0"/>
                <w:color w:val="auto"/>
                <w:sz w:val="21"/>
                <w:szCs w:val="21"/>
                <w:highlight w:val="none"/>
              </w:rPr>
              <w:t>3</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rPr>
              <w:t>投资分析</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6</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kern w:val="0"/>
                <w:sz w:val="21"/>
                <w:szCs w:val="21"/>
                <w:highlight w:val="none"/>
              </w:rPr>
              <w:t>根据本项目的投资额度，合理安排</w:t>
            </w:r>
            <w:r>
              <w:rPr>
                <w:rFonts w:hint="eastAsia" w:ascii="微软雅黑" w:hAnsi="微软雅黑" w:eastAsia="微软雅黑" w:cs="微软雅黑"/>
                <w:color w:val="auto"/>
                <w:kern w:val="0"/>
                <w:sz w:val="21"/>
                <w:szCs w:val="21"/>
                <w:highlight w:val="none"/>
                <w:lang w:val="en-US" w:eastAsia="zh-CN"/>
              </w:rPr>
              <w:t>信号覆盖</w:t>
            </w:r>
            <w:r>
              <w:rPr>
                <w:rFonts w:hint="eastAsia" w:ascii="微软雅黑" w:hAnsi="微软雅黑" w:eastAsia="微软雅黑" w:cs="微软雅黑"/>
                <w:color w:val="auto"/>
                <w:kern w:val="0"/>
                <w:sz w:val="21"/>
                <w:szCs w:val="21"/>
                <w:highlight w:val="none"/>
              </w:rPr>
              <w:t>提升</w:t>
            </w:r>
            <w:r>
              <w:rPr>
                <w:rFonts w:hint="eastAsia" w:ascii="微软雅黑" w:hAnsi="微软雅黑" w:eastAsia="微软雅黑" w:cs="微软雅黑"/>
                <w:color w:val="auto"/>
                <w:kern w:val="0"/>
                <w:sz w:val="21"/>
                <w:szCs w:val="21"/>
                <w:highlight w:val="none"/>
                <w:lang w:eastAsia="zh-CN"/>
              </w:rPr>
              <w:t>、</w:t>
            </w:r>
            <w:r>
              <w:rPr>
                <w:rFonts w:hint="eastAsia" w:ascii="微软雅黑" w:hAnsi="微软雅黑" w:eastAsia="微软雅黑" w:cs="微软雅黑"/>
                <w:color w:val="auto"/>
                <w:kern w:val="0"/>
                <w:sz w:val="21"/>
                <w:szCs w:val="21"/>
                <w:highlight w:val="none"/>
                <w:lang w:val="en-US" w:eastAsia="zh-CN"/>
              </w:rPr>
              <w:t>监控、照明</w:t>
            </w:r>
            <w:r>
              <w:rPr>
                <w:rFonts w:hint="eastAsia" w:ascii="微软雅黑" w:hAnsi="微软雅黑" w:eastAsia="微软雅黑" w:cs="微软雅黑"/>
                <w:color w:val="auto"/>
                <w:kern w:val="0"/>
                <w:sz w:val="21"/>
                <w:szCs w:val="21"/>
                <w:highlight w:val="none"/>
              </w:rPr>
              <w:t>打造的造价，供应商结合项目需求及自身以往的经验对投资额度分配问题剖析准确，能就分析结果制定科学、有效方案的得4-</w:t>
            </w:r>
            <w:r>
              <w:rPr>
                <w:rFonts w:hint="eastAsia" w:ascii="微软雅黑" w:hAnsi="微软雅黑" w:eastAsia="微软雅黑" w:cs="微软雅黑"/>
                <w:color w:val="auto"/>
                <w:kern w:val="0"/>
                <w:sz w:val="21"/>
                <w:szCs w:val="21"/>
                <w:highlight w:val="none"/>
                <w:lang w:val="en-US" w:eastAsia="zh-CN"/>
              </w:rPr>
              <w:t>6</w:t>
            </w:r>
            <w:r>
              <w:rPr>
                <w:rFonts w:hint="eastAsia" w:ascii="微软雅黑" w:hAnsi="微软雅黑" w:eastAsia="微软雅黑" w:cs="微软雅黑"/>
                <w:color w:val="auto"/>
                <w:kern w:val="0"/>
                <w:sz w:val="21"/>
                <w:szCs w:val="21"/>
                <w:highlight w:val="none"/>
              </w:rPr>
              <w:t>分；认识基本到位、理解一般、问题剖析基本准确，能就分析结果制定较为科学、有效方案的得2-3分；认识浅薄，无法制定科学、有效方案的得0-1分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r>
              <w:rPr>
                <w:rFonts w:hint="eastAsia" w:ascii="微软雅黑" w:hAnsi="微软雅黑" w:eastAsia="微软雅黑" w:cs="微软雅黑"/>
                <w:snapToGrid w:val="0"/>
                <w:color w:val="auto"/>
                <w:sz w:val="21"/>
                <w:szCs w:val="21"/>
                <w:highlight w:val="none"/>
              </w:rPr>
              <w:t>4</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安装、调试、验收的措施与方案</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10</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rPr>
              <w:t>1、根据</w:t>
            </w:r>
            <w:r>
              <w:rPr>
                <w:rFonts w:hint="eastAsia" w:ascii="微软雅黑" w:hAnsi="微软雅黑" w:eastAsia="微软雅黑" w:cs="微软雅黑"/>
                <w:color w:val="auto"/>
                <w:kern w:val="0"/>
                <w:sz w:val="21"/>
                <w:szCs w:val="21"/>
                <w:highlight w:val="none"/>
                <w:lang w:val="en-US" w:eastAsia="zh-CN"/>
              </w:rPr>
              <w:t>磋商响应单位</w:t>
            </w:r>
            <w:r>
              <w:rPr>
                <w:rFonts w:hint="eastAsia" w:ascii="微软雅黑" w:hAnsi="微软雅黑" w:eastAsia="微软雅黑" w:cs="微软雅黑"/>
                <w:color w:val="auto"/>
                <w:kern w:val="0"/>
                <w:sz w:val="21"/>
                <w:szCs w:val="21"/>
                <w:highlight w:val="none"/>
              </w:rPr>
              <w:t>提供的项目安装、调试的方案综合评审：</w:t>
            </w:r>
            <w:r>
              <w:rPr>
                <w:rFonts w:hint="eastAsia" w:ascii="微软雅黑" w:hAnsi="微软雅黑" w:eastAsia="微软雅黑" w:cs="微软雅黑"/>
                <w:color w:val="auto"/>
                <w:kern w:val="0"/>
                <w:sz w:val="21"/>
                <w:szCs w:val="21"/>
                <w:highlight w:val="none"/>
                <w:lang w:val="en-US" w:eastAsia="zh-CN"/>
              </w:rPr>
              <w:t>提供的方案符合本项目是实际需求，并提出详细、具体、明确的</w:t>
            </w:r>
            <w:r>
              <w:rPr>
                <w:rFonts w:hint="eastAsia" w:ascii="微软雅黑" w:hAnsi="微软雅黑" w:eastAsia="微软雅黑" w:cs="微软雅黑"/>
                <w:color w:val="auto"/>
                <w:kern w:val="0"/>
                <w:sz w:val="21"/>
                <w:szCs w:val="21"/>
                <w:highlight w:val="none"/>
              </w:rPr>
              <w:t>安装、调试设备的工程师资质、提出详细、具体、明确安装、调试工作的时间进度及措施、提出详细、具体、明确</w:t>
            </w:r>
            <w:r>
              <w:rPr>
                <w:rFonts w:hint="eastAsia" w:ascii="微软雅黑" w:hAnsi="微软雅黑" w:eastAsia="微软雅黑" w:cs="微软雅黑"/>
                <w:color w:val="auto"/>
                <w:kern w:val="0"/>
                <w:sz w:val="21"/>
                <w:szCs w:val="21"/>
                <w:highlight w:val="none"/>
                <w:lang w:val="en-US" w:eastAsia="zh-CN"/>
              </w:rPr>
              <w:t>的</w:t>
            </w:r>
            <w:r>
              <w:rPr>
                <w:rFonts w:hint="eastAsia" w:ascii="微软雅黑" w:hAnsi="微软雅黑" w:eastAsia="微软雅黑" w:cs="微软雅黑"/>
                <w:color w:val="auto"/>
                <w:kern w:val="0"/>
                <w:sz w:val="21"/>
                <w:szCs w:val="21"/>
                <w:highlight w:val="none"/>
              </w:rPr>
              <w:t>与货物需方单位的配合</w:t>
            </w:r>
            <w:r>
              <w:rPr>
                <w:rFonts w:hint="eastAsia" w:ascii="微软雅黑" w:hAnsi="微软雅黑" w:eastAsia="微软雅黑" w:cs="微软雅黑"/>
                <w:color w:val="auto"/>
                <w:kern w:val="0"/>
                <w:sz w:val="21"/>
                <w:szCs w:val="21"/>
                <w:highlight w:val="none"/>
                <w:lang w:val="en-US" w:eastAsia="zh-CN"/>
              </w:rPr>
              <w:t>方案内容的得4-5分，有提出方案，但方案相对简单，方案中有人员、设备、时间进度等内容得1-3分。方案不符合项目需求的不得分。</w:t>
            </w:r>
          </w:p>
          <w:p>
            <w:pPr>
              <w:keepNext w:val="0"/>
              <w:keepLines w:val="0"/>
              <w:pageBreakBefore w:val="0"/>
              <w:kinsoku/>
              <w:wordWrap/>
              <w:overflowPunct/>
              <w:topLinePunct w:val="0"/>
              <w:autoSpaceDE/>
              <w:autoSpaceDN/>
              <w:bidi w:val="0"/>
              <w:spacing w:line="360" w:lineRule="exact"/>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kern w:val="0"/>
                <w:sz w:val="21"/>
                <w:szCs w:val="21"/>
                <w:highlight w:val="none"/>
              </w:rPr>
              <w:t>2、根据磋商响应单位提供的项目验收方案</w:t>
            </w:r>
            <w:r>
              <w:rPr>
                <w:rFonts w:hint="eastAsia" w:ascii="微软雅黑" w:hAnsi="微软雅黑" w:eastAsia="微软雅黑" w:cs="微软雅黑"/>
                <w:color w:val="auto"/>
                <w:kern w:val="0"/>
                <w:sz w:val="21"/>
                <w:szCs w:val="21"/>
                <w:highlight w:val="none"/>
                <w:lang w:val="en-US" w:eastAsia="zh-CN"/>
              </w:rPr>
              <w:t>评议</w:t>
            </w:r>
            <w:r>
              <w:rPr>
                <w:rFonts w:hint="eastAsia" w:ascii="微软雅黑" w:hAnsi="微软雅黑" w:eastAsia="微软雅黑" w:cs="微软雅黑"/>
                <w:color w:val="auto"/>
                <w:kern w:val="0"/>
                <w:sz w:val="21"/>
                <w:szCs w:val="21"/>
                <w:highlight w:val="none"/>
              </w:rPr>
              <w:t>，验收方案</w:t>
            </w:r>
            <w:r>
              <w:rPr>
                <w:rFonts w:hint="eastAsia" w:ascii="微软雅黑" w:hAnsi="微软雅黑" w:eastAsia="微软雅黑" w:cs="微软雅黑"/>
                <w:color w:val="auto"/>
                <w:kern w:val="0"/>
                <w:sz w:val="21"/>
                <w:szCs w:val="21"/>
                <w:highlight w:val="none"/>
                <w:lang w:val="en-US" w:eastAsia="zh-CN"/>
              </w:rPr>
              <w:t>中有详细、具体、明确的项目</w:t>
            </w:r>
            <w:r>
              <w:rPr>
                <w:rFonts w:hint="eastAsia" w:ascii="微软雅黑" w:hAnsi="微软雅黑" w:eastAsia="微软雅黑" w:cs="微软雅黑"/>
                <w:color w:val="auto"/>
                <w:kern w:val="0"/>
                <w:sz w:val="21"/>
                <w:szCs w:val="21"/>
                <w:highlight w:val="none"/>
              </w:rPr>
              <w:t>验收标准、验收方式、工作程序和步骤、管理和协调方法等内容</w:t>
            </w:r>
            <w:r>
              <w:rPr>
                <w:rFonts w:hint="eastAsia" w:ascii="微软雅黑" w:hAnsi="微软雅黑" w:eastAsia="微软雅黑" w:cs="微软雅黑"/>
                <w:color w:val="auto"/>
                <w:kern w:val="0"/>
                <w:sz w:val="21"/>
                <w:szCs w:val="21"/>
                <w:highlight w:val="none"/>
                <w:lang w:val="en-US" w:eastAsia="zh-CN"/>
              </w:rPr>
              <w:t>的得4-5分。有提供方案，方案相对简单，有验收标准和方式，但工作程序和步骤表述不具体的得1-3分，方案不符合项目需求的不得分。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rPr>
            </w:pPr>
            <w:r>
              <w:rPr>
                <w:rFonts w:hint="eastAsia" w:ascii="微软雅黑" w:hAnsi="微软雅黑" w:eastAsia="微软雅黑" w:cs="微软雅黑"/>
                <w:snapToGrid w:val="0"/>
                <w:color w:val="auto"/>
                <w:sz w:val="21"/>
                <w:szCs w:val="21"/>
                <w:highlight w:val="none"/>
              </w:rPr>
              <w:t>5</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snapToGrid w:val="0"/>
                <w:color w:val="auto"/>
                <w:kern w:val="0"/>
                <w:sz w:val="21"/>
                <w:szCs w:val="21"/>
                <w:highlight w:val="none"/>
              </w:rPr>
              <w:t>项目实施人员情况</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eastAsia="zh-CN"/>
              </w:rPr>
              <w:t>6</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1、项目负责人具有机电工程一级建造师的，得2分；具有一级造价师的，得1分；具有信息系统项目管理师（高级）的得1分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2、拟派本项目技术负责人具有建筑智能化高级职称得1分。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3、根据项目管理团队配置合理情况综合评分：人员配置齐全的，具有相应执业资格及职称的得1分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sz w:val="21"/>
                <w:szCs w:val="21"/>
                <w:highlight w:val="none"/>
                <w:lang w:val="en-US" w:eastAsia="zh-CN"/>
              </w:rPr>
              <w:t>（以上人员需提供相关资质证书及近一个月对应单位的有效社保证明复印件加盖公章，未提供不得分）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lang w:val="en-US" w:eastAsia="zh-CN"/>
              </w:rPr>
            </w:pPr>
            <w:r>
              <w:rPr>
                <w:rFonts w:hint="eastAsia" w:ascii="微软雅黑" w:hAnsi="微软雅黑" w:eastAsia="微软雅黑" w:cs="微软雅黑"/>
                <w:snapToGrid w:val="0"/>
                <w:color w:val="auto"/>
                <w:sz w:val="21"/>
                <w:szCs w:val="21"/>
                <w:highlight w:val="none"/>
                <w:lang w:val="en-US" w:eastAsia="zh-CN"/>
              </w:rPr>
              <w:t>6</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荣誉奖项</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供应商提供的2017年1月1日至今政府行政职能部门或行业部门授予的投标企业荣誉证书进行评分：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1.省级，包含省政府所属的部、委、办、局（厅）授予的荣誉得</w:t>
            </w:r>
            <w:r>
              <w:rPr>
                <w:rFonts w:hint="eastAsia" w:ascii="微软雅黑" w:hAnsi="微软雅黑" w:eastAsia="微软雅黑" w:cs="微软雅黑"/>
                <w:bCs/>
                <w:color w:val="auto"/>
                <w:sz w:val="21"/>
                <w:szCs w:val="21"/>
                <w:highlight w:val="none"/>
                <w:lang w:val="en-US" w:eastAsia="zh-CN"/>
              </w:rPr>
              <w:t>3</w:t>
            </w:r>
            <w:r>
              <w:rPr>
                <w:rFonts w:hint="eastAsia" w:ascii="微软雅黑" w:hAnsi="微软雅黑" w:eastAsia="微软雅黑" w:cs="微软雅黑"/>
                <w:bCs/>
                <w:color w:val="auto"/>
                <w:sz w:val="21"/>
                <w:szCs w:val="21"/>
                <w:highlight w:val="none"/>
              </w:rPr>
              <w:t>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2.市级，包含市政府所属的部、委、办、局授予的荣誉得</w:t>
            </w:r>
            <w:r>
              <w:rPr>
                <w:rFonts w:hint="eastAsia" w:ascii="微软雅黑" w:hAnsi="微软雅黑" w:eastAsia="微软雅黑" w:cs="微软雅黑"/>
                <w:bCs/>
                <w:color w:val="auto"/>
                <w:sz w:val="21"/>
                <w:szCs w:val="21"/>
                <w:highlight w:val="none"/>
                <w:lang w:val="en-US" w:eastAsia="zh-CN"/>
              </w:rPr>
              <w:t>2</w:t>
            </w:r>
            <w:r>
              <w:rPr>
                <w:rFonts w:hint="eastAsia" w:ascii="微软雅黑" w:hAnsi="微软雅黑" w:eastAsia="微软雅黑" w:cs="微软雅黑"/>
                <w:bCs/>
                <w:color w:val="auto"/>
                <w:sz w:val="21"/>
                <w:szCs w:val="21"/>
                <w:highlight w:val="none"/>
              </w:rPr>
              <w:t>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3.区（县）级，包含区（县）政府所属的部、委、办、局、院授予的荣誉得1分。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提供佐证材料加盖公章，未提供不得分，以最高获奖计分，最高</w:t>
            </w:r>
            <w:r>
              <w:rPr>
                <w:rFonts w:hint="eastAsia" w:ascii="微软雅黑" w:hAnsi="微软雅黑" w:eastAsia="微软雅黑" w:cs="微软雅黑"/>
                <w:bCs/>
                <w:color w:val="auto"/>
                <w:sz w:val="21"/>
                <w:szCs w:val="21"/>
                <w:highlight w:val="none"/>
                <w:lang w:val="en-US" w:eastAsia="zh-CN"/>
              </w:rPr>
              <w:t>3</w:t>
            </w:r>
            <w:r>
              <w:rPr>
                <w:rFonts w:hint="eastAsia" w:ascii="微软雅黑" w:hAnsi="微软雅黑" w:eastAsia="微软雅黑" w:cs="微软雅黑"/>
                <w:bCs/>
                <w:color w:val="auto"/>
                <w:sz w:val="21"/>
                <w:szCs w:val="21"/>
                <w:highlight w:val="none"/>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snapToGrid w:val="0"/>
                <w:color w:val="auto"/>
                <w:sz w:val="21"/>
                <w:szCs w:val="21"/>
                <w:highlight w:val="none"/>
                <w:lang w:val="en-US" w:eastAsia="zh-CN"/>
              </w:rPr>
            </w:pPr>
            <w:r>
              <w:rPr>
                <w:rFonts w:hint="eastAsia" w:ascii="微软雅黑" w:hAnsi="微软雅黑" w:eastAsia="微软雅黑" w:cs="微软雅黑"/>
                <w:snapToGrid w:val="0"/>
                <w:color w:val="auto"/>
                <w:sz w:val="21"/>
                <w:szCs w:val="21"/>
                <w:highlight w:val="none"/>
                <w:lang w:val="en-US" w:eastAsia="zh-CN"/>
              </w:rPr>
              <w:t>7</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权威认证</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供应商通过质量管理体系认证、环境管理体系认证、职业健康安全管理体系认证，凭相关证书复印件每项得1分，最高</w:t>
            </w:r>
            <w:r>
              <w:rPr>
                <w:rFonts w:hint="eastAsia" w:ascii="微软雅黑" w:hAnsi="微软雅黑" w:eastAsia="微软雅黑" w:cs="微软雅黑"/>
                <w:bCs/>
                <w:color w:val="auto"/>
                <w:sz w:val="21"/>
                <w:szCs w:val="21"/>
                <w:highlight w:val="none"/>
                <w:lang w:val="en-US" w:eastAsia="zh-CN"/>
              </w:rPr>
              <w:t>3</w:t>
            </w:r>
            <w:r>
              <w:rPr>
                <w:rFonts w:hint="eastAsia" w:ascii="微软雅黑" w:hAnsi="微软雅黑" w:eastAsia="微软雅黑" w:cs="微软雅黑"/>
                <w:bCs/>
                <w:color w:val="auto"/>
                <w:sz w:val="21"/>
                <w:szCs w:val="21"/>
                <w:highlight w:val="none"/>
              </w:rPr>
              <w:t>分，未提供不得分。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lang w:eastAsia="zh-CN"/>
              </w:rPr>
            </w:pPr>
            <w:r>
              <w:rPr>
                <w:rFonts w:hint="eastAsia" w:ascii="微软雅黑" w:hAnsi="微软雅黑" w:eastAsia="微软雅黑" w:cs="微软雅黑"/>
                <w:snapToGrid w:val="0"/>
                <w:color w:val="auto"/>
                <w:sz w:val="21"/>
                <w:szCs w:val="21"/>
                <w:highlight w:val="none"/>
                <w:lang w:val="en-US" w:eastAsia="zh-CN"/>
              </w:rPr>
              <w:t>8</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售后服务优惠承诺</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3</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供应商提供的详细完整的售后服务措施和方案（</w:t>
            </w:r>
            <w:r>
              <w:rPr>
                <w:rFonts w:hint="eastAsia" w:ascii="微软雅黑" w:hAnsi="微软雅黑" w:eastAsia="微软雅黑" w:cs="微软雅黑"/>
                <w:color w:val="auto"/>
                <w:sz w:val="21"/>
                <w:szCs w:val="21"/>
                <w:highlight w:val="none"/>
                <w:lang w:val="en-US" w:eastAsia="zh-CN"/>
              </w:rPr>
              <w:t>有具体、明确的</w:t>
            </w:r>
            <w:r>
              <w:rPr>
                <w:rFonts w:hint="eastAsia" w:ascii="微软雅黑" w:hAnsi="微软雅黑" w:eastAsia="微软雅黑" w:cs="微软雅黑"/>
                <w:color w:val="auto"/>
                <w:sz w:val="21"/>
                <w:szCs w:val="21"/>
                <w:highlight w:val="none"/>
              </w:rPr>
              <w:t>服务措施、产品质量保证、回访、故障处理时间、零配件优惠措施等内容）</w:t>
            </w:r>
            <w:r>
              <w:rPr>
                <w:rFonts w:hint="eastAsia" w:ascii="微软雅黑" w:hAnsi="微软雅黑" w:eastAsia="微软雅黑" w:cs="微软雅黑"/>
                <w:color w:val="auto"/>
                <w:sz w:val="21"/>
                <w:szCs w:val="21"/>
                <w:highlight w:val="none"/>
                <w:lang w:val="en-US" w:eastAsia="zh-CN"/>
              </w:rPr>
              <w:t>的得2-3分</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有提供方案，方案相对简单，内容有缺失的得0-1分，不提供方案不得分。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426"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snapToGrid w:val="0"/>
                <w:color w:val="auto"/>
                <w:sz w:val="21"/>
                <w:szCs w:val="21"/>
                <w:highlight w:val="none"/>
                <w:lang w:eastAsia="zh-CN"/>
              </w:rPr>
            </w:pPr>
            <w:r>
              <w:rPr>
                <w:rFonts w:hint="eastAsia" w:ascii="微软雅黑" w:hAnsi="微软雅黑" w:eastAsia="微软雅黑" w:cs="微软雅黑"/>
                <w:snapToGrid w:val="0"/>
                <w:color w:val="auto"/>
                <w:sz w:val="21"/>
                <w:szCs w:val="21"/>
                <w:highlight w:val="none"/>
                <w:lang w:val="en-US" w:eastAsia="zh-CN"/>
              </w:rPr>
              <w:t>9</w:t>
            </w:r>
          </w:p>
        </w:tc>
        <w:tc>
          <w:tcPr>
            <w:tcW w:w="806" w:type="pct"/>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成功案例及业绩</w:t>
            </w:r>
          </w:p>
        </w:tc>
        <w:tc>
          <w:tcPr>
            <w:tcW w:w="417"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1</w:t>
            </w:r>
          </w:p>
        </w:tc>
        <w:tc>
          <w:tcPr>
            <w:tcW w:w="3349" w:type="pct"/>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color w:val="auto"/>
                <w:sz w:val="21"/>
                <w:szCs w:val="21"/>
                <w:highlight w:val="none"/>
              </w:rPr>
              <w:t>供应商自201</w:t>
            </w:r>
            <w:r>
              <w:rPr>
                <w:rFonts w:hint="eastAsia" w:ascii="微软雅黑" w:hAnsi="微软雅黑" w:eastAsia="微软雅黑" w:cs="微软雅黑"/>
                <w:color w:val="auto"/>
                <w:sz w:val="21"/>
                <w:szCs w:val="21"/>
                <w:highlight w:val="none"/>
                <w:lang w:val="en-US" w:eastAsia="zh-CN"/>
              </w:rPr>
              <w:t>9</w:t>
            </w:r>
            <w:r>
              <w:rPr>
                <w:rFonts w:hint="eastAsia" w:ascii="微软雅黑" w:hAnsi="微软雅黑" w:eastAsia="微软雅黑" w:cs="微软雅黑"/>
                <w:color w:val="auto"/>
                <w:sz w:val="21"/>
                <w:szCs w:val="21"/>
                <w:highlight w:val="none"/>
              </w:rPr>
              <w:t>年1月1日（以合同签订时间为准）以来成功实施过同类项目的</w:t>
            </w:r>
            <w:r>
              <w:rPr>
                <w:rFonts w:hint="eastAsia" w:ascii="微软雅黑" w:hAnsi="微软雅黑" w:eastAsia="微软雅黑" w:cs="微软雅黑"/>
                <w:bCs/>
                <w:color w:val="auto"/>
                <w:sz w:val="21"/>
                <w:szCs w:val="21"/>
                <w:highlight w:val="none"/>
              </w:rPr>
              <w:t>，每个得</w:t>
            </w:r>
            <w:r>
              <w:rPr>
                <w:rFonts w:hint="eastAsia" w:ascii="微软雅黑" w:hAnsi="微软雅黑" w:eastAsia="微软雅黑" w:cs="微软雅黑"/>
                <w:bCs/>
                <w:color w:val="auto"/>
                <w:sz w:val="21"/>
                <w:szCs w:val="21"/>
                <w:highlight w:val="none"/>
                <w:lang w:val="en-US" w:eastAsia="zh-CN"/>
              </w:rPr>
              <w:t>0.5</w:t>
            </w:r>
            <w:r>
              <w:rPr>
                <w:rFonts w:hint="eastAsia" w:ascii="微软雅黑" w:hAnsi="微软雅黑" w:eastAsia="微软雅黑" w:cs="微软雅黑"/>
                <w:bCs/>
                <w:color w:val="auto"/>
                <w:sz w:val="21"/>
                <w:szCs w:val="21"/>
                <w:highlight w:val="none"/>
              </w:rPr>
              <w:t>分，最多得</w:t>
            </w:r>
            <w:r>
              <w:rPr>
                <w:rFonts w:hint="eastAsia" w:ascii="微软雅黑" w:hAnsi="微软雅黑" w:eastAsia="微软雅黑" w:cs="微软雅黑"/>
                <w:bCs/>
                <w:color w:val="auto"/>
                <w:sz w:val="21"/>
                <w:szCs w:val="21"/>
                <w:highlight w:val="none"/>
                <w:lang w:val="en-US" w:eastAsia="zh-CN"/>
              </w:rPr>
              <w:t>1</w:t>
            </w:r>
            <w:r>
              <w:rPr>
                <w:rFonts w:hint="eastAsia" w:ascii="微软雅黑" w:hAnsi="微软雅黑" w:eastAsia="微软雅黑" w:cs="微软雅黑"/>
                <w:bCs/>
                <w:color w:val="auto"/>
                <w:sz w:val="21"/>
                <w:szCs w:val="21"/>
                <w:highlight w:val="none"/>
              </w:rPr>
              <w:t>分。</w:t>
            </w:r>
          </w:p>
          <w:p>
            <w:pPr>
              <w:keepNext w:val="0"/>
              <w:keepLines w:val="0"/>
              <w:pageBreakBefore w:val="0"/>
              <w:kinsoku/>
              <w:wordWrap/>
              <w:overflowPunct/>
              <w:topLinePunct w:val="0"/>
              <w:autoSpaceDE/>
              <w:autoSpaceDN/>
              <w:bidi w:val="0"/>
              <w:spacing w:line="360" w:lineRule="exact"/>
              <w:textAlignment w:val="auto"/>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（以合同协议书为准，提供复印件加盖公章）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1232" w:type="pct"/>
            <w:gridSpan w:val="3"/>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总分</w:t>
            </w:r>
          </w:p>
        </w:tc>
        <w:tc>
          <w:tcPr>
            <w:tcW w:w="3767" w:type="pct"/>
            <w:gridSpan w:val="2"/>
            <w:tcBorders>
              <w:tl2br w:val="nil"/>
              <w:tr2bl w:val="nil"/>
            </w:tcBorders>
            <w:noWrap w:val="0"/>
            <w:vAlign w:val="center"/>
          </w:tcPr>
          <w:p>
            <w:pPr>
              <w:keepNext w:val="0"/>
              <w:keepLines w:val="0"/>
              <w:pageBreakBefore w:val="0"/>
              <w:kinsoku/>
              <w:wordWrap/>
              <w:overflowPunct/>
              <w:topLinePunct w:val="0"/>
              <w:autoSpaceDE/>
              <w:autoSpaceDN/>
              <w:bidi w:val="0"/>
              <w:spacing w:line="360" w:lineRule="exact"/>
              <w:jc w:val="center"/>
              <w:textAlignment w:val="auto"/>
              <w:rPr>
                <w:rFonts w:hint="default" w:ascii="微软雅黑" w:hAnsi="微软雅黑" w:eastAsia="微软雅黑" w:cs="微软雅黑"/>
                <w:b/>
                <w:bCs/>
                <w:color w:val="auto"/>
                <w:sz w:val="21"/>
                <w:szCs w:val="21"/>
                <w:highlight w:val="none"/>
                <w:lang w:val="en-US" w:eastAsia="zh-CN"/>
              </w:rPr>
            </w:pPr>
            <w:r>
              <w:rPr>
                <w:rFonts w:hint="eastAsia" w:ascii="微软雅黑" w:hAnsi="微软雅黑" w:eastAsia="微软雅黑" w:cs="微软雅黑"/>
                <w:b/>
                <w:bCs/>
                <w:color w:val="auto"/>
                <w:sz w:val="21"/>
                <w:szCs w:val="21"/>
                <w:highlight w:val="none"/>
                <w:lang w:val="en-US" w:eastAsia="zh-CN"/>
              </w:rPr>
              <w:t>90分</w:t>
            </w:r>
          </w:p>
        </w:tc>
      </w:tr>
    </w:tbl>
    <w:p>
      <w:pPr>
        <w:pStyle w:val="13"/>
        <w:snapToGrid w:val="0"/>
        <w:spacing w:line="440" w:lineRule="exact"/>
        <w:ind w:firstLine="0"/>
        <w:rPr>
          <w:rFonts w:ascii="微软雅黑" w:hAnsi="微软雅黑" w:eastAsia="微软雅黑" w:cs="微软雅黑"/>
          <w:b/>
          <w:bCs/>
          <w:color w:val="auto"/>
          <w:kern w:val="2"/>
          <w:sz w:val="22"/>
          <w:szCs w:val="22"/>
          <w:highlight w:val="none"/>
        </w:rPr>
      </w:pPr>
      <w:r>
        <w:rPr>
          <w:rFonts w:hint="eastAsia" w:ascii="微软雅黑" w:hAnsi="微软雅黑" w:eastAsia="微软雅黑" w:cs="微软雅黑"/>
          <w:b/>
          <w:bCs/>
          <w:color w:val="auto"/>
          <w:kern w:val="2"/>
          <w:sz w:val="21"/>
          <w:szCs w:val="21"/>
          <w:highlight w:val="none"/>
        </w:rPr>
        <w:t>注：以上证明文件复印件均需CA签章，附在响应文件中；提供材料不真实、不完整或伪造证明材料的，后果自负。</w:t>
      </w:r>
    </w:p>
    <w:p>
      <w:pPr>
        <w:pStyle w:val="28"/>
        <w:spacing w:line="360" w:lineRule="auto"/>
        <w:rPr>
          <w:rFonts w:ascii="微软雅黑" w:hAnsi="微软雅黑" w:eastAsia="微软雅黑" w:cs="微软雅黑"/>
          <w:snapToGrid w:val="0"/>
          <w:color w:val="auto"/>
          <w:highlight w:val="none"/>
        </w:rPr>
      </w:pPr>
      <w:r>
        <w:rPr>
          <w:rFonts w:hint="eastAsia" w:ascii="微软雅黑" w:hAnsi="微软雅黑" w:eastAsia="微软雅黑" w:cs="微软雅黑"/>
          <w:color w:val="auto"/>
          <w:sz w:val="24"/>
          <w:szCs w:val="24"/>
          <w:highlight w:val="none"/>
        </w:rPr>
        <w:br w:type="page"/>
      </w:r>
      <w:bookmarkStart w:id="86" w:name="_Toc16770386"/>
      <w:bookmarkStart w:id="87" w:name="_Toc31117"/>
      <w:r>
        <w:rPr>
          <w:rFonts w:hint="eastAsia" w:ascii="微软雅黑" w:hAnsi="微软雅黑" w:eastAsia="微软雅黑" w:cs="微软雅黑"/>
          <w:color w:val="auto"/>
          <w:highlight w:val="none"/>
        </w:rPr>
        <w:t>第五章  合同主要条款</w:t>
      </w:r>
      <w:bookmarkEnd w:id="84"/>
      <w:bookmarkEnd w:id="85"/>
      <w:bookmarkEnd w:id="86"/>
      <w:bookmarkEnd w:id="87"/>
    </w:p>
    <w:p>
      <w:pPr>
        <w:adjustRightInd w:val="0"/>
        <w:snapToGrid w:val="0"/>
        <w:spacing w:before="156" w:beforeLines="50" w:after="156" w:afterLines="50" w:line="276" w:lineRule="auto"/>
        <w:jc w:val="center"/>
        <w:rPr>
          <w:rFonts w:ascii="微软雅黑" w:hAnsi="微软雅黑" w:eastAsia="微软雅黑" w:cs="微软雅黑"/>
          <w:b/>
          <w:color w:val="auto"/>
          <w:sz w:val="30"/>
          <w:szCs w:val="32"/>
          <w:highlight w:val="none"/>
        </w:rPr>
      </w:pPr>
      <w:r>
        <w:rPr>
          <w:rFonts w:hint="eastAsia" w:ascii="微软雅黑" w:hAnsi="微软雅黑" w:eastAsia="微软雅黑" w:cs="微软雅黑"/>
          <w:b/>
          <w:color w:val="auto"/>
          <w:sz w:val="30"/>
          <w:szCs w:val="32"/>
          <w:highlight w:val="none"/>
        </w:rPr>
        <w:t>浙江省政府采购合同（服务）</w:t>
      </w:r>
    </w:p>
    <w:p>
      <w:pPr>
        <w:spacing w:line="480" w:lineRule="exact"/>
        <w:jc w:val="center"/>
        <w:rPr>
          <w:rFonts w:ascii="微软雅黑" w:hAnsi="微软雅黑" w:eastAsia="微软雅黑" w:cs="Times New Roman"/>
          <w:b/>
          <w:color w:val="auto"/>
          <w:sz w:val="28"/>
          <w:szCs w:val="28"/>
          <w:highlight w:val="none"/>
        </w:rPr>
      </w:pPr>
      <w:bookmarkStart w:id="88" w:name="_Toc16770387"/>
      <w:bookmarkStart w:id="89" w:name="_Toc25421"/>
      <w:bookmarkStart w:id="90" w:name="_Toc410379361"/>
      <w:r>
        <w:rPr>
          <w:rFonts w:hint="eastAsia" w:ascii="微软雅黑" w:hAnsi="微软雅黑" w:eastAsia="微软雅黑" w:cs="Times New Roman"/>
          <w:b/>
          <w:color w:val="auto"/>
          <w:sz w:val="24"/>
          <w:highlight w:val="none"/>
        </w:rPr>
        <w:t>（仅供参考）</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项目名称：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项目编号：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甲方：                              乙方：</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甲乙双方关于              的结果，甲乙双方本着既严格执行国家有关政策，又兼顾双方利益的原则，经协商，特签订本合同书。</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一、服务内容</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二、合同金额</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本合同金额为（大写）：（￥：元）人民币。</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三、技术资料</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1.乙方应按招标文件规定的时间向甲方提供使用货物的有关技术资料。</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四、知识产权</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乙方应保证所提供的货物或其任何一部分均不会侵犯任何第三方的知识产权。</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五、产权担保</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乙方保证所交付的货物的所有权完全属于乙方且无任何抵押、查封等产权瑕疵。</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七、转包或分包</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1.本合同范围的服务范围，应由乙方直接负责，不得转让他人；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3.如有转让和未经甲方同意的分包行为，甲方有权解除合同，追究乙方的违约责任。</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八、服务期限：</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1.服务期限：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2.服务方式：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3.服务地点：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九、货款支付</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1. 付款方式：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2.当采购要求与实际操作不一致时，乙方应根据实际使用量服务，合同的最终结算金额按实际使用量乘以成交单价进行计算。</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十、税费</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本合同执行中相关的一切税费均由乙方负担。</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十一、质量保证及后续服务</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1、乙方应按招标文件规定向甲方提供服务。</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2、乙方提供的服务成果在服务质量保证期内发生故障，乙方应负责免费提供后续服务。对达不到要求者，根据实际情况，经双方协商，可按照以下办法处理：</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1）重做：由乙方承担所发生的全部费用。</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2）贬值处理：由甲乙双方合议定价。</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3）解除合同。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3、如在使用过程中发生问题，乙方接到甲方通知后在  小时内到达甲方现场。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4、在服务质量保证期内，乙方应对出现的质量问题和安全问题负责处理并承担一切费用。</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十二、验收标准</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十三、违约责任</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 甲方无正当理由拒收服务计划，甲方向乙方偿付拒收服务总值的百分之五违约金。</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 甲方无故逾期验收和办理服务期限支付手续的,甲方应按逾期付款总额每日万分之五向乙方支付违约金。</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3. 乙方逾期履约服务计划，乙方应按逾期服务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4. 乙方所提供的服务质量不符合合同规定及招标文件规定标准的，甲方有权拒收该继续服务，乙方愿意调整服务质量，按乙方部悔约行为处理。乙方拒绝改进服务的，甲方可单方面解除合同。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十四、不可抗力事件处理</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 在合同有效期内，任何一方因不可抗力事件导致不能履行合同，则合同履行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期可延长，其延长期与不可抗力影响期相同。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 不可抗力事件发生后，应立即通知对方，并寄送有关权威机构出具的证明。</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3. 不可抗力事件延续120天以上，双方应通过友好协商，确定是否继续履行合</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十五、诉讼</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 双方在执行合同中所发生的一切争议，应通过协商解决。如协商不成，可向甲</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方所在地法院起诉。</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十六、合同生效及其它</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1. 合同经双方法定代表人或授权代表签字并加盖单位公章后生效。</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2.合同执行中涉及采购资金和采购内容修改或补充的，须经财政部门审批，并签书面补充协议报采购代理机构及安吉县政府采购管理部门备案，方可作为主合同不可分割的一部分。</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3.本合同未尽事宜，遵照《民法典》有关条文执行。</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4.本合同正本一式四份，具有同等法律效力，甲乙双方各执一份；采购代理机构及安吉县政府采购管理部门各执一份。</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  甲方：                                   乙方：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  地址：                                   地址： </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  法定（授权）代表人：                     法定（授权）代表人：</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val="0"/>
          <w:bCs/>
          <w:color w:val="auto"/>
          <w:sz w:val="22"/>
          <w:szCs w:val="22"/>
          <w:highlight w:val="none"/>
        </w:rPr>
      </w:pPr>
      <w:r>
        <w:rPr>
          <w:rFonts w:hint="eastAsia" w:ascii="微软雅黑" w:hAnsi="微软雅黑" w:eastAsia="微软雅黑" w:cs="微软雅黑"/>
          <w:b w:val="0"/>
          <w:bCs/>
          <w:color w:val="auto"/>
          <w:sz w:val="22"/>
          <w:szCs w:val="22"/>
          <w:highlight w:val="none"/>
        </w:rPr>
        <w:t xml:space="preserve">  签字日期：      年  月  日               签字日期：      年  月  </w:t>
      </w:r>
    </w:p>
    <w:p>
      <w:pPr>
        <w:rPr>
          <w:rFonts w:ascii="微软雅黑" w:hAnsi="微软雅黑" w:eastAsia="微软雅黑" w:cs="微软雅黑"/>
          <w:color w:val="auto"/>
          <w:sz w:val="30"/>
          <w:szCs w:val="30"/>
          <w:highlight w:val="none"/>
        </w:rPr>
      </w:pPr>
      <w:r>
        <w:rPr>
          <w:rFonts w:hint="eastAsia" w:ascii="微软雅黑" w:hAnsi="微软雅黑" w:eastAsia="微软雅黑" w:cs="微软雅黑"/>
          <w:b/>
          <w:color w:val="auto"/>
          <w:sz w:val="22"/>
          <w:szCs w:val="22"/>
          <w:highlight w:val="none"/>
        </w:rPr>
        <w:t>注：本合同作为示范文本，具体以成交供应商与采购人所签定正式合同为准。</w:t>
      </w:r>
      <w:r>
        <w:rPr>
          <w:rFonts w:hint="eastAsia" w:ascii="微软雅黑" w:hAnsi="微软雅黑" w:eastAsia="微软雅黑" w:cs="微软雅黑"/>
          <w:color w:val="auto"/>
          <w:sz w:val="22"/>
          <w:szCs w:val="22"/>
          <w:highlight w:val="none"/>
        </w:rPr>
        <w:t xml:space="preserve"> </w:t>
      </w:r>
      <w:r>
        <w:rPr>
          <w:rFonts w:hint="eastAsia" w:ascii="微软雅黑" w:hAnsi="微软雅黑" w:eastAsia="微软雅黑" w:cs="微软雅黑"/>
          <w:color w:val="auto"/>
          <w:sz w:val="30"/>
          <w:szCs w:val="30"/>
          <w:highlight w:val="none"/>
        </w:rPr>
        <w:br w:type="page"/>
      </w:r>
    </w:p>
    <w:p>
      <w:pPr>
        <w:pStyle w:val="28"/>
        <w:ind w:firstLine="600" w:firstLineChars="200"/>
        <w:rPr>
          <w:rFonts w:ascii="微软雅黑" w:hAnsi="微软雅黑" w:eastAsia="微软雅黑" w:cs="微软雅黑"/>
          <w:color w:val="auto"/>
          <w:sz w:val="30"/>
          <w:szCs w:val="30"/>
          <w:highlight w:val="none"/>
        </w:rPr>
      </w:pPr>
      <w:r>
        <w:rPr>
          <w:rFonts w:hint="eastAsia" w:ascii="微软雅黑" w:hAnsi="微软雅黑" w:eastAsia="微软雅黑" w:cs="微软雅黑"/>
          <w:color w:val="auto"/>
          <w:sz w:val="30"/>
          <w:szCs w:val="30"/>
          <w:highlight w:val="none"/>
        </w:rPr>
        <w:t>第六章  响应文件格式</w:t>
      </w:r>
      <w:bookmarkEnd w:id="88"/>
      <w:bookmarkEnd w:id="89"/>
      <w:bookmarkEnd w:id="90"/>
    </w:p>
    <w:p>
      <w:pPr>
        <w:ind w:firstLine="600" w:firstLineChars="200"/>
        <w:jc w:val="center"/>
        <w:rPr>
          <w:rFonts w:ascii="微软雅黑" w:hAnsi="微软雅黑" w:eastAsia="微软雅黑" w:cs="微软雅黑"/>
          <w:b/>
          <w:color w:val="auto"/>
          <w:sz w:val="30"/>
          <w:szCs w:val="30"/>
          <w:highlight w:val="none"/>
        </w:rPr>
      </w:pPr>
      <w:r>
        <w:rPr>
          <w:rFonts w:hint="eastAsia" w:ascii="微软雅黑" w:hAnsi="微软雅黑" w:eastAsia="微软雅黑" w:cs="微软雅黑"/>
          <w:b/>
          <w:color w:val="auto"/>
          <w:sz w:val="30"/>
          <w:szCs w:val="30"/>
          <w:highlight w:val="none"/>
        </w:rPr>
        <w:t>商务文件部分</w:t>
      </w:r>
    </w:p>
    <w:p>
      <w:pPr>
        <w:snapToGrid w:val="0"/>
        <w:spacing w:before="50"/>
        <w:ind w:firstLine="560" w:firstLineChars="200"/>
        <w:jc w:val="center"/>
        <w:rPr>
          <w:rFonts w:ascii="微软雅黑" w:hAnsi="微软雅黑" w:eastAsia="微软雅黑" w:cs="微软雅黑"/>
          <w:color w:val="auto"/>
          <w:sz w:val="28"/>
          <w:szCs w:val="28"/>
          <w:highlight w:val="none"/>
        </w:rPr>
      </w:pPr>
    </w:p>
    <w:p>
      <w:pPr>
        <w:spacing w:line="700" w:lineRule="exact"/>
        <w:ind w:firstLine="536" w:firstLineChars="200"/>
        <w:jc w:val="center"/>
        <w:rPr>
          <w:rFonts w:ascii="微软雅黑" w:hAnsi="微软雅黑" w:eastAsia="微软雅黑" w:cs="微软雅黑"/>
          <w:b/>
          <w:bCs/>
          <w:color w:val="auto"/>
          <w:spacing w:val="24"/>
          <w:sz w:val="22"/>
          <w:szCs w:val="22"/>
          <w:highlight w:val="none"/>
        </w:rPr>
      </w:pPr>
      <w:r>
        <w:rPr>
          <w:rFonts w:hint="eastAsia" w:ascii="微软雅黑" w:hAnsi="微软雅黑" w:eastAsia="微软雅黑" w:cs="微软雅黑"/>
          <w:b/>
          <w:bCs/>
          <w:color w:val="auto"/>
          <w:spacing w:val="24"/>
          <w:sz w:val="22"/>
          <w:szCs w:val="22"/>
          <w:highlight w:val="none"/>
        </w:rPr>
        <w:t>1、法定代表人有效身份证明书</w:t>
      </w:r>
    </w:p>
    <w:p>
      <w:pPr>
        <w:spacing w:line="700" w:lineRule="exact"/>
        <w:ind w:firstLine="536" w:firstLineChars="200"/>
        <w:jc w:val="center"/>
        <w:rPr>
          <w:rFonts w:ascii="微软雅黑" w:hAnsi="微软雅黑" w:eastAsia="微软雅黑" w:cs="微软雅黑"/>
          <w:b/>
          <w:bCs/>
          <w:color w:val="auto"/>
          <w:spacing w:val="24"/>
          <w:sz w:val="22"/>
          <w:szCs w:val="22"/>
          <w:highlight w:val="none"/>
        </w:rPr>
      </w:pPr>
    </w:p>
    <w:p>
      <w:pPr>
        <w:spacing w:line="500" w:lineRule="exact"/>
        <w:ind w:firstLine="536" w:firstLineChars="200"/>
        <w:jc w:val="center"/>
        <w:rPr>
          <w:rFonts w:ascii="微软雅黑" w:hAnsi="微软雅黑" w:eastAsia="微软雅黑" w:cs="微软雅黑"/>
          <w:b/>
          <w:bCs/>
          <w:color w:val="auto"/>
          <w:spacing w:val="24"/>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（姓名）是</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（单位全称）的法定代表人，身份证号码为</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w:t>
      </w:r>
    </w:p>
    <w:p>
      <w:pPr>
        <w:spacing w:line="500" w:lineRule="exact"/>
        <w:ind w:firstLine="440" w:firstLineChars="200"/>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特此证明。</w:t>
      </w:r>
    </w:p>
    <w:p>
      <w:pPr>
        <w:spacing w:line="500" w:lineRule="exact"/>
        <w:ind w:firstLine="440" w:firstLineChars="200"/>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（盖章）</w:t>
      </w: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法定代表人或其授权代理人（签名或盖章）</w:t>
      </w:r>
    </w:p>
    <w:p>
      <w:pPr>
        <w:spacing w:line="500" w:lineRule="exact"/>
        <w:ind w:firstLine="440" w:firstLineChars="200"/>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p>
    <w:p>
      <w:pPr>
        <w:spacing w:line="500" w:lineRule="exact"/>
        <w:ind w:firstLine="440" w:firstLineChars="200"/>
        <w:jc w:val="center"/>
        <w:outlineLvl w:val="0"/>
        <w:rPr>
          <w:rFonts w:ascii="微软雅黑" w:hAnsi="微软雅黑" w:eastAsia="微软雅黑" w:cs="微软雅黑"/>
          <w:color w:val="auto"/>
          <w:sz w:val="22"/>
          <w:szCs w:val="22"/>
          <w:highlight w:val="none"/>
        </w:rPr>
      </w:pPr>
      <w:bookmarkStart w:id="91" w:name="_Toc10370"/>
      <w:r>
        <w:rPr>
          <w:rFonts w:hint="eastAsia" w:ascii="微软雅黑" w:hAnsi="微软雅黑" w:eastAsia="微软雅黑" w:cs="微软雅黑"/>
          <w:color w:val="auto"/>
          <w:sz w:val="22"/>
          <w:szCs w:val="22"/>
          <w:highlight w:val="none"/>
        </w:rPr>
        <w:t>有效身份证明扫描件粘贴处</w:t>
      </w:r>
      <w:bookmarkEnd w:id="91"/>
    </w:p>
    <w:p>
      <w:pPr>
        <w:snapToGrid w:val="0"/>
        <w:spacing w:before="156" w:beforeLines="50" w:after="50"/>
        <w:ind w:firstLine="440" w:firstLineChars="200"/>
        <w:rPr>
          <w:rFonts w:ascii="微软雅黑" w:hAnsi="微软雅黑" w:eastAsia="微软雅黑" w:cs="微软雅黑"/>
          <w:color w:val="auto"/>
          <w:sz w:val="22"/>
          <w:szCs w:val="22"/>
          <w:highlight w:val="none"/>
        </w:rPr>
      </w:pPr>
    </w:p>
    <w:p>
      <w:pPr>
        <w:snapToGrid w:val="0"/>
        <w:spacing w:before="156" w:beforeLines="50" w:after="50"/>
        <w:rPr>
          <w:rFonts w:ascii="微软雅黑" w:hAnsi="微软雅黑" w:eastAsia="微软雅黑" w:cs="微软雅黑"/>
          <w:color w:val="auto"/>
          <w:sz w:val="22"/>
          <w:szCs w:val="22"/>
          <w:highlight w:val="none"/>
        </w:rPr>
      </w:pPr>
    </w:p>
    <w:p>
      <w:pP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br w:type="page"/>
      </w:r>
    </w:p>
    <w:p>
      <w:pPr>
        <w:snapToGrid w:val="0"/>
        <w:spacing w:before="156" w:beforeLines="50" w:after="50" w:line="480" w:lineRule="auto"/>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2、法定代表人授权委托书</w:t>
      </w:r>
    </w:p>
    <w:p>
      <w:pP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致: ______</w:t>
      </w:r>
      <w:r>
        <w:rPr>
          <w:rFonts w:hint="eastAsia" w:ascii="微软雅黑" w:hAnsi="微软雅黑" w:eastAsia="微软雅黑" w:cs="微软雅黑"/>
          <w:color w:val="auto"/>
          <w:sz w:val="22"/>
          <w:szCs w:val="22"/>
          <w:highlight w:val="none"/>
          <w:u w:val="single"/>
        </w:rPr>
        <w:t>_             _</w:t>
      </w:r>
      <w:r>
        <w:rPr>
          <w:rFonts w:hint="eastAsia" w:ascii="微软雅黑" w:hAnsi="微软雅黑" w:eastAsia="微软雅黑" w:cs="微软雅黑"/>
          <w:color w:val="auto"/>
          <w:sz w:val="22"/>
          <w:szCs w:val="22"/>
          <w:highlight w:val="none"/>
        </w:rPr>
        <w:t>_（采购单位名称）</w:t>
      </w:r>
    </w:p>
    <w:p>
      <w:pP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本授权委托书声明，我</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（姓名）系</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（供应商名称）的法定代表人，现授权委托本单位的在职职工</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 xml:space="preserve"> （姓名）为我单位代理人，以本单位的名义参加</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（采购代理机构名称）组织的</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（项目名称）的磋商响应活动。被授权代理人在磋商响应、开标、评标、合同谈判过程中所签署的一切文件和处理与之有关的一切事务，我均予以承认。</w:t>
      </w:r>
    </w:p>
    <w:p>
      <w:pP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被授权人无转委托权，特此委托。</w:t>
      </w:r>
    </w:p>
    <w:p>
      <w:pPr>
        <w:spacing w:line="640" w:lineRule="exact"/>
        <w:ind w:firstLine="440" w:firstLineChars="200"/>
        <w:rPr>
          <w:rFonts w:ascii="微软雅黑" w:hAnsi="微软雅黑" w:eastAsia="微软雅黑" w:cs="微软雅黑"/>
          <w:b/>
          <w:color w:val="auto"/>
          <w:sz w:val="22"/>
          <w:szCs w:val="22"/>
          <w:highlight w:val="none"/>
        </w:rPr>
      </w:pPr>
    </w:p>
    <w:p>
      <w:pPr>
        <w:spacing w:line="6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授权代理人：</w:t>
      </w:r>
      <w:r>
        <w:rPr>
          <w:rFonts w:hint="eastAsia" w:ascii="微软雅黑" w:hAnsi="微软雅黑" w:eastAsia="微软雅黑" w:cs="微软雅黑"/>
          <w:color w:val="auto"/>
          <w:sz w:val="22"/>
          <w:szCs w:val="22"/>
          <w:highlight w:val="none"/>
          <w:u w:val="single"/>
        </w:rPr>
        <w:t xml:space="preserve">   （签字）   </w:t>
      </w:r>
    </w:p>
    <w:p>
      <w:pPr>
        <w:spacing w:line="6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身份证号码：</w:t>
      </w:r>
      <w:r>
        <w:rPr>
          <w:rFonts w:hint="eastAsia" w:ascii="微软雅黑" w:hAnsi="微软雅黑" w:eastAsia="微软雅黑" w:cs="微软雅黑"/>
          <w:color w:val="auto"/>
          <w:sz w:val="22"/>
          <w:szCs w:val="22"/>
          <w:highlight w:val="none"/>
          <w:u w:val="single"/>
        </w:rPr>
        <w:t xml:space="preserve">                    </w:t>
      </w:r>
    </w:p>
    <w:p>
      <w:pPr>
        <w:spacing w:line="6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职务：</w:t>
      </w:r>
      <w:r>
        <w:rPr>
          <w:rFonts w:hint="eastAsia" w:ascii="微软雅黑" w:hAnsi="微软雅黑" w:eastAsia="微软雅黑" w:cs="微软雅黑"/>
          <w:color w:val="auto"/>
          <w:sz w:val="22"/>
          <w:szCs w:val="22"/>
          <w:highlight w:val="none"/>
          <w:u w:val="single"/>
        </w:rPr>
        <w:t xml:space="preserve">                    </w:t>
      </w:r>
    </w:p>
    <w:p>
      <w:pP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w:t>
      </w:r>
      <w:r>
        <w:rPr>
          <w:rFonts w:hint="eastAsia" w:ascii="微软雅黑" w:hAnsi="微软雅黑" w:eastAsia="微软雅黑" w:cs="微软雅黑"/>
          <w:color w:val="auto"/>
          <w:sz w:val="22"/>
          <w:szCs w:val="22"/>
          <w:highlight w:val="none"/>
          <w:u w:val="single"/>
        </w:rPr>
        <w:t xml:space="preserve">                 （盖章）</w:t>
      </w:r>
    </w:p>
    <w:p>
      <w:pPr>
        <w:spacing w:line="640" w:lineRule="exact"/>
        <w:ind w:firstLine="440" w:firstLineChars="200"/>
        <w:jc w:val="center"/>
        <w:outlineLvl w:val="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 xml:space="preserve">             </w:t>
      </w:r>
      <w:bookmarkStart w:id="92" w:name="_Toc11954"/>
      <w:r>
        <w:rPr>
          <w:rFonts w:hint="eastAsia" w:ascii="微软雅黑" w:hAnsi="微软雅黑" w:eastAsia="微软雅黑" w:cs="微软雅黑"/>
          <w:color w:val="auto"/>
          <w:sz w:val="22"/>
          <w:szCs w:val="22"/>
          <w:highlight w:val="none"/>
        </w:rPr>
        <w:t>法定代表人：</w:t>
      </w:r>
      <w:r>
        <w:rPr>
          <w:rFonts w:hint="eastAsia" w:ascii="微软雅黑" w:hAnsi="微软雅黑" w:eastAsia="微软雅黑" w:cs="微软雅黑"/>
          <w:color w:val="auto"/>
          <w:sz w:val="22"/>
          <w:szCs w:val="22"/>
          <w:highlight w:val="none"/>
          <w:u w:val="single"/>
        </w:rPr>
        <w:t xml:space="preserve">                       （签名或盖章）</w:t>
      </w:r>
      <w:bookmarkEnd w:id="92"/>
    </w:p>
    <w:p>
      <w:pPr>
        <w:spacing w:line="640" w:lineRule="exact"/>
        <w:ind w:firstLine="440" w:firstLineChars="200"/>
        <w:jc w:val="center"/>
        <w:rPr>
          <w:rFonts w:ascii="微软雅黑" w:hAnsi="微软雅黑" w:eastAsia="微软雅黑" w:cs="微软雅黑"/>
          <w:color w:val="auto"/>
          <w:sz w:val="22"/>
          <w:szCs w:val="22"/>
          <w:highlight w:val="none"/>
          <w:u w:val="single"/>
        </w:rPr>
      </w:pPr>
    </w:p>
    <w:p>
      <w:pPr>
        <w:pBdr>
          <w:bottom w:val="single" w:color="auto" w:sz="4" w:space="0"/>
        </w:pBd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spacing w:line="640" w:lineRule="exact"/>
        <w:ind w:firstLine="440" w:firstLineChars="200"/>
        <w:jc w:val="center"/>
        <w:outlineLvl w:val="0"/>
        <w:rPr>
          <w:rFonts w:ascii="微软雅黑" w:hAnsi="微软雅黑" w:eastAsia="微软雅黑" w:cs="微软雅黑"/>
          <w:color w:val="auto"/>
          <w:sz w:val="22"/>
          <w:szCs w:val="22"/>
          <w:highlight w:val="none"/>
        </w:rPr>
      </w:pPr>
      <w:bookmarkStart w:id="93" w:name="_Toc17188"/>
      <w:r>
        <w:rPr>
          <w:rFonts w:hint="eastAsia" w:ascii="微软雅黑" w:hAnsi="微软雅黑" w:eastAsia="微软雅黑" w:cs="微软雅黑"/>
          <w:color w:val="auto"/>
          <w:sz w:val="22"/>
          <w:szCs w:val="22"/>
          <w:highlight w:val="none"/>
        </w:rPr>
        <w:t>授权代理人有效身份证明扫描件粘贴处</w:t>
      </w:r>
      <w:bookmarkEnd w:id="93"/>
    </w:p>
    <w:p>
      <w:pPr>
        <w:spacing w:line="700" w:lineRule="exact"/>
        <w:ind w:firstLine="440" w:firstLineChars="200"/>
        <w:jc w:val="center"/>
        <w:rPr>
          <w:rFonts w:ascii="微软雅黑" w:hAnsi="微软雅黑" w:eastAsia="微软雅黑" w:cs="微软雅黑"/>
          <w:b/>
          <w:color w:val="auto"/>
          <w:sz w:val="22"/>
          <w:szCs w:val="22"/>
          <w:highlight w:val="none"/>
        </w:rPr>
      </w:pPr>
    </w:p>
    <w:p>
      <w:pPr>
        <w:spacing w:line="640" w:lineRule="exact"/>
        <w:ind w:firstLine="440" w:firstLineChars="200"/>
        <w:jc w:val="center"/>
        <w:rPr>
          <w:rFonts w:ascii="微软雅黑" w:hAnsi="微软雅黑" w:eastAsia="微软雅黑" w:cs="微软雅黑"/>
          <w:color w:val="auto"/>
          <w:sz w:val="22"/>
          <w:szCs w:val="22"/>
          <w:highlight w:val="none"/>
          <w:u w:val="single"/>
        </w:rPr>
      </w:pPr>
    </w:p>
    <w:p>
      <w:pPr>
        <w:spacing w:line="600" w:lineRule="exact"/>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（后附授权代理人最近一个月个人社保缴纳证明文件）</w:t>
      </w:r>
    </w:p>
    <w:p>
      <w:pPr>
        <w:rPr>
          <w:rFonts w:ascii="微软雅黑" w:hAnsi="微软雅黑" w:eastAsia="微软雅黑" w:cs="微软雅黑"/>
          <w:b/>
          <w:bCs/>
          <w:color w:val="auto"/>
          <w:spacing w:val="24"/>
          <w:sz w:val="22"/>
          <w:szCs w:val="22"/>
          <w:highlight w:val="none"/>
        </w:rPr>
      </w:pPr>
      <w:r>
        <w:rPr>
          <w:rFonts w:hint="eastAsia" w:ascii="微软雅黑" w:hAnsi="微软雅黑" w:eastAsia="微软雅黑" w:cs="微软雅黑"/>
          <w:b/>
          <w:bCs/>
          <w:color w:val="auto"/>
          <w:spacing w:val="24"/>
          <w:sz w:val="22"/>
          <w:szCs w:val="22"/>
          <w:highlight w:val="none"/>
        </w:rPr>
        <w:br w:type="page"/>
      </w:r>
    </w:p>
    <w:p>
      <w:pPr>
        <w:spacing w:line="64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b/>
          <w:bCs/>
          <w:color w:val="auto"/>
          <w:spacing w:val="24"/>
          <w:sz w:val="22"/>
          <w:szCs w:val="22"/>
          <w:highlight w:val="none"/>
        </w:rPr>
        <w:t>3、信用承诺书</w:t>
      </w:r>
    </w:p>
    <w:p>
      <w:pPr>
        <w:tabs>
          <w:tab w:val="left" w:pos="1650"/>
        </w:tabs>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（供应商）现参加</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（采购项目）政府采购活动，郑重承诺如下：</w:t>
      </w:r>
    </w:p>
    <w:p>
      <w:pPr>
        <w:tabs>
          <w:tab w:val="left" w:pos="1650"/>
        </w:tabs>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1、对所提供的资料合法性、真实性、准确性和有效性负责；</w:t>
      </w:r>
    </w:p>
    <w:p>
      <w:pPr>
        <w:tabs>
          <w:tab w:val="left" w:pos="1650"/>
        </w:tabs>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2、严格按照国家法律、法规和规章，依法开展相关经济活动，全面履行应尽的责任和义务；</w:t>
      </w:r>
    </w:p>
    <w:p>
      <w:pPr>
        <w:tabs>
          <w:tab w:val="left" w:pos="1650"/>
        </w:tabs>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3、加强自我约束、自我规范、自我管理，不制假售假、不虚假宣传、不违约毁约、不恶意逃债、不偷税漏税，诚信依法经营；</w:t>
      </w:r>
    </w:p>
    <w:p>
      <w:pPr>
        <w:tabs>
          <w:tab w:val="left" w:pos="1650"/>
        </w:tabs>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4、自愿接受行政主管部门的依法检查、违背承诺约定将自愿承担违约责任，并接受法律法规和相关部门规章制度的惩戒和约束；</w:t>
      </w:r>
    </w:p>
    <w:p>
      <w:pPr>
        <w:tabs>
          <w:tab w:val="left" w:pos="1650"/>
        </w:tabs>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按照信用信息管理有关要求，本单位（个人）同意将以上承诺在信用湖州网站公示，若违背以上承诺，依据相关规定记入企业（个人）信用档案；性质严重的，承担相应法律后果和责任，并依法依规列入严重失信名单。</w:t>
      </w:r>
    </w:p>
    <w:p>
      <w:pPr>
        <w:tabs>
          <w:tab w:val="left" w:pos="1650"/>
        </w:tabs>
        <w:spacing w:line="640" w:lineRule="exact"/>
        <w:ind w:firstLine="440" w:firstLineChars="200"/>
        <w:rPr>
          <w:rFonts w:ascii="微软雅黑" w:hAnsi="微软雅黑" w:eastAsia="微软雅黑" w:cs="微软雅黑"/>
          <w:color w:val="auto"/>
          <w:sz w:val="22"/>
          <w:szCs w:val="22"/>
          <w:highlight w:val="none"/>
          <w:u w:val="single"/>
        </w:rPr>
      </w:pPr>
    </w:p>
    <w:p>
      <w:pPr>
        <w:tabs>
          <w:tab w:val="left" w:pos="1650"/>
        </w:tabs>
        <w:spacing w:line="640" w:lineRule="exact"/>
        <w:ind w:firstLine="440" w:firstLineChars="200"/>
        <w:rPr>
          <w:rFonts w:ascii="微软雅黑" w:hAnsi="微软雅黑" w:eastAsia="微软雅黑" w:cs="微软雅黑"/>
          <w:color w:val="auto"/>
          <w:sz w:val="22"/>
          <w:szCs w:val="22"/>
          <w:highlight w:val="none"/>
          <w:u w:val="single"/>
        </w:rPr>
      </w:pPr>
    </w:p>
    <w:p>
      <w:pPr>
        <w:widowControl/>
        <w:spacing w:line="640" w:lineRule="exact"/>
        <w:ind w:firstLine="440" w:firstLineChars="200"/>
        <w:jc w:val="left"/>
        <w:rPr>
          <w:rFonts w:ascii="微软雅黑" w:hAnsi="微软雅黑" w:eastAsia="微软雅黑" w:cs="微软雅黑"/>
          <w:color w:val="auto"/>
          <w:spacing w:val="-7"/>
          <w:kern w:val="0"/>
          <w:sz w:val="22"/>
          <w:szCs w:val="22"/>
          <w:highlight w:val="none"/>
        </w:rPr>
      </w:pPr>
      <w:r>
        <w:rPr>
          <w:rFonts w:hint="eastAsia" w:ascii="微软雅黑" w:hAnsi="微软雅黑" w:eastAsia="微软雅黑" w:cs="微软雅黑"/>
          <w:color w:val="auto"/>
          <w:sz w:val="22"/>
          <w:szCs w:val="22"/>
          <w:highlight w:val="none"/>
        </w:rPr>
        <w:t>统一社会信用代码：</w:t>
      </w:r>
      <w:r>
        <w:rPr>
          <w:rFonts w:hint="eastAsia" w:ascii="微软雅黑" w:hAnsi="微软雅黑" w:eastAsia="微软雅黑" w:cs="微软雅黑"/>
          <w:color w:val="auto"/>
          <w:spacing w:val="-7"/>
          <w:kern w:val="0"/>
          <w:sz w:val="22"/>
          <w:szCs w:val="22"/>
          <w:highlight w:val="none"/>
          <w:u w:val="single"/>
        </w:rPr>
        <w:t xml:space="preserve">                      </w:t>
      </w:r>
      <w:r>
        <w:rPr>
          <w:rFonts w:hint="eastAsia" w:ascii="微软雅黑" w:hAnsi="微软雅黑" w:eastAsia="微软雅黑" w:cs="微软雅黑"/>
          <w:color w:val="auto"/>
          <w:spacing w:val="-7"/>
          <w:kern w:val="0"/>
          <w:sz w:val="22"/>
          <w:szCs w:val="22"/>
          <w:highlight w:val="none"/>
        </w:rPr>
        <w:t xml:space="preserve"> </w:t>
      </w:r>
    </w:p>
    <w:p>
      <w:pPr>
        <w:widowControl/>
        <w:spacing w:line="640" w:lineRule="exact"/>
        <w:ind w:firstLine="440" w:firstLineChars="200"/>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xml:space="preserve">    </w:t>
      </w:r>
    </w:p>
    <w:p>
      <w:pPr>
        <w:widowControl/>
        <w:spacing w:line="640" w:lineRule="exact"/>
        <w:ind w:right="240"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承诺单位/个人：</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（盖章/签名）</w:t>
      </w:r>
    </w:p>
    <w:p>
      <w:pPr>
        <w:spacing w:line="6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时        间：     年   月   日</w:t>
      </w:r>
    </w:p>
    <w:p>
      <w:pPr>
        <w:spacing w:line="600" w:lineRule="exact"/>
        <w:ind w:firstLine="440" w:firstLineChars="200"/>
        <w:jc w:val="center"/>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b/>
          <w:color w:val="auto"/>
          <w:sz w:val="22"/>
          <w:szCs w:val="22"/>
          <w:highlight w:val="none"/>
          <w:lang w:val="zh-CN"/>
        </w:rPr>
      </w:pPr>
      <w:r>
        <w:rPr>
          <w:rFonts w:hint="eastAsia" w:ascii="微软雅黑" w:hAnsi="微软雅黑" w:eastAsia="微软雅黑" w:cs="微软雅黑"/>
          <w:b/>
          <w:color w:val="auto"/>
          <w:sz w:val="22"/>
          <w:szCs w:val="22"/>
          <w:highlight w:val="none"/>
          <w:lang w:val="zh-CN"/>
        </w:rPr>
        <w:br w:type="page"/>
      </w:r>
      <w:r>
        <w:rPr>
          <w:rFonts w:hint="eastAsia" w:ascii="微软雅黑" w:hAnsi="微软雅黑" w:eastAsia="微软雅黑" w:cs="微软雅黑"/>
          <w:b/>
          <w:color w:val="auto"/>
          <w:sz w:val="22"/>
          <w:szCs w:val="22"/>
          <w:highlight w:val="none"/>
          <w:lang w:val="zh-CN"/>
        </w:rPr>
        <w:t>技术文件格式：</w:t>
      </w: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供应商根据“技术文件组成及评分标准要求”自拟格式</w:t>
      </w: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rPr>
      </w:pPr>
    </w:p>
    <w:p>
      <w:pPr>
        <w:autoSpaceDE w:val="0"/>
        <w:autoSpaceDN w:val="0"/>
        <w:adjustRightInd w:val="0"/>
        <w:spacing w:line="540" w:lineRule="exact"/>
        <w:ind w:firstLine="440" w:firstLineChars="200"/>
        <w:jc w:val="left"/>
        <w:rPr>
          <w:rFonts w:ascii="微软雅黑" w:hAnsi="微软雅黑" w:eastAsia="微软雅黑" w:cs="微软雅黑"/>
          <w:b/>
          <w:color w:val="auto"/>
          <w:sz w:val="22"/>
          <w:szCs w:val="22"/>
          <w:highlight w:val="none"/>
          <w:lang w:val="zh-CN"/>
        </w:rPr>
      </w:pPr>
      <w:r>
        <w:rPr>
          <w:rFonts w:hint="eastAsia" w:ascii="微软雅黑" w:hAnsi="微软雅黑" w:eastAsia="微软雅黑" w:cs="微软雅黑"/>
          <w:b/>
          <w:color w:val="auto"/>
          <w:sz w:val="22"/>
          <w:szCs w:val="22"/>
          <w:highlight w:val="none"/>
          <w:lang w:val="zh-CN"/>
        </w:rPr>
        <w:t>商务、资信及其他文件格式：</w:t>
      </w:r>
    </w:p>
    <w:p>
      <w:pPr>
        <w:snapToGrid w:val="0"/>
        <w:spacing w:before="156" w:beforeLines="50" w:after="50"/>
        <w:ind w:firstLine="440" w:firstLineChars="200"/>
        <w:jc w:val="center"/>
        <w:rPr>
          <w:rFonts w:ascii="微软雅黑" w:hAnsi="微软雅黑" w:eastAsia="微软雅黑" w:cs="微软雅黑"/>
          <w:b/>
          <w:color w:val="auto"/>
          <w:sz w:val="22"/>
          <w:szCs w:val="22"/>
          <w:highlight w:val="none"/>
        </w:rPr>
      </w:pPr>
    </w:p>
    <w:p>
      <w:pPr>
        <w:snapToGrid w:val="0"/>
        <w:spacing w:before="156" w:beforeLines="50" w:after="5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4、磋商响应声明书</w:t>
      </w:r>
    </w:p>
    <w:p>
      <w:pPr>
        <w:snapToGrid w:val="0"/>
        <w:spacing w:before="156" w:beforeLines="50" w:after="50"/>
        <w:ind w:firstLine="440" w:firstLineChars="200"/>
        <w:jc w:val="center"/>
        <w:rPr>
          <w:rFonts w:ascii="微软雅黑" w:hAnsi="微软雅黑" w:eastAsia="微软雅黑" w:cs="微软雅黑"/>
          <w:b/>
          <w:color w:val="auto"/>
          <w:sz w:val="22"/>
          <w:szCs w:val="22"/>
          <w:highlight w:val="none"/>
        </w:rPr>
      </w:pP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致：_______（采购单位名称）：</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______（供应商名称）系中华人民共和国合法企业，经营地址                               。</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我___（姓名）系_______（供应商名称）的法定代表人，我方愿意参加贵方组织的______项目的磋商响应，为便于贵方公正、择优地确定成交人及其服务，我方就本次磋商响应有关事项郑重声明如下：</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1.我方向贵方提交的所有磋商响应文件、资料都是准确的和真实的。</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2.我方不是采购人的附属机构；在获知本项目采购信息后，与采购人聘请的为此项目提供咨询服务的公司及其附属机构没有任何联系。</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3.我方诚意提请贵方关注：近期有关磋商响应项目方面的重大决策和事项有：</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　　　　　　　　　　　　　　　　　　　　　　　　　　　</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4.我方及由本人担任法定代表人的其他机构最近三年内被通报或者被处罚的违法行为有：</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　　　　　　　　　　　　　　　　　　　　　　　　　　　</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以上事项如有虚假或隐瞒，我方愿意承担一切后果，并不再寻求任何旨在减轻或免除法律责任的辩解。</w:t>
      </w:r>
    </w:p>
    <w:p>
      <w:pPr>
        <w:pStyle w:val="13"/>
        <w:snapToGrid w:val="0"/>
        <w:ind w:firstLine="440" w:firstLineChars="200"/>
        <w:rPr>
          <w:rFonts w:ascii="微软雅黑" w:hAnsi="微软雅黑" w:eastAsia="微软雅黑" w:cs="微软雅黑"/>
          <w:color w:val="auto"/>
          <w:kern w:val="2"/>
          <w:sz w:val="22"/>
          <w:szCs w:val="22"/>
          <w:highlight w:val="none"/>
        </w:rPr>
      </w:pP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 xml:space="preserve">法定代表人或授权代表签字：             </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 xml:space="preserve">供应商公章：                                     </w:t>
      </w:r>
    </w:p>
    <w:p>
      <w:pPr>
        <w:pStyle w:val="13"/>
        <w:snapToGrid w:val="0"/>
        <w:ind w:firstLine="440" w:firstLineChars="200"/>
        <w:rPr>
          <w:rFonts w:ascii="微软雅黑" w:hAnsi="微软雅黑" w:eastAsia="微软雅黑" w:cs="微软雅黑"/>
          <w:color w:val="auto"/>
          <w:kern w:val="2"/>
          <w:sz w:val="22"/>
          <w:szCs w:val="22"/>
          <w:highlight w:val="none"/>
        </w:rPr>
      </w:pPr>
      <w:r>
        <w:rPr>
          <w:rFonts w:hint="eastAsia" w:ascii="微软雅黑" w:hAnsi="微软雅黑" w:eastAsia="微软雅黑" w:cs="微软雅黑"/>
          <w:color w:val="auto"/>
          <w:kern w:val="2"/>
          <w:sz w:val="22"/>
          <w:szCs w:val="22"/>
          <w:highlight w:val="none"/>
        </w:rPr>
        <w:t>年    月    日</w:t>
      </w:r>
    </w:p>
    <w:p>
      <w:pPr>
        <w:snapToGrid w:val="0"/>
        <w:spacing w:before="156" w:beforeLines="50" w:after="50"/>
        <w:ind w:firstLine="440" w:firstLineChars="200"/>
        <w:rPr>
          <w:rFonts w:ascii="微软雅黑" w:hAnsi="微软雅黑" w:eastAsia="微软雅黑" w:cs="微软雅黑"/>
          <w:color w:val="auto"/>
          <w:sz w:val="22"/>
          <w:szCs w:val="22"/>
          <w:highlight w:val="none"/>
        </w:rPr>
      </w:pPr>
    </w:p>
    <w:p>
      <w:pPr>
        <w:snapToGrid w:val="0"/>
        <w:spacing w:before="156" w:beforeLines="50" w:after="50"/>
        <w:ind w:firstLine="440" w:firstLineChars="200"/>
        <w:rPr>
          <w:rFonts w:ascii="微软雅黑" w:hAnsi="微软雅黑" w:eastAsia="微软雅黑" w:cs="微软雅黑"/>
          <w:color w:val="auto"/>
          <w:sz w:val="22"/>
          <w:szCs w:val="22"/>
          <w:highlight w:val="none"/>
        </w:rPr>
      </w:pPr>
    </w:p>
    <w:p>
      <w:pPr>
        <w:snapToGrid w:val="0"/>
        <w:spacing w:before="156" w:beforeLines="50" w:after="50"/>
        <w:ind w:firstLine="440" w:firstLineChars="200"/>
        <w:rPr>
          <w:rFonts w:ascii="微软雅黑" w:hAnsi="微软雅黑" w:eastAsia="微软雅黑" w:cs="微软雅黑"/>
          <w:color w:val="auto"/>
          <w:sz w:val="22"/>
          <w:szCs w:val="22"/>
          <w:highlight w:val="none"/>
        </w:rPr>
      </w:pPr>
    </w:p>
    <w:p>
      <w:pPr>
        <w:rPr>
          <w:rFonts w:ascii="微软雅黑" w:hAnsi="微软雅黑" w:eastAsia="微软雅黑" w:cs="微软雅黑"/>
          <w:b/>
          <w:bCs/>
          <w:color w:val="auto"/>
          <w:spacing w:val="24"/>
          <w:sz w:val="22"/>
          <w:szCs w:val="22"/>
          <w:highlight w:val="none"/>
        </w:rPr>
      </w:pPr>
      <w:r>
        <w:rPr>
          <w:rFonts w:hint="eastAsia" w:ascii="微软雅黑" w:hAnsi="微软雅黑" w:eastAsia="微软雅黑" w:cs="微软雅黑"/>
          <w:b/>
          <w:bCs/>
          <w:color w:val="auto"/>
          <w:spacing w:val="24"/>
          <w:sz w:val="22"/>
          <w:szCs w:val="22"/>
          <w:highlight w:val="none"/>
        </w:rPr>
        <w:br w:type="page"/>
      </w:r>
    </w:p>
    <w:p>
      <w:pPr>
        <w:spacing w:line="600" w:lineRule="exact"/>
        <w:jc w:val="center"/>
        <w:rPr>
          <w:rFonts w:ascii="微软雅黑" w:hAnsi="微软雅黑" w:eastAsia="微软雅黑" w:cs="微软雅黑"/>
          <w:b/>
          <w:bCs/>
          <w:color w:val="auto"/>
          <w:spacing w:val="24"/>
          <w:sz w:val="22"/>
          <w:szCs w:val="22"/>
          <w:highlight w:val="none"/>
        </w:rPr>
      </w:pPr>
      <w:r>
        <w:rPr>
          <w:rFonts w:hint="eastAsia" w:ascii="微软雅黑" w:hAnsi="微软雅黑" w:eastAsia="微软雅黑" w:cs="微软雅黑"/>
          <w:b/>
          <w:bCs/>
          <w:color w:val="auto"/>
          <w:spacing w:val="24"/>
          <w:sz w:val="22"/>
          <w:szCs w:val="22"/>
          <w:highlight w:val="none"/>
        </w:rPr>
        <w:t>5、供应商情况表</w:t>
      </w:r>
    </w:p>
    <w:tbl>
      <w:tblPr>
        <w:tblStyle w:val="30"/>
        <w:tblW w:w="92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827"/>
        <w:gridCol w:w="1036"/>
        <w:gridCol w:w="1134"/>
        <w:gridCol w:w="170"/>
        <w:gridCol w:w="823"/>
        <w:gridCol w:w="567"/>
        <w:gridCol w:w="567"/>
        <w:gridCol w:w="992"/>
        <w:gridCol w:w="1134"/>
        <w:gridCol w:w="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9249" w:type="dxa"/>
            <w:gridSpan w:val="10"/>
            <w:tcBorders>
              <w:top w:val="single" w:color="auto" w:sz="12" w:space="0"/>
              <w:left w:val="single" w:color="auto" w:sz="12"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企业情况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单位名称</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地 址</w:t>
            </w:r>
          </w:p>
        </w:tc>
        <w:tc>
          <w:tcPr>
            <w:tcW w:w="3730" w:type="dxa"/>
            <w:gridSpan w:val="5"/>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559"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w:t>
            </w:r>
          </w:p>
        </w:tc>
        <w:tc>
          <w:tcPr>
            <w:tcW w:w="2133" w:type="dxa"/>
            <w:gridSpan w:val="2"/>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成立时间  </w:t>
            </w:r>
          </w:p>
        </w:tc>
        <w:tc>
          <w:tcPr>
            <w:tcW w:w="3730" w:type="dxa"/>
            <w:gridSpan w:val="5"/>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559"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注册资本</w:t>
            </w:r>
          </w:p>
        </w:tc>
        <w:tc>
          <w:tcPr>
            <w:tcW w:w="2133" w:type="dxa"/>
            <w:gridSpan w:val="2"/>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开户银行  </w:t>
            </w:r>
          </w:p>
        </w:tc>
        <w:tc>
          <w:tcPr>
            <w:tcW w:w="2340" w:type="dxa"/>
            <w:gridSpan w:val="3"/>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390"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帐 号</w:t>
            </w:r>
          </w:p>
        </w:tc>
        <w:tc>
          <w:tcPr>
            <w:tcW w:w="3692" w:type="dxa"/>
            <w:gridSpan w:val="4"/>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联系电话</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8"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公司总人数</w:t>
            </w:r>
          </w:p>
        </w:tc>
        <w:tc>
          <w:tcPr>
            <w:tcW w:w="1036" w:type="dxa"/>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6" w:space="0"/>
              <w:left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管理</w:t>
            </w:r>
          </w:p>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人员</w:t>
            </w:r>
          </w:p>
        </w:tc>
        <w:tc>
          <w:tcPr>
            <w:tcW w:w="993" w:type="dxa"/>
            <w:gridSpan w:val="2"/>
            <w:tcBorders>
              <w:top w:val="single" w:color="auto" w:sz="6" w:space="0"/>
              <w:left w:val="single" w:color="auto" w:sz="6"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134" w:type="dxa"/>
            <w:gridSpan w:val="2"/>
            <w:tcBorders>
              <w:top w:val="single" w:color="auto" w:sz="6" w:space="0"/>
              <w:left w:val="single" w:color="auto" w:sz="6" w:space="0"/>
              <w:bottom w:val="single" w:color="auto" w:sz="6" w:space="0"/>
              <w:right w:val="single" w:color="auto" w:sz="4" w:space="0"/>
            </w:tcBorders>
            <w:vAlign w:val="center"/>
          </w:tcPr>
          <w:p>
            <w:pPr>
              <w:spacing w:line="500" w:lineRule="exact"/>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管理人员</w:t>
            </w:r>
          </w:p>
        </w:tc>
        <w:tc>
          <w:tcPr>
            <w:tcW w:w="992" w:type="dxa"/>
            <w:tcBorders>
              <w:top w:val="single" w:color="auto" w:sz="6" w:space="0"/>
              <w:left w:val="single" w:color="auto" w:sz="4" w:space="0"/>
              <w:bottom w:val="single" w:color="auto" w:sz="6" w:space="0"/>
              <w:right w:val="single" w:color="auto" w:sz="4"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6" w:space="0"/>
              <w:left w:val="single" w:color="auto" w:sz="4" w:space="0"/>
              <w:bottom w:val="single" w:color="auto" w:sz="6" w:space="0"/>
              <w:right w:val="single" w:color="auto" w:sz="4" w:space="0"/>
            </w:tcBorders>
            <w:vAlign w:val="center"/>
          </w:tcPr>
          <w:p>
            <w:pPr>
              <w:spacing w:line="5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实习人员</w:t>
            </w:r>
          </w:p>
          <w:p>
            <w:pPr>
              <w:spacing w:line="5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及后勤人员</w:t>
            </w:r>
          </w:p>
          <w:p>
            <w:pPr>
              <w:spacing w:line="500" w:lineRule="exact"/>
              <w:rPr>
                <w:rFonts w:ascii="微软雅黑" w:hAnsi="微软雅黑" w:eastAsia="微软雅黑" w:cs="微软雅黑"/>
                <w:color w:val="auto"/>
                <w:sz w:val="22"/>
                <w:szCs w:val="22"/>
                <w:highlight w:val="none"/>
              </w:rPr>
            </w:pPr>
          </w:p>
        </w:tc>
        <w:tc>
          <w:tcPr>
            <w:tcW w:w="999" w:type="dxa"/>
            <w:tcBorders>
              <w:top w:val="single" w:color="auto" w:sz="6" w:space="0"/>
              <w:left w:val="single" w:color="auto" w:sz="4"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经营范围</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613" w:hRule="atLeast"/>
        </w:trPr>
        <w:tc>
          <w:tcPr>
            <w:tcW w:w="1827" w:type="dxa"/>
            <w:tcBorders>
              <w:top w:val="single" w:color="auto" w:sz="6" w:space="0"/>
              <w:left w:val="single" w:color="auto" w:sz="12" w:space="0"/>
              <w:bottom w:val="single" w:color="auto" w:sz="4" w:space="0"/>
              <w:right w:val="single" w:color="auto" w:sz="6" w:space="0"/>
            </w:tcBorders>
            <w:vAlign w:val="center"/>
          </w:tcPr>
          <w:p>
            <w:pPr>
              <w:spacing w:line="500" w:lineRule="exact"/>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企业现有的</w:t>
            </w:r>
          </w:p>
          <w:p>
            <w:pPr>
              <w:spacing w:line="500" w:lineRule="exact"/>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资质证书</w:t>
            </w:r>
          </w:p>
        </w:tc>
        <w:tc>
          <w:tcPr>
            <w:tcW w:w="7422" w:type="dxa"/>
            <w:gridSpan w:val="9"/>
            <w:tcBorders>
              <w:top w:val="single" w:color="auto" w:sz="6" w:space="0"/>
              <w:left w:val="single" w:color="auto" w:sz="6" w:space="0"/>
              <w:bottom w:val="single" w:color="auto" w:sz="4" w:space="0"/>
              <w:right w:val="single" w:color="auto" w:sz="12" w:space="0"/>
            </w:tcBorders>
            <w:vAlign w:val="center"/>
          </w:tcPr>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jc w:val="center"/>
              <w:rPr>
                <w:rFonts w:ascii="微软雅黑" w:hAnsi="微软雅黑" w:eastAsia="微软雅黑" w:cs="微软雅黑"/>
                <w:color w:val="auto"/>
                <w:sz w:val="22"/>
                <w:szCs w:val="22"/>
                <w:highlight w:val="none"/>
              </w:rPr>
            </w:pPr>
          </w:p>
          <w:p>
            <w:pPr>
              <w:spacing w:line="500" w:lineRule="exact"/>
              <w:ind w:firstLine="440" w:firstLineChars="200"/>
              <w:rPr>
                <w:rFonts w:ascii="微软雅黑" w:hAnsi="微软雅黑" w:eastAsia="微软雅黑" w:cs="微软雅黑"/>
                <w:color w:val="auto"/>
                <w:sz w:val="22"/>
                <w:szCs w:val="22"/>
                <w:highlight w:val="none"/>
              </w:rPr>
            </w:pPr>
          </w:p>
        </w:tc>
      </w:tr>
    </w:tbl>
    <w:p>
      <w:pPr>
        <w:autoSpaceDE w:val="0"/>
        <w:autoSpaceDN w:val="0"/>
        <w:adjustRightInd w:val="0"/>
        <w:spacing w:line="540" w:lineRule="exact"/>
        <w:ind w:firstLine="440" w:firstLineChars="200"/>
        <w:jc w:val="left"/>
        <w:rPr>
          <w:rFonts w:ascii="微软雅黑" w:hAnsi="微软雅黑" w:eastAsia="微软雅黑" w:cs="微软雅黑"/>
          <w:b/>
          <w:color w:val="auto"/>
          <w:sz w:val="22"/>
          <w:szCs w:val="22"/>
          <w:highlight w:val="none"/>
          <w:lang w:val="zh-CN"/>
        </w:rPr>
      </w:pPr>
      <w:r>
        <w:rPr>
          <w:rFonts w:hint="eastAsia" w:ascii="微软雅黑" w:hAnsi="微软雅黑" w:eastAsia="微软雅黑" w:cs="微软雅黑"/>
          <w:b/>
          <w:color w:val="auto"/>
          <w:sz w:val="22"/>
          <w:szCs w:val="22"/>
          <w:highlight w:val="none"/>
          <w:lang w:val="zh-CN"/>
        </w:rPr>
        <w:t>注：表格不能满足时可自行增加。</w:t>
      </w:r>
    </w:p>
    <w:p>
      <w:pPr>
        <w:spacing w:before="120" w:line="42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法定代表人或授权代表签字：</w:t>
      </w:r>
      <w:r>
        <w:rPr>
          <w:rFonts w:hint="eastAsia" w:ascii="微软雅黑" w:hAnsi="微软雅黑" w:eastAsia="微软雅黑" w:cs="微软雅黑"/>
          <w:color w:val="auto"/>
          <w:sz w:val="22"/>
          <w:szCs w:val="22"/>
          <w:highlight w:val="none"/>
          <w:u w:val="single"/>
        </w:rPr>
        <w:t xml:space="preserve">             </w:t>
      </w:r>
    </w:p>
    <w:p>
      <w:pPr>
        <w:spacing w:before="120" w:after="50" w:line="42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供应商公章：</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 xml:space="preserve">                      </w:t>
      </w:r>
    </w:p>
    <w:p>
      <w:pPr>
        <w:autoSpaceDE w:val="0"/>
        <w:autoSpaceDN w:val="0"/>
        <w:adjustRightInd w:val="0"/>
        <w:spacing w:line="540" w:lineRule="exact"/>
        <w:ind w:firstLine="440" w:firstLineChars="200"/>
        <w:jc w:val="center"/>
        <w:outlineLvl w:val="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bookmarkStart w:id="94" w:name="_Toc22394"/>
      <w:r>
        <w:rPr>
          <w:rFonts w:hint="eastAsia" w:ascii="微软雅黑" w:hAnsi="微软雅黑" w:eastAsia="微软雅黑" w:cs="微软雅黑"/>
          <w:color w:val="auto"/>
          <w:sz w:val="22"/>
          <w:szCs w:val="22"/>
          <w:highlight w:val="none"/>
        </w:rPr>
        <w:t>年    月    日</w:t>
      </w:r>
      <w:bookmarkEnd w:id="94"/>
    </w:p>
    <w:p>
      <w:pPr>
        <w:spacing w:line="600" w:lineRule="exact"/>
        <w:jc w:val="center"/>
        <w:rPr>
          <w:rFonts w:ascii="微软雅黑" w:hAnsi="微软雅黑" w:eastAsia="微软雅黑" w:cs="微软雅黑"/>
          <w:b/>
          <w:bCs/>
          <w:color w:val="auto"/>
          <w:spacing w:val="24"/>
          <w:sz w:val="22"/>
          <w:szCs w:val="22"/>
          <w:highlight w:val="none"/>
        </w:rPr>
      </w:pPr>
      <w:r>
        <w:rPr>
          <w:rFonts w:hint="eastAsia" w:ascii="微软雅黑" w:hAnsi="微软雅黑" w:eastAsia="微软雅黑" w:cs="微软雅黑"/>
          <w:b/>
          <w:bCs/>
          <w:color w:val="auto"/>
          <w:spacing w:val="24"/>
          <w:sz w:val="22"/>
          <w:szCs w:val="22"/>
          <w:highlight w:val="none"/>
        </w:rPr>
        <w:t>6、供应商业绩</w:t>
      </w:r>
    </w:p>
    <w:p>
      <w:pPr>
        <w:spacing w:line="360" w:lineRule="auto"/>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供应商全称（加盖公章）：                  项目编号：</w:t>
      </w:r>
    </w:p>
    <w:tbl>
      <w:tblPr>
        <w:tblStyle w:val="3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1403"/>
        <w:gridCol w:w="1684"/>
        <w:gridCol w:w="1542"/>
        <w:gridCol w:w="1263"/>
        <w:gridCol w:w="1684"/>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434" w:type="pct"/>
            <w:vAlign w:val="center"/>
          </w:tcPr>
          <w:p>
            <w:pPr>
              <w:spacing w:line="360" w:lineRule="auto"/>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序号</w:t>
            </w:r>
          </w:p>
        </w:tc>
        <w:tc>
          <w:tcPr>
            <w:tcW w:w="722" w:type="pct"/>
            <w:vAlign w:val="center"/>
          </w:tcPr>
          <w:p>
            <w:pPr>
              <w:spacing w:line="360" w:lineRule="auto"/>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项目名称</w:t>
            </w:r>
          </w:p>
        </w:tc>
        <w:tc>
          <w:tcPr>
            <w:tcW w:w="867" w:type="pct"/>
            <w:vAlign w:val="center"/>
          </w:tcPr>
          <w:p>
            <w:pPr>
              <w:spacing w:line="360" w:lineRule="auto"/>
              <w:ind w:firstLine="440" w:firstLineChars="200"/>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采购人</w:t>
            </w:r>
          </w:p>
        </w:tc>
        <w:tc>
          <w:tcPr>
            <w:tcW w:w="794" w:type="pct"/>
            <w:vAlign w:val="center"/>
          </w:tcPr>
          <w:p>
            <w:pPr>
              <w:spacing w:line="360" w:lineRule="auto"/>
              <w:ind w:firstLine="440" w:firstLineChars="200"/>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合同金额</w:t>
            </w:r>
          </w:p>
          <w:p>
            <w:pPr>
              <w:spacing w:line="360" w:lineRule="auto"/>
              <w:ind w:firstLine="440" w:firstLineChars="200"/>
              <w:jc w:val="center"/>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(人民币)</w:t>
            </w:r>
          </w:p>
        </w:tc>
        <w:tc>
          <w:tcPr>
            <w:tcW w:w="650" w:type="pct"/>
            <w:vAlign w:val="center"/>
          </w:tcPr>
          <w:p>
            <w:pPr>
              <w:spacing w:line="360" w:lineRule="auto"/>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签订时间</w:t>
            </w:r>
          </w:p>
        </w:tc>
        <w:tc>
          <w:tcPr>
            <w:tcW w:w="867" w:type="pct"/>
            <w:vAlign w:val="center"/>
          </w:tcPr>
          <w:p>
            <w:pPr>
              <w:spacing w:line="360" w:lineRule="auto"/>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使用方联系人</w:t>
            </w:r>
          </w:p>
        </w:tc>
        <w:tc>
          <w:tcPr>
            <w:tcW w:w="663" w:type="pct"/>
            <w:vAlign w:val="center"/>
          </w:tcPr>
          <w:p>
            <w:pPr>
              <w:spacing w:line="360" w:lineRule="auto"/>
              <w:rPr>
                <w:rFonts w:ascii="微软雅黑" w:hAnsi="微软雅黑" w:eastAsia="微软雅黑" w:cs="微软雅黑"/>
                <w:bCs/>
                <w:color w:val="auto"/>
                <w:sz w:val="22"/>
                <w:szCs w:val="22"/>
                <w:highlight w:val="none"/>
              </w:rPr>
            </w:pPr>
            <w:r>
              <w:rPr>
                <w:rFonts w:hint="eastAsia" w:ascii="微软雅黑" w:hAnsi="微软雅黑" w:eastAsia="微软雅黑" w:cs="微软雅黑"/>
                <w:bCs/>
                <w:color w:val="auto"/>
                <w:sz w:val="22"/>
                <w:szCs w:val="22"/>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22"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794"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50"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867"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c>
          <w:tcPr>
            <w:tcW w:w="663" w:type="pct"/>
            <w:vAlign w:val="center"/>
          </w:tcPr>
          <w:p>
            <w:pPr>
              <w:spacing w:line="360" w:lineRule="auto"/>
              <w:ind w:firstLine="440" w:firstLineChars="200"/>
              <w:jc w:val="center"/>
              <w:rPr>
                <w:rFonts w:ascii="微软雅黑" w:hAnsi="微软雅黑" w:eastAsia="微软雅黑" w:cs="微软雅黑"/>
                <w:bCs/>
                <w:color w:val="auto"/>
                <w:sz w:val="22"/>
                <w:szCs w:val="22"/>
                <w:highlight w:val="none"/>
              </w:rPr>
            </w:pPr>
          </w:p>
        </w:tc>
      </w:tr>
    </w:tbl>
    <w:p>
      <w:pPr>
        <w:ind w:firstLine="440" w:firstLineChars="200"/>
        <w:rPr>
          <w:rFonts w:ascii="微软雅黑" w:hAnsi="微软雅黑" w:eastAsia="微软雅黑" w:cs="微软雅黑"/>
          <w:color w:val="auto"/>
          <w:sz w:val="22"/>
          <w:szCs w:val="22"/>
          <w:highlight w:val="none"/>
        </w:rPr>
      </w:pPr>
    </w:p>
    <w:p>
      <w:pPr>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法定代表人或其授权代理人签名或盖章：</w:t>
      </w:r>
    </w:p>
    <w:p>
      <w:pPr>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p>
    <w:p>
      <w:pPr>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ind w:firstLine="440" w:firstLineChars="200"/>
        <w:rPr>
          <w:rFonts w:ascii="微软雅黑" w:hAnsi="微软雅黑" w:eastAsia="微软雅黑" w:cs="微软雅黑"/>
          <w:color w:val="auto"/>
          <w:sz w:val="22"/>
          <w:szCs w:val="22"/>
          <w:highlight w:val="none"/>
        </w:rPr>
      </w:pPr>
    </w:p>
    <w:p>
      <w:pPr>
        <w:spacing w:line="42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注：注：此表仅提供了表格形式，供应商应根据需要准备足够数量的表格来填写。</w:t>
      </w:r>
    </w:p>
    <w:p>
      <w:pP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pacing w:line="44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7、商务条款偏离表</w:t>
      </w:r>
    </w:p>
    <w:p>
      <w:pPr>
        <w:spacing w:line="440" w:lineRule="exact"/>
        <w:ind w:firstLine="440" w:firstLineChars="200"/>
        <w:jc w:val="center"/>
        <w:rPr>
          <w:rFonts w:ascii="微软雅黑" w:hAnsi="微软雅黑" w:eastAsia="微软雅黑" w:cs="微软雅黑"/>
          <w:b/>
          <w:bCs/>
          <w:color w:val="auto"/>
          <w:sz w:val="22"/>
          <w:szCs w:val="22"/>
          <w:highlight w:val="none"/>
        </w:rPr>
      </w:pPr>
    </w:p>
    <w:p>
      <w:pPr>
        <w:spacing w:line="4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 xml:space="preserve">供应商全称（加盖公章）：             采购文件编号：        </w:t>
      </w:r>
    </w:p>
    <w:tbl>
      <w:tblPr>
        <w:tblStyle w:val="30"/>
        <w:tblW w:w="985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35"/>
        <w:gridCol w:w="3456"/>
        <w:gridCol w:w="3456"/>
        <w:gridCol w:w="20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序号</w:t>
            </w:r>
          </w:p>
        </w:tc>
        <w:tc>
          <w:tcPr>
            <w:tcW w:w="3456" w:type="dxa"/>
            <w:tcBorders>
              <w:top w:val="single" w:color="auto" w:sz="4" w:space="0"/>
              <w:left w:val="single" w:color="auto" w:sz="4" w:space="0"/>
              <w:bottom w:val="single" w:color="auto" w:sz="4" w:space="0"/>
              <w:right w:val="single" w:color="auto" w:sz="4" w:space="0"/>
            </w:tcBorders>
            <w:vAlign w:val="center"/>
          </w:tcPr>
          <w:p>
            <w:pPr>
              <w:spacing w:line="440" w:lineRule="exact"/>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磋商文件的商务条款</w:t>
            </w:r>
          </w:p>
        </w:tc>
        <w:tc>
          <w:tcPr>
            <w:tcW w:w="3456" w:type="dxa"/>
            <w:tcBorders>
              <w:top w:val="single" w:color="auto" w:sz="4" w:space="0"/>
              <w:left w:val="single" w:color="auto" w:sz="4" w:space="0"/>
              <w:bottom w:val="single" w:color="auto" w:sz="4" w:space="0"/>
              <w:right w:val="single" w:color="auto" w:sz="4" w:space="0"/>
            </w:tcBorders>
            <w:vAlign w:val="center"/>
          </w:tcPr>
          <w:p>
            <w:pPr>
              <w:spacing w:line="440" w:lineRule="exact"/>
              <w:ind w:firstLine="440" w:firstLineChars="20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磋商响应文件的商务条款</w:t>
            </w:r>
          </w:p>
        </w:tc>
        <w:tc>
          <w:tcPr>
            <w:tcW w:w="2004" w:type="dxa"/>
            <w:tcBorders>
              <w:top w:val="single" w:color="auto" w:sz="4" w:space="0"/>
              <w:left w:val="single" w:color="auto" w:sz="4" w:space="0"/>
              <w:bottom w:val="single" w:color="auto" w:sz="4" w:space="0"/>
              <w:right w:val="single" w:color="auto" w:sz="4" w:space="0"/>
            </w:tcBorders>
            <w:vAlign w:val="center"/>
          </w:tcPr>
          <w:p>
            <w:pPr>
              <w:spacing w:line="4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偏离原因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pacing w:line="440" w:lineRule="exact"/>
              <w:ind w:firstLine="440" w:firstLineChars="200"/>
              <w:rPr>
                <w:rFonts w:ascii="微软雅黑" w:hAnsi="微软雅黑" w:eastAsia="微软雅黑" w:cs="微软雅黑"/>
                <w:color w:val="auto"/>
                <w:sz w:val="22"/>
                <w:szCs w:val="22"/>
                <w:highlight w:val="none"/>
              </w:rPr>
            </w:pPr>
          </w:p>
        </w:tc>
      </w:tr>
    </w:tbl>
    <w:p>
      <w:pPr>
        <w:spacing w:line="4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法定代表人或其授权代理人签名或盖章：</w:t>
      </w:r>
    </w:p>
    <w:p>
      <w:pPr>
        <w:spacing w:line="4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 xml:space="preserve">                                日期：    年  月  日</w:t>
      </w:r>
    </w:p>
    <w:p>
      <w:pPr>
        <w:spacing w:line="440" w:lineRule="exact"/>
        <w:ind w:firstLine="440" w:firstLineChars="200"/>
        <w:rPr>
          <w:rFonts w:ascii="微软雅黑" w:hAnsi="微软雅黑" w:eastAsia="微软雅黑" w:cs="微软雅黑"/>
          <w:b/>
          <w:color w:val="auto"/>
          <w:sz w:val="22"/>
          <w:szCs w:val="22"/>
          <w:highlight w:val="none"/>
        </w:rPr>
      </w:pPr>
    </w:p>
    <w:p>
      <w:pPr>
        <w:spacing w:line="440" w:lineRule="exact"/>
        <w:ind w:firstLine="440" w:firstLineChars="200"/>
        <w:rPr>
          <w:rFonts w:ascii="微软雅黑" w:hAnsi="微软雅黑" w:eastAsia="微软雅黑" w:cs="微软雅黑"/>
          <w:b/>
          <w:color w:val="auto"/>
          <w:sz w:val="22"/>
          <w:szCs w:val="22"/>
          <w:highlight w:val="none"/>
        </w:rPr>
      </w:pPr>
    </w:p>
    <w:p>
      <w:pPr>
        <w:spacing w:line="44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color w:val="auto"/>
          <w:sz w:val="22"/>
          <w:szCs w:val="22"/>
          <w:highlight w:val="none"/>
        </w:rPr>
        <w:t>注：此表仅提供了表格形式，供应商应根据需要准备足够数量的表格来填写。</w:t>
      </w:r>
    </w:p>
    <w:p>
      <w:pPr>
        <w:spacing w:line="420" w:lineRule="exact"/>
        <w:ind w:firstLine="440" w:firstLineChars="200"/>
        <w:rPr>
          <w:rFonts w:ascii="微软雅黑" w:hAnsi="微软雅黑" w:eastAsia="微软雅黑" w:cs="微软雅黑"/>
          <w:color w:val="auto"/>
          <w:sz w:val="22"/>
          <w:szCs w:val="22"/>
          <w:highlight w:val="none"/>
        </w:rPr>
      </w:pPr>
    </w:p>
    <w:p>
      <w:pPr>
        <w:spacing w:line="420" w:lineRule="exact"/>
        <w:ind w:firstLine="440" w:firstLineChars="200"/>
        <w:rPr>
          <w:rFonts w:ascii="微软雅黑" w:hAnsi="微软雅黑" w:eastAsia="微软雅黑" w:cs="微软雅黑"/>
          <w:b/>
          <w:bCs/>
          <w:color w:val="auto"/>
          <w:sz w:val="22"/>
          <w:szCs w:val="22"/>
          <w:highlight w:val="none"/>
        </w:rPr>
      </w:pPr>
    </w:p>
    <w:p>
      <w:pPr>
        <w:spacing w:line="420" w:lineRule="exact"/>
        <w:ind w:firstLine="440" w:firstLineChars="200"/>
        <w:rPr>
          <w:rFonts w:ascii="微软雅黑" w:hAnsi="微软雅黑" w:eastAsia="微软雅黑" w:cs="微软雅黑"/>
          <w:b/>
          <w:bCs/>
          <w:color w:val="auto"/>
          <w:sz w:val="22"/>
          <w:szCs w:val="22"/>
          <w:highlight w:val="none"/>
        </w:rPr>
      </w:pPr>
    </w:p>
    <w:p>
      <w:pPr>
        <w:spacing w:line="420" w:lineRule="exact"/>
        <w:ind w:firstLine="440" w:firstLineChars="200"/>
        <w:rPr>
          <w:rFonts w:ascii="微软雅黑" w:hAnsi="微软雅黑" w:eastAsia="微软雅黑" w:cs="微软雅黑"/>
          <w:b/>
          <w:bCs/>
          <w:color w:val="auto"/>
          <w:sz w:val="22"/>
          <w:szCs w:val="22"/>
          <w:highlight w:val="none"/>
        </w:rPr>
      </w:pPr>
    </w:p>
    <w:p>
      <w:pPr>
        <w:spacing w:line="560" w:lineRule="exact"/>
        <w:ind w:right="420" w:rightChars="200"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8、报价封面格式：</w:t>
      </w:r>
    </w:p>
    <w:p>
      <w:pPr>
        <w:autoSpaceDE w:val="0"/>
        <w:autoSpaceDN w:val="0"/>
        <w:adjustRightInd w:val="0"/>
        <w:spacing w:line="36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36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360" w:lineRule="exact"/>
        <w:ind w:firstLine="440" w:firstLineChars="200"/>
        <w:jc w:val="right"/>
        <w:rPr>
          <w:rFonts w:ascii="微软雅黑" w:hAnsi="微软雅黑" w:eastAsia="微软雅黑" w:cs="微软雅黑"/>
          <w:b/>
          <w:color w:val="auto"/>
          <w:sz w:val="22"/>
          <w:szCs w:val="22"/>
          <w:highlight w:val="none"/>
        </w:rPr>
      </w:pPr>
    </w:p>
    <w:p>
      <w:pPr>
        <w:autoSpaceDE w:val="0"/>
        <w:autoSpaceDN w:val="0"/>
        <w:adjustRightInd w:val="0"/>
        <w:spacing w:line="360" w:lineRule="exact"/>
        <w:ind w:firstLine="440" w:firstLineChars="200"/>
        <w:rPr>
          <w:rFonts w:ascii="微软雅黑" w:hAnsi="微软雅黑" w:eastAsia="微软雅黑" w:cs="微软雅黑"/>
          <w:b/>
          <w:color w:val="auto"/>
          <w:sz w:val="22"/>
          <w:szCs w:val="22"/>
          <w:highlight w:val="none"/>
        </w:rPr>
      </w:pPr>
    </w:p>
    <w:p>
      <w:pPr>
        <w:autoSpaceDE w:val="0"/>
        <w:autoSpaceDN w:val="0"/>
        <w:adjustRightInd w:val="0"/>
        <w:spacing w:line="540" w:lineRule="exact"/>
        <w:rPr>
          <w:rFonts w:ascii="微软雅黑" w:hAnsi="微软雅黑" w:eastAsia="微软雅黑" w:cs="微软雅黑"/>
          <w:b/>
          <w:color w:val="auto"/>
          <w:sz w:val="22"/>
          <w:szCs w:val="22"/>
          <w:highlight w:val="none"/>
        </w:rPr>
      </w:pPr>
    </w:p>
    <w:p>
      <w:pPr>
        <w:autoSpaceDE w:val="0"/>
        <w:autoSpaceDN w:val="0"/>
        <w:adjustRightInd w:val="0"/>
        <w:spacing w:line="540" w:lineRule="exact"/>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报价文件</w:t>
      </w:r>
    </w:p>
    <w:p>
      <w:pPr>
        <w:autoSpaceDE w:val="0"/>
        <w:autoSpaceDN w:val="0"/>
        <w:adjustRightInd w:val="0"/>
        <w:spacing w:line="540" w:lineRule="exact"/>
        <w:jc w:val="center"/>
        <w:rPr>
          <w:rFonts w:ascii="微软雅黑" w:hAnsi="微软雅黑" w:eastAsia="微软雅黑" w:cs="微软雅黑"/>
          <w:b/>
          <w:color w:val="auto"/>
          <w:sz w:val="22"/>
          <w:szCs w:val="22"/>
          <w:highlight w:val="none"/>
        </w:rPr>
      </w:pPr>
    </w:p>
    <w:p>
      <w:pPr>
        <w:autoSpaceDE w:val="0"/>
        <w:autoSpaceDN w:val="0"/>
        <w:adjustRightInd w:val="0"/>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项目名称： </w:t>
      </w:r>
    </w:p>
    <w:p>
      <w:pPr>
        <w:autoSpaceDE w:val="0"/>
        <w:autoSpaceDN w:val="0"/>
        <w:adjustRightInd w:val="0"/>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项目编号：</w:t>
      </w:r>
    </w:p>
    <w:p>
      <w:pPr>
        <w:autoSpaceDE w:val="0"/>
        <w:autoSpaceDN w:val="0"/>
        <w:adjustRightInd w:val="0"/>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供应商名称：</w:t>
      </w:r>
    </w:p>
    <w:p>
      <w:pPr>
        <w:autoSpaceDE w:val="0"/>
        <w:autoSpaceDN w:val="0"/>
        <w:adjustRightInd w:val="0"/>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供应商地址：</w:t>
      </w: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lang w:val="zh-CN"/>
        </w:rPr>
      </w:pPr>
    </w:p>
    <w:p>
      <w:pPr>
        <w:autoSpaceDE w:val="0"/>
        <w:autoSpaceDN w:val="0"/>
        <w:adjustRightInd w:val="0"/>
        <w:spacing w:line="540" w:lineRule="exact"/>
        <w:ind w:firstLine="440" w:firstLineChars="200"/>
        <w:jc w:val="left"/>
        <w:rPr>
          <w:rFonts w:ascii="微软雅黑" w:hAnsi="微软雅黑" w:eastAsia="微软雅黑" w:cs="微软雅黑"/>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right="140" w:firstLine="440" w:firstLineChars="200"/>
        <w:jc w:val="righ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年   月   日</w:t>
      </w: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left"/>
        <w:rPr>
          <w:rFonts w:ascii="微软雅黑" w:hAnsi="微软雅黑" w:eastAsia="微软雅黑" w:cs="微软雅黑"/>
          <w:b/>
          <w:color w:val="auto"/>
          <w:sz w:val="22"/>
          <w:szCs w:val="22"/>
          <w:highlight w:val="none"/>
          <w:lang w:val="zh-CN"/>
        </w:rPr>
      </w:pPr>
      <w:r>
        <w:rPr>
          <w:rFonts w:hint="eastAsia" w:ascii="微软雅黑" w:hAnsi="微软雅黑" w:eastAsia="微软雅黑" w:cs="微软雅黑"/>
          <w:b/>
          <w:color w:val="auto"/>
          <w:sz w:val="22"/>
          <w:szCs w:val="22"/>
          <w:highlight w:val="none"/>
        </w:rPr>
        <w:t>9</w:t>
      </w:r>
      <w:r>
        <w:rPr>
          <w:rFonts w:hint="eastAsia" w:ascii="微软雅黑" w:hAnsi="微软雅黑" w:eastAsia="微软雅黑" w:cs="微软雅黑"/>
          <w:b/>
          <w:color w:val="auto"/>
          <w:sz w:val="22"/>
          <w:szCs w:val="22"/>
          <w:highlight w:val="none"/>
          <w:lang w:val="zh-CN"/>
        </w:rPr>
        <w:t>、报价文件目录（具体参考第三章供应商须知“磋商响应文件的组成”）</w:t>
      </w:r>
    </w:p>
    <w:p>
      <w:pPr>
        <w:autoSpaceDE w:val="0"/>
        <w:autoSpaceDN w:val="0"/>
        <w:adjustRightInd w:val="0"/>
        <w:spacing w:line="540" w:lineRule="exact"/>
        <w:ind w:firstLine="440" w:firstLineChars="200"/>
        <w:jc w:val="left"/>
        <w:outlineLvl w:val="0"/>
        <w:rPr>
          <w:rFonts w:ascii="微软雅黑" w:hAnsi="微软雅黑" w:eastAsia="微软雅黑" w:cs="微软雅黑"/>
          <w:color w:val="auto"/>
          <w:sz w:val="22"/>
          <w:szCs w:val="22"/>
          <w:highlight w:val="none"/>
        </w:rPr>
      </w:pPr>
      <w:bookmarkStart w:id="95" w:name="_Toc4458"/>
      <w:r>
        <w:rPr>
          <w:rFonts w:hint="eastAsia" w:ascii="微软雅黑" w:hAnsi="微软雅黑" w:eastAsia="微软雅黑" w:cs="微软雅黑"/>
          <w:color w:val="auto"/>
          <w:sz w:val="22"/>
          <w:szCs w:val="22"/>
          <w:highlight w:val="none"/>
        </w:rPr>
        <w:t>（1）磋商响应函；</w:t>
      </w:r>
      <w:bookmarkEnd w:id="95"/>
      <w:r>
        <w:rPr>
          <w:rFonts w:hint="eastAsia" w:ascii="微软雅黑" w:hAnsi="微软雅黑" w:eastAsia="微软雅黑" w:cs="微软雅黑"/>
          <w:color w:val="auto"/>
          <w:sz w:val="22"/>
          <w:szCs w:val="22"/>
          <w:highlight w:val="none"/>
        </w:rPr>
        <w:t xml:space="preserve"> </w:t>
      </w:r>
    </w:p>
    <w:p>
      <w:pPr>
        <w:autoSpaceDE w:val="0"/>
        <w:autoSpaceDN w:val="0"/>
        <w:adjustRightInd w:val="0"/>
        <w:spacing w:line="540" w:lineRule="exact"/>
        <w:ind w:firstLine="440" w:firstLineChars="200"/>
        <w:jc w:val="left"/>
        <w:outlineLvl w:val="0"/>
        <w:rPr>
          <w:rFonts w:ascii="微软雅黑" w:hAnsi="微软雅黑" w:eastAsia="微软雅黑" w:cs="微软雅黑"/>
          <w:color w:val="auto"/>
          <w:sz w:val="22"/>
          <w:szCs w:val="22"/>
          <w:highlight w:val="none"/>
        </w:rPr>
      </w:pPr>
      <w:bookmarkStart w:id="96" w:name="_Toc31477"/>
      <w:r>
        <w:rPr>
          <w:rFonts w:hint="eastAsia" w:ascii="微软雅黑" w:hAnsi="微软雅黑" w:eastAsia="微软雅黑" w:cs="微软雅黑"/>
          <w:color w:val="auto"/>
          <w:sz w:val="22"/>
          <w:szCs w:val="22"/>
          <w:highlight w:val="none"/>
        </w:rPr>
        <w:t>（2）开标一览表；</w:t>
      </w:r>
      <w:bookmarkEnd w:id="96"/>
    </w:p>
    <w:p>
      <w:pPr>
        <w:autoSpaceDE w:val="0"/>
        <w:autoSpaceDN w:val="0"/>
        <w:adjustRightInd w:val="0"/>
        <w:spacing w:line="540" w:lineRule="exact"/>
        <w:ind w:firstLine="440" w:firstLineChars="200"/>
        <w:jc w:val="left"/>
        <w:outlineLvl w:val="0"/>
        <w:rPr>
          <w:rFonts w:ascii="微软雅黑" w:hAnsi="微软雅黑" w:eastAsia="微软雅黑" w:cs="微软雅黑"/>
          <w:color w:val="auto"/>
          <w:sz w:val="22"/>
          <w:szCs w:val="22"/>
          <w:highlight w:val="none"/>
        </w:rPr>
      </w:pPr>
      <w:bookmarkStart w:id="97" w:name="_Toc17329"/>
      <w:r>
        <w:rPr>
          <w:rFonts w:hint="eastAsia" w:ascii="微软雅黑" w:hAnsi="微软雅黑" w:eastAsia="微软雅黑" w:cs="微软雅黑"/>
          <w:color w:val="auto"/>
          <w:sz w:val="22"/>
          <w:szCs w:val="22"/>
          <w:highlight w:val="none"/>
        </w:rPr>
        <w:t>（3）磋商响应报价明细表；</w:t>
      </w:r>
      <w:bookmarkEnd w:id="97"/>
    </w:p>
    <w:p>
      <w:pPr>
        <w:autoSpaceDE w:val="0"/>
        <w:autoSpaceDN w:val="0"/>
        <w:adjustRightInd w:val="0"/>
        <w:spacing w:line="540" w:lineRule="exact"/>
        <w:ind w:firstLine="440" w:firstLineChars="200"/>
        <w:jc w:val="left"/>
        <w:outlineLvl w:val="0"/>
        <w:rPr>
          <w:rFonts w:ascii="微软雅黑" w:hAnsi="微软雅黑" w:eastAsia="微软雅黑" w:cs="微软雅黑"/>
          <w:color w:val="auto"/>
          <w:sz w:val="22"/>
          <w:szCs w:val="22"/>
          <w:highlight w:val="none"/>
        </w:rPr>
      </w:pPr>
      <w:bookmarkStart w:id="98" w:name="_Toc14105"/>
      <w:r>
        <w:rPr>
          <w:rFonts w:hint="eastAsia" w:ascii="微软雅黑" w:hAnsi="微软雅黑" w:eastAsia="微软雅黑" w:cs="微软雅黑"/>
          <w:color w:val="auto"/>
          <w:sz w:val="22"/>
          <w:szCs w:val="22"/>
          <w:highlight w:val="none"/>
        </w:rPr>
        <w:t>（4）中小企业声明函、网页证明资料；</w:t>
      </w:r>
      <w:bookmarkEnd w:id="98"/>
    </w:p>
    <w:p>
      <w:pPr>
        <w:autoSpaceDE w:val="0"/>
        <w:autoSpaceDN w:val="0"/>
        <w:adjustRightInd w:val="0"/>
        <w:spacing w:line="540" w:lineRule="exact"/>
        <w:ind w:firstLine="440" w:firstLineChars="200"/>
        <w:jc w:val="left"/>
        <w:outlineLvl w:val="0"/>
        <w:rPr>
          <w:rFonts w:ascii="微软雅黑" w:hAnsi="微软雅黑" w:eastAsia="微软雅黑" w:cs="微软雅黑"/>
          <w:color w:val="auto"/>
          <w:sz w:val="22"/>
          <w:szCs w:val="22"/>
          <w:highlight w:val="none"/>
        </w:rPr>
      </w:pPr>
      <w:bookmarkStart w:id="99" w:name="_Toc6907"/>
      <w:r>
        <w:rPr>
          <w:rFonts w:hint="eastAsia" w:ascii="微软雅黑" w:hAnsi="微软雅黑" w:eastAsia="微软雅黑" w:cs="微软雅黑"/>
          <w:color w:val="auto"/>
          <w:sz w:val="22"/>
          <w:szCs w:val="22"/>
          <w:highlight w:val="none"/>
        </w:rPr>
        <w:t>（5）采购代理费承诺函；</w:t>
      </w:r>
      <w:bookmarkEnd w:id="99"/>
    </w:p>
    <w:p>
      <w:pPr>
        <w:autoSpaceDE w:val="0"/>
        <w:autoSpaceDN w:val="0"/>
        <w:adjustRightInd w:val="0"/>
        <w:spacing w:line="540" w:lineRule="exact"/>
        <w:ind w:firstLine="440" w:firstLineChars="200"/>
        <w:jc w:val="left"/>
        <w:outlineLvl w:val="0"/>
        <w:rPr>
          <w:rFonts w:ascii="微软雅黑" w:hAnsi="微软雅黑" w:eastAsia="微软雅黑" w:cs="微软雅黑"/>
          <w:b/>
          <w:color w:val="auto"/>
          <w:sz w:val="22"/>
          <w:szCs w:val="22"/>
          <w:highlight w:val="none"/>
        </w:rPr>
      </w:pPr>
      <w:bookmarkStart w:id="100" w:name="_Toc58"/>
      <w:r>
        <w:rPr>
          <w:rFonts w:hint="eastAsia" w:ascii="微软雅黑" w:hAnsi="微软雅黑" w:eastAsia="微软雅黑" w:cs="微软雅黑"/>
          <w:color w:val="auto"/>
          <w:sz w:val="22"/>
          <w:szCs w:val="22"/>
          <w:highlight w:val="none"/>
        </w:rPr>
        <w:t>（6）供应商针对报价需要说明的其他文件和说明。</w:t>
      </w:r>
      <w:bookmarkEnd w:id="100"/>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autoSpaceDE w:val="0"/>
        <w:autoSpaceDN w:val="0"/>
        <w:adjustRightInd w:val="0"/>
        <w:spacing w:line="540" w:lineRule="exact"/>
        <w:ind w:firstLine="440" w:firstLineChars="200"/>
        <w:jc w:val="center"/>
        <w:rPr>
          <w:rFonts w:ascii="微软雅黑" w:hAnsi="微软雅黑" w:eastAsia="微软雅黑" w:cs="微软雅黑"/>
          <w:b/>
          <w:color w:val="auto"/>
          <w:sz w:val="22"/>
          <w:szCs w:val="22"/>
          <w:highlight w:val="none"/>
          <w:lang w:val="zh-CN"/>
        </w:rPr>
      </w:pPr>
    </w:p>
    <w:p>
      <w:pPr>
        <w:widowControl/>
        <w:jc w:val="left"/>
        <w:rPr>
          <w:rFonts w:ascii="微软雅黑" w:hAnsi="微软雅黑" w:eastAsia="微软雅黑" w:cs="微软雅黑"/>
          <w:b/>
          <w:color w:val="auto"/>
          <w:sz w:val="22"/>
          <w:szCs w:val="22"/>
          <w:highlight w:val="none"/>
          <w:lang w:val="zh-CN"/>
        </w:rPr>
      </w:pPr>
    </w:p>
    <w:p>
      <w:pPr>
        <w:widowControl/>
        <w:spacing w:line="320" w:lineRule="exact"/>
        <w:jc w:val="center"/>
        <w:rPr>
          <w:rFonts w:ascii="微软雅黑" w:hAnsi="微软雅黑" w:eastAsia="微软雅黑" w:cs="微软雅黑"/>
          <w:b/>
          <w:color w:val="auto"/>
          <w:sz w:val="22"/>
          <w:szCs w:val="22"/>
          <w:highlight w:val="none"/>
          <w:lang w:val="zh-CN"/>
        </w:rPr>
      </w:pPr>
      <w:r>
        <w:rPr>
          <w:rFonts w:hint="eastAsia" w:ascii="微软雅黑" w:hAnsi="微软雅黑" w:eastAsia="微软雅黑" w:cs="微软雅黑"/>
          <w:b/>
          <w:color w:val="auto"/>
          <w:sz w:val="22"/>
          <w:szCs w:val="22"/>
          <w:highlight w:val="none"/>
          <w:lang w:val="zh-CN"/>
        </w:rPr>
        <w:br w:type="page"/>
      </w:r>
      <w:r>
        <w:rPr>
          <w:rFonts w:hint="eastAsia" w:ascii="微软雅黑" w:hAnsi="微软雅黑" w:eastAsia="微软雅黑" w:cs="微软雅黑"/>
          <w:b/>
          <w:color w:val="auto"/>
          <w:sz w:val="22"/>
          <w:szCs w:val="22"/>
          <w:highlight w:val="none"/>
        </w:rPr>
        <w:t>10</w:t>
      </w:r>
      <w:r>
        <w:rPr>
          <w:rFonts w:hint="eastAsia" w:ascii="微软雅黑" w:hAnsi="微软雅黑" w:eastAsia="微软雅黑" w:cs="微软雅黑"/>
          <w:b/>
          <w:color w:val="auto"/>
          <w:sz w:val="22"/>
          <w:szCs w:val="22"/>
          <w:highlight w:val="none"/>
          <w:lang w:val="zh-CN"/>
        </w:rPr>
        <w:t>、磋商响应函</w:t>
      </w:r>
    </w:p>
    <w:p>
      <w:pPr>
        <w:adjustRightInd w:val="0"/>
        <w:snapToGrid w:val="0"/>
        <w:spacing w:before="120" w:after="120" w:line="32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致：</w:t>
      </w:r>
      <w:r>
        <w:rPr>
          <w:rFonts w:hint="eastAsia" w:ascii="微软雅黑" w:hAnsi="微软雅黑" w:eastAsia="微软雅黑" w:cs="微软雅黑"/>
          <w:b/>
          <w:color w:val="auto"/>
          <w:sz w:val="22"/>
          <w:szCs w:val="22"/>
          <w:highlight w:val="none"/>
          <w:u w:val="single"/>
        </w:rPr>
        <w:t xml:space="preserve">                 </w:t>
      </w:r>
      <w:r>
        <w:rPr>
          <w:rFonts w:hint="eastAsia" w:ascii="微软雅黑" w:hAnsi="微软雅黑" w:eastAsia="微软雅黑" w:cs="微软雅黑"/>
          <w:b/>
          <w:color w:val="auto"/>
          <w:sz w:val="22"/>
          <w:szCs w:val="22"/>
          <w:highlight w:val="none"/>
        </w:rPr>
        <w:t>（采购单位名称）：</w:t>
      </w:r>
    </w:p>
    <w:p>
      <w:pPr>
        <w:autoSpaceDE w:val="0"/>
        <w:autoSpaceDN w:val="0"/>
        <w:adjustRightInd w:val="0"/>
        <w:spacing w:line="50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b/>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（供应商全称）授权</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 xml:space="preserve"> （授权代表名称）</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（职务、职称）为授权代表，参加贵方组织的</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（采购项目名称）（括号内填项目编号）采购的有关活动，并对</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 xml:space="preserve">项目（采购项目名称）进行磋商响应。为此：    </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1、供应商须提供须知规定的全部磋商响应文件（电子磋商响应文件、数据电子备份磋商响应文件（U盘）），包括《技术、商务、资信及其他文件》、《报价文件》，其中数据电子备份磋商响应文件（U盘）各</w:t>
      </w:r>
      <w:r>
        <w:rPr>
          <w:rFonts w:hint="eastAsia" w:ascii="微软雅黑" w:hAnsi="微软雅黑" w:eastAsia="微软雅黑" w:cs="微软雅黑"/>
          <w:color w:val="auto"/>
          <w:sz w:val="22"/>
          <w:szCs w:val="22"/>
          <w:highlight w:val="none"/>
          <w:u w:val="single"/>
          <w:lang w:val="zh-CN"/>
        </w:rPr>
        <w:t xml:space="preserve">   </w:t>
      </w:r>
      <w:r>
        <w:rPr>
          <w:rFonts w:hint="eastAsia" w:ascii="微软雅黑" w:hAnsi="微软雅黑" w:eastAsia="微软雅黑" w:cs="微软雅黑"/>
          <w:color w:val="auto"/>
          <w:sz w:val="22"/>
          <w:szCs w:val="22"/>
          <w:highlight w:val="none"/>
          <w:lang w:val="zh-CN"/>
        </w:rPr>
        <w:t>份，应与电子磋商响应文件内容、格式一致；电子磋商响应文件确认已上传</w:t>
      </w:r>
      <w:r>
        <w:rPr>
          <w:rFonts w:hint="eastAsia" w:ascii="微软雅黑" w:hAnsi="微软雅黑" w:eastAsia="微软雅黑" w:cs="微软雅黑"/>
          <w:color w:val="auto"/>
          <w:sz w:val="22"/>
          <w:szCs w:val="22"/>
          <w:highlight w:val="none"/>
        </w:rPr>
        <w:t>。</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2、保证遵守采购文件中的有关规定和收费标准。</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3、保证诚信地执行采购人、供应商双方所签的合同，并承担合同规定的责任义务。</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4、供应商已详细审查全部采购文件，包括采购文件补充文件（如果有的话）。我方完全理解并同意放弃对这方面有不明及误解的权力。如果采购文件有相互矛盾之处，我方同意按采购人的理解处理。</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5、利益冲突：近三年内直至目前，我公司与本项目的采购人、采购机构没有任何的隶属关系。</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rPr>
        <w:t>6、我公司没有被本项目所在地的政府采购管理部门限制参加报价。</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7、愿意向贵方提供任何与该项报价有关的数据、情况和技术资料，完全理解贵方不一定接受最低价的报价或收到的任何报价。</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8、本报价文件自报价之日起</w:t>
      </w:r>
      <w:r>
        <w:rPr>
          <w:rFonts w:hint="eastAsia" w:ascii="微软雅黑" w:hAnsi="微软雅黑" w:eastAsia="微软雅黑" w:cs="微软雅黑"/>
          <w:color w:val="auto"/>
          <w:sz w:val="22"/>
          <w:szCs w:val="22"/>
          <w:highlight w:val="none"/>
        </w:rPr>
        <w:t>9</w:t>
      </w:r>
      <w:r>
        <w:rPr>
          <w:rFonts w:hint="eastAsia" w:ascii="微软雅黑" w:hAnsi="微软雅黑" w:eastAsia="微软雅黑" w:cs="微软雅黑"/>
          <w:color w:val="auto"/>
          <w:sz w:val="22"/>
          <w:szCs w:val="22"/>
          <w:highlight w:val="none"/>
          <w:lang w:val="zh-CN"/>
        </w:rPr>
        <w:t>0天内有效。</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9、兹证明上述声明是真实的、正确的，并提供了全部能提供的资料和数据，我们同意遵照贵方要求出示有关证明文件。</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以上事项如有虚假或隐瞒，我方愿意承担一切后果，并不再寻求任何旨在减轻或免除法律责任的辩解。</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供应商全称（盖章）：</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法定代表人（签字或盖章）：         </w:t>
      </w:r>
    </w:p>
    <w:p>
      <w:pPr>
        <w:autoSpaceDE w:val="0"/>
        <w:autoSpaceDN w:val="0"/>
        <w:adjustRightInd w:val="0"/>
        <w:spacing w:line="510" w:lineRule="exact"/>
        <w:ind w:firstLine="440" w:firstLineChars="200"/>
        <w:rPr>
          <w:rFonts w:ascii="微软雅黑" w:hAnsi="微软雅黑" w:eastAsia="微软雅黑" w:cs="微软雅黑"/>
          <w:color w:val="auto"/>
          <w:sz w:val="22"/>
          <w:szCs w:val="22"/>
          <w:highlight w:val="none"/>
          <w:lang w:val="zh-CN"/>
        </w:rPr>
      </w:pPr>
      <w:r>
        <w:rPr>
          <w:rFonts w:hint="eastAsia" w:ascii="微软雅黑" w:hAnsi="微软雅黑" w:eastAsia="微软雅黑" w:cs="微软雅黑"/>
          <w:color w:val="auto"/>
          <w:sz w:val="22"/>
          <w:szCs w:val="22"/>
          <w:highlight w:val="none"/>
          <w:lang w:val="zh-CN"/>
        </w:rPr>
        <w:t>日   期：</w:t>
      </w:r>
    </w:p>
    <w:p>
      <w:pPr>
        <w:spacing w:line="360" w:lineRule="auto"/>
        <w:ind w:firstLine="440" w:firstLineChars="200"/>
        <w:jc w:val="center"/>
        <w:rPr>
          <w:rFonts w:ascii="微软雅黑" w:hAnsi="微软雅黑" w:eastAsia="微软雅黑" w:cs="微软雅黑"/>
          <w:b/>
          <w:bCs/>
          <w:color w:val="auto"/>
          <w:sz w:val="22"/>
          <w:szCs w:val="22"/>
          <w:highlight w:val="none"/>
        </w:rPr>
      </w:pPr>
    </w:p>
    <w:p>
      <w:pP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pacing w:line="360" w:lineRule="auto"/>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11、开标一览表（磋商响应报价一览表）（标项一）</w:t>
      </w:r>
    </w:p>
    <w:p>
      <w:pPr>
        <w:spacing w:before="156" w:beforeLines="50" w:after="156" w:afterLines="50" w:line="400" w:lineRule="exact"/>
        <w:jc w:val="center"/>
        <w:outlineLvl w:val="1"/>
        <w:rPr>
          <w:rFonts w:ascii="微软雅黑" w:hAnsi="微软雅黑" w:eastAsia="微软雅黑" w:cs="微软雅黑"/>
          <w:color w:val="auto"/>
          <w:sz w:val="22"/>
          <w:szCs w:val="22"/>
          <w:highlight w:val="none"/>
        </w:rPr>
      </w:pPr>
      <w:bookmarkStart w:id="101" w:name="_Toc17474"/>
      <w:bookmarkStart w:id="102" w:name="_Toc414960387"/>
      <w:bookmarkStart w:id="103" w:name="_Toc18081"/>
      <w:bookmarkStart w:id="104" w:name="_Toc28795"/>
      <w:bookmarkStart w:id="105" w:name="_Toc3216"/>
      <w:bookmarkStart w:id="106" w:name="_Toc12154"/>
      <w:bookmarkStart w:id="107" w:name="_Toc32329"/>
      <w:bookmarkStart w:id="108" w:name="_Toc29540"/>
      <w:bookmarkStart w:id="109" w:name="_Toc10900"/>
      <w:r>
        <w:rPr>
          <w:rFonts w:hint="eastAsia" w:ascii="微软雅黑" w:hAnsi="微软雅黑" w:eastAsia="微软雅黑" w:cs="微软雅黑"/>
          <w:b/>
          <w:bCs/>
          <w:color w:val="auto"/>
          <w:sz w:val="22"/>
          <w:szCs w:val="22"/>
          <w:highlight w:val="none"/>
        </w:rPr>
        <w:t>初 次 报 价 表</w:t>
      </w:r>
      <w:bookmarkEnd w:id="101"/>
      <w:bookmarkEnd w:id="102"/>
      <w:bookmarkEnd w:id="103"/>
      <w:bookmarkEnd w:id="104"/>
      <w:bookmarkEnd w:id="105"/>
      <w:bookmarkEnd w:id="106"/>
      <w:bookmarkEnd w:id="107"/>
      <w:bookmarkEnd w:id="108"/>
      <w:bookmarkEnd w:id="109"/>
    </w:p>
    <w:p>
      <w:pPr>
        <w:jc w:val="left"/>
        <w:rPr>
          <w:rFonts w:ascii="微软雅黑" w:hAnsi="微软雅黑" w:eastAsia="微软雅黑" w:cs="微软雅黑"/>
          <w:color w:val="auto"/>
          <w:sz w:val="22"/>
          <w:szCs w:val="22"/>
          <w:highlight w:val="none"/>
        </w:rPr>
      </w:pPr>
    </w:p>
    <w:p>
      <w:pPr>
        <w:rPr>
          <w:rFonts w:ascii="微软雅黑" w:hAnsi="微软雅黑" w:eastAsia="微软雅黑" w:cs="微软雅黑"/>
          <w:color w:val="auto"/>
          <w:sz w:val="22"/>
          <w:szCs w:val="22"/>
          <w:highlight w:val="none"/>
        </w:rPr>
      </w:pPr>
    </w:p>
    <w:p>
      <w:pPr>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项目名称：</w:t>
      </w:r>
      <w:r>
        <w:rPr>
          <w:rFonts w:ascii="微软雅黑" w:hAnsi="微软雅黑" w:eastAsia="微软雅黑" w:cs="微软雅黑"/>
          <w:color w:val="auto"/>
          <w:sz w:val="22"/>
          <w:szCs w:val="22"/>
          <w:highlight w:val="none"/>
        </w:rPr>
        <w:t xml:space="preserve"> </w:t>
      </w:r>
    </w:p>
    <w:p>
      <w:pPr>
        <w:tabs>
          <w:tab w:val="left" w:pos="4477"/>
        </w:tabs>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项目编号：             标项：</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 xml:space="preserve">         金额单位：元 </w:t>
      </w:r>
    </w:p>
    <w:tbl>
      <w:tblPr>
        <w:tblStyle w:val="30"/>
        <w:tblW w:w="94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97"/>
        <w:gridCol w:w="2461"/>
        <w:gridCol w:w="2711"/>
        <w:gridCol w:w="1737"/>
        <w:gridCol w:w="134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5" w:hRule="atLeast"/>
          <w:jc w:val="center"/>
        </w:trPr>
        <w:tc>
          <w:tcPr>
            <w:tcW w:w="1197"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序号</w:t>
            </w:r>
          </w:p>
        </w:tc>
        <w:tc>
          <w:tcPr>
            <w:tcW w:w="246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名称</w:t>
            </w:r>
          </w:p>
        </w:tc>
        <w:tc>
          <w:tcPr>
            <w:tcW w:w="271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总价</w:t>
            </w:r>
          </w:p>
        </w:tc>
        <w:tc>
          <w:tcPr>
            <w:tcW w:w="1737"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服务期</w:t>
            </w:r>
          </w:p>
        </w:tc>
        <w:tc>
          <w:tcPr>
            <w:tcW w:w="134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4" w:hRule="atLeast"/>
          <w:jc w:val="center"/>
        </w:trPr>
        <w:tc>
          <w:tcPr>
            <w:tcW w:w="1197"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w:t>
            </w:r>
          </w:p>
        </w:tc>
        <w:tc>
          <w:tcPr>
            <w:tcW w:w="246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p>
        </w:tc>
        <w:tc>
          <w:tcPr>
            <w:tcW w:w="271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p>
        </w:tc>
        <w:tc>
          <w:tcPr>
            <w:tcW w:w="1737"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p>
        </w:tc>
        <w:tc>
          <w:tcPr>
            <w:tcW w:w="1341" w:type="dxa"/>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19" w:hRule="atLeast"/>
          <w:jc w:val="center"/>
        </w:trPr>
        <w:tc>
          <w:tcPr>
            <w:tcW w:w="9447" w:type="dxa"/>
            <w:gridSpan w:val="5"/>
            <w:tcBorders>
              <w:top w:val="single" w:color="auto" w:sz="4" w:space="0"/>
              <w:left w:val="single" w:color="auto" w:sz="4" w:space="0"/>
              <w:bottom w:val="single" w:color="auto" w:sz="4" w:space="0"/>
              <w:right w:val="single" w:color="auto" w:sz="4" w:space="0"/>
            </w:tcBorders>
            <w:vAlign w:val="center"/>
          </w:tcPr>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合计金额大写：                                                         </w:t>
            </w:r>
          </w:p>
        </w:tc>
      </w:tr>
    </w:tbl>
    <w:p>
      <w:pPr>
        <w:rPr>
          <w:rFonts w:ascii="微软雅黑" w:hAnsi="微软雅黑" w:eastAsia="微软雅黑" w:cs="微软雅黑"/>
          <w:color w:val="auto"/>
          <w:sz w:val="22"/>
          <w:szCs w:val="22"/>
          <w:highlight w:val="none"/>
        </w:rPr>
      </w:pPr>
    </w:p>
    <w:p>
      <w:pPr>
        <w:pStyle w:val="9"/>
        <w:rPr>
          <w:rFonts w:ascii="微软雅黑" w:hAnsi="微软雅黑" w:eastAsia="微软雅黑" w:cs="微软雅黑"/>
          <w:color w:val="auto"/>
          <w:sz w:val="22"/>
          <w:szCs w:val="22"/>
          <w:highlight w:val="none"/>
        </w:rPr>
      </w:pPr>
    </w:p>
    <w:p>
      <w:pPr>
        <w:widowControl/>
        <w:spacing w:line="460" w:lineRule="atLeast"/>
        <w:ind w:right="660" w:firstLine="6050" w:firstLineChars="2750"/>
        <w:rPr>
          <w:rFonts w:ascii="微软雅黑" w:hAnsi="微软雅黑" w:eastAsia="微软雅黑" w:cs="微软雅黑"/>
          <w:color w:val="auto"/>
          <w:sz w:val="22"/>
          <w:szCs w:val="22"/>
          <w:highlight w:val="none"/>
        </w:rPr>
      </w:pPr>
    </w:p>
    <w:p>
      <w:pPr>
        <w:widowControl/>
        <w:spacing w:line="460" w:lineRule="atLeast"/>
        <w:ind w:right="660" w:firstLine="6050" w:firstLineChars="27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供应商全称：（盖章）</w:t>
      </w:r>
    </w:p>
    <w:p>
      <w:pPr>
        <w:widowControl/>
        <w:spacing w:line="460" w:lineRule="atLeast"/>
        <w:ind w:right="44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授权代表：（签字）</w:t>
      </w:r>
    </w:p>
    <w:p>
      <w:pPr>
        <w:widowControl/>
        <w:spacing w:line="460" w:lineRule="atLeast"/>
        <w:ind w:right="44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日期：   年   月   日</w:t>
      </w:r>
    </w:p>
    <w:p>
      <w:pPr>
        <w:spacing w:line="400" w:lineRule="exact"/>
        <w:rPr>
          <w:rFonts w:ascii="微软雅黑" w:hAnsi="微软雅黑" w:eastAsia="微软雅黑" w:cs="微软雅黑"/>
          <w:color w:val="auto"/>
          <w:sz w:val="22"/>
          <w:szCs w:val="22"/>
          <w:highlight w:val="none"/>
        </w:rPr>
      </w:pPr>
    </w:p>
    <w:p>
      <w:pPr>
        <w:widowControl/>
        <w:spacing w:line="460" w:lineRule="atLeast"/>
        <w:jc w:val="left"/>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说明：</w:t>
      </w:r>
    </w:p>
    <w:p>
      <w:pPr>
        <w:snapToGrid w:val="0"/>
        <w:spacing w:line="400" w:lineRule="exact"/>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注:1、报价费用包括项目实施所需的一切可能发生的费用。</w:t>
      </w:r>
    </w:p>
    <w:p>
      <w:pPr>
        <w:widowControl/>
        <w:jc w:val="left"/>
        <w:rPr>
          <w:rFonts w:ascii="微软雅黑" w:hAnsi="微软雅黑" w:eastAsia="微软雅黑" w:cs="微软雅黑"/>
          <w:b/>
          <w:bCs/>
          <w:color w:val="auto"/>
          <w:sz w:val="22"/>
          <w:szCs w:val="22"/>
          <w:highlight w:val="none"/>
        </w:rPr>
      </w:pPr>
      <w:r>
        <w:rPr>
          <w:rFonts w:ascii="微软雅黑" w:hAnsi="微软雅黑" w:eastAsia="微软雅黑" w:cs="微软雅黑"/>
          <w:b/>
          <w:bCs/>
          <w:color w:val="auto"/>
          <w:sz w:val="22"/>
          <w:szCs w:val="22"/>
          <w:highlight w:val="none"/>
        </w:rPr>
        <w:br w:type="page"/>
      </w:r>
    </w:p>
    <w:p>
      <w:pPr>
        <w:snapToGrid w:val="0"/>
        <w:spacing w:before="50" w:after="156" w:afterLines="50" w:line="6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12、报价明细表：</w:t>
      </w:r>
    </w:p>
    <w:p>
      <w:pPr>
        <w:spacing w:before="156" w:beforeLines="50" w:after="156" w:afterLines="50"/>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报价明细表</w:t>
      </w:r>
    </w:p>
    <w:p>
      <w:pPr>
        <w:spacing w:line="40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项目名称：                                                 </w:t>
      </w:r>
    </w:p>
    <w:p>
      <w:pPr>
        <w:spacing w:line="400" w:lineRule="exact"/>
        <w:rPr>
          <w:rFonts w:ascii="微软雅黑" w:hAnsi="微软雅黑" w:eastAsia="微软雅黑" w:cs="微软雅黑"/>
          <w:b/>
          <w:bCs/>
          <w:color w:val="auto"/>
          <w:sz w:val="22"/>
          <w:szCs w:val="22"/>
          <w:highlight w:val="none"/>
        </w:rPr>
      </w:pPr>
      <w:r>
        <w:rPr>
          <w:rFonts w:hint="eastAsia" w:ascii="微软雅黑" w:hAnsi="微软雅黑" w:eastAsia="微软雅黑" w:cs="微软雅黑"/>
          <w:color w:val="auto"/>
          <w:sz w:val="22"/>
          <w:szCs w:val="22"/>
          <w:highlight w:val="none"/>
        </w:rPr>
        <w:t>项目编号：                                                      金额单位：</w:t>
      </w:r>
      <w:r>
        <w:rPr>
          <w:rFonts w:ascii="微软雅黑" w:hAnsi="微软雅黑" w:eastAsia="微软雅黑" w:cs="微软雅黑"/>
          <w:color w:val="auto"/>
          <w:sz w:val="22"/>
          <w:szCs w:val="22"/>
          <w:highlight w:val="none"/>
        </w:rPr>
        <w:t xml:space="preserve"> </w:t>
      </w:r>
      <w:r>
        <w:rPr>
          <w:rFonts w:hint="eastAsia" w:ascii="微软雅黑" w:hAnsi="微软雅黑" w:eastAsia="微软雅黑" w:cs="微软雅黑"/>
          <w:color w:val="auto"/>
          <w:sz w:val="22"/>
          <w:szCs w:val="22"/>
          <w:highlight w:val="none"/>
        </w:rPr>
        <w:t xml:space="preserve">           </w:t>
      </w: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p>
    <w:p>
      <w:pPr>
        <w:spacing w:line="36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供应商（盖章）：</w:t>
      </w:r>
    </w:p>
    <w:p>
      <w:pPr>
        <w:spacing w:line="36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授权代表（签字）：</w:t>
      </w:r>
    </w:p>
    <w:p>
      <w:pPr>
        <w:spacing w:line="400" w:lineRule="exact"/>
        <w:rPr>
          <w:rFonts w:ascii="微软雅黑" w:hAnsi="微软雅黑" w:eastAsia="微软雅黑" w:cs="微软雅黑"/>
          <w:b/>
          <w:color w:val="auto"/>
          <w:sz w:val="22"/>
          <w:szCs w:val="22"/>
          <w:highlight w:val="none"/>
        </w:rPr>
      </w:pPr>
      <w:r>
        <w:rPr>
          <w:rFonts w:hint="eastAsia" w:ascii="微软雅黑" w:hAnsi="微软雅黑" w:eastAsia="微软雅黑" w:cs="微软雅黑"/>
          <w:color w:val="auto"/>
          <w:sz w:val="22"/>
          <w:szCs w:val="22"/>
          <w:highlight w:val="none"/>
        </w:rPr>
        <w:t xml:space="preserve">日期：     </w:t>
      </w:r>
    </w:p>
    <w:p>
      <w:pPr>
        <w:spacing w:line="320" w:lineRule="exact"/>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注：1、本表格仅提供了样表格式，供应商应根据实际情况自行编制；</w:t>
      </w:r>
    </w:p>
    <w:p>
      <w:pPr>
        <w:widowControl/>
        <w:jc w:val="left"/>
        <w:rPr>
          <w:rFonts w:ascii="微软雅黑" w:hAnsi="微软雅黑" w:eastAsia="微软雅黑" w:cs="微软雅黑"/>
          <w:b/>
          <w:bCs/>
          <w:color w:val="auto"/>
          <w:sz w:val="22"/>
          <w:szCs w:val="22"/>
          <w:highlight w:val="none"/>
        </w:rPr>
      </w:pPr>
      <w:r>
        <w:rPr>
          <w:rFonts w:hint="eastAsia" w:ascii="微软雅黑" w:hAnsi="微软雅黑" w:eastAsia="微软雅黑" w:cs="微软雅黑"/>
          <w:b/>
          <w:color w:val="auto"/>
          <w:sz w:val="22"/>
          <w:szCs w:val="22"/>
          <w:highlight w:val="none"/>
        </w:rPr>
        <w:t>2、最终合计金额必须包括实施本项目所需的一切费用，并与初次报价表中总价相一致。</w:t>
      </w:r>
      <w:r>
        <w:rPr>
          <w:rFonts w:hint="eastAsia" w:ascii="微软雅黑" w:hAnsi="微软雅黑" w:eastAsia="微软雅黑" w:cs="微软雅黑"/>
          <w:b/>
          <w:bCs/>
          <w:color w:val="auto"/>
          <w:sz w:val="22"/>
          <w:szCs w:val="22"/>
          <w:highlight w:val="none"/>
        </w:rPr>
        <w:br w:type="page"/>
      </w:r>
    </w:p>
    <w:p>
      <w:pPr>
        <w:snapToGrid w:val="0"/>
        <w:spacing w:before="50" w:after="156" w:afterLines="50" w:line="6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13、中小企业声明函</w:t>
      </w:r>
    </w:p>
    <w:p>
      <w:pPr>
        <w:spacing w:line="44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中小企业声明函（工程、服务）</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1. （标的名称） ，属于（采购文件中明确的所属行业）；承建（承接）企业为（企业名称），从业人员     人，营业收入为      万元，资产总额为         万元，属于（中型企业、小型企业、微型企业）； </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2. （标的名称） ，属于（采购文件中明确的所属行业）；承建（承接）企业为（企业名称），从业人员       人，营业收入为        万元，资产总额为            万元，属于（中型企业、小型企业、微型企业）； </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以上企业，不属于大企业的分支机构，不存在控股股东为大企业的情形，也不存在与大企业的负责人为同一人的情形。</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本企业对上述声明内容的真实性负责。如有虚假，将依法承担相应责任。 </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企业名称（盖章）： </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日 期： </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从业人员、营业收入、资产总额填报上一年度数据，无上一年度数据的新成立企业可不填报。</w:t>
      </w:r>
    </w:p>
    <w:p>
      <w:pPr>
        <w:spacing w:line="440" w:lineRule="exact"/>
        <w:ind w:firstLine="440" w:firstLineChars="200"/>
        <w:rPr>
          <w:rFonts w:ascii="微软雅黑" w:hAnsi="微软雅黑" w:eastAsia="微软雅黑" w:cs="微软雅黑"/>
          <w:color w:val="auto"/>
          <w:sz w:val="22"/>
          <w:szCs w:val="22"/>
          <w:highlight w:val="none"/>
        </w:rPr>
      </w:pP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b/>
          <w:bCs/>
          <w:color w:val="auto"/>
          <w:sz w:val="22"/>
          <w:szCs w:val="22"/>
          <w:highlight w:val="none"/>
        </w:rPr>
        <w:t>说明：1、从业人员、营业收入、资产总额填报上一年度数据，无上一年度数据的新成立企业可不填报。为本项目提供服务的企业按照《关于印发中小企业划型标准规定的通知》（工信部联企业〔2011〕300 号）的所属行业分类为</w:t>
      </w:r>
      <w:r>
        <w:rPr>
          <w:rFonts w:hint="eastAsia" w:ascii="微软雅黑" w:hAnsi="微软雅黑" w:eastAsia="微软雅黑" w:cs="微软雅黑"/>
          <w:b/>
          <w:bCs/>
          <w:color w:val="auto"/>
          <w:sz w:val="22"/>
          <w:szCs w:val="22"/>
          <w:highlight w:val="none"/>
          <w:lang w:val="en-US" w:eastAsia="zh-CN"/>
        </w:rPr>
        <w:t>建筑业或其他未列明行业</w:t>
      </w:r>
      <w:r>
        <w:rPr>
          <w:rFonts w:hint="eastAsia" w:ascii="微软雅黑" w:hAnsi="微软雅黑" w:eastAsia="微软雅黑" w:cs="微软雅黑"/>
          <w:b/>
          <w:bCs/>
          <w:color w:val="auto"/>
          <w:sz w:val="22"/>
          <w:szCs w:val="22"/>
          <w:highlight w:val="none"/>
        </w:rPr>
        <w:t>。</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2、本表格至关重要，供应商必须如实且规范填写本表格，供应商对于此表填写有任何疑问的，可咨询采购代理机构项目负责人。</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3、中小企业划分为中型、小型、微型三种类型，具体标准根据企业从业人员、营业收入、资产总额等指标，结合行业特点制定。各行业划型标准为：</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（一）农、林、牧、渔业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营业收入20000万元以下的为中小微型企业。其中，营业收入500万元及以上的为中型企业，营业收入50万元及以上的为小型企业，营业收入50万元以下的为微型企业。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（二）工业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（三）建筑业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（四）批发业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（五）零售业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（六）交通运输业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从业人员1000人以下或营业收入30000万元以下的为中小微型企业。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（七）仓储业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（八）邮政业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（九）住宿业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（十）餐饮业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（十一）信息传输业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（十二）软件和信息技术服务业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（十三）房地产开发经营</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（十四）物业管理</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（十五）租赁和商务服务业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（十六）其他未列明行业</w:t>
      </w:r>
    </w:p>
    <w:p>
      <w:pPr>
        <w:spacing w:line="4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从业人员300人以下的为中小微型企业。其中，从业人员100人及以上的为中型企业；从业人员10人及以上的为小型企业；从业人员10人以下的为微型企业。</w:t>
      </w:r>
    </w:p>
    <w:p>
      <w:pPr>
        <w:spacing w:line="600" w:lineRule="exact"/>
        <w:ind w:firstLine="440" w:firstLineChars="200"/>
        <w:rPr>
          <w:rFonts w:ascii="微软雅黑" w:hAnsi="微软雅黑" w:eastAsia="微软雅黑" w:cs="微软雅黑"/>
          <w:color w:val="auto"/>
          <w:sz w:val="22"/>
          <w:szCs w:val="22"/>
          <w:highlight w:val="none"/>
        </w:rPr>
      </w:pPr>
    </w:p>
    <w:p>
      <w:pP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napToGrid w:val="0"/>
        <w:spacing w:before="50" w:after="156" w:afterLines="50" w:line="6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14、监狱企业声明函</w:t>
      </w:r>
    </w:p>
    <w:p>
      <w:pPr>
        <w:spacing w:line="600" w:lineRule="exact"/>
        <w:jc w:val="center"/>
        <w:outlineLvl w:val="0"/>
        <w:rPr>
          <w:rFonts w:ascii="微软雅黑" w:hAnsi="微软雅黑" w:eastAsia="微软雅黑" w:cs="微软雅黑"/>
          <w:color w:val="auto"/>
          <w:sz w:val="22"/>
          <w:szCs w:val="22"/>
          <w:highlight w:val="none"/>
        </w:rPr>
      </w:pPr>
      <w:bookmarkStart w:id="110" w:name="_Toc24501"/>
      <w:r>
        <w:rPr>
          <w:rFonts w:hint="eastAsia" w:ascii="微软雅黑" w:hAnsi="微软雅黑" w:eastAsia="微软雅黑" w:cs="微软雅黑"/>
          <w:color w:val="auto"/>
          <w:sz w:val="22"/>
          <w:szCs w:val="22"/>
          <w:highlight w:val="none"/>
        </w:rPr>
        <w:t>【非监狱企业的不用提供】</w:t>
      </w:r>
      <w:bookmarkEnd w:id="110"/>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本企业郑重声明，根据《关于政府采购支持监狱企业发展有关问题的通知》(财库[2014]68号）的规定，本企业为监狱企业。</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根据上述标准，我企业属于监狱企业的理由为:</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 xml:space="preserve">       </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本企业为参加(项目名称:</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 (项目编号:</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)采购活动提供本企业的产品。</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本企业对上述声明的真实性负责。如有虚假，将依法承担相应责任。</w:t>
      </w: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供应商名称(盖章) :</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监狱企业参加政府采购活动时，应当提供由省级以上监狱管理局、戒毒管理局(含新疆生产建设兵团)出具的属于监狱企业的证明文件；</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540" w:lineRule="exact"/>
        <w:ind w:firstLine="440" w:firstLineChars="200"/>
        <w:rPr>
          <w:rFonts w:ascii="微软雅黑" w:hAnsi="微软雅黑" w:eastAsia="微软雅黑" w:cs="微软雅黑"/>
          <w:color w:val="auto"/>
          <w:sz w:val="22"/>
          <w:szCs w:val="22"/>
          <w:highlight w:val="none"/>
        </w:rPr>
      </w:pPr>
    </w:p>
    <w:p>
      <w:pPr>
        <w:snapToGrid w:val="0"/>
        <w:spacing w:before="50" w:after="156" w:afterLines="50" w:line="600" w:lineRule="exact"/>
        <w:ind w:firstLine="440" w:firstLineChars="200"/>
        <w:jc w:val="center"/>
        <w:rPr>
          <w:rFonts w:ascii="微软雅黑" w:hAnsi="微软雅黑" w:eastAsia="微软雅黑" w:cs="微软雅黑"/>
          <w:b/>
          <w:bCs/>
          <w:color w:val="auto"/>
          <w:sz w:val="22"/>
          <w:szCs w:val="22"/>
          <w:highlight w:val="none"/>
        </w:rPr>
      </w:pPr>
    </w:p>
    <w:p>
      <w:pPr>
        <w:snapToGrid w:val="0"/>
        <w:spacing w:before="50" w:after="156" w:afterLines="50" w:line="6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15、残疾人福利性单位声明函</w:t>
      </w:r>
    </w:p>
    <w:p>
      <w:pPr>
        <w:spacing w:line="60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【非残疾人福利性单位不用提供】</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本单位郑重声明，根据《财政部民政部中国残疾人联合会关于促进残疾人就业政府采购政策的通知》(财库(2017) 141号)的规定。本单位为符合条件的残疾人福利性单位，且本单位参加</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(采购人名称)单位的</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(项目名称)项目采购活动提供本单位制造的货物(由本单位承担工程/提供服务)，或者提供其他残疾人福利性单位制造的货物(不包括使用非残疾人福利性单位注册商标的货物)。</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本单位对上述声明的真实性负责，如有虚假，将依法承但相应责任。</w:t>
      </w: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供应商名称(盖章)：</w:t>
      </w:r>
    </w:p>
    <w:p>
      <w:pPr>
        <w:spacing w:line="60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napToGrid w:val="0"/>
        <w:spacing w:before="50" w:after="156" w:afterLines="50" w:line="360" w:lineRule="exact"/>
        <w:jc w:val="center"/>
        <w:rPr>
          <w:rFonts w:ascii="微软雅黑" w:hAnsi="微软雅黑" w:eastAsia="微软雅黑" w:cs="微软雅黑"/>
          <w:b/>
          <w:bCs/>
          <w:color w:val="auto"/>
          <w:sz w:val="22"/>
          <w:szCs w:val="22"/>
          <w:highlight w:val="none"/>
        </w:rPr>
      </w:pPr>
    </w:p>
    <w:p>
      <w:pPr>
        <w:snapToGrid w:val="0"/>
        <w:spacing w:before="50" w:after="156" w:afterLines="50" w:line="36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16、采购代理服务费承诺函</w:t>
      </w: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浙江明业项目管理有限公司：</w:t>
      </w: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根据磋商文件的规定，一旦我单位成交，我单位同意按采购文件要求向贵公司交纳成交项目的采购代理服务费，在确定成交供应商后，领取成交通知书前的当天一次性结清。</w:t>
      </w: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本承诺函自开标之日起至本次采购期满有效。</w:t>
      </w: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法定代表人或授权代表签字：</w:t>
      </w: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供应商公章：</w:t>
      </w:r>
    </w:p>
    <w:p>
      <w:pPr>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日期：202</w:t>
      </w:r>
      <w:r>
        <w:rPr>
          <w:rFonts w:ascii="微软雅黑" w:hAnsi="微软雅黑" w:eastAsia="微软雅黑" w:cs="微软雅黑"/>
          <w:color w:val="auto"/>
          <w:sz w:val="22"/>
          <w:szCs w:val="22"/>
          <w:highlight w:val="none"/>
        </w:rPr>
        <w:t>2</w:t>
      </w:r>
      <w:r>
        <w:rPr>
          <w:rFonts w:hint="eastAsia" w:ascii="微软雅黑" w:hAnsi="微软雅黑" w:eastAsia="微软雅黑" w:cs="微软雅黑"/>
          <w:color w:val="auto"/>
          <w:sz w:val="22"/>
          <w:szCs w:val="22"/>
          <w:highlight w:val="none"/>
        </w:rPr>
        <w:t>年  月  日</w:t>
      </w: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40" w:lineRule="exact"/>
        <w:ind w:firstLine="440" w:firstLineChars="200"/>
        <w:jc w:val="left"/>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spacing w:line="600" w:lineRule="exact"/>
        <w:ind w:firstLine="440" w:firstLineChars="200"/>
        <w:rPr>
          <w:rFonts w:ascii="微软雅黑" w:hAnsi="微软雅黑" w:eastAsia="微软雅黑" w:cs="微软雅黑"/>
          <w:color w:val="auto"/>
          <w:sz w:val="22"/>
          <w:szCs w:val="22"/>
          <w:highlight w:val="none"/>
        </w:rPr>
      </w:pPr>
    </w:p>
    <w:p>
      <w:pPr>
        <w:ind w:firstLine="440" w:firstLineChars="200"/>
        <w:jc w:val="center"/>
        <w:rPr>
          <w:rFonts w:ascii="微软雅黑" w:hAnsi="微软雅黑" w:eastAsia="微软雅黑" w:cs="微软雅黑"/>
          <w:b/>
          <w:color w:val="auto"/>
          <w:sz w:val="22"/>
          <w:szCs w:val="22"/>
          <w:highlight w:val="none"/>
        </w:rPr>
      </w:pPr>
    </w:p>
    <w:p>
      <w:pPr>
        <w:ind w:firstLine="440" w:firstLineChars="200"/>
        <w:jc w:val="center"/>
        <w:rPr>
          <w:rFonts w:ascii="微软雅黑" w:hAnsi="微软雅黑" w:eastAsia="微软雅黑" w:cs="微软雅黑"/>
          <w:b/>
          <w:color w:val="auto"/>
          <w:sz w:val="22"/>
          <w:szCs w:val="22"/>
          <w:highlight w:val="none"/>
        </w:rPr>
      </w:pPr>
    </w:p>
    <w:p>
      <w:pPr>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17、供应商针对报价需要说明的其他文件和说明</w:t>
      </w:r>
    </w:p>
    <w:p>
      <w:pPr>
        <w:snapToGrid w:val="0"/>
        <w:spacing w:before="50" w:after="50"/>
        <w:jc w:val="left"/>
        <w:rPr>
          <w:rFonts w:ascii="微软雅黑" w:hAnsi="微软雅黑" w:eastAsia="微软雅黑" w:cs="微软雅黑"/>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p>
    <w:p>
      <w:pPr>
        <w:snapToGrid w:val="0"/>
        <w:spacing w:before="50" w:after="50"/>
        <w:ind w:firstLine="440" w:firstLineChars="200"/>
        <w:jc w:val="left"/>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r>
        <w:rPr>
          <w:rFonts w:hint="eastAsia" w:ascii="微软雅黑" w:hAnsi="微软雅黑" w:eastAsia="微软雅黑" w:cs="微软雅黑"/>
          <w:b/>
          <w:bCs/>
          <w:color w:val="auto"/>
          <w:sz w:val="22"/>
          <w:szCs w:val="22"/>
          <w:highlight w:val="none"/>
        </w:rPr>
        <w:t>附件：</w:t>
      </w:r>
    </w:p>
    <w:p>
      <w:pPr>
        <w:snapToGrid w:val="0"/>
        <w:spacing w:before="50" w:after="5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18、供应商自评分索引表</w:t>
      </w:r>
    </w:p>
    <w:p>
      <w:pPr>
        <w:snapToGrid w:val="0"/>
        <w:spacing w:before="50"/>
        <w:ind w:firstLine="440" w:firstLineChars="200"/>
        <w:jc w:val="center"/>
        <w:rPr>
          <w:rFonts w:ascii="微软雅黑" w:hAnsi="微软雅黑" w:eastAsia="微软雅黑" w:cs="微软雅黑"/>
          <w:b/>
          <w:color w:val="auto"/>
          <w:sz w:val="22"/>
          <w:szCs w:val="22"/>
          <w:highlight w:val="none"/>
        </w:rPr>
      </w:pPr>
    </w:p>
    <w:p>
      <w:pPr>
        <w:adjustRightInd w:val="0"/>
        <w:snapToGrid w:val="0"/>
        <w:spacing w:line="360" w:lineRule="auto"/>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供应商全称（公章）：              </w:t>
      </w:r>
    </w:p>
    <w:tbl>
      <w:tblPr>
        <w:tblStyle w:val="30"/>
        <w:tblW w:w="87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085"/>
        <w:gridCol w:w="2552"/>
        <w:gridCol w:w="1134"/>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评分项目</w:t>
            </w: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磋商响应文件对应资料</w:t>
            </w: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自评分</w:t>
            </w: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磋商响应文件页码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对应第四章评分办法及评分标准（报价除外）</w:t>
            </w: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napToGrid w:val="0"/>
              <w:ind w:firstLine="440" w:firstLineChars="200"/>
              <w:jc w:val="center"/>
              <w:rPr>
                <w:rFonts w:ascii="微软雅黑" w:hAnsi="微软雅黑" w:eastAsia="微软雅黑" w:cs="微软雅黑"/>
                <w:color w:val="auto"/>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firstLine="440" w:firstLineChars="200"/>
              <w:jc w:val="center"/>
              <w:rPr>
                <w:rFonts w:ascii="微软雅黑" w:hAnsi="微软雅黑" w:eastAsia="微软雅黑" w:cs="微软雅黑"/>
                <w:color w:val="auto"/>
                <w:sz w:val="22"/>
                <w:szCs w:val="22"/>
                <w:highlight w:val="none"/>
              </w:rPr>
            </w:pPr>
          </w:p>
        </w:tc>
      </w:tr>
    </w:tbl>
    <w:p>
      <w:pPr>
        <w:snapToGrid w:val="0"/>
        <w:spacing w:line="460" w:lineRule="exact"/>
        <w:ind w:firstLine="440" w:firstLineChars="200"/>
        <w:rPr>
          <w:rFonts w:ascii="微软雅黑" w:hAnsi="微软雅黑" w:eastAsia="微软雅黑" w:cs="微软雅黑"/>
          <w:color w:val="auto"/>
          <w:sz w:val="22"/>
          <w:szCs w:val="22"/>
          <w:highlight w:val="none"/>
        </w:rPr>
      </w:pPr>
    </w:p>
    <w:p>
      <w:pPr>
        <w:snapToGrid w:val="0"/>
        <w:spacing w:line="46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法定代表人或其授权代理人签字或盖章：</w:t>
      </w:r>
    </w:p>
    <w:p>
      <w:pPr>
        <w:snapToGrid w:val="0"/>
        <w:spacing w:line="460" w:lineRule="exact"/>
        <w:ind w:firstLine="440" w:firstLineChars="200"/>
        <w:jc w:val="righ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    年  月   日</w:t>
      </w: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jc w:val="center"/>
        <w:rPr>
          <w:rFonts w:ascii="微软雅黑" w:hAnsi="微软雅黑" w:eastAsia="微软雅黑" w:cs="微软雅黑"/>
          <w:b/>
          <w:bCs/>
          <w:color w:val="auto"/>
          <w:sz w:val="22"/>
          <w:szCs w:val="22"/>
          <w:highlight w:val="none"/>
        </w:rPr>
      </w:pPr>
    </w:p>
    <w:p>
      <w:pPr>
        <w:spacing w:line="360" w:lineRule="auto"/>
        <w:ind w:firstLine="440" w:firstLineChars="200"/>
        <w:jc w:val="center"/>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napToGrid w:val="0"/>
        <w:spacing w:line="560" w:lineRule="exact"/>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19、“信用中国”（www.creditchina.gov.cn）、“中国政府采购网”（www.ccgp.gov.cn）网页截图模板</w: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drawing>
          <wp:anchor distT="0" distB="0" distL="114300" distR="114300" simplePos="0" relativeHeight="251670528" behindDoc="0" locked="0" layoutInCell="1" allowOverlap="1">
            <wp:simplePos x="0" y="0"/>
            <wp:positionH relativeFrom="column">
              <wp:posOffset>498475</wp:posOffset>
            </wp:positionH>
            <wp:positionV relativeFrom="paragraph">
              <wp:posOffset>-100330</wp:posOffset>
            </wp:positionV>
            <wp:extent cx="4763135" cy="6230620"/>
            <wp:effectExtent l="0" t="0" r="18415" b="17780"/>
            <wp:wrapSquare wrapText="bothSides"/>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7"/>
                    <a:stretch>
                      <a:fillRect/>
                    </a:stretch>
                  </pic:blipFill>
                  <pic:spPr>
                    <a:xfrm>
                      <a:off x="0" y="0"/>
                      <a:ext cx="4763135" cy="6230620"/>
                    </a:xfrm>
                    <a:prstGeom prst="rect">
                      <a:avLst/>
                    </a:prstGeom>
                    <a:noFill/>
                    <a:ln w="9525">
                      <a:noFill/>
                    </a:ln>
                  </pic:spPr>
                </pic:pic>
              </a:graphicData>
            </a:graphic>
          </wp:anchor>
        </w:drawing>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9504" behindDoc="0" locked="0" layoutInCell="1" allowOverlap="1">
                <wp:simplePos x="0" y="0"/>
                <wp:positionH relativeFrom="column">
                  <wp:posOffset>3910330</wp:posOffset>
                </wp:positionH>
                <wp:positionV relativeFrom="paragraph">
                  <wp:posOffset>177165</wp:posOffset>
                </wp:positionV>
                <wp:extent cx="90805" cy="1285875"/>
                <wp:effectExtent l="0" t="0" r="4445" b="9525"/>
                <wp:wrapNone/>
                <wp:docPr id="2" name="矩形 2"/>
                <wp:cNvGraphicFramePr/>
                <a:graphic xmlns:a="http://schemas.openxmlformats.org/drawingml/2006/main">
                  <a:graphicData uri="http://schemas.microsoft.com/office/word/2010/wordprocessingShape">
                    <wps:wsp>
                      <wps:cNvSpPr/>
                      <wps:spPr>
                        <a:xfrm>
                          <a:off x="0" y="0"/>
                          <a:ext cx="90805" cy="12858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307.9pt;margin-top:13.95pt;height:101.25pt;width:7.15pt;z-index:251669504;mso-width-relative:page;mso-height-relative:page;" fillcolor="#FFFFFF" filled="t" stroked="f" coordsize="21600,21600" o:gfxdata="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FaT0k2AAAAAoBAAAPAAAAAAAAAAEAIAAAACIAAABkcnMvZG93bnJldi54bWxQSwEC&#10;FAAUAAAACACHTuJAdwQaDrsBAABy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1312" behindDoc="0" locked="0" layoutInCell="1" allowOverlap="1">
                <wp:simplePos x="0" y="0"/>
                <wp:positionH relativeFrom="column">
                  <wp:posOffset>2463800</wp:posOffset>
                </wp:positionH>
                <wp:positionV relativeFrom="paragraph">
                  <wp:posOffset>306705</wp:posOffset>
                </wp:positionV>
                <wp:extent cx="90805" cy="898525"/>
                <wp:effectExtent l="0" t="0" r="4445" b="15875"/>
                <wp:wrapNone/>
                <wp:docPr id="3" name="矩形 3"/>
                <wp:cNvGraphicFramePr/>
                <a:graphic xmlns:a="http://schemas.openxmlformats.org/drawingml/2006/main">
                  <a:graphicData uri="http://schemas.microsoft.com/office/word/2010/wordprocessingShape">
                    <wps:wsp>
                      <wps:cNvSpPr/>
                      <wps:spPr>
                        <a:xfrm>
                          <a:off x="0" y="0"/>
                          <a:ext cx="90805" cy="898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94pt;margin-top:24.15pt;height:70.75pt;width:7.15pt;z-index:251661312;mso-width-relative:page;mso-height-relative:page;" fillcolor="#FFFFFF" filled="t" stroked="f" coordsize="21600,21600" o:gfxdata="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R8JsTNcAAAAKAQAADwAAAAAAAAABACAAAAAiAAAAZHJzL2Rvd25yZXYueG1sUEsBAhQA&#10;FAAAAAgAh07iQKSyuXi6AQAAcQMAAA4AAAAAAAAAAQAgAAAAJgEAAGRycy9lMm9Eb2MueG1sUEsF&#10;BgAAAAAGAAYAWQEAAFIFA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2129790</wp:posOffset>
                </wp:positionH>
                <wp:positionV relativeFrom="paragraph">
                  <wp:posOffset>147955</wp:posOffset>
                </wp:positionV>
                <wp:extent cx="182880" cy="1931670"/>
                <wp:effectExtent l="0" t="0" r="7620" b="11430"/>
                <wp:wrapNone/>
                <wp:docPr id="4" name="矩形 4"/>
                <wp:cNvGraphicFramePr/>
                <a:graphic xmlns:a="http://schemas.openxmlformats.org/drawingml/2006/main">
                  <a:graphicData uri="http://schemas.microsoft.com/office/word/2010/wordprocessingShape">
                    <wps:wsp>
                      <wps:cNvSpPr/>
                      <wps:spPr>
                        <a:xfrm>
                          <a:off x="0" y="0"/>
                          <a:ext cx="182880" cy="1931670"/>
                        </a:xfrm>
                        <a:prstGeom prst="rect">
                          <a:avLst/>
                        </a:prstGeom>
                        <a:solidFill>
                          <a:srgbClr val="FFFFFF"/>
                        </a:solidFill>
                        <a:ln w="9525">
                          <a:noFill/>
                        </a:ln>
                      </wps:spPr>
                      <wps:txbx>
                        <w:txbxContent>
                          <w:p/>
                          <w:p>
                            <w:r>
                              <w:rPr>
                                <w:rFonts w:hint="eastAsia"/>
                              </w:rPr>
                              <w:t>某某</w:t>
                            </w:r>
                          </w:p>
                        </w:txbxContent>
                      </wps:txbx>
                      <wps:bodyPr vert="vert270" upright="1"/>
                    </wps:wsp>
                  </a:graphicData>
                </a:graphic>
              </wp:anchor>
            </w:drawing>
          </mc:Choice>
          <mc:Fallback>
            <w:pict>
              <v:rect id="_x0000_s1026" o:spid="_x0000_s1026" o:spt="1" style="position:absolute;left:0pt;margin-left:167.7pt;margin-top:11.65pt;height:152.1pt;width:14.4pt;z-index:251660288;mso-width-relative:page;mso-height-relative:page;" fillcolor="#FFFFFF" filled="t" stroked="f" coordsize="21600,21600" o:gfxdata="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E5ioQ2gAAAAoBAAAPAAAAAAAAAAEAIAAAACIAAABkcnMv&#10;ZG93bnJldi54bWxQSwECFAAUAAAACACHTuJAGZ0UZ8gBAACCAwAADgAAAAAAAAABACAAAAApAQAA&#10;ZHJzL2Uyb0RvYy54bWxQSwUGAAAAAAYABgBZAQAAYwUAAAAA&#10;">
                <v:fill on="t" focussize="0,0"/>
                <v:stroke on="f"/>
                <v:imagedata o:title=""/>
                <o:lock v:ext="edit" aspectratio="f"/>
                <v:textbox style="layout-flow:vertical;mso-layout-flow-alt:bottom-to-top;">
                  <w:txbxContent>
                    <w:p/>
                    <w:p>
                      <w:r>
                        <w:rPr>
                          <w:rFonts w:hint="eastAsia"/>
                        </w:rPr>
                        <w:t>某某</w:t>
                      </w: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8480" behindDoc="0" locked="0" layoutInCell="1" allowOverlap="1">
                <wp:simplePos x="0" y="0"/>
                <wp:positionH relativeFrom="column">
                  <wp:posOffset>3700780</wp:posOffset>
                </wp:positionH>
                <wp:positionV relativeFrom="paragraph">
                  <wp:posOffset>221615</wp:posOffset>
                </wp:positionV>
                <wp:extent cx="90805" cy="530225"/>
                <wp:effectExtent l="0" t="0" r="4445" b="3175"/>
                <wp:wrapNone/>
                <wp:docPr id="5" name="矩形 5"/>
                <wp:cNvGraphicFramePr/>
                <a:graphic xmlns:a="http://schemas.openxmlformats.org/drawingml/2006/main">
                  <a:graphicData uri="http://schemas.microsoft.com/office/word/2010/wordprocessingShape">
                    <wps:wsp>
                      <wps:cNvSpPr/>
                      <wps:spPr>
                        <a:xfrm>
                          <a:off x="0" y="0"/>
                          <a:ext cx="90805" cy="5302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91.4pt;margin-top:17.45pt;height:41.75pt;width:7.15pt;z-index:251668480;mso-width-relative:page;mso-height-relative:page;" fillcolor="#FFFFFF" filled="t" stroked="f" coordsize="21600,21600" o:gfxdata="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AhdTrDZAAAACgEAAA8AAAAAAAAAAQAgAAAAIgAAAGRycy9kb3ducmV2LnhtbFBL&#10;AQIUABQAAAAIAIdO4kC4feS0vAEAAHEDAAAOAAAAAAAAAAEAIAAAACgBAABkcnMvZTJvRG9jLnht&#10;bFBLBQYAAAAABgAGAFkBAABWBQ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6432" behindDoc="0" locked="0" layoutInCell="1" allowOverlap="1">
                <wp:simplePos x="0" y="0"/>
                <wp:positionH relativeFrom="column">
                  <wp:posOffset>2312670</wp:posOffset>
                </wp:positionH>
                <wp:positionV relativeFrom="paragraph">
                  <wp:posOffset>132715</wp:posOffset>
                </wp:positionV>
                <wp:extent cx="151130" cy="1047750"/>
                <wp:effectExtent l="0" t="0" r="1270" b="0"/>
                <wp:wrapNone/>
                <wp:docPr id="6" name="矩形 6"/>
                <wp:cNvGraphicFramePr/>
                <a:graphic xmlns:a="http://schemas.openxmlformats.org/drawingml/2006/main">
                  <a:graphicData uri="http://schemas.microsoft.com/office/word/2010/wordprocessingShape">
                    <wps:wsp>
                      <wps:cNvSpPr/>
                      <wps:spPr>
                        <a:xfrm>
                          <a:off x="0" y="0"/>
                          <a:ext cx="151130" cy="1047750"/>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82.1pt;margin-top:10.45pt;height:82.5pt;width:11.9pt;z-index:251666432;mso-width-relative:page;mso-height-relative:page;" fillcolor="#FFFFFF" filled="t" stroked="f" coordsize="21600,21600" o:gfxdata="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RPjF7XAAAACgEAAA8AAAAAAAAAAQAgAAAAIgAAAGRycy9kb3ducmV2LnhtbFBL&#10;AQIUABQAAAAIAIdO4kBDvQO1vgEAAHMDAAAOAAAAAAAAAAEAIAAAACYBAABkcnMvZTJvRG9jLnht&#10;bFBLBQYAAAAABgAGAFkBAABWBQ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2336" behindDoc="0" locked="0" layoutInCell="1" allowOverlap="1">
                <wp:simplePos x="0" y="0"/>
                <wp:positionH relativeFrom="column">
                  <wp:posOffset>2670175</wp:posOffset>
                </wp:positionH>
                <wp:positionV relativeFrom="paragraph">
                  <wp:posOffset>221615</wp:posOffset>
                </wp:positionV>
                <wp:extent cx="90805" cy="1152525"/>
                <wp:effectExtent l="0" t="0" r="4445" b="9525"/>
                <wp:wrapNone/>
                <wp:docPr id="7" name="矩形 7"/>
                <wp:cNvGraphicFramePr/>
                <a:graphic xmlns:a="http://schemas.openxmlformats.org/drawingml/2006/main">
                  <a:graphicData uri="http://schemas.microsoft.com/office/word/2010/wordprocessingShape">
                    <wps:wsp>
                      <wps:cNvSpPr/>
                      <wps:spPr>
                        <a:xfrm>
                          <a:off x="0" y="0"/>
                          <a:ext cx="90805" cy="1152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10.25pt;margin-top:17.45pt;height:90.75pt;width:7.15pt;z-index:251662336;mso-width-relative:page;mso-height-relative:page;" fillcolor="#FFFFFF" filled="t" stroked="f" coordsize="21600,21600" o:gfxdata="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S9zcbYAAAACgEAAA8AAAAAAAAAAQAgAAAAIgAAAGRycy9kb3ducmV2LnhtbFBLAQIU&#10;ABQAAAAIAIdO4kDTwBx7ugEAAHIDAAAOAAAAAAAAAAEAIAAAACcBAABkcnMvZTJvRG9jLnhtbFBL&#10;BQYAAAAABgAGAFkBAABTBQAAAAA=&#10;">
                <v:fill on="t" focussize="0,0"/>
                <v:stroke on="f"/>
                <v:imagedata o:title=""/>
                <o:lock v:ext="edit" aspectratio="f"/>
                <v:textbox>
                  <w:txbxContent>
                    <w:p>
                      <w:pPr>
                        <w:jc w:val="center"/>
                      </w:pP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7456" behindDoc="0" locked="0" layoutInCell="1" allowOverlap="1">
                <wp:simplePos x="0" y="0"/>
                <wp:positionH relativeFrom="column">
                  <wp:posOffset>3415030</wp:posOffset>
                </wp:positionH>
                <wp:positionV relativeFrom="paragraph">
                  <wp:posOffset>139065</wp:posOffset>
                </wp:positionV>
                <wp:extent cx="90805" cy="257175"/>
                <wp:effectExtent l="0" t="0" r="4445" b="9525"/>
                <wp:wrapNone/>
                <wp:docPr id="8" name="矩形 8"/>
                <wp:cNvGraphicFramePr/>
                <a:graphic xmlns:a="http://schemas.openxmlformats.org/drawingml/2006/main">
                  <a:graphicData uri="http://schemas.microsoft.com/office/word/2010/wordprocessingShape">
                    <wps:wsp>
                      <wps:cNvSpPr/>
                      <wps:spPr>
                        <a:xfrm>
                          <a:off x="0" y="0"/>
                          <a:ext cx="90805" cy="2571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68.9pt;margin-top:10.95pt;height:20.25pt;width:7.15pt;z-index:251667456;mso-width-relative:page;mso-height-relative:page;" fillcolor="#FFFFFF" filled="t" stroked="f" coordsize="21600,21600" o:gfxdata="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WPg1O2AAAAAkBAAAPAAAAAAAAAAEAIAAAACIAAABkcnMvZG93bnJldi54bWxQSwEC&#10;FAAUAAAACACHTuJARH8JB7sBAABx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5408" behindDoc="0" locked="0" layoutInCell="1" allowOverlap="1">
                <wp:simplePos x="0" y="0"/>
                <wp:positionH relativeFrom="column">
                  <wp:posOffset>2081530</wp:posOffset>
                </wp:positionH>
                <wp:positionV relativeFrom="paragraph">
                  <wp:posOffset>53340</wp:posOffset>
                </wp:positionV>
                <wp:extent cx="139065" cy="1590675"/>
                <wp:effectExtent l="0" t="0" r="13335" b="9525"/>
                <wp:wrapNone/>
                <wp:docPr id="9" name="矩形 9"/>
                <wp:cNvGraphicFramePr/>
                <a:graphic xmlns:a="http://schemas.openxmlformats.org/drawingml/2006/main">
                  <a:graphicData uri="http://schemas.microsoft.com/office/word/2010/wordprocessingShape">
                    <wps:wsp>
                      <wps:cNvSpPr/>
                      <wps:spPr>
                        <a:xfrm>
                          <a:off x="0" y="0"/>
                          <a:ext cx="139065" cy="15906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63.9pt;margin-top:4.2pt;height:125.25pt;width:10.95pt;z-index:251665408;mso-width-relative:page;mso-height-relative:page;" fillcolor="#FFFFFF" filled="t" stroked="f" coordsize="21600,21600" o:gfxdata="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9yMa62AAAAAkBAAAPAAAAAAAAAAEAIAAAACIAAABkcnMvZG93bnJldi54bWxQSwEC&#10;FAAUAAAACACHTuJAdRfEMrsBAABz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color w:val="auto"/>
          <w:sz w:val="22"/>
          <w:szCs w:val="22"/>
          <w:highlight w:val="none"/>
        </w:rPr>
        <w:drawing>
          <wp:anchor distT="0" distB="0" distL="114300" distR="114300" simplePos="0" relativeHeight="251659264" behindDoc="0" locked="0" layoutInCell="1" allowOverlap="1">
            <wp:simplePos x="0" y="0"/>
            <wp:positionH relativeFrom="column">
              <wp:posOffset>701040</wp:posOffset>
            </wp:positionH>
            <wp:positionV relativeFrom="paragraph">
              <wp:posOffset>36830</wp:posOffset>
            </wp:positionV>
            <wp:extent cx="4411980" cy="7866380"/>
            <wp:effectExtent l="0" t="0" r="7620" b="1270"/>
            <wp:wrapSquare wrapText="bothSides"/>
            <wp:docPr id="10"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4"/>
                    <pic:cNvPicPr>
                      <a:picLocks noChangeAspect="1"/>
                    </pic:cNvPicPr>
                  </pic:nvPicPr>
                  <pic:blipFill>
                    <a:blip r:embed="rId8"/>
                    <a:stretch>
                      <a:fillRect/>
                    </a:stretch>
                  </pic:blipFill>
                  <pic:spPr>
                    <a:xfrm>
                      <a:off x="0" y="0"/>
                      <a:ext cx="4411980" cy="7866380"/>
                    </a:xfrm>
                    <a:prstGeom prst="rect">
                      <a:avLst/>
                    </a:prstGeom>
                    <a:solidFill>
                      <a:srgbClr val="FFC000"/>
                    </a:solidFill>
                    <a:ln w="9525">
                      <a:noFill/>
                    </a:ln>
                  </pic:spPr>
                </pic:pic>
              </a:graphicData>
            </a:graphic>
          </wp:anchor>
        </w:drawing>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4384" behindDoc="0" locked="0" layoutInCell="1" allowOverlap="1">
                <wp:simplePos x="0" y="0"/>
                <wp:positionH relativeFrom="column">
                  <wp:posOffset>4403725</wp:posOffset>
                </wp:positionH>
                <wp:positionV relativeFrom="paragraph">
                  <wp:posOffset>180975</wp:posOffset>
                </wp:positionV>
                <wp:extent cx="90805" cy="898525"/>
                <wp:effectExtent l="0" t="0" r="4445" b="15875"/>
                <wp:wrapNone/>
                <wp:docPr id="11" name="矩形 11"/>
                <wp:cNvGraphicFramePr/>
                <a:graphic xmlns:a="http://schemas.openxmlformats.org/drawingml/2006/main">
                  <a:graphicData uri="http://schemas.microsoft.com/office/word/2010/wordprocessingShape">
                    <wps:wsp>
                      <wps:cNvSpPr/>
                      <wps:spPr>
                        <a:xfrm>
                          <a:off x="0" y="0"/>
                          <a:ext cx="90805" cy="898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346.75pt;margin-top:14.25pt;height:70.75pt;width:7.15pt;z-index:251664384;mso-width-relative:page;mso-height-relative:page;" fillcolor="#FFFFFF" filled="t" stroked="f" coordsize="21600,21600" o:gfxdata="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86dzvYAAAACgEAAA8AAAAAAAAAAQAgAAAAIgAAAGRycy9kb3ducmV2LnhtbFBLAQIU&#10;ABQAAAAIAIdO4kAzF6ObugEAAHMDAAAOAAAAAAAAAAEAIAAAACcBAABkcnMvZTJvRG9jLnhtbFBL&#10;BQYAAAAABgAGAFkBAABTBQAAAAA=&#10;">
                <v:fill on="t" focussize="0,0"/>
                <v:stroke on="f"/>
                <v:imagedata o:title=""/>
                <o:lock v:ext="edit" aspectratio="f"/>
                <v:textbox>
                  <w:txbxContent>
                    <w:p>
                      <w:pPr>
                        <w:jc w:val="center"/>
                      </w:pP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mc:AlternateContent>
          <mc:Choice Requires="wps">
            <w:drawing>
              <wp:anchor distT="0" distB="0" distL="114300" distR="114300" simplePos="0" relativeHeight="251663360" behindDoc="0" locked="0" layoutInCell="1" allowOverlap="1">
                <wp:simplePos x="0" y="0"/>
                <wp:positionH relativeFrom="column">
                  <wp:posOffset>3107690</wp:posOffset>
                </wp:positionH>
                <wp:positionV relativeFrom="paragraph">
                  <wp:posOffset>96520</wp:posOffset>
                </wp:positionV>
                <wp:extent cx="103505" cy="882650"/>
                <wp:effectExtent l="0" t="0" r="10795" b="12700"/>
                <wp:wrapNone/>
                <wp:docPr id="12" name="矩形 12"/>
                <wp:cNvGraphicFramePr/>
                <a:graphic xmlns:a="http://schemas.openxmlformats.org/drawingml/2006/main">
                  <a:graphicData uri="http://schemas.microsoft.com/office/word/2010/wordprocessingShape">
                    <wps:wsp>
                      <wps:cNvSpPr/>
                      <wps:spPr>
                        <a:xfrm>
                          <a:off x="0" y="0"/>
                          <a:ext cx="103505" cy="882650"/>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44.7pt;margin-top:7.6pt;height:69.5pt;width:8.15pt;z-index:251663360;mso-width-relative:page;mso-height-relative:page;" fillcolor="#FFFFFF" filled="t" stroked="f" coordsize="21600,21600" o:gfxdata="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NPM231wAAAAoBAAAPAAAAAAAAAAEAIAAAACIAAABkcnMvZG93bnJldi54bWxQ&#10;SwECFAAUAAAACACHTuJAdBGpnr8BAAB0AwAADgAAAAAAAAABACAAAAAmAQAAZHJzL2Uyb0RvYy54&#10;bWxQSwUGAAAAAAYABgBZAQAAVwUAAAAA&#10;">
                <v:fill on="t" focussize="0,0"/>
                <v:stroke on="f"/>
                <v:imagedata o:title=""/>
                <o:lock v:ext="edit" aspectratio="f"/>
                <v:textbox>
                  <w:txbxContent>
                    <w:p>
                      <w:pPr>
                        <w:jc w:val="center"/>
                      </w:pPr>
                    </w:p>
                  </w:txbxContent>
                </v:textbox>
              </v:rect>
            </w:pict>
          </mc:Fallback>
        </mc:AlternateContent>
      </w: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ind w:firstLine="440" w:firstLineChars="200"/>
        <w:jc w:val="center"/>
        <w:rPr>
          <w:rFonts w:ascii="微软雅黑" w:hAnsi="微软雅黑" w:eastAsia="微软雅黑" w:cs="微软雅黑"/>
          <w:b/>
          <w:bCs/>
          <w:color w:val="auto"/>
          <w:sz w:val="22"/>
          <w:szCs w:val="22"/>
          <w:highlight w:val="none"/>
        </w:rPr>
      </w:pPr>
    </w:p>
    <w:p>
      <w:pPr>
        <w:snapToGrid w:val="0"/>
        <w:spacing w:line="560" w:lineRule="exact"/>
        <w:rPr>
          <w:rFonts w:ascii="微软雅黑" w:hAnsi="微软雅黑" w:eastAsia="微软雅黑" w:cs="微软雅黑"/>
          <w:b/>
          <w:bCs/>
          <w:color w:val="auto"/>
          <w:sz w:val="22"/>
          <w:szCs w:val="22"/>
          <w:highlight w:val="none"/>
        </w:rPr>
      </w:pPr>
    </w:p>
    <w:p>
      <w:pP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br w:type="page"/>
      </w:r>
    </w:p>
    <w:tbl>
      <w:tblPr>
        <w:tblStyle w:val="30"/>
        <w:tblW w:w="8961" w:type="dxa"/>
        <w:tblInd w:w="111" w:type="dxa"/>
        <w:tblBorders>
          <w:top w:val="double" w:color="auto" w:sz="2" w:space="0"/>
          <w:left w:val="double" w:color="auto" w:sz="2" w:space="0"/>
          <w:bottom w:val="double" w:color="auto" w:sz="2" w:space="0"/>
          <w:right w:val="double" w:color="auto" w:sz="2" w:space="0"/>
          <w:insideH w:val="double" w:color="auto" w:sz="2" w:space="0"/>
          <w:insideV w:val="double" w:color="auto" w:sz="2" w:space="0"/>
        </w:tblBorders>
        <w:tblLayout w:type="fixed"/>
        <w:tblCellMar>
          <w:top w:w="0" w:type="dxa"/>
          <w:left w:w="108" w:type="dxa"/>
          <w:bottom w:w="0" w:type="dxa"/>
          <w:right w:w="108" w:type="dxa"/>
        </w:tblCellMar>
      </w:tblPr>
      <w:tblGrid>
        <w:gridCol w:w="4234"/>
        <w:gridCol w:w="4727"/>
      </w:tblGrid>
      <w:tr>
        <w:tblPrEx>
          <w:tblBorders>
            <w:top w:val="double" w:color="auto" w:sz="2" w:space="0"/>
            <w:left w:val="double" w:color="auto" w:sz="2" w:space="0"/>
            <w:bottom w:val="double" w:color="auto" w:sz="2" w:space="0"/>
            <w:right w:val="double" w:color="auto" w:sz="2" w:space="0"/>
            <w:insideH w:val="double" w:color="auto" w:sz="2" w:space="0"/>
            <w:insideV w:val="double" w:color="auto" w:sz="2" w:space="0"/>
          </w:tblBorders>
          <w:tblCellMar>
            <w:top w:w="0" w:type="dxa"/>
            <w:left w:w="108" w:type="dxa"/>
            <w:bottom w:w="0" w:type="dxa"/>
            <w:right w:w="108" w:type="dxa"/>
          </w:tblCellMar>
        </w:tblPrEx>
        <w:trPr>
          <w:trHeight w:val="278" w:hRule="atLeast"/>
        </w:trPr>
        <w:tc>
          <w:tcPr>
            <w:tcW w:w="4234" w:type="dxa"/>
            <w:tcBorders>
              <w:top w:val="double" w:color="auto" w:sz="2" w:space="0"/>
              <w:left w:val="double" w:color="auto" w:sz="2" w:space="0"/>
              <w:bottom w:val="double" w:color="auto" w:sz="2" w:space="0"/>
              <w:right w:val="double" w:color="auto" w:sz="2" w:space="0"/>
            </w:tcBorders>
            <w:vAlign w:val="center"/>
          </w:tcPr>
          <w:p>
            <w:pPr>
              <w:widowControl/>
              <w:spacing w:before="100" w:beforeAutospacing="1" w:line="300" w:lineRule="exact"/>
              <w:ind w:firstLine="440" w:firstLineChars="200"/>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现场体温测量</w:t>
            </w:r>
          </w:p>
        </w:tc>
        <w:tc>
          <w:tcPr>
            <w:tcW w:w="4727" w:type="dxa"/>
            <w:tcBorders>
              <w:top w:val="double" w:color="auto" w:sz="2" w:space="0"/>
              <w:left w:val="nil"/>
              <w:bottom w:val="double" w:color="auto" w:sz="2" w:space="0"/>
              <w:right w:val="double" w:color="auto" w:sz="2" w:space="0"/>
            </w:tcBorders>
          </w:tcPr>
          <w:p>
            <w:pPr>
              <w:widowControl/>
              <w:spacing w:before="100" w:beforeAutospacing="1" w:line="300" w:lineRule="exact"/>
              <w:ind w:firstLine="440" w:firstLineChars="200"/>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bl>
    <w:p>
      <w:pPr>
        <w:widowControl/>
        <w:spacing w:before="100" w:beforeAutospacing="1" w:after="100" w:afterAutospacing="1" w:line="320" w:lineRule="exact"/>
        <w:jc w:val="center"/>
        <w:rPr>
          <w:rFonts w:ascii="微软雅黑" w:hAnsi="微软雅黑" w:eastAsia="微软雅黑" w:cs="微软雅黑"/>
          <w:b/>
          <w:bCs/>
          <w:color w:val="auto"/>
          <w:kern w:val="0"/>
          <w:sz w:val="22"/>
          <w:szCs w:val="22"/>
          <w:highlight w:val="none"/>
        </w:rPr>
      </w:pPr>
      <w:r>
        <w:rPr>
          <w:rFonts w:hint="eastAsia" w:ascii="微软雅黑" w:hAnsi="微软雅黑" w:eastAsia="微软雅黑" w:cs="微软雅黑"/>
          <w:b/>
          <w:bCs/>
          <w:color w:val="auto"/>
          <w:kern w:val="0"/>
          <w:sz w:val="22"/>
          <w:szCs w:val="22"/>
          <w:highlight w:val="none"/>
        </w:rPr>
        <w:t>20、开评标人员健康信息登记表</w:t>
      </w:r>
    </w:p>
    <w:tbl>
      <w:tblPr>
        <w:tblStyle w:val="30"/>
        <w:tblW w:w="90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1354"/>
        <w:gridCol w:w="496"/>
        <w:gridCol w:w="1726"/>
        <w:gridCol w:w="588"/>
        <w:gridCol w:w="22"/>
        <w:gridCol w:w="725"/>
        <w:gridCol w:w="342"/>
        <w:gridCol w:w="618"/>
        <w:gridCol w:w="277"/>
        <w:gridCol w:w="308"/>
        <w:gridCol w:w="2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姓名</w:t>
            </w:r>
          </w:p>
        </w:tc>
        <w:tc>
          <w:tcPr>
            <w:tcW w:w="1726" w:type="dxa"/>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c>
          <w:tcPr>
            <w:tcW w:w="1677"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身份证号码</w:t>
            </w:r>
          </w:p>
        </w:tc>
        <w:tc>
          <w:tcPr>
            <w:tcW w:w="3797"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单位名称</w:t>
            </w:r>
          </w:p>
        </w:tc>
        <w:tc>
          <w:tcPr>
            <w:tcW w:w="7200" w:type="dxa"/>
            <w:gridSpan w:val="9"/>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单位地址</w:t>
            </w:r>
          </w:p>
        </w:tc>
        <w:tc>
          <w:tcPr>
            <w:tcW w:w="7200" w:type="dxa"/>
            <w:gridSpan w:val="9"/>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个人住址</w:t>
            </w:r>
          </w:p>
        </w:tc>
        <w:tc>
          <w:tcPr>
            <w:tcW w:w="7200" w:type="dxa"/>
            <w:gridSpan w:val="9"/>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单位电话</w:t>
            </w:r>
          </w:p>
        </w:tc>
        <w:tc>
          <w:tcPr>
            <w:tcW w:w="2336" w:type="dxa"/>
            <w:gridSpan w:val="3"/>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c>
          <w:tcPr>
            <w:tcW w:w="1962"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个人手机号码</w:t>
            </w:r>
          </w:p>
        </w:tc>
        <w:tc>
          <w:tcPr>
            <w:tcW w:w="2902" w:type="dxa"/>
            <w:gridSpan w:val="2"/>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应急联系人（身份）</w:t>
            </w:r>
          </w:p>
        </w:tc>
        <w:tc>
          <w:tcPr>
            <w:tcW w:w="2336" w:type="dxa"/>
            <w:gridSpan w:val="3"/>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c>
          <w:tcPr>
            <w:tcW w:w="1962"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应急联系人</w:t>
            </w:r>
          </w:p>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手机号码</w:t>
            </w:r>
          </w:p>
        </w:tc>
        <w:tc>
          <w:tcPr>
            <w:tcW w:w="2902" w:type="dxa"/>
            <w:gridSpan w:val="2"/>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人员身份</w:t>
            </w:r>
          </w:p>
        </w:tc>
        <w:tc>
          <w:tcPr>
            <w:tcW w:w="7200" w:type="dxa"/>
            <w:gridSpan w:val="9"/>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□评标专家     □采购人代表      □代理机构工作人员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b/>
                <w:bCs/>
                <w:color w:val="auto"/>
                <w:kern w:val="0"/>
                <w:szCs w:val="21"/>
                <w:highlight w:val="none"/>
              </w:rPr>
              <w:t>个人健康情况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有无发热、乏力、干咳、气促情况？ □有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96"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是否在最近14天来自（或途径）疫情重点地区 ？</w:t>
            </w:r>
          </w:p>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□否      □是 ，所在（途径）地：     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44"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最近14天是否离开过本市？ □否   □是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离开本市往</w:t>
            </w:r>
          </w:p>
        </w:tc>
        <w:tc>
          <w:tcPr>
            <w:tcW w:w="2314" w:type="dxa"/>
            <w:gridSpan w:val="2"/>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w:t>
            </w:r>
          </w:p>
        </w:tc>
        <w:tc>
          <w:tcPr>
            <w:tcW w:w="1707"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返回日期</w:t>
            </w:r>
          </w:p>
        </w:tc>
        <w:tc>
          <w:tcPr>
            <w:tcW w:w="3179" w:type="dxa"/>
            <w:gridSpan w:val="3"/>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途径（换乘）</w:t>
            </w:r>
          </w:p>
        </w:tc>
        <w:tc>
          <w:tcPr>
            <w:tcW w:w="2314" w:type="dxa"/>
            <w:gridSpan w:val="2"/>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w:t>
            </w:r>
          </w:p>
        </w:tc>
        <w:tc>
          <w:tcPr>
            <w:tcW w:w="1707"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途径日期</w:t>
            </w:r>
          </w:p>
        </w:tc>
        <w:tc>
          <w:tcPr>
            <w:tcW w:w="3179" w:type="dxa"/>
            <w:gridSpan w:val="3"/>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565"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最近14天是否有与来自疫情重点地区 人员接触情况？</w:t>
            </w:r>
          </w:p>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□否   □是 ，接触时间为：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406"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xml:space="preserve">    本人承诺以上信息真实准确。如有不实，愿承担由此引起的一切后果及法律责任。</w:t>
            </w:r>
          </w:p>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 xml:space="preserve">              申报人（签名）：  </w:t>
            </w:r>
          </w:p>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760" w:hRule="atLeast"/>
        </w:trPr>
        <w:tc>
          <w:tcPr>
            <w:tcW w:w="1354" w:type="dxa"/>
            <w:tcBorders>
              <w:top w:val="single" w:color="auto" w:sz="4" w:space="0"/>
              <w:left w:val="single" w:color="auto" w:sz="4" w:space="0"/>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评审项目标项名称</w:t>
            </w:r>
          </w:p>
        </w:tc>
        <w:tc>
          <w:tcPr>
            <w:tcW w:w="3557" w:type="dxa"/>
            <w:gridSpan w:val="5"/>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交易中心填写</w:t>
            </w:r>
          </w:p>
        </w:tc>
        <w:tc>
          <w:tcPr>
            <w:tcW w:w="1545" w:type="dxa"/>
            <w:gridSpan w:val="4"/>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center"/>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评标地点及评标室号</w:t>
            </w:r>
          </w:p>
        </w:tc>
        <w:tc>
          <w:tcPr>
            <w:tcW w:w="2594" w:type="dxa"/>
            <w:tcBorders>
              <w:top w:val="single" w:color="auto" w:sz="4" w:space="0"/>
              <w:left w:val="nil"/>
              <w:bottom w:val="single" w:color="auto" w:sz="4" w:space="0"/>
              <w:right w:val="single" w:color="auto" w:sz="4" w:space="0"/>
            </w:tcBorders>
            <w:vAlign w:val="center"/>
          </w:tcPr>
          <w:p>
            <w:pPr>
              <w:widowControl/>
              <w:spacing w:before="100" w:beforeAutospacing="1" w:line="300" w:lineRule="exact"/>
              <w:ind w:firstLine="420" w:firstLineChars="200"/>
              <w:jc w:val="left"/>
              <w:rPr>
                <w:rFonts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交易中心填写</w:t>
            </w:r>
          </w:p>
        </w:tc>
      </w:tr>
    </w:tbl>
    <w:p>
      <w:pPr>
        <w:widowControl/>
        <w:spacing w:before="100" w:beforeAutospacing="1" w:after="100" w:afterAutospacing="1" w:line="240" w:lineRule="exact"/>
        <w:ind w:firstLine="440" w:firstLineChars="200"/>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b/>
          <w:bCs/>
          <w:color w:val="auto"/>
          <w:kern w:val="0"/>
          <w:sz w:val="22"/>
          <w:szCs w:val="22"/>
          <w:highlight w:val="none"/>
        </w:rPr>
        <w:t>存在瞒报，一经发现将严肃处理，在诚信体系中予以记录，并报有关部门依法追究责任</w:t>
      </w:r>
    </w:p>
    <w:p>
      <w:pPr>
        <w:rPr>
          <w:rFonts w:hint="eastAsia"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napToGrid w:val="0"/>
        <w:spacing w:line="380" w:lineRule="exact"/>
        <w:ind w:right="-817" w:rightChars="-389"/>
        <w:rPr>
          <w:rFonts w:hint="eastAsia" w:ascii="微软雅黑" w:hAnsi="微软雅黑" w:eastAsia="微软雅黑" w:cs="Times New Roman"/>
          <w:b/>
          <w:bCs/>
          <w:szCs w:val="21"/>
        </w:rPr>
      </w:pPr>
      <w:r>
        <w:rPr>
          <w:rFonts w:hint="eastAsia" w:ascii="微软雅黑" w:hAnsi="微软雅黑" w:eastAsia="微软雅黑" w:cs="Times New Roman"/>
          <w:b/>
          <w:bCs/>
          <w:szCs w:val="21"/>
          <w:lang w:val="en-US" w:eastAsia="zh-CN"/>
        </w:rPr>
        <w:t>21、</w:t>
      </w:r>
      <w:r>
        <w:rPr>
          <w:rFonts w:hint="eastAsia" w:ascii="微软雅黑" w:hAnsi="微软雅黑" w:eastAsia="微软雅黑" w:cs="Times New Roman"/>
          <w:b/>
          <w:bCs/>
          <w:szCs w:val="21"/>
        </w:rPr>
        <w:t>政府采购政策情况表</w:t>
      </w:r>
    </w:p>
    <w:p>
      <w:pPr>
        <w:snapToGrid w:val="0"/>
        <w:spacing w:before="50" w:after="50" w:line="500" w:lineRule="exact"/>
        <w:jc w:val="center"/>
        <w:rPr>
          <w:rFonts w:ascii="微软雅黑" w:hAnsi="微软雅黑" w:eastAsia="微软雅黑" w:cs="Times New Roman"/>
          <w:b/>
          <w:sz w:val="44"/>
          <w:szCs w:val="44"/>
        </w:rPr>
      </w:pPr>
      <w:r>
        <w:rPr>
          <w:rFonts w:hint="eastAsia" w:ascii="微软雅黑" w:hAnsi="微软雅黑" w:eastAsia="微软雅黑" w:cs="Times New Roman"/>
          <w:b/>
          <w:sz w:val="44"/>
          <w:szCs w:val="44"/>
        </w:rPr>
        <w:t>政府采购政策情况表</w:t>
      </w:r>
    </w:p>
    <w:p>
      <w:pPr>
        <w:snapToGrid w:val="0"/>
        <w:spacing w:line="380" w:lineRule="exact"/>
        <w:ind w:right="-817" w:rightChars="-389"/>
        <w:rPr>
          <w:rFonts w:hint="eastAsia" w:ascii="微软雅黑" w:hAnsi="微软雅黑" w:eastAsia="微软雅黑" w:cs="Times New Roman"/>
          <w:szCs w:val="21"/>
          <w:lang w:eastAsia="zh-CN"/>
        </w:rPr>
      </w:pPr>
      <w:r>
        <w:rPr>
          <w:rFonts w:hint="eastAsia" w:ascii="微软雅黑" w:hAnsi="微软雅黑" w:eastAsia="微软雅黑" w:cs="Times New Roman"/>
          <w:szCs w:val="21"/>
        </w:rPr>
        <w:t>项目名称：</w:t>
      </w:r>
      <w:r>
        <w:rPr>
          <w:rFonts w:hint="eastAsia" w:ascii="微软雅黑" w:hAnsi="微软雅黑" w:eastAsia="微软雅黑" w:cs="Times New Roman"/>
          <w:szCs w:val="21"/>
          <w:lang w:val="en-US" w:eastAsia="zh-CN"/>
        </w:rPr>
        <w:t xml:space="preserve"> </w:t>
      </w:r>
    </w:p>
    <w:p>
      <w:pPr>
        <w:snapToGrid w:val="0"/>
        <w:spacing w:line="380" w:lineRule="exact"/>
        <w:ind w:right="-817" w:rightChars="-389"/>
        <w:rPr>
          <w:rFonts w:hint="eastAsia" w:ascii="微软雅黑" w:hAnsi="微软雅黑" w:eastAsia="微软雅黑" w:cs="Times New Roman"/>
          <w:szCs w:val="21"/>
          <w:lang w:eastAsia="zh-CN"/>
        </w:rPr>
      </w:pPr>
      <w:r>
        <w:rPr>
          <w:rFonts w:hint="eastAsia" w:ascii="微软雅黑" w:hAnsi="微软雅黑" w:eastAsia="微软雅黑" w:cs="Times New Roman"/>
          <w:szCs w:val="21"/>
        </w:rPr>
        <w:t>项目编号：</w:t>
      </w:r>
      <w:r>
        <w:rPr>
          <w:rFonts w:hint="eastAsia" w:ascii="微软雅黑" w:hAnsi="微软雅黑" w:eastAsia="微软雅黑" w:cs="Times New Roman"/>
          <w:szCs w:val="21"/>
          <w:lang w:val="en-US" w:eastAsia="zh-CN"/>
        </w:rPr>
        <w:t xml:space="preserve"> </w:t>
      </w:r>
    </w:p>
    <w:tbl>
      <w:tblPr>
        <w:tblStyle w:val="3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980"/>
        <w:gridCol w:w="1620"/>
        <w:gridCol w:w="1620"/>
        <w:gridCol w:w="144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440" w:type="dxa"/>
            <w:vMerge w:val="restart"/>
            <w:vAlign w:val="center"/>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小型、微型企业产品</w:t>
            </w:r>
          </w:p>
        </w:tc>
        <w:tc>
          <w:tcPr>
            <w:tcW w:w="198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产品名称</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品牌型号</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tc>
        <w:tc>
          <w:tcPr>
            <w:tcW w:w="144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小型</w:t>
            </w:r>
            <w:r>
              <w:rPr>
                <w:rFonts w:ascii="微软雅黑" w:hAnsi="微软雅黑" w:eastAsia="微软雅黑" w:cs="Times New Roman"/>
                <w:szCs w:val="21"/>
              </w:rPr>
              <w:t>/</w:t>
            </w:r>
            <w:r>
              <w:rPr>
                <w:rFonts w:hint="eastAsia" w:ascii="微软雅黑" w:hAnsi="微软雅黑" w:eastAsia="微软雅黑" w:cs="Times New Roman"/>
                <w:szCs w:val="21"/>
              </w:rPr>
              <w:t>微型企业</w:t>
            </w:r>
          </w:p>
        </w:tc>
        <w:tc>
          <w:tcPr>
            <w:tcW w:w="126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vAlign w:val="center"/>
          </w:tcPr>
          <w:p>
            <w:pPr>
              <w:snapToGrid w:val="0"/>
              <w:spacing w:line="380" w:lineRule="exact"/>
              <w:jc w:val="center"/>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vAlign w:val="center"/>
          </w:tcPr>
          <w:p>
            <w:pPr>
              <w:snapToGrid w:val="0"/>
              <w:spacing w:line="380" w:lineRule="exact"/>
              <w:jc w:val="center"/>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vAlign w:val="center"/>
          </w:tcPr>
          <w:p>
            <w:pPr>
              <w:snapToGrid w:val="0"/>
              <w:spacing w:line="380" w:lineRule="exact"/>
              <w:jc w:val="center"/>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小型、微型企业产品金额合计</w:t>
            </w:r>
          </w:p>
        </w:tc>
        <w:tc>
          <w:tcPr>
            <w:tcW w:w="1260" w:type="dxa"/>
            <w:vAlign w:val="center"/>
          </w:tcPr>
          <w:p>
            <w:pPr>
              <w:spacing w:line="380" w:lineRule="exact"/>
              <w:jc w:val="center"/>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vAlign w:val="center"/>
          </w:tcPr>
          <w:p>
            <w:pPr>
              <w:snapToGrid w:val="0"/>
              <w:spacing w:line="380" w:lineRule="exact"/>
              <w:jc w:val="center"/>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比重（小型、微型企业产品金额</w:t>
            </w:r>
            <w:r>
              <w:rPr>
                <w:rFonts w:ascii="微软雅黑" w:hAnsi="微软雅黑" w:eastAsia="微软雅黑" w:cs="Times New Roman"/>
                <w:szCs w:val="21"/>
              </w:rPr>
              <w:t>/</w:t>
            </w:r>
            <w:r>
              <w:rPr>
                <w:rFonts w:hint="eastAsia" w:ascii="微软雅黑" w:hAnsi="微软雅黑" w:eastAsia="微软雅黑" w:cs="Times New Roman"/>
                <w:szCs w:val="21"/>
              </w:rPr>
              <w:t>投标总价）</w:t>
            </w:r>
          </w:p>
        </w:tc>
        <w:tc>
          <w:tcPr>
            <w:tcW w:w="1260" w:type="dxa"/>
            <w:vAlign w:val="center"/>
          </w:tcPr>
          <w:p>
            <w:pPr>
              <w:spacing w:line="380" w:lineRule="exact"/>
              <w:jc w:val="center"/>
              <w:rPr>
                <w:rFonts w:ascii="微软雅黑" w:hAnsi="微软雅黑" w:eastAsia="微软雅黑" w:cs="Times New Roman"/>
                <w:szCs w:val="21"/>
              </w:rPr>
            </w:pPr>
            <w:r>
              <w:rPr>
                <w:rFonts w:ascii="微软雅黑" w:hAnsi="微软雅黑" w:eastAsia="微软雅黑" w:cs="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vAlign w:val="center"/>
          </w:tcPr>
          <w:p>
            <w:pPr>
              <w:snapToGrid w:val="0"/>
              <w:spacing w:line="380" w:lineRule="exact"/>
              <w:jc w:val="center"/>
              <w:rPr>
                <w:rFonts w:ascii="微软雅黑" w:hAnsi="微软雅黑" w:eastAsia="微软雅黑" w:cs="Times New Roman"/>
                <w:szCs w:val="21"/>
              </w:rPr>
            </w:pPr>
          </w:p>
        </w:tc>
        <w:tc>
          <w:tcPr>
            <w:tcW w:w="7920" w:type="dxa"/>
            <w:gridSpan w:val="5"/>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 xml:space="preserve">小型、微型企业证明材料见投标文件第 </w:t>
            </w:r>
            <w:r>
              <w:rPr>
                <w:rFonts w:hint="eastAsia" w:ascii="微软雅黑" w:hAnsi="微软雅黑" w:eastAsia="微软雅黑" w:cs="Times New Roman"/>
                <w:szCs w:val="21"/>
              </w:rPr>
              <w:tab/>
            </w:r>
            <w:r>
              <w:rPr>
                <w:rFonts w:hint="eastAsia" w:ascii="微软雅黑" w:hAnsi="微软雅黑" w:eastAsia="微软雅黑" w:cs="Times New Roman"/>
                <w:szCs w:val="21"/>
              </w:rPr>
              <w:t xml:space="preserve">    至    </w:t>
            </w:r>
            <w:r>
              <w:rPr>
                <w:rFonts w:hint="eastAsia" w:ascii="微软雅黑" w:hAnsi="微软雅黑" w:eastAsia="微软雅黑" w:cs="Times New Roman"/>
                <w:szCs w:val="21"/>
              </w:rPr>
              <w:tab/>
            </w:r>
            <w:r>
              <w:rPr>
                <w:rFonts w:hint="eastAsia" w:ascii="微软雅黑" w:hAnsi="微软雅黑" w:eastAsia="微软雅黑" w:cs="Times New Roman"/>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restart"/>
            <w:vAlign w:val="center"/>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监狱企业产品</w:t>
            </w:r>
          </w:p>
        </w:tc>
        <w:tc>
          <w:tcPr>
            <w:tcW w:w="198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产品名称</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品牌型号</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tc>
        <w:tc>
          <w:tcPr>
            <w:tcW w:w="144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企业类型</w:t>
            </w:r>
          </w:p>
        </w:tc>
        <w:tc>
          <w:tcPr>
            <w:tcW w:w="126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监狱企业产品金额合计</w:t>
            </w:r>
          </w:p>
        </w:tc>
        <w:tc>
          <w:tcPr>
            <w:tcW w:w="1260" w:type="dxa"/>
            <w:vAlign w:val="center"/>
          </w:tcPr>
          <w:p>
            <w:pPr>
              <w:spacing w:line="380" w:lineRule="exact"/>
              <w:jc w:val="center"/>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比重（监狱企业产品金额</w:t>
            </w:r>
            <w:r>
              <w:rPr>
                <w:rFonts w:ascii="微软雅黑" w:hAnsi="微软雅黑" w:eastAsia="微软雅黑" w:cs="Times New Roman"/>
                <w:szCs w:val="21"/>
              </w:rPr>
              <w:t>/</w:t>
            </w:r>
            <w:r>
              <w:rPr>
                <w:rFonts w:hint="eastAsia" w:ascii="微软雅黑" w:hAnsi="微软雅黑" w:eastAsia="微软雅黑" w:cs="Times New Roman"/>
                <w:szCs w:val="21"/>
              </w:rPr>
              <w:t>投标总价）</w:t>
            </w:r>
          </w:p>
        </w:tc>
        <w:tc>
          <w:tcPr>
            <w:tcW w:w="1260" w:type="dxa"/>
            <w:vAlign w:val="center"/>
          </w:tcPr>
          <w:p>
            <w:pPr>
              <w:spacing w:line="380" w:lineRule="exact"/>
              <w:jc w:val="center"/>
              <w:rPr>
                <w:rFonts w:ascii="微软雅黑" w:hAnsi="微软雅黑" w:eastAsia="微软雅黑" w:cs="Times New Roman"/>
                <w:szCs w:val="21"/>
              </w:rPr>
            </w:pPr>
            <w:r>
              <w:rPr>
                <w:rFonts w:ascii="微软雅黑" w:hAnsi="微软雅黑" w:eastAsia="微软雅黑" w:cs="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7920" w:type="dxa"/>
            <w:gridSpan w:val="5"/>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监狱企业证明材料见投标文件第</w:t>
            </w:r>
            <w:r>
              <w:rPr>
                <w:rFonts w:ascii="微软雅黑" w:hAnsi="微软雅黑" w:eastAsia="微软雅黑" w:cs="Times New Roman"/>
                <w:szCs w:val="21"/>
              </w:rPr>
              <w:tab/>
            </w:r>
            <w:r>
              <w:rPr>
                <w:rFonts w:hint="eastAsia" w:ascii="微软雅黑" w:hAnsi="微软雅黑" w:eastAsia="微软雅黑" w:cs="Times New Roman"/>
                <w:szCs w:val="21"/>
              </w:rPr>
              <w:t xml:space="preserve">  至</w:t>
            </w:r>
            <w:r>
              <w:rPr>
                <w:rFonts w:ascii="微软雅黑" w:hAnsi="微软雅黑" w:eastAsia="微软雅黑" w:cs="Times New Roman"/>
                <w:szCs w:val="21"/>
              </w:rPr>
              <w:tab/>
            </w:r>
            <w:r>
              <w:rPr>
                <w:rFonts w:hint="eastAsia" w:ascii="微软雅黑" w:hAnsi="微软雅黑" w:eastAsia="微软雅黑" w:cs="Times New Roman"/>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restart"/>
            <w:vAlign w:val="center"/>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残疾人福利性单位产品</w:t>
            </w:r>
          </w:p>
        </w:tc>
        <w:tc>
          <w:tcPr>
            <w:tcW w:w="198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产品名称</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品牌型号</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tc>
        <w:tc>
          <w:tcPr>
            <w:tcW w:w="144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企业类型</w:t>
            </w:r>
          </w:p>
        </w:tc>
        <w:tc>
          <w:tcPr>
            <w:tcW w:w="126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残疾人福利性单位产品金额合计</w:t>
            </w:r>
          </w:p>
        </w:tc>
        <w:tc>
          <w:tcPr>
            <w:tcW w:w="1260" w:type="dxa"/>
            <w:vAlign w:val="center"/>
          </w:tcPr>
          <w:p>
            <w:pPr>
              <w:spacing w:line="380" w:lineRule="exact"/>
              <w:jc w:val="center"/>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比重（残疾人福利性单位产品金额</w:t>
            </w:r>
            <w:r>
              <w:rPr>
                <w:rFonts w:ascii="微软雅黑" w:hAnsi="微软雅黑" w:eastAsia="微软雅黑" w:cs="Times New Roman"/>
                <w:szCs w:val="21"/>
              </w:rPr>
              <w:t>/</w:t>
            </w:r>
            <w:r>
              <w:rPr>
                <w:rFonts w:hint="eastAsia" w:ascii="微软雅黑" w:hAnsi="微软雅黑" w:eastAsia="微软雅黑" w:cs="Times New Roman"/>
                <w:szCs w:val="21"/>
              </w:rPr>
              <w:t>投标总价）</w:t>
            </w:r>
          </w:p>
        </w:tc>
        <w:tc>
          <w:tcPr>
            <w:tcW w:w="1260" w:type="dxa"/>
            <w:vAlign w:val="center"/>
          </w:tcPr>
          <w:p>
            <w:pPr>
              <w:spacing w:line="380" w:lineRule="exact"/>
              <w:jc w:val="center"/>
              <w:rPr>
                <w:rFonts w:ascii="微软雅黑" w:hAnsi="微软雅黑" w:eastAsia="微软雅黑" w:cs="Times New Roman"/>
                <w:szCs w:val="21"/>
              </w:rPr>
            </w:pPr>
            <w:r>
              <w:rPr>
                <w:rFonts w:ascii="微软雅黑" w:hAnsi="微软雅黑" w:eastAsia="微软雅黑" w:cs="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7920" w:type="dxa"/>
            <w:gridSpan w:val="5"/>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 xml:space="preserve">残疾人福利性单位证明材料见投标文件 </w:t>
            </w:r>
            <w:r>
              <w:rPr>
                <w:rFonts w:ascii="微软雅黑" w:hAnsi="微软雅黑" w:eastAsia="微软雅黑" w:cs="Times New Roman"/>
                <w:szCs w:val="21"/>
              </w:rPr>
              <w:tab/>
            </w:r>
            <w:r>
              <w:rPr>
                <w:rFonts w:hint="eastAsia" w:ascii="微软雅黑" w:hAnsi="微软雅黑" w:eastAsia="微软雅黑" w:cs="Times New Roman"/>
                <w:szCs w:val="21"/>
              </w:rPr>
              <w:t xml:space="preserve">部分第 </w:t>
            </w:r>
            <w:r>
              <w:rPr>
                <w:rFonts w:ascii="微软雅黑" w:hAnsi="微软雅黑" w:eastAsia="微软雅黑" w:cs="Times New Roman"/>
                <w:szCs w:val="21"/>
              </w:rPr>
              <w:tab/>
            </w:r>
            <w:r>
              <w:rPr>
                <w:rFonts w:hint="eastAsia" w:ascii="微软雅黑" w:hAnsi="微软雅黑" w:eastAsia="微软雅黑" w:cs="Times New Roman"/>
                <w:szCs w:val="21"/>
              </w:rPr>
              <w:t>至</w:t>
            </w:r>
            <w:r>
              <w:rPr>
                <w:rFonts w:ascii="微软雅黑" w:hAnsi="微软雅黑" w:eastAsia="微软雅黑" w:cs="Times New Roman"/>
                <w:szCs w:val="21"/>
              </w:rPr>
              <w:tab/>
            </w:r>
            <w:r>
              <w:rPr>
                <w:rFonts w:hint="eastAsia" w:ascii="微软雅黑" w:hAnsi="微软雅黑" w:eastAsia="微软雅黑" w:cs="Times New Roman"/>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restart"/>
            <w:vAlign w:val="center"/>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节能产品</w:t>
            </w:r>
          </w:p>
        </w:tc>
        <w:tc>
          <w:tcPr>
            <w:tcW w:w="198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产品名称</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品牌型号</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tc>
        <w:tc>
          <w:tcPr>
            <w:tcW w:w="144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节能认证</w:t>
            </w:r>
          </w:p>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证书编号</w:t>
            </w:r>
          </w:p>
        </w:tc>
        <w:tc>
          <w:tcPr>
            <w:tcW w:w="126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节能产品（不包括强制节能产品）金额合计</w:t>
            </w: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比重（节能产品金额/投标总价）</w:t>
            </w:r>
          </w:p>
        </w:tc>
        <w:tc>
          <w:tcPr>
            <w:tcW w:w="1260" w:type="dxa"/>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440" w:type="dxa"/>
            <w:vMerge w:val="continue"/>
          </w:tcPr>
          <w:p>
            <w:pPr>
              <w:snapToGrid w:val="0"/>
              <w:spacing w:line="380" w:lineRule="exact"/>
              <w:rPr>
                <w:rFonts w:ascii="微软雅黑" w:hAnsi="微软雅黑" w:eastAsia="微软雅黑" w:cs="Times New Roman"/>
                <w:szCs w:val="21"/>
              </w:rPr>
            </w:pPr>
          </w:p>
        </w:tc>
        <w:tc>
          <w:tcPr>
            <w:tcW w:w="7920" w:type="dxa"/>
            <w:gridSpan w:val="5"/>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 xml:space="preserve">节能产品证明材料见投标文件第 </w:t>
            </w:r>
            <w:r>
              <w:rPr>
                <w:rFonts w:hint="eastAsia" w:ascii="微软雅黑" w:hAnsi="微软雅黑" w:eastAsia="微软雅黑" w:cs="Times New Roman"/>
                <w:szCs w:val="21"/>
              </w:rPr>
              <w:tab/>
            </w:r>
            <w:r>
              <w:rPr>
                <w:rFonts w:hint="eastAsia" w:ascii="微软雅黑" w:hAnsi="微软雅黑" w:eastAsia="微软雅黑" w:cs="Times New Roman"/>
                <w:szCs w:val="21"/>
              </w:rPr>
              <w:t xml:space="preserve">  至   </w:t>
            </w:r>
            <w:r>
              <w:rPr>
                <w:rFonts w:hint="eastAsia" w:ascii="微软雅黑" w:hAnsi="微软雅黑" w:eastAsia="微软雅黑" w:cs="Times New Roman"/>
                <w:szCs w:val="21"/>
              </w:rPr>
              <w:tab/>
            </w:r>
            <w:r>
              <w:rPr>
                <w:rFonts w:hint="eastAsia" w:ascii="微软雅黑" w:hAnsi="微软雅黑" w:eastAsia="微软雅黑" w:cs="Times New Roman"/>
                <w:szCs w:val="21"/>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440" w:type="dxa"/>
            <w:vMerge w:val="restart"/>
            <w:vAlign w:val="center"/>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环境标志产品</w:t>
            </w:r>
          </w:p>
        </w:tc>
        <w:tc>
          <w:tcPr>
            <w:tcW w:w="198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产品名称</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品牌型号</w:t>
            </w:r>
          </w:p>
        </w:tc>
        <w:tc>
          <w:tcPr>
            <w:tcW w:w="162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制造商</w:t>
            </w:r>
          </w:p>
        </w:tc>
        <w:tc>
          <w:tcPr>
            <w:tcW w:w="144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环境标志认证证书编号</w:t>
            </w:r>
          </w:p>
        </w:tc>
        <w:tc>
          <w:tcPr>
            <w:tcW w:w="1260" w:type="dxa"/>
            <w:vAlign w:val="center"/>
          </w:tcPr>
          <w:p>
            <w:pPr>
              <w:spacing w:line="360" w:lineRule="exact"/>
              <w:jc w:val="center"/>
              <w:rPr>
                <w:rFonts w:ascii="微软雅黑" w:hAnsi="微软雅黑" w:eastAsia="微软雅黑" w:cs="Times New Roman"/>
                <w:szCs w:val="21"/>
              </w:rPr>
            </w:pPr>
            <w:r>
              <w:rPr>
                <w:rFonts w:hint="eastAsia" w:ascii="微软雅黑" w:hAnsi="微软雅黑" w:eastAsia="微软雅黑" w:cs="Times New Roman"/>
                <w:szCs w:val="21"/>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440" w:type="dxa"/>
            <w:vMerge w:val="continue"/>
          </w:tcPr>
          <w:p>
            <w:pPr>
              <w:snapToGrid w:val="0"/>
              <w:spacing w:line="380" w:lineRule="exact"/>
              <w:rPr>
                <w:rFonts w:ascii="微软雅黑" w:hAnsi="微软雅黑" w:eastAsia="微软雅黑" w:cs="Times New Roman"/>
                <w:szCs w:val="21"/>
              </w:rPr>
            </w:pPr>
          </w:p>
        </w:tc>
        <w:tc>
          <w:tcPr>
            <w:tcW w:w="198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620" w:type="dxa"/>
          </w:tcPr>
          <w:p>
            <w:pPr>
              <w:snapToGrid w:val="0"/>
              <w:spacing w:line="380" w:lineRule="exact"/>
              <w:rPr>
                <w:rFonts w:ascii="微软雅黑" w:hAnsi="微软雅黑" w:eastAsia="微软雅黑" w:cs="Times New Roman"/>
                <w:szCs w:val="21"/>
              </w:rPr>
            </w:pPr>
          </w:p>
        </w:tc>
        <w:tc>
          <w:tcPr>
            <w:tcW w:w="1440" w:type="dxa"/>
          </w:tcPr>
          <w:p>
            <w:pPr>
              <w:snapToGrid w:val="0"/>
              <w:spacing w:line="380" w:lineRule="exact"/>
              <w:rPr>
                <w:rFonts w:ascii="微软雅黑" w:hAnsi="微软雅黑" w:eastAsia="微软雅黑" w:cs="Times New Roman"/>
                <w:szCs w:val="21"/>
              </w:rPr>
            </w:pP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环境标志产品金额合计</w:t>
            </w:r>
          </w:p>
        </w:tc>
        <w:tc>
          <w:tcPr>
            <w:tcW w:w="1260" w:type="dxa"/>
          </w:tcPr>
          <w:p>
            <w:pPr>
              <w:snapToGrid w:val="0"/>
              <w:spacing w:line="380" w:lineRule="exact"/>
              <w:rPr>
                <w:rFonts w:ascii="微软雅黑" w:hAnsi="微软雅黑" w:eastAsia="微软雅黑"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1440" w:type="dxa"/>
            <w:vMerge w:val="continue"/>
          </w:tcPr>
          <w:p>
            <w:pPr>
              <w:snapToGrid w:val="0"/>
              <w:spacing w:line="380" w:lineRule="exact"/>
              <w:rPr>
                <w:rFonts w:ascii="微软雅黑" w:hAnsi="微软雅黑" w:eastAsia="微软雅黑" w:cs="Times New Roman"/>
                <w:szCs w:val="21"/>
              </w:rPr>
            </w:pPr>
          </w:p>
        </w:tc>
        <w:tc>
          <w:tcPr>
            <w:tcW w:w="6660" w:type="dxa"/>
            <w:gridSpan w:val="4"/>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比重（环境标志产品金额/投标总价）</w:t>
            </w:r>
          </w:p>
        </w:tc>
        <w:tc>
          <w:tcPr>
            <w:tcW w:w="1260" w:type="dxa"/>
          </w:tcPr>
          <w:p>
            <w:pPr>
              <w:snapToGrid w:val="0"/>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40" w:type="dxa"/>
            <w:vMerge w:val="continue"/>
          </w:tcPr>
          <w:p>
            <w:pPr>
              <w:snapToGrid w:val="0"/>
              <w:spacing w:line="380" w:lineRule="exact"/>
              <w:rPr>
                <w:rFonts w:ascii="微软雅黑" w:hAnsi="微软雅黑" w:eastAsia="微软雅黑" w:cs="Times New Roman"/>
                <w:szCs w:val="21"/>
              </w:rPr>
            </w:pPr>
          </w:p>
        </w:tc>
        <w:tc>
          <w:tcPr>
            <w:tcW w:w="7920" w:type="dxa"/>
            <w:gridSpan w:val="5"/>
            <w:vAlign w:val="center"/>
          </w:tcPr>
          <w:p>
            <w:pPr>
              <w:spacing w:line="380" w:lineRule="exact"/>
              <w:jc w:val="center"/>
              <w:rPr>
                <w:rFonts w:ascii="微软雅黑" w:hAnsi="微软雅黑" w:eastAsia="微软雅黑" w:cs="Times New Roman"/>
                <w:szCs w:val="21"/>
              </w:rPr>
            </w:pPr>
            <w:r>
              <w:rPr>
                <w:rFonts w:hint="eastAsia" w:ascii="微软雅黑" w:hAnsi="微软雅黑" w:eastAsia="微软雅黑" w:cs="Times New Roman"/>
                <w:szCs w:val="21"/>
              </w:rPr>
              <w:t xml:space="preserve">环境标志产品证明材料见投标文件第 </w:t>
            </w:r>
            <w:r>
              <w:rPr>
                <w:rFonts w:hint="eastAsia" w:ascii="微软雅黑" w:hAnsi="微软雅黑" w:eastAsia="微软雅黑" w:cs="Times New Roman"/>
                <w:szCs w:val="21"/>
              </w:rPr>
              <w:tab/>
            </w:r>
            <w:r>
              <w:rPr>
                <w:rFonts w:hint="eastAsia" w:ascii="微软雅黑" w:hAnsi="微软雅黑" w:eastAsia="微软雅黑" w:cs="Times New Roman"/>
                <w:szCs w:val="21"/>
              </w:rPr>
              <w:t xml:space="preserve"> 至 </w:t>
            </w:r>
            <w:r>
              <w:rPr>
                <w:rFonts w:hint="eastAsia" w:ascii="微软雅黑" w:hAnsi="微软雅黑" w:eastAsia="微软雅黑" w:cs="Times New Roman"/>
                <w:szCs w:val="21"/>
              </w:rPr>
              <w:tab/>
            </w:r>
            <w:r>
              <w:rPr>
                <w:rFonts w:hint="eastAsia" w:ascii="微软雅黑" w:hAnsi="微软雅黑" w:eastAsia="微软雅黑" w:cs="Times New Roman"/>
                <w:szCs w:val="21"/>
              </w:rPr>
              <w:t>页。</w:t>
            </w:r>
          </w:p>
        </w:tc>
      </w:tr>
    </w:tbl>
    <w:p>
      <w:pPr>
        <w:spacing w:line="380" w:lineRule="exact"/>
        <w:rPr>
          <w:rFonts w:ascii="微软雅黑" w:hAnsi="微软雅黑" w:eastAsia="微软雅黑" w:cs="Times New Roman"/>
        </w:rPr>
      </w:pPr>
      <w:r>
        <w:rPr>
          <w:rFonts w:hint="eastAsia" w:ascii="微软雅黑" w:hAnsi="微软雅黑" w:eastAsia="微软雅黑" w:cs="Times New Roman"/>
        </w:rPr>
        <w:t>1、本表的产品名称、品牌型号、金额应与《报价明细表》一致。</w:t>
      </w:r>
    </w:p>
    <w:p>
      <w:pPr>
        <w:spacing w:line="380" w:lineRule="exact"/>
        <w:rPr>
          <w:rFonts w:ascii="微软雅黑" w:hAnsi="微软雅黑" w:eastAsia="微软雅黑" w:cs="Times New Roman"/>
        </w:rPr>
      </w:pPr>
      <w:r>
        <w:rPr>
          <w:rFonts w:hint="eastAsia" w:ascii="微软雅黑" w:hAnsi="微软雅黑" w:eastAsia="微软雅黑" w:cs="Times New Roman"/>
        </w:rPr>
        <w:t>2、制造商为小型或微型企业时才需要填“制造商企业类型”栏，填写内容为“小型” 或“微型”。</w:t>
      </w:r>
    </w:p>
    <w:p>
      <w:pPr>
        <w:spacing w:line="380" w:lineRule="exact"/>
        <w:rPr>
          <w:rFonts w:ascii="微软雅黑" w:hAnsi="微软雅黑" w:eastAsia="微软雅黑" w:cs="Times New Roman"/>
        </w:rPr>
      </w:pPr>
      <w:r>
        <w:rPr>
          <w:rFonts w:hint="eastAsia" w:ascii="微软雅黑" w:hAnsi="微软雅黑" w:eastAsia="微软雅黑" w:cs="Times New Roman"/>
        </w:rPr>
        <w:t>3、制造商为监狱企业时才需要填“制造商企业类型”栏。</w:t>
      </w:r>
    </w:p>
    <w:p>
      <w:pPr>
        <w:spacing w:line="380" w:lineRule="exact"/>
        <w:rPr>
          <w:rFonts w:ascii="微软雅黑" w:hAnsi="微软雅黑" w:eastAsia="微软雅黑" w:cs="Times New Roman"/>
        </w:rPr>
      </w:pPr>
      <w:r>
        <w:rPr>
          <w:rFonts w:hint="eastAsia" w:ascii="微软雅黑" w:hAnsi="微软雅黑" w:eastAsia="微软雅黑" w:cs="Times New Roman"/>
        </w:rPr>
        <w:t>4、节能产品是指财政部和国家发展改革委员会公布现行的《节能产品政府采购清单》中的产品；环境标志产品是指财政部、环境保护部发布现行的《环境标志产品政府采购清单》中的产品。请提供《清单》中相关内容页（并对相关内容作圈记）。</w:t>
      </w:r>
    </w:p>
    <w:p>
      <w:pPr>
        <w:spacing w:line="380" w:lineRule="exact"/>
        <w:rPr>
          <w:rFonts w:ascii="微软雅黑" w:hAnsi="微软雅黑" w:eastAsia="微软雅黑" w:cs="Times New Roman"/>
        </w:rPr>
      </w:pPr>
      <w:r>
        <w:rPr>
          <w:rFonts w:hint="eastAsia" w:ascii="微软雅黑" w:hAnsi="微软雅黑" w:eastAsia="微软雅黑" w:cs="Times New Roman"/>
        </w:rPr>
        <w:t>5、请投标人正确填写本表，所填内容将作为评分的依据。其内容或数据应与对应的证明资料相符，如果填写不完整或有误，不再享受上述政策优惠。</w:t>
      </w:r>
    </w:p>
    <w:p>
      <w:pPr>
        <w:snapToGrid w:val="0"/>
        <w:spacing w:before="50" w:after="50" w:line="380" w:lineRule="exact"/>
        <w:ind w:right="-817" w:rightChars="-389"/>
        <w:rPr>
          <w:rFonts w:ascii="微软雅黑" w:hAnsi="微软雅黑" w:eastAsia="微软雅黑" w:cs="Times New Roman"/>
          <w:b/>
          <w:sz w:val="24"/>
        </w:rPr>
      </w:pPr>
    </w:p>
    <w:p>
      <w:pPr>
        <w:snapToGrid w:val="0"/>
        <w:spacing w:before="50" w:after="50" w:line="380" w:lineRule="exact"/>
        <w:ind w:right="-817" w:rightChars="-389"/>
        <w:rPr>
          <w:rFonts w:ascii="微软雅黑" w:hAnsi="微软雅黑" w:eastAsia="微软雅黑" w:cs="Times New Roman"/>
          <w:b/>
          <w:sz w:val="24"/>
        </w:rPr>
      </w:pPr>
    </w:p>
    <w:p>
      <w:pPr>
        <w:snapToGrid w:val="0"/>
        <w:spacing w:before="50" w:after="50" w:line="380" w:lineRule="exact"/>
        <w:ind w:right="-817" w:rightChars="-389"/>
        <w:rPr>
          <w:rFonts w:ascii="微软雅黑" w:hAnsi="微软雅黑" w:eastAsia="微软雅黑" w:cs="Times New Roman"/>
          <w:b/>
          <w:sz w:val="24"/>
        </w:rPr>
      </w:pPr>
    </w:p>
    <w:p>
      <w:pPr>
        <w:spacing w:line="360" w:lineRule="exact"/>
        <w:rPr>
          <w:rFonts w:ascii="微软雅黑" w:hAnsi="微软雅黑" w:eastAsia="微软雅黑" w:cs="Times New Roman"/>
          <w:szCs w:val="21"/>
        </w:rPr>
      </w:pPr>
      <w:r>
        <w:rPr>
          <w:rFonts w:hint="eastAsia" w:ascii="微软雅黑" w:hAnsi="微软雅黑" w:eastAsia="微软雅黑" w:cs="Times New Roman"/>
          <w:szCs w:val="21"/>
        </w:rPr>
        <w:t>投标人（盖章）：</w:t>
      </w:r>
    </w:p>
    <w:p>
      <w:pPr>
        <w:spacing w:line="360" w:lineRule="exact"/>
        <w:rPr>
          <w:rFonts w:ascii="微软雅黑" w:hAnsi="微软雅黑" w:eastAsia="微软雅黑" w:cs="Times New Roman"/>
          <w:szCs w:val="21"/>
        </w:rPr>
      </w:pPr>
      <w:r>
        <w:rPr>
          <w:rFonts w:hint="eastAsia" w:ascii="微软雅黑" w:hAnsi="微软雅黑" w:eastAsia="微软雅黑" w:cs="Times New Roman"/>
          <w:szCs w:val="21"/>
        </w:rPr>
        <w:t>授权代表（签字）：</w:t>
      </w:r>
    </w:p>
    <w:p>
      <w:pPr>
        <w:spacing w:line="360" w:lineRule="exact"/>
        <w:rPr>
          <w:rFonts w:ascii="微软雅黑" w:hAnsi="微软雅黑" w:eastAsia="微软雅黑" w:cs="Times New Roman"/>
          <w:sz w:val="24"/>
        </w:rPr>
      </w:pPr>
      <w:r>
        <w:rPr>
          <w:rFonts w:hint="eastAsia" w:ascii="微软雅黑" w:hAnsi="微软雅黑" w:eastAsia="微软雅黑" w:cs="Times New Roman"/>
          <w:szCs w:val="21"/>
        </w:rPr>
        <w:t>日期：</w:t>
      </w:r>
    </w:p>
    <w:p>
      <w:pPr>
        <w:tabs>
          <w:tab w:val="left" w:pos="5580"/>
        </w:tabs>
        <w:adjustRightInd w:val="0"/>
        <w:snapToGrid w:val="0"/>
        <w:spacing w:line="380" w:lineRule="exact"/>
        <w:jc w:val="left"/>
        <w:rPr>
          <w:rFonts w:ascii="微软雅黑" w:hAnsi="微软雅黑" w:eastAsia="微软雅黑" w:cs="Times New Roman"/>
          <w:b/>
          <w:color w:val="FF0000"/>
          <w:sz w:val="30"/>
          <w:szCs w:val="30"/>
        </w:rPr>
      </w:pPr>
    </w:p>
    <w:p>
      <w:pPr>
        <w:rPr>
          <w:rFonts w:hint="eastAsia"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napToGrid w:val="0"/>
        <w:spacing w:line="56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2</w:t>
      </w:r>
      <w:r>
        <w:rPr>
          <w:rFonts w:hint="eastAsia" w:ascii="微软雅黑" w:hAnsi="微软雅黑" w:eastAsia="微软雅黑" w:cs="微软雅黑"/>
          <w:b/>
          <w:bCs/>
          <w:color w:val="auto"/>
          <w:sz w:val="22"/>
          <w:szCs w:val="22"/>
          <w:highlight w:val="none"/>
          <w:lang w:val="en-US" w:eastAsia="zh-CN"/>
        </w:rPr>
        <w:t>2</w:t>
      </w:r>
      <w:r>
        <w:rPr>
          <w:rFonts w:hint="eastAsia" w:ascii="微软雅黑" w:hAnsi="微软雅黑" w:eastAsia="微软雅黑" w:cs="微软雅黑"/>
          <w:b/>
          <w:bCs/>
          <w:color w:val="auto"/>
          <w:sz w:val="22"/>
          <w:szCs w:val="22"/>
          <w:highlight w:val="none"/>
        </w:rPr>
        <w:t>、质疑函范本</w:t>
      </w:r>
    </w:p>
    <w:p>
      <w:pPr>
        <w:adjustRightInd w:val="0"/>
        <w:snapToGrid w:val="0"/>
        <w:spacing w:before="312" w:beforeLines="100" w:line="560" w:lineRule="exact"/>
        <w:ind w:firstLine="440" w:firstLineChars="2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一、质疑供应商基本信息</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质疑供应商：</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地址：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联系人：</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授权代表：</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地址： </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二、质疑项目基本情况</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质疑项目的名称：</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质疑项目的编号：</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包号：</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采购人名称：</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采购文件获取日期：</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三、质疑事项具体内容</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质疑事项1：</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事实依据：</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法律依据：</w:t>
      </w: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u w:val="dotted"/>
        </w:rPr>
        <w:t xml:space="preserve">                                                     </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质疑事项2</w:t>
      </w:r>
    </w:p>
    <w:p>
      <w:pPr>
        <w:adjustRightInd w:val="0"/>
        <w:snapToGrid w:val="0"/>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p>
    <w:p>
      <w:pPr>
        <w:adjustRightInd w:val="0"/>
        <w:snapToGrid w:val="0"/>
        <w:spacing w:line="540" w:lineRule="exact"/>
        <w:ind w:firstLine="440" w:firstLineChars="2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四、与质疑事项相关的质疑请求</w:t>
      </w:r>
    </w:p>
    <w:p>
      <w:pPr>
        <w:adjustRightInd w:val="0"/>
        <w:snapToGrid w:val="0"/>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请求：</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签字(签章)：                   公章：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w:t>
      </w:r>
    </w:p>
    <w:p>
      <w:pPr>
        <w:spacing w:line="6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质疑函制作说明：</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1.供应商提出质疑时，应提交质疑函和必要的证明材料。</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2.质疑供应商若委托代理人进行质疑的，质疑函应按要求列明“授权代表”的有关内容，并在附件中提交由质疑</w:t>
      </w:r>
      <w:r>
        <w:rPr>
          <w:rFonts w:hint="eastAsia" w:ascii="微软雅黑" w:hAnsi="微软雅黑" w:eastAsia="微软雅黑" w:cs="微软雅黑"/>
          <w:color w:val="auto"/>
          <w:kern w:val="0"/>
          <w:sz w:val="22"/>
          <w:szCs w:val="22"/>
          <w:highlight w:val="none"/>
        </w:rPr>
        <w:t>供应商签署的授权委托书。授权委托书应载明代理人的姓名或者名称、代理事项、具体权限、期限和相关事项。</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3.质疑供应商若对项目的某一分包进行质疑，质疑函中应列明具体分包号。</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4.质疑函的质疑事项应具体、明确，并有必要的事实依据和法律依据。</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5.质疑函的质疑请求应与质疑事项相关。</w:t>
      </w:r>
    </w:p>
    <w:p>
      <w:pPr>
        <w:widowControl/>
        <w:spacing w:line="6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ind w:firstLine="440" w:firstLineChars="200"/>
        <w:jc w:val="center"/>
        <w:rPr>
          <w:rFonts w:ascii="微软雅黑" w:hAnsi="微软雅黑" w:eastAsia="微软雅黑" w:cs="微软雅黑"/>
          <w:b/>
          <w:bCs/>
          <w:color w:val="auto"/>
          <w:sz w:val="22"/>
          <w:szCs w:val="22"/>
          <w:highlight w:val="none"/>
        </w:rPr>
      </w:pPr>
    </w:p>
    <w:p>
      <w:pPr>
        <w:spacing w:line="360" w:lineRule="auto"/>
        <w:ind w:firstLine="440" w:firstLineChars="200"/>
        <w:jc w:val="center"/>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spacing w:line="360" w:lineRule="auto"/>
        <w:ind w:firstLine="440" w:firstLineChars="200"/>
        <w:rPr>
          <w:rFonts w:ascii="微软雅黑" w:hAnsi="微软雅黑" w:eastAsia="微软雅黑" w:cs="微软雅黑"/>
          <w:b/>
          <w:bCs/>
          <w:color w:val="auto"/>
          <w:sz w:val="22"/>
          <w:szCs w:val="22"/>
          <w:highlight w:val="none"/>
        </w:rPr>
      </w:pPr>
    </w:p>
    <w:p>
      <w:pPr>
        <w:widowControl/>
        <w:jc w:val="left"/>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br w:type="page"/>
      </w:r>
    </w:p>
    <w:p>
      <w:pPr>
        <w:spacing w:line="560" w:lineRule="exact"/>
        <w:jc w:val="center"/>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2</w:t>
      </w:r>
      <w:r>
        <w:rPr>
          <w:rFonts w:hint="eastAsia" w:ascii="微软雅黑" w:hAnsi="微软雅黑" w:eastAsia="微软雅黑" w:cs="微软雅黑"/>
          <w:b/>
          <w:bCs/>
          <w:color w:val="auto"/>
          <w:sz w:val="22"/>
          <w:szCs w:val="22"/>
          <w:highlight w:val="none"/>
          <w:lang w:val="en-US" w:eastAsia="zh-CN"/>
        </w:rPr>
        <w:t>3</w:t>
      </w:r>
      <w:bookmarkStart w:id="111" w:name="_GoBack"/>
      <w:bookmarkEnd w:id="111"/>
      <w:r>
        <w:rPr>
          <w:rFonts w:hint="eastAsia" w:ascii="微软雅黑" w:hAnsi="微软雅黑" w:eastAsia="微软雅黑" w:cs="微软雅黑"/>
          <w:b/>
          <w:bCs/>
          <w:color w:val="auto"/>
          <w:sz w:val="22"/>
          <w:szCs w:val="22"/>
          <w:highlight w:val="none"/>
        </w:rPr>
        <w:t>、投诉书范本</w:t>
      </w:r>
    </w:p>
    <w:p>
      <w:pPr>
        <w:spacing w:line="56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一、投诉相关主体基本情况</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投诉人：</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地     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tabs>
          <w:tab w:val="left" w:pos="6510"/>
        </w:tabs>
        <w:spacing w:line="54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法定代表人/主要负责人：</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 xml:space="preserve">  </w:t>
      </w:r>
    </w:p>
    <w:p>
      <w:pPr>
        <w:tabs>
          <w:tab w:val="left" w:pos="6510"/>
        </w:tabs>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授权代表：</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地     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被投诉人1：</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地     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联系人：</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被投诉人2</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相关供应商：</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地     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联系人：</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二、投诉项目基本情况</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采购项目名称：</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采购项目编号：</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包号：</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采购人名称：</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代理机构名称：</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采购文件公告:</w:t>
      </w:r>
      <w:r>
        <w:rPr>
          <w:rFonts w:hint="eastAsia" w:ascii="微软雅黑" w:hAnsi="微软雅黑" w:eastAsia="微软雅黑" w:cs="微软雅黑"/>
          <w:color w:val="auto"/>
          <w:sz w:val="22"/>
          <w:szCs w:val="22"/>
          <w:highlight w:val="none"/>
          <w:u w:val="dotted"/>
        </w:rPr>
        <w:t xml:space="preserve">是/否 </w:t>
      </w:r>
      <w:r>
        <w:rPr>
          <w:rFonts w:hint="eastAsia" w:ascii="微软雅黑" w:hAnsi="微软雅黑" w:eastAsia="微软雅黑" w:cs="微软雅黑"/>
          <w:color w:val="auto"/>
          <w:sz w:val="22"/>
          <w:szCs w:val="22"/>
          <w:highlight w:val="none"/>
        </w:rPr>
        <w:t>公告期限：</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采购结果公告:</w:t>
      </w:r>
      <w:r>
        <w:rPr>
          <w:rFonts w:hint="eastAsia" w:ascii="微软雅黑" w:hAnsi="微软雅黑" w:eastAsia="微软雅黑" w:cs="微软雅黑"/>
          <w:color w:val="auto"/>
          <w:sz w:val="22"/>
          <w:szCs w:val="22"/>
          <w:highlight w:val="none"/>
          <w:u w:val="dotted"/>
        </w:rPr>
        <w:t xml:space="preserve">是/否 </w:t>
      </w:r>
      <w:r>
        <w:rPr>
          <w:rFonts w:hint="eastAsia" w:ascii="微软雅黑" w:hAnsi="微软雅黑" w:eastAsia="微软雅黑" w:cs="微软雅黑"/>
          <w:color w:val="auto"/>
          <w:sz w:val="22"/>
          <w:szCs w:val="22"/>
          <w:highlight w:val="none"/>
        </w:rPr>
        <w:t>公告期限：</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三、质疑基本情况</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投诉人于</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年</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月</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日,向</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提出质疑，质疑事项为：</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dotted"/>
        </w:rPr>
        <w:t>采购人/代理机构</w:t>
      </w:r>
      <w:r>
        <w:rPr>
          <w:rFonts w:hint="eastAsia" w:ascii="微软雅黑" w:hAnsi="微软雅黑" w:eastAsia="微软雅黑" w:cs="微软雅黑"/>
          <w:color w:val="auto"/>
          <w:sz w:val="22"/>
          <w:szCs w:val="22"/>
          <w:highlight w:val="none"/>
        </w:rPr>
        <w:t>于</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年</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月</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日,就质疑事项作出了答复/没有在法定期限内作出答复。</w:t>
      </w:r>
    </w:p>
    <w:p>
      <w:pPr>
        <w:spacing w:line="5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四、投诉事项具体内容</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投诉事项 1：</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事实依据：</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法律依据：</w:t>
      </w: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u w:val="dotted"/>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投诉事项2</w:t>
      </w:r>
    </w:p>
    <w:p>
      <w:pPr>
        <w:spacing w:line="540" w:lineRule="exact"/>
        <w:ind w:firstLine="440" w:firstLineChars="200"/>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w:t>
      </w:r>
    </w:p>
    <w:p>
      <w:pPr>
        <w:spacing w:line="54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五、与投诉事项相关的投诉请求</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请求：</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 xml:space="preserve"> </w:t>
      </w:r>
    </w:p>
    <w:p>
      <w:pPr>
        <w:spacing w:line="540" w:lineRule="exact"/>
        <w:ind w:firstLine="440" w:firstLineChars="200"/>
        <w:rPr>
          <w:rFonts w:ascii="微软雅黑" w:hAnsi="微软雅黑" w:eastAsia="微软雅黑" w:cs="微软雅黑"/>
          <w:color w:val="auto"/>
          <w:sz w:val="22"/>
          <w:szCs w:val="22"/>
          <w:highlight w:val="none"/>
          <w:u w:val="single"/>
        </w:rPr>
      </w:pPr>
      <w:r>
        <w:rPr>
          <w:rFonts w:hint="eastAsia" w:ascii="微软雅黑" w:hAnsi="微软雅黑" w:eastAsia="微软雅黑" w:cs="微软雅黑"/>
          <w:color w:val="auto"/>
          <w:sz w:val="22"/>
          <w:szCs w:val="22"/>
          <w:highlight w:val="none"/>
        </w:rPr>
        <w:t xml:space="preserve">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签字(签章)：                   公章：                      </w:t>
      </w:r>
    </w:p>
    <w:p>
      <w:pPr>
        <w:spacing w:line="540" w:lineRule="exact"/>
        <w:ind w:firstLine="440" w:firstLineChars="2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日期：    </w:t>
      </w:r>
    </w:p>
    <w:p>
      <w:pPr>
        <w:spacing w:line="600" w:lineRule="exact"/>
        <w:ind w:firstLine="440" w:firstLineChars="200"/>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sz w:val="22"/>
          <w:szCs w:val="22"/>
          <w:highlight w:val="none"/>
        </w:rPr>
        <w:t>投诉书制作说明：</w:t>
      </w:r>
    </w:p>
    <w:p>
      <w:pPr>
        <w:widowControl/>
        <w:spacing w:line="600" w:lineRule="exact"/>
        <w:ind w:firstLine="440" w:firstLineChars="200"/>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1.投诉人提起投诉时，应当提交投诉书和必要的证明材料，并按照被投诉人和与投诉事项有关的供应商数量提供投诉书副本。</w:t>
      </w:r>
    </w:p>
    <w:p>
      <w:pPr>
        <w:widowControl/>
        <w:spacing w:line="600" w:lineRule="exact"/>
        <w:ind w:firstLine="440" w:firstLineChars="200"/>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2.投诉人若委托代理人进行投诉的，投诉书应按照要求列明“授权代表”的有关内容，并在附件中提交由</w:t>
      </w:r>
      <w:r>
        <w:rPr>
          <w:rFonts w:hint="eastAsia" w:ascii="微软雅黑" w:hAnsi="微软雅黑" w:eastAsia="微软雅黑" w:cs="微软雅黑"/>
          <w:color w:val="auto"/>
          <w:kern w:val="0"/>
          <w:sz w:val="22"/>
          <w:szCs w:val="22"/>
          <w:highlight w:val="none"/>
        </w:rPr>
        <w:t>投诉人签署的授权委托书。授权委托书应当载明代理人的姓名或者名称、代理事项、具体权限、期限和相关事项。</w:t>
      </w:r>
    </w:p>
    <w:p>
      <w:pPr>
        <w:widowControl/>
        <w:spacing w:line="60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3.投诉人若对项目的某一分包进行投诉，投诉书应列明具体分包号。</w:t>
      </w:r>
    </w:p>
    <w:p>
      <w:pPr>
        <w:widowControl/>
        <w:spacing w:line="60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4.投诉书应简要列明质疑事项，质疑函、质疑答复等作为附件材料提供。</w:t>
      </w:r>
    </w:p>
    <w:p>
      <w:pPr>
        <w:widowControl/>
        <w:spacing w:line="60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5.投诉书的投诉事项应具体、明确，并有必要的事实依据和法律依据。</w:t>
      </w:r>
    </w:p>
    <w:p>
      <w:pPr>
        <w:widowControl/>
        <w:spacing w:line="60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6.投诉书的投诉请求应与投诉事项相关。</w:t>
      </w:r>
    </w:p>
    <w:p>
      <w:pPr>
        <w:widowControl/>
        <w:spacing w:line="600" w:lineRule="exact"/>
        <w:ind w:firstLine="440" w:firstLineChars="2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7.投诉人为自然人的，投诉书应当由本人签字；投诉人为法人或者其他组织的，投诉书应当由法定代表人、主要负责人，或者其授权代表签字或者盖章，并加盖公章。</w:t>
      </w:r>
    </w:p>
    <w:p>
      <w:pPr>
        <w:spacing w:line="360" w:lineRule="auto"/>
        <w:ind w:firstLine="440" w:firstLineChars="200"/>
        <w:jc w:val="center"/>
        <w:rPr>
          <w:rFonts w:ascii="等线" w:hAnsi="等线" w:eastAsia="等线" w:cs="等线"/>
          <w:b/>
          <w:bCs/>
          <w:color w:val="auto"/>
          <w:sz w:val="22"/>
          <w:szCs w:val="22"/>
          <w:highlight w:val="none"/>
        </w:rPr>
      </w:pPr>
    </w:p>
    <w:p>
      <w:pPr>
        <w:spacing w:line="360" w:lineRule="auto"/>
        <w:ind w:firstLine="440" w:firstLineChars="200"/>
        <w:rPr>
          <w:rFonts w:ascii="等线" w:hAnsi="等线" w:eastAsia="等线" w:cs="等线"/>
          <w:b/>
          <w:bCs/>
          <w:color w:val="auto"/>
          <w:sz w:val="22"/>
          <w:szCs w:val="22"/>
          <w:highlight w:val="none"/>
        </w:rPr>
      </w:pPr>
    </w:p>
    <w:p>
      <w:pPr>
        <w:spacing w:before="156" w:beforeLines="50" w:after="156" w:afterLines="50" w:line="400" w:lineRule="exact"/>
        <w:ind w:firstLine="440" w:firstLineChars="200"/>
        <w:jc w:val="center"/>
        <w:rPr>
          <w:rFonts w:ascii="等线" w:hAnsi="等线" w:eastAsia="等线" w:cs="等线"/>
          <w:color w:val="auto"/>
          <w:sz w:val="22"/>
          <w:szCs w:val="22"/>
          <w:highlight w:val="none"/>
        </w:rPr>
      </w:pPr>
    </w:p>
    <w:p>
      <w:pPr>
        <w:rPr>
          <w:rFonts w:ascii="等线" w:hAnsi="等线" w:eastAsia="等线" w:cs="等线"/>
          <w:color w:val="auto"/>
          <w:highlight w:val="none"/>
        </w:rPr>
      </w:pPr>
    </w:p>
    <w:sectPr>
      <w:headerReference r:id="rId3" w:type="default"/>
      <w:footerReference r:id="rId4" w:type="default"/>
      <w:footerReference r:id="rId5" w:type="even"/>
      <w:pgSz w:w="11906" w:h="16838"/>
      <w:pgMar w:top="1440" w:right="991" w:bottom="1440" w:left="1418"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rPr>
        <w:rFonts w:ascii="微软雅黑" w:hAnsi="微软雅黑" w:eastAsia="微软雅黑" w:cs="等线"/>
        <w:u w:val="single"/>
      </w:rPr>
    </w:pPr>
    <w:r>
      <w:rPr>
        <w:rFonts w:hint="eastAsia" w:ascii="微软雅黑" w:hAnsi="微软雅黑" w:eastAsia="微软雅黑" w:cs="等线"/>
      </w:rPr>
      <mc:AlternateContent>
        <mc:Choice Requires="wps">
          <w:drawing>
            <wp:anchor distT="0" distB="0" distL="114300" distR="114300" simplePos="0" relativeHeight="251662336" behindDoc="0" locked="0" layoutInCell="1" allowOverlap="1">
              <wp:simplePos x="0" y="0"/>
              <wp:positionH relativeFrom="margin">
                <wp:posOffset>2957195</wp:posOffset>
              </wp:positionH>
              <wp:positionV relativeFrom="paragraph">
                <wp:posOffset>1905</wp:posOffset>
              </wp:positionV>
              <wp:extent cx="333375" cy="1828800"/>
              <wp:effectExtent l="0" t="0" r="9525" b="6350"/>
              <wp:wrapNone/>
              <wp:docPr id="17" name="文本框 17"/>
              <wp:cNvGraphicFramePr/>
              <a:graphic xmlns:a="http://schemas.openxmlformats.org/drawingml/2006/main">
                <a:graphicData uri="http://schemas.microsoft.com/office/word/2010/wordprocessingShape">
                  <wps:wsp>
                    <wps:cNvSpPr txBox="1"/>
                    <wps:spPr>
                      <a:xfrm>
                        <a:off x="0" y="0"/>
                        <a:ext cx="33337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rPr>
                              <w:rStyle w:val="34"/>
                            </w:rPr>
                          </w:pPr>
                          <w:r>
                            <w:fldChar w:fldCharType="begin"/>
                          </w:r>
                          <w:r>
                            <w:rPr>
                              <w:rStyle w:val="34"/>
                            </w:rPr>
                            <w:instrText xml:space="preserve">PAGE  </w:instrText>
                          </w:r>
                          <w:r>
                            <w:fldChar w:fldCharType="separate"/>
                          </w:r>
                          <w:r>
                            <w:rPr>
                              <w:rStyle w:val="34"/>
                            </w:rPr>
                            <w:t>15</w:t>
                          </w:r>
                          <w:r>
                            <w:fldChar w:fldCharType="end"/>
                          </w: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32.85pt;margin-top:0.15pt;height:144pt;width:26.25pt;mso-position-horizontal-relative:margin;z-index:251662336;mso-width-relative:page;mso-height-relative:page;" filled="f" stroked="f" coordsize="21600,21600" o:gfxdata="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6JsX/YAAAACAEAAA8AAAAAAAAAAQAgAAAAIgAAAGRycy9kb3ducmV2Lnht&#10;bFBLAQIUABQAAAAIAIdO4kAZd7xqMgIAAFgEAAAOAAAAAAAAAAEAIAAAACcBAABkcnMvZTJvRG9j&#10;LnhtbFBLBQYAAAAABgAGAFkBAADLBQAAAAA=&#10;">
              <v:fill on="f" focussize="0,0"/>
              <v:stroke on="f" weight="0.5pt"/>
              <v:imagedata o:title=""/>
              <o:lock v:ext="edit" aspectratio="f"/>
              <v:textbox inset="0mm,0mm,0mm,0mm" style="mso-fit-shape-to-text:t;">
                <w:txbxContent>
                  <w:p>
                    <w:pPr>
                      <w:pStyle w:val="20"/>
                      <w:rPr>
                        <w:rStyle w:val="34"/>
                      </w:rPr>
                    </w:pPr>
                    <w:r>
                      <w:fldChar w:fldCharType="begin"/>
                    </w:r>
                    <w:r>
                      <w:rPr>
                        <w:rStyle w:val="34"/>
                      </w:rPr>
                      <w:instrText xml:space="preserve">PAGE  </w:instrText>
                    </w:r>
                    <w:r>
                      <w:fldChar w:fldCharType="separate"/>
                    </w:r>
                    <w:r>
                      <w:rPr>
                        <w:rStyle w:val="34"/>
                      </w:rPr>
                      <w:t>15</w:t>
                    </w:r>
                    <w:r>
                      <w:fldChar w:fldCharType="end"/>
                    </w:r>
                  </w:p>
                </w:txbxContent>
              </v:textbox>
            </v:shape>
          </w:pict>
        </mc:Fallback>
      </mc:AlternateContent>
    </w:r>
    <w:r>
      <w:rPr>
        <w:rFonts w:hint="eastAsia" w:ascii="微软雅黑" w:hAnsi="微软雅黑" w:eastAsia="微软雅黑" w:cs="等线"/>
        <w:u w:val="single"/>
      </w:rPr>
      <w:t xml:space="preserve">浙江明业项目管理有限公司                                        </w:t>
    </w:r>
    <w:r>
      <w:rPr>
        <w:rFonts w:ascii="微软雅黑" w:hAnsi="微软雅黑" w:eastAsia="微软雅黑" w:cs="等线"/>
        <w:u w:val="single"/>
      </w:rPr>
      <w:t xml:space="preserve"> </w:t>
    </w:r>
    <w:r>
      <w:rPr>
        <w:rFonts w:hint="eastAsia" w:ascii="微软雅黑" w:hAnsi="微软雅黑" w:eastAsia="微软雅黑" w:cs="等线"/>
        <w:u w:val="single"/>
      </w:rPr>
      <w:t xml:space="preserve">                    电话：0572-5501567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rPr>
        <w:rStyle w:val="34"/>
      </w:rPr>
    </w:pPr>
    <w:r>
      <w:fldChar w:fldCharType="begin"/>
    </w:r>
    <w:r>
      <w:rPr>
        <w:rStyle w:val="34"/>
      </w:rPr>
      <w:instrText xml:space="preserve">PAGE  </w:instrText>
    </w:r>
    <w:r>
      <w:fldChar w:fldCharType="end"/>
    </w:r>
  </w:p>
  <w:p>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both"/>
      <w:rPr>
        <w:rFonts w:ascii="微软雅黑" w:hAnsi="微软雅黑" w:eastAsia="微软雅黑" w:cs="微软雅黑"/>
      </w:rPr>
    </w:pPr>
    <w:r>
      <w:rPr>
        <w:rFonts w:hint="eastAsia" w:ascii="微软雅黑" w:hAnsi="微软雅黑" w:eastAsia="微软雅黑" w:cs="微软雅黑"/>
        <w:kern w:val="0"/>
        <w:lang w:eastAsia="zh-CN"/>
      </w:rPr>
      <w:t>浪漫山川全域智慧旅游系统(山区数据采集通讯基础设施)设计施工一体化政府采购项目</w:t>
    </w:r>
    <w:r>
      <w:rPr>
        <w:rFonts w:hint="eastAsia" w:ascii="微软雅黑" w:hAnsi="微软雅黑" w:eastAsia="微软雅黑" w:cs="微软雅黑"/>
        <w:kern w:val="0"/>
        <w:lang w:val="en-US" w:eastAsia="zh-CN"/>
      </w:rPr>
      <w:t xml:space="preserve">               </w:t>
    </w:r>
    <w:r>
      <w:rPr>
        <w:rFonts w:ascii="微软雅黑" w:hAnsi="微软雅黑" w:eastAsia="微软雅黑" w:cs="微软雅黑"/>
        <w:kern w:val="0"/>
      </w:rPr>
      <w:t xml:space="preserve"> </w:t>
    </w:r>
    <w:r>
      <w:rPr>
        <w:rFonts w:hint="eastAsia" w:ascii="微软雅黑" w:hAnsi="微软雅黑" w:eastAsia="微软雅黑" w:cs="微软雅黑"/>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70AE86"/>
    <w:multiLevelType w:val="singleLevel"/>
    <w:tmpl w:val="CA70AE86"/>
    <w:lvl w:ilvl="0" w:tentative="0">
      <w:start w:val="1"/>
      <w:numFmt w:val="decimal"/>
      <w:suff w:val="nothing"/>
      <w:lvlText w:val="%1、"/>
      <w:lvlJc w:val="left"/>
    </w:lvl>
  </w:abstractNum>
  <w:abstractNum w:abstractNumId="1">
    <w:nsid w:val="D88C6757"/>
    <w:multiLevelType w:val="multilevel"/>
    <w:tmpl w:val="D88C6757"/>
    <w:lvl w:ilvl="0" w:tentative="0">
      <w:start w:val="1"/>
      <w:numFmt w:val="decimal"/>
      <w:suff w:val="nothing"/>
      <w:lvlText w:val="%1、"/>
      <w:lvlJc w:val="left"/>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8640639"/>
    <w:multiLevelType w:val="singleLevel"/>
    <w:tmpl w:val="18640639"/>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E2NDQyMzI3MDgwNDBjMWNmMzc4ZmM3ZTFjYzY5MTkifQ=="/>
  </w:docVars>
  <w:rsids>
    <w:rsidRoot w:val="66E64A2F"/>
    <w:rsid w:val="00007280"/>
    <w:rsid w:val="000142AF"/>
    <w:rsid w:val="00055B3B"/>
    <w:rsid w:val="00065042"/>
    <w:rsid w:val="0006749A"/>
    <w:rsid w:val="00067937"/>
    <w:rsid w:val="000A389D"/>
    <w:rsid w:val="000B1318"/>
    <w:rsid w:val="000B1ADA"/>
    <w:rsid w:val="000C7D6A"/>
    <w:rsid w:val="000D6244"/>
    <w:rsid w:val="00105BD9"/>
    <w:rsid w:val="0011200F"/>
    <w:rsid w:val="0011312C"/>
    <w:rsid w:val="00126843"/>
    <w:rsid w:val="00135857"/>
    <w:rsid w:val="001408FB"/>
    <w:rsid w:val="00160D95"/>
    <w:rsid w:val="00162E25"/>
    <w:rsid w:val="00164803"/>
    <w:rsid w:val="001814CA"/>
    <w:rsid w:val="001824DD"/>
    <w:rsid w:val="001A0C4E"/>
    <w:rsid w:val="001A3228"/>
    <w:rsid w:val="001B42B2"/>
    <w:rsid w:val="001B6A08"/>
    <w:rsid w:val="001F417A"/>
    <w:rsid w:val="00211DA4"/>
    <w:rsid w:val="00221838"/>
    <w:rsid w:val="00221F7B"/>
    <w:rsid w:val="00226922"/>
    <w:rsid w:val="0026033C"/>
    <w:rsid w:val="00266A9F"/>
    <w:rsid w:val="00277F22"/>
    <w:rsid w:val="00282209"/>
    <w:rsid w:val="002A3D9E"/>
    <w:rsid w:val="002A59E2"/>
    <w:rsid w:val="002B3EAC"/>
    <w:rsid w:val="002B5F4E"/>
    <w:rsid w:val="002B6E83"/>
    <w:rsid w:val="002C7BCC"/>
    <w:rsid w:val="002F5ADF"/>
    <w:rsid w:val="00343C8F"/>
    <w:rsid w:val="00357797"/>
    <w:rsid w:val="003722A1"/>
    <w:rsid w:val="003726E3"/>
    <w:rsid w:val="00391D31"/>
    <w:rsid w:val="003B16B7"/>
    <w:rsid w:val="003C5A76"/>
    <w:rsid w:val="003E331E"/>
    <w:rsid w:val="003E59F0"/>
    <w:rsid w:val="00404A8A"/>
    <w:rsid w:val="00422C19"/>
    <w:rsid w:val="00435E3A"/>
    <w:rsid w:val="00442858"/>
    <w:rsid w:val="00442BB1"/>
    <w:rsid w:val="004464E0"/>
    <w:rsid w:val="004649F6"/>
    <w:rsid w:val="00471ED3"/>
    <w:rsid w:val="00473510"/>
    <w:rsid w:val="00482FE6"/>
    <w:rsid w:val="004B5127"/>
    <w:rsid w:val="004B59A4"/>
    <w:rsid w:val="004D4D2F"/>
    <w:rsid w:val="004E7BDF"/>
    <w:rsid w:val="004F0746"/>
    <w:rsid w:val="004F1E39"/>
    <w:rsid w:val="004F2925"/>
    <w:rsid w:val="004F2955"/>
    <w:rsid w:val="0051035B"/>
    <w:rsid w:val="0051103E"/>
    <w:rsid w:val="00533B26"/>
    <w:rsid w:val="00552354"/>
    <w:rsid w:val="00583FCE"/>
    <w:rsid w:val="00587E67"/>
    <w:rsid w:val="00594B9F"/>
    <w:rsid w:val="00594F1E"/>
    <w:rsid w:val="005A5E9D"/>
    <w:rsid w:val="005A60CA"/>
    <w:rsid w:val="005B547B"/>
    <w:rsid w:val="005C3E56"/>
    <w:rsid w:val="005C70C3"/>
    <w:rsid w:val="005D4CAD"/>
    <w:rsid w:val="00607E4A"/>
    <w:rsid w:val="006139D4"/>
    <w:rsid w:val="006228E2"/>
    <w:rsid w:val="00686C8C"/>
    <w:rsid w:val="0069193E"/>
    <w:rsid w:val="00696C35"/>
    <w:rsid w:val="006B4A00"/>
    <w:rsid w:val="006F60F3"/>
    <w:rsid w:val="0070150D"/>
    <w:rsid w:val="007131DE"/>
    <w:rsid w:val="00743704"/>
    <w:rsid w:val="00746AB8"/>
    <w:rsid w:val="00776469"/>
    <w:rsid w:val="0078325B"/>
    <w:rsid w:val="007841AD"/>
    <w:rsid w:val="007A16BD"/>
    <w:rsid w:val="007C2661"/>
    <w:rsid w:val="007D3004"/>
    <w:rsid w:val="007F27D2"/>
    <w:rsid w:val="007F5E10"/>
    <w:rsid w:val="007F6984"/>
    <w:rsid w:val="008537C9"/>
    <w:rsid w:val="00857435"/>
    <w:rsid w:val="00885BCF"/>
    <w:rsid w:val="008A3263"/>
    <w:rsid w:val="008A7486"/>
    <w:rsid w:val="008D2DF7"/>
    <w:rsid w:val="008E2973"/>
    <w:rsid w:val="008F22E6"/>
    <w:rsid w:val="008F6E1C"/>
    <w:rsid w:val="00903728"/>
    <w:rsid w:val="00916FCA"/>
    <w:rsid w:val="00926B81"/>
    <w:rsid w:val="00935693"/>
    <w:rsid w:val="00964C0B"/>
    <w:rsid w:val="0096793F"/>
    <w:rsid w:val="009710D5"/>
    <w:rsid w:val="009805CF"/>
    <w:rsid w:val="009942EE"/>
    <w:rsid w:val="009B66FC"/>
    <w:rsid w:val="009C281E"/>
    <w:rsid w:val="00A14A44"/>
    <w:rsid w:val="00A756A1"/>
    <w:rsid w:val="00A8366D"/>
    <w:rsid w:val="00A84463"/>
    <w:rsid w:val="00AA33AE"/>
    <w:rsid w:val="00AF4CFD"/>
    <w:rsid w:val="00B032DC"/>
    <w:rsid w:val="00B07D1C"/>
    <w:rsid w:val="00B306BF"/>
    <w:rsid w:val="00B34AF0"/>
    <w:rsid w:val="00B4647E"/>
    <w:rsid w:val="00B517E2"/>
    <w:rsid w:val="00B8413F"/>
    <w:rsid w:val="00B930EF"/>
    <w:rsid w:val="00B9501F"/>
    <w:rsid w:val="00BB4427"/>
    <w:rsid w:val="00BE52E0"/>
    <w:rsid w:val="00BE7A7D"/>
    <w:rsid w:val="00C20F77"/>
    <w:rsid w:val="00C20F8B"/>
    <w:rsid w:val="00C3186D"/>
    <w:rsid w:val="00C545EA"/>
    <w:rsid w:val="00C65215"/>
    <w:rsid w:val="00C70241"/>
    <w:rsid w:val="00C96D0B"/>
    <w:rsid w:val="00CA7F69"/>
    <w:rsid w:val="00CB799A"/>
    <w:rsid w:val="00CC4B69"/>
    <w:rsid w:val="00CD5E98"/>
    <w:rsid w:val="00CE0999"/>
    <w:rsid w:val="00D1602E"/>
    <w:rsid w:val="00D21906"/>
    <w:rsid w:val="00D230AC"/>
    <w:rsid w:val="00D34188"/>
    <w:rsid w:val="00D42B8A"/>
    <w:rsid w:val="00D47723"/>
    <w:rsid w:val="00D65239"/>
    <w:rsid w:val="00D66E11"/>
    <w:rsid w:val="00D75018"/>
    <w:rsid w:val="00D83373"/>
    <w:rsid w:val="00D93D5C"/>
    <w:rsid w:val="00DB036D"/>
    <w:rsid w:val="00DB5A20"/>
    <w:rsid w:val="00DB6990"/>
    <w:rsid w:val="00DD5826"/>
    <w:rsid w:val="00DE1AE6"/>
    <w:rsid w:val="00DE5495"/>
    <w:rsid w:val="00DE74E6"/>
    <w:rsid w:val="00DF4776"/>
    <w:rsid w:val="00DF49BC"/>
    <w:rsid w:val="00E10136"/>
    <w:rsid w:val="00E242A4"/>
    <w:rsid w:val="00E26720"/>
    <w:rsid w:val="00E43608"/>
    <w:rsid w:val="00E8202E"/>
    <w:rsid w:val="00E832FC"/>
    <w:rsid w:val="00EA6A66"/>
    <w:rsid w:val="00EC194C"/>
    <w:rsid w:val="00EC50CC"/>
    <w:rsid w:val="00ED700C"/>
    <w:rsid w:val="00F47627"/>
    <w:rsid w:val="00F66324"/>
    <w:rsid w:val="00F82CF0"/>
    <w:rsid w:val="00F85151"/>
    <w:rsid w:val="00F86D92"/>
    <w:rsid w:val="00FA73AD"/>
    <w:rsid w:val="00FB01C3"/>
    <w:rsid w:val="00FD1A01"/>
    <w:rsid w:val="00FD250B"/>
    <w:rsid w:val="015A21FB"/>
    <w:rsid w:val="01793CB3"/>
    <w:rsid w:val="029C7FE2"/>
    <w:rsid w:val="02C4019C"/>
    <w:rsid w:val="02F13F24"/>
    <w:rsid w:val="0372563D"/>
    <w:rsid w:val="042935DA"/>
    <w:rsid w:val="0454440A"/>
    <w:rsid w:val="0470510E"/>
    <w:rsid w:val="04944152"/>
    <w:rsid w:val="04CC6E73"/>
    <w:rsid w:val="0511470C"/>
    <w:rsid w:val="063240AB"/>
    <w:rsid w:val="06FD3704"/>
    <w:rsid w:val="070F5A07"/>
    <w:rsid w:val="072B7805"/>
    <w:rsid w:val="07C85DAA"/>
    <w:rsid w:val="084B2FFE"/>
    <w:rsid w:val="0883604D"/>
    <w:rsid w:val="08CE52F4"/>
    <w:rsid w:val="092708F3"/>
    <w:rsid w:val="09E821F6"/>
    <w:rsid w:val="0A7E08D7"/>
    <w:rsid w:val="0AA85E0D"/>
    <w:rsid w:val="0AAB6FFD"/>
    <w:rsid w:val="0AEB4C0D"/>
    <w:rsid w:val="0B0C20E5"/>
    <w:rsid w:val="0B223D16"/>
    <w:rsid w:val="0BB0595F"/>
    <w:rsid w:val="0C8B05E3"/>
    <w:rsid w:val="0DD34156"/>
    <w:rsid w:val="0EAC19B1"/>
    <w:rsid w:val="0F6C0B15"/>
    <w:rsid w:val="0F78715E"/>
    <w:rsid w:val="0FFD1685"/>
    <w:rsid w:val="10AE4DE8"/>
    <w:rsid w:val="110F02C9"/>
    <w:rsid w:val="11605D04"/>
    <w:rsid w:val="12072B26"/>
    <w:rsid w:val="14075AD8"/>
    <w:rsid w:val="14521AF6"/>
    <w:rsid w:val="14607EAB"/>
    <w:rsid w:val="14900712"/>
    <w:rsid w:val="14E04417"/>
    <w:rsid w:val="153471A3"/>
    <w:rsid w:val="15F65D8D"/>
    <w:rsid w:val="15FC13AA"/>
    <w:rsid w:val="16265328"/>
    <w:rsid w:val="167C73C8"/>
    <w:rsid w:val="170B625B"/>
    <w:rsid w:val="171136FB"/>
    <w:rsid w:val="17224D45"/>
    <w:rsid w:val="18004207"/>
    <w:rsid w:val="183F2B6C"/>
    <w:rsid w:val="189036AA"/>
    <w:rsid w:val="194C36E4"/>
    <w:rsid w:val="19C32DA1"/>
    <w:rsid w:val="1AB33F09"/>
    <w:rsid w:val="1C47563C"/>
    <w:rsid w:val="1C8C3CE4"/>
    <w:rsid w:val="1CD10654"/>
    <w:rsid w:val="1D660ADA"/>
    <w:rsid w:val="1EB439E9"/>
    <w:rsid w:val="1EEE2B9E"/>
    <w:rsid w:val="1F176C96"/>
    <w:rsid w:val="1F38370B"/>
    <w:rsid w:val="1F6D06F3"/>
    <w:rsid w:val="1FCA634F"/>
    <w:rsid w:val="211C4455"/>
    <w:rsid w:val="211D434B"/>
    <w:rsid w:val="21991892"/>
    <w:rsid w:val="21BD57CF"/>
    <w:rsid w:val="21EB559E"/>
    <w:rsid w:val="223E0B25"/>
    <w:rsid w:val="226144A2"/>
    <w:rsid w:val="235B6DD4"/>
    <w:rsid w:val="236D1407"/>
    <w:rsid w:val="23873EEC"/>
    <w:rsid w:val="23E0658F"/>
    <w:rsid w:val="241810F6"/>
    <w:rsid w:val="24420B3E"/>
    <w:rsid w:val="25C20D12"/>
    <w:rsid w:val="26A03B26"/>
    <w:rsid w:val="26AC74E2"/>
    <w:rsid w:val="26C07C56"/>
    <w:rsid w:val="26F61A98"/>
    <w:rsid w:val="274B0198"/>
    <w:rsid w:val="28013942"/>
    <w:rsid w:val="28307F69"/>
    <w:rsid w:val="28E918FC"/>
    <w:rsid w:val="2A031AB0"/>
    <w:rsid w:val="2A694385"/>
    <w:rsid w:val="2ABF1892"/>
    <w:rsid w:val="2AE01F34"/>
    <w:rsid w:val="2B5F533D"/>
    <w:rsid w:val="2BEC23FC"/>
    <w:rsid w:val="2BF7090C"/>
    <w:rsid w:val="2DB0085C"/>
    <w:rsid w:val="2DDC5164"/>
    <w:rsid w:val="2E0E7229"/>
    <w:rsid w:val="2E16559E"/>
    <w:rsid w:val="2F9F2CC3"/>
    <w:rsid w:val="3016166E"/>
    <w:rsid w:val="30F77FD8"/>
    <w:rsid w:val="31913050"/>
    <w:rsid w:val="32ED6248"/>
    <w:rsid w:val="32ED6E82"/>
    <w:rsid w:val="33271F5A"/>
    <w:rsid w:val="334D60BA"/>
    <w:rsid w:val="347C27D1"/>
    <w:rsid w:val="34AB25BF"/>
    <w:rsid w:val="34B811B1"/>
    <w:rsid w:val="357C4517"/>
    <w:rsid w:val="35E46164"/>
    <w:rsid w:val="35EA1EB9"/>
    <w:rsid w:val="361D57B4"/>
    <w:rsid w:val="364843C1"/>
    <w:rsid w:val="37101E3F"/>
    <w:rsid w:val="371804B7"/>
    <w:rsid w:val="381419C6"/>
    <w:rsid w:val="383E6167"/>
    <w:rsid w:val="38537156"/>
    <w:rsid w:val="389B1F15"/>
    <w:rsid w:val="38D00C1E"/>
    <w:rsid w:val="391B682D"/>
    <w:rsid w:val="39A3677C"/>
    <w:rsid w:val="39D65EE5"/>
    <w:rsid w:val="3A0C32DE"/>
    <w:rsid w:val="3A4216B1"/>
    <w:rsid w:val="3A907D39"/>
    <w:rsid w:val="3AA07128"/>
    <w:rsid w:val="3B02166F"/>
    <w:rsid w:val="3BEA18FA"/>
    <w:rsid w:val="3BED44B1"/>
    <w:rsid w:val="3C0B455A"/>
    <w:rsid w:val="3CAD3C40"/>
    <w:rsid w:val="3D485DE7"/>
    <w:rsid w:val="3D650B8C"/>
    <w:rsid w:val="3D766765"/>
    <w:rsid w:val="3F144DE8"/>
    <w:rsid w:val="3F352E3D"/>
    <w:rsid w:val="3F516239"/>
    <w:rsid w:val="3F66369A"/>
    <w:rsid w:val="3F78639A"/>
    <w:rsid w:val="3FAA18AA"/>
    <w:rsid w:val="3FFF0C57"/>
    <w:rsid w:val="4016137D"/>
    <w:rsid w:val="413023DF"/>
    <w:rsid w:val="41B4036A"/>
    <w:rsid w:val="41E45E57"/>
    <w:rsid w:val="41F80928"/>
    <w:rsid w:val="4235008A"/>
    <w:rsid w:val="42614E78"/>
    <w:rsid w:val="42CD6DEA"/>
    <w:rsid w:val="433B01F8"/>
    <w:rsid w:val="43C70492"/>
    <w:rsid w:val="443D1D4E"/>
    <w:rsid w:val="44F03A47"/>
    <w:rsid w:val="463C0AC7"/>
    <w:rsid w:val="469B2E40"/>
    <w:rsid w:val="46A16CCB"/>
    <w:rsid w:val="47481421"/>
    <w:rsid w:val="47A63131"/>
    <w:rsid w:val="47AA44DA"/>
    <w:rsid w:val="47D3136D"/>
    <w:rsid w:val="48507537"/>
    <w:rsid w:val="489B206D"/>
    <w:rsid w:val="49171B33"/>
    <w:rsid w:val="495F3A20"/>
    <w:rsid w:val="4A98612E"/>
    <w:rsid w:val="4B4E4FF8"/>
    <w:rsid w:val="4B5A4B3D"/>
    <w:rsid w:val="4B603DFB"/>
    <w:rsid w:val="4BC230A6"/>
    <w:rsid w:val="4BE53D7A"/>
    <w:rsid w:val="4C916C25"/>
    <w:rsid w:val="4CB8758D"/>
    <w:rsid w:val="4CB87B9B"/>
    <w:rsid w:val="4CD2129B"/>
    <w:rsid w:val="4D9D0D3A"/>
    <w:rsid w:val="4E146CEA"/>
    <w:rsid w:val="4E706938"/>
    <w:rsid w:val="4EE71463"/>
    <w:rsid w:val="4F2C4E99"/>
    <w:rsid w:val="50DF41C4"/>
    <w:rsid w:val="511D30C0"/>
    <w:rsid w:val="51705511"/>
    <w:rsid w:val="523328E3"/>
    <w:rsid w:val="52B14033"/>
    <w:rsid w:val="52B9004E"/>
    <w:rsid w:val="5310069C"/>
    <w:rsid w:val="53AC23B7"/>
    <w:rsid w:val="53AD0569"/>
    <w:rsid w:val="53E536D7"/>
    <w:rsid w:val="55046482"/>
    <w:rsid w:val="551E51E4"/>
    <w:rsid w:val="552838BD"/>
    <w:rsid w:val="558B3EA6"/>
    <w:rsid w:val="55B63B7D"/>
    <w:rsid w:val="56B20379"/>
    <w:rsid w:val="56B2343E"/>
    <w:rsid w:val="571F6509"/>
    <w:rsid w:val="57712E92"/>
    <w:rsid w:val="58885548"/>
    <w:rsid w:val="58AB2DE4"/>
    <w:rsid w:val="59505232"/>
    <w:rsid w:val="5966713F"/>
    <w:rsid w:val="59D06675"/>
    <w:rsid w:val="59D4510F"/>
    <w:rsid w:val="5A364E1D"/>
    <w:rsid w:val="5B31479D"/>
    <w:rsid w:val="5B484E08"/>
    <w:rsid w:val="5C7A5495"/>
    <w:rsid w:val="5CDE2A7A"/>
    <w:rsid w:val="5D246C55"/>
    <w:rsid w:val="5DFE3EA4"/>
    <w:rsid w:val="5E081416"/>
    <w:rsid w:val="5E126254"/>
    <w:rsid w:val="5F12439A"/>
    <w:rsid w:val="5F2338A0"/>
    <w:rsid w:val="603947E7"/>
    <w:rsid w:val="60421C22"/>
    <w:rsid w:val="613110B1"/>
    <w:rsid w:val="625600F3"/>
    <w:rsid w:val="6261703B"/>
    <w:rsid w:val="638D14D7"/>
    <w:rsid w:val="64360608"/>
    <w:rsid w:val="64822D65"/>
    <w:rsid w:val="655051F8"/>
    <w:rsid w:val="656E0A7F"/>
    <w:rsid w:val="65A810DE"/>
    <w:rsid w:val="66190610"/>
    <w:rsid w:val="66B808F4"/>
    <w:rsid w:val="66E64A2F"/>
    <w:rsid w:val="67376F16"/>
    <w:rsid w:val="6739466A"/>
    <w:rsid w:val="67CB729C"/>
    <w:rsid w:val="67DF6AF4"/>
    <w:rsid w:val="68D15A29"/>
    <w:rsid w:val="68EA39A3"/>
    <w:rsid w:val="695D2C2B"/>
    <w:rsid w:val="6A030D85"/>
    <w:rsid w:val="6A4626F9"/>
    <w:rsid w:val="6B0F76F1"/>
    <w:rsid w:val="6B1D329F"/>
    <w:rsid w:val="6B79100E"/>
    <w:rsid w:val="6BE97F42"/>
    <w:rsid w:val="6C4D0229"/>
    <w:rsid w:val="6C5F0BB7"/>
    <w:rsid w:val="6C93288B"/>
    <w:rsid w:val="6E354081"/>
    <w:rsid w:val="6EC525D9"/>
    <w:rsid w:val="6F58270A"/>
    <w:rsid w:val="6F7D77C1"/>
    <w:rsid w:val="701B31A1"/>
    <w:rsid w:val="70B623BC"/>
    <w:rsid w:val="70C56684"/>
    <w:rsid w:val="71285813"/>
    <w:rsid w:val="714F4CEB"/>
    <w:rsid w:val="721F74E0"/>
    <w:rsid w:val="726D64DF"/>
    <w:rsid w:val="729F0B68"/>
    <w:rsid w:val="73FD58D7"/>
    <w:rsid w:val="74597C2E"/>
    <w:rsid w:val="74687E72"/>
    <w:rsid w:val="754605F6"/>
    <w:rsid w:val="75AB003F"/>
    <w:rsid w:val="75E26130"/>
    <w:rsid w:val="76FB5C06"/>
    <w:rsid w:val="771450F6"/>
    <w:rsid w:val="77843EE6"/>
    <w:rsid w:val="78057A37"/>
    <w:rsid w:val="78A06C65"/>
    <w:rsid w:val="78D423BD"/>
    <w:rsid w:val="78DF22F8"/>
    <w:rsid w:val="7A025432"/>
    <w:rsid w:val="7A413118"/>
    <w:rsid w:val="7AA459B7"/>
    <w:rsid w:val="7B487F9E"/>
    <w:rsid w:val="7B9235AA"/>
    <w:rsid w:val="7C352937"/>
    <w:rsid w:val="7CAA2580"/>
    <w:rsid w:val="7D726199"/>
    <w:rsid w:val="7DE85681"/>
    <w:rsid w:val="7DF05351"/>
    <w:rsid w:val="7EA61C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3"/>
    <w:basedOn w:val="1"/>
    <w:next w:val="5"/>
    <w:unhideWhenUsed/>
    <w:qFormat/>
    <w:uiPriority w:val="0"/>
    <w:pPr>
      <w:keepNext/>
      <w:keepLines/>
      <w:spacing w:before="260" w:after="260" w:line="416" w:lineRule="auto"/>
      <w:outlineLvl w:val="2"/>
    </w:pPr>
    <w:rPr>
      <w:b/>
      <w:bCs/>
      <w:sz w:val="32"/>
      <w:szCs w:val="32"/>
    </w:rPr>
  </w:style>
  <w:style w:type="paragraph" w:styleId="6">
    <w:name w:val="heading 4"/>
    <w:next w:val="1"/>
    <w:qFormat/>
    <w:uiPriority w:val="0"/>
    <w:pPr>
      <w:keepNext/>
      <w:keepLines/>
      <w:widowControl w:val="0"/>
      <w:spacing w:before="280" w:after="290" w:line="372" w:lineRule="auto"/>
      <w:jc w:val="both"/>
      <w:outlineLvl w:val="3"/>
    </w:pPr>
    <w:rPr>
      <w:rFonts w:ascii="Cambria" w:hAnsi="Cambria" w:eastAsia="宋体" w:cs="Times New Roman"/>
      <w:b/>
      <w:bCs/>
      <w:kern w:val="2"/>
      <w:sz w:val="28"/>
      <w:szCs w:val="28"/>
      <w:lang w:val="en-US" w:eastAsia="zh-CN" w:bidi="ar-SA"/>
    </w:rPr>
  </w:style>
  <w:style w:type="paragraph" w:styleId="7">
    <w:name w:val="heading 5"/>
    <w:next w:val="1"/>
    <w:qFormat/>
    <w:uiPriority w:val="0"/>
    <w:pPr>
      <w:keepNext/>
      <w:keepLines/>
      <w:widowControl w:val="0"/>
      <w:spacing w:before="280" w:after="290" w:line="372" w:lineRule="auto"/>
      <w:jc w:val="both"/>
      <w:outlineLvl w:val="4"/>
    </w:pPr>
    <w:rPr>
      <w:rFonts w:ascii="Calibri" w:hAnsi="Calibri" w:eastAsia="宋体" w:cs="Times New Roman"/>
      <w:b/>
      <w:bCs/>
      <w:kern w:val="2"/>
      <w:sz w:val="28"/>
      <w:szCs w:val="28"/>
      <w:lang w:val="en-US" w:eastAsia="zh-CN" w:bidi="ar-SA"/>
    </w:rPr>
  </w:style>
  <w:style w:type="paragraph" w:styleId="8">
    <w:name w:val="heading 6"/>
    <w:next w:val="1"/>
    <w:qFormat/>
    <w:uiPriority w:val="9"/>
    <w:pPr>
      <w:keepNext/>
      <w:keepLines/>
      <w:widowControl w:val="0"/>
      <w:spacing w:before="240" w:after="64" w:line="320" w:lineRule="auto"/>
      <w:jc w:val="both"/>
      <w:outlineLvl w:val="5"/>
    </w:pPr>
    <w:rPr>
      <w:rFonts w:ascii="Arial" w:hAnsi="Arial" w:eastAsia="黑体" w:cstheme="minorBidi"/>
      <w:b/>
      <w:kern w:val="2"/>
      <w:sz w:val="24"/>
      <w:szCs w:val="24"/>
      <w:lang w:val="en-US" w:eastAsia="zh-CN" w:bidi="ar-SA"/>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 2"/>
    <w:qFormat/>
    <w:uiPriority w:val="0"/>
    <w:pPr>
      <w:widowControl w:val="0"/>
      <w:spacing w:after="120" w:afterLines="0" w:line="240" w:lineRule="auto"/>
      <w:ind w:left="420" w:leftChars="200" w:firstLine="420"/>
      <w:jc w:val="both"/>
    </w:pPr>
    <w:rPr>
      <w:rFonts w:ascii="Times New Roman" w:hAnsi="Times New Roman" w:eastAsia="宋体" w:cs="宋体"/>
      <w:color w:val="000000"/>
      <w:kern w:val="2"/>
      <w:sz w:val="21"/>
      <w:szCs w:val="21"/>
      <w:lang w:val="en-US" w:eastAsia="zh-CN" w:bidi="ar-SA"/>
    </w:rPr>
  </w:style>
  <w:style w:type="paragraph" w:customStyle="1" w:styleId="5">
    <w:name w:val="此正文"/>
    <w:qFormat/>
    <w:uiPriority w:val="0"/>
    <w:pPr>
      <w:widowControl w:val="0"/>
      <w:spacing w:line="360" w:lineRule="auto"/>
      <w:ind w:firstLine="200" w:firstLineChars="200"/>
      <w:jc w:val="both"/>
    </w:pPr>
    <w:rPr>
      <w:rFonts w:ascii="Times New Roman" w:hAnsi="Times New Roman" w:eastAsia="宋体" w:cs="Times New Roman"/>
      <w:kern w:val="2"/>
      <w:sz w:val="24"/>
      <w:lang w:val="en-US" w:eastAsia="zh-CN" w:bidi="ar-SA"/>
    </w:rPr>
  </w:style>
  <w:style w:type="paragraph" w:styleId="9">
    <w:name w:val="Normal Indent"/>
    <w:basedOn w:val="1"/>
    <w:next w:val="1"/>
    <w:qFormat/>
    <w:uiPriority w:val="0"/>
    <w:pPr>
      <w:ind w:firstLine="420"/>
    </w:pPr>
    <w:rPr>
      <w:rFonts w:ascii="Times New Roman" w:hAnsi="Times New Roman" w:eastAsia="宋体" w:cs="Times New Roman"/>
      <w:szCs w:val="20"/>
    </w:rPr>
  </w:style>
  <w:style w:type="paragraph" w:styleId="10">
    <w:name w:val="annotation text"/>
    <w:basedOn w:val="1"/>
    <w:link w:val="43"/>
    <w:qFormat/>
    <w:uiPriority w:val="0"/>
    <w:pPr>
      <w:spacing w:line="360" w:lineRule="auto"/>
      <w:ind w:firstLine="200" w:firstLineChars="200"/>
      <w:jc w:val="left"/>
    </w:pPr>
    <w:rPr>
      <w:rFonts w:ascii="Times New Roman" w:hAnsi="Times New Roman"/>
    </w:rPr>
  </w:style>
  <w:style w:type="paragraph" w:styleId="11">
    <w:name w:val="Body Text"/>
    <w:basedOn w:val="1"/>
    <w:next w:val="12"/>
    <w:qFormat/>
    <w:uiPriority w:val="0"/>
    <w:pPr>
      <w:adjustRightInd w:val="0"/>
      <w:spacing w:after="60" w:line="360" w:lineRule="atLeast"/>
      <w:ind w:left="72" w:leftChars="30" w:right="30" w:rightChars="30"/>
      <w:jc w:val="center"/>
      <w:textAlignment w:val="baseline"/>
    </w:pPr>
    <w:rPr>
      <w:rFonts w:ascii="Times New Roman" w:hAnsi="Times New Roman" w:eastAsia="宋体" w:cs="Times New Roman"/>
      <w:kern w:val="0"/>
      <w:sz w:val="20"/>
      <w:szCs w:val="20"/>
    </w:rPr>
  </w:style>
  <w:style w:type="paragraph" w:styleId="12">
    <w:name w:val="Body Text First Indent"/>
    <w:basedOn w:val="11"/>
    <w:next w:val="1"/>
    <w:qFormat/>
    <w:uiPriority w:val="0"/>
    <w:pPr>
      <w:spacing w:after="120" w:line="240" w:lineRule="auto"/>
      <w:ind w:firstLine="420" w:firstLineChars="100"/>
      <w:jc w:val="both"/>
    </w:pPr>
    <w:rPr>
      <w:kern w:val="2"/>
      <w:sz w:val="28"/>
    </w:rPr>
  </w:style>
  <w:style w:type="paragraph" w:styleId="13">
    <w:name w:val="Body Text Indent"/>
    <w:basedOn w:val="1"/>
    <w:qFormat/>
    <w:uiPriority w:val="0"/>
    <w:pPr>
      <w:widowControl/>
      <w:tabs>
        <w:tab w:val="left" w:pos="0"/>
        <w:tab w:val="left" w:pos="993"/>
        <w:tab w:val="left" w:pos="1134"/>
      </w:tabs>
      <w:spacing w:line="500" w:lineRule="exact"/>
      <w:ind w:firstLine="567"/>
    </w:pPr>
    <w:rPr>
      <w:rFonts w:ascii="宋体" w:hAnsi="Times New Roman" w:eastAsia="宋体" w:cs="Times New Roman"/>
      <w:kern w:val="0"/>
      <w:sz w:val="28"/>
      <w:szCs w:val="20"/>
    </w:rPr>
  </w:style>
  <w:style w:type="paragraph" w:styleId="14">
    <w:name w:val="toc 5"/>
    <w:next w:val="1"/>
    <w:qFormat/>
    <w:uiPriority w:val="0"/>
    <w:pPr>
      <w:widowControl w:val="0"/>
      <w:tabs>
        <w:tab w:val="right" w:leader="dot" w:pos="8296"/>
      </w:tabs>
      <w:ind w:left="1050" w:leftChars="500"/>
      <w:jc w:val="both"/>
    </w:pPr>
    <w:rPr>
      <w:rFonts w:ascii="Calibri" w:hAnsi="Calibri" w:eastAsia="宋体" w:cs="Times New Roman"/>
      <w:kern w:val="2"/>
      <w:sz w:val="21"/>
      <w:szCs w:val="22"/>
      <w:lang w:val="en-US" w:eastAsia="zh-CN" w:bidi="ar-SA"/>
    </w:rPr>
  </w:style>
  <w:style w:type="paragraph" w:styleId="15">
    <w:name w:val="toc 3"/>
    <w:next w:val="1"/>
    <w:qFormat/>
    <w:uiPriority w:val="0"/>
    <w:pPr>
      <w:widowControl w:val="0"/>
      <w:ind w:left="840" w:leftChars="400"/>
      <w:jc w:val="both"/>
    </w:pPr>
    <w:rPr>
      <w:rFonts w:ascii="Calibri" w:hAnsi="Calibri" w:eastAsia="宋体" w:cs="Times New Roman"/>
      <w:kern w:val="2"/>
      <w:sz w:val="21"/>
      <w:szCs w:val="22"/>
      <w:lang w:val="en-US" w:eastAsia="zh-CN" w:bidi="ar-SA"/>
    </w:rPr>
  </w:style>
  <w:style w:type="paragraph" w:styleId="16">
    <w:name w:val="Plain Text"/>
    <w:basedOn w:val="1"/>
    <w:next w:val="1"/>
    <w:qFormat/>
    <w:uiPriority w:val="0"/>
    <w:pPr>
      <w:spacing w:before="156" w:beforeLines="50" w:after="156" w:afterLines="50" w:line="400" w:lineRule="exact"/>
    </w:pPr>
    <w:rPr>
      <w:rFonts w:ascii="宋体" w:hAnsi="Courier New"/>
      <w:sz w:val="24"/>
    </w:rPr>
  </w:style>
  <w:style w:type="paragraph" w:styleId="17">
    <w:name w:val="Date"/>
    <w:basedOn w:val="1"/>
    <w:next w:val="1"/>
    <w:qFormat/>
    <w:uiPriority w:val="0"/>
    <w:pPr>
      <w:ind w:left="100" w:leftChars="2500"/>
    </w:pPr>
    <w:rPr>
      <w:rFonts w:ascii="Times New Roman" w:hAnsi="Times New Roman" w:eastAsia="宋体" w:cs="Times New Roman"/>
    </w:rPr>
  </w:style>
  <w:style w:type="paragraph" w:styleId="18">
    <w:name w:val="Body Text Indent 2"/>
    <w:qFormat/>
    <w:uiPriority w:val="0"/>
    <w:pPr>
      <w:widowControl w:val="0"/>
      <w:spacing w:after="120" w:line="480" w:lineRule="auto"/>
      <w:ind w:left="420" w:leftChars="200"/>
      <w:jc w:val="both"/>
    </w:pPr>
    <w:rPr>
      <w:rFonts w:ascii="Times New Roman" w:hAnsi="Times New Roman" w:eastAsia="宋体" w:cs="Times New Roman"/>
      <w:kern w:val="2"/>
      <w:sz w:val="21"/>
      <w:szCs w:val="24"/>
      <w:lang w:val="en-US" w:eastAsia="zh-CN" w:bidi="ar-SA"/>
    </w:rPr>
  </w:style>
  <w:style w:type="paragraph" w:styleId="19">
    <w:name w:val="Balloon Text"/>
    <w:basedOn w:val="1"/>
    <w:link w:val="42"/>
    <w:qFormat/>
    <w:uiPriority w:val="0"/>
    <w:rPr>
      <w:sz w:val="18"/>
      <w:szCs w:val="18"/>
    </w:rPr>
  </w:style>
  <w:style w:type="paragraph" w:styleId="20">
    <w:name w:val="footer"/>
    <w:basedOn w:val="1"/>
    <w:qFormat/>
    <w:uiPriority w:val="0"/>
    <w:pPr>
      <w:tabs>
        <w:tab w:val="center" w:pos="4153"/>
        <w:tab w:val="right" w:pos="8306"/>
      </w:tabs>
      <w:snapToGrid w:val="0"/>
      <w:jc w:val="left"/>
    </w:pPr>
    <w:rPr>
      <w:sz w:val="18"/>
      <w:szCs w:val="18"/>
    </w:rPr>
  </w:style>
  <w:style w:type="paragraph" w:styleId="2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0"/>
    <w:pPr>
      <w:tabs>
        <w:tab w:val="right" w:leader="dot" w:pos="8494"/>
      </w:tabs>
    </w:pPr>
    <w:rPr>
      <w:rFonts w:ascii="宋体" w:hAnsi="宋体"/>
      <w:sz w:val="32"/>
    </w:rPr>
  </w:style>
  <w:style w:type="paragraph" w:styleId="23">
    <w:name w:val="toc 4"/>
    <w:next w:val="1"/>
    <w:qFormat/>
    <w:uiPriority w:val="0"/>
    <w:pPr>
      <w:widowControl w:val="0"/>
      <w:tabs>
        <w:tab w:val="left" w:pos="1890"/>
        <w:tab w:val="right" w:leader="dot" w:pos="8296"/>
      </w:tabs>
      <w:ind w:left="630" w:leftChars="300"/>
      <w:jc w:val="both"/>
    </w:pPr>
    <w:rPr>
      <w:rFonts w:ascii="Calibri" w:hAnsi="Calibri" w:eastAsia="宋体" w:cs="Times New Roman"/>
      <w:kern w:val="2"/>
      <w:sz w:val="21"/>
      <w:szCs w:val="22"/>
      <w:lang w:val="en-US" w:eastAsia="zh-CN" w:bidi="ar-SA"/>
    </w:rPr>
  </w:style>
  <w:style w:type="paragraph" w:styleId="24">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5">
    <w:name w:val="toc 6"/>
    <w:basedOn w:val="1"/>
    <w:next w:val="1"/>
    <w:qFormat/>
    <w:uiPriority w:val="0"/>
    <w:pPr>
      <w:spacing w:line="360" w:lineRule="auto"/>
      <w:ind w:left="1200" w:firstLine="200" w:firstLineChars="200"/>
      <w:jc w:val="left"/>
    </w:pPr>
    <w:rPr>
      <w:rFonts w:ascii="Calibri" w:hAnsi="Calibri" w:cs="Calibri"/>
      <w:sz w:val="18"/>
      <w:szCs w:val="18"/>
    </w:rPr>
  </w:style>
  <w:style w:type="paragraph" w:styleId="26">
    <w:name w:val="Body Text Indent 3"/>
    <w:basedOn w:val="1"/>
    <w:qFormat/>
    <w:uiPriority w:val="0"/>
    <w:pPr>
      <w:snapToGrid w:val="0"/>
      <w:ind w:firstLine="480" w:firstLineChars="200"/>
      <w:jc w:val="left"/>
    </w:pPr>
    <w:rPr>
      <w:rFonts w:ascii="仿宋_GB2312" w:hAnsi="宋体" w:eastAsia="仿宋_GB2312" w:cs="Times New Roman"/>
      <w:color w:val="000000"/>
      <w:sz w:val="24"/>
    </w:rPr>
  </w:style>
  <w:style w:type="paragraph" w:styleId="27">
    <w:name w:val="Normal (Web)"/>
    <w:basedOn w:val="1"/>
    <w:next w:val="1"/>
    <w:qFormat/>
    <w:uiPriority w:val="0"/>
    <w:pPr>
      <w:spacing w:beforeAutospacing="1" w:afterAutospacing="1"/>
      <w:jc w:val="left"/>
    </w:pPr>
    <w:rPr>
      <w:rFonts w:cs="Times New Roman"/>
      <w:kern w:val="0"/>
      <w:sz w:val="24"/>
    </w:rPr>
  </w:style>
  <w:style w:type="paragraph" w:styleId="28">
    <w:name w:val="Title"/>
    <w:basedOn w:val="1"/>
    <w:next w:val="1"/>
    <w:qFormat/>
    <w:uiPriority w:val="0"/>
    <w:pPr>
      <w:spacing w:before="240" w:after="60"/>
      <w:jc w:val="center"/>
      <w:outlineLvl w:val="0"/>
    </w:pPr>
    <w:rPr>
      <w:rFonts w:ascii="Cambria" w:hAnsi="Cambria"/>
      <w:b/>
      <w:bCs/>
      <w:sz w:val="32"/>
      <w:szCs w:val="32"/>
    </w:rPr>
  </w:style>
  <w:style w:type="paragraph" w:styleId="29">
    <w:name w:val="annotation subject"/>
    <w:basedOn w:val="10"/>
    <w:next w:val="10"/>
    <w:link w:val="44"/>
    <w:qFormat/>
    <w:uiPriority w:val="0"/>
    <w:pPr>
      <w:spacing w:line="240" w:lineRule="auto"/>
      <w:ind w:firstLine="0" w:firstLineChars="0"/>
    </w:pPr>
    <w:rPr>
      <w:rFonts w:asciiTheme="minorHAnsi" w:hAnsiTheme="minorHAnsi"/>
      <w:b/>
      <w:bCs/>
    </w:rPr>
  </w:style>
  <w:style w:type="table" w:styleId="31">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33">
    <w:name w:val="Strong"/>
    <w:qFormat/>
    <w:uiPriority w:val="0"/>
    <w:rPr>
      <w:b/>
      <w:bCs/>
    </w:rPr>
  </w:style>
  <w:style w:type="character" w:styleId="34">
    <w:name w:val="page number"/>
    <w:basedOn w:val="32"/>
    <w:qFormat/>
    <w:uiPriority w:val="0"/>
  </w:style>
  <w:style w:type="character" w:styleId="35">
    <w:name w:val="Hyperlink"/>
    <w:qFormat/>
    <w:uiPriority w:val="0"/>
    <w:rPr>
      <w:color w:val="0000FF"/>
      <w:u w:val="single"/>
    </w:rPr>
  </w:style>
  <w:style w:type="character" w:styleId="36">
    <w:name w:val="annotation reference"/>
    <w:basedOn w:val="32"/>
    <w:qFormat/>
    <w:uiPriority w:val="0"/>
    <w:rPr>
      <w:sz w:val="21"/>
      <w:szCs w:val="21"/>
    </w:rPr>
  </w:style>
  <w:style w:type="paragraph" w:customStyle="1" w:styleId="37">
    <w:name w:val="Body Text First Indent 21"/>
    <w:qFormat/>
    <w:uiPriority w:val="0"/>
    <w:pPr>
      <w:widowControl w:val="0"/>
      <w:spacing w:after="120" w:afterLines="0" w:line="240" w:lineRule="auto"/>
      <w:ind w:left="420" w:leftChars="200" w:firstLine="420"/>
      <w:jc w:val="both"/>
    </w:pPr>
    <w:rPr>
      <w:rFonts w:ascii="Times New Roman" w:hAnsi="Times New Roman" w:eastAsia="宋体" w:cs="宋体"/>
      <w:color w:val="000000"/>
      <w:kern w:val="2"/>
      <w:sz w:val="21"/>
      <w:szCs w:val="21"/>
      <w:lang w:val="en-US" w:eastAsia="zh-CN" w:bidi="ar-SA"/>
    </w:rPr>
  </w:style>
  <w:style w:type="paragraph" w:customStyle="1" w:styleId="38">
    <w:name w:val="章正文"/>
    <w:qFormat/>
    <w:locked/>
    <w:uiPriority w:val="99"/>
    <w:pPr>
      <w:widowControl w:val="0"/>
      <w:spacing w:beforeLines="50" w:after="120" w:line="300" w:lineRule="auto"/>
      <w:ind w:firstLine="480"/>
      <w:jc w:val="both"/>
    </w:pPr>
    <w:rPr>
      <w:rFonts w:ascii="Helvetica" w:hAnsi="Helvetica" w:eastAsia="宋体" w:cs="Times New Roman"/>
      <w:sz w:val="21"/>
      <w:szCs w:val="24"/>
      <w:lang w:val="en-US" w:eastAsia="zh-CN" w:bidi="ar-SA"/>
    </w:rPr>
  </w:style>
  <w:style w:type="paragraph" w:customStyle="1" w:styleId="39">
    <w:name w:val="密级编号"/>
    <w:next w:val="9"/>
    <w:qFormat/>
    <w:uiPriority w:val="0"/>
    <w:pPr>
      <w:widowControl w:val="0"/>
      <w:jc w:val="center"/>
    </w:pPr>
    <w:rPr>
      <w:rFonts w:ascii="仿宋_GB2312" w:hAnsi="Times New Roman" w:eastAsia="仿宋_GB2312" w:cs="Times New Roman"/>
      <w:kern w:val="2"/>
      <w:sz w:val="24"/>
      <w:szCs w:val="24"/>
      <w:lang w:val="en-US" w:eastAsia="zh-CN" w:bidi="ar-SA"/>
    </w:rPr>
  </w:style>
  <w:style w:type="paragraph" w:customStyle="1" w:styleId="40">
    <w:name w:val="首行缩进"/>
    <w:qFormat/>
    <w:uiPriority w:val="0"/>
    <w:pPr>
      <w:widowControl w:val="0"/>
      <w:spacing w:line="360" w:lineRule="auto"/>
      <w:ind w:firstLine="480" w:firstLineChars="200"/>
      <w:jc w:val="both"/>
    </w:pPr>
    <w:rPr>
      <w:rFonts w:ascii="宋体" w:hAnsi="宋体" w:eastAsia="宋体" w:cs="宋体"/>
      <w:sz w:val="24"/>
      <w:szCs w:val="22"/>
      <w:lang w:val="en-US" w:eastAsia="zh-CN" w:bidi="ar-SA"/>
    </w:rPr>
  </w:style>
  <w:style w:type="paragraph" w:customStyle="1" w:styleId="41">
    <w:name w:val="_Style 5"/>
    <w:basedOn w:val="3"/>
    <w:next w:val="1"/>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character" w:customStyle="1" w:styleId="42">
    <w:name w:val="批注框文本 字符"/>
    <w:basedOn w:val="32"/>
    <w:link w:val="19"/>
    <w:qFormat/>
    <w:uiPriority w:val="0"/>
    <w:rPr>
      <w:kern w:val="2"/>
      <w:sz w:val="18"/>
      <w:szCs w:val="18"/>
    </w:rPr>
  </w:style>
  <w:style w:type="character" w:customStyle="1" w:styleId="43">
    <w:name w:val="批注文字 字符"/>
    <w:basedOn w:val="32"/>
    <w:link w:val="10"/>
    <w:qFormat/>
    <w:uiPriority w:val="0"/>
    <w:rPr>
      <w:rFonts w:ascii="Times New Roman" w:hAnsi="Times New Roman"/>
      <w:kern w:val="2"/>
      <w:sz w:val="21"/>
      <w:szCs w:val="24"/>
    </w:rPr>
  </w:style>
  <w:style w:type="character" w:customStyle="1" w:styleId="44">
    <w:name w:val="批注主题 字符"/>
    <w:basedOn w:val="43"/>
    <w:link w:val="29"/>
    <w:qFormat/>
    <w:uiPriority w:val="0"/>
    <w:rPr>
      <w:rFonts w:ascii="Times New Roman" w:hAnsi="Times New Roman"/>
      <w:b/>
      <w:bCs/>
      <w:kern w:val="2"/>
      <w:sz w:val="21"/>
      <w:szCs w:val="24"/>
    </w:rPr>
  </w:style>
  <w:style w:type="paragraph" w:styleId="45">
    <w:name w:val="List Paragraph"/>
    <w:basedOn w:val="1"/>
    <w:link w:val="46"/>
    <w:qFormat/>
    <w:uiPriority w:val="34"/>
    <w:pPr>
      <w:ind w:firstLine="420" w:firstLineChars="200"/>
    </w:pPr>
  </w:style>
  <w:style w:type="character" w:customStyle="1" w:styleId="46">
    <w:name w:val="列表段落 字符"/>
    <w:link w:val="45"/>
    <w:qFormat/>
    <w:uiPriority w:val="34"/>
    <w:rPr>
      <w:rFonts w:asciiTheme="minorHAnsi" w:hAnsiTheme="minorHAnsi" w:eastAsiaTheme="minorEastAsia" w:cstheme="minorBidi"/>
      <w:kern w:val="2"/>
      <w:sz w:val="21"/>
      <w:szCs w:val="24"/>
    </w:rPr>
  </w:style>
  <w:style w:type="paragraph" w:customStyle="1" w:styleId="47">
    <w:name w:val="_Style 6"/>
    <w:next w:val="1"/>
    <w:qFormat/>
    <w:uiPriority w:val="0"/>
    <w:pPr>
      <w:keepNext/>
      <w:keepLines/>
      <w:widowControl w:val="0"/>
      <w:spacing w:before="340" w:after="330" w:line="576" w:lineRule="auto"/>
      <w:jc w:val="both"/>
    </w:pPr>
    <w:rPr>
      <w:rFonts w:ascii="Calibri" w:hAnsi="Calibri" w:eastAsia="宋体" w:cs="Times New Roman"/>
      <w:b/>
      <w:bCs/>
      <w:kern w:val="44"/>
      <w:sz w:val="44"/>
      <w:szCs w:val="44"/>
      <w:lang w:val="en-US" w:eastAsia="zh-CN" w:bidi="ar-SA"/>
    </w:rPr>
  </w:style>
  <w:style w:type="paragraph" w:customStyle="1" w:styleId="48">
    <w:name w:val="WPSOffice手动目录 1"/>
    <w:qFormat/>
    <w:uiPriority w:val="0"/>
    <w:rPr>
      <w:rFonts w:ascii="Times New Roman" w:hAnsi="Times New Roman" w:eastAsia="宋体" w:cs="Times New Roman"/>
      <w:lang w:val="en-US" w:eastAsia="zh-CN" w:bidi="ar-SA"/>
    </w:rPr>
  </w:style>
  <w:style w:type="paragraph" w:customStyle="1" w:styleId="49">
    <w:name w:val="正文2"/>
    <w:qFormat/>
    <w:uiPriority w:val="0"/>
    <w:pPr>
      <w:widowControl w:val="0"/>
      <w:spacing w:before="156" w:line="360" w:lineRule="auto"/>
      <w:ind w:firstLine="200" w:firstLineChars="200"/>
      <w:jc w:val="both"/>
    </w:pPr>
    <w:rPr>
      <w:rFonts w:ascii="Times New Roman" w:hAnsi="Times New Roman" w:eastAsia="??" w:cs="Times New Roman"/>
      <w:kern w:val="2"/>
      <w:sz w:val="24"/>
      <w:szCs w:val="28"/>
      <w:lang w:val="en-US" w:eastAsia="zh-CN" w:bidi="ar-SA"/>
    </w:rPr>
  </w:style>
  <w:style w:type="paragraph" w:customStyle="1" w:styleId="50">
    <w:name w:val="pa-122"/>
    <w:qFormat/>
    <w:uiPriority w:val="0"/>
    <w:pPr>
      <w:spacing w:before="150" w:after="150"/>
    </w:pPr>
    <w:rPr>
      <w:rFonts w:ascii="宋体" w:hAnsi="宋体" w:eastAsia="宋体" w:cs="宋体"/>
      <w:sz w:val="24"/>
      <w:szCs w:val="24"/>
      <w:lang w:val="en-US" w:eastAsia="zh-CN" w:bidi="ar-SA"/>
    </w:rPr>
  </w:style>
  <w:style w:type="character" w:customStyle="1" w:styleId="51">
    <w:name w:val="ca-4"/>
    <w:qFormat/>
    <w:uiPriority w:val="0"/>
  </w:style>
  <w:style w:type="paragraph" w:customStyle="1" w:styleId="52">
    <w:name w:val="pa-123"/>
    <w:qFormat/>
    <w:uiPriority w:val="0"/>
    <w:pPr>
      <w:spacing w:before="150" w:after="150"/>
    </w:pPr>
    <w:rPr>
      <w:rFonts w:ascii="宋体" w:hAnsi="宋体" w:eastAsia="宋体" w:cs="宋体"/>
      <w:sz w:val="24"/>
      <w:szCs w:val="24"/>
      <w:lang w:val="en-US" w:eastAsia="zh-CN" w:bidi="ar-SA"/>
    </w:rPr>
  </w:style>
  <w:style w:type="paragraph" w:customStyle="1" w:styleId="53">
    <w:name w:val="表格文字"/>
    <w:next w:val="11"/>
    <w:qFormat/>
    <w:uiPriority w:val="0"/>
    <w:pPr>
      <w:widowControl w:val="0"/>
      <w:spacing w:before="25" w:after="25"/>
    </w:pPr>
    <w:rPr>
      <w:rFonts w:ascii="Times New Roman" w:hAnsi="Times New Roman" w:eastAsia="宋体" w:cs="Times New Roman"/>
      <w:bCs/>
      <w:spacing w:val="10"/>
      <w:sz w:val="24"/>
      <w:lang w:val="en-US" w:eastAsia="zh-CN" w:bidi="ar-SA"/>
    </w:rPr>
  </w:style>
  <w:style w:type="character" w:customStyle="1" w:styleId="54">
    <w:name w:val="ptb181"/>
    <w:qFormat/>
    <w:uiPriority w:val="0"/>
    <w:rPr>
      <w:rFonts w:hint="default" w:ascii="Verdana" w:hAnsi="Verdana"/>
      <w:b/>
      <w:bCs/>
      <w:color w:val="000000"/>
      <w:sz w:val="26"/>
      <w:szCs w:val="26"/>
    </w:rPr>
  </w:style>
  <w:style w:type="paragraph" w:customStyle="1" w:styleId="55">
    <w:name w:val="Blockquote"/>
    <w:qFormat/>
    <w:uiPriority w:val="0"/>
    <w:pPr>
      <w:spacing w:before="100" w:after="156" w:afterLines="50"/>
      <w:ind w:left="360" w:right="360"/>
    </w:pPr>
    <w:rPr>
      <w:rFonts w:ascii="宋体" w:hAnsi="Times New Roman" w:eastAsia="宋体" w:cs="Times New Roman"/>
      <w:snapToGrid w:val="0"/>
      <w:sz w:val="24"/>
      <w:lang w:val="en-CA" w:eastAsia="zh-CN" w:bidi="ar-SA"/>
    </w:rPr>
  </w:style>
  <w:style w:type="paragraph" w:customStyle="1" w:styleId="56">
    <w:name w:val="列出段落3"/>
    <w:qFormat/>
    <w:uiPriority w:val="99"/>
    <w:pPr>
      <w:widowControl w:val="0"/>
      <w:ind w:firstLine="200" w:firstLineChars="200"/>
      <w:jc w:val="both"/>
    </w:pPr>
    <w:rPr>
      <w:rFonts w:ascii="Times New Roman" w:hAnsi="Times New Roman" w:eastAsia="宋体" w:cs="Times New Roman"/>
      <w:kern w:val="2"/>
      <w:sz w:val="21"/>
      <w:szCs w:val="22"/>
      <w:lang w:val="en-US" w:eastAsia="zh-CN" w:bidi="ar-SA"/>
    </w:rPr>
  </w:style>
  <w:style w:type="paragraph" w:customStyle="1" w:styleId="57">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58">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Table Paragraph"/>
    <w:basedOn w:val="1"/>
    <w:unhideWhenUsed/>
    <w:qFormat/>
    <w:uiPriority w:val="1"/>
    <w:rPr>
      <w:rFonts w:hint="eastAsia" w:ascii="Times New Roman" w:hAnsi="Times New Roman" w:eastAsia="宋体" w:cs="Times New Roman"/>
      <w:sz w:val="24"/>
      <w:szCs w:val="22"/>
    </w:rPr>
  </w:style>
  <w:style w:type="character" w:customStyle="1" w:styleId="60">
    <w:name w:val="NormalCharacter"/>
    <w:qFormat/>
    <w:uiPriority w:val="0"/>
    <w:rPr>
      <w:rFonts w:ascii="Times New Roman" w:hAnsi="Times New Roman" w:eastAsia="宋体"/>
      <w:lang w:val="en-US"/>
    </w:rPr>
  </w:style>
  <w:style w:type="paragraph" w:customStyle="1" w:styleId="61">
    <w:name w:val="Body Text Indent"/>
    <w:next w:val="1"/>
    <w:qFormat/>
    <w:uiPriority w:val="0"/>
    <w:pPr>
      <w:widowControl w:val="0"/>
      <w:spacing w:after="120" w:afterLines="0"/>
      <w:ind w:left="420" w:leftChars="200"/>
      <w:jc w:val="both"/>
    </w:pPr>
    <w:rPr>
      <w:rFonts w:ascii="Times New Roman" w:hAnsi="Times New Roman" w:eastAsia="宋体" w:cs="Times New Roman"/>
      <w:color w:val="000000"/>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E94A71-2B10-4166-8F1C-AF22553E08A9}">
  <ds:schemaRefs/>
</ds:datastoreItem>
</file>

<file path=docProps/app.xml><?xml version="1.0" encoding="utf-8"?>
<Properties xmlns="http://schemas.openxmlformats.org/officeDocument/2006/extended-properties" xmlns:vt="http://schemas.openxmlformats.org/officeDocument/2006/docPropsVTypes">
  <Template>Normal</Template>
  <Pages>65</Pages>
  <Words>35435</Words>
  <Characters>37075</Characters>
  <Lines>303</Lines>
  <Paragraphs>85</Paragraphs>
  <TotalTime>2</TotalTime>
  <ScaleCrop>false</ScaleCrop>
  <LinksUpToDate>false</LinksUpToDate>
  <CharactersWithSpaces>41139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2022-02-14T03:50:00Z</dcterms:created>
  <dc:creator>Administrator</dc:creator>
  <cp:lastModifiedBy>Pisces</cp:lastModifiedBy>
  <dcterms:modified xsi:type="dcterms:W3CDTF">2022-07-28T08:42:50Z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A594A50536A84A8D9FAFE9F15D2DA825</vt:lpwstr>
  </property>
</Properties>
</file>