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color w:val="auto"/>
          <w:sz w:val="48"/>
          <w:szCs w:val="48"/>
          <w:highlight w:val="none"/>
          <w:u w:val="none"/>
        </w:rPr>
      </w:pPr>
      <w:r>
        <w:rPr>
          <w:rFonts w:hint="eastAsia" w:ascii="宋体" w:hAnsi="宋体"/>
          <w:color w:val="auto"/>
          <w:sz w:val="52"/>
          <w:szCs w:val="52"/>
          <w:highlight w:val="none"/>
          <w:u w:val="none"/>
          <w:lang w:eastAsia="zh-CN"/>
        </w:rPr>
        <w:t>宁波市</w:t>
      </w:r>
      <w:r>
        <w:rPr>
          <w:rFonts w:hint="eastAsia" w:ascii="宋体" w:hAnsi="宋体"/>
          <w:color w:val="auto"/>
          <w:sz w:val="52"/>
          <w:szCs w:val="52"/>
          <w:highlight w:val="none"/>
          <w:u w:val="none"/>
        </w:rPr>
        <w:t>奉化</w:t>
      </w:r>
      <w:r>
        <w:rPr>
          <w:rFonts w:hint="eastAsia" w:ascii="宋体" w:hAnsi="宋体"/>
          <w:color w:val="auto"/>
          <w:sz w:val="52"/>
          <w:szCs w:val="52"/>
          <w:highlight w:val="none"/>
          <w:u w:val="none"/>
          <w:lang w:eastAsia="zh-CN"/>
        </w:rPr>
        <w:t>区</w:t>
      </w:r>
      <w:r>
        <w:rPr>
          <w:rFonts w:hint="eastAsia" w:ascii="宋体" w:hAnsi="宋体"/>
          <w:color w:val="auto"/>
          <w:sz w:val="52"/>
          <w:szCs w:val="52"/>
          <w:highlight w:val="none"/>
          <w:u w:val="none"/>
        </w:rPr>
        <w:t>住房管理和保障中心房屋质量查勘、检测、鉴定等服务入围招标项目</w:t>
      </w: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sz w:val="72"/>
          <w:szCs w:val="72"/>
          <w:highlight w:val="none"/>
          <w:u w:val="none"/>
        </w:rPr>
      </w:pP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sz w:val="72"/>
          <w:szCs w:val="72"/>
          <w:highlight w:val="none"/>
          <w:u w:val="none"/>
        </w:rPr>
      </w:pPr>
    </w:p>
    <w:p>
      <w:pPr>
        <w:keepNext w:val="0"/>
        <w:keepLines w:val="0"/>
        <w:pageBreakBefore w:val="0"/>
        <w:widowControl w:val="0"/>
        <w:kinsoku/>
        <w:wordWrap/>
        <w:overflowPunct/>
        <w:topLinePunct w:val="0"/>
        <w:autoSpaceDE/>
        <w:autoSpaceDN/>
        <w:bidi w:val="0"/>
        <w:adjustRightInd/>
        <w:spacing w:line="360" w:lineRule="auto"/>
        <w:ind w:firstLine="3600" w:firstLineChars="500"/>
        <w:textAlignment w:val="auto"/>
        <w:outlineLvl w:val="9"/>
        <w:rPr>
          <w:rFonts w:hint="eastAsia" w:ascii="宋体" w:hAnsi="宋体"/>
          <w:color w:val="auto"/>
          <w:sz w:val="72"/>
          <w:szCs w:val="72"/>
          <w:highlight w:val="none"/>
          <w:u w:val="none"/>
          <w:lang w:eastAsia="zh-CN"/>
        </w:rPr>
      </w:pPr>
      <w:r>
        <w:rPr>
          <w:rFonts w:hint="eastAsia" w:ascii="宋体" w:hAnsi="宋体"/>
          <w:color w:val="auto"/>
          <w:sz w:val="72"/>
          <w:szCs w:val="72"/>
          <w:highlight w:val="none"/>
          <w:u w:val="none"/>
          <w:lang w:eastAsia="zh-CN"/>
        </w:rPr>
        <w:t>服</w:t>
      </w:r>
    </w:p>
    <w:p>
      <w:pPr>
        <w:keepNext w:val="0"/>
        <w:keepLines w:val="0"/>
        <w:pageBreakBefore w:val="0"/>
        <w:widowControl w:val="0"/>
        <w:kinsoku/>
        <w:wordWrap/>
        <w:overflowPunct/>
        <w:topLinePunct w:val="0"/>
        <w:autoSpaceDE/>
        <w:autoSpaceDN/>
        <w:bidi w:val="0"/>
        <w:adjustRightInd/>
        <w:spacing w:line="360" w:lineRule="auto"/>
        <w:ind w:firstLine="3600" w:firstLineChars="500"/>
        <w:textAlignment w:val="auto"/>
        <w:outlineLvl w:val="9"/>
        <w:rPr>
          <w:rFonts w:hint="eastAsia" w:ascii="宋体" w:hAnsi="宋体"/>
          <w:color w:val="auto"/>
          <w:sz w:val="72"/>
          <w:szCs w:val="72"/>
          <w:highlight w:val="none"/>
          <w:u w:val="none"/>
          <w:lang w:eastAsia="zh-CN"/>
        </w:rPr>
      </w:pPr>
    </w:p>
    <w:p>
      <w:pPr>
        <w:keepNext w:val="0"/>
        <w:keepLines w:val="0"/>
        <w:pageBreakBefore w:val="0"/>
        <w:widowControl w:val="0"/>
        <w:kinsoku/>
        <w:wordWrap/>
        <w:overflowPunct/>
        <w:topLinePunct w:val="0"/>
        <w:autoSpaceDE/>
        <w:autoSpaceDN/>
        <w:bidi w:val="0"/>
        <w:adjustRightInd/>
        <w:spacing w:line="360" w:lineRule="auto"/>
        <w:ind w:firstLine="3600" w:firstLineChars="500"/>
        <w:textAlignment w:val="auto"/>
        <w:outlineLvl w:val="9"/>
        <w:rPr>
          <w:rFonts w:hint="eastAsia" w:ascii="宋体" w:hAnsi="宋体"/>
          <w:color w:val="auto"/>
          <w:sz w:val="72"/>
          <w:szCs w:val="72"/>
          <w:highlight w:val="none"/>
          <w:u w:val="none"/>
          <w:lang w:eastAsia="zh-CN"/>
        </w:rPr>
      </w:pPr>
      <w:r>
        <w:rPr>
          <w:rFonts w:hint="eastAsia" w:ascii="宋体" w:hAnsi="宋体"/>
          <w:color w:val="auto"/>
          <w:sz w:val="72"/>
          <w:szCs w:val="72"/>
          <w:highlight w:val="none"/>
          <w:u w:val="none"/>
          <w:lang w:eastAsia="zh-CN"/>
        </w:rPr>
        <w:t>务</w:t>
      </w:r>
    </w:p>
    <w:p>
      <w:pPr>
        <w:keepNext w:val="0"/>
        <w:keepLines w:val="0"/>
        <w:pageBreakBefore w:val="0"/>
        <w:widowControl w:val="0"/>
        <w:kinsoku/>
        <w:wordWrap/>
        <w:overflowPunct/>
        <w:topLinePunct w:val="0"/>
        <w:autoSpaceDE/>
        <w:autoSpaceDN/>
        <w:bidi w:val="0"/>
        <w:adjustRightInd/>
        <w:spacing w:line="360" w:lineRule="auto"/>
        <w:ind w:firstLine="3600" w:firstLineChars="500"/>
        <w:textAlignment w:val="auto"/>
        <w:outlineLvl w:val="9"/>
        <w:rPr>
          <w:rFonts w:hint="eastAsia" w:ascii="宋体" w:hAnsi="宋体"/>
          <w:color w:val="auto"/>
          <w:sz w:val="72"/>
          <w:szCs w:val="72"/>
          <w:highlight w:val="none"/>
          <w:u w:val="none"/>
          <w:lang w:eastAsia="zh-CN"/>
        </w:rPr>
      </w:pPr>
    </w:p>
    <w:p>
      <w:pPr>
        <w:keepNext w:val="0"/>
        <w:keepLines w:val="0"/>
        <w:pageBreakBefore w:val="0"/>
        <w:widowControl w:val="0"/>
        <w:kinsoku/>
        <w:wordWrap/>
        <w:overflowPunct/>
        <w:topLinePunct w:val="0"/>
        <w:autoSpaceDE/>
        <w:autoSpaceDN/>
        <w:bidi w:val="0"/>
        <w:adjustRightInd/>
        <w:spacing w:line="360" w:lineRule="auto"/>
        <w:ind w:firstLine="3600" w:firstLineChars="500"/>
        <w:textAlignment w:val="auto"/>
        <w:outlineLvl w:val="9"/>
        <w:rPr>
          <w:rFonts w:hint="eastAsia" w:ascii="宋体" w:hAnsi="宋体"/>
          <w:color w:val="auto"/>
          <w:sz w:val="72"/>
          <w:szCs w:val="72"/>
          <w:highlight w:val="none"/>
          <w:u w:val="none"/>
          <w:lang w:eastAsia="zh-CN"/>
        </w:rPr>
      </w:pPr>
      <w:r>
        <w:rPr>
          <w:rFonts w:hint="eastAsia" w:ascii="宋体" w:hAnsi="宋体"/>
          <w:color w:val="auto"/>
          <w:sz w:val="72"/>
          <w:szCs w:val="72"/>
          <w:highlight w:val="none"/>
          <w:u w:val="none"/>
          <w:lang w:eastAsia="zh-CN"/>
        </w:rPr>
        <w:t>合</w:t>
      </w:r>
    </w:p>
    <w:p>
      <w:pPr>
        <w:keepNext w:val="0"/>
        <w:keepLines w:val="0"/>
        <w:pageBreakBefore w:val="0"/>
        <w:widowControl w:val="0"/>
        <w:kinsoku/>
        <w:wordWrap/>
        <w:overflowPunct/>
        <w:topLinePunct w:val="0"/>
        <w:autoSpaceDE/>
        <w:autoSpaceDN/>
        <w:bidi w:val="0"/>
        <w:adjustRightInd/>
        <w:spacing w:line="360" w:lineRule="auto"/>
        <w:ind w:firstLine="3600" w:firstLineChars="500"/>
        <w:textAlignment w:val="auto"/>
        <w:outlineLvl w:val="9"/>
        <w:rPr>
          <w:rFonts w:hint="eastAsia" w:ascii="宋体" w:hAnsi="宋体"/>
          <w:color w:val="auto"/>
          <w:sz w:val="72"/>
          <w:szCs w:val="72"/>
          <w:highlight w:val="none"/>
          <w:u w:val="none"/>
          <w:lang w:eastAsia="zh-CN"/>
        </w:rPr>
      </w:pPr>
    </w:p>
    <w:p>
      <w:pPr>
        <w:keepNext w:val="0"/>
        <w:keepLines w:val="0"/>
        <w:pageBreakBefore w:val="0"/>
        <w:widowControl w:val="0"/>
        <w:kinsoku/>
        <w:wordWrap/>
        <w:overflowPunct/>
        <w:topLinePunct w:val="0"/>
        <w:autoSpaceDE/>
        <w:autoSpaceDN/>
        <w:bidi w:val="0"/>
        <w:adjustRightInd/>
        <w:spacing w:line="360" w:lineRule="auto"/>
        <w:ind w:firstLine="3600" w:firstLineChars="500"/>
        <w:textAlignment w:val="auto"/>
        <w:outlineLvl w:val="9"/>
        <w:rPr>
          <w:rFonts w:hint="eastAsia" w:ascii="宋体" w:hAnsi="宋体" w:eastAsia="宋体"/>
          <w:color w:val="auto"/>
          <w:sz w:val="72"/>
          <w:szCs w:val="72"/>
          <w:highlight w:val="none"/>
          <w:u w:val="none"/>
          <w:lang w:eastAsia="zh-CN"/>
        </w:rPr>
      </w:pPr>
      <w:r>
        <w:rPr>
          <w:rFonts w:hint="eastAsia" w:ascii="宋体" w:hAnsi="宋体"/>
          <w:color w:val="auto"/>
          <w:sz w:val="72"/>
          <w:szCs w:val="72"/>
          <w:highlight w:val="none"/>
          <w:u w:val="none"/>
          <w:lang w:eastAsia="zh-CN"/>
        </w:rPr>
        <w:t>同</w:t>
      </w: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highlight w:val="none"/>
          <w:u w:val="single"/>
        </w:rPr>
      </w:pP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highlight w:val="none"/>
          <w:u w:val="single"/>
        </w:rPr>
      </w:pP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highlight w:val="none"/>
          <w:u w:val="single"/>
        </w:rPr>
      </w:pPr>
    </w:p>
    <w:p>
      <w:pPr>
        <w:keepNext w:val="0"/>
        <w:keepLines w:val="0"/>
        <w:pageBreakBefore w:val="0"/>
        <w:widowControl w:val="0"/>
        <w:kinsoku/>
        <w:wordWrap/>
        <w:overflowPunct/>
        <w:topLinePunct w:val="0"/>
        <w:autoSpaceDE/>
        <w:autoSpaceDN/>
        <w:bidi w:val="0"/>
        <w:adjustRightInd/>
        <w:spacing w:line="400" w:lineRule="exact"/>
        <w:ind w:firstLine="360" w:firstLineChars="100"/>
        <w:textAlignment w:val="auto"/>
        <w:outlineLvl w:val="9"/>
        <w:rPr>
          <w:rFonts w:hint="eastAsia" w:ascii="宋体" w:hAnsi="宋体"/>
          <w:color w:val="auto"/>
          <w:sz w:val="36"/>
          <w:szCs w:val="36"/>
          <w:highlight w:val="none"/>
          <w:u w:val="none"/>
          <w:lang w:eastAsia="zh-CN"/>
        </w:rPr>
      </w:pPr>
      <w:r>
        <w:rPr>
          <w:rFonts w:hint="eastAsia" w:ascii="宋体" w:hAnsi="宋体"/>
          <w:color w:val="auto"/>
          <w:sz w:val="36"/>
          <w:szCs w:val="36"/>
          <w:highlight w:val="none"/>
          <w:u w:val="none"/>
          <w:lang w:eastAsia="zh-CN"/>
        </w:rPr>
        <w:t>甲方：宁波市奉化区住房管理和保障中心</w:t>
      </w: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sz w:val="36"/>
          <w:szCs w:val="36"/>
          <w:highlight w:val="none"/>
          <w:u w:val="none"/>
          <w:lang w:eastAsia="zh-CN"/>
        </w:rPr>
      </w:pPr>
    </w:p>
    <w:p>
      <w:pPr>
        <w:keepNext w:val="0"/>
        <w:keepLines w:val="0"/>
        <w:pageBreakBefore w:val="0"/>
        <w:widowControl w:val="0"/>
        <w:kinsoku/>
        <w:wordWrap/>
        <w:overflowPunct/>
        <w:topLinePunct w:val="0"/>
        <w:autoSpaceDE/>
        <w:autoSpaceDN/>
        <w:bidi w:val="0"/>
        <w:adjustRightInd/>
        <w:spacing w:line="400" w:lineRule="exact"/>
        <w:ind w:firstLine="360" w:firstLineChars="100"/>
        <w:textAlignment w:val="auto"/>
        <w:outlineLvl w:val="9"/>
        <w:rPr>
          <w:rFonts w:hint="eastAsia" w:ascii="宋体" w:hAnsi="宋体"/>
          <w:color w:val="auto"/>
          <w:sz w:val="36"/>
          <w:szCs w:val="36"/>
          <w:highlight w:val="none"/>
          <w:u w:val="none"/>
          <w:lang w:eastAsia="zh-CN"/>
        </w:rPr>
      </w:pPr>
      <w:r>
        <w:rPr>
          <w:rFonts w:hint="eastAsia" w:ascii="宋体" w:hAnsi="宋体"/>
          <w:color w:val="auto"/>
          <w:sz w:val="36"/>
          <w:szCs w:val="36"/>
          <w:highlight w:val="none"/>
          <w:u w:val="none"/>
          <w:lang w:eastAsia="zh-CN"/>
        </w:rPr>
        <w:t>乙方：</w:t>
      </w: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highlight w:val="none"/>
          <w:u w:val="none"/>
        </w:rPr>
      </w:pP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highlight w:val="none"/>
          <w:u w:val="single"/>
        </w:rPr>
      </w:pP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highlight w:val="none"/>
          <w:u w:val="single"/>
        </w:rPr>
      </w:pP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highlight w:val="none"/>
          <w:u w:val="single"/>
        </w:rPr>
      </w:pP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olor w:val="auto"/>
          <w:highlight w:val="none"/>
          <w:u w:val="single"/>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ascii="宋体" w:hAnsi="宋体"/>
          <w:b/>
          <w:color w:val="auto"/>
          <w:sz w:val="24"/>
          <w:szCs w:val="24"/>
          <w:highlight w:val="none"/>
        </w:rPr>
      </w:pPr>
      <w:r>
        <w:rPr>
          <w:rFonts w:hint="eastAsia" w:ascii="宋体" w:hAnsi="宋体"/>
          <w:b/>
          <w:color w:val="auto"/>
          <w:sz w:val="24"/>
          <w:szCs w:val="24"/>
          <w:highlight w:val="none"/>
        </w:rPr>
        <w:t>甲    方</w:t>
      </w:r>
      <w:r>
        <w:rPr>
          <w:rFonts w:hint="eastAsia" w:ascii="宋体" w:hAnsi="宋体" w:cs="宋体"/>
          <w:color w:val="auto"/>
          <w:sz w:val="24"/>
          <w:szCs w:val="24"/>
          <w:highlight w:val="none"/>
        </w:rPr>
        <w:t>（采购人）</w:t>
      </w:r>
      <w:r>
        <w:rPr>
          <w:rFonts w:hint="eastAsia" w:ascii="宋体" w:hAnsi="宋体"/>
          <w:b/>
          <w:color w:val="auto"/>
          <w:sz w:val="24"/>
          <w:szCs w:val="24"/>
          <w:highlight w:val="none"/>
        </w:rPr>
        <w:t>：</w:t>
      </w: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u w:val="single"/>
          <w:lang w:eastAsia="zh-CN"/>
        </w:rPr>
        <w:t>宁波市奉化区住房管理和保障中心</w:t>
      </w:r>
      <w:r>
        <w:rPr>
          <w:rFonts w:hint="eastAsia" w:ascii="宋体" w:hAnsi="宋体"/>
          <w:b/>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ascii="宋体" w:hAnsi="宋体"/>
          <w:b/>
          <w:color w:val="0000FF"/>
          <w:sz w:val="24"/>
          <w:szCs w:val="24"/>
          <w:highlight w:val="none"/>
        </w:rPr>
      </w:pPr>
      <w:r>
        <w:rPr>
          <w:rFonts w:hint="eastAsia" w:ascii="宋体" w:hAnsi="宋体"/>
          <w:color w:val="auto"/>
          <w:sz w:val="24"/>
          <w:szCs w:val="24"/>
          <w:highlight w:val="none"/>
        </w:rPr>
        <w:t xml:space="preserve">电    </w:t>
      </w:r>
      <w:r>
        <w:rPr>
          <w:rFonts w:hint="eastAsia" w:ascii="宋体" w:hAnsi="宋体" w:cs="宋体"/>
          <w:color w:val="auto"/>
          <w:sz w:val="24"/>
          <w:szCs w:val="24"/>
          <w:highlight w:val="none"/>
        </w:rPr>
        <w:t>话：</w:t>
      </w:r>
      <w:r>
        <w:rPr>
          <w:rFonts w:hint="eastAsia" w:ascii="宋体" w:hAnsi="宋体" w:cs="宋体"/>
          <w:color w:val="auto"/>
          <w:sz w:val="24"/>
          <w:szCs w:val="24"/>
          <w:highlight w:val="none"/>
          <w:lang w:val="en-US" w:eastAsia="zh-CN"/>
        </w:rPr>
        <w:t>0574-88687075</w:t>
      </w:r>
      <w:r>
        <w:rPr>
          <w:rFonts w:hint="eastAsia" w:ascii="宋体" w:hAnsi="宋体" w:cs="宋体"/>
          <w:color w:val="auto"/>
          <w:sz w:val="24"/>
          <w:szCs w:val="24"/>
          <w:highlight w:val="none"/>
        </w:rPr>
        <w:t xml:space="preserve">    传  真：      地  址：</w:t>
      </w:r>
      <w:r>
        <w:rPr>
          <w:rFonts w:hint="eastAsia" w:ascii="宋体" w:hAnsi="宋体" w:cs="宋体"/>
          <w:color w:val="auto"/>
          <w:sz w:val="24"/>
          <w:szCs w:val="24"/>
          <w:highlight w:val="none"/>
          <w:lang w:val="en-US" w:eastAsia="zh-CN"/>
        </w:rPr>
        <w:t>宁波市奉化区南山路168号</w:t>
      </w: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ascii="宋体" w:hAnsi="宋体" w:cs="宋体"/>
          <w:color w:val="auto"/>
          <w:sz w:val="24"/>
          <w:szCs w:val="24"/>
          <w:highlight w:val="none"/>
        </w:rPr>
      </w:pPr>
      <w:r>
        <w:rPr>
          <w:rFonts w:hint="eastAsia" w:ascii="宋体" w:hAnsi="宋体"/>
          <w:b/>
          <w:color w:val="0000FF"/>
          <w:sz w:val="24"/>
          <w:szCs w:val="24"/>
          <w:highlight w:val="none"/>
        </w:rPr>
        <w:t>乙    方</w:t>
      </w:r>
      <w:r>
        <w:rPr>
          <w:rFonts w:hint="eastAsia" w:ascii="宋体" w:hAnsi="宋体" w:cs="宋体"/>
          <w:color w:val="0000FF"/>
          <w:sz w:val="24"/>
          <w:szCs w:val="24"/>
          <w:highlight w:val="none"/>
        </w:rPr>
        <w:t>（</w:t>
      </w:r>
      <w:r>
        <w:rPr>
          <w:rFonts w:hint="eastAsia"/>
          <w:color w:val="0000FF"/>
          <w:sz w:val="24"/>
          <w:szCs w:val="24"/>
          <w:highlight w:val="none"/>
          <w:lang w:eastAsia="zh-CN"/>
        </w:rPr>
        <w:t>入围单位</w:t>
      </w:r>
      <w:r>
        <w:rPr>
          <w:rFonts w:hint="eastAsia" w:ascii="宋体" w:hAnsi="宋体" w:cs="宋体"/>
          <w:color w:val="0000FF"/>
          <w:sz w:val="24"/>
          <w:szCs w:val="24"/>
          <w:highlight w:val="none"/>
        </w:rPr>
        <w:t>）</w:t>
      </w:r>
      <w:r>
        <w:rPr>
          <w:rFonts w:hint="eastAsia" w:ascii="宋体" w:hAnsi="宋体"/>
          <w:b/>
          <w:color w:val="0000FF"/>
          <w:sz w:val="24"/>
          <w:szCs w:val="24"/>
          <w:highlight w:val="none"/>
        </w:rPr>
        <w:t>：</w:t>
      </w:r>
      <w:r>
        <w:rPr>
          <w:rFonts w:hint="eastAsia" w:ascii="宋体" w:hAnsi="宋体"/>
          <w:b/>
          <w:color w:val="0000FF"/>
          <w:sz w:val="24"/>
          <w:szCs w:val="24"/>
          <w:highlight w:val="none"/>
          <w:u w:val="single"/>
        </w:rPr>
        <w:t xml:space="preserve">                    </w:t>
      </w:r>
      <w:r>
        <w:rPr>
          <w:rFonts w:hint="eastAsia" w:ascii="宋体" w:hAnsi="宋体"/>
          <w:b/>
          <w:color w:val="0000FF"/>
          <w:sz w:val="24"/>
          <w:szCs w:val="24"/>
          <w:highlight w:val="none"/>
        </w:rPr>
        <w:br w:type="textWrapping"/>
      </w:r>
      <w:r>
        <w:rPr>
          <w:rFonts w:hint="eastAsia" w:ascii="宋体" w:hAnsi="宋体"/>
          <w:color w:val="0000FF"/>
          <w:sz w:val="24"/>
          <w:szCs w:val="24"/>
          <w:highlight w:val="none"/>
        </w:rPr>
        <w:t xml:space="preserve">电    话：                传  真：           地  址： </w:t>
      </w:r>
      <w:r>
        <w:rPr>
          <w:rFonts w:hint="eastAsia" w:ascii="宋体" w:hAnsi="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olor w:val="auto"/>
          <w:sz w:val="24"/>
          <w:szCs w:val="24"/>
          <w:highlight w:val="none"/>
        </w:rPr>
      </w:pPr>
      <w:r>
        <w:rPr>
          <w:rFonts w:hint="eastAsia" w:ascii="宋体" w:hAnsi="宋体" w:cs="宋体"/>
          <w:color w:val="auto"/>
          <w:sz w:val="24"/>
          <w:szCs w:val="24"/>
          <w:highlight w:val="none"/>
        </w:rPr>
        <w:t>根据</w:t>
      </w:r>
      <w:r>
        <w:rPr>
          <w:rFonts w:hint="eastAsia" w:ascii="宋体" w:hAnsi="宋体" w:cs="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宁波市奉化区住房管理和保障中心房屋质量查勘、检测、鉴定等服务入围招标项目 </w:t>
      </w:r>
      <w:r>
        <w:rPr>
          <w:rFonts w:hint="eastAsia" w:ascii="宋体" w:hAnsi="宋体" w:cs="宋体"/>
          <w:color w:val="auto"/>
          <w:sz w:val="24"/>
          <w:szCs w:val="24"/>
          <w:highlight w:val="none"/>
        </w:rPr>
        <w:t>（项目编号：</w:t>
      </w:r>
      <w:r>
        <w:rPr>
          <w:rFonts w:hint="eastAsia" w:ascii="宋体" w:hAnsi="宋体"/>
          <w:color w:val="auto"/>
          <w:sz w:val="24"/>
          <w:szCs w:val="24"/>
          <w:highlight w:val="none"/>
        </w:rPr>
        <w:t>FHZFCG(201</w:t>
      </w: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57</w:t>
      </w:r>
      <w:r>
        <w:rPr>
          <w:rFonts w:hint="eastAsia" w:ascii="宋体" w:hAnsi="宋体"/>
          <w:color w:val="auto"/>
          <w:sz w:val="24"/>
          <w:szCs w:val="24"/>
          <w:highlight w:val="none"/>
        </w:rPr>
        <w:t>D</w:t>
      </w:r>
      <w:r>
        <w:rPr>
          <w:rFonts w:hint="eastAsia" w:ascii="宋体" w:hAnsi="宋体" w:cs="宋体"/>
          <w:color w:val="auto"/>
          <w:sz w:val="24"/>
          <w:szCs w:val="24"/>
          <w:highlight w:val="none"/>
        </w:rPr>
        <w:t>）</w:t>
      </w:r>
      <w:r>
        <w:rPr>
          <w:rFonts w:hint="eastAsia" w:ascii="宋体" w:hAnsi="宋体"/>
          <w:color w:val="auto"/>
          <w:sz w:val="24"/>
          <w:szCs w:val="24"/>
          <w:highlight w:val="none"/>
        </w:rPr>
        <w:t>的采购结果，按照《中华人民共和国政府采购法》</w:t>
      </w:r>
      <w:r>
        <w:rPr>
          <w:rFonts w:hint="eastAsia" w:ascii="宋体" w:hAnsi="宋体" w:cs="宋体"/>
          <w:color w:val="auto"/>
          <w:sz w:val="24"/>
          <w:szCs w:val="24"/>
          <w:highlight w:val="none"/>
        </w:rPr>
        <w:t>及其实施条例</w:t>
      </w:r>
      <w:r>
        <w:rPr>
          <w:rFonts w:hint="eastAsia" w:ascii="宋体" w:hAnsi="宋体"/>
          <w:color w:val="auto"/>
          <w:sz w:val="24"/>
          <w:szCs w:val="24"/>
          <w:highlight w:val="none"/>
        </w:rPr>
        <w:t>、87号令、《中华人民共和国合同法》的规定，</w:t>
      </w:r>
      <w:r>
        <w:rPr>
          <w:rFonts w:hint="eastAsia" w:ascii="宋体" w:hAnsi="宋体"/>
          <w:color w:val="auto"/>
          <w:kern w:val="28"/>
          <w:sz w:val="24"/>
          <w:szCs w:val="24"/>
          <w:highlight w:val="none"/>
        </w:rPr>
        <w:t>经双方协商，</w:t>
      </w:r>
      <w:r>
        <w:rPr>
          <w:rFonts w:hint="eastAsia" w:ascii="宋体" w:hAnsi="宋体"/>
          <w:color w:val="auto"/>
          <w:sz w:val="24"/>
          <w:szCs w:val="24"/>
          <w:highlight w:val="none"/>
        </w:rPr>
        <w:t>本着平等互利和诚实信用的原则，</w:t>
      </w:r>
      <w:r>
        <w:rPr>
          <w:rFonts w:hint="eastAsia" w:ascii="宋体" w:hAnsi="宋体"/>
          <w:color w:val="auto"/>
          <w:kern w:val="28"/>
          <w:sz w:val="24"/>
          <w:szCs w:val="24"/>
          <w:highlight w:val="none"/>
        </w:rPr>
        <w:t>一致同意签订本合同如下</w:t>
      </w:r>
      <w:r>
        <w:rPr>
          <w:rFonts w:hint="eastAsia" w:ascii="宋体" w:hAnsi="宋体"/>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pacing w:line="360" w:lineRule="auto"/>
        <w:jc w:val="left"/>
        <w:textAlignment w:val="auto"/>
        <w:outlineLvl w:val="9"/>
        <w:rPr>
          <w:rFonts w:hint="eastAsia" w:ascii="宋体" w:hAnsi="宋体" w:cs="宋体"/>
          <w:b/>
          <w:color w:val="auto"/>
          <w:sz w:val="24"/>
          <w:szCs w:val="24"/>
          <w:highlight w:val="none"/>
          <w:lang w:eastAsia="zh-CN"/>
        </w:rPr>
      </w:pPr>
      <w:r>
        <w:rPr>
          <w:rFonts w:hint="eastAsia" w:ascii="宋体" w:hAnsi="宋体" w:cs="宋体"/>
          <w:b/>
          <w:color w:val="auto"/>
          <w:sz w:val="24"/>
          <w:szCs w:val="24"/>
          <w:highlight w:val="none"/>
          <w:lang w:eastAsia="zh-CN"/>
        </w:rPr>
        <w:t>服务内容：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0"/>
        <w:textAlignment w:val="auto"/>
        <w:outlineLvl w:val="9"/>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、项目要求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采购内容：房屋质量查勘、检测、鉴定等服务</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2、</w:t>
      </w:r>
      <w:r>
        <w:rPr>
          <w:rFonts w:hint="eastAsia" w:ascii="宋体" w:hAnsi="宋体" w:eastAsia="宋体" w:cs="宋体"/>
          <w:b/>
          <w:color w:val="auto"/>
          <w:sz w:val="24"/>
          <w:szCs w:val="24"/>
          <w:highlight w:val="none"/>
        </w:rPr>
        <w:t>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入围单位查勘、检测、鉴定等服务应执行包括但不限于如下规范、标准和规定：</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JGJ125-—</w:t>
      </w:r>
      <w:r>
        <w:rPr>
          <w:rFonts w:hint="eastAsia" w:ascii="宋体" w:hAnsi="宋体" w:eastAsia="宋体" w:cs="宋体"/>
          <w:color w:val="auto"/>
          <w:sz w:val="24"/>
          <w:szCs w:val="24"/>
          <w:highlight w:val="none"/>
          <w:lang w:val="en-US" w:eastAsia="zh-CN"/>
        </w:rPr>
        <w:t>2016</w:t>
      </w:r>
      <w:r>
        <w:rPr>
          <w:rFonts w:hint="eastAsia" w:ascii="宋体" w:hAnsi="宋体" w:eastAsia="宋体" w:cs="宋体"/>
          <w:color w:val="auto"/>
          <w:sz w:val="24"/>
          <w:szCs w:val="24"/>
          <w:highlight w:val="none"/>
        </w:rPr>
        <w:t xml:space="preserve">  危险房屋鉴定标准 (</w:t>
      </w:r>
      <w:r>
        <w:rPr>
          <w:rFonts w:hint="eastAsia" w:ascii="宋体" w:hAnsi="宋体" w:eastAsia="宋体" w:cs="宋体"/>
          <w:color w:val="auto"/>
          <w:sz w:val="24"/>
          <w:szCs w:val="24"/>
          <w:highlight w:val="none"/>
          <w:lang w:val="en-US" w:eastAsia="zh-CN"/>
        </w:rPr>
        <w:t>2016</w:t>
      </w:r>
      <w:r>
        <w:rPr>
          <w:rFonts w:hint="eastAsia" w:ascii="宋体" w:hAnsi="宋体" w:eastAsia="宋体" w:cs="宋体"/>
          <w:color w:val="auto"/>
          <w:sz w:val="24"/>
          <w:szCs w:val="24"/>
          <w:highlight w:val="none"/>
        </w:rPr>
        <w:t>年版)</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 50292—</w:t>
      </w:r>
      <w:r>
        <w:rPr>
          <w:rFonts w:hint="eastAsia" w:ascii="宋体" w:hAnsi="宋体" w:eastAsia="宋体" w:cs="宋体"/>
          <w:color w:val="auto"/>
          <w:sz w:val="24"/>
          <w:szCs w:val="24"/>
          <w:highlight w:val="none"/>
          <w:lang w:val="en-US" w:eastAsia="zh-CN"/>
        </w:rPr>
        <w:t>2015</w:t>
      </w:r>
      <w:r>
        <w:rPr>
          <w:rFonts w:hint="eastAsia" w:ascii="宋体" w:hAnsi="宋体" w:eastAsia="宋体" w:cs="宋体"/>
          <w:color w:val="auto"/>
          <w:sz w:val="24"/>
          <w:szCs w:val="24"/>
          <w:highlight w:val="none"/>
        </w:rPr>
        <w:t xml:space="preserve"> 民用建筑可靠性鉴定标准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JGJ/T363-2014 农村住房危险性鉴定标准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GBT50315—2011 砌体工程现场检测技术标准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GB50003—2011 砌体结构设计规范</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CECS 220:2007 混凝土结构耐久性评定标准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CECS 21—1990 超声法检测混凝土缺陷技术规程</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GB/T 50476—2008 混凝土结构耐久性设计规范</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GB/T 50344—2004 建筑结构检测技术标准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GB50023—2009 建筑抗震鉴定标准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GB50011—2008 建筑抗震设计规范</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GB50007—2011 建筑地基基础设计规范</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GB50009—2011 建筑结构荷载规范</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DB11/T 689—2009 建筑抗震鉴定与加固技术规程</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GB/T 50621—2010 钢结构现场检测技术标准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GB50205—2001 钢结构工程施工质量验收规范</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JGJ/T 23—2001 回弹法检测混凝土抗压强度技术规程</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22CECS 03:2007 钻芯法检测混凝土强度技术规程</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JGJ/T152—2008 混凝土中钢筋检测技术规程</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JGJ 8—2007 建筑变形测量规范</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 50223—2008 建筑工程抗震设防分类标准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JGJ 116—2009 建筑抗震加固技术规范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3</w:t>
      </w:r>
      <w:r>
        <w:rPr>
          <w:rFonts w:hint="eastAsia" w:ascii="宋体" w:hAnsi="宋体" w:eastAsia="宋体" w:cs="宋体"/>
          <w:b/>
          <w:color w:val="auto"/>
          <w:sz w:val="24"/>
          <w:szCs w:val="24"/>
          <w:highlight w:val="none"/>
        </w:rPr>
        <w:t>、房屋查勘、检测、鉴定收费标准</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经过对省内外部分房屋安全检测鉴定单位进行价格调查，结合我</w:t>
      </w:r>
      <w:r>
        <w:rPr>
          <w:rFonts w:hint="eastAsia" w:ascii="宋体" w:hAnsi="宋体" w:eastAsia="宋体" w:cs="宋体"/>
          <w:bCs/>
          <w:color w:val="auto"/>
          <w:sz w:val="24"/>
          <w:szCs w:val="24"/>
          <w:highlight w:val="none"/>
          <w:lang w:eastAsia="zh-CN"/>
        </w:rPr>
        <w:t>区</w:t>
      </w:r>
      <w:r>
        <w:rPr>
          <w:rFonts w:hint="eastAsia" w:ascii="宋体" w:hAnsi="宋体" w:eastAsia="宋体" w:cs="宋体"/>
          <w:bCs/>
          <w:color w:val="auto"/>
          <w:sz w:val="24"/>
          <w:szCs w:val="24"/>
          <w:highlight w:val="none"/>
        </w:rPr>
        <w:t>实际，本次房屋质量查勘、检测、鉴定等服务入围招标项目设定</w:t>
      </w:r>
      <w:r>
        <w:rPr>
          <w:rFonts w:hint="eastAsia" w:ascii="宋体" w:hAnsi="宋体" w:eastAsia="宋体" w:cs="宋体"/>
          <w:bCs/>
          <w:color w:val="auto"/>
          <w:sz w:val="24"/>
          <w:szCs w:val="24"/>
          <w:highlight w:val="none"/>
          <w:lang w:eastAsia="zh-CN"/>
        </w:rPr>
        <w:t>收费</w:t>
      </w:r>
      <w:r>
        <w:rPr>
          <w:rFonts w:hint="eastAsia" w:ascii="宋体" w:hAnsi="宋体" w:eastAsia="宋体" w:cs="宋体"/>
          <w:bCs/>
          <w:color w:val="auto"/>
          <w:sz w:val="24"/>
          <w:szCs w:val="24"/>
          <w:highlight w:val="none"/>
        </w:rPr>
        <w:t>标准。</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房屋安全鉴定费用由查勘、检测、绘图及承载力计算等费用组成计算，具体检测内容根据项目实际由房屋安全主管部门确定。具体收费为：</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1、查勘费。有图纸的查勘费用为6元/平方米，无图纸的查勘费用为8元/平方米。（单项查勘合同最低收费为2000元）。</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2、综合鉴定检测费。鉴定内容详见表一，综合性鉴定检测收费不超过20元/m²，具体详见表二。</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3、单项检测费。检测费用具体按项收取，详见表三。</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4、对于大批量、难度小的房屋质量查勘、检测、鉴定项目，采购人有权要求入围单位在采购文件规定的</w:t>
      </w:r>
      <w:r>
        <w:rPr>
          <w:rFonts w:hint="eastAsia" w:ascii="宋体" w:hAnsi="宋体" w:eastAsia="宋体" w:cs="宋体"/>
          <w:bCs/>
          <w:color w:val="auto"/>
          <w:sz w:val="24"/>
          <w:szCs w:val="24"/>
          <w:highlight w:val="none"/>
          <w:lang w:eastAsia="zh-CN"/>
        </w:rPr>
        <w:t>收费标准</w:t>
      </w:r>
      <w:r>
        <w:rPr>
          <w:rFonts w:hint="eastAsia" w:ascii="宋体" w:hAnsi="宋体" w:eastAsia="宋体" w:cs="宋体"/>
          <w:bCs/>
          <w:color w:val="auto"/>
          <w:sz w:val="24"/>
          <w:szCs w:val="24"/>
          <w:highlight w:val="none"/>
        </w:rPr>
        <w:t>基础上合理下浮。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4</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具体项目实施分配原则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315"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应急处理项目根据项目实际、以往查勘、检测、鉴定记录、入围单位在奉人员、设备及应急处理响应时间酌情分配。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315"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本级政府及上级部门下达大批量查勘、检测、鉴定任务的，根据工作量、工作地理位置、难易程度合理、平均分配。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val="en-US" w:eastAsia="zh-CN"/>
        </w:rPr>
        <w:t>、监督考核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人有权根据我区解危工作实际，结合《宁波市经营性房屋安全鉴定机构信用评价标准（试行）》等文件规定，对入围单位的人员、设备配备、服务水平、服务质量等进行考核记录，考核结果报上级主管部门，对于人员、设备配备不足、服务水平、服务质量差的有权要求其整改，整改期间不得承接相关业务，拒不整改的，取消其入围资格，同时报上级主管部门建议取消宁波备案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如根据国家、省、市有关规定，需要对入围单位办理备案、进城手续的，入围单位应及时办理相关手续，如未办理的，不得开展检测、鉴定工作。</w:t>
      </w:r>
    </w:p>
    <w:p>
      <w:pPr>
        <w:keepNext w:val="0"/>
        <w:keepLines w:val="0"/>
        <w:pageBreakBefore w:val="0"/>
        <w:widowControl w:val="0"/>
        <w:kinsoku/>
        <w:wordWrap/>
        <w:overflowPunct/>
        <w:topLinePunct w:val="0"/>
        <w:autoSpaceDE/>
        <w:autoSpaceDN/>
        <w:bidi w:val="0"/>
        <w:spacing w:line="400" w:lineRule="exact"/>
        <w:jc w:val="left"/>
        <w:textAlignment w:val="auto"/>
        <w:outlineLvl w:val="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表一</w:t>
      </w:r>
    </w:p>
    <w:p>
      <w:pPr>
        <w:keepNext w:val="0"/>
        <w:keepLines w:val="0"/>
        <w:pageBreakBefore w:val="0"/>
        <w:widowControl w:val="0"/>
        <w:kinsoku/>
        <w:wordWrap/>
        <w:overflowPunct/>
        <w:topLinePunct w:val="0"/>
        <w:autoSpaceDE/>
        <w:autoSpaceDN/>
        <w:bidi w:val="0"/>
        <w:spacing w:line="400" w:lineRule="exact"/>
        <w:jc w:val="center"/>
        <w:textAlignment w:val="auto"/>
        <w:outlineLvl w:val="0"/>
        <w:rPr>
          <w:rFonts w:hint="eastAsia" w:ascii="方正小标宋简体" w:eastAsia="方正小标宋简体"/>
          <w:color w:val="auto"/>
          <w:sz w:val="32"/>
          <w:szCs w:val="32"/>
          <w:highlight w:val="none"/>
        </w:rPr>
      </w:pPr>
      <w:r>
        <w:rPr>
          <w:rFonts w:hint="eastAsia" w:ascii="方正小标宋简体" w:eastAsia="方正小标宋简体"/>
          <w:color w:val="auto"/>
          <w:sz w:val="32"/>
          <w:szCs w:val="32"/>
          <w:highlight w:val="none"/>
        </w:rPr>
        <w:t>房屋安全鉴定内容</w:t>
      </w:r>
    </w:p>
    <w:tbl>
      <w:tblPr>
        <w:tblStyle w:val="6"/>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05"/>
        <w:gridCol w:w="5827"/>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exact"/>
        </w:trPr>
        <w:tc>
          <w:tcPr>
            <w:tcW w:w="754" w:type="dxa"/>
            <w:tcBorders>
              <w:top w:val="single" w:color="auto" w:sz="8" w:space="0"/>
              <w:left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黑体" w:eastAsia="黑体"/>
                <w:color w:val="auto"/>
                <w:sz w:val="24"/>
                <w:highlight w:val="none"/>
              </w:rPr>
            </w:pPr>
            <w:r>
              <w:rPr>
                <w:rFonts w:hint="eastAsia" w:ascii="黑体" w:eastAsia="黑体"/>
                <w:color w:val="auto"/>
                <w:sz w:val="24"/>
                <w:highlight w:val="none"/>
              </w:rPr>
              <w:t>序号</w:t>
            </w:r>
          </w:p>
        </w:tc>
        <w:tc>
          <w:tcPr>
            <w:tcW w:w="1305"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黑体" w:eastAsia="黑体"/>
                <w:color w:val="auto"/>
                <w:sz w:val="24"/>
                <w:highlight w:val="none"/>
              </w:rPr>
            </w:pPr>
            <w:r>
              <w:rPr>
                <w:rFonts w:hint="eastAsia" w:ascii="黑体" w:eastAsia="黑体"/>
                <w:color w:val="auto"/>
                <w:sz w:val="24"/>
                <w:highlight w:val="none"/>
              </w:rPr>
              <w:t>结构类型</w:t>
            </w:r>
          </w:p>
        </w:tc>
        <w:tc>
          <w:tcPr>
            <w:tcW w:w="5827"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黑体" w:eastAsia="黑体"/>
                <w:color w:val="auto"/>
                <w:sz w:val="24"/>
                <w:highlight w:val="none"/>
              </w:rPr>
            </w:pPr>
            <w:r>
              <w:rPr>
                <w:rFonts w:hint="eastAsia" w:ascii="黑体" w:eastAsia="黑体"/>
                <w:color w:val="auto"/>
                <w:sz w:val="24"/>
                <w:highlight w:val="none"/>
              </w:rPr>
              <w:t>检测鉴定内容</w:t>
            </w:r>
          </w:p>
        </w:tc>
        <w:tc>
          <w:tcPr>
            <w:tcW w:w="1473" w:type="dxa"/>
            <w:tcBorders>
              <w:top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黑体" w:eastAsia="黑体"/>
                <w:color w:val="auto"/>
                <w:sz w:val="24"/>
                <w:highlight w:val="none"/>
              </w:rPr>
            </w:pPr>
            <w:r>
              <w:rPr>
                <w:rFonts w:hint="eastAsia" w:ascii="黑体" w:eastAsia="黑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trPr>
        <w:tc>
          <w:tcPr>
            <w:tcW w:w="754"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1</w:t>
            </w:r>
          </w:p>
        </w:tc>
        <w:tc>
          <w:tcPr>
            <w:tcW w:w="130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混凝土结构</w:t>
            </w:r>
          </w:p>
        </w:tc>
        <w:tc>
          <w:tcPr>
            <w:tcW w:w="5827" w:type="dxa"/>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① 结构整体布置查勘；</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② 检测结构混凝土抗压强度；</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③ 检测结构构件（包括柱、梁、剪力墙）截面尺寸及配筋情况；</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④ 检测现浇板厚度、钢筋间距及混凝土保护层厚度；</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⑤ 检测范围内可视部分外观（裂缝、渗漏等）检查；</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⑥ 对不符合设计要求的结构（构件）进行承载力验算；</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⑦ 出具安全性鉴定报告。</w:t>
            </w:r>
          </w:p>
        </w:tc>
        <w:tc>
          <w:tcPr>
            <w:tcW w:w="1473"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754" w:type="dxa"/>
            <w:tcBorders>
              <w:left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2</w:t>
            </w:r>
          </w:p>
        </w:tc>
        <w:tc>
          <w:tcPr>
            <w:tcW w:w="1305"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砌体结构</w:t>
            </w:r>
          </w:p>
        </w:tc>
        <w:tc>
          <w:tcPr>
            <w:tcW w:w="5827"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① 结构整体布置查勘；</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② 检测砌筑砂浆抗压强度（必要时检测砌块强度）；</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③ 检测结构混凝土抗压强度；</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④ 检测混凝土承重梁截面尺寸及配筋情况（如有）；</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⑤ 检测范围内可视部分外观（裂缝、渗漏等）检查；</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⑥ 对不符合设计要求的结构（构件）进行承载力验算；</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⑦ 出具安全性鉴定报告。</w:t>
            </w:r>
          </w:p>
        </w:tc>
        <w:tc>
          <w:tcPr>
            <w:tcW w:w="1473" w:type="dxa"/>
            <w:tcBorders>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含砖混结构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8" w:hRule="atLeast"/>
        </w:trPr>
        <w:tc>
          <w:tcPr>
            <w:tcW w:w="754" w:type="dxa"/>
            <w:tcBorders>
              <w:top w:val="single" w:color="auto" w:sz="8" w:space="0"/>
              <w:left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3</w:t>
            </w:r>
          </w:p>
        </w:tc>
        <w:tc>
          <w:tcPr>
            <w:tcW w:w="1305"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钢结构</w:t>
            </w:r>
          </w:p>
        </w:tc>
        <w:tc>
          <w:tcPr>
            <w:tcW w:w="5827"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① 结构整体布置查勘；</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② 检测</w:t>
            </w:r>
            <w:r>
              <w:rPr>
                <w:color w:val="auto"/>
                <w:sz w:val="24"/>
                <w:szCs w:val="24"/>
                <w:highlight w:val="none"/>
              </w:rPr>
              <w:t>基础</w:t>
            </w:r>
            <w:r>
              <w:rPr>
                <w:rFonts w:hint="eastAsia"/>
                <w:color w:val="auto"/>
                <w:sz w:val="24"/>
                <w:szCs w:val="24"/>
                <w:highlight w:val="none"/>
              </w:rPr>
              <w:t>（承台）</w:t>
            </w:r>
            <w:r>
              <w:rPr>
                <w:color w:val="auto"/>
                <w:sz w:val="24"/>
                <w:szCs w:val="24"/>
                <w:highlight w:val="none"/>
              </w:rPr>
              <w:t>混凝土抗压强度</w:t>
            </w:r>
            <w:r>
              <w:rPr>
                <w:rFonts w:hint="eastAsia"/>
                <w:color w:val="auto"/>
                <w:sz w:val="24"/>
                <w:szCs w:val="24"/>
                <w:highlight w:val="none"/>
              </w:rPr>
              <w:t>；</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③ 检测</w:t>
            </w:r>
            <w:r>
              <w:rPr>
                <w:color w:val="auto"/>
                <w:sz w:val="24"/>
                <w:szCs w:val="24"/>
                <w:highlight w:val="none"/>
              </w:rPr>
              <w:t>钢结构构件截面尺寸</w:t>
            </w:r>
            <w:r>
              <w:rPr>
                <w:rFonts w:hint="eastAsia"/>
                <w:color w:val="auto"/>
                <w:sz w:val="24"/>
                <w:szCs w:val="24"/>
                <w:highlight w:val="none"/>
              </w:rPr>
              <w:t>；</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④ 检查支撑系统布置情况；</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⑤ 查看钢</w:t>
            </w:r>
            <w:r>
              <w:rPr>
                <w:color w:val="auto"/>
                <w:sz w:val="24"/>
                <w:szCs w:val="24"/>
                <w:highlight w:val="none"/>
              </w:rPr>
              <w:t>结构节点连接</w:t>
            </w:r>
            <w:r>
              <w:rPr>
                <w:rFonts w:hint="eastAsia"/>
                <w:color w:val="auto"/>
                <w:sz w:val="24"/>
                <w:szCs w:val="24"/>
                <w:highlight w:val="none"/>
              </w:rPr>
              <w:t>（包括高强螺栓连接）；</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 xml:space="preserve">⑥ </w:t>
            </w:r>
            <w:r>
              <w:rPr>
                <w:color w:val="auto"/>
                <w:sz w:val="24"/>
                <w:szCs w:val="24"/>
                <w:highlight w:val="none"/>
              </w:rPr>
              <w:t>超声波探伤检测焊缝质量</w:t>
            </w:r>
            <w:r>
              <w:rPr>
                <w:rFonts w:hint="eastAsia"/>
                <w:color w:val="auto"/>
                <w:sz w:val="24"/>
                <w:szCs w:val="24"/>
                <w:highlight w:val="none"/>
              </w:rPr>
              <w:t>（如有需要）；</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⑦ 检测范围内可视部分外观（锈蚀、渗漏等）检查；</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⑧ 对不符合设计要求的结构（构件）进行承载力验算；</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⑨ 出具安全性鉴定报告。</w:t>
            </w:r>
          </w:p>
        </w:tc>
        <w:tc>
          <w:tcPr>
            <w:tcW w:w="1473" w:type="dxa"/>
            <w:tcBorders>
              <w:top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钢结构包括网架结构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754"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4</w:t>
            </w:r>
          </w:p>
        </w:tc>
        <w:tc>
          <w:tcPr>
            <w:tcW w:w="130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木结构</w:t>
            </w:r>
          </w:p>
        </w:tc>
        <w:tc>
          <w:tcPr>
            <w:tcW w:w="5827" w:type="dxa"/>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① 结构整体布置查勘；</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② 检测木结构构件截面尺寸；</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③ 检查木结构连接构造；</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④ 检查木材缺陷（包括腐朽、木节、斜纹、虫蛀等）；</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⑤ 检测范围内可视部分外观（裂缝、渗漏等）检查；</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⑥ 对不符合设计要求的结构（构件）进行承载力验算；</w:t>
            </w:r>
          </w:p>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⑦ 出具安全性鉴定报告。</w:t>
            </w:r>
          </w:p>
        </w:tc>
        <w:tc>
          <w:tcPr>
            <w:tcW w:w="1473"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754" w:type="dxa"/>
            <w:tcBorders>
              <w:left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5</w:t>
            </w:r>
          </w:p>
        </w:tc>
        <w:tc>
          <w:tcPr>
            <w:tcW w:w="1305"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sz w:val="24"/>
                <w:szCs w:val="24"/>
                <w:highlight w:val="none"/>
              </w:rPr>
            </w:pPr>
            <w:r>
              <w:rPr>
                <w:rFonts w:hint="eastAsia"/>
                <w:color w:val="auto"/>
                <w:sz w:val="24"/>
                <w:szCs w:val="24"/>
                <w:highlight w:val="none"/>
              </w:rPr>
              <w:t>混合结构</w:t>
            </w:r>
          </w:p>
        </w:tc>
        <w:tc>
          <w:tcPr>
            <w:tcW w:w="5827"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混合结构参照第1~4项进行检测鉴定。</w:t>
            </w:r>
          </w:p>
        </w:tc>
        <w:tc>
          <w:tcPr>
            <w:tcW w:w="1473" w:type="dxa"/>
            <w:tcBorders>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color w:val="auto"/>
                <w:sz w:val="24"/>
                <w:szCs w:val="24"/>
                <w:highlight w:val="none"/>
              </w:rPr>
            </w:pPr>
            <w:r>
              <w:rPr>
                <w:rFonts w:hint="eastAsia"/>
                <w:color w:val="auto"/>
                <w:sz w:val="24"/>
                <w:szCs w:val="24"/>
                <w:highlight w:val="none"/>
              </w:rPr>
              <w:t>包括钢混结构、钢木结构等</w:t>
            </w:r>
          </w:p>
        </w:tc>
      </w:tr>
    </w:tbl>
    <w:p>
      <w:pPr>
        <w:keepNext w:val="0"/>
        <w:keepLines w:val="0"/>
        <w:pageBreakBefore w:val="0"/>
        <w:widowControl w:val="0"/>
        <w:kinsoku/>
        <w:wordWrap/>
        <w:overflowPunct/>
        <w:topLinePunct w:val="0"/>
        <w:autoSpaceDE/>
        <w:autoSpaceDN/>
        <w:bidi w:val="0"/>
        <w:spacing w:line="400" w:lineRule="exact"/>
        <w:jc w:val="left"/>
        <w:textAlignment w:val="auto"/>
        <w:outlineLvl w:val="0"/>
        <w:rPr>
          <w:rFonts w:hint="eastAsia" w:ascii="仿宋_GB2312" w:eastAsia="仿宋_GB2312"/>
          <w:b/>
          <w:color w:val="auto"/>
          <w:sz w:val="28"/>
          <w:szCs w:val="28"/>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outlineLvl w:val="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表二</w:t>
      </w:r>
    </w:p>
    <w:p>
      <w:pPr>
        <w:keepNext w:val="0"/>
        <w:keepLines w:val="0"/>
        <w:pageBreakBefore w:val="0"/>
        <w:widowControl w:val="0"/>
        <w:kinsoku/>
        <w:wordWrap/>
        <w:overflowPunct/>
        <w:topLinePunct w:val="0"/>
        <w:autoSpaceDE/>
        <w:autoSpaceDN/>
        <w:bidi w:val="0"/>
        <w:spacing w:line="400" w:lineRule="exact"/>
        <w:jc w:val="center"/>
        <w:textAlignment w:val="auto"/>
        <w:outlineLvl w:val="0"/>
        <w:rPr>
          <w:rFonts w:hint="eastAsia" w:ascii="方正小标宋简体" w:eastAsia="方正小标宋简体"/>
          <w:color w:val="auto"/>
          <w:sz w:val="32"/>
          <w:szCs w:val="32"/>
          <w:highlight w:val="none"/>
          <w:lang w:eastAsia="zh-CN"/>
        </w:rPr>
      </w:pPr>
      <w:r>
        <w:rPr>
          <w:rFonts w:hint="eastAsia" w:ascii="方正小标宋简体" w:eastAsia="方正小标宋简体"/>
          <w:color w:val="auto"/>
          <w:sz w:val="32"/>
          <w:szCs w:val="32"/>
          <w:highlight w:val="none"/>
        </w:rPr>
        <w:t>房屋安全鉴定综合收费</w:t>
      </w:r>
      <w:r>
        <w:rPr>
          <w:rFonts w:hint="eastAsia" w:ascii="方正小标宋简体" w:eastAsia="方正小标宋简体"/>
          <w:color w:val="auto"/>
          <w:sz w:val="32"/>
          <w:szCs w:val="32"/>
          <w:highlight w:val="none"/>
          <w:lang w:eastAsia="zh-CN"/>
        </w:rPr>
        <w:t>标准</w:t>
      </w:r>
    </w:p>
    <w:tbl>
      <w:tblPr>
        <w:tblStyle w:val="6"/>
        <w:tblW w:w="9285" w:type="dxa"/>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1860"/>
        <w:gridCol w:w="5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鉴定类别</w:t>
            </w:r>
          </w:p>
        </w:tc>
        <w:tc>
          <w:tcPr>
            <w:tcW w:w="186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结构类型</w:t>
            </w: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收费标准（单幢建筑面积）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094"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危房鉴定</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安全性鉴定</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砖混结构</w:t>
            </w: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单幢建筑面积少于1000m</w:t>
            </w:r>
            <w:r>
              <w:rPr>
                <w:rFonts w:hint="eastAsia" w:ascii="仿宋_GB2312"/>
                <w:color w:val="auto"/>
                <w:sz w:val="24"/>
                <w:highlight w:val="none"/>
              </w:rPr>
              <w:t>²</w:t>
            </w:r>
            <w:r>
              <w:rPr>
                <w:rFonts w:hint="eastAsia" w:ascii="仿宋_GB2312" w:eastAsia="仿宋_GB2312"/>
                <w:color w:val="auto"/>
                <w:sz w:val="24"/>
                <w:highlight w:val="none"/>
              </w:rPr>
              <w:t>，按1万收费。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≥1000 m</w:t>
            </w:r>
            <w:r>
              <w:rPr>
                <w:rFonts w:hint="eastAsia" w:ascii="仿宋_GB2312"/>
                <w:color w:val="auto"/>
                <w:sz w:val="24"/>
                <w:highlight w:val="none"/>
              </w:rPr>
              <w:t>²</w:t>
            </w:r>
            <w:r>
              <w:rPr>
                <w:rFonts w:hint="eastAsia" w:ascii="仿宋_GB2312" w:eastAsia="仿宋_GB2312"/>
                <w:color w:val="auto"/>
                <w:sz w:val="24"/>
                <w:highlight w:val="none"/>
              </w:rPr>
              <w:t>，&lt;3000 m</w:t>
            </w:r>
            <w:r>
              <w:rPr>
                <w:rFonts w:hint="eastAsia" w:ascii="仿宋_GB2312"/>
                <w:color w:val="auto"/>
                <w:sz w:val="24"/>
                <w:highlight w:val="none"/>
              </w:rPr>
              <w:t>²</w:t>
            </w:r>
            <w:r>
              <w:rPr>
                <w:rFonts w:hint="eastAsia" w:ascii="仿宋_GB2312" w:eastAsia="仿宋_GB2312"/>
                <w:color w:val="auto"/>
                <w:sz w:val="24"/>
                <w:highlight w:val="none"/>
              </w:rPr>
              <w:t>，20元/ m</w:t>
            </w:r>
            <w:r>
              <w:rPr>
                <w:rFonts w:hint="eastAsia" w:ascii="仿宋_GB2312"/>
                <w:color w:val="auto"/>
                <w:sz w:val="24"/>
                <w:highlight w:val="none"/>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≥3000 m</w:t>
            </w:r>
            <w:r>
              <w:rPr>
                <w:rFonts w:hint="eastAsia" w:ascii="仿宋_GB2312"/>
                <w:color w:val="auto"/>
                <w:sz w:val="24"/>
                <w:highlight w:val="none"/>
              </w:rPr>
              <w:t>²</w:t>
            </w:r>
            <w:r>
              <w:rPr>
                <w:rFonts w:hint="eastAsia" w:ascii="仿宋_GB2312" w:eastAsia="仿宋_GB2312"/>
                <w:color w:val="auto"/>
                <w:sz w:val="24"/>
                <w:highlight w:val="none"/>
              </w:rPr>
              <w:t>，&lt;5000 m</w:t>
            </w:r>
            <w:r>
              <w:rPr>
                <w:rFonts w:hint="eastAsia" w:ascii="仿宋_GB2312"/>
                <w:color w:val="auto"/>
                <w:sz w:val="24"/>
                <w:highlight w:val="none"/>
              </w:rPr>
              <w:t>²</w:t>
            </w:r>
            <w:r>
              <w:rPr>
                <w:rFonts w:hint="eastAsia" w:ascii="仿宋_GB2312" w:eastAsia="仿宋_GB2312"/>
                <w:color w:val="auto"/>
                <w:sz w:val="24"/>
                <w:highlight w:val="none"/>
              </w:rPr>
              <w:t>，15元/ m</w:t>
            </w:r>
            <w:r>
              <w:rPr>
                <w:rFonts w:hint="eastAsia" w:ascii="仿宋_GB2312"/>
                <w:color w:val="auto"/>
                <w:sz w:val="24"/>
                <w:highlight w:val="none"/>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0"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≥5000 m</w:t>
            </w:r>
            <w:r>
              <w:rPr>
                <w:rFonts w:hint="eastAsia" w:ascii="仿宋_GB2312"/>
                <w:color w:val="auto"/>
                <w:sz w:val="24"/>
                <w:highlight w:val="none"/>
              </w:rPr>
              <w:t>²</w:t>
            </w:r>
            <w:r>
              <w:rPr>
                <w:rFonts w:hint="eastAsia" w:ascii="仿宋_GB2312" w:eastAsia="仿宋_GB2312"/>
                <w:color w:val="auto"/>
                <w:sz w:val="24"/>
                <w:highlight w:val="none"/>
              </w:rPr>
              <w:t>， 10元/ m</w:t>
            </w:r>
            <w:r>
              <w:rPr>
                <w:rFonts w:hint="eastAsia" w:ascii="仿宋_GB2312"/>
                <w:color w:val="auto"/>
                <w:sz w:val="24"/>
                <w:highlight w:val="none"/>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5"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框架结构</w:t>
            </w: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单幢建筑面积少于1000m</w:t>
            </w:r>
            <w:r>
              <w:rPr>
                <w:rFonts w:hint="eastAsia" w:ascii="仿宋_GB2312"/>
                <w:color w:val="auto"/>
                <w:sz w:val="24"/>
                <w:highlight w:val="none"/>
              </w:rPr>
              <w:t>²</w:t>
            </w:r>
            <w:r>
              <w:rPr>
                <w:rFonts w:hint="eastAsia" w:ascii="仿宋_GB2312" w:eastAsia="仿宋_GB2312"/>
                <w:color w:val="auto"/>
                <w:sz w:val="24"/>
                <w:highlight w:val="none"/>
              </w:rPr>
              <w:t>，按1万收费。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≥1000 m</w:t>
            </w:r>
            <w:r>
              <w:rPr>
                <w:rFonts w:hint="eastAsia" w:ascii="仿宋_GB2312"/>
                <w:color w:val="auto"/>
                <w:sz w:val="24"/>
                <w:highlight w:val="none"/>
              </w:rPr>
              <w:t>²</w:t>
            </w:r>
            <w:r>
              <w:rPr>
                <w:rFonts w:hint="eastAsia" w:ascii="仿宋_GB2312" w:eastAsia="仿宋_GB2312"/>
                <w:color w:val="auto"/>
                <w:sz w:val="24"/>
                <w:highlight w:val="none"/>
              </w:rPr>
              <w:t>，&lt;5000 m</w:t>
            </w:r>
            <w:r>
              <w:rPr>
                <w:rFonts w:hint="eastAsia" w:ascii="仿宋_GB2312"/>
                <w:color w:val="auto"/>
                <w:sz w:val="24"/>
                <w:highlight w:val="none"/>
              </w:rPr>
              <w:t>²</w:t>
            </w:r>
            <w:r>
              <w:rPr>
                <w:rFonts w:hint="eastAsia" w:ascii="仿宋_GB2312" w:eastAsia="仿宋_GB2312"/>
                <w:color w:val="auto"/>
                <w:sz w:val="24"/>
                <w:highlight w:val="none"/>
              </w:rPr>
              <w:t>，15元/ m</w:t>
            </w:r>
            <w:r>
              <w:rPr>
                <w:rFonts w:hint="eastAsia" w:ascii="仿宋_GB2312"/>
                <w:color w:val="auto"/>
                <w:sz w:val="24"/>
                <w:highlight w:val="none"/>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≥5000 m</w:t>
            </w:r>
            <w:r>
              <w:rPr>
                <w:rFonts w:hint="eastAsia" w:ascii="仿宋_GB2312"/>
                <w:color w:val="auto"/>
                <w:sz w:val="24"/>
                <w:highlight w:val="none"/>
              </w:rPr>
              <w:t>²</w:t>
            </w:r>
            <w:r>
              <w:rPr>
                <w:rFonts w:hint="eastAsia" w:ascii="仿宋_GB2312" w:eastAsia="仿宋_GB2312"/>
                <w:color w:val="auto"/>
                <w:sz w:val="24"/>
                <w:highlight w:val="none"/>
              </w:rPr>
              <w:t>，&lt;10000 m</w:t>
            </w:r>
            <w:r>
              <w:rPr>
                <w:rFonts w:hint="eastAsia" w:ascii="仿宋_GB2312"/>
                <w:color w:val="auto"/>
                <w:sz w:val="24"/>
                <w:highlight w:val="none"/>
              </w:rPr>
              <w:t>²</w:t>
            </w:r>
            <w:r>
              <w:rPr>
                <w:rFonts w:hint="eastAsia" w:ascii="仿宋_GB2312" w:eastAsia="仿宋_GB2312"/>
                <w:color w:val="auto"/>
                <w:sz w:val="24"/>
                <w:highlight w:val="none"/>
              </w:rPr>
              <w:t>，12元/ m</w:t>
            </w:r>
            <w:r>
              <w:rPr>
                <w:rFonts w:hint="eastAsia" w:ascii="仿宋_GB2312"/>
                <w:color w:val="auto"/>
                <w:sz w:val="24"/>
                <w:highlight w:val="none"/>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≥10000 m</w:t>
            </w:r>
            <w:r>
              <w:rPr>
                <w:rFonts w:hint="eastAsia" w:ascii="仿宋_GB2312"/>
                <w:color w:val="auto"/>
                <w:sz w:val="24"/>
                <w:highlight w:val="none"/>
              </w:rPr>
              <w:t>²</w:t>
            </w:r>
            <w:r>
              <w:rPr>
                <w:rFonts w:hint="eastAsia" w:ascii="仿宋_GB2312" w:eastAsia="仿宋_GB2312"/>
                <w:color w:val="auto"/>
                <w:sz w:val="24"/>
                <w:highlight w:val="none"/>
              </w:rPr>
              <w:t>， 10元/ m</w:t>
            </w:r>
            <w:r>
              <w:rPr>
                <w:rFonts w:hint="eastAsia" w:ascii="仿宋_GB2312"/>
                <w:color w:val="auto"/>
                <w:sz w:val="24"/>
                <w:highlight w:val="none"/>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钢结构</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排架结构</w:t>
            </w: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单幢建筑面积少于2000m</w:t>
            </w:r>
            <w:r>
              <w:rPr>
                <w:rFonts w:hint="eastAsia" w:ascii="仿宋_GB2312"/>
                <w:color w:val="auto"/>
                <w:sz w:val="24"/>
                <w:highlight w:val="none"/>
              </w:rPr>
              <w:t>²</w:t>
            </w:r>
            <w:r>
              <w:rPr>
                <w:rFonts w:hint="eastAsia" w:ascii="仿宋_GB2312" w:eastAsia="仿宋_GB2312"/>
                <w:color w:val="auto"/>
                <w:sz w:val="24"/>
                <w:highlight w:val="none"/>
              </w:rPr>
              <w:t>，按2万收费。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0"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≥2000 m</w:t>
            </w:r>
            <w:r>
              <w:rPr>
                <w:rFonts w:hint="eastAsia" w:ascii="仿宋_GB2312"/>
                <w:color w:val="auto"/>
                <w:sz w:val="24"/>
                <w:highlight w:val="none"/>
              </w:rPr>
              <w:t>²</w:t>
            </w:r>
            <w:r>
              <w:rPr>
                <w:rFonts w:hint="eastAsia" w:ascii="仿宋_GB2312" w:eastAsia="仿宋_GB2312"/>
                <w:color w:val="auto"/>
                <w:sz w:val="24"/>
                <w:highlight w:val="none"/>
              </w:rPr>
              <w:t>，&lt;10000 m</w:t>
            </w:r>
            <w:r>
              <w:rPr>
                <w:rFonts w:hint="eastAsia" w:ascii="仿宋_GB2312"/>
                <w:color w:val="auto"/>
                <w:sz w:val="24"/>
                <w:highlight w:val="none"/>
              </w:rPr>
              <w:t>²</w:t>
            </w:r>
            <w:r>
              <w:rPr>
                <w:rFonts w:hint="eastAsia" w:ascii="仿宋_GB2312" w:eastAsia="仿宋_GB2312"/>
                <w:color w:val="auto"/>
                <w:sz w:val="24"/>
                <w:highlight w:val="none"/>
              </w:rPr>
              <w:t>，12元/ m</w:t>
            </w:r>
            <w:r>
              <w:rPr>
                <w:rFonts w:hint="eastAsia" w:ascii="仿宋_GB2312"/>
                <w:color w:val="auto"/>
                <w:sz w:val="24"/>
                <w:highlight w:val="none"/>
              </w:rPr>
              <w:t>²</w:t>
            </w:r>
            <w:r>
              <w:rPr>
                <w:rFonts w:hint="eastAsia" w:ascii="仿宋_GB2312" w:eastAsia="仿宋_GB2312"/>
                <w:color w:val="auto"/>
                <w:sz w:val="24"/>
                <w:highlight w:val="none"/>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0"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≥10000 m</w:t>
            </w:r>
            <w:r>
              <w:rPr>
                <w:rFonts w:hint="eastAsia" w:ascii="仿宋_GB2312"/>
                <w:color w:val="auto"/>
                <w:sz w:val="24"/>
                <w:highlight w:val="none"/>
              </w:rPr>
              <w:t>²</w:t>
            </w:r>
            <w:r>
              <w:rPr>
                <w:rFonts w:hint="eastAsia" w:ascii="仿宋_GB2312" w:eastAsia="仿宋_GB2312"/>
                <w:color w:val="auto"/>
                <w:sz w:val="24"/>
                <w:highlight w:val="none"/>
              </w:rPr>
              <w:t>，&lt;20000 m</w:t>
            </w:r>
            <w:r>
              <w:rPr>
                <w:rFonts w:hint="eastAsia" w:ascii="仿宋_GB2312"/>
                <w:color w:val="auto"/>
                <w:sz w:val="24"/>
                <w:highlight w:val="none"/>
              </w:rPr>
              <w:t>²</w:t>
            </w:r>
            <w:r>
              <w:rPr>
                <w:rFonts w:hint="eastAsia" w:ascii="仿宋_GB2312" w:eastAsia="仿宋_GB2312"/>
                <w:color w:val="auto"/>
                <w:sz w:val="24"/>
                <w:highlight w:val="none"/>
              </w:rPr>
              <w:t>，10元/ m</w:t>
            </w:r>
            <w:r>
              <w:rPr>
                <w:rFonts w:hint="eastAsia" w:ascii="仿宋_GB2312"/>
                <w:color w:val="auto"/>
                <w:sz w:val="24"/>
                <w:highlight w:val="none"/>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≥20000 m</w:t>
            </w:r>
            <w:r>
              <w:rPr>
                <w:rFonts w:hint="eastAsia" w:ascii="仿宋_GB2312"/>
                <w:color w:val="auto"/>
                <w:sz w:val="24"/>
                <w:highlight w:val="none"/>
              </w:rPr>
              <w:t>²</w:t>
            </w:r>
            <w:r>
              <w:rPr>
                <w:rFonts w:hint="eastAsia" w:ascii="仿宋_GB2312" w:eastAsia="仿宋_GB2312"/>
                <w:color w:val="auto"/>
                <w:sz w:val="24"/>
                <w:highlight w:val="none"/>
              </w:rPr>
              <w:t>， 8元/ m</w:t>
            </w:r>
            <w:r>
              <w:rPr>
                <w:rFonts w:hint="eastAsia" w:ascii="仿宋_GB2312"/>
                <w:color w:val="auto"/>
                <w:sz w:val="24"/>
                <w:highlight w:val="none"/>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94"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装修鉴定</w:t>
            </w:r>
          </w:p>
        </w:tc>
        <w:tc>
          <w:tcPr>
            <w:tcW w:w="186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砖混结构</w:t>
            </w: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20元/ m</w:t>
            </w:r>
            <w:r>
              <w:rPr>
                <w:rFonts w:hint="eastAsia" w:ascii="仿宋_GB2312"/>
                <w:color w:val="auto"/>
                <w:sz w:val="24"/>
                <w:highlight w:val="none"/>
              </w:rPr>
              <w:t>²（最低3000元）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框架结构</w:t>
            </w: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&lt;5000 m</w:t>
            </w:r>
            <w:r>
              <w:rPr>
                <w:rFonts w:hint="eastAsia" w:ascii="仿宋_GB2312"/>
                <w:color w:val="auto"/>
                <w:sz w:val="24"/>
                <w:highlight w:val="none"/>
              </w:rPr>
              <w:t>²</w:t>
            </w:r>
            <w:r>
              <w:rPr>
                <w:rFonts w:hint="eastAsia" w:ascii="仿宋_GB2312" w:eastAsia="仿宋_GB2312"/>
                <w:color w:val="auto"/>
                <w:sz w:val="24"/>
                <w:highlight w:val="none"/>
              </w:rPr>
              <w:t>，15元/ m</w:t>
            </w:r>
            <w:r>
              <w:rPr>
                <w:rFonts w:hint="eastAsia" w:ascii="仿宋_GB2312"/>
                <w:color w:val="auto"/>
                <w:sz w:val="24"/>
                <w:highlight w:val="none"/>
              </w:rPr>
              <w:t>²（最低5000元）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094"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186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olor w:val="auto"/>
                <w:sz w:val="24"/>
                <w:highlight w:val="none"/>
              </w:rPr>
            </w:pPr>
          </w:p>
        </w:tc>
        <w:tc>
          <w:tcPr>
            <w:tcW w:w="5331"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≥5000 m</w:t>
            </w:r>
            <w:r>
              <w:rPr>
                <w:rFonts w:hint="eastAsia" w:ascii="仿宋_GB2312"/>
                <w:color w:val="auto"/>
                <w:sz w:val="24"/>
                <w:highlight w:val="none"/>
              </w:rPr>
              <w:t>²</w:t>
            </w:r>
            <w:r>
              <w:rPr>
                <w:rFonts w:hint="eastAsia" w:ascii="仿宋_GB2312" w:eastAsia="仿宋_GB2312"/>
                <w:color w:val="auto"/>
                <w:sz w:val="24"/>
                <w:highlight w:val="none"/>
              </w:rPr>
              <w:t>，12元/ m</w:t>
            </w:r>
            <w:r>
              <w:rPr>
                <w:rFonts w:hint="eastAsia" w:ascii="仿宋_GB2312"/>
                <w:color w:val="auto"/>
                <w:sz w:val="24"/>
                <w:highlight w:val="none"/>
              </w:rPr>
              <w:t>²</w:t>
            </w:r>
          </w:p>
        </w:tc>
      </w:tr>
    </w:tbl>
    <w:p>
      <w:pPr>
        <w:keepNext w:val="0"/>
        <w:keepLines w:val="0"/>
        <w:pageBreakBefore w:val="0"/>
        <w:widowControl w:val="0"/>
        <w:kinsoku/>
        <w:wordWrap/>
        <w:overflowPunct/>
        <w:topLinePunct w:val="0"/>
        <w:autoSpaceDE/>
        <w:autoSpaceDN/>
        <w:bidi w:val="0"/>
        <w:spacing w:line="400" w:lineRule="exact"/>
        <w:jc w:val="left"/>
        <w:textAlignment w:val="auto"/>
        <w:outlineLvl w:val="0"/>
        <w:rPr>
          <w:rFonts w:hint="eastAsia" w:ascii="仿宋_GB2312" w:eastAsia="仿宋_GB2312"/>
          <w:b/>
          <w:color w:val="auto"/>
          <w:sz w:val="28"/>
          <w:szCs w:val="28"/>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outlineLvl w:val="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表三</w:t>
      </w:r>
    </w:p>
    <w:p>
      <w:pPr>
        <w:keepNext w:val="0"/>
        <w:keepLines w:val="0"/>
        <w:pageBreakBefore w:val="0"/>
        <w:widowControl w:val="0"/>
        <w:kinsoku/>
        <w:wordWrap/>
        <w:overflowPunct/>
        <w:topLinePunct w:val="0"/>
        <w:autoSpaceDE/>
        <w:autoSpaceDN/>
        <w:bidi w:val="0"/>
        <w:spacing w:line="400" w:lineRule="exact"/>
        <w:jc w:val="center"/>
        <w:textAlignment w:val="auto"/>
        <w:outlineLvl w:val="0"/>
        <w:rPr>
          <w:rFonts w:hint="eastAsia" w:ascii="方正小标宋简体" w:eastAsia="方正小标宋简体"/>
          <w:color w:val="auto"/>
          <w:sz w:val="32"/>
          <w:szCs w:val="32"/>
          <w:highlight w:val="none"/>
          <w:lang w:eastAsia="zh-CN"/>
        </w:rPr>
      </w:pPr>
      <w:r>
        <w:rPr>
          <w:rFonts w:hint="eastAsia" w:ascii="方正小标宋简体" w:eastAsia="方正小标宋简体"/>
          <w:color w:val="auto"/>
          <w:sz w:val="32"/>
          <w:szCs w:val="32"/>
          <w:highlight w:val="none"/>
        </w:rPr>
        <w:t>房屋安全检测单项收费</w:t>
      </w:r>
      <w:r>
        <w:rPr>
          <w:rFonts w:hint="eastAsia" w:ascii="方正小标宋简体" w:eastAsia="方正小标宋简体"/>
          <w:color w:val="auto"/>
          <w:sz w:val="32"/>
          <w:szCs w:val="32"/>
          <w:highlight w:val="none"/>
          <w:lang w:eastAsia="zh-CN"/>
        </w:rPr>
        <w:t>标准</w:t>
      </w:r>
    </w:p>
    <w:tbl>
      <w:tblPr>
        <w:tblStyle w:val="7"/>
        <w:tblW w:w="8568"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3477"/>
        <w:gridCol w:w="1678"/>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ascii="黑体" w:eastAsia="黑体"/>
                <w:color w:val="auto"/>
                <w:sz w:val="24"/>
                <w:highlight w:val="none"/>
              </w:rPr>
              <w:t>序号</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ascii="黑体" w:eastAsia="黑体"/>
                <w:color w:val="auto"/>
                <w:sz w:val="24"/>
                <w:highlight w:val="none"/>
              </w:rPr>
              <w:t>测试项目</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ascii="黑体" w:eastAsia="黑体"/>
                <w:color w:val="auto"/>
                <w:sz w:val="24"/>
                <w:highlight w:val="none"/>
              </w:rPr>
              <w:t>单位</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ascii="黑体" w:eastAsia="黑体"/>
                <w:color w:val="auto"/>
                <w:sz w:val="24"/>
                <w:highlight w:val="none"/>
                <w:lang w:eastAsia="zh-CN"/>
              </w:rPr>
              <w:t>收费标准</w:t>
            </w:r>
            <w:r>
              <w:rPr>
                <w:rFonts w:hint="eastAsia" w:ascii="黑体" w:eastAsia="黑体"/>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回弹法测试混凝土强度</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构件</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2</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超声回弹综合法测试混凝土强度</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构件</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3</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钻芯法测试混凝土强度</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每个芯样</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4</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超声法测试混凝土缺陷</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m2 /构件</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5</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钢筋保护层厚度及钢筋配置情况</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构件</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6</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楼板厚度</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构件</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7</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回弹法测试砂浆强度</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构件</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8</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贯入法测试砂浆强度</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构件</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9</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回弹法测试砖强度</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构件</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10</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原位轴压法测试砌体强度</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测点</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5000（总价不低于10000）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77"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11</w:t>
            </w:r>
          </w:p>
        </w:tc>
        <w:tc>
          <w:tcPr>
            <w:tcW w:w="3477"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color w:val="auto"/>
                <w:highlight w:val="none"/>
              </w:rPr>
            </w:pPr>
            <w:r>
              <w:rPr>
                <w:rFonts w:hint="eastAsia"/>
                <w:color w:val="auto"/>
                <w:highlight w:val="none"/>
              </w:rPr>
              <w:t>楼板结构性能试验</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(委托方负责堆载备料及搬运等工作)</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块</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77"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p>
        </w:tc>
        <w:tc>
          <w:tcPr>
            <w:tcW w:w="3477"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m2</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500（总价不低于5000）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12</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测量基准点制作</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点</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13</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color w:val="auto"/>
                <w:highlight w:val="none"/>
              </w:rPr>
            </w:pPr>
            <w:r>
              <w:rPr>
                <w:rFonts w:hint="eastAsia"/>
                <w:color w:val="auto"/>
                <w:highlight w:val="none"/>
              </w:rPr>
              <w:t>沉降观测</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（纯检测项目按2000元/幢.次收取）</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幢.次</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14</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color w:val="auto"/>
                <w:highlight w:val="none"/>
              </w:rPr>
            </w:pPr>
            <w:r>
              <w:rPr>
                <w:rFonts w:hint="eastAsia"/>
                <w:color w:val="auto"/>
                <w:highlight w:val="none"/>
              </w:rPr>
              <w:t>倾斜观测</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（纯检测项目按2000元/幢.次收取）</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幢.次</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15</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水平位移观测</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幢.次</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16</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裂缝监测</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条.次</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17</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构件变形观测</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构件</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eastAsia="方正小标宋简体"/>
                <w:color w:val="auto"/>
                <w:sz w:val="32"/>
                <w:szCs w:val="32"/>
                <w:highlight w:val="none"/>
                <w:vertAlign w:val="baseline"/>
              </w:rPr>
            </w:pPr>
            <w:r>
              <w:rPr>
                <w:rFonts w:hint="eastAsia"/>
                <w:color w:val="auto"/>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highlight w:val="none"/>
              </w:rPr>
            </w:pPr>
            <w:r>
              <w:rPr>
                <w:rFonts w:hint="eastAsia"/>
                <w:color w:val="auto"/>
                <w:highlight w:val="none"/>
              </w:rPr>
              <w:t>18</w:t>
            </w:r>
          </w:p>
        </w:tc>
        <w:tc>
          <w:tcPr>
            <w:tcW w:w="347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highlight w:val="none"/>
              </w:rPr>
            </w:pPr>
            <w:r>
              <w:rPr>
                <w:rFonts w:hint="eastAsia"/>
                <w:color w:val="auto"/>
                <w:highlight w:val="none"/>
              </w:rPr>
              <w:t>振动测试</w:t>
            </w:r>
          </w:p>
        </w:tc>
        <w:tc>
          <w:tcPr>
            <w:tcW w:w="167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highlight w:val="none"/>
              </w:rPr>
            </w:pPr>
            <w:r>
              <w:rPr>
                <w:rFonts w:hint="eastAsia"/>
                <w:color w:val="auto"/>
                <w:highlight w:val="none"/>
              </w:rPr>
              <w:t>点.次</w:t>
            </w:r>
          </w:p>
        </w:tc>
        <w:tc>
          <w:tcPr>
            <w:tcW w:w="253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color w:val="auto"/>
                <w:highlight w:val="none"/>
              </w:rPr>
            </w:pPr>
            <w:r>
              <w:rPr>
                <w:rFonts w:hint="eastAsia"/>
                <w:color w:val="auto"/>
                <w:highlight w:val="none"/>
              </w:rPr>
              <w:t>3000</w:t>
            </w:r>
          </w:p>
        </w:tc>
      </w:tr>
    </w:tbl>
    <w:p>
      <w:pPr>
        <w:keepNext w:val="0"/>
        <w:keepLines w:val="0"/>
        <w:pageBreakBefore w:val="0"/>
        <w:widowControl w:val="0"/>
        <w:numPr>
          <w:numId w:val="0"/>
        </w:numPr>
        <w:kinsoku/>
        <w:wordWrap/>
        <w:overflowPunct/>
        <w:topLinePunct w:val="0"/>
        <w:autoSpaceDE/>
        <w:autoSpaceDN/>
        <w:bidi w:val="0"/>
        <w:adjustRightInd/>
        <w:spacing w:line="360" w:lineRule="exact"/>
        <w:jc w:val="left"/>
        <w:textAlignment w:val="auto"/>
        <w:outlineLvl w:val="9"/>
        <w:rPr>
          <w:rFonts w:hint="eastAsia" w:ascii="宋体" w:hAnsi="宋体"/>
          <w:color w:val="auto"/>
          <w:kern w:val="28"/>
          <w:sz w:val="24"/>
          <w:szCs w:val="24"/>
          <w:highlight w:val="none"/>
          <w:lang w:eastAsia="zh-CN"/>
        </w:rPr>
      </w:pPr>
      <w:r>
        <w:rPr>
          <w:rFonts w:hint="eastAsia" w:ascii="宋体" w:hAnsi="宋体" w:cs="宋体"/>
          <w:b/>
          <w:color w:val="auto"/>
          <w:sz w:val="24"/>
          <w:szCs w:val="24"/>
          <w:highlight w:val="none"/>
          <w:lang w:eastAsia="zh-CN"/>
        </w:rPr>
        <w:t>二、</w:t>
      </w:r>
      <w:r>
        <w:rPr>
          <w:rFonts w:hint="eastAsia" w:ascii="宋体" w:hAnsi="宋体" w:cs="宋体"/>
          <w:b/>
          <w:color w:val="auto"/>
          <w:sz w:val="24"/>
          <w:szCs w:val="24"/>
          <w:highlight w:val="none"/>
        </w:rPr>
        <w:t>服务期限：</w:t>
      </w:r>
      <w:r>
        <w:rPr>
          <w:rFonts w:hint="eastAsia" w:ascii="宋体" w:hAnsi="宋体"/>
          <w:color w:val="auto"/>
          <w:kern w:val="28"/>
          <w:sz w:val="24"/>
          <w:szCs w:val="24"/>
          <w:highlight w:val="none"/>
        </w:rPr>
        <w:t>三年。合同为一年一签，招标人根据入围单位上一年度的履约考核情况决定是否续签，如续签，最多可续签两年。</w:t>
      </w:r>
    </w:p>
    <w:p>
      <w:pPr>
        <w:keepNext w:val="0"/>
        <w:keepLines w:val="0"/>
        <w:pageBreakBefore w:val="0"/>
        <w:widowControl w:val="0"/>
        <w:numPr>
          <w:numId w:val="0"/>
        </w:numPr>
        <w:kinsoku/>
        <w:wordWrap/>
        <w:overflowPunct/>
        <w:topLinePunct w:val="0"/>
        <w:autoSpaceDE/>
        <w:autoSpaceDN/>
        <w:bidi w:val="0"/>
        <w:adjustRightInd/>
        <w:spacing w:line="360" w:lineRule="exact"/>
        <w:jc w:val="left"/>
        <w:textAlignment w:val="auto"/>
        <w:outlineLvl w:val="9"/>
        <w:rPr>
          <w:rFonts w:hint="eastAsia"/>
          <w:color w:val="auto"/>
          <w:kern w:val="2"/>
          <w:sz w:val="24"/>
          <w:szCs w:val="24"/>
          <w:highlight w:val="none"/>
          <w:lang w:val="en-US" w:eastAsia="zh-CN" w:bidi="ar-SA"/>
        </w:rPr>
      </w:pPr>
      <w:r>
        <w:rPr>
          <w:rFonts w:hint="eastAsia"/>
          <w:b/>
          <w:bCs/>
          <w:color w:val="auto"/>
          <w:kern w:val="2"/>
          <w:sz w:val="24"/>
          <w:szCs w:val="24"/>
          <w:highlight w:val="none"/>
          <w:lang w:val="en-US" w:eastAsia="zh-CN" w:bidi="ar-SA"/>
        </w:rPr>
        <w:t>三、报告有效期：</w:t>
      </w:r>
      <w:r>
        <w:rPr>
          <w:rFonts w:hint="eastAsia"/>
          <w:color w:val="auto"/>
          <w:kern w:val="2"/>
          <w:sz w:val="24"/>
          <w:szCs w:val="24"/>
          <w:highlight w:val="none"/>
          <w:lang w:val="en-US" w:eastAsia="zh-CN" w:bidi="ar-SA"/>
        </w:rPr>
        <w:t>查勘、检测、鉴定报告有效期：12个月。</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color w:val="auto"/>
          <w:sz w:val="24"/>
          <w:szCs w:val="24"/>
          <w:highlight w:val="none"/>
        </w:rPr>
      </w:pPr>
      <w:r>
        <w:rPr>
          <w:rFonts w:hint="eastAsia" w:ascii="宋体" w:hAnsi="宋体" w:cs="宋体"/>
          <w:b/>
          <w:color w:val="auto"/>
          <w:sz w:val="24"/>
          <w:szCs w:val="24"/>
          <w:highlight w:val="none"/>
          <w:lang w:eastAsia="zh-CN"/>
        </w:rPr>
        <w:t>四</w:t>
      </w:r>
      <w:r>
        <w:rPr>
          <w:rFonts w:hint="eastAsia" w:ascii="宋体" w:hAnsi="宋体" w:cs="宋体"/>
          <w:b/>
          <w:color w:val="auto"/>
          <w:sz w:val="24"/>
          <w:szCs w:val="24"/>
          <w:highlight w:val="none"/>
        </w:rPr>
        <w:t>、履约保证金：</w:t>
      </w:r>
      <w:r>
        <w:rPr>
          <w:rFonts w:hint="eastAsia"/>
          <w:color w:val="auto"/>
          <w:kern w:val="2"/>
          <w:sz w:val="24"/>
          <w:szCs w:val="24"/>
          <w:highlight w:val="none"/>
          <w:lang w:val="en-US" w:eastAsia="zh-CN" w:bidi="ar-SA"/>
        </w:rPr>
        <w:t>5万元；</w:t>
      </w:r>
      <w:r>
        <w:rPr>
          <w:rFonts w:hint="eastAsia"/>
          <w:color w:val="auto"/>
          <w:sz w:val="24"/>
          <w:szCs w:val="24"/>
          <w:highlight w:val="none"/>
        </w:rPr>
        <w:t>须在合同签定之前缴纳，履约保证金在合同履行完成后退还（不计息）。</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color w:val="auto"/>
          <w:kern w:val="2"/>
          <w:sz w:val="24"/>
          <w:szCs w:val="24"/>
          <w:highlight w:val="none"/>
          <w:lang w:val="en-US" w:eastAsia="zh-CN" w:bidi="ar-SA"/>
        </w:rPr>
      </w:pPr>
      <w:r>
        <w:rPr>
          <w:rFonts w:hint="eastAsia" w:ascii="宋体" w:hAnsi="宋体" w:cs="宋体"/>
          <w:b/>
          <w:color w:val="auto"/>
          <w:sz w:val="24"/>
          <w:szCs w:val="24"/>
          <w:highlight w:val="none"/>
          <w:lang w:eastAsia="zh-CN"/>
        </w:rPr>
        <w:t>五</w:t>
      </w:r>
      <w:r>
        <w:rPr>
          <w:rFonts w:hint="eastAsia" w:ascii="宋体" w:hAnsi="宋体" w:cs="宋体"/>
          <w:b/>
          <w:color w:val="auto"/>
          <w:sz w:val="24"/>
          <w:szCs w:val="24"/>
          <w:highlight w:val="none"/>
        </w:rPr>
        <w:t>、付款方式：</w:t>
      </w:r>
      <w:r>
        <w:rPr>
          <w:rFonts w:hint="eastAsia"/>
          <w:color w:val="auto"/>
          <w:kern w:val="2"/>
          <w:sz w:val="24"/>
          <w:szCs w:val="24"/>
          <w:highlight w:val="none"/>
          <w:lang w:val="en-US" w:eastAsia="zh-CN" w:bidi="ar-SA"/>
        </w:rPr>
        <w:t>查勘、检测、鉴定等委托任务完成，提交采购人成果报告并经房屋安全管理部门确认后30日内支付。</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lang w:eastAsia="zh-CN"/>
        </w:rPr>
        <w:t>六</w:t>
      </w:r>
      <w:r>
        <w:rPr>
          <w:rFonts w:hint="eastAsia" w:ascii="宋体" w:hAnsi="宋体" w:cs="宋体"/>
          <w:b/>
          <w:color w:val="auto"/>
          <w:sz w:val="24"/>
          <w:szCs w:val="24"/>
          <w:highlight w:val="none"/>
        </w:rPr>
        <w:t>、知识产权产权归属</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lang w:eastAsia="zh-CN"/>
        </w:rPr>
        <w:t>七</w:t>
      </w:r>
      <w:r>
        <w:rPr>
          <w:rFonts w:hint="eastAsia" w:ascii="宋体" w:hAnsi="宋体" w:cs="宋体"/>
          <w:b/>
          <w:color w:val="auto"/>
          <w:sz w:val="24"/>
          <w:szCs w:val="24"/>
          <w:highlight w:val="none"/>
        </w:rPr>
        <w:t>、保密</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hint="eastAsia" w:ascii="宋体" w:hAnsi="宋体" w:cs="宋体"/>
          <w:color w:val="auto"/>
          <w:kern w:val="1"/>
          <w:sz w:val="24"/>
          <w:szCs w:val="24"/>
          <w:highlight w:val="none"/>
        </w:rPr>
        <w:t>乙方必须采取措施对本项目实施过程中的技术资料保密，否则，由于乙方过错导致的上述资料泄密的，乙方必须承担一切责任。项目完成后，甲、乙双方均有责任对本项目的技术保密承担责任。</w:t>
      </w:r>
    </w:p>
    <w:p>
      <w:pPr>
        <w:keepNext w:val="0"/>
        <w:keepLines w:val="0"/>
        <w:pageBreakBefore w:val="0"/>
        <w:widowControl w:val="0"/>
        <w:tabs>
          <w:tab w:val="left" w:pos="900"/>
        </w:tabs>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1）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keepNext w:val="0"/>
        <w:keepLines w:val="0"/>
        <w:pageBreakBefore w:val="0"/>
        <w:widowControl w:val="0"/>
        <w:tabs>
          <w:tab w:val="left" w:pos="900"/>
        </w:tabs>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2）如果甲方有要求，乙方在完成合同后应将有关资料还给甲方。</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lang w:eastAsia="zh-CN"/>
        </w:rPr>
        <w:t>八</w:t>
      </w:r>
      <w:r>
        <w:rPr>
          <w:rFonts w:hint="eastAsia" w:ascii="宋体" w:hAnsi="宋体" w:cs="宋体"/>
          <w:b/>
          <w:color w:val="auto"/>
          <w:sz w:val="24"/>
          <w:szCs w:val="24"/>
          <w:highlight w:val="none"/>
        </w:rPr>
        <w:t>、违约责任与赔偿损失</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60" w:lineRule="exact"/>
        <w:ind w:firstLine="240" w:firstLineChars="100"/>
        <w:textAlignment w:val="auto"/>
        <w:rPr>
          <w:rFonts w:hint="eastAsia" w:ascii="宋体" w:hAnsi="宋体" w:cs="宋体"/>
          <w:color w:val="auto"/>
          <w:kern w:val="1"/>
          <w:sz w:val="24"/>
          <w:szCs w:val="24"/>
          <w:highlight w:val="none"/>
          <w:lang w:val="en-US" w:eastAsia="zh-CN" w:bidi="ar-SA"/>
        </w:rPr>
      </w:pPr>
      <w:r>
        <w:rPr>
          <w:rFonts w:hint="eastAsia" w:ascii="宋体" w:hAnsi="宋体" w:cs="宋体"/>
          <w:color w:val="auto"/>
          <w:kern w:val="1"/>
          <w:sz w:val="24"/>
          <w:szCs w:val="24"/>
          <w:highlight w:val="none"/>
          <w:lang w:val="en-US" w:eastAsia="zh-CN" w:bidi="ar-SA"/>
        </w:rPr>
        <w:t>1．甲方无正当理由拒收接受服务的，甲方向乙方偿付合同款项百分之五作为违约金。</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60" w:lineRule="exact"/>
        <w:ind w:firstLine="240" w:firstLineChars="100"/>
        <w:textAlignment w:val="auto"/>
        <w:rPr>
          <w:rFonts w:hint="eastAsia" w:ascii="宋体" w:hAnsi="宋体" w:cs="宋体"/>
          <w:color w:val="auto"/>
          <w:kern w:val="1"/>
          <w:sz w:val="24"/>
          <w:szCs w:val="24"/>
          <w:highlight w:val="none"/>
          <w:lang w:val="en-US" w:eastAsia="zh-CN" w:bidi="ar-SA"/>
        </w:rPr>
      </w:pPr>
      <w:r>
        <w:rPr>
          <w:rFonts w:hint="eastAsia" w:ascii="宋体" w:hAnsi="宋体" w:cs="宋体"/>
          <w:color w:val="auto"/>
          <w:kern w:val="1"/>
          <w:sz w:val="24"/>
          <w:szCs w:val="24"/>
          <w:highlight w:val="none"/>
          <w:lang w:val="en-US" w:eastAsia="zh-CN" w:bidi="ar-SA"/>
        </w:rPr>
        <w:t>2．甲方无故逾期验收和办理款项支付手续的,甲方应按逾期付款总额每日万分之五向乙方支付违约金。</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60" w:lineRule="exact"/>
        <w:ind w:firstLine="240" w:firstLineChars="100"/>
        <w:textAlignment w:val="auto"/>
        <w:rPr>
          <w:rFonts w:hint="eastAsia" w:ascii="宋体" w:hAnsi="宋体" w:cs="宋体"/>
          <w:color w:val="auto"/>
          <w:kern w:val="1"/>
          <w:sz w:val="24"/>
          <w:szCs w:val="24"/>
          <w:highlight w:val="none"/>
          <w:lang w:val="en-US" w:eastAsia="zh-CN" w:bidi="ar-SA"/>
        </w:rPr>
      </w:pPr>
      <w:r>
        <w:rPr>
          <w:rFonts w:hint="eastAsia" w:ascii="宋体" w:hAnsi="宋体" w:cs="宋体"/>
          <w:color w:val="auto"/>
          <w:kern w:val="1"/>
          <w:sz w:val="24"/>
          <w:szCs w:val="24"/>
          <w:highlight w:val="none"/>
          <w:lang w:val="en-US" w:eastAsia="zh-CN" w:bidi="ar-SA"/>
        </w:rPr>
        <w:t xml:space="preserve">3． 乙方未能如期提供服务的，每日向甲方支付2000元作为违约金。乙方超过约定日期10个工作日仍不能提供服务的，甲方可解除本合同。乙方因未能如期提供服务或因其他违约行为导致甲方解除合同的，乙方应向甲方支付合同总价5%的违约金，如造成甲方损失超过违约金的，超出部分由乙方继续承担赔偿责任。 </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lang w:eastAsia="zh-CN"/>
        </w:rPr>
        <w:t>九</w:t>
      </w:r>
      <w:r>
        <w:rPr>
          <w:rFonts w:hint="eastAsia" w:ascii="宋体" w:hAnsi="宋体" w:cs="宋体"/>
          <w:b/>
          <w:color w:val="auto"/>
          <w:sz w:val="24"/>
          <w:szCs w:val="24"/>
          <w:highlight w:val="none"/>
        </w:rPr>
        <w:t>、争端的解决</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合同执行过程中发生的任何争议，如双方不能通过友好协商解决，甲、乙双方一致同意向甲方所在地人民法院提起诉讼。</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十、不可抗力</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一</w:t>
      </w:r>
      <w:r>
        <w:rPr>
          <w:rFonts w:hint="eastAsia" w:ascii="宋体" w:hAnsi="宋体" w:cs="宋体"/>
          <w:b/>
          <w:color w:val="auto"/>
          <w:sz w:val="24"/>
          <w:szCs w:val="24"/>
          <w:highlight w:val="none"/>
        </w:rPr>
        <w:t>、税费</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在中国境内、外发生的与本合同执行有关的一切税费均由乙方负担。</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二</w:t>
      </w:r>
      <w:r>
        <w:rPr>
          <w:rFonts w:hint="eastAsia" w:ascii="宋体" w:hAnsi="宋体" w:cs="宋体"/>
          <w:b/>
          <w:color w:val="auto"/>
          <w:sz w:val="24"/>
          <w:szCs w:val="24"/>
          <w:highlight w:val="none"/>
        </w:rPr>
        <w:t>、其它</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b/>
          <w:color w:val="auto"/>
          <w:kern w:val="1"/>
          <w:sz w:val="24"/>
          <w:szCs w:val="24"/>
          <w:highlight w:val="none"/>
        </w:rPr>
      </w:pPr>
      <w:r>
        <w:rPr>
          <w:rFonts w:ascii="宋体" w:hAnsi="宋体" w:cs="宋体"/>
          <w:color w:val="auto"/>
          <w:kern w:val="1"/>
          <w:sz w:val="24"/>
          <w:szCs w:val="24"/>
          <w:highlight w:val="none"/>
        </w:rPr>
        <w:t>1）本合同所有附件、采购文件、投标文件、</w:t>
      </w:r>
      <w:r>
        <w:rPr>
          <w:rFonts w:hint="eastAsia"/>
          <w:color w:val="auto"/>
          <w:sz w:val="24"/>
          <w:szCs w:val="24"/>
          <w:highlight w:val="none"/>
          <w:lang w:eastAsia="zh-CN"/>
        </w:rPr>
        <w:t>入围</w:t>
      </w:r>
      <w:r>
        <w:rPr>
          <w:rFonts w:ascii="宋体" w:hAnsi="宋体" w:cs="宋体"/>
          <w:color w:val="auto"/>
          <w:kern w:val="1"/>
          <w:sz w:val="24"/>
          <w:szCs w:val="24"/>
          <w:highlight w:val="none"/>
        </w:rPr>
        <w:t>通知书均为合同的有效组成部分，与本合同具有同等法律效力。</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bCs/>
          <w:color w:val="auto"/>
          <w:kern w:val="1"/>
          <w:sz w:val="24"/>
          <w:szCs w:val="24"/>
          <w:highlight w:val="none"/>
        </w:rPr>
        <w:t>2</w:t>
      </w:r>
      <w:r>
        <w:rPr>
          <w:rFonts w:ascii="宋体" w:hAnsi="宋体" w:cs="宋体"/>
          <w:color w:val="auto"/>
          <w:kern w:val="1"/>
          <w:sz w:val="24"/>
          <w:szCs w:val="24"/>
          <w:highlight w:val="none"/>
        </w:rPr>
        <w:t>）在执行本合同的过程中，所有经双方签署确认的文件（包括会议纪要、补充协议、往来信函）即成为本合同的有效组成部分。</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 xml:space="preserve">3）如一方地址、电话、传真号码有变更，应在变更当日内书面通知对方，否则，应承担相应责任。 </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4）除甲方事先书面同意外，乙方不得部分或全部转让其应履行的合同项下的义务。</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三</w:t>
      </w:r>
      <w:r>
        <w:rPr>
          <w:rFonts w:hint="eastAsia" w:ascii="宋体" w:hAnsi="宋体" w:cs="宋体"/>
          <w:b/>
          <w:color w:val="auto"/>
          <w:sz w:val="24"/>
          <w:szCs w:val="24"/>
          <w:highlight w:val="none"/>
        </w:rPr>
        <w:t>、合同生效</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1）合同自甲乙双方法人代表或其授权代表签字盖章之日起生效。</w:t>
      </w:r>
    </w:p>
    <w:p>
      <w:pPr>
        <w:keepNext w:val="0"/>
        <w:keepLines w:val="0"/>
        <w:pageBreakBefore w:val="0"/>
        <w:widowControl w:val="0"/>
        <w:kinsoku/>
        <w:wordWrap/>
        <w:overflowPunct/>
        <w:topLinePunct w:val="0"/>
        <w:autoSpaceDE/>
        <w:autoSpaceDN/>
        <w:bidi w:val="0"/>
        <w:adjustRightInd/>
        <w:spacing w:line="360" w:lineRule="exact"/>
        <w:ind w:firstLine="420"/>
        <w:textAlignment w:val="auto"/>
        <w:outlineLvl w:val="9"/>
        <w:rPr>
          <w:rFonts w:ascii="宋体" w:hAnsi="宋体" w:cs="宋体"/>
          <w:color w:val="auto"/>
          <w:kern w:val="1"/>
          <w:sz w:val="24"/>
          <w:szCs w:val="24"/>
          <w:highlight w:val="none"/>
        </w:rPr>
      </w:pPr>
      <w:r>
        <w:rPr>
          <w:rFonts w:ascii="宋体" w:hAnsi="宋体" w:cs="宋体"/>
          <w:color w:val="auto"/>
          <w:kern w:val="1"/>
          <w:sz w:val="24"/>
          <w:szCs w:val="24"/>
          <w:highlight w:val="none"/>
        </w:rPr>
        <w:t>2）合同壹式</w:t>
      </w:r>
      <w:r>
        <w:rPr>
          <w:rFonts w:ascii="宋体" w:hAnsi="宋体" w:cs="宋体"/>
          <w:color w:val="auto"/>
          <w:kern w:val="1"/>
          <w:sz w:val="24"/>
          <w:szCs w:val="24"/>
          <w:highlight w:val="none"/>
          <w:u w:val="single"/>
        </w:rPr>
        <w:t xml:space="preserve"> </w:t>
      </w:r>
      <w:r>
        <w:rPr>
          <w:rFonts w:hint="eastAsia" w:ascii="宋体" w:hAnsi="宋体" w:cs="宋体"/>
          <w:color w:val="auto"/>
          <w:kern w:val="1"/>
          <w:sz w:val="24"/>
          <w:szCs w:val="24"/>
          <w:highlight w:val="none"/>
          <w:u w:val="single"/>
          <w:lang w:eastAsia="zh-CN"/>
        </w:rPr>
        <w:t>柒</w:t>
      </w:r>
      <w:r>
        <w:rPr>
          <w:rFonts w:ascii="宋体" w:hAnsi="宋体" w:cs="宋体"/>
          <w:color w:val="auto"/>
          <w:kern w:val="1"/>
          <w:sz w:val="24"/>
          <w:szCs w:val="24"/>
          <w:highlight w:val="none"/>
          <w:u w:val="single"/>
        </w:rPr>
        <w:t xml:space="preserve"> </w:t>
      </w:r>
      <w:r>
        <w:rPr>
          <w:rFonts w:ascii="宋体" w:hAnsi="宋体" w:cs="宋体"/>
          <w:color w:val="auto"/>
          <w:kern w:val="1"/>
          <w:sz w:val="24"/>
          <w:szCs w:val="24"/>
          <w:highlight w:val="none"/>
        </w:rPr>
        <w:t>份，其中甲乙双方各执</w:t>
      </w:r>
      <w:r>
        <w:rPr>
          <w:rFonts w:ascii="宋体" w:hAnsi="宋体" w:cs="宋体"/>
          <w:color w:val="auto"/>
          <w:kern w:val="1"/>
          <w:sz w:val="24"/>
          <w:szCs w:val="24"/>
          <w:highlight w:val="none"/>
          <w:u w:val="single"/>
        </w:rPr>
        <w:t xml:space="preserve"> </w:t>
      </w:r>
      <w:r>
        <w:rPr>
          <w:rFonts w:hint="eastAsia" w:ascii="宋体" w:hAnsi="宋体" w:cs="宋体"/>
          <w:color w:val="auto"/>
          <w:kern w:val="1"/>
          <w:sz w:val="24"/>
          <w:szCs w:val="24"/>
          <w:highlight w:val="none"/>
          <w:u w:val="single"/>
          <w:lang w:eastAsia="zh-CN"/>
        </w:rPr>
        <w:t>贰</w:t>
      </w:r>
      <w:r>
        <w:rPr>
          <w:rFonts w:ascii="宋体" w:hAnsi="宋体" w:cs="宋体"/>
          <w:color w:val="auto"/>
          <w:kern w:val="1"/>
          <w:sz w:val="24"/>
          <w:szCs w:val="24"/>
          <w:highlight w:val="none"/>
          <w:u w:val="single"/>
        </w:rPr>
        <w:t xml:space="preserve"> </w:t>
      </w:r>
      <w:r>
        <w:rPr>
          <w:rFonts w:ascii="宋体" w:hAnsi="宋体" w:cs="宋体"/>
          <w:color w:val="auto"/>
          <w:kern w:val="1"/>
          <w:sz w:val="24"/>
          <w:szCs w:val="24"/>
          <w:highlight w:val="none"/>
        </w:rPr>
        <w:t>份，采购中心壹份，采购代理机构执壹份，政府采购监督管理部门壹份。</w:t>
      </w:r>
    </w:p>
    <w:p>
      <w:pPr>
        <w:keepNext w:val="0"/>
        <w:keepLines w:val="0"/>
        <w:pageBreakBefore w:val="0"/>
        <w:widowControl w:val="0"/>
        <w:kinsoku/>
        <w:wordWrap/>
        <w:overflowPunct/>
        <w:topLinePunct w:val="0"/>
        <w:autoSpaceDE/>
        <w:autoSpaceDN/>
        <w:bidi w:val="0"/>
        <w:adjustRightInd/>
        <w:spacing w:line="360" w:lineRule="auto"/>
        <w:ind w:firstLine="420"/>
        <w:textAlignment w:val="auto"/>
        <w:outlineLvl w:val="9"/>
        <w:rPr>
          <w:rFonts w:ascii="宋体" w:hAnsi="宋体" w:cs="宋体"/>
          <w:color w:val="auto"/>
          <w:kern w:val="1"/>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甲方（盖章）：                          乙方（盖章）：</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代表：                                  代表：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签定地点：</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签定日期：        年     月    日       签定日期：        年     月     日    </w:t>
      </w: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20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开户名称：</w:t>
      </w: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20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银行账号：</w:t>
      </w: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20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开 户 行：</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见证方（代理机构）：</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经办人：</w:t>
      </w:r>
    </w:p>
    <w:p>
      <w:pPr>
        <w:snapToGrid w:val="0"/>
        <w:spacing w:line="360" w:lineRule="auto"/>
        <w:rPr>
          <w:rFonts w:hint="eastAsia"/>
          <w:color w:val="auto"/>
          <w:sz w:val="24"/>
          <w:szCs w:val="24"/>
          <w:highlight w:val="none"/>
        </w:rPr>
      </w:pPr>
      <w:r>
        <w:rPr>
          <w:rFonts w:hint="eastAsia" w:ascii="宋体" w:hAnsi="宋体" w:cs="宋体"/>
          <w:color w:val="auto"/>
          <w:sz w:val="24"/>
          <w:szCs w:val="24"/>
          <w:highlight w:val="none"/>
        </w:rPr>
        <w:t>地址：</w:t>
      </w:r>
      <w:r>
        <w:rPr>
          <w:rFonts w:hint="eastAsia" w:ascii="宋体" w:hAnsi="宋体" w:cs="宋体"/>
          <w:color w:val="auto"/>
          <w:spacing w:val="-20"/>
          <w:sz w:val="24"/>
          <w:highlight w:val="none"/>
          <w:lang w:val="en-US" w:eastAsia="zh-CN"/>
        </w:rPr>
        <w:t>宁波市奉化区岳林街道斗门路136号艾盛环球中心（润合大厦）七楼</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                           签字日期：      年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月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000000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D832A2"/>
    <w:multiLevelType w:val="singleLevel"/>
    <w:tmpl w:val="BED832A2"/>
    <w:lvl w:ilvl="0" w:tentative="0">
      <w:start w:val="1"/>
      <w:numFmt w:val="decimal"/>
      <w:suff w:val="nothing"/>
      <w:lvlText w:val="%1）"/>
      <w:lvlJc w:val="left"/>
      <w:pPr>
        <w:ind w:left="315" w:firstLine="0"/>
      </w:pPr>
    </w:lvl>
  </w:abstractNum>
  <w:abstractNum w:abstractNumId="1">
    <w:nsid w:val="EBE3729B"/>
    <w:multiLevelType w:val="singleLevel"/>
    <w:tmpl w:val="EBE3729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F367D"/>
    <w:rsid w:val="028F367D"/>
    <w:rsid w:val="33CE4B62"/>
    <w:rsid w:val="6128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auto"/>
      <w:ind w:firstLine="420"/>
    </w:pPr>
    <w:rPr>
      <w:sz w:val="24"/>
    </w:rPr>
  </w:style>
  <w:style w:type="paragraph" w:styleId="3">
    <w:name w:val="Plain Text"/>
    <w:basedOn w:val="1"/>
    <w:qFormat/>
    <w:uiPriority w:val="0"/>
    <w:pPr>
      <w:spacing w:beforeLines="50" w:afterLines="50" w:line="400" w:lineRule="exact"/>
    </w:pPr>
    <w:rPr>
      <w:rFonts w:ascii="宋体" w:hAnsi="Courier New"/>
      <w:sz w:val="24"/>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2019-07-08T03:29:00Z</dcterms:created>
  <dc:creator>彧シ燊シ粼</dc:creator>
  <cp:lastModifiedBy>彧シ燊シ粼</cp:lastModifiedBy>
  <dcterms:modified xsi:type="dcterms:W3CDTF">2019-07-11T02:08:40Z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