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19" w:firstLineChars="149"/>
        <w:rPr>
          <w:b/>
          <w:color w:val="000000"/>
          <w:sz w:val="28"/>
          <w:szCs w:val="28"/>
        </w:rPr>
      </w:pPr>
      <w:bookmarkStart w:id="0" w:name="OLE_LINK3"/>
      <w:bookmarkStart w:id="1" w:name="OLE_LINK7"/>
      <w:bookmarkStart w:id="41" w:name="_GoBack"/>
      <w:bookmarkEnd w:id="41"/>
      <w:r>
        <w:rPr>
          <w:b/>
          <w:color w:val="000000"/>
          <w:sz w:val="28"/>
          <w:szCs w:val="28"/>
        </w:rPr>
        <w:t>基本格式：</w:t>
      </w:r>
    </w:p>
    <w:p>
      <w:pPr>
        <w:jc w:val="center"/>
        <w:rPr>
          <w:b/>
          <w:color w:val="000000"/>
          <w:sz w:val="32"/>
          <w:szCs w:val="32"/>
        </w:rPr>
      </w:pPr>
      <w:r>
        <w:rPr>
          <w:b/>
          <w:color w:val="000000"/>
          <w:sz w:val="32"/>
          <w:szCs w:val="32"/>
        </w:rPr>
        <w:t>关于对</w:t>
      </w:r>
      <w:r>
        <w:rPr>
          <w:rFonts w:hint="eastAsia" w:ascii="宋体" w:hAnsi="宋体" w:cs="宋体"/>
          <w:color w:val="000000"/>
          <w:sz w:val="28"/>
          <w:szCs w:val="28"/>
        </w:rPr>
        <w:t>★★★★★★★★★★</w:t>
      </w:r>
      <w:r>
        <w:rPr>
          <w:b/>
          <w:color w:val="000000"/>
          <w:sz w:val="32"/>
          <w:szCs w:val="32"/>
        </w:rPr>
        <w:t>项目的意见建议</w:t>
      </w:r>
    </w:p>
    <w:p>
      <w:pPr>
        <w:rPr>
          <w:rFonts w:hint="eastAsia"/>
          <w:color w:val="000000"/>
          <w:sz w:val="28"/>
          <w:szCs w:val="28"/>
        </w:rPr>
      </w:pPr>
      <w:r>
        <w:rPr>
          <w:rFonts w:hint="eastAsia"/>
          <w:color w:val="000000"/>
          <w:sz w:val="28"/>
          <w:szCs w:val="28"/>
        </w:rPr>
        <w:t>致：浙江华元工程咨询有限公司</w:t>
      </w:r>
    </w:p>
    <w:p>
      <w:pPr>
        <w:ind w:firstLine="560" w:firstLineChars="200"/>
        <w:rPr>
          <w:color w:val="000000"/>
          <w:sz w:val="28"/>
          <w:szCs w:val="28"/>
        </w:rPr>
      </w:pPr>
      <w:r>
        <w:rPr>
          <w:color w:val="000000"/>
          <w:sz w:val="28"/>
          <w:szCs w:val="28"/>
        </w:rPr>
        <w:t>对于贵</w:t>
      </w:r>
      <w:r>
        <w:rPr>
          <w:rFonts w:hint="eastAsia"/>
          <w:color w:val="000000"/>
          <w:sz w:val="28"/>
          <w:szCs w:val="28"/>
          <w:lang w:eastAsia="zh-CN"/>
        </w:rPr>
        <w:t>公司</w:t>
      </w:r>
      <w:r>
        <w:rPr>
          <w:color w:val="000000"/>
          <w:sz w:val="28"/>
          <w:szCs w:val="28"/>
        </w:rPr>
        <w:t>于201</w:t>
      </w:r>
      <w:r>
        <w:rPr>
          <w:rFonts w:hint="eastAsia"/>
          <w:color w:val="000000"/>
          <w:sz w:val="28"/>
          <w:szCs w:val="28"/>
          <w:lang w:val="en-US" w:eastAsia="zh-CN"/>
        </w:rPr>
        <w:t>9</w:t>
      </w:r>
      <w:r>
        <w:rPr>
          <w:color w:val="000000"/>
          <w:sz w:val="28"/>
          <w:szCs w:val="28"/>
        </w:rPr>
        <w:t>年</w:t>
      </w:r>
      <w:r>
        <w:rPr>
          <w:rFonts w:hint="eastAsia" w:ascii="宋体" w:hAnsi="宋体" w:cs="宋体"/>
          <w:color w:val="000000"/>
          <w:sz w:val="28"/>
          <w:szCs w:val="28"/>
        </w:rPr>
        <w:t>★</w:t>
      </w:r>
      <w:r>
        <w:rPr>
          <w:color w:val="000000"/>
          <w:sz w:val="28"/>
          <w:szCs w:val="28"/>
        </w:rPr>
        <w:t>月</w:t>
      </w:r>
      <w:r>
        <w:rPr>
          <w:rFonts w:hint="eastAsia" w:ascii="宋体" w:hAnsi="宋体" w:cs="宋体"/>
          <w:color w:val="000000"/>
          <w:sz w:val="28"/>
          <w:szCs w:val="28"/>
        </w:rPr>
        <w:t>★</w:t>
      </w:r>
      <w:r>
        <w:rPr>
          <w:color w:val="000000"/>
          <w:sz w:val="28"/>
          <w:szCs w:val="28"/>
        </w:rPr>
        <w:t>日公示的</w:t>
      </w:r>
      <w:r>
        <w:rPr>
          <w:rFonts w:hint="eastAsia" w:ascii="宋体" w:hAnsi="宋体" w:cs="宋体"/>
          <w:color w:val="000000"/>
          <w:sz w:val="28"/>
          <w:szCs w:val="28"/>
        </w:rPr>
        <w:t>★★★★★★★★</w:t>
      </w:r>
      <w:r>
        <w:rPr>
          <w:color w:val="000000"/>
          <w:sz w:val="28"/>
          <w:szCs w:val="28"/>
        </w:rPr>
        <w:t>采购要素，我公司有如下意见建议：</w:t>
      </w:r>
    </w:p>
    <w:tbl>
      <w:tblPr>
        <w:tblStyle w:val="29"/>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wBefore w:w="0" w:type="dxa"/>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28"/>
                <w:szCs w:val="28"/>
              </w:rPr>
            </w:pPr>
            <w:r>
              <w:rPr>
                <w:color w:val="000000"/>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28"/>
                <w:szCs w:val="28"/>
              </w:rPr>
            </w:pPr>
            <w:r>
              <w:rPr>
                <w:color w:val="000000"/>
                <w:sz w:val="28"/>
                <w:szCs w:val="28"/>
              </w:rPr>
              <w:t>本公司意见建议</w:t>
            </w:r>
          </w:p>
        </w:tc>
      </w:tr>
      <w:tr>
        <w:tblPrEx>
          <w:tblCellMar>
            <w:top w:w="0" w:type="dxa"/>
            <w:left w:w="108" w:type="dxa"/>
            <w:bottom w:w="0" w:type="dxa"/>
            <w:right w:w="108" w:type="dxa"/>
          </w:tblCellMar>
        </w:tblPrEx>
        <w:trPr>
          <w:wBefore w:w="0" w:type="dxa"/>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28"/>
                <w:szCs w:val="28"/>
              </w:rPr>
            </w:pPr>
          </w:p>
        </w:tc>
      </w:tr>
      <w:tr>
        <w:tblPrEx>
          <w:tblCellMar>
            <w:top w:w="0" w:type="dxa"/>
            <w:left w:w="108" w:type="dxa"/>
            <w:bottom w:w="0" w:type="dxa"/>
            <w:right w:w="108" w:type="dxa"/>
          </w:tblCellMar>
        </w:tblPrEx>
        <w:trPr>
          <w:wBefore w:w="0" w:type="dxa"/>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28"/>
                <w:szCs w:val="28"/>
              </w:rPr>
            </w:pPr>
          </w:p>
        </w:tc>
      </w:tr>
      <w:tr>
        <w:tblPrEx>
          <w:tblCellMar>
            <w:top w:w="0" w:type="dxa"/>
            <w:left w:w="108" w:type="dxa"/>
            <w:bottom w:w="0" w:type="dxa"/>
            <w:right w:w="108" w:type="dxa"/>
          </w:tblCellMar>
        </w:tblPrEx>
        <w:trPr>
          <w:wBefore w:w="0" w:type="dxa"/>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28"/>
                <w:szCs w:val="28"/>
              </w:rPr>
            </w:pPr>
          </w:p>
        </w:tc>
      </w:tr>
    </w:tbl>
    <w:p>
      <w:pPr>
        <w:rPr>
          <w:color w:val="000000"/>
          <w:sz w:val="28"/>
          <w:szCs w:val="28"/>
        </w:rPr>
      </w:pPr>
      <w:r>
        <w:rPr>
          <w:color w:val="000000"/>
          <w:sz w:val="28"/>
          <w:szCs w:val="28"/>
        </w:rPr>
        <w:t>传    真：</w:t>
      </w:r>
      <w:r>
        <w:rPr>
          <w:rFonts w:hint="eastAsia" w:ascii="宋体" w:hAnsi="宋体" w:cs="宋体"/>
          <w:color w:val="000000"/>
          <w:sz w:val="28"/>
          <w:szCs w:val="28"/>
        </w:rPr>
        <w:t>★★★★★★★★</w:t>
      </w:r>
    </w:p>
    <w:p>
      <w:pPr>
        <w:rPr>
          <w:color w:val="000000"/>
          <w:sz w:val="28"/>
          <w:szCs w:val="28"/>
        </w:rPr>
      </w:pPr>
      <w:r>
        <w:rPr>
          <w:color w:val="000000"/>
          <w:sz w:val="28"/>
          <w:szCs w:val="28"/>
        </w:rPr>
        <w:t>联 系 人：</w:t>
      </w:r>
      <w:r>
        <w:rPr>
          <w:rFonts w:hint="eastAsia" w:ascii="宋体" w:hAnsi="宋体" w:cs="宋体"/>
          <w:color w:val="000000"/>
          <w:sz w:val="28"/>
          <w:szCs w:val="28"/>
        </w:rPr>
        <w:t>★★★★★★★★</w:t>
      </w:r>
    </w:p>
    <w:p>
      <w:pPr>
        <w:rPr>
          <w:color w:val="000000"/>
          <w:sz w:val="28"/>
          <w:szCs w:val="28"/>
        </w:rPr>
      </w:pPr>
      <w:r>
        <w:rPr>
          <w:color w:val="000000"/>
          <w:sz w:val="28"/>
          <w:szCs w:val="28"/>
        </w:rPr>
        <w:t>联系电话：</w:t>
      </w:r>
      <w:r>
        <w:rPr>
          <w:rFonts w:hint="eastAsia" w:ascii="宋体" w:hAnsi="宋体" w:cs="宋体"/>
          <w:color w:val="000000"/>
          <w:sz w:val="28"/>
          <w:szCs w:val="28"/>
        </w:rPr>
        <w:t>★★★★★★★★★★</w:t>
      </w:r>
    </w:p>
    <w:p>
      <w:pPr>
        <w:rPr>
          <w:color w:val="000000"/>
          <w:sz w:val="28"/>
          <w:szCs w:val="28"/>
        </w:rPr>
      </w:pPr>
      <w:r>
        <w:rPr>
          <w:color w:val="000000"/>
          <w:sz w:val="28"/>
          <w:szCs w:val="28"/>
        </w:rPr>
        <w:t>联系手机：</w:t>
      </w:r>
      <w:r>
        <w:rPr>
          <w:rFonts w:hint="eastAsia" w:ascii="宋体" w:hAnsi="宋体" w:cs="宋体"/>
          <w:color w:val="000000"/>
          <w:sz w:val="28"/>
          <w:szCs w:val="28"/>
        </w:rPr>
        <w:t>★★★★★★★★★★</w:t>
      </w:r>
    </w:p>
    <w:p>
      <w:pPr>
        <w:ind w:left="4480" w:hanging="4480" w:hangingChars="1600"/>
        <w:rPr>
          <w:color w:val="000000"/>
          <w:sz w:val="28"/>
          <w:szCs w:val="28"/>
        </w:rPr>
      </w:pPr>
      <w:r>
        <w:rPr>
          <w:color w:val="000000"/>
          <w:sz w:val="28"/>
          <w:szCs w:val="28"/>
        </w:rPr>
        <w:t>电子邮箱：</w:t>
      </w:r>
      <w:r>
        <w:rPr>
          <w:rFonts w:hint="eastAsia" w:ascii="宋体" w:hAnsi="宋体" w:cs="宋体"/>
          <w:color w:val="000000"/>
          <w:sz w:val="28"/>
          <w:szCs w:val="28"/>
        </w:rPr>
        <w:t>★★★★★★★★★★</w:t>
      </w:r>
      <w:r>
        <w:rPr>
          <w:color w:val="000000"/>
          <w:sz w:val="28"/>
          <w:szCs w:val="28"/>
        </w:rPr>
        <w:t xml:space="preserve">                       </w:t>
      </w:r>
    </w:p>
    <w:p>
      <w:pPr>
        <w:ind w:left="4481" w:leftChars="2134" w:firstLine="140" w:firstLineChars="50"/>
        <w:rPr>
          <w:color w:val="000000"/>
          <w:sz w:val="28"/>
          <w:szCs w:val="28"/>
        </w:rPr>
      </w:pPr>
      <w:r>
        <w:rPr>
          <w:color w:val="000000"/>
          <w:sz w:val="28"/>
          <w:szCs w:val="28"/>
        </w:rPr>
        <w:t xml:space="preserve"> 单位名称：（加盖公章）</w:t>
      </w:r>
    </w:p>
    <w:p>
      <w:pPr>
        <w:ind w:left="4760" w:hanging="4760" w:hangingChars="1700"/>
        <w:rPr>
          <w:color w:val="000000"/>
          <w:sz w:val="28"/>
          <w:szCs w:val="28"/>
        </w:rPr>
      </w:pPr>
      <w:r>
        <w:rPr>
          <w:color w:val="000000"/>
          <w:sz w:val="28"/>
          <w:szCs w:val="28"/>
        </w:rPr>
        <w:t xml:space="preserve">                                   二O一</w:t>
      </w:r>
      <w:r>
        <w:rPr>
          <w:rFonts w:hint="eastAsia" w:ascii="宋体" w:hAnsi="宋体" w:cs="宋体"/>
          <w:color w:val="000000"/>
          <w:sz w:val="28"/>
          <w:szCs w:val="28"/>
        </w:rPr>
        <w:t>★</w:t>
      </w:r>
      <w:r>
        <w:rPr>
          <w:color w:val="000000"/>
          <w:sz w:val="28"/>
          <w:szCs w:val="28"/>
        </w:rPr>
        <w:t>年</w:t>
      </w:r>
      <w:r>
        <w:rPr>
          <w:rFonts w:hint="eastAsia" w:ascii="宋体" w:hAnsi="宋体" w:cs="宋体"/>
          <w:color w:val="000000"/>
          <w:sz w:val="28"/>
          <w:szCs w:val="28"/>
        </w:rPr>
        <w:t>★</w:t>
      </w:r>
      <w:r>
        <w:rPr>
          <w:color w:val="000000"/>
          <w:sz w:val="28"/>
          <w:szCs w:val="28"/>
        </w:rPr>
        <w:t>月</w:t>
      </w:r>
      <w:r>
        <w:rPr>
          <w:rFonts w:hint="eastAsia" w:ascii="宋体" w:hAnsi="宋体" w:cs="宋体"/>
          <w:color w:val="000000"/>
          <w:sz w:val="28"/>
          <w:szCs w:val="28"/>
        </w:rPr>
        <w:t>★</w:t>
      </w:r>
      <w:r>
        <w:rPr>
          <w:color w:val="000000"/>
          <w:sz w:val="28"/>
          <w:szCs w:val="28"/>
        </w:rPr>
        <w:t>日</w:t>
      </w:r>
    </w:p>
    <w:p>
      <w:pPr>
        <w:rPr>
          <w:color w:val="000000"/>
        </w:rPr>
      </w:pPr>
    </w:p>
    <w:p>
      <w:pPr>
        <w:rPr>
          <w:color w:val="000000"/>
        </w:rPr>
      </w:pPr>
      <w:r>
        <w:rPr>
          <w:color w:val="000000"/>
        </w:rPr>
        <w:t>注：</w:t>
      </w:r>
    </w:p>
    <w:p>
      <w:pPr>
        <w:rPr>
          <w:color w:val="000000"/>
        </w:rPr>
      </w:pPr>
      <w:r>
        <w:rPr>
          <w:color w:val="000000"/>
        </w:rPr>
        <w:t>1、针对本项目的意见建议仅供采购人完善采购需求参考所用！</w:t>
      </w:r>
    </w:p>
    <w:p>
      <w:pPr>
        <w:rPr>
          <w:color w:val="000000"/>
        </w:rPr>
      </w:pPr>
      <w:r>
        <w:rPr>
          <w:color w:val="000000"/>
        </w:rPr>
        <w:t>2、意见建议以书面（含传真）为准，供应商必须同时提供WORD版电子稿，并电话与中心项目联系人确认接收，否则视为供应商未提交书面意见建议。</w:t>
      </w:r>
    </w:p>
    <w:p>
      <w:pPr>
        <w:jc w:val="center"/>
        <w:rPr>
          <w:b/>
          <w:color w:val="000000"/>
          <w:sz w:val="24"/>
        </w:rPr>
      </w:pPr>
    </w:p>
    <w:p>
      <w:pPr>
        <w:jc w:val="center"/>
        <w:rPr>
          <w:b/>
          <w:bCs/>
          <w:color w:val="000000"/>
          <w:sz w:val="32"/>
          <w:szCs w:val="32"/>
        </w:rPr>
      </w:pPr>
    </w:p>
    <w:p>
      <w:pPr>
        <w:jc w:val="center"/>
        <w:rPr>
          <w:b/>
          <w:bCs/>
          <w:color w:val="000000"/>
          <w:sz w:val="32"/>
          <w:szCs w:val="32"/>
        </w:rPr>
      </w:pPr>
    </w:p>
    <w:p>
      <w:pPr>
        <w:ind w:firstLine="708" w:firstLineChars="196"/>
        <w:jc w:val="center"/>
        <w:rPr>
          <w:rFonts w:hint="eastAsia" w:ascii="黑体" w:hAnsi="新宋体" w:eastAsia="黑体"/>
          <w:b/>
          <w:bCs/>
          <w:color w:val="000000"/>
          <w:sz w:val="36"/>
          <w:szCs w:val="36"/>
        </w:rPr>
      </w:pPr>
    </w:p>
    <w:bookmarkEnd w:id="0"/>
    <w:bookmarkEnd w:id="1"/>
    <w:p>
      <w:pPr>
        <w:ind w:firstLine="562" w:firstLineChars="200"/>
        <w:jc w:val="center"/>
        <w:rPr>
          <w:rFonts w:hint="eastAsia" w:ascii="宋体" w:hAnsi="宋体"/>
          <w:b/>
          <w:bCs/>
          <w:color w:val="000000"/>
          <w:sz w:val="28"/>
          <w:szCs w:val="28"/>
          <w:lang w:val="en-US" w:eastAsia="zh-CN"/>
        </w:rPr>
      </w:pPr>
      <w:r>
        <w:rPr>
          <w:rFonts w:hint="eastAsia" w:ascii="宋体" w:hAnsi="宋体"/>
          <w:b/>
          <w:bCs/>
          <w:color w:val="000000"/>
          <w:sz w:val="28"/>
          <w:szCs w:val="28"/>
          <w:lang w:eastAsia="zh-CN"/>
        </w:rPr>
        <w:t>诸暨市智慧交通内场350M集群系统扩容采购项目</w:t>
      </w:r>
      <w:r>
        <w:rPr>
          <w:rFonts w:hint="eastAsia" w:ascii="宋体" w:hAnsi="宋体"/>
          <w:b/>
          <w:bCs/>
          <w:color w:val="000000"/>
          <w:sz w:val="28"/>
          <w:szCs w:val="28"/>
          <w:lang w:val="en-US" w:eastAsia="zh-CN"/>
        </w:rPr>
        <w:t>采购要素</w:t>
      </w:r>
    </w:p>
    <w:p>
      <w:pPr>
        <w:ind w:firstLine="482" w:firstLineChars="200"/>
        <w:jc w:val="center"/>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（编号：浙华元2019-01-03）</w:t>
      </w:r>
    </w:p>
    <w:p>
      <w:pPr>
        <w:ind w:left="472"/>
        <w:rPr>
          <w:rFonts w:hint="eastAsia" w:ascii="宋体" w:hAnsi="宋体"/>
          <w:color w:val="000000"/>
          <w:sz w:val="24"/>
          <w:szCs w:val="24"/>
        </w:rPr>
      </w:pPr>
      <w:r>
        <w:rPr>
          <w:rFonts w:hint="eastAsia" w:ascii="宋体" w:hAnsi="宋体"/>
          <w:b/>
          <w:color w:val="000000"/>
          <w:sz w:val="24"/>
        </w:rPr>
        <w:t>一、项目名称：</w:t>
      </w:r>
      <w:r>
        <w:rPr>
          <w:rFonts w:hint="eastAsia" w:ascii="宋体" w:hAnsi="宋体"/>
          <w:color w:val="000000"/>
          <w:sz w:val="24"/>
          <w:szCs w:val="24"/>
          <w:lang w:eastAsia="zh-CN"/>
        </w:rPr>
        <w:t>诸暨市智慧交通内场350M集群系统扩容采购项目</w:t>
      </w:r>
    </w:p>
    <w:p>
      <w:pPr>
        <w:ind w:left="472"/>
        <w:rPr>
          <w:rFonts w:hint="eastAsia" w:ascii="宋体" w:hAnsi="宋体"/>
          <w:b/>
          <w:color w:val="000000"/>
          <w:sz w:val="24"/>
        </w:rPr>
      </w:pPr>
      <w:r>
        <w:rPr>
          <w:rFonts w:hint="eastAsia" w:ascii="宋体" w:hAnsi="宋体"/>
          <w:b/>
          <w:color w:val="000000"/>
          <w:sz w:val="24"/>
        </w:rPr>
        <w:t>二、</w:t>
      </w:r>
      <w:r>
        <w:rPr>
          <w:rFonts w:hint="eastAsia" w:ascii="宋体" w:hAnsi="宋体" w:cs="宋体"/>
          <w:b/>
          <w:color w:val="000000"/>
          <w:sz w:val="24"/>
          <w:szCs w:val="24"/>
        </w:rPr>
        <w:t>项目内容及规模：</w:t>
      </w:r>
    </w:p>
    <w:p>
      <w:pPr>
        <w:keepNext/>
        <w:keepLines/>
        <w:tabs>
          <w:tab w:val="left" w:pos="567"/>
        </w:tabs>
        <w:spacing w:line="408" w:lineRule="auto"/>
        <w:ind w:firstLine="480" w:firstLineChars="200"/>
        <w:outlineLvl w:val="1"/>
        <w:rPr>
          <w:rFonts w:hint="eastAsia" w:ascii="宋体" w:hAnsi="宋体" w:eastAsia="宋体"/>
          <w:color w:val="000000"/>
          <w:sz w:val="24"/>
          <w:szCs w:val="24"/>
          <w:lang w:eastAsia="zh-CN"/>
        </w:rPr>
      </w:pPr>
      <w:r>
        <w:rPr>
          <w:rFonts w:hint="eastAsia" w:ascii="宋体" w:hAnsi="宋体"/>
          <w:color w:val="000000"/>
          <w:sz w:val="24"/>
          <w:szCs w:val="24"/>
        </w:rPr>
        <w:t>本次采购内容为</w:t>
      </w:r>
      <w:r>
        <w:rPr>
          <w:rFonts w:hint="eastAsia" w:ascii="宋体" w:hAnsi="宋体"/>
          <w:color w:val="000000"/>
          <w:sz w:val="24"/>
          <w:szCs w:val="24"/>
          <w:lang w:eastAsia="zh-CN"/>
        </w:rPr>
        <w:t>诸暨市智慧交通内场350M集群系统扩容采购项目</w:t>
      </w:r>
      <w:r>
        <w:rPr>
          <w:rFonts w:hint="eastAsia" w:ascii="宋体" w:hAnsi="宋体"/>
          <w:color w:val="000000"/>
          <w:sz w:val="24"/>
          <w:szCs w:val="24"/>
        </w:rPr>
        <w:t>，招标预算金额为</w:t>
      </w:r>
      <w:r>
        <w:rPr>
          <w:rFonts w:hint="eastAsia" w:ascii="宋体" w:hAnsi="宋体"/>
          <w:color w:val="000000"/>
          <w:sz w:val="24"/>
          <w:szCs w:val="24"/>
          <w:lang w:val="en-US" w:eastAsia="zh-CN"/>
        </w:rPr>
        <w:t>75</w:t>
      </w:r>
      <w:r>
        <w:rPr>
          <w:rFonts w:hint="eastAsia" w:ascii="宋体" w:hAnsi="宋体"/>
          <w:color w:val="000000"/>
          <w:sz w:val="24"/>
          <w:szCs w:val="24"/>
        </w:rPr>
        <w:t>万元。</w:t>
      </w:r>
      <w:r>
        <w:rPr>
          <w:rFonts w:hint="eastAsia" w:ascii="宋体" w:hAnsi="宋体"/>
          <w:color w:val="000000"/>
          <w:sz w:val="24"/>
          <w:szCs w:val="24"/>
          <w:lang w:eastAsia="zh-CN"/>
        </w:rPr>
        <w:t>（详见采购需求内容）</w:t>
      </w:r>
    </w:p>
    <w:p>
      <w:pPr>
        <w:autoSpaceDE/>
        <w:autoSpaceDN/>
        <w:adjustRightInd/>
        <w:ind w:firstLine="482" w:firstLineChars="200"/>
        <w:rPr>
          <w:rFonts w:hint="eastAsia" w:ascii="宋体" w:hAnsi="宋体"/>
          <w:b/>
          <w:color w:val="000000"/>
          <w:sz w:val="24"/>
          <w:szCs w:val="24"/>
        </w:rPr>
      </w:pPr>
      <w:r>
        <w:rPr>
          <w:rFonts w:hint="eastAsia" w:ascii="宋体" w:hAnsi="宋体"/>
          <w:b/>
          <w:color w:val="000000"/>
          <w:sz w:val="24"/>
          <w:szCs w:val="24"/>
        </w:rPr>
        <w:t>三、投标人（供应商）资格要求：</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符合</w:t>
      </w:r>
      <w:r>
        <w:rPr>
          <w:rFonts w:hint="eastAsia" w:ascii="宋体" w:hAnsi="宋体"/>
          <w:color w:val="000000"/>
          <w:sz w:val="24"/>
          <w:szCs w:val="24"/>
        </w:rPr>
        <w:t>《中华人民共和国</w:t>
      </w:r>
      <w:r>
        <w:rPr>
          <w:rFonts w:ascii="宋体" w:hAnsi="宋体"/>
          <w:color w:val="000000"/>
          <w:sz w:val="24"/>
          <w:szCs w:val="24"/>
        </w:rPr>
        <w:t>政府采购法</w:t>
      </w:r>
      <w:r>
        <w:rPr>
          <w:rFonts w:hint="eastAsia" w:ascii="宋体" w:hAnsi="宋体"/>
          <w:color w:val="000000"/>
          <w:sz w:val="24"/>
          <w:szCs w:val="24"/>
        </w:rPr>
        <w:t>》</w:t>
      </w:r>
      <w:r>
        <w:rPr>
          <w:rFonts w:ascii="宋体" w:hAnsi="宋体"/>
          <w:color w:val="000000"/>
          <w:sz w:val="24"/>
          <w:szCs w:val="24"/>
        </w:rPr>
        <w:t>第二十二条之供应商资格规定</w:t>
      </w:r>
      <w:r>
        <w:rPr>
          <w:rFonts w:hint="eastAsia" w:ascii="宋体" w:hAnsi="宋体"/>
          <w:color w:val="000000"/>
          <w:sz w:val="24"/>
          <w:szCs w:val="24"/>
        </w:rPr>
        <w:t>；</w:t>
      </w:r>
    </w:p>
    <w:p>
      <w:pPr>
        <w:spacing w:line="440" w:lineRule="exact"/>
        <w:ind w:left="839" w:leftChars="228" w:hanging="360" w:hangingChars="150"/>
        <w:rPr>
          <w:rFonts w:ascii="宋体" w:hAnsi="宋体"/>
          <w:color w:val="000000"/>
          <w:sz w:val="24"/>
          <w:szCs w:val="24"/>
        </w:rPr>
      </w:pPr>
      <w:r>
        <w:rPr>
          <w:rFonts w:hint="eastAsia" w:ascii="宋体" w:hAnsi="宋体"/>
          <w:color w:val="000000"/>
          <w:sz w:val="24"/>
          <w:szCs w:val="24"/>
        </w:rPr>
        <w:t>2、</w:t>
      </w:r>
      <w:r>
        <w:rPr>
          <w:rFonts w:hint="eastAsia" w:ascii="宋体" w:hAnsi="宋体" w:cs="宋体"/>
          <w:sz w:val="24"/>
          <w:szCs w:val="24"/>
        </w:rPr>
        <w:t>营业执照经营项目与采购标的内容相符，具有良好信誉的企业法人</w:t>
      </w:r>
      <w:r>
        <w:rPr>
          <w:rFonts w:hint="eastAsia" w:ascii="宋体" w:hAnsi="宋体"/>
          <w:color w:val="000000"/>
          <w:sz w:val="24"/>
          <w:szCs w:val="24"/>
        </w:rPr>
        <w:t>；</w:t>
      </w:r>
    </w:p>
    <w:p>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3、本项目不接受联合体投标。</w:t>
      </w:r>
    </w:p>
    <w:p>
      <w:pPr>
        <w:autoSpaceDE/>
        <w:autoSpaceDN/>
        <w:adjustRightInd/>
        <w:spacing w:line="440" w:lineRule="exact"/>
        <w:ind w:firstLine="482" w:firstLineChars="200"/>
        <w:rPr>
          <w:rFonts w:hint="eastAsia" w:ascii="宋体" w:hAnsi="宋体"/>
          <w:b/>
          <w:color w:val="000000"/>
          <w:sz w:val="24"/>
          <w:szCs w:val="24"/>
        </w:rPr>
      </w:pPr>
      <w:r>
        <w:rPr>
          <w:rFonts w:hint="eastAsia" w:ascii="宋体" w:hAnsi="宋体"/>
          <w:b/>
          <w:color w:val="000000"/>
          <w:sz w:val="24"/>
          <w:szCs w:val="24"/>
        </w:rPr>
        <w:t>四、评标办法：综合评分法</w:t>
      </w:r>
    </w:p>
    <w:p>
      <w:pPr>
        <w:ind w:firstLine="480" w:firstLineChars="200"/>
        <w:rPr>
          <w:rFonts w:ascii="宋体" w:hAnsi="宋体"/>
          <w:color w:val="000000"/>
          <w:sz w:val="24"/>
          <w:szCs w:val="24"/>
        </w:rPr>
      </w:pPr>
      <w:r>
        <w:rPr>
          <w:rFonts w:hint="eastAsia" w:ascii="宋体" w:hAnsi="宋体"/>
          <w:color w:val="000000"/>
          <w:sz w:val="24"/>
        </w:rPr>
        <w:t>1</w:t>
      </w:r>
      <w:r>
        <w:rPr>
          <w:rFonts w:hint="eastAsia" w:ascii="宋体" w:hAnsi="宋体"/>
          <w:color w:val="000000"/>
          <w:sz w:val="24"/>
          <w:szCs w:val="24"/>
        </w:rPr>
        <w:t>、采用</w:t>
      </w:r>
      <w:r>
        <w:rPr>
          <w:rFonts w:hint="eastAsia" w:ascii="宋体" w:hAnsi="宋体"/>
          <w:color w:val="000000"/>
          <w:sz w:val="24"/>
          <w:szCs w:val="24"/>
          <w:u w:val="single"/>
        </w:rPr>
        <w:t>综合评分法</w:t>
      </w:r>
      <w:r>
        <w:rPr>
          <w:rFonts w:hint="eastAsia" w:ascii="宋体" w:hAnsi="宋体"/>
          <w:color w:val="000000"/>
          <w:sz w:val="24"/>
          <w:szCs w:val="24"/>
        </w:rPr>
        <w:t>。即在符合采购文件要求的前提下，择定最高得分者为第一中标候选人，即预中标人。</w:t>
      </w:r>
    </w:p>
    <w:p>
      <w:pPr>
        <w:ind w:firstLine="480" w:firstLineChars="200"/>
        <w:rPr>
          <w:rFonts w:ascii="宋体" w:hAnsi="宋体"/>
          <w:color w:val="000000"/>
          <w:sz w:val="24"/>
          <w:szCs w:val="24"/>
        </w:rPr>
      </w:pPr>
      <w:r>
        <w:rPr>
          <w:rFonts w:hint="eastAsia" w:ascii="宋体" w:hAnsi="宋体"/>
          <w:color w:val="000000"/>
          <w:sz w:val="24"/>
          <w:szCs w:val="24"/>
        </w:rPr>
        <w:t>2、 合格投标人的评标得分为各项目汇总得分，中标候选资格按评标得分由高到低顺序排列，得分相同的，按投标报价由低到高顺序排列；得分且投标报价相同的，按技术指标由高到低顺序排列。排名第一的的谈判响应人为中标候选人。评分过程中采用四舍五入法，并保留小数2位。</w:t>
      </w:r>
    </w:p>
    <w:p>
      <w:pPr>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评分办法</w:t>
      </w:r>
    </w:p>
    <w:p>
      <w:pPr>
        <w:spacing w:line="276" w:lineRule="auto"/>
        <w:ind w:firstLine="480" w:firstLineChars="200"/>
        <w:rPr>
          <w:rFonts w:hint="eastAsia" w:ascii="宋体" w:hAnsi="宋体"/>
          <w:color w:val="000000"/>
          <w:sz w:val="24"/>
          <w:szCs w:val="24"/>
        </w:rPr>
      </w:pPr>
      <w:r>
        <w:rPr>
          <w:rFonts w:hint="eastAsia" w:ascii="宋体" w:hAnsi="宋体"/>
          <w:color w:val="000000"/>
          <w:sz w:val="24"/>
          <w:szCs w:val="24"/>
        </w:rPr>
        <w:t>（1）满分为100分。总得分=技术得分+商务得分；</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技术得分=技术评分</w:t>
      </w:r>
      <w:r>
        <w:rPr>
          <w:rFonts w:hint="eastAsia" w:ascii="宋体" w:hAnsi="宋体"/>
          <w:color w:val="000000"/>
          <w:sz w:val="24"/>
          <w:szCs w:val="24"/>
        </w:rPr>
        <w:t>，</w:t>
      </w:r>
      <w:r>
        <w:rPr>
          <w:rFonts w:ascii="宋体" w:hAnsi="宋体"/>
          <w:color w:val="000000"/>
          <w:sz w:val="24"/>
          <w:szCs w:val="24"/>
        </w:rPr>
        <w:t>技术评分=</w:t>
      </w:r>
      <w:r>
        <w:rPr>
          <w:rFonts w:hint="eastAsia" w:ascii="宋体" w:hAnsi="宋体"/>
          <w:color w:val="000000"/>
          <w:sz w:val="24"/>
          <w:szCs w:val="24"/>
        </w:rPr>
        <w:t>去掉最高分、最低分后其他</w:t>
      </w:r>
      <w:r>
        <w:rPr>
          <w:rFonts w:ascii="宋体" w:hAnsi="宋体"/>
          <w:color w:val="000000"/>
          <w:sz w:val="24"/>
          <w:szCs w:val="24"/>
        </w:rPr>
        <w:t>评委的有效评分的算术平均数。</w:t>
      </w:r>
    </w:p>
    <w:p>
      <w:pPr>
        <w:spacing w:line="276" w:lineRule="auto"/>
        <w:ind w:firstLine="480" w:firstLineChars="200"/>
        <w:rPr>
          <w:rFonts w:hint="eastAsia" w:ascii="宋体" w:hAnsi="宋体"/>
          <w:color w:val="000000"/>
          <w:sz w:val="24"/>
          <w:szCs w:val="24"/>
        </w:rPr>
      </w:pPr>
      <w:r>
        <w:rPr>
          <w:rFonts w:hint="eastAsia" w:ascii="宋体" w:hAnsi="宋体"/>
          <w:color w:val="000000"/>
          <w:sz w:val="24"/>
          <w:szCs w:val="24"/>
        </w:rPr>
        <w:t>（</w:t>
      </w:r>
      <w:bookmarkStart w:id="2" w:name="_Hlk529351354"/>
      <w:r>
        <w:rPr>
          <w:rFonts w:ascii="宋体" w:hAnsi="宋体"/>
          <w:color w:val="000000"/>
          <w:sz w:val="24"/>
          <w:szCs w:val="24"/>
        </w:rPr>
        <w:t>3</w:t>
      </w:r>
      <w:r>
        <w:rPr>
          <w:rFonts w:hint="eastAsia" w:ascii="宋体" w:hAnsi="宋体"/>
          <w:color w:val="000000"/>
          <w:sz w:val="24"/>
          <w:szCs w:val="24"/>
        </w:rPr>
        <w:t>）商务得分=（评标基准价/投标报价）*价格权值*100，评标基准价=通过技术评审入围的最低投标报价，价格权值=</w:t>
      </w:r>
      <w:r>
        <w:rPr>
          <w:rFonts w:ascii="宋体" w:hAnsi="宋体"/>
          <w:color w:val="000000"/>
          <w:sz w:val="24"/>
          <w:szCs w:val="24"/>
        </w:rPr>
        <w:t>3</w:t>
      </w:r>
      <w:r>
        <w:rPr>
          <w:rFonts w:hint="eastAsia" w:ascii="宋体" w:hAnsi="宋体"/>
          <w:color w:val="000000"/>
          <w:sz w:val="24"/>
          <w:szCs w:val="24"/>
        </w:rPr>
        <w:t>0%；</w:t>
      </w:r>
    </w:p>
    <w:p>
      <w:pPr>
        <w:spacing w:line="276"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）技术分评分细则（</w:t>
      </w:r>
      <w:r>
        <w:rPr>
          <w:rFonts w:ascii="宋体" w:hAnsi="宋体"/>
          <w:color w:val="000000"/>
          <w:sz w:val="24"/>
          <w:szCs w:val="24"/>
        </w:rPr>
        <w:t>7</w:t>
      </w:r>
      <w:r>
        <w:rPr>
          <w:rFonts w:hint="eastAsia" w:ascii="宋体" w:hAnsi="宋体"/>
          <w:color w:val="000000"/>
          <w:sz w:val="24"/>
          <w:szCs w:val="24"/>
        </w:rPr>
        <w:t>0分）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40"/>
        <w:gridCol w:w="665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4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w:t>
            </w:r>
          </w:p>
        </w:tc>
        <w:tc>
          <w:tcPr>
            <w:tcW w:w="6658"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4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投标人的资质和业绩情况</w:t>
            </w:r>
          </w:p>
        </w:tc>
        <w:tc>
          <w:tcPr>
            <w:tcW w:w="6658" w:type="dxa"/>
            <w:noWrap w:val="0"/>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（1）投标人资质：投标人</w:t>
            </w:r>
            <w:r>
              <w:rPr>
                <w:rFonts w:hint="eastAsia" w:ascii="宋体" w:hAnsi="宋体" w:eastAsia="宋体" w:cs="宋体"/>
                <w:sz w:val="24"/>
                <w:szCs w:val="24"/>
                <w:lang w:val="zh-CN"/>
              </w:rPr>
              <w:t>具有ISO9001质量管理体系认证、ISO14001环境体系认证证书，每个证书得</w:t>
            </w:r>
            <w:r>
              <w:rPr>
                <w:rFonts w:hint="eastAsia" w:ascii="宋体" w:hAnsi="宋体" w:eastAsia="宋体" w:cs="宋体"/>
                <w:sz w:val="24"/>
                <w:szCs w:val="24"/>
              </w:rPr>
              <w:t>1</w:t>
            </w:r>
            <w:r>
              <w:rPr>
                <w:rFonts w:hint="eastAsia" w:ascii="宋体" w:hAnsi="宋体" w:eastAsia="宋体" w:cs="宋体"/>
                <w:sz w:val="24"/>
                <w:szCs w:val="24"/>
                <w:lang w:val="zh-CN"/>
              </w:rPr>
              <w:t>分，最高得</w:t>
            </w:r>
            <w:r>
              <w:rPr>
                <w:rFonts w:hint="eastAsia" w:ascii="宋体" w:hAnsi="宋体" w:eastAsia="宋体" w:cs="宋体"/>
                <w:sz w:val="24"/>
                <w:szCs w:val="24"/>
              </w:rPr>
              <w:t>2</w:t>
            </w:r>
            <w:r>
              <w:rPr>
                <w:rFonts w:hint="eastAsia" w:ascii="宋体" w:hAnsi="宋体" w:eastAsia="宋体" w:cs="宋体"/>
                <w:sz w:val="24"/>
                <w:szCs w:val="24"/>
                <w:lang w:val="zh-CN"/>
              </w:rPr>
              <w:t>分。（</w:t>
            </w:r>
            <w:r>
              <w:rPr>
                <w:rFonts w:hint="eastAsia" w:ascii="宋体" w:hAnsi="宋体" w:eastAsia="宋体" w:cs="宋体"/>
                <w:sz w:val="24"/>
                <w:szCs w:val="24"/>
              </w:rPr>
              <w:t>提</w:t>
            </w:r>
            <w:r>
              <w:rPr>
                <w:rFonts w:hint="eastAsia" w:ascii="宋体" w:hAnsi="宋体" w:eastAsia="宋体" w:cs="宋体"/>
                <w:sz w:val="24"/>
                <w:szCs w:val="24"/>
                <w:lang w:val="zh-CN"/>
              </w:rPr>
              <w:t>供证书原件</w:t>
            </w:r>
            <w:r>
              <w:rPr>
                <w:rFonts w:hint="eastAsia" w:ascii="宋体" w:hAnsi="宋体" w:eastAsia="宋体" w:cs="宋体"/>
                <w:sz w:val="24"/>
                <w:szCs w:val="24"/>
              </w:rPr>
              <w:t>及中国国家认证认可监督管理委员会网站查询截图证明材料，缺一不得分</w:t>
            </w:r>
            <w:r>
              <w:rPr>
                <w:rFonts w:hint="eastAsia" w:ascii="宋体" w:hAnsi="宋体" w:eastAsia="宋体" w:cs="宋体"/>
                <w:sz w:val="24"/>
                <w:szCs w:val="24"/>
                <w:lang w:val="zh-CN"/>
              </w:rPr>
              <w:t>）</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（2）投标人类似项目的成功经验：2015年1月以后投标人独立承担类似PDT数字集群通信系统建设项目案例，单项</w:t>
            </w:r>
            <w:r>
              <w:rPr>
                <w:rFonts w:hint="eastAsia" w:ascii="宋体" w:hAnsi="宋体" w:eastAsia="宋体" w:cs="宋体"/>
                <w:color w:val="auto"/>
                <w:sz w:val="24"/>
                <w:szCs w:val="24"/>
              </w:rPr>
              <w:t>金额超过100万人民币每个</w:t>
            </w:r>
            <w:r>
              <w:rPr>
                <w:rFonts w:hint="eastAsia" w:ascii="宋体" w:hAnsi="宋体" w:eastAsia="宋体" w:cs="宋体"/>
                <w:sz w:val="24"/>
                <w:szCs w:val="24"/>
              </w:rPr>
              <w:t>得1分，单项金额超过50万元人民币每只得0.5分，最高6分。（</w:t>
            </w:r>
            <w:r>
              <w:rPr>
                <w:rFonts w:hint="eastAsia" w:ascii="宋体" w:hAnsi="宋体" w:eastAsia="宋体" w:cs="宋体"/>
                <w:snapToGrid w:val="0"/>
                <w:sz w:val="24"/>
                <w:szCs w:val="24"/>
              </w:rPr>
              <w:t>提供</w:t>
            </w:r>
            <w:r>
              <w:rPr>
                <w:rFonts w:hint="eastAsia" w:ascii="宋体" w:hAnsi="宋体" w:eastAsia="宋体" w:cs="宋体"/>
                <w:sz w:val="24"/>
                <w:szCs w:val="24"/>
                <w:lang w:val="zh-CN"/>
              </w:rPr>
              <w:t>合同或</w:t>
            </w:r>
            <w:r>
              <w:rPr>
                <w:rFonts w:hint="eastAsia" w:ascii="宋体" w:hAnsi="宋体" w:eastAsia="宋体" w:cs="宋体"/>
                <w:sz w:val="24"/>
                <w:szCs w:val="24"/>
              </w:rPr>
              <w:t>用户验收报告原件，无原件不得分）</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投标方案的科学性和完整性</w:t>
            </w:r>
          </w:p>
        </w:tc>
        <w:tc>
          <w:tcPr>
            <w:tcW w:w="6658" w:type="dxa"/>
            <w:noWrap w:val="0"/>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 投标方案与用户实际需求的吻合程度，包括方案的科学性、先进性、可靠性、成熟性、合理性和扩展性；方案设计的功能实现以及方案配置的合理性等方面与项目对应需求的满足程度等综合打分，优[4,5],良[2,3]，差[0,1]；</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（2）投标人对诸暨市公安局PDT数字集群通信系统系统整体结构框架、系统设备组成和功能特性的了解情况，对目前系统的整体分布情况、信号覆盖情况等方面的了解程度综合打分，最高3分；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（3） 投标人对本项目的理解程度，是否能做到与原有诸暨市公安局PDT数字集群通信系统的无缝整合对接。是否体现前瞻性，合理性和可行性等综合评分，优[6,8],良[3,5]，差[0,2]。</w:t>
            </w:r>
          </w:p>
        </w:tc>
        <w:tc>
          <w:tcPr>
            <w:tcW w:w="772"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投标产品的性能与需求的吻合程度</w:t>
            </w:r>
          </w:p>
        </w:tc>
        <w:tc>
          <w:tcPr>
            <w:tcW w:w="6658" w:type="dxa"/>
            <w:noWrap w:val="0"/>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color w:val="auto"/>
                <w:sz w:val="24"/>
                <w:szCs w:val="24"/>
              </w:rPr>
              <w:t>投标设备的基本功能、技术指标与需求的吻合程度和偏差情况（包括所投标设备的品牌、规格型号、详细配置、主要技术参数、随机软件等）</w:t>
            </w:r>
            <w:r>
              <w:rPr>
                <w:rFonts w:hint="eastAsia" w:ascii="宋体" w:hAnsi="宋体" w:eastAsia="宋体" w:cs="宋体"/>
                <w:color w:val="000000"/>
                <w:sz w:val="24"/>
                <w:szCs w:val="24"/>
              </w:rPr>
              <w:t>，是否能够满足招标文件中设备功能技术要求一节中各项要求。完全满足得22分，</w:t>
            </w:r>
            <w:r>
              <w:rPr>
                <w:rFonts w:hint="eastAsia" w:ascii="宋体" w:hAnsi="宋体" w:eastAsia="宋体" w:cs="宋体"/>
                <w:b/>
                <w:bCs/>
                <w:color w:val="000000"/>
                <w:sz w:val="24"/>
                <w:szCs w:val="24"/>
                <w:lang w:eastAsia="zh-CN"/>
              </w:rPr>
              <w:t>带</w:t>
            </w:r>
            <w:r>
              <w:rPr>
                <w:rFonts w:hint="eastAsia" w:ascii="宋体" w:hAnsi="宋体" w:eastAsia="宋体" w:cs="宋体"/>
                <w:b/>
                <w:bCs/>
                <w:color w:val="000000"/>
                <w:sz w:val="24"/>
                <w:szCs w:val="24"/>
              </w:rPr>
              <w:t>★为实质性响应项，不满足则投标无效</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带“▲”技术参数每有一项负偏离的扣</w:t>
            </w:r>
            <w:r>
              <w:rPr>
                <w:rFonts w:hint="eastAsia" w:ascii="宋体" w:hAnsi="宋体" w:eastAsia="宋体" w:cs="宋体"/>
                <w:b/>
                <w:bCs/>
                <w:color w:val="000000"/>
                <w:sz w:val="24"/>
                <w:szCs w:val="24"/>
                <w:lang w:val="en-US" w:eastAsia="zh-CN"/>
              </w:rPr>
              <w:t>1.5</w:t>
            </w:r>
            <w:r>
              <w:rPr>
                <w:rFonts w:hint="eastAsia" w:ascii="宋体" w:hAnsi="宋体" w:eastAsia="宋体" w:cs="宋体"/>
                <w:b/>
                <w:bCs/>
                <w:color w:val="000000"/>
                <w:sz w:val="24"/>
                <w:szCs w:val="24"/>
              </w:rPr>
              <w:t>分，其余技术参数每有一项负偏离的扣</w:t>
            </w:r>
            <w:r>
              <w:rPr>
                <w:rFonts w:hint="eastAsia" w:ascii="宋体" w:hAnsi="宋体" w:eastAsia="宋体" w:cs="宋体"/>
                <w:b/>
                <w:bCs/>
                <w:color w:val="000000"/>
                <w:sz w:val="24"/>
                <w:szCs w:val="24"/>
                <w:lang w:val="en-US" w:eastAsia="zh-CN"/>
              </w:rPr>
              <w:t>0.5</w:t>
            </w:r>
            <w:r>
              <w:rPr>
                <w:rFonts w:hint="eastAsia" w:ascii="宋体" w:hAnsi="宋体" w:eastAsia="宋体" w:cs="宋体"/>
                <w:b/>
                <w:bCs/>
                <w:color w:val="000000"/>
                <w:sz w:val="24"/>
                <w:szCs w:val="24"/>
              </w:rPr>
              <w:t>分，扣完为止</w:t>
            </w:r>
            <w:r>
              <w:rPr>
                <w:rFonts w:hint="eastAsia" w:ascii="宋体" w:hAnsi="宋体" w:eastAsia="宋体" w:cs="宋体"/>
                <w:b/>
                <w:bCs/>
                <w:color w:val="000000"/>
                <w:sz w:val="24"/>
                <w:szCs w:val="24"/>
                <w:lang w:eastAsia="zh-CN"/>
              </w:rPr>
              <w:t>，</w:t>
            </w:r>
            <w:r>
              <w:rPr>
                <w:rFonts w:hint="eastAsia" w:ascii="宋体" w:hAnsi="宋体" w:eastAsia="宋体" w:cs="宋体"/>
                <w:color w:val="000000"/>
                <w:sz w:val="24"/>
                <w:szCs w:val="24"/>
              </w:rPr>
              <w:t>负偏离达20项（含）以上的作无效标</w:t>
            </w:r>
            <w:r>
              <w:rPr>
                <w:rFonts w:hint="eastAsia" w:ascii="宋体" w:hAnsi="宋体" w:eastAsia="宋体" w:cs="宋体"/>
                <w:color w:val="auto"/>
                <w:sz w:val="24"/>
                <w:szCs w:val="24"/>
              </w:rPr>
              <w:t>处理（具体偏离情况在技术偏离表中列明）</w:t>
            </w:r>
            <w:r>
              <w:rPr>
                <w:rFonts w:hint="eastAsia" w:ascii="宋体" w:hAnsi="宋体" w:eastAsia="宋体" w:cs="宋体"/>
                <w:color w:val="auto"/>
                <w:sz w:val="24"/>
                <w:szCs w:val="24"/>
                <w:lang w:eastAsia="zh-CN"/>
              </w:rPr>
              <w:t>。</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9"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提供主要设备型号核准证明文件</w:t>
            </w:r>
          </w:p>
        </w:tc>
        <w:tc>
          <w:tcPr>
            <w:tcW w:w="6658" w:type="dxa"/>
            <w:noWrap w:val="0"/>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投标文件中提供PDT基站设备型号核准证明文件的，得2分。</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4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资源整合和利用的能力</w:t>
            </w:r>
          </w:p>
        </w:tc>
        <w:tc>
          <w:tcPr>
            <w:tcW w:w="6658" w:type="dxa"/>
            <w:noWrap w:val="0"/>
            <w:vAlign w:val="center"/>
          </w:tcPr>
          <w:p>
            <w:pPr>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根据投标方案提出的资源整合和利用能力的可操作，是否考虑到利用现有系统以及其它各相关信息系统的全部或部分设备，以及投标设备与采购单位原有设备的有机结合情况综合打分，最高2分。</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99" w:type="dxa"/>
            <w:noWrap w:val="0"/>
            <w:vAlign w:val="center"/>
          </w:tcPr>
          <w:p>
            <w:pPr>
              <w:tabs>
                <w:tab w:val="left" w:pos="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740" w:type="dxa"/>
            <w:noWrap w:val="0"/>
            <w:vAlign w:val="center"/>
          </w:tcPr>
          <w:p>
            <w:pPr>
              <w:tabs>
                <w:tab w:val="left" w:pos="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提供现场勘测确认函</w:t>
            </w:r>
          </w:p>
        </w:tc>
        <w:tc>
          <w:tcPr>
            <w:tcW w:w="6658" w:type="dxa"/>
            <w:noWrap w:val="0"/>
            <w:vAlign w:val="center"/>
          </w:tcPr>
          <w:p>
            <w:pPr>
              <w:tabs>
                <w:tab w:val="left" w:pos="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根据投标人对基站场所和环境进行现场了解和信号勘测情况进行综合打分，最高5分（提供用户单位现场勘测确认函，不提供不得分）</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740" w:type="dxa"/>
            <w:noWrap w:val="0"/>
            <w:vAlign w:val="center"/>
          </w:tcPr>
          <w:p>
            <w:pPr>
              <w:tabs>
                <w:tab w:val="left" w:pos="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6658" w:type="dxa"/>
            <w:noWrap w:val="0"/>
            <w:vAlign w:val="center"/>
          </w:tcPr>
          <w:p>
            <w:pPr>
              <w:tabs>
                <w:tab w:val="left" w:pos="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综合比较各投标人针对本次项目的售后服务承诺情况，包含售后服务点基本情况、人员配备、</w:t>
            </w:r>
            <w:r>
              <w:rPr>
                <w:rFonts w:hint="eastAsia" w:ascii="宋体" w:hAnsi="宋体" w:eastAsia="宋体" w:cs="宋体"/>
                <w:sz w:val="24"/>
                <w:szCs w:val="24"/>
                <w:shd w:val="clear" w:color="auto" w:fill="FFFFFF"/>
              </w:rPr>
              <w:t>响应时间、保障措施、质保期后维保费用</w:t>
            </w:r>
            <w:r>
              <w:rPr>
                <w:rFonts w:hint="eastAsia" w:ascii="宋体" w:hAnsi="宋体" w:eastAsia="宋体" w:cs="宋体"/>
                <w:sz w:val="24"/>
                <w:szCs w:val="24"/>
              </w:rPr>
              <w:t>，以及投标人承诺的售后服务的可行性和实际效果。综合打分，优[4,5],良[2,3]，差[0,1]。</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740" w:type="dxa"/>
            <w:noWrap w:val="0"/>
            <w:vAlign w:val="center"/>
          </w:tcPr>
          <w:p>
            <w:pPr>
              <w:tabs>
                <w:tab w:val="left" w:pos="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项目组人员素质</w:t>
            </w:r>
          </w:p>
          <w:p>
            <w:pPr>
              <w:spacing w:line="360" w:lineRule="auto"/>
              <w:jc w:val="center"/>
              <w:rPr>
                <w:rFonts w:hint="eastAsia" w:ascii="宋体" w:hAnsi="宋体" w:eastAsia="宋体" w:cs="宋体"/>
                <w:sz w:val="24"/>
                <w:szCs w:val="24"/>
              </w:rPr>
            </w:pPr>
          </w:p>
        </w:tc>
        <w:tc>
          <w:tcPr>
            <w:tcW w:w="6658" w:type="dxa"/>
            <w:noWrap w:val="0"/>
            <w:vAlign w:val="center"/>
          </w:tcPr>
          <w:p>
            <w:pPr>
              <w:tabs>
                <w:tab w:val="left" w:pos="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投标人</w:t>
            </w:r>
            <w:r>
              <w:rPr>
                <w:rFonts w:hint="eastAsia" w:ascii="宋体" w:hAnsi="宋体" w:eastAsia="宋体" w:cs="宋体"/>
                <w:sz w:val="24"/>
                <w:szCs w:val="24"/>
                <w:lang w:val="zh-CN"/>
              </w:rPr>
              <w:t>提供的管理组织、项目实施规范和管理制度的完备性，是否有完善的质量管理体系，并能有效实施；</w:t>
            </w:r>
            <w:r>
              <w:rPr>
                <w:rFonts w:hint="eastAsia" w:ascii="宋体" w:hAnsi="宋体" w:eastAsia="宋体" w:cs="宋体"/>
                <w:sz w:val="24"/>
                <w:szCs w:val="24"/>
              </w:rPr>
              <w:t>拟投入本项目的管理与作业人员总数、作业设备、软件的综合水平等情况综合打分，最高2分。</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99" w:type="dxa"/>
            <w:noWrap w:val="0"/>
            <w:vAlign w:val="center"/>
          </w:tcPr>
          <w:p>
            <w:pPr>
              <w:tabs>
                <w:tab w:val="left" w:pos="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740" w:type="dxa"/>
            <w:noWrap w:val="0"/>
            <w:vAlign w:val="center"/>
          </w:tcPr>
          <w:p>
            <w:pPr>
              <w:tabs>
                <w:tab w:val="left" w:pos="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培训计划、验收方案</w:t>
            </w:r>
          </w:p>
        </w:tc>
        <w:tc>
          <w:tcPr>
            <w:tcW w:w="6658" w:type="dxa"/>
            <w:noWrap w:val="0"/>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(1)根据投标人提出培训计划、地点、组织、人员配备、软硬件资料等内容的完整性、科学合理性等综合打分，最高1分。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(2)根据投标人提出的验收方案合理性、可行性情况等综合打分，最高1分；</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740" w:type="dxa"/>
            <w:noWrap w:val="0"/>
            <w:vAlign w:val="center"/>
          </w:tcPr>
          <w:p>
            <w:pPr>
              <w:tabs>
                <w:tab w:val="left" w:pos="0"/>
              </w:tab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质量保证措施和建设工期情况</w:t>
            </w:r>
          </w:p>
        </w:tc>
        <w:tc>
          <w:tcPr>
            <w:tcW w:w="6658" w:type="dxa"/>
            <w:noWrap w:val="0"/>
            <w:vAlign w:val="top"/>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 根据投标人提供的建设质量目标的明确性，质量保证措施，实施内容</w:t>
            </w:r>
            <w:r>
              <w:rPr>
                <w:rFonts w:hint="eastAsia" w:ascii="宋体" w:hAnsi="宋体" w:eastAsia="宋体" w:cs="宋体"/>
                <w:sz w:val="24"/>
                <w:szCs w:val="24"/>
                <w:lang w:eastAsia="zh-CN"/>
              </w:rPr>
              <w:t>的</w:t>
            </w:r>
            <w:r>
              <w:rPr>
                <w:rFonts w:hint="eastAsia" w:ascii="宋体" w:hAnsi="宋体" w:eastAsia="宋体" w:cs="宋体"/>
                <w:sz w:val="24"/>
                <w:szCs w:val="24"/>
              </w:rPr>
              <w:t>详细打分，最高1分；</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 投标人提供的完成设备供货、系统集成、运行、验收等措施的完备性综合打分最高1分。</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74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优惠和承诺</w:t>
            </w:r>
          </w:p>
        </w:tc>
        <w:tc>
          <w:tcPr>
            <w:tcW w:w="6658" w:type="dxa"/>
            <w:noWrap w:val="0"/>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投标人提出的优惠条件和承诺情况，包括与其他软件、硬件产品供应商的合作和可实现程度等综合打分，最高2分。</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9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74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投标文件的制作情况</w:t>
            </w:r>
          </w:p>
        </w:tc>
        <w:tc>
          <w:tcPr>
            <w:tcW w:w="6658" w:type="dxa"/>
            <w:noWrap w:val="0"/>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投标方案点对点应答是否详尽、明晰，是否满足招标文件要求，投标文件编制是否完整、格式规范、内容齐全、表述准确、条理清晰，内容无前后矛盾，符合招标文件要求。</w:t>
            </w:r>
          </w:p>
        </w:tc>
        <w:tc>
          <w:tcPr>
            <w:tcW w:w="77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r>
      <w:bookmarkEnd w:id="2"/>
    </w:tbl>
    <w:p>
      <w:pPr>
        <w:pStyle w:val="121"/>
        <w:widowControl w:val="0"/>
        <w:spacing w:line="280" w:lineRule="exact"/>
        <w:ind w:left="0" w:leftChars="0" w:firstLine="480" w:firstLineChars="200"/>
        <w:rPr>
          <w:rFonts w:hint="eastAsia" w:ascii="宋体" w:hAnsi="宋体"/>
          <w:color w:val="000000"/>
          <w:sz w:val="21"/>
          <w:u w:val="single"/>
        </w:rPr>
      </w:pPr>
      <w:bookmarkStart w:id="3" w:name="_Toc125344512"/>
      <w:r>
        <w:rPr>
          <w:rFonts w:hint="eastAsia" w:ascii="宋体" w:hAnsi="宋体" w:cs="宋体"/>
          <w:color w:val="C00000"/>
          <w:lang w:val="zh-CN"/>
        </w:rPr>
        <w:t>注：采购机构在项目评审直至合同签订、履约期间，有权要求投标人出具合同或用户验收报告，予以确认其的真实性和有效性，如出现与事实不符等情况，将根据有关规定以“提供虚假材料谋取中标”予以处理。</w:t>
      </w:r>
    </w:p>
    <w:p>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本次评审采用竞争择优入围方式。参加投标单位六家（含）以下的，取技术分前三名入围（入围单位末名得分出现并列的，并列单位均入围，下同），进行商务评审（未入围的投标人不再进行商务评分，且不作为中标候选人，下同）；参加投标单位七家（含）以上九家（含）以下的的，取技术分前四名入围，进行商务评审；参加投标单位十家（含）以上，取技术前五名，进行商务评审。</w:t>
      </w:r>
    </w:p>
    <w:p>
      <w:pPr>
        <w:spacing w:line="360" w:lineRule="auto"/>
        <w:ind w:firstLine="480"/>
        <w:rPr>
          <w:rFonts w:hint="eastAsia" w:ascii="宋体" w:hAnsi="宋体" w:cs="宋体"/>
          <w:b/>
          <w:color w:val="000000"/>
          <w:sz w:val="24"/>
          <w:szCs w:val="24"/>
        </w:rPr>
      </w:pPr>
      <w:r>
        <w:rPr>
          <w:rFonts w:hint="eastAsia" w:ascii="宋体" w:hAnsi="宋体" w:cs="宋体"/>
          <w:color w:val="000000"/>
          <w:sz w:val="24"/>
          <w:szCs w:val="24"/>
        </w:rPr>
        <w:t>在商务评审环节出现废标的，按上述择优入围办法重新排定入围单位重新进行商务评审。</w:t>
      </w: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spacing w:line="500" w:lineRule="exact"/>
        <w:rPr>
          <w:rFonts w:hint="eastAsia" w:ascii="宋体" w:hAnsi="宋体"/>
          <w:b/>
          <w:color w:val="000000"/>
          <w:sz w:val="24"/>
        </w:rPr>
      </w:pPr>
    </w:p>
    <w:p>
      <w:pPr>
        <w:pStyle w:val="2"/>
        <w:spacing w:line="500" w:lineRule="exact"/>
        <w:ind w:firstLine="562" w:firstLineChars="200"/>
        <w:jc w:val="center"/>
        <w:rPr>
          <w:rFonts w:ascii="宋体" w:hAnsi="宋体"/>
          <w:color w:val="000000"/>
          <w:sz w:val="28"/>
          <w:szCs w:val="28"/>
        </w:rPr>
      </w:pPr>
      <w:r>
        <w:rPr>
          <w:rFonts w:hint="eastAsia" w:ascii="宋体" w:hAnsi="宋体"/>
          <w:color w:val="000000"/>
          <w:sz w:val="28"/>
          <w:szCs w:val="28"/>
        </w:rPr>
        <w:t>五、采购需求</w:t>
      </w:r>
      <w:bookmarkEnd w:id="3"/>
    </w:p>
    <w:p>
      <w:pPr>
        <w:spacing w:line="360" w:lineRule="auto"/>
        <w:ind w:firstLine="420"/>
        <w:rPr>
          <w:rFonts w:ascii="黑体" w:hAnsi="黑体" w:eastAsia="黑体"/>
          <w:b/>
          <w:bCs/>
          <w:color w:val="000000"/>
          <w:sz w:val="24"/>
          <w:szCs w:val="24"/>
          <w:u w:val="single"/>
        </w:rPr>
      </w:pPr>
      <w:r>
        <w:rPr>
          <w:rFonts w:hint="eastAsia" w:ascii="黑体" w:hAnsi="黑体" w:eastAsia="黑体"/>
          <w:b/>
          <w:bCs/>
          <w:color w:val="000000"/>
          <w:sz w:val="24"/>
          <w:szCs w:val="24"/>
          <w:u w:val="single"/>
        </w:rPr>
        <w:t>产品要求中有参考品牌、型号的仅作为投标方案参考，但投标产品品牌、型号至少应与参考品牌、型号相当。</w:t>
      </w:r>
    </w:p>
    <w:p>
      <w:pPr>
        <w:ind w:firstLine="420"/>
        <w:rPr>
          <w:rFonts w:hint="eastAsia" w:ascii="黑体" w:hAnsi="黑体" w:eastAsia="黑体"/>
          <w:b/>
          <w:bCs/>
          <w:color w:val="000000"/>
          <w:sz w:val="24"/>
          <w:szCs w:val="24"/>
          <w:u w:val="single"/>
        </w:rPr>
      </w:pPr>
      <w:r>
        <w:rPr>
          <w:rFonts w:hint="eastAsia" w:ascii="黑体" w:hAnsi="黑体" w:eastAsia="黑体"/>
          <w:b/>
          <w:bCs/>
          <w:color w:val="000000"/>
          <w:sz w:val="24"/>
          <w:szCs w:val="24"/>
          <w:u w:val="single"/>
        </w:rPr>
        <w:t>除参考品牌、型号以外，欢迎其它能满足本项目技术需求且性能与参考品牌、型号相当的产品参加。</w:t>
      </w:r>
    </w:p>
    <w:p>
      <w:pPr>
        <w:ind w:firstLine="420"/>
        <w:rPr>
          <w:rFonts w:hint="eastAsia" w:ascii="黑体" w:hAnsi="黑体" w:eastAsia="黑体"/>
          <w:b/>
          <w:bCs/>
          <w:color w:val="000000"/>
          <w:sz w:val="24"/>
          <w:szCs w:val="24"/>
          <w:u w:val="single"/>
        </w:rPr>
      </w:pPr>
    </w:p>
    <w:p>
      <w:pPr>
        <w:ind w:firstLine="361" w:firstLineChars="150"/>
        <w:rPr>
          <w:rFonts w:hint="eastAsia" w:ascii="宋体" w:hAnsi="宋体" w:cs="宋体"/>
          <w:b/>
          <w:color w:val="000000"/>
          <w:sz w:val="24"/>
          <w:szCs w:val="24"/>
          <w:u w:val="single"/>
        </w:rPr>
      </w:pPr>
      <w:r>
        <w:rPr>
          <w:rFonts w:hint="eastAsia" w:ascii="宋体" w:hAnsi="宋体" w:cs="宋体"/>
          <w:b/>
          <w:color w:val="000000"/>
          <w:sz w:val="24"/>
          <w:szCs w:val="24"/>
          <w:u w:val="single"/>
        </w:rPr>
        <w:t>注：★为实质性响应项，不满足则投标无效。“▲”是关键技术参数及要求。</w:t>
      </w:r>
    </w:p>
    <w:p>
      <w:pPr>
        <w:rPr>
          <w:rFonts w:ascii="宋体" w:hAnsi="宋体"/>
          <w:color w:val="000000"/>
          <w:sz w:val="24"/>
          <w:szCs w:val="24"/>
          <w:u w:val="single"/>
        </w:rPr>
      </w:pPr>
    </w:p>
    <w:p>
      <w:pPr>
        <w:pStyle w:val="17"/>
        <w:spacing w:after="0" w:afterLines="0" w:line="360" w:lineRule="auto"/>
        <w:ind w:left="0" w:leftChars="0" w:firstLine="0" w:firstLineChars="0"/>
        <w:outlineLvl w:val="1"/>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项目概况</w:t>
      </w:r>
    </w:p>
    <w:p>
      <w:pPr>
        <w:pStyle w:val="104"/>
        <w:ind w:firstLine="480"/>
        <w:rPr>
          <w:rFonts w:hint="eastAsia" w:cs="宋体"/>
        </w:rPr>
      </w:pPr>
      <w:r>
        <w:rPr>
          <w:rFonts w:hint="eastAsia" w:cs="宋体"/>
        </w:rPr>
        <w:t>随着诸暨市经济繁荣发展、城市功能完善、人口的进一步集聚，交通出行需求增长迅速，诸暨已经建设了现代化的交通硬件基础设施，并在智能交管建设方面取得了相当成果。</w:t>
      </w:r>
    </w:p>
    <w:p>
      <w:pPr>
        <w:pStyle w:val="104"/>
        <w:ind w:firstLine="480"/>
        <w:rPr>
          <w:rFonts w:hint="eastAsia" w:cs="宋体"/>
        </w:rPr>
      </w:pPr>
      <w:r>
        <w:rPr>
          <w:rFonts w:hint="eastAsia" w:cs="宋体"/>
        </w:rPr>
        <w:t>与诸暨市迅速发展共同到来的是城市交通原有的交通管理、治安交通供需矛盾日渐突出，目前诸暨道路交通管理系统越来越面临严峻的考验，对城市道路系统的智能交通管理提出了更高的要求，现有交通信息化、交通管理智能化的覆盖程度以及建设水平已跟不上日益发展变化的交通状况，智能交通管理系统目前的建设状况已不能满足公安交通管理现状需要，需要借助科学化、现代化的智能交通管理系统以提高道路运行效率及安全性。</w:t>
      </w:r>
    </w:p>
    <w:p>
      <w:pPr>
        <w:pStyle w:val="104"/>
        <w:ind w:firstLine="480"/>
        <w:rPr>
          <w:rFonts w:hint="eastAsia" w:cs="宋体"/>
        </w:rPr>
      </w:pPr>
      <w:r>
        <w:rPr>
          <w:rFonts w:hint="eastAsia" w:cs="宋体"/>
        </w:rPr>
        <w:t>为科学应对交通发展出现的问题，提高诸暨交通的规划、建设和管理水平，进一步指导未来的智能交通管理系统发展建设，开展诸暨市交通管理系统智能化建设项目工程。</w:t>
      </w:r>
    </w:p>
    <w:p>
      <w:pPr>
        <w:pStyle w:val="17"/>
        <w:spacing w:after="0" w:afterLines="0" w:line="360" w:lineRule="auto"/>
        <w:ind w:left="0" w:leftChars="0" w:firstLine="0" w:firstLineChars="0"/>
        <w:outlineLvl w:val="1"/>
        <w:rPr>
          <w:rFonts w:hint="eastAsia" w:ascii="宋体" w:hAnsi="宋体" w:eastAsia="宋体" w:cs="宋体"/>
          <w:b/>
          <w:kern w:val="0"/>
          <w:sz w:val="24"/>
          <w:szCs w:val="24"/>
          <w:lang w:eastAsia="zh-CN"/>
        </w:rPr>
      </w:pPr>
      <w:r>
        <w:rPr>
          <w:rFonts w:hint="eastAsia" w:ascii="宋体" w:hAnsi="宋体" w:cs="宋体"/>
          <w:b/>
          <w:kern w:val="0"/>
          <w:sz w:val="24"/>
          <w:szCs w:val="24"/>
          <w:lang w:eastAsia="zh-CN"/>
        </w:rPr>
        <w:t>（二）</w:t>
      </w:r>
      <w:r>
        <w:rPr>
          <w:rFonts w:hint="eastAsia" w:ascii="宋体" w:hAnsi="宋体" w:eastAsia="宋体" w:cs="宋体"/>
          <w:b/>
          <w:kern w:val="0"/>
          <w:sz w:val="24"/>
          <w:szCs w:val="24"/>
          <w:lang w:eastAsia="zh-CN"/>
        </w:rPr>
        <w:t>项目建设范围与内容</w:t>
      </w:r>
    </w:p>
    <w:p>
      <w:pPr>
        <w:pStyle w:val="104"/>
        <w:ind w:firstLine="480"/>
        <w:rPr>
          <w:rFonts w:hint="eastAsia" w:cs="宋体"/>
        </w:rPr>
      </w:pPr>
      <w:r>
        <w:rPr>
          <w:rFonts w:hint="eastAsia" w:cs="宋体"/>
        </w:rPr>
        <w:t>本项目根据诸暨市智能交管的发展要求，基于国家智能交管管理系统框架内容，综合考虑目前国内外的智能交管管理系统技术和发展趋势，从整合角度出发，全面调研和深入分析诸暨市的智能交管系统已有建设成果、目前建设需求及可行性，编制适应诸暨市未来发展和道路交通管理需求的智能交通管理系统项目工程设计方案。</w:t>
      </w:r>
    </w:p>
    <w:p>
      <w:pPr>
        <w:pStyle w:val="104"/>
        <w:ind w:firstLine="480"/>
        <w:rPr>
          <w:rFonts w:hint="eastAsia" w:cs="宋体"/>
        </w:rPr>
      </w:pPr>
      <w:r>
        <w:rPr>
          <w:rFonts w:hint="eastAsia" w:cs="宋体"/>
        </w:rPr>
        <w:t>本次设计实施范围主要包括三个区域，从内到外分别是：环城东路、环城北路、环城西路、耀江隧道、竺萝路组成的内环区域；二环东路、二环北路、二环西路、五纹岭隧道、市南环路组成的二环内区域；以及三环线。其中，穿越市中心的艮塔路是除两条环线道路以外最重要的城市道路。</w:t>
      </w:r>
    </w:p>
    <w:p>
      <w:pPr>
        <w:pStyle w:val="104"/>
        <w:ind w:firstLine="480"/>
        <w:rPr>
          <w:rFonts w:hint="eastAsia" w:cs="宋体"/>
        </w:rPr>
      </w:pPr>
      <w:r>
        <w:rPr>
          <w:rFonts w:hint="eastAsia" w:cs="宋体"/>
        </w:rPr>
        <w:t>本次工程设计指导的时间范畴：需满足诸暨近五年来的指导交通智能化发展需要。</w:t>
      </w:r>
    </w:p>
    <w:p>
      <w:pPr>
        <w:spacing w:line="360" w:lineRule="auto"/>
        <w:jc w:val="center"/>
        <w:rPr>
          <w:rFonts w:hint="eastAsia" w:ascii="宋体" w:hAnsi="宋体" w:cs="宋体"/>
        </w:rPr>
      </w:pPr>
      <w:r>
        <w:rPr>
          <w:rFonts w:hint="eastAsia" w:ascii="宋体" w:hAnsi="宋体" w:cs="宋体"/>
        </w:rPr>
        <w:drawing>
          <wp:inline distT="0" distB="0" distL="114300" distR="114300">
            <wp:extent cx="5082540" cy="4655820"/>
            <wp:effectExtent l="0" t="0" r="3810" b="1143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082540" cy="4655820"/>
                    </a:xfrm>
                    <a:prstGeom prst="rect">
                      <a:avLst/>
                    </a:prstGeom>
                    <a:noFill/>
                    <a:ln>
                      <a:noFill/>
                    </a:ln>
                  </pic:spPr>
                </pic:pic>
              </a:graphicData>
            </a:graphic>
          </wp:inline>
        </w:drawing>
      </w:r>
    </w:p>
    <w:p>
      <w:pPr>
        <w:pStyle w:val="9"/>
        <w:ind w:firstLine="400"/>
        <w:jc w:val="center"/>
        <w:rPr>
          <w:rFonts w:hint="eastAsia" w:ascii="宋体" w:hAnsi="宋体" w:eastAsia="宋体" w:cs="宋体"/>
        </w:rPr>
      </w:pPr>
      <w:r>
        <w:rPr>
          <w:rFonts w:hint="eastAsia" w:ascii="宋体" w:hAnsi="宋体" w:eastAsia="宋体" w:cs="宋体"/>
        </w:rPr>
        <w:t>图1 工程设计范围示意图</w:t>
      </w:r>
    </w:p>
    <w:p>
      <w:pPr>
        <w:pStyle w:val="6"/>
        <w:spacing w:before="0" w:beforeLines="0" w:after="0" w:afterLines="0" w:line="360" w:lineRule="auto"/>
        <w:ind w:firstLine="482" w:firstLineChars="200"/>
        <w:rPr>
          <w:rFonts w:hint="eastAsia" w:ascii="宋体" w:hAnsi="宋体" w:cs="宋体"/>
        </w:rPr>
      </w:pPr>
      <w:r>
        <w:rPr>
          <w:rFonts w:hint="eastAsia" w:ascii="宋体" w:hAnsi="宋体" w:cs="宋体"/>
        </w:rPr>
        <w:t>本次诸暨智慧交管主要建设内容有：</w:t>
      </w:r>
    </w:p>
    <w:p>
      <w:pPr>
        <w:spacing w:line="360" w:lineRule="auto"/>
        <w:ind w:firstLine="482" w:firstLineChars="200"/>
        <w:rPr>
          <w:rFonts w:hint="eastAsia" w:ascii="宋体" w:hAnsi="宋体" w:cs="宋体"/>
          <w:sz w:val="24"/>
        </w:rPr>
      </w:pPr>
      <w:r>
        <w:rPr>
          <w:rFonts w:hint="eastAsia" w:ascii="宋体" w:hAnsi="宋体" w:cs="宋体"/>
          <w:b/>
          <w:sz w:val="24"/>
        </w:rPr>
        <w:t>基础系统完善升级：</w:t>
      </w:r>
      <w:r>
        <w:rPr>
          <w:rFonts w:hint="eastAsia" w:ascii="宋体" w:hAnsi="宋体" w:cs="宋体"/>
          <w:sz w:val="24"/>
        </w:rPr>
        <w:t>交通事件检测系统（违停及警卫路线、礼让行人、行人闯红灯）、交通违法监测系统（新建电警、 补装电警、反向电警、车辆长度检测、干道违法抓拍）、高清视频监控系统（ 普通高位、180度高位、360度高位、互联网监控）、高清卡口系统（新建卡口）；</w:t>
      </w:r>
    </w:p>
    <w:p>
      <w:pPr>
        <w:spacing w:line="360" w:lineRule="auto"/>
        <w:ind w:firstLine="482" w:firstLineChars="200"/>
        <w:rPr>
          <w:rFonts w:hint="eastAsia" w:ascii="宋体" w:hAnsi="宋体" w:cs="宋体"/>
          <w:sz w:val="24"/>
        </w:rPr>
      </w:pPr>
      <w:r>
        <w:rPr>
          <w:rFonts w:hint="eastAsia" w:ascii="宋体" w:hAnsi="宋体" w:cs="宋体"/>
          <w:b/>
          <w:sz w:val="24"/>
        </w:rPr>
        <w:t>指挥中心硬软件升级改造</w:t>
      </w:r>
      <w:r>
        <w:rPr>
          <w:rFonts w:hint="eastAsia" w:ascii="宋体" w:hAnsi="宋体" w:cs="宋体"/>
          <w:sz w:val="24"/>
        </w:rPr>
        <w:t>：包括后台硬件（交换机、光模块、云存储软件及改造、服务器及其他办公设备等）及配套网络设施完善（网络安全等）、软件应用系统升级改造（信控平台升级、视频会议系统、交通运行指数发布系统等）</w:t>
      </w:r>
    </w:p>
    <w:p>
      <w:pPr>
        <w:spacing w:line="360" w:lineRule="auto"/>
        <w:ind w:firstLine="482" w:firstLineChars="200"/>
        <w:rPr>
          <w:rFonts w:hint="eastAsia" w:ascii="宋体" w:hAnsi="宋体" w:cs="宋体"/>
          <w:sz w:val="24"/>
        </w:rPr>
      </w:pPr>
      <w:r>
        <w:rPr>
          <w:rFonts w:hint="eastAsia" w:ascii="宋体" w:hAnsi="宋体" w:cs="宋体"/>
          <w:b/>
          <w:sz w:val="24"/>
        </w:rPr>
        <w:t>创新示范区</w:t>
      </w:r>
      <w:r>
        <w:rPr>
          <w:rFonts w:hint="eastAsia" w:ascii="宋体" w:hAnsi="宋体" w:cs="宋体"/>
          <w:sz w:val="24"/>
        </w:rPr>
        <w:t>：（智慧斑马线示范、智能信号灯示范、交通组织精细化精准化示范等）。</w:t>
      </w:r>
    </w:p>
    <w:p>
      <w:pPr>
        <w:pStyle w:val="104"/>
        <w:ind w:firstLine="480"/>
        <w:rPr>
          <w:rFonts w:hint="eastAsia" w:cs="宋体"/>
          <w:color w:val="C00000"/>
        </w:rPr>
      </w:pPr>
      <w:r>
        <w:rPr>
          <w:rFonts w:hint="eastAsia" w:cs="宋体"/>
          <w:snapToGrid w:val="0"/>
          <w:color w:val="C00000"/>
        </w:rPr>
        <w:t>本标段主要是</w:t>
      </w:r>
      <w:bookmarkStart w:id="4" w:name="_Hlk533519104"/>
      <w:r>
        <w:rPr>
          <w:rFonts w:hint="eastAsia" w:cs="宋体"/>
          <w:color w:val="C00000"/>
        </w:rPr>
        <w:t>智慧交通内场350M集群系统扩容</w:t>
      </w:r>
      <w:bookmarkEnd w:id="4"/>
      <w:r>
        <w:rPr>
          <w:rFonts w:hint="eastAsia" w:cs="宋体"/>
          <w:color w:val="C00000"/>
        </w:rPr>
        <w:t>采购标段。</w:t>
      </w:r>
    </w:p>
    <w:p>
      <w:pPr>
        <w:pStyle w:val="17"/>
        <w:spacing w:after="0" w:afterLines="0" w:line="360" w:lineRule="auto"/>
        <w:ind w:left="0" w:leftChars="0" w:firstLine="0" w:firstLineChars="0"/>
        <w:outlineLvl w:val="1"/>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智慧交通内场350M集群系统扩容采购</w:t>
      </w:r>
      <w:r>
        <w:rPr>
          <w:rFonts w:hint="eastAsia" w:ascii="宋体" w:hAnsi="宋体" w:cs="宋体"/>
          <w:b/>
          <w:kern w:val="0"/>
          <w:sz w:val="24"/>
          <w:szCs w:val="24"/>
          <w:lang w:eastAsia="zh-CN"/>
        </w:rPr>
        <w:t>内容及要求</w:t>
      </w:r>
    </w:p>
    <w:p>
      <w:pPr>
        <w:spacing w:line="360" w:lineRule="auto"/>
        <w:rPr>
          <w:rFonts w:hint="eastAsia" w:ascii="宋体" w:hAnsi="宋体" w:cs="宋体"/>
          <w:b/>
          <w:sz w:val="24"/>
        </w:rPr>
      </w:pPr>
      <w:r>
        <w:rPr>
          <w:rFonts w:hint="eastAsia" w:ascii="宋体" w:hAnsi="宋体" w:cs="宋体"/>
          <w:b/>
          <w:sz w:val="24"/>
        </w:rPr>
        <w:t>1.总体需求</w:t>
      </w:r>
    </w:p>
    <w:p>
      <w:pPr>
        <w:spacing w:line="360" w:lineRule="auto"/>
        <w:ind w:firstLine="470" w:firstLineChars="196"/>
        <w:rPr>
          <w:rFonts w:hint="eastAsia" w:ascii="宋体" w:hAnsi="宋体" w:cs="宋体"/>
          <w:sz w:val="24"/>
        </w:rPr>
      </w:pPr>
      <w:r>
        <w:rPr>
          <w:rFonts w:hint="eastAsia" w:ascii="宋体" w:hAnsi="宋体" w:cs="宋体"/>
          <w:sz w:val="24"/>
        </w:rPr>
        <w:t>诸暨市公安局警用PDT系统项目于2016年4月建设完成，共建设有14个固定基站及1个移动基站。在一年多的运行时间里经历了G20峰会等重大安保活动，为整个诸暨市公安局公安人员提供可靠的无线通信保障。同时，也发现整个系统覆盖还有一些盲区，主要在店口镇及次坞镇的***内部及附近检查站的无线信号覆盖还比较弱，影响了***民警日常**工作。拟在这两处附近的运营商基站所在地建设两套2载波基站，为这两处及周边地区提供无线通信覆盖。同时新增一批终端设备及配套附件。</w:t>
      </w:r>
    </w:p>
    <w:p>
      <w:pPr>
        <w:spacing w:line="360" w:lineRule="auto"/>
        <w:ind w:firstLine="470" w:firstLineChars="196"/>
        <w:rPr>
          <w:rFonts w:hint="eastAsia" w:ascii="宋体" w:hAnsi="宋体" w:cs="宋体"/>
          <w:sz w:val="24"/>
        </w:rPr>
      </w:pPr>
      <w:r>
        <w:rPr>
          <w:rFonts w:hint="eastAsia" w:ascii="宋体" w:hAnsi="宋体" w:cs="宋体"/>
          <w:sz w:val="24"/>
        </w:rPr>
        <w:t>新建设的PDT数字集群基站应该从系统核心、设备关键部件、传输链路等各个方面与原有PDT系统兼容，具有先进的全IP软交换架构，完全符合PDT标准，设备操作简单、维护方便，在系统整体设计上具备极高的可靠性和可扩展性。这样才能充分保证整套PDT数字集群系统运行的可靠与稳定。</w:t>
      </w:r>
    </w:p>
    <w:p>
      <w:pPr>
        <w:spacing w:line="360" w:lineRule="auto"/>
        <w:rPr>
          <w:rFonts w:hint="eastAsia" w:ascii="宋体" w:hAnsi="宋体" w:cs="宋体"/>
          <w:b/>
          <w:sz w:val="24"/>
        </w:rPr>
      </w:pPr>
      <w:r>
        <w:rPr>
          <w:rFonts w:hint="eastAsia" w:ascii="宋体" w:hAnsi="宋体" w:cs="宋体"/>
          <w:b/>
          <w:sz w:val="24"/>
        </w:rPr>
        <w:t>2.设备清单</w:t>
      </w:r>
    </w:p>
    <w:p>
      <w:pPr>
        <w:spacing w:line="360" w:lineRule="auto"/>
        <w:ind w:firstLine="482" w:firstLineChars="200"/>
        <w:rPr>
          <w:rFonts w:hint="eastAsia" w:ascii="宋体" w:hAnsi="宋体" w:cs="宋体"/>
          <w:b/>
          <w:bCs/>
          <w:sz w:val="24"/>
        </w:rPr>
      </w:pPr>
      <w:r>
        <w:rPr>
          <w:rFonts w:hint="eastAsia" w:ascii="宋体" w:hAnsi="宋体" w:cs="宋体"/>
          <w:b/>
          <w:bCs/>
          <w:sz w:val="24"/>
        </w:rPr>
        <w:t>（1）智慧交通内场350M集群系统扩容设备清单</w:t>
      </w:r>
    </w:p>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2910"/>
        <w:gridCol w:w="705"/>
        <w:gridCol w:w="1320"/>
        <w:gridCol w:w="2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blHeader/>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rPr>
            </w:pPr>
            <w:r>
              <w:rPr>
                <w:rFonts w:hint="eastAsia" w:ascii="宋体" w:hAnsi="宋体" w:cs="宋体"/>
                <w:b/>
              </w:rPr>
              <w:t>序号</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rPr>
            </w:pPr>
            <w:r>
              <w:rPr>
                <w:rFonts w:hint="eastAsia" w:ascii="宋体" w:hAnsi="宋体" w:cs="宋体"/>
                <w:b/>
              </w:rPr>
              <w:t>设备名称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rPr>
            </w:pPr>
            <w:r>
              <w:rPr>
                <w:rFonts w:hint="eastAsia" w:ascii="宋体" w:hAnsi="宋体" w:cs="宋体"/>
                <w:b/>
              </w:rPr>
              <w:t>单位</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rPr>
            </w:pPr>
            <w:r>
              <w:rPr>
                <w:rFonts w:hint="eastAsia" w:ascii="宋体" w:hAnsi="宋体" w:cs="宋体"/>
                <w:b/>
              </w:rPr>
              <w:t>数量</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rPr>
            </w:pPr>
            <w:r>
              <w:rPr>
                <w:rFonts w:hint="eastAsia" w:ascii="宋体" w:hAnsi="宋体" w:cs="宋体"/>
                <w:b/>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含</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PDT载波机柜装配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个</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350M单载波基站收发信机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块</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4</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警用数字集群基站软件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套</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4</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基站控制模块</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块</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4</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电源模块</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块</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4</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一次电源模块</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块</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4</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合路器（2合路）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个</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9"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双工器</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个</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9"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天线、馈线及附件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套</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3</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铁搭租费</w:t>
            </w:r>
            <w:r>
              <w:rPr>
                <w:rFonts w:hint="eastAsia" w:ascii="宋体" w:hAnsi="宋体" w:cs="宋体"/>
                <w:highlight w:val="yellow"/>
                <w:lang w:eastAsia="zh-CN"/>
              </w:rPr>
              <w:t>（</w:t>
            </w:r>
            <w:r>
              <w:rPr>
                <w:rFonts w:hint="eastAsia" w:ascii="宋体" w:hAnsi="宋体" w:cs="宋体"/>
                <w:highlight w:val="yellow"/>
                <w:lang w:val="en-US" w:eastAsia="zh-CN"/>
              </w:rPr>
              <w:t>2M链路）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trike/>
              </w:rPr>
            </w:pPr>
            <w:r>
              <w:rPr>
                <w:rFonts w:ascii="宋体" w:hAnsi="宋体" w:cs="宋体"/>
              </w:rPr>
              <w:t>2.</w:t>
            </w:r>
            <w:r>
              <w:rPr>
                <w:rFonts w:hint="eastAsia" w:ascii="宋体" w:hAnsi="宋体" w:cs="宋体"/>
              </w:rPr>
              <w:t>5年</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4</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安装调试</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r>
    </w:tbl>
    <w:p>
      <w:pPr>
        <w:spacing w:line="360" w:lineRule="auto"/>
        <w:rPr>
          <w:rFonts w:hint="eastAsia" w:ascii="宋体" w:hAnsi="宋体" w:cs="宋体"/>
          <w:b/>
          <w:sz w:val="24"/>
        </w:rPr>
      </w:pPr>
      <w:r>
        <w:rPr>
          <w:rFonts w:hint="eastAsia" w:ascii="宋体" w:hAnsi="宋体" w:cs="宋体"/>
          <w:b/>
          <w:sz w:val="24"/>
        </w:rPr>
        <w:t>（</w:t>
      </w:r>
      <w:r>
        <w:rPr>
          <w:rFonts w:ascii="宋体" w:hAnsi="宋体" w:cs="宋体"/>
          <w:b/>
          <w:sz w:val="24"/>
        </w:rPr>
        <w:t>2</w:t>
      </w:r>
      <w:r>
        <w:rPr>
          <w:rFonts w:hint="eastAsia" w:ascii="宋体" w:hAnsi="宋体" w:cs="宋体"/>
          <w:b/>
          <w:sz w:val="24"/>
        </w:rPr>
        <w:t>）主要设备技术规格</w:t>
      </w:r>
    </w:p>
    <w:p>
      <w:pPr>
        <w:spacing w:line="360" w:lineRule="auto"/>
        <w:ind w:firstLine="480" w:firstLineChars="200"/>
        <w:rPr>
          <w:rFonts w:hint="eastAsia" w:ascii="宋体" w:hAnsi="宋体" w:cs="宋体"/>
          <w:sz w:val="24"/>
        </w:rPr>
      </w:pPr>
      <w:r>
        <w:rPr>
          <w:rFonts w:hint="eastAsia" w:ascii="宋体" w:hAnsi="宋体" w:cs="宋体"/>
          <w:sz w:val="24"/>
        </w:rPr>
        <w:t>★兼容性：投标产品必须能与诸暨市公安局现有PDT数字集群通信系统无缝对接，在预中标之日起十个工作日之内，签订合同之前须实现与现有PDT数字集群通信系统无缝对接测试，提供用户测试报告并加盖公章，否则取消中标资格。</w:t>
      </w:r>
    </w:p>
    <w:p>
      <w:pPr>
        <w:spacing w:line="360" w:lineRule="auto"/>
        <w:ind w:firstLine="480" w:firstLineChars="200"/>
        <w:rPr>
          <w:rFonts w:hint="eastAsia" w:ascii="宋体" w:hAnsi="宋体" w:cs="宋体"/>
          <w:sz w:val="24"/>
        </w:rPr>
      </w:pPr>
      <w:r>
        <w:rPr>
          <w:rFonts w:hint="eastAsia" w:ascii="宋体" w:hAnsi="宋体" w:cs="宋体"/>
          <w:sz w:val="24"/>
        </w:rPr>
        <w:t>★技术支持：签订合同前须提供设备制造厂家售后服务承诺函，否则取消中标资格。</w:t>
      </w:r>
    </w:p>
    <w:p>
      <w:pPr>
        <w:spacing w:line="360" w:lineRule="auto"/>
        <w:rPr>
          <w:rFonts w:hint="eastAsia" w:ascii="宋体" w:hAnsi="宋体" w:cs="宋体"/>
          <w:sz w:val="24"/>
        </w:rPr>
      </w:pPr>
      <w:r>
        <w:rPr>
          <w:rFonts w:hint="eastAsia" w:ascii="宋体" w:hAnsi="宋体" w:cs="宋体"/>
          <w:sz w:val="24"/>
        </w:rPr>
        <w:t>PDT数字集群基站</w:t>
      </w:r>
    </w:p>
    <w:p>
      <w:pPr>
        <w:spacing w:line="360" w:lineRule="auto"/>
        <w:ind w:firstLine="480" w:firstLineChars="200"/>
        <w:rPr>
          <w:rFonts w:hint="eastAsia" w:ascii="宋体" w:hAnsi="宋体" w:cs="宋体"/>
          <w:sz w:val="24"/>
        </w:rPr>
      </w:pPr>
      <w:r>
        <w:rPr>
          <w:rFonts w:hint="eastAsia" w:ascii="宋体" w:hAnsi="宋体" w:cs="宋体"/>
          <w:sz w:val="24"/>
        </w:rPr>
        <w:t>技术指标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00"/>
        <w:gridCol w:w="2235"/>
        <w:gridCol w:w="2177"/>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3551" w:type="dxa"/>
            <w:gridSpan w:val="3"/>
            <w:noWrap w:val="0"/>
            <w:vAlign w:val="center"/>
          </w:tcPr>
          <w:p>
            <w:pPr>
              <w:spacing w:line="360" w:lineRule="auto"/>
              <w:jc w:val="center"/>
              <w:rPr>
                <w:rFonts w:hint="eastAsia" w:ascii="宋体" w:hAnsi="宋体" w:cs="宋体"/>
                <w:b/>
                <w:kern w:val="2"/>
                <w:sz w:val="20"/>
                <w:szCs w:val="20"/>
              </w:rPr>
            </w:pPr>
            <w:r>
              <w:rPr>
                <w:rFonts w:hint="eastAsia" w:ascii="宋体" w:hAnsi="宋体" w:cs="宋体"/>
                <w:b/>
                <w:kern w:val="2"/>
                <w:sz w:val="20"/>
                <w:szCs w:val="20"/>
              </w:rPr>
              <w:t>项目</w:t>
            </w:r>
          </w:p>
        </w:tc>
        <w:tc>
          <w:tcPr>
            <w:tcW w:w="4971" w:type="dxa"/>
            <w:gridSpan w:val="2"/>
            <w:noWrap w:val="0"/>
            <w:vAlign w:val="center"/>
          </w:tcPr>
          <w:p>
            <w:pPr>
              <w:spacing w:line="360" w:lineRule="auto"/>
              <w:jc w:val="center"/>
              <w:rPr>
                <w:rFonts w:hint="eastAsia" w:ascii="宋体" w:hAnsi="宋体" w:cs="宋体"/>
                <w:b/>
                <w:kern w:val="2"/>
                <w:sz w:val="20"/>
                <w:szCs w:val="20"/>
              </w:rPr>
            </w:pPr>
            <w:r>
              <w:rPr>
                <w:rFonts w:hint="eastAsia" w:ascii="宋体" w:hAnsi="宋体" w:cs="宋体"/>
                <w:b/>
                <w:kern w:val="2"/>
                <w:sz w:val="20"/>
                <w:szCs w:val="20"/>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技术体制</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PDT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发射频段（下行）</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361 ~ 366MHz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接收频段（上行）</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351 ~ 356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带宽</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载波间隔</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12.5KHz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双工间隔</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10MHz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调制方式</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4FSK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restart"/>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稳定度</w:t>
            </w:r>
          </w:p>
        </w:tc>
        <w:tc>
          <w:tcPr>
            <w:tcW w:w="2235" w:type="dxa"/>
            <w:noWrap w:val="0"/>
            <w:vAlign w:val="center"/>
          </w:tcPr>
          <w:p>
            <w:pPr>
              <w:spacing w:line="360" w:lineRule="auto"/>
              <w:ind w:firstLine="400" w:firstLineChars="200"/>
              <w:jc w:val="center"/>
              <w:rPr>
                <w:rFonts w:hint="eastAsia" w:ascii="宋体" w:hAnsi="宋体" w:cs="宋体"/>
                <w:kern w:val="2"/>
                <w:sz w:val="20"/>
                <w:szCs w:val="20"/>
              </w:rPr>
            </w:pPr>
            <w:r>
              <w:rPr>
                <w:rFonts w:hint="eastAsia" w:ascii="宋体" w:hAnsi="宋体" w:cs="宋体"/>
                <w:kern w:val="2"/>
                <w:sz w:val="20"/>
                <w:szCs w:val="20"/>
              </w:rPr>
              <w:t>频率稳定度</w:t>
            </w:r>
          </w:p>
        </w:tc>
        <w:tc>
          <w:tcPr>
            <w:tcW w:w="4971" w:type="dxa"/>
            <w:gridSpan w:val="2"/>
            <w:noWrap w:val="0"/>
            <w:vAlign w:val="center"/>
          </w:tcPr>
          <w:p>
            <w:pPr>
              <w:spacing w:line="360" w:lineRule="auto"/>
              <w:ind w:firstLine="400" w:firstLineChars="200"/>
              <w:jc w:val="center"/>
              <w:rPr>
                <w:rFonts w:hint="eastAsia" w:ascii="宋体" w:hAnsi="宋体" w:cs="宋体"/>
                <w:kern w:val="2"/>
                <w:sz w:val="20"/>
                <w:szCs w:val="20"/>
              </w:rPr>
            </w:pPr>
            <w:r>
              <w:rPr>
                <w:rFonts w:hint="eastAsia" w:ascii="宋体" w:hAnsi="宋体" w:cs="宋体"/>
                <w:kern w:val="2"/>
                <w:sz w:val="20"/>
                <w:szCs w:val="20"/>
              </w:rPr>
              <w:t>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continue"/>
            <w:noWrap w:val="0"/>
            <w:vAlign w:val="center"/>
          </w:tcPr>
          <w:p>
            <w:pPr>
              <w:spacing w:line="360" w:lineRule="auto"/>
              <w:jc w:val="center"/>
              <w:rPr>
                <w:rFonts w:hint="eastAsia" w:ascii="宋体" w:hAnsi="宋体" w:cs="宋体"/>
                <w:kern w:val="2"/>
                <w:sz w:val="20"/>
                <w:szCs w:val="20"/>
              </w:rPr>
            </w:pPr>
          </w:p>
        </w:tc>
        <w:tc>
          <w:tcPr>
            <w:tcW w:w="2235" w:type="dxa"/>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时限要求</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≤1.5ms（发射机起动从满额功率的10%上升到90%）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restart"/>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发射机性能</w:t>
            </w:r>
          </w:p>
        </w:tc>
        <w:tc>
          <w:tcPr>
            <w:tcW w:w="2235" w:type="dxa"/>
            <w:noWrap w:val="0"/>
            <w:vAlign w:val="center"/>
          </w:tcPr>
          <w:p>
            <w:pPr>
              <w:spacing w:line="360" w:lineRule="auto"/>
              <w:ind w:firstLine="400" w:firstLineChars="200"/>
              <w:jc w:val="center"/>
              <w:rPr>
                <w:rFonts w:hint="eastAsia" w:ascii="宋体" w:hAnsi="宋体" w:cs="宋体"/>
                <w:kern w:val="2"/>
                <w:sz w:val="20"/>
                <w:szCs w:val="20"/>
              </w:rPr>
            </w:pPr>
            <w:r>
              <w:rPr>
                <w:rFonts w:hint="eastAsia" w:ascii="宋体" w:hAnsi="宋体" w:cs="宋体"/>
                <w:kern w:val="2"/>
                <w:sz w:val="20"/>
                <w:szCs w:val="20"/>
              </w:rPr>
              <w:t>射频功率</w:t>
            </w:r>
          </w:p>
        </w:tc>
        <w:tc>
          <w:tcPr>
            <w:tcW w:w="4971" w:type="dxa"/>
            <w:gridSpan w:val="2"/>
            <w:noWrap w:val="0"/>
            <w:vAlign w:val="center"/>
          </w:tcPr>
          <w:p>
            <w:pPr>
              <w:spacing w:line="360" w:lineRule="auto"/>
              <w:ind w:firstLine="400" w:firstLineChars="200"/>
              <w:jc w:val="center"/>
              <w:rPr>
                <w:rFonts w:hint="eastAsia" w:ascii="宋体" w:hAnsi="宋体" w:cs="宋体"/>
                <w:kern w:val="2"/>
                <w:sz w:val="20"/>
                <w:szCs w:val="20"/>
              </w:rPr>
            </w:pPr>
            <w:r>
              <w:rPr>
                <w:rFonts w:hint="eastAsia" w:ascii="宋体" w:hAnsi="宋体" w:cs="宋体"/>
                <w:kern w:val="2"/>
                <w:sz w:val="20"/>
                <w:szCs w:val="20"/>
              </w:rPr>
              <w:t>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continue"/>
            <w:noWrap w:val="0"/>
            <w:vAlign w:val="center"/>
          </w:tcPr>
          <w:p>
            <w:pPr>
              <w:spacing w:line="360" w:lineRule="auto"/>
              <w:jc w:val="center"/>
              <w:rPr>
                <w:rFonts w:hint="eastAsia" w:ascii="宋体" w:hAnsi="宋体" w:cs="宋体"/>
                <w:kern w:val="2"/>
                <w:sz w:val="20"/>
                <w:szCs w:val="20"/>
              </w:rPr>
            </w:pPr>
          </w:p>
        </w:tc>
        <w:tc>
          <w:tcPr>
            <w:tcW w:w="2235" w:type="dxa"/>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邻道发射</w:t>
            </w:r>
          </w:p>
        </w:tc>
        <w:tc>
          <w:tcPr>
            <w:tcW w:w="4971" w:type="dxa"/>
            <w:gridSpan w:val="2"/>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≤-60 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continue"/>
            <w:noWrap w:val="0"/>
            <w:vAlign w:val="center"/>
          </w:tcPr>
          <w:p>
            <w:pPr>
              <w:spacing w:line="360" w:lineRule="auto"/>
              <w:jc w:val="center"/>
              <w:rPr>
                <w:rFonts w:hint="eastAsia" w:ascii="宋体" w:hAnsi="宋体" w:cs="宋体"/>
                <w:kern w:val="2"/>
                <w:sz w:val="20"/>
                <w:szCs w:val="20"/>
              </w:rPr>
            </w:pPr>
          </w:p>
        </w:tc>
        <w:tc>
          <w:tcPr>
            <w:tcW w:w="2235" w:type="dxa"/>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杂波发射</w:t>
            </w:r>
          </w:p>
        </w:tc>
        <w:tc>
          <w:tcPr>
            <w:tcW w:w="4971" w:type="dxa"/>
            <w:gridSpan w:val="2"/>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≤-80 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continue"/>
            <w:noWrap w:val="0"/>
            <w:vAlign w:val="center"/>
          </w:tcPr>
          <w:p>
            <w:pPr>
              <w:spacing w:line="360" w:lineRule="auto"/>
              <w:jc w:val="center"/>
              <w:rPr>
                <w:rFonts w:hint="eastAsia" w:ascii="宋体" w:hAnsi="宋体" w:cs="宋体"/>
                <w:kern w:val="2"/>
                <w:sz w:val="20"/>
                <w:szCs w:val="20"/>
              </w:rPr>
            </w:pPr>
          </w:p>
        </w:tc>
        <w:tc>
          <w:tcPr>
            <w:tcW w:w="2235" w:type="dxa"/>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传导/辐射发射</w:t>
            </w:r>
          </w:p>
        </w:tc>
        <w:tc>
          <w:tcPr>
            <w:tcW w:w="4971" w:type="dxa"/>
            <w:gridSpan w:val="2"/>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-36dBm＜1G</w:t>
            </w:r>
          </w:p>
          <w:p>
            <w:pPr>
              <w:spacing w:line="360" w:lineRule="auto"/>
              <w:jc w:val="center"/>
              <w:rPr>
                <w:rFonts w:hint="eastAsia" w:ascii="宋体" w:hAnsi="宋体" w:cs="宋体"/>
                <w:kern w:val="2"/>
                <w:sz w:val="20"/>
                <w:szCs w:val="20"/>
              </w:rPr>
            </w:pPr>
            <w:r>
              <w:rPr>
                <w:rFonts w:hint="eastAsia" w:ascii="宋体" w:hAnsi="宋体" w:cs="宋体"/>
                <w:kern w:val="2"/>
                <w:sz w:val="20"/>
                <w:szCs w:val="20"/>
              </w:rPr>
              <w:t>-30dBm＞1G和＜4G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continue"/>
            <w:noWrap w:val="0"/>
            <w:vAlign w:val="center"/>
          </w:tcPr>
          <w:p>
            <w:pPr>
              <w:spacing w:line="360" w:lineRule="auto"/>
              <w:jc w:val="center"/>
              <w:rPr>
                <w:rFonts w:hint="eastAsia" w:ascii="宋体" w:hAnsi="宋体" w:cs="宋体"/>
                <w:kern w:val="2"/>
                <w:sz w:val="20"/>
                <w:szCs w:val="20"/>
              </w:rPr>
            </w:pPr>
          </w:p>
        </w:tc>
        <w:tc>
          <w:tcPr>
            <w:tcW w:w="2235" w:type="dxa"/>
            <w:noWrap w:val="0"/>
            <w:vAlign w:val="top"/>
          </w:tcPr>
          <w:p>
            <w:pPr>
              <w:spacing w:line="360" w:lineRule="auto"/>
              <w:jc w:val="center"/>
              <w:rPr>
                <w:rFonts w:hint="eastAsia" w:ascii="宋体" w:hAnsi="宋体" w:cs="宋体"/>
                <w:kern w:val="2"/>
                <w:sz w:val="20"/>
                <w:szCs w:val="20"/>
              </w:rPr>
            </w:pPr>
          </w:p>
          <w:p>
            <w:pPr>
              <w:spacing w:line="360" w:lineRule="auto"/>
              <w:jc w:val="center"/>
              <w:rPr>
                <w:rFonts w:hint="eastAsia" w:ascii="宋体" w:hAnsi="宋体" w:cs="宋体"/>
                <w:kern w:val="2"/>
                <w:sz w:val="20"/>
                <w:szCs w:val="20"/>
              </w:rPr>
            </w:pPr>
            <w:r>
              <w:rPr>
                <w:rFonts w:hint="eastAsia" w:ascii="宋体" w:hAnsi="宋体" w:cs="宋体"/>
                <w:kern w:val="2"/>
                <w:sz w:val="20"/>
                <w:szCs w:val="20"/>
              </w:rPr>
              <w:t>共址多信道发射隔离</w:t>
            </w:r>
          </w:p>
        </w:tc>
        <w:tc>
          <w:tcPr>
            <w:tcW w:w="4971" w:type="dxa"/>
            <w:gridSpan w:val="2"/>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≥70 dB（ES）；</w:t>
            </w:r>
          </w:p>
          <w:p>
            <w:pPr>
              <w:spacing w:line="360" w:lineRule="auto"/>
              <w:jc w:val="center"/>
              <w:rPr>
                <w:rFonts w:hint="eastAsia" w:ascii="宋体" w:hAnsi="宋体" w:cs="宋体"/>
                <w:kern w:val="2"/>
                <w:sz w:val="20"/>
                <w:szCs w:val="20"/>
              </w:rPr>
            </w:pPr>
            <w:r>
              <w:rPr>
                <w:rFonts w:hint="eastAsia" w:ascii="宋体" w:hAnsi="宋体" w:cs="宋体"/>
                <w:kern w:val="2"/>
                <w:sz w:val="20"/>
                <w:szCs w:val="20"/>
              </w:rPr>
              <w:t>≥40 dB（NIM，P＞25w）；</w:t>
            </w:r>
          </w:p>
          <w:p>
            <w:pPr>
              <w:spacing w:line="360" w:lineRule="auto"/>
              <w:jc w:val="center"/>
              <w:rPr>
                <w:rFonts w:hint="eastAsia" w:ascii="宋体" w:hAnsi="宋体" w:cs="宋体"/>
                <w:kern w:val="2"/>
                <w:sz w:val="20"/>
                <w:szCs w:val="20"/>
              </w:rPr>
            </w:pPr>
            <w:r>
              <w:rPr>
                <w:rFonts w:hint="eastAsia" w:ascii="宋体" w:hAnsi="宋体" w:cs="宋体"/>
                <w:kern w:val="2"/>
                <w:sz w:val="20"/>
                <w:szCs w:val="20"/>
              </w:rPr>
              <w:t>≥30 dB（NIM，P≤25W）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restart"/>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接收机性能</w:t>
            </w:r>
          </w:p>
        </w:tc>
        <w:tc>
          <w:tcPr>
            <w:tcW w:w="2235" w:type="dxa"/>
            <w:noWrap w:val="0"/>
            <w:vAlign w:val="top"/>
          </w:tcPr>
          <w:p>
            <w:pPr>
              <w:spacing w:line="360" w:lineRule="auto"/>
              <w:ind w:firstLine="400" w:firstLineChars="200"/>
              <w:jc w:val="center"/>
              <w:rPr>
                <w:rFonts w:hint="eastAsia" w:ascii="宋体" w:hAnsi="宋体" w:cs="宋体"/>
                <w:kern w:val="2"/>
                <w:sz w:val="20"/>
                <w:szCs w:val="20"/>
              </w:rPr>
            </w:pPr>
            <w:r>
              <w:rPr>
                <w:rFonts w:hint="eastAsia" w:ascii="宋体" w:hAnsi="宋体" w:cs="宋体"/>
                <w:kern w:val="2"/>
                <w:sz w:val="20"/>
                <w:szCs w:val="20"/>
              </w:rPr>
              <w:t>数字灵敏度</w:t>
            </w:r>
          </w:p>
        </w:tc>
        <w:tc>
          <w:tcPr>
            <w:tcW w:w="4971" w:type="dxa"/>
            <w:gridSpan w:val="2"/>
            <w:noWrap w:val="0"/>
            <w:vAlign w:val="top"/>
          </w:tcPr>
          <w:p>
            <w:pPr>
              <w:spacing w:line="360" w:lineRule="auto"/>
              <w:ind w:firstLine="400" w:firstLineChars="200"/>
              <w:jc w:val="center"/>
              <w:rPr>
                <w:rFonts w:hint="eastAsia" w:ascii="宋体" w:hAnsi="宋体" w:cs="宋体"/>
                <w:kern w:val="2"/>
                <w:sz w:val="20"/>
                <w:szCs w:val="20"/>
              </w:rPr>
            </w:pPr>
            <w:r>
              <w:rPr>
                <w:rFonts w:hint="eastAsia" w:ascii="宋体" w:hAnsi="宋体" w:cs="宋体"/>
                <w:kern w:val="2"/>
                <w:sz w:val="20"/>
                <w:szCs w:val="20"/>
              </w:rPr>
              <w:t>-121 dBm（5％误码率）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continue"/>
            <w:noWrap w:val="0"/>
            <w:vAlign w:val="center"/>
          </w:tcPr>
          <w:p>
            <w:pPr>
              <w:spacing w:line="360" w:lineRule="auto"/>
              <w:jc w:val="center"/>
              <w:rPr>
                <w:rFonts w:hint="eastAsia" w:ascii="宋体" w:hAnsi="宋体" w:cs="宋体"/>
                <w:kern w:val="2"/>
                <w:sz w:val="20"/>
                <w:szCs w:val="20"/>
              </w:rPr>
            </w:pPr>
          </w:p>
        </w:tc>
        <w:tc>
          <w:tcPr>
            <w:tcW w:w="2235" w:type="dxa"/>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邻道选择性</w:t>
            </w:r>
          </w:p>
        </w:tc>
        <w:tc>
          <w:tcPr>
            <w:tcW w:w="4971" w:type="dxa"/>
            <w:gridSpan w:val="2"/>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≥60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continue"/>
            <w:noWrap w:val="0"/>
            <w:vAlign w:val="center"/>
          </w:tcPr>
          <w:p>
            <w:pPr>
              <w:spacing w:line="360" w:lineRule="auto"/>
              <w:jc w:val="center"/>
              <w:rPr>
                <w:rFonts w:hint="eastAsia" w:ascii="宋体" w:hAnsi="宋体" w:cs="宋体"/>
                <w:kern w:val="2"/>
                <w:sz w:val="20"/>
                <w:szCs w:val="20"/>
              </w:rPr>
            </w:pPr>
          </w:p>
        </w:tc>
        <w:tc>
          <w:tcPr>
            <w:tcW w:w="2235" w:type="dxa"/>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互调抗扰性</w:t>
            </w:r>
          </w:p>
        </w:tc>
        <w:tc>
          <w:tcPr>
            <w:tcW w:w="4971" w:type="dxa"/>
            <w:gridSpan w:val="2"/>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≥65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gridSpan w:val="2"/>
            <w:vMerge w:val="continue"/>
            <w:noWrap w:val="0"/>
            <w:vAlign w:val="center"/>
          </w:tcPr>
          <w:p>
            <w:pPr>
              <w:spacing w:line="360" w:lineRule="auto"/>
              <w:jc w:val="center"/>
              <w:rPr>
                <w:rFonts w:hint="eastAsia" w:ascii="宋体" w:hAnsi="宋体" w:cs="宋体"/>
                <w:kern w:val="2"/>
                <w:sz w:val="20"/>
                <w:szCs w:val="20"/>
              </w:rPr>
            </w:pPr>
          </w:p>
        </w:tc>
        <w:tc>
          <w:tcPr>
            <w:tcW w:w="2235" w:type="dxa"/>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杂散抑制</w:t>
            </w:r>
          </w:p>
        </w:tc>
        <w:tc>
          <w:tcPr>
            <w:tcW w:w="4971" w:type="dxa"/>
            <w:gridSpan w:val="2"/>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≥70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工作环境温度（℃）</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-30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相对湿度（%）</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10 ~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vMerge w:val="restart"/>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工作电源</w:t>
            </w:r>
          </w:p>
        </w:tc>
        <w:tc>
          <w:tcPr>
            <w:tcW w:w="4971" w:type="dxa"/>
            <w:gridSpan w:val="2"/>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交流供电：176~264V；45 ~65Hz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vMerge w:val="continue"/>
            <w:noWrap w:val="0"/>
            <w:vAlign w:val="top"/>
          </w:tcPr>
          <w:p>
            <w:pPr>
              <w:spacing w:line="360" w:lineRule="auto"/>
              <w:jc w:val="center"/>
              <w:rPr>
                <w:rFonts w:hint="eastAsia" w:ascii="宋体" w:hAnsi="宋体" w:cs="宋体"/>
                <w:kern w:val="2"/>
                <w:sz w:val="20"/>
                <w:szCs w:val="20"/>
              </w:rPr>
            </w:pPr>
          </w:p>
        </w:tc>
        <w:tc>
          <w:tcPr>
            <w:tcW w:w="4971" w:type="dxa"/>
            <w:gridSpan w:val="2"/>
            <w:noWrap w:val="0"/>
            <w:vAlign w:val="top"/>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直流供电：-40 ~ 57V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16" w:type="dxa"/>
            <w:vMerge w:val="restart"/>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杂音电压</w:t>
            </w:r>
          </w:p>
        </w:tc>
        <w:tc>
          <w:tcPr>
            <w:tcW w:w="2335" w:type="dxa"/>
            <w:gridSpan w:val="2"/>
            <w:noWrap w:val="0"/>
            <w:vAlign w:val="center"/>
          </w:tcPr>
          <w:p>
            <w:pPr>
              <w:spacing w:line="360" w:lineRule="auto"/>
              <w:ind w:firstLine="400" w:firstLineChars="200"/>
              <w:jc w:val="center"/>
              <w:rPr>
                <w:rFonts w:hint="eastAsia" w:ascii="宋体" w:hAnsi="宋体" w:cs="宋体"/>
                <w:kern w:val="2"/>
                <w:sz w:val="20"/>
                <w:szCs w:val="20"/>
              </w:rPr>
            </w:pPr>
            <w:r>
              <w:rPr>
                <w:rFonts w:hint="eastAsia" w:ascii="宋体" w:hAnsi="宋体" w:cs="宋体"/>
                <w:kern w:val="2"/>
                <w:sz w:val="20"/>
                <w:szCs w:val="20"/>
              </w:rPr>
              <w:t>0～300Hz</w:t>
            </w:r>
          </w:p>
        </w:tc>
        <w:tc>
          <w:tcPr>
            <w:tcW w:w="4971" w:type="dxa"/>
            <w:gridSpan w:val="2"/>
            <w:noWrap w:val="0"/>
            <w:vAlign w:val="center"/>
          </w:tcPr>
          <w:p>
            <w:pPr>
              <w:spacing w:line="360" w:lineRule="auto"/>
              <w:ind w:firstLine="400" w:firstLineChars="200"/>
              <w:jc w:val="center"/>
              <w:rPr>
                <w:rFonts w:hint="eastAsia" w:ascii="宋体" w:hAnsi="宋体" w:cs="宋体"/>
                <w:kern w:val="2"/>
                <w:sz w:val="20"/>
                <w:szCs w:val="20"/>
              </w:rPr>
            </w:pPr>
            <w:r>
              <w:rPr>
                <w:rFonts w:hint="eastAsia" w:ascii="宋体" w:hAnsi="宋体" w:cs="宋体"/>
                <w:kern w:val="2"/>
                <w:sz w:val="20"/>
                <w:szCs w:val="20"/>
              </w:rPr>
              <w:t>≤100mV 峰－峰值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16" w:type="dxa"/>
            <w:vMerge w:val="continue"/>
            <w:noWrap w:val="0"/>
            <w:vAlign w:val="center"/>
          </w:tcPr>
          <w:p>
            <w:pPr>
              <w:spacing w:line="360" w:lineRule="auto"/>
              <w:jc w:val="center"/>
              <w:rPr>
                <w:rFonts w:hint="eastAsia" w:ascii="宋体" w:hAnsi="宋体" w:cs="宋体"/>
                <w:kern w:val="2"/>
                <w:sz w:val="20"/>
                <w:szCs w:val="20"/>
              </w:rPr>
            </w:pPr>
          </w:p>
        </w:tc>
        <w:tc>
          <w:tcPr>
            <w:tcW w:w="2335"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300～3400Hz</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≤2mV，杂音计衡重杂音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16" w:type="dxa"/>
            <w:vMerge w:val="continue"/>
            <w:noWrap w:val="0"/>
            <w:vAlign w:val="center"/>
          </w:tcPr>
          <w:p>
            <w:pPr>
              <w:spacing w:line="360" w:lineRule="auto"/>
              <w:jc w:val="center"/>
              <w:rPr>
                <w:rFonts w:hint="eastAsia" w:ascii="宋体" w:hAnsi="宋体" w:cs="宋体"/>
                <w:kern w:val="2"/>
                <w:sz w:val="20"/>
                <w:szCs w:val="20"/>
              </w:rPr>
            </w:pPr>
          </w:p>
        </w:tc>
        <w:tc>
          <w:tcPr>
            <w:tcW w:w="2335"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3.4KHz～150KHz</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单频≤5mV有效值，宽带≤100mV有效值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16" w:type="dxa"/>
            <w:vMerge w:val="continue"/>
            <w:noWrap w:val="0"/>
            <w:vAlign w:val="center"/>
          </w:tcPr>
          <w:p>
            <w:pPr>
              <w:spacing w:line="360" w:lineRule="auto"/>
              <w:jc w:val="center"/>
              <w:rPr>
                <w:rFonts w:hint="eastAsia" w:ascii="宋体" w:hAnsi="宋体" w:cs="宋体"/>
                <w:kern w:val="2"/>
                <w:sz w:val="20"/>
                <w:szCs w:val="20"/>
              </w:rPr>
            </w:pPr>
          </w:p>
        </w:tc>
        <w:tc>
          <w:tcPr>
            <w:tcW w:w="2335"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150KHz～200KHz</w:t>
            </w:r>
          </w:p>
        </w:tc>
        <w:tc>
          <w:tcPr>
            <w:tcW w:w="2177" w:type="dxa"/>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单频≤3mV有效值</w:t>
            </w:r>
          </w:p>
        </w:tc>
        <w:tc>
          <w:tcPr>
            <w:tcW w:w="2794" w:type="dxa"/>
            <w:vMerge w:val="restart"/>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宽带150KHz ~ 30MHz≤30mV有效值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16" w:type="dxa"/>
            <w:vMerge w:val="continue"/>
            <w:noWrap w:val="0"/>
            <w:vAlign w:val="center"/>
          </w:tcPr>
          <w:p>
            <w:pPr>
              <w:spacing w:line="360" w:lineRule="auto"/>
              <w:jc w:val="center"/>
              <w:rPr>
                <w:rFonts w:hint="eastAsia" w:ascii="宋体" w:hAnsi="宋体" w:cs="宋体"/>
                <w:kern w:val="2"/>
                <w:sz w:val="20"/>
                <w:szCs w:val="20"/>
              </w:rPr>
            </w:pPr>
          </w:p>
        </w:tc>
        <w:tc>
          <w:tcPr>
            <w:tcW w:w="2335" w:type="dxa"/>
            <w:gridSpan w:val="2"/>
            <w:noWrap w:val="0"/>
            <w:vAlign w:val="center"/>
          </w:tcPr>
          <w:p>
            <w:pPr>
              <w:pStyle w:val="101"/>
              <w:autoSpaceDE/>
              <w:autoSpaceDN/>
              <w:adjustRightInd/>
              <w:spacing w:line="360" w:lineRule="auto"/>
              <w:jc w:val="center"/>
              <w:rPr>
                <w:rFonts w:hint="eastAsia" w:ascii="宋体" w:hAnsi="宋体" w:cs="宋体"/>
                <w:color w:val="auto"/>
                <w:kern w:val="2"/>
                <w:sz w:val="20"/>
              </w:rPr>
            </w:pPr>
            <w:r>
              <w:rPr>
                <w:rFonts w:hint="eastAsia" w:ascii="宋体" w:hAnsi="宋体" w:cs="宋体"/>
                <w:color w:val="auto"/>
                <w:kern w:val="2"/>
                <w:sz w:val="20"/>
              </w:rPr>
              <w:t>200KHz～500KHz</w:t>
            </w:r>
          </w:p>
        </w:tc>
        <w:tc>
          <w:tcPr>
            <w:tcW w:w="2177" w:type="dxa"/>
            <w:noWrap w:val="0"/>
            <w:vAlign w:val="center"/>
          </w:tcPr>
          <w:p>
            <w:pPr>
              <w:pStyle w:val="101"/>
              <w:autoSpaceDE/>
              <w:autoSpaceDN/>
              <w:adjustRightInd/>
              <w:spacing w:line="360" w:lineRule="auto"/>
              <w:jc w:val="center"/>
              <w:rPr>
                <w:rFonts w:hint="eastAsia" w:ascii="宋体" w:hAnsi="宋体" w:cs="宋体"/>
                <w:color w:val="auto"/>
                <w:kern w:val="2"/>
                <w:sz w:val="20"/>
              </w:rPr>
            </w:pPr>
            <w:r>
              <w:rPr>
                <w:rFonts w:hint="eastAsia" w:ascii="宋体" w:hAnsi="宋体" w:cs="宋体"/>
                <w:color w:val="auto"/>
                <w:kern w:val="2"/>
                <w:sz w:val="20"/>
              </w:rPr>
              <w:t>单频≤2mV有效值</w:t>
            </w:r>
          </w:p>
        </w:tc>
        <w:tc>
          <w:tcPr>
            <w:tcW w:w="2794" w:type="dxa"/>
            <w:vMerge w:val="continue"/>
            <w:noWrap w:val="0"/>
            <w:vAlign w:val="center"/>
          </w:tcPr>
          <w:p>
            <w:pPr>
              <w:spacing w:line="360" w:lineRule="auto"/>
              <w:jc w:val="center"/>
              <w:rPr>
                <w:rFonts w:hint="eastAsia" w:ascii="宋体" w:hAnsi="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16" w:type="dxa"/>
            <w:vMerge w:val="continue"/>
            <w:noWrap w:val="0"/>
            <w:vAlign w:val="center"/>
          </w:tcPr>
          <w:p>
            <w:pPr>
              <w:spacing w:line="360" w:lineRule="auto"/>
              <w:jc w:val="center"/>
              <w:rPr>
                <w:rFonts w:hint="eastAsia" w:ascii="宋体" w:hAnsi="宋体" w:cs="宋体"/>
                <w:kern w:val="2"/>
                <w:sz w:val="20"/>
                <w:szCs w:val="20"/>
              </w:rPr>
            </w:pPr>
          </w:p>
        </w:tc>
        <w:tc>
          <w:tcPr>
            <w:tcW w:w="2335" w:type="dxa"/>
            <w:gridSpan w:val="2"/>
            <w:noWrap w:val="0"/>
            <w:vAlign w:val="center"/>
          </w:tcPr>
          <w:p>
            <w:pPr>
              <w:pStyle w:val="101"/>
              <w:autoSpaceDE/>
              <w:autoSpaceDN/>
              <w:adjustRightInd/>
              <w:spacing w:line="360" w:lineRule="auto"/>
              <w:jc w:val="center"/>
              <w:rPr>
                <w:rFonts w:hint="eastAsia" w:ascii="宋体" w:hAnsi="宋体" w:cs="宋体"/>
                <w:color w:val="auto"/>
                <w:kern w:val="2"/>
                <w:sz w:val="20"/>
              </w:rPr>
            </w:pPr>
            <w:r>
              <w:rPr>
                <w:rFonts w:hint="eastAsia" w:ascii="宋体" w:hAnsi="宋体" w:cs="宋体"/>
                <w:color w:val="auto"/>
                <w:kern w:val="2"/>
                <w:sz w:val="20"/>
              </w:rPr>
              <w:t>500KHz～30MHz</w:t>
            </w:r>
          </w:p>
        </w:tc>
        <w:tc>
          <w:tcPr>
            <w:tcW w:w="2177" w:type="dxa"/>
            <w:noWrap w:val="0"/>
            <w:vAlign w:val="center"/>
          </w:tcPr>
          <w:p>
            <w:pPr>
              <w:pStyle w:val="101"/>
              <w:autoSpaceDE/>
              <w:autoSpaceDN/>
              <w:adjustRightInd/>
              <w:spacing w:line="360" w:lineRule="auto"/>
              <w:jc w:val="center"/>
              <w:rPr>
                <w:rFonts w:hint="eastAsia" w:ascii="宋体" w:hAnsi="宋体" w:cs="宋体"/>
                <w:color w:val="auto"/>
                <w:kern w:val="2"/>
                <w:sz w:val="20"/>
              </w:rPr>
            </w:pPr>
            <w:r>
              <w:rPr>
                <w:rFonts w:hint="eastAsia" w:ascii="宋体" w:hAnsi="宋体" w:cs="宋体"/>
                <w:color w:val="auto"/>
                <w:kern w:val="2"/>
                <w:sz w:val="20"/>
              </w:rPr>
              <w:t>单频≤1mV有效值</w:t>
            </w:r>
          </w:p>
        </w:tc>
        <w:tc>
          <w:tcPr>
            <w:tcW w:w="2794" w:type="dxa"/>
            <w:vMerge w:val="continue"/>
            <w:noWrap w:val="0"/>
            <w:vAlign w:val="center"/>
          </w:tcPr>
          <w:p>
            <w:pPr>
              <w:spacing w:line="360" w:lineRule="auto"/>
              <w:jc w:val="center"/>
              <w:rPr>
                <w:rFonts w:hint="eastAsia" w:ascii="宋体" w:hAnsi="宋体" w:cs="宋体"/>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MTBF</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＞150000小时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系统平均故障修复时间</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&lt;10分钟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51" w:type="dxa"/>
            <w:gridSpan w:val="3"/>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最大功耗</w:t>
            </w:r>
          </w:p>
        </w:tc>
        <w:tc>
          <w:tcPr>
            <w:tcW w:w="4971" w:type="dxa"/>
            <w:gridSpan w:val="2"/>
            <w:noWrap w:val="0"/>
            <w:vAlign w:val="center"/>
          </w:tcPr>
          <w:p>
            <w:pPr>
              <w:spacing w:line="360" w:lineRule="auto"/>
              <w:jc w:val="center"/>
              <w:rPr>
                <w:rFonts w:hint="eastAsia" w:ascii="宋体" w:hAnsi="宋体" w:cs="宋体"/>
                <w:kern w:val="2"/>
                <w:sz w:val="20"/>
                <w:szCs w:val="20"/>
              </w:rPr>
            </w:pPr>
            <w:r>
              <w:rPr>
                <w:rFonts w:hint="eastAsia" w:ascii="宋体" w:hAnsi="宋体" w:cs="宋体"/>
                <w:kern w:val="2"/>
                <w:sz w:val="20"/>
                <w:szCs w:val="20"/>
              </w:rPr>
              <w:t>1200W</w:t>
            </w:r>
          </w:p>
        </w:tc>
      </w:tr>
    </w:tbl>
    <w:p>
      <w:pPr>
        <w:spacing w:line="360" w:lineRule="auto"/>
        <w:ind w:firstLine="480" w:firstLineChars="200"/>
        <w:rPr>
          <w:rFonts w:hint="eastAsia" w:ascii="宋体" w:hAnsi="宋体" w:cs="宋体"/>
          <w:sz w:val="24"/>
        </w:rPr>
      </w:pPr>
      <w:r>
        <w:rPr>
          <w:rFonts w:hint="eastAsia" w:ascii="宋体" w:hAnsi="宋体" w:cs="宋体"/>
          <w:sz w:val="24"/>
        </w:rPr>
        <w:t>主要功能</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编号</w:t>
            </w:r>
          </w:p>
        </w:tc>
        <w:tc>
          <w:tcPr>
            <w:tcW w:w="7705"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登记：登记是移动台向集群系统发起入网请求及确认的过程，登记时将会进行鉴权。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去登记：去登记是移动台向集群系统发出退出系统的通知过程。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鉴权：鉴权是验证通信参与方的身份合法性的过程。系统支持单向鉴权和双向鉴权。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4</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漫游：在由多个基站联网的系统中，移动台在归属基站以外的基站进行登记和继续使用系统提供的业务的功能。包括跨基站单呼、跨网络单呼、跨网络全呼和跨网络分组数据传输。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5</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语音单呼：语音单呼是移动台与其它用户终端之间建立的一种点对点的双向语音呼叫，呼叫的参与方只有主叫和被叫两方。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6</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语音组呼：语音组呼是由一个移动台或者调度台发起的，多个移动台参与的点对多点的语音呼叫。</w:t>
            </w:r>
          </w:p>
          <w:p>
            <w:pPr>
              <w:autoSpaceDE/>
              <w:autoSpaceDN/>
              <w:adjustRightInd/>
              <w:spacing w:line="360" w:lineRule="auto"/>
              <w:ind w:firstLine="420" w:firstLineChars="200"/>
              <w:rPr>
                <w:rFonts w:hint="eastAsia" w:ascii="宋体" w:hAnsi="宋体" w:cs="宋体"/>
              </w:rPr>
            </w:pPr>
            <w:r>
              <w:rPr>
                <w:rFonts w:hint="eastAsia" w:ascii="宋体" w:hAnsi="宋体" w:cs="宋体"/>
              </w:rPr>
              <w:t>组呼基本参数包括：PDT地址、组名称、组成员。</w:t>
            </w:r>
          </w:p>
          <w:p>
            <w:pPr>
              <w:autoSpaceDE/>
              <w:autoSpaceDN/>
              <w:adjustRightInd/>
              <w:spacing w:line="360" w:lineRule="auto"/>
              <w:ind w:firstLine="420" w:firstLineChars="200"/>
              <w:rPr>
                <w:rFonts w:hint="eastAsia" w:ascii="宋体" w:hAnsi="宋体" w:cs="宋体"/>
              </w:rPr>
            </w:pPr>
            <w:r>
              <w:rPr>
                <w:rFonts w:hint="eastAsia" w:ascii="宋体" w:hAnsi="宋体" w:cs="宋体"/>
              </w:rPr>
              <w:t>系统支持跨基站组呼、通话组扫描、优先组扫描、新近用户优先、最后一个调度台通知、组呼迟后加入、动态重组、通话组合并、基站区域呼叫、背景组呼扫描、组呼动态信道分配功能、讲话方身份识别、同播组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7</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组呼迟入：某个组呼建立后至结束之前，控制信道周期广播该组呼的建立信息，以保证刚开机或刚从其他基站漫游到该基站或刚从其他通话组释放出来的移动台能参与这个尚未结束的组呼。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8</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组呼并入：一个组呼建立后至结束之前，某移动台呼叫这个已经建立的通话组，系统将该移动台作为被叫并入到已经建立的组呼。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9</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广播呼叫:广播呼叫是一种特殊的语音组呼，呼叫建立后在业务信道上只有主叫具备发射权限，被叫用户只有接收权限，可以有效防止被叫用户干扰主叫的发射过程。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10</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紧急呼叫:紧急呼叫是用户在紧急情况下发起的一种特殊呼叫，具有最高优先级，当无信道资源时，系统会释放其他低级别呼叫的信道资源来给紧急呼叫使用。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11</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优先呼叫:优先呼叫是指系统繁忙时优先获取资源的呼叫，获取资源的方式可以是抢占低优先级呼叫的信道，也可以是在排队队列中插队。</w:t>
            </w:r>
          </w:p>
          <w:p>
            <w:pPr>
              <w:autoSpaceDE/>
              <w:autoSpaceDN/>
              <w:adjustRightInd/>
              <w:spacing w:line="360" w:lineRule="auto"/>
              <w:rPr>
                <w:rFonts w:hint="eastAsia" w:ascii="宋体" w:hAnsi="宋体" w:cs="宋体"/>
              </w:rPr>
            </w:pPr>
            <w:r>
              <w:rPr>
                <w:rFonts w:hint="eastAsia" w:ascii="宋体" w:hAnsi="宋体" w:cs="宋体"/>
              </w:rPr>
              <w:t>系统赋予用户台优先级别，优先级至少包含8个等级。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12</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报警:报警是在紧急情况下用户通过操作移动台设备上的特殊按钮，在系统控制信道上向预先设置的目的（移动台或者调度台）发送预定义的状态消息，通知其他移动台或者调度台，该用户正处于紧急危险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13</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环境侦听:环境侦听是调度台向移动台发起的一种特殊呼叫，用于监听移动台周边的环境声音。被叫移动台在系统指定的业务信道上自动打开发射机和MIC，将环境声音发送给调度台。在整个环境侦听过程中（侦听建立、侦听发射、侦听结束），移动台的显示、扬声器、提示音、指示灯等人机界面状态应与空闲待机时完全相同。环境侦听过程中，如果移动台用户进行呼出操作（包括发短消息等），环境侦听都应自动结束，并返回控制信道。调度台可以随时结束一个由其建立的环境侦听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14</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监听:监听是指授权用户终端获取指定的移动台、通话组或者信道上的语音的过程。调度台可跟踪某一个用户或一组用户，并实时监听其通话。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15</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插话:插话是指调度台在监听或参与语音通话的过程中，强制中断正在进行的讲话，夺取话权进行讲话。系统允许调度台和授权用户插入正在进行的通话和对通信进行插入监听、录音等操作。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16</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强拆:强拆是指系统强制中断正在进行的呼叫并释放所占的相应资源的过程。系统允许调度台和授权用户将正在进行的用户呼叫进行拆线。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17</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越区切换:越区切换是指移动台在语音通话的过程中切换基站而不间断正在进行的业务的过程。包括MS启动的越区切换、预占信道越区切换、越区切换恢复。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18</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通话限时:通话限时是系统控制用户进行语音呼叫时允许的最大持续时间的功能，包括单次按讲限时和单次呼叫总时长限时。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19</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讲话方身份识别:讲话方身份识别是指在语音呼叫的过程中，语音接听方利用随路信令或者嵌入信令识别当前讲话方身份的功能。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20</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5" w:name="_Toc360782655"/>
            <w:r>
              <w:rPr>
                <w:rFonts w:hint="eastAsia" w:ascii="宋体" w:hAnsi="宋体" w:cs="宋体"/>
                <w:b w:val="0"/>
                <w:bCs w:val="0"/>
                <w:sz w:val="21"/>
                <w:szCs w:val="21"/>
              </w:rPr>
              <w:t>PTT授权</w:t>
            </w:r>
            <w:bookmarkEnd w:id="5"/>
            <w:r>
              <w:rPr>
                <w:rFonts w:hint="eastAsia" w:ascii="宋体" w:hAnsi="宋体" w:cs="宋体"/>
                <w:b w:val="0"/>
                <w:bCs w:val="0"/>
                <w:sz w:val="21"/>
                <w:szCs w:val="21"/>
              </w:rPr>
              <w:t>:PTT授权是为了避免语音碰撞而规定的讲话权申请、分配控制过程，只有获得讲话权的移动台才能发射语音。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21</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6" w:name="_Toc360782656"/>
            <w:r>
              <w:rPr>
                <w:rFonts w:hint="eastAsia" w:ascii="宋体" w:hAnsi="宋体" w:cs="宋体"/>
                <w:b w:val="0"/>
                <w:bCs w:val="0"/>
                <w:sz w:val="21"/>
                <w:szCs w:val="21"/>
              </w:rPr>
              <w:t>遥毙</w:t>
            </w:r>
            <w:bookmarkEnd w:id="6"/>
            <w:r>
              <w:rPr>
                <w:rFonts w:hint="eastAsia" w:ascii="宋体" w:hAnsi="宋体" w:cs="宋体"/>
                <w:b w:val="0"/>
                <w:bCs w:val="0"/>
                <w:sz w:val="21"/>
                <w:szCs w:val="21"/>
              </w:rPr>
              <w:t>:遥毙是系统利用空口信令禁用移动台的过程，被遥毙的移动台将失去所有操作功能，只有利用授权的编程设备才能将被遥毙的移动台激活。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22</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7" w:name="_Toc360782657"/>
            <w:r>
              <w:rPr>
                <w:rFonts w:hint="eastAsia" w:ascii="宋体" w:hAnsi="宋体" w:cs="宋体"/>
                <w:b w:val="0"/>
                <w:bCs w:val="0"/>
                <w:sz w:val="21"/>
                <w:szCs w:val="21"/>
              </w:rPr>
              <w:t>遥晕</w:t>
            </w:r>
            <w:bookmarkEnd w:id="7"/>
            <w:r>
              <w:rPr>
                <w:rFonts w:hint="eastAsia" w:ascii="宋体" w:hAnsi="宋体" w:cs="宋体"/>
                <w:b w:val="0"/>
                <w:bCs w:val="0"/>
                <w:sz w:val="21"/>
                <w:szCs w:val="21"/>
              </w:rPr>
              <w:t>:遥晕是利用空口信令禁用移动台的过程，授权的网管终端或调度台可将目标移动台遥晕。被遥晕的移动台不能发起或者接收任何网络的服务（包括各类呼叫、短消息等业务），但应保留登记、去登记、鉴权、复活和数据上拉服务（如卫星定位信息上拉服务等），用来帮助寻找丢失移动台。被遥晕的移动台可以通过空口复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23</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复活:复活是利用空口信令解禁被遥晕移动台的过程，授权网管终端或调度台可以进行复活操作，使移动台恢复到正常工作状态。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24</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8" w:name="_Toc360782659"/>
            <w:r>
              <w:rPr>
                <w:rFonts w:hint="eastAsia" w:ascii="宋体" w:hAnsi="宋体" w:cs="宋体"/>
                <w:b w:val="0"/>
                <w:bCs w:val="0"/>
                <w:sz w:val="21"/>
                <w:szCs w:val="21"/>
              </w:rPr>
              <w:t>动态重组</w:t>
            </w:r>
            <w:bookmarkEnd w:id="8"/>
            <w:r>
              <w:rPr>
                <w:rFonts w:hint="eastAsia" w:ascii="宋体" w:hAnsi="宋体" w:cs="宋体"/>
                <w:b w:val="0"/>
                <w:bCs w:val="0"/>
                <w:sz w:val="21"/>
                <w:szCs w:val="21"/>
              </w:rPr>
              <w:t>:动态重组是授权网管终端或调度台利用空口信令向目标移动台临时增加通话组（动态组）的过程，移动台新增加的动态组在收到删除该动态组的信令前一直有效。授权的网管终端或调度台也可以利用空口信令将目标移动台中的动态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25</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9" w:name="_Toc360782660"/>
            <w:r>
              <w:rPr>
                <w:rFonts w:hint="eastAsia" w:ascii="宋体" w:hAnsi="宋体" w:cs="宋体"/>
                <w:b w:val="0"/>
                <w:bCs w:val="0"/>
                <w:sz w:val="21"/>
                <w:szCs w:val="21"/>
              </w:rPr>
              <w:t>呼叫限制</w:t>
            </w:r>
            <w:bookmarkEnd w:id="9"/>
            <w:r>
              <w:rPr>
                <w:rFonts w:hint="eastAsia" w:ascii="宋体" w:hAnsi="宋体" w:cs="宋体"/>
                <w:b w:val="0"/>
                <w:bCs w:val="0"/>
                <w:sz w:val="21"/>
                <w:szCs w:val="21"/>
              </w:rPr>
              <w:t>:呼叫限制是系统对移动台的呼叫权限的控制，通过设置，限制其呼叫功能。移动台只能进行权限范围内的呼叫，超过权限范围的呼叫将被系统拒绝。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26</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0" w:name="_Toc360782661"/>
            <w:r>
              <w:rPr>
                <w:rFonts w:hint="eastAsia" w:ascii="宋体" w:hAnsi="宋体" w:cs="宋体"/>
                <w:b w:val="0"/>
                <w:bCs w:val="0"/>
                <w:sz w:val="21"/>
                <w:szCs w:val="21"/>
              </w:rPr>
              <w:t>状态消息</w:t>
            </w:r>
            <w:bookmarkEnd w:id="10"/>
            <w:r>
              <w:rPr>
                <w:rFonts w:hint="eastAsia" w:ascii="宋体" w:hAnsi="宋体" w:cs="宋体"/>
                <w:b w:val="0"/>
                <w:bCs w:val="0"/>
                <w:sz w:val="21"/>
                <w:szCs w:val="21"/>
              </w:rPr>
              <w:t>:状态消息是指移动台之间或者移动台与调度台之间，利用控制信道传递7比特消息编码的过程。状态消息可以是点到点的单呼，也可以是点对多点的组呼。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27</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1" w:name="_Toc360782662"/>
            <w:r>
              <w:rPr>
                <w:rFonts w:hint="eastAsia" w:ascii="宋体" w:hAnsi="宋体" w:cs="宋体"/>
                <w:b w:val="0"/>
                <w:bCs w:val="0"/>
                <w:sz w:val="21"/>
                <w:szCs w:val="21"/>
              </w:rPr>
              <w:t>短消息</w:t>
            </w:r>
            <w:bookmarkEnd w:id="11"/>
            <w:r>
              <w:rPr>
                <w:rFonts w:hint="eastAsia" w:ascii="宋体" w:hAnsi="宋体" w:cs="宋体"/>
                <w:b w:val="0"/>
                <w:bCs w:val="0"/>
                <w:sz w:val="21"/>
                <w:szCs w:val="21"/>
              </w:rPr>
              <w:t>:短消息是移动台之间或移动台与调度台之间，利用控制信道传递有限长度消息的过程。短消息可以是点到点的单呼，也可以是点对多点的组呼。PDT系统中，单条短消息的长度为23个汉字。同时，东方通信PDT系统支持长短信的分片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28</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2" w:name="_Toc360782664"/>
            <w:r>
              <w:rPr>
                <w:rFonts w:hint="eastAsia" w:ascii="宋体" w:hAnsi="宋体" w:cs="宋体"/>
                <w:b w:val="0"/>
                <w:bCs w:val="0"/>
                <w:sz w:val="21"/>
                <w:szCs w:val="21"/>
              </w:rPr>
              <w:t>网络管理</w:t>
            </w:r>
            <w:bookmarkEnd w:id="12"/>
            <w:r>
              <w:rPr>
                <w:rFonts w:hint="eastAsia" w:ascii="宋体" w:hAnsi="宋体" w:cs="宋体"/>
                <w:b w:val="0"/>
                <w:bCs w:val="0"/>
                <w:sz w:val="21"/>
                <w:szCs w:val="21"/>
              </w:rPr>
              <w:t>:网络管理是为了保证系统的正常运行而进行的一些参数配置、运行状态监控、用户档案管理等操作。网管中心可以提供用户管理、配置管理、故障管理、性能管理、安全管理、辅助管理等功能。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29</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3" w:name="_Toc360782665"/>
            <w:r>
              <w:rPr>
                <w:rFonts w:hint="eastAsia" w:ascii="宋体" w:hAnsi="宋体" w:cs="宋体"/>
                <w:b w:val="0"/>
                <w:bCs w:val="0"/>
                <w:sz w:val="21"/>
                <w:szCs w:val="21"/>
              </w:rPr>
              <w:t>安全功能</w:t>
            </w:r>
            <w:bookmarkEnd w:id="13"/>
            <w:r>
              <w:rPr>
                <w:rFonts w:hint="eastAsia" w:ascii="宋体" w:hAnsi="宋体" w:cs="宋体"/>
                <w:b w:val="0"/>
                <w:bCs w:val="0"/>
                <w:sz w:val="21"/>
                <w:szCs w:val="21"/>
              </w:rPr>
              <w:t>:安全功能包括鉴权、端到端加密和空口加密等。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30</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4" w:name="_Toc360782667"/>
            <w:r>
              <w:rPr>
                <w:rFonts w:hint="eastAsia" w:ascii="宋体" w:hAnsi="宋体" w:cs="宋体"/>
                <w:b w:val="0"/>
                <w:bCs w:val="0"/>
                <w:sz w:val="21"/>
                <w:szCs w:val="21"/>
              </w:rPr>
              <w:t>有线电话呼叫</w:t>
            </w:r>
            <w:bookmarkEnd w:id="14"/>
            <w:r>
              <w:rPr>
                <w:rFonts w:hint="eastAsia" w:ascii="宋体" w:hAnsi="宋体" w:cs="宋体"/>
                <w:b w:val="0"/>
                <w:bCs w:val="0"/>
                <w:sz w:val="21"/>
                <w:szCs w:val="21"/>
              </w:rPr>
              <w:t>:有线电话呼叫是移动台利用空口及系统网关设备与PABX、PSTN等有线电话之间进行的呼叫。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31</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5" w:name="_Toc360782668"/>
            <w:r>
              <w:rPr>
                <w:rFonts w:hint="eastAsia" w:ascii="宋体" w:hAnsi="宋体" w:cs="宋体"/>
                <w:b w:val="0"/>
                <w:bCs w:val="0"/>
                <w:sz w:val="21"/>
                <w:szCs w:val="21"/>
              </w:rPr>
              <w:t>功率控制</w:t>
            </w:r>
            <w:bookmarkEnd w:id="15"/>
            <w:r>
              <w:rPr>
                <w:rFonts w:hint="eastAsia" w:ascii="宋体" w:hAnsi="宋体" w:cs="宋体"/>
                <w:b w:val="0"/>
                <w:bCs w:val="0"/>
                <w:sz w:val="21"/>
                <w:szCs w:val="21"/>
              </w:rPr>
              <w:t>:系统利用空口信令调整移动台的发射功率，达到保障通信效果和降低移动台功耗目的。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32</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6" w:name="_Toc360782669"/>
            <w:r>
              <w:rPr>
                <w:rFonts w:hint="eastAsia" w:ascii="宋体" w:hAnsi="宋体" w:cs="宋体"/>
                <w:b w:val="0"/>
                <w:bCs w:val="0"/>
                <w:sz w:val="21"/>
                <w:szCs w:val="21"/>
              </w:rPr>
              <w:t>包容呼叫</w:t>
            </w:r>
            <w:bookmarkEnd w:id="16"/>
            <w:r>
              <w:rPr>
                <w:rFonts w:hint="eastAsia" w:ascii="宋体" w:hAnsi="宋体" w:cs="宋体"/>
                <w:b w:val="0"/>
                <w:bCs w:val="0"/>
                <w:sz w:val="21"/>
                <w:szCs w:val="21"/>
              </w:rPr>
              <w:t>:包容呼叫是移动台在已经建立呼叫的业务信道上发起的，将其他目标移动台拉入当前业务信道通话的呼叫。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33</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7" w:name="_Toc360782670"/>
            <w:r>
              <w:rPr>
                <w:rFonts w:hint="eastAsia" w:ascii="宋体" w:hAnsi="宋体" w:cs="宋体"/>
                <w:b w:val="0"/>
                <w:bCs w:val="0"/>
                <w:sz w:val="21"/>
                <w:szCs w:val="21"/>
              </w:rPr>
              <w:t>呼叫转移</w:t>
            </w:r>
            <w:bookmarkEnd w:id="17"/>
            <w:r>
              <w:rPr>
                <w:rFonts w:hint="eastAsia" w:ascii="宋体" w:hAnsi="宋体" w:cs="宋体"/>
                <w:b w:val="0"/>
                <w:bCs w:val="0"/>
                <w:sz w:val="21"/>
                <w:szCs w:val="21"/>
              </w:rPr>
              <w:t>:呼叫转移是指把来电转移到预先设定的其他号码上的业务。呼叫转移可由自身或第三方设置和取消，转移的条件分为无条件转移和有条件转移。</w:t>
            </w:r>
          </w:p>
          <w:p>
            <w:pPr>
              <w:autoSpaceDE/>
              <w:autoSpaceDN/>
              <w:adjustRightInd/>
              <w:spacing w:line="360" w:lineRule="auto"/>
              <w:ind w:firstLine="420" w:firstLineChars="200"/>
              <w:rPr>
                <w:rFonts w:hint="eastAsia" w:ascii="宋体" w:hAnsi="宋体" w:cs="宋体"/>
              </w:rPr>
            </w:pPr>
            <w:r>
              <w:rPr>
                <w:rFonts w:hint="eastAsia" w:ascii="宋体" w:hAnsi="宋体" w:cs="宋体"/>
              </w:rPr>
              <w:t>系统支持单呼转移业务。当被叫用户不可及、忙或无应答时都可以实现呼叫的自动转移。另外，还可以设置无条件呼叫转移。</w:t>
            </w:r>
          </w:p>
          <w:p>
            <w:pPr>
              <w:autoSpaceDE/>
              <w:autoSpaceDN/>
              <w:adjustRightInd/>
              <w:spacing w:line="360" w:lineRule="auto"/>
              <w:ind w:firstLine="420" w:firstLineChars="200"/>
              <w:rPr>
                <w:rFonts w:hint="eastAsia" w:ascii="宋体" w:hAnsi="宋体" w:cs="宋体"/>
              </w:rPr>
            </w:pPr>
            <w:r>
              <w:rPr>
                <w:rFonts w:hint="eastAsia" w:ascii="宋体" w:hAnsi="宋体" w:cs="宋体"/>
              </w:rPr>
              <w:t>转移呼叫支持：被叫用户不可及呼叫转移、被叫用户忙呼叫转移、被叫用户无应答呼叫转移、无条件呼叫转移。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34</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r>
              <w:rPr>
                <w:rFonts w:hint="eastAsia" w:ascii="宋体" w:hAnsi="宋体" w:cs="宋体"/>
                <w:b w:val="0"/>
                <w:bCs w:val="0"/>
                <w:sz w:val="21"/>
                <w:szCs w:val="21"/>
              </w:rPr>
              <w:t>繁忙排队:繁忙排队是当系统业务信道资源全忙时，系统将新发起的呼叫排入呼叫等待队列，待系统有空闲资源时对等待队列中的呼叫进行处理的过程。</w:t>
            </w:r>
          </w:p>
          <w:p>
            <w:pPr>
              <w:autoSpaceDE/>
              <w:autoSpaceDN/>
              <w:adjustRightInd/>
              <w:spacing w:line="360" w:lineRule="auto"/>
              <w:ind w:firstLine="420" w:firstLineChars="200"/>
              <w:rPr>
                <w:rFonts w:hint="eastAsia" w:ascii="宋体" w:hAnsi="宋体" w:cs="宋体"/>
              </w:rPr>
            </w:pPr>
            <w:r>
              <w:rPr>
                <w:rFonts w:hint="eastAsia" w:ascii="宋体" w:hAnsi="宋体" w:cs="宋体"/>
              </w:rPr>
              <w:t>当第一个组呼成员要求开始通话时，系统为该次组呼分配了无线资源。如果此时所有的话务信道都被占用，系统将该呼叫置入排队序列中。当有空闲信道时，该信道将分配给排队队列中第一个优先级最高的用户。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35</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8" w:name="_Toc360782672"/>
            <w:r>
              <w:rPr>
                <w:rFonts w:hint="eastAsia" w:ascii="宋体" w:hAnsi="宋体" w:cs="宋体"/>
                <w:b w:val="0"/>
                <w:bCs w:val="0"/>
                <w:sz w:val="21"/>
                <w:szCs w:val="21"/>
              </w:rPr>
              <w:t>分组数据</w:t>
            </w:r>
            <w:bookmarkEnd w:id="18"/>
            <w:r>
              <w:rPr>
                <w:rFonts w:hint="eastAsia" w:ascii="宋体" w:hAnsi="宋体" w:cs="宋体"/>
                <w:b w:val="0"/>
                <w:bCs w:val="0"/>
                <w:sz w:val="21"/>
                <w:szCs w:val="21"/>
              </w:rPr>
              <w:t>:分组数据是利用系统的业务信道，遵循分组数据传输协议实现多用户共享业务信道，进行数据传输的业务过程。</w:t>
            </w:r>
          </w:p>
          <w:p>
            <w:pPr>
              <w:autoSpaceDE/>
              <w:autoSpaceDN/>
              <w:adjustRightInd/>
              <w:spacing w:line="360" w:lineRule="auto"/>
              <w:ind w:firstLine="420" w:firstLineChars="200"/>
              <w:rPr>
                <w:rFonts w:hint="eastAsia" w:ascii="宋体" w:hAnsi="宋体" w:cs="宋体"/>
              </w:rPr>
            </w:pPr>
            <w:r>
              <w:rPr>
                <w:rFonts w:hint="eastAsia" w:ascii="宋体" w:hAnsi="宋体" w:cs="宋体"/>
              </w:rPr>
              <w:t>系统同时支持IPv4和IPv6两种网络层协议。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36</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19" w:name="_Toc360782673"/>
            <w:r>
              <w:rPr>
                <w:rFonts w:hint="eastAsia" w:ascii="宋体" w:hAnsi="宋体" w:cs="宋体"/>
                <w:b w:val="0"/>
                <w:bCs w:val="0"/>
                <w:sz w:val="21"/>
                <w:szCs w:val="21"/>
              </w:rPr>
              <w:t>空口加密</w:t>
            </w:r>
            <w:bookmarkEnd w:id="19"/>
            <w:r>
              <w:rPr>
                <w:rFonts w:hint="eastAsia" w:ascii="宋体" w:hAnsi="宋体" w:cs="宋体"/>
                <w:b w:val="0"/>
                <w:bCs w:val="0"/>
                <w:sz w:val="21"/>
                <w:szCs w:val="21"/>
              </w:rPr>
              <w:t>:空口加密是对移动台与基站之间空口信令和语音、数据等业务信息的加密。</w:t>
            </w:r>
          </w:p>
          <w:p>
            <w:pPr>
              <w:autoSpaceDE/>
              <w:autoSpaceDN/>
              <w:adjustRightInd/>
              <w:spacing w:line="360" w:lineRule="auto"/>
              <w:ind w:firstLine="420" w:firstLineChars="200"/>
              <w:rPr>
                <w:rFonts w:hint="eastAsia" w:ascii="宋体" w:hAnsi="宋体" w:cs="宋体"/>
              </w:rPr>
            </w:pPr>
            <w:r>
              <w:rPr>
                <w:rFonts w:hint="eastAsia" w:ascii="宋体" w:hAnsi="宋体" w:cs="宋体"/>
              </w:rPr>
              <w:t>系统支持启用或关闭空中数据加密功能。</w:t>
            </w:r>
          </w:p>
          <w:p>
            <w:pPr>
              <w:autoSpaceDE/>
              <w:autoSpaceDN/>
              <w:adjustRightInd/>
              <w:spacing w:line="360" w:lineRule="auto"/>
              <w:ind w:firstLine="420" w:firstLineChars="200"/>
              <w:rPr>
                <w:rFonts w:hint="eastAsia" w:ascii="宋体" w:hAnsi="宋体" w:cs="宋体"/>
              </w:rPr>
            </w:pPr>
            <w:r>
              <w:rPr>
                <w:rFonts w:hint="eastAsia" w:ascii="宋体" w:hAnsi="宋体" w:cs="宋体"/>
              </w:rPr>
              <w:t>加密分2个等级，等级1只对语音和数据加密；等级2对语音、数据和信令全加密。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37</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20" w:name="_Toc360782674"/>
            <w:r>
              <w:rPr>
                <w:rFonts w:hint="eastAsia" w:ascii="宋体" w:hAnsi="宋体" w:cs="宋体"/>
                <w:b w:val="0"/>
                <w:bCs w:val="0"/>
                <w:sz w:val="21"/>
                <w:szCs w:val="21"/>
              </w:rPr>
              <w:t>限定基站呼叫</w:t>
            </w:r>
            <w:bookmarkEnd w:id="20"/>
            <w:r>
              <w:rPr>
                <w:rFonts w:hint="eastAsia" w:ascii="宋体" w:hAnsi="宋体" w:cs="宋体"/>
                <w:b w:val="0"/>
                <w:bCs w:val="0"/>
                <w:sz w:val="21"/>
                <w:szCs w:val="21"/>
              </w:rPr>
              <w:t>:限定基站呼叫是指系统可以利用参数配置限定呼叫参与基站的范围，配置范围外的基站不参与该呼叫。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38</w:t>
            </w:r>
          </w:p>
        </w:tc>
        <w:tc>
          <w:tcPr>
            <w:tcW w:w="7705" w:type="dxa"/>
            <w:noWrap w:val="0"/>
            <w:vAlign w:val="center"/>
          </w:tcPr>
          <w:p>
            <w:pPr>
              <w:pStyle w:val="4"/>
              <w:numPr>
                <w:ilvl w:val="0"/>
                <w:numId w:val="0"/>
              </w:numPr>
              <w:autoSpaceDE/>
              <w:autoSpaceDN/>
              <w:adjustRightInd/>
              <w:spacing w:before="0" w:beforeLines="0" w:after="0" w:afterLines="0" w:line="360" w:lineRule="auto"/>
              <w:rPr>
                <w:rFonts w:hint="eastAsia" w:ascii="宋体" w:hAnsi="宋体" w:cs="宋体"/>
                <w:b w:val="0"/>
                <w:bCs w:val="0"/>
                <w:sz w:val="21"/>
                <w:szCs w:val="21"/>
              </w:rPr>
            </w:pPr>
            <w:bookmarkStart w:id="21" w:name="_Toc334684900"/>
            <w:bookmarkStart w:id="22" w:name="_Toc360782675"/>
            <w:r>
              <w:rPr>
                <w:rFonts w:hint="eastAsia" w:ascii="宋体" w:hAnsi="宋体" w:cs="宋体"/>
                <w:b w:val="0"/>
                <w:bCs w:val="0"/>
                <w:sz w:val="21"/>
                <w:szCs w:val="21"/>
              </w:rPr>
              <w:t>预案录存</w:t>
            </w:r>
            <w:bookmarkEnd w:id="21"/>
            <w:bookmarkEnd w:id="22"/>
            <w:r>
              <w:rPr>
                <w:rFonts w:hint="eastAsia" w:ascii="宋体" w:hAnsi="宋体" w:cs="宋体"/>
                <w:b w:val="0"/>
                <w:bCs w:val="0"/>
                <w:sz w:val="21"/>
                <w:szCs w:val="21"/>
              </w:rPr>
              <w:t>:系统可事先保存紧急调度预案。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39</w:t>
            </w:r>
          </w:p>
        </w:tc>
        <w:tc>
          <w:tcPr>
            <w:tcW w:w="7705" w:type="dxa"/>
            <w:noWrap w:val="0"/>
            <w:vAlign w:val="center"/>
          </w:tcPr>
          <w:p>
            <w:pPr>
              <w:pStyle w:val="4"/>
              <w:numPr>
                <w:ilvl w:val="0"/>
                <w:numId w:val="0"/>
              </w:numPr>
              <w:autoSpaceDE/>
              <w:autoSpaceDN/>
              <w:adjustRightInd/>
              <w:snapToGrid w:val="0"/>
              <w:spacing w:before="0" w:beforeLines="0" w:after="0" w:afterLines="0" w:line="360" w:lineRule="auto"/>
              <w:rPr>
                <w:rFonts w:hint="eastAsia" w:ascii="宋体" w:hAnsi="宋体" w:cs="宋体"/>
                <w:b w:val="0"/>
                <w:bCs w:val="0"/>
                <w:sz w:val="21"/>
                <w:szCs w:val="21"/>
              </w:rPr>
            </w:pPr>
            <w:bookmarkStart w:id="23" w:name="_Toc334684907"/>
            <w:bookmarkStart w:id="24" w:name="_Toc318381561"/>
            <w:bookmarkStart w:id="25" w:name="_Toc251067647"/>
            <w:bookmarkStart w:id="26" w:name="_Toc251067490"/>
            <w:bookmarkStart w:id="27" w:name="_Toc251067412"/>
            <w:bookmarkStart w:id="28" w:name="_Toc251067568"/>
            <w:bookmarkStart w:id="29" w:name="_Toc251056274"/>
            <w:bookmarkStart w:id="30" w:name="_Toc360782676"/>
            <w:bookmarkStart w:id="31" w:name="_Toc251162365"/>
            <w:r>
              <w:rPr>
                <w:rFonts w:hint="eastAsia" w:ascii="宋体" w:hAnsi="宋体" w:cs="宋体"/>
                <w:b w:val="0"/>
                <w:bCs w:val="0"/>
                <w:sz w:val="21"/>
                <w:szCs w:val="21"/>
              </w:rPr>
              <w:t>故障弱化</w:t>
            </w:r>
            <w:bookmarkEnd w:id="23"/>
            <w:bookmarkEnd w:id="24"/>
            <w:bookmarkEnd w:id="25"/>
            <w:bookmarkEnd w:id="26"/>
            <w:bookmarkEnd w:id="27"/>
            <w:bookmarkEnd w:id="28"/>
            <w:bookmarkEnd w:id="29"/>
            <w:bookmarkEnd w:id="30"/>
            <w:bookmarkEnd w:id="31"/>
            <w:r>
              <w:rPr>
                <w:rFonts w:hint="eastAsia" w:ascii="宋体" w:hAnsi="宋体" w:cs="宋体"/>
                <w:b w:val="0"/>
                <w:bCs w:val="0"/>
                <w:sz w:val="21"/>
                <w:szCs w:val="21"/>
              </w:rPr>
              <w:t>:当交换机与基站之间的链路发生故障时，基站以集群方式独立工作，通话组保持不变，具有组呼、优先级、紧急呼叫等基本集群功能，为其覆盖区内的移动用户提供话音服务；当故障排除后，系统自动恢复到正常运行状态，而用户的通话组也不用做任何调整，仍可按原来的通话组方式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noWrap w:val="0"/>
            <w:vAlign w:val="center"/>
          </w:tcPr>
          <w:p>
            <w:pPr>
              <w:autoSpaceDE/>
              <w:autoSpaceDN/>
              <w:adjustRightInd/>
              <w:spacing w:line="360" w:lineRule="auto"/>
              <w:jc w:val="center"/>
              <w:rPr>
                <w:rFonts w:hint="eastAsia" w:ascii="宋体" w:hAnsi="宋体" w:cs="宋体"/>
              </w:rPr>
            </w:pPr>
            <w:r>
              <w:rPr>
                <w:rFonts w:hint="eastAsia" w:ascii="宋体" w:hAnsi="宋体" w:cs="宋体"/>
              </w:rPr>
              <w:t>40</w:t>
            </w:r>
          </w:p>
        </w:tc>
        <w:tc>
          <w:tcPr>
            <w:tcW w:w="7705" w:type="dxa"/>
            <w:noWrap w:val="0"/>
            <w:vAlign w:val="center"/>
          </w:tcPr>
          <w:p>
            <w:pPr>
              <w:pStyle w:val="4"/>
              <w:numPr>
                <w:ilvl w:val="0"/>
                <w:numId w:val="0"/>
              </w:numPr>
              <w:autoSpaceDE/>
              <w:autoSpaceDN/>
              <w:adjustRightInd/>
              <w:snapToGrid w:val="0"/>
              <w:spacing w:before="0" w:beforeLines="0" w:after="0" w:afterLines="0" w:line="360" w:lineRule="auto"/>
              <w:rPr>
                <w:rFonts w:hint="eastAsia" w:ascii="宋体" w:hAnsi="宋体" w:cs="宋体"/>
                <w:b w:val="0"/>
                <w:bCs w:val="0"/>
                <w:sz w:val="21"/>
                <w:szCs w:val="21"/>
              </w:rPr>
            </w:pPr>
            <w:bookmarkStart w:id="32" w:name="_Toc251162366"/>
            <w:bookmarkStart w:id="33" w:name="_Toc251067491"/>
            <w:bookmarkStart w:id="34" w:name="_Toc251056275"/>
            <w:bookmarkStart w:id="35" w:name="_Toc318381562"/>
            <w:bookmarkStart w:id="36" w:name="_Toc251067648"/>
            <w:bookmarkStart w:id="37" w:name="_Toc334684908"/>
            <w:bookmarkStart w:id="38" w:name="_Toc251067569"/>
            <w:bookmarkStart w:id="39" w:name="_Toc360782677"/>
            <w:bookmarkStart w:id="40" w:name="_Toc251067413"/>
            <w:r>
              <w:rPr>
                <w:rFonts w:hint="eastAsia" w:ascii="宋体" w:hAnsi="宋体" w:cs="宋体"/>
                <w:b w:val="0"/>
                <w:bCs w:val="0"/>
                <w:sz w:val="21"/>
                <w:szCs w:val="21"/>
              </w:rPr>
              <w:t>其他功能</w:t>
            </w:r>
            <w:bookmarkEnd w:id="32"/>
            <w:bookmarkEnd w:id="33"/>
            <w:bookmarkEnd w:id="34"/>
            <w:bookmarkEnd w:id="35"/>
            <w:bookmarkEnd w:id="36"/>
            <w:bookmarkEnd w:id="37"/>
            <w:bookmarkEnd w:id="38"/>
            <w:bookmarkEnd w:id="39"/>
            <w:bookmarkEnd w:id="40"/>
            <w:r>
              <w:rPr>
                <w:rFonts w:hint="eastAsia" w:ascii="宋体" w:hAnsi="宋体" w:cs="宋体"/>
                <w:b w:val="0"/>
                <w:bCs w:val="0"/>
                <w:sz w:val="21"/>
                <w:szCs w:val="21"/>
              </w:rPr>
              <w:t>:系统提供的其他功能包括</w:t>
            </w:r>
          </w:p>
          <w:p>
            <w:pPr>
              <w:numPr>
                <w:ilvl w:val="0"/>
                <w:numId w:val="0"/>
              </w:numPr>
              <w:tabs>
                <w:tab w:val="left" w:pos="0"/>
              </w:tabs>
              <w:autoSpaceDE/>
              <w:autoSpaceDN/>
              <w:adjustRightInd/>
              <w:spacing w:line="360" w:lineRule="auto"/>
              <w:ind w:left="448" w:leftChars="0"/>
              <w:rPr>
                <w:rFonts w:hint="eastAsia" w:ascii="宋体" w:hAnsi="宋体" w:cs="宋体"/>
              </w:rPr>
            </w:pPr>
            <w:r>
              <w:rPr>
                <w:rFonts w:hint="eastAsia" w:ascii="宋体" w:hAnsi="宋体" w:cs="宋体"/>
              </w:rPr>
              <w:t>省电模式</w:t>
            </w:r>
          </w:p>
          <w:p>
            <w:pPr>
              <w:numPr>
                <w:ilvl w:val="0"/>
                <w:numId w:val="0"/>
              </w:numPr>
              <w:tabs>
                <w:tab w:val="left" w:pos="0"/>
              </w:tabs>
              <w:autoSpaceDE/>
              <w:autoSpaceDN/>
              <w:adjustRightInd/>
              <w:spacing w:line="360" w:lineRule="auto"/>
              <w:ind w:left="448" w:leftChars="0"/>
              <w:rPr>
                <w:rFonts w:hint="eastAsia" w:ascii="宋体" w:hAnsi="宋体" w:cs="宋体"/>
              </w:rPr>
            </w:pPr>
            <w:r>
              <w:rPr>
                <w:rFonts w:hint="eastAsia" w:ascii="宋体" w:hAnsi="宋体" w:cs="宋体"/>
              </w:rPr>
              <w:t>与MTP1327模拟集群系统互通</w:t>
            </w:r>
          </w:p>
          <w:p>
            <w:pPr>
              <w:numPr>
                <w:ilvl w:val="0"/>
                <w:numId w:val="0"/>
              </w:numPr>
              <w:tabs>
                <w:tab w:val="left" w:pos="0"/>
              </w:tabs>
              <w:autoSpaceDE/>
              <w:autoSpaceDN/>
              <w:adjustRightInd/>
              <w:spacing w:line="360" w:lineRule="auto"/>
              <w:ind w:left="448" w:leftChars="0"/>
              <w:rPr>
                <w:rFonts w:hint="eastAsia" w:ascii="宋体" w:hAnsi="宋体" w:cs="宋体"/>
              </w:rPr>
            </w:pPr>
            <w:r>
              <w:rPr>
                <w:rFonts w:hint="eastAsia" w:ascii="宋体" w:hAnsi="宋体" w:cs="宋体"/>
              </w:rPr>
              <w:t>接口丰富，支持二次开发</w:t>
            </w:r>
          </w:p>
          <w:p>
            <w:pPr>
              <w:numPr>
                <w:ilvl w:val="0"/>
                <w:numId w:val="0"/>
              </w:numPr>
              <w:tabs>
                <w:tab w:val="left" w:pos="0"/>
              </w:tabs>
              <w:autoSpaceDE/>
              <w:autoSpaceDN/>
              <w:adjustRightInd/>
              <w:spacing w:line="360" w:lineRule="auto"/>
              <w:ind w:left="448" w:leftChars="0"/>
              <w:rPr>
                <w:rFonts w:hint="eastAsia" w:ascii="宋体" w:hAnsi="宋体" w:cs="宋体"/>
              </w:rPr>
            </w:pPr>
            <w:r>
              <w:rPr>
                <w:rFonts w:hint="eastAsia" w:ascii="宋体" w:hAnsi="宋体" w:cs="宋体"/>
              </w:rPr>
              <w:t>控制信道备份</w:t>
            </w:r>
          </w:p>
          <w:p>
            <w:pPr>
              <w:numPr>
                <w:ilvl w:val="0"/>
                <w:numId w:val="0"/>
              </w:numPr>
              <w:tabs>
                <w:tab w:val="left" w:pos="0"/>
              </w:tabs>
              <w:autoSpaceDE/>
              <w:autoSpaceDN/>
              <w:adjustRightInd/>
              <w:spacing w:line="360" w:lineRule="auto"/>
              <w:ind w:left="448" w:leftChars="0"/>
              <w:rPr>
                <w:rFonts w:hint="eastAsia" w:ascii="宋体" w:hAnsi="宋体" w:cs="宋体"/>
              </w:rPr>
            </w:pPr>
            <w:r>
              <w:rPr>
                <w:rFonts w:hint="eastAsia" w:ascii="宋体" w:hAnsi="宋体" w:cs="宋体"/>
              </w:rPr>
              <w:t>支持全网录音功能；支持录音查询的回放、循环播放以及连续播放</w:t>
            </w:r>
          </w:p>
        </w:tc>
      </w:tr>
    </w:tbl>
    <w:p>
      <w:pPr>
        <w:pStyle w:val="17"/>
        <w:spacing w:after="0" w:afterLines="0" w:line="360" w:lineRule="auto"/>
        <w:ind w:left="0" w:leftChars="0" w:firstLine="0" w:firstLineChars="0"/>
        <w:outlineLvl w:val="1"/>
        <w:rPr>
          <w:rFonts w:ascii="宋体" w:hAnsi="宋体" w:cs="宋体"/>
          <w:b/>
          <w:kern w:val="0"/>
          <w:sz w:val="24"/>
          <w:szCs w:val="24"/>
          <w:lang w:eastAsia="zh-CN"/>
        </w:rPr>
      </w:pPr>
    </w:p>
    <w:p>
      <w:pPr>
        <w:pStyle w:val="17"/>
        <w:spacing w:after="0" w:afterLines="0" w:line="360" w:lineRule="auto"/>
        <w:ind w:left="0" w:leftChars="0" w:firstLine="0" w:firstLineChars="0"/>
        <w:outlineLvl w:val="1"/>
        <w:rPr>
          <w:rFonts w:hint="eastAsia" w:ascii="宋体" w:hAnsi="宋体" w:eastAsia="宋体" w:cs="宋体"/>
          <w:b/>
          <w:kern w:val="0"/>
          <w:sz w:val="24"/>
          <w:szCs w:val="24"/>
        </w:rPr>
      </w:pPr>
      <w:r>
        <w:rPr>
          <w:rFonts w:hint="eastAsia" w:ascii="宋体" w:hAnsi="宋体" w:cs="宋体"/>
          <w:b/>
          <w:kern w:val="0"/>
          <w:sz w:val="24"/>
          <w:szCs w:val="24"/>
          <w:lang w:eastAsia="zh-CN"/>
        </w:rPr>
        <w:t>（四）</w:t>
      </w:r>
      <w:r>
        <w:rPr>
          <w:rFonts w:hint="eastAsia" w:ascii="宋体" w:hAnsi="宋体" w:eastAsia="宋体" w:cs="宋体"/>
          <w:b/>
          <w:kern w:val="0"/>
          <w:sz w:val="24"/>
          <w:szCs w:val="24"/>
        </w:rPr>
        <w:t>供货范围及要求</w:t>
      </w:r>
    </w:p>
    <w:p>
      <w:pPr>
        <w:spacing w:line="360" w:lineRule="auto"/>
        <w:ind w:firstLine="480" w:firstLineChars="200"/>
        <w:rPr>
          <w:rFonts w:hint="eastAsia" w:ascii="宋体" w:hAnsi="宋体" w:cs="宋体"/>
          <w:sz w:val="24"/>
        </w:rPr>
      </w:pPr>
      <w:r>
        <w:rPr>
          <w:rFonts w:hint="eastAsia" w:ascii="宋体" w:hAnsi="宋体" w:cs="宋体"/>
          <w:sz w:val="24"/>
        </w:rPr>
        <w:t>1.成交供应商须保证提供货物为全新的、先进的、成熟的、完整的和安全可靠的，且货物的技术经济性能符合本项目采购要求。</w:t>
      </w:r>
    </w:p>
    <w:p>
      <w:pPr>
        <w:spacing w:line="360" w:lineRule="auto"/>
        <w:ind w:firstLine="480" w:firstLineChars="200"/>
        <w:rPr>
          <w:rFonts w:hint="eastAsia" w:ascii="宋体" w:hAnsi="宋体" w:cs="宋体"/>
          <w:sz w:val="24"/>
        </w:rPr>
      </w:pPr>
      <w:r>
        <w:rPr>
          <w:rFonts w:hint="eastAsia" w:ascii="宋体" w:hAnsi="宋体" w:cs="宋体"/>
          <w:sz w:val="24"/>
        </w:rPr>
        <w:t>2.成交供应商应提供详细供货清单，清单中依次说明型号、数量、产地、生产厂家等内容。</w:t>
      </w:r>
    </w:p>
    <w:p>
      <w:pPr>
        <w:spacing w:line="360" w:lineRule="auto"/>
        <w:ind w:firstLine="480" w:firstLineChars="200"/>
        <w:rPr>
          <w:rFonts w:hint="eastAsia" w:ascii="宋体" w:hAnsi="宋体" w:cs="宋体"/>
          <w:sz w:val="24"/>
        </w:rPr>
      </w:pPr>
      <w:r>
        <w:rPr>
          <w:rFonts w:hint="eastAsia" w:ascii="宋体" w:hAnsi="宋体" w:cs="宋体"/>
          <w:sz w:val="24"/>
        </w:rPr>
        <w:t>3.除有特别注明外，所列设备及数量为建设本项目必需但不一定是全部。对于属于整套系统运行和施工所必需的部件，即使在本项目采购中未列出或数目不足，成交供应商应在投标时应充分考虑并须在执行合同时无偿补足。</w:t>
      </w:r>
    </w:p>
    <w:p>
      <w:pPr>
        <w:spacing w:line="360" w:lineRule="auto"/>
        <w:ind w:firstLine="480" w:firstLineChars="200"/>
        <w:rPr>
          <w:rFonts w:hint="eastAsia" w:ascii="宋体" w:hAnsi="宋体" w:cs="宋体"/>
          <w:sz w:val="24"/>
        </w:rPr>
      </w:pPr>
      <w:r>
        <w:rPr>
          <w:rFonts w:hint="eastAsia" w:ascii="宋体" w:hAnsi="宋体" w:cs="宋体"/>
          <w:sz w:val="24"/>
        </w:rPr>
        <w:t>4.成交供应商应提供所有安装和检修所需专用工具和消耗材料等，并提供详细供货清单。</w:t>
      </w:r>
    </w:p>
    <w:p>
      <w:pPr>
        <w:spacing w:line="360" w:lineRule="auto"/>
        <w:ind w:firstLine="480" w:firstLineChars="200"/>
        <w:rPr>
          <w:rFonts w:hint="eastAsia" w:ascii="宋体" w:hAnsi="宋体" w:cs="宋体"/>
          <w:sz w:val="24"/>
        </w:rPr>
      </w:pPr>
      <w:r>
        <w:rPr>
          <w:rFonts w:hint="eastAsia" w:ascii="宋体" w:hAnsi="宋体" w:cs="宋体"/>
          <w:sz w:val="24"/>
        </w:rPr>
        <w:t>5.提供所供货物中的进口件清单。</w:t>
      </w:r>
    </w:p>
    <w:p>
      <w:pPr>
        <w:pStyle w:val="17"/>
        <w:spacing w:after="0" w:afterLines="0" w:line="360" w:lineRule="auto"/>
        <w:ind w:left="0" w:leftChars="0" w:firstLine="0" w:firstLineChars="0"/>
        <w:outlineLvl w:val="1"/>
        <w:rPr>
          <w:rFonts w:hint="eastAsia" w:ascii="宋体" w:hAnsi="宋体" w:cs="宋体"/>
          <w:b/>
          <w:kern w:val="0"/>
          <w:sz w:val="24"/>
          <w:szCs w:val="24"/>
          <w:lang w:eastAsia="zh-CN"/>
        </w:rPr>
      </w:pPr>
      <w:r>
        <w:rPr>
          <w:rFonts w:hint="eastAsia" w:ascii="宋体" w:hAnsi="宋体" w:cs="宋体"/>
          <w:b/>
          <w:kern w:val="0"/>
          <w:sz w:val="24"/>
          <w:szCs w:val="24"/>
          <w:lang w:eastAsia="zh-CN"/>
        </w:rPr>
        <w:t>（五）质量标准和技术服务条件</w:t>
      </w:r>
    </w:p>
    <w:p>
      <w:pPr>
        <w:spacing w:line="360" w:lineRule="auto"/>
        <w:ind w:firstLine="482" w:firstLineChars="200"/>
        <w:rPr>
          <w:rFonts w:hint="eastAsia" w:ascii="宋体" w:hAnsi="宋体" w:cs="宋体"/>
          <w:b/>
          <w:bCs/>
          <w:sz w:val="24"/>
        </w:rPr>
      </w:pPr>
      <w:r>
        <w:rPr>
          <w:rFonts w:hint="eastAsia" w:ascii="宋体" w:hAnsi="宋体" w:cs="宋体"/>
          <w:b/>
          <w:bCs/>
          <w:sz w:val="24"/>
        </w:rPr>
        <w:t>1.质量标准要求：</w:t>
      </w:r>
      <w:r>
        <w:rPr>
          <w:rFonts w:hint="eastAsia" w:ascii="宋体" w:hAnsi="宋体" w:cs="宋体"/>
          <w:b/>
          <w:bCs/>
          <w:sz w:val="24"/>
        </w:rPr>
        <w:tab/>
      </w:r>
    </w:p>
    <w:p>
      <w:pPr>
        <w:spacing w:line="360" w:lineRule="auto"/>
        <w:ind w:firstLine="480" w:firstLineChars="200"/>
        <w:rPr>
          <w:rFonts w:hint="eastAsia" w:ascii="宋体" w:hAnsi="宋体" w:cs="宋体"/>
          <w:sz w:val="24"/>
        </w:rPr>
      </w:pPr>
      <w:r>
        <w:rPr>
          <w:rFonts w:hint="eastAsia" w:ascii="宋体" w:hAnsi="宋体" w:cs="宋体"/>
          <w:sz w:val="24"/>
        </w:rPr>
        <w:t>（1）本项目的所有软、硬件(如线缆、软件、硬件模块等，包括未列出而系统实施又必需的软件、硬件)需配齐以构成一套完整实用系统，如有任何遗漏，由投标人免费补齐。</w:t>
      </w:r>
    </w:p>
    <w:p>
      <w:pPr>
        <w:spacing w:line="360" w:lineRule="auto"/>
        <w:ind w:firstLine="480" w:firstLineChars="200"/>
        <w:rPr>
          <w:rFonts w:hint="eastAsia" w:ascii="宋体" w:hAnsi="宋体" w:cs="宋体"/>
          <w:sz w:val="24"/>
        </w:rPr>
      </w:pPr>
      <w:r>
        <w:rPr>
          <w:rFonts w:hint="eastAsia" w:ascii="宋体" w:hAnsi="宋体" w:cs="宋体"/>
          <w:sz w:val="24"/>
        </w:rPr>
        <w:t>（2）投标方案中的硬件设备如需使用特别接头、插座等，由投标人免费提供。</w:t>
      </w:r>
    </w:p>
    <w:p>
      <w:pPr>
        <w:spacing w:line="360" w:lineRule="auto"/>
        <w:ind w:firstLine="480" w:firstLineChars="200"/>
        <w:rPr>
          <w:rFonts w:hint="eastAsia" w:ascii="宋体" w:hAnsi="宋体" w:cs="宋体"/>
          <w:sz w:val="24"/>
        </w:rPr>
      </w:pPr>
      <w:r>
        <w:rPr>
          <w:rFonts w:hint="eastAsia" w:ascii="宋体" w:hAnsi="宋体" w:cs="宋体"/>
          <w:sz w:val="24"/>
        </w:rPr>
        <w:t>（3）所投设备需为原厂设备，符合国家技术规范和质量标准，通过国家有关部门检测合格的原产地设备，能够与采购人现有设备正常连接；设备安装调试完毕后，能在其功能范围内保障用户的系统安全、稳定运行。</w:t>
      </w:r>
    </w:p>
    <w:p>
      <w:pPr>
        <w:spacing w:line="360" w:lineRule="auto"/>
        <w:ind w:firstLine="480" w:firstLineChars="200"/>
        <w:rPr>
          <w:rFonts w:hint="eastAsia" w:ascii="宋体" w:hAnsi="宋体" w:cs="宋体"/>
          <w:sz w:val="24"/>
        </w:rPr>
      </w:pPr>
      <w:r>
        <w:rPr>
          <w:rFonts w:hint="eastAsia" w:ascii="宋体" w:hAnsi="宋体" w:cs="宋体"/>
          <w:sz w:val="24"/>
        </w:rPr>
        <w:t>（4）所投设备及主要部件均须非停产设备，并提供备件、附件和耗材的供应。</w:t>
      </w:r>
    </w:p>
    <w:p>
      <w:pPr>
        <w:spacing w:line="360" w:lineRule="auto"/>
        <w:ind w:firstLine="480" w:firstLineChars="200"/>
        <w:rPr>
          <w:rFonts w:hint="eastAsia" w:ascii="宋体" w:hAnsi="宋体" w:cs="宋体"/>
          <w:sz w:val="24"/>
        </w:rPr>
      </w:pPr>
      <w:r>
        <w:rPr>
          <w:rFonts w:hint="eastAsia" w:ascii="宋体" w:hAnsi="宋体" w:cs="宋体"/>
          <w:sz w:val="24"/>
        </w:rPr>
        <w:t>（5）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spacing w:line="360" w:lineRule="auto"/>
        <w:ind w:firstLine="480" w:firstLineChars="200"/>
        <w:rPr>
          <w:rFonts w:hint="eastAsia" w:ascii="宋体" w:hAnsi="宋体" w:cs="宋体"/>
          <w:sz w:val="24"/>
        </w:rPr>
      </w:pPr>
      <w:r>
        <w:rPr>
          <w:rFonts w:hint="eastAsia" w:ascii="宋体" w:hAnsi="宋体" w:cs="宋体"/>
          <w:sz w:val="24"/>
        </w:rPr>
        <w:t>（6）验收条件：开箱验收：清点设备装箱内容符合装箱单所列并符合招标文件要求和承诺书承诺；开机验收：设备应通电开机后进行所规定时间的试验运行后方可验收。</w:t>
      </w:r>
    </w:p>
    <w:p>
      <w:pPr>
        <w:spacing w:line="360" w:lineRule="auto"/>
        <w:ind w:firstLine="480" w:firstLineChars="200"/>
        <w:rPr>
          <w:rFonts w:hint="eastAsia" w:ascii="宋体" w:hAnsi="宋体" w:cs="宋体"/>
          <w:sz w:val="24"/>
        </w:rPr>
      </w:pPr>
      <w:r>
        <w:rPr>
          <w:rFonts w:hint="eastAsia" w:ascii="宋体" w:hAnsi="宋体" w:cs="宋体"/>
          <w:sz w:val="24"/>
        </w:rPr>
        <w:t>（7）对所有的设备等只能作为本项目使用，不得转借其他项目。</w:t>
      </w:r>
    </w:p>
    <w:p>
      <w:pPr>
        <w:spacing w:line="360" w:lineRule="auto"/>
        <w:ind w:firstLine="480" w:firstLineChars="200"/>
        <w:rPr>
          <w:rFonts w:hint="eastAsia" w:ascii="宋体" w:hAnsi="宋体" w:cs="宋体"/>
          <w:sz w:val="24"/>
        </w:rPr>
      </w:pPr>
      <w:r>
        <w:rPr>
          <w:rFonts w:hint="eastAsia" w:ascii="宋体" w:hAnsi="宋体" w:cs="宋体"/>
          <w:sz w:val="24"/>
        </w:rPr>
        <w:t>（8）本系统产生的任何照片、视频、文字等信息数据产权归招标人所有，不得擅自截留，用作商业开发利用。</w:t>
      </w:r>
    </w:p>
    <w:p>
      <w:pPr>
        <w:spacing w:line="360" w:lineRule="auto"/>
        <w:ind w:firstLine="480" w:firstLineChars="200"/>
        <w:rPr>
          <w:rFonts w:hint="eastAsia" w:ascii="宋体" w:hAnsi="宋体" w:cs="宋体"/>
          <w:sz w:val="24"/>
        </w:rPr>
      </w:pPr>
      <w:r>
        <w:rPr>
          <w:rFonts w:hint="eastAsia" w:ascii="宋体" w:hAnsi="宋体" w:cs="宋体"/>
          <w:sz w:val="24"/>
        </w:rPr>
        <w:t>（9）投标人供货产品必须是原厂商、正宗品牌、正规渠道的产品，不得用假冒及伪劣产品替代；如出现上述质量问题，采购人有权退货；如造成损失的，采购人可要求中标人给予赔偿。</w:t>
      </w:r>
    </w:p>
    <w:p>
      <w:pPr>
        <w:spacing w:line="360" w:lineRule="auto"/>
        <w:ind w:firstLine="482" w:firstLineChars="200"/>
        <w:rPr>
          <w:rFonts w:hint="eastAsia" w:ascii="宋体" w:hAnsi="宋体" w:cs="宋体"/>
          <w:b/>
          <w:bCs/>
          <w:sz w:val="24"/>
        </w:rPr>
      </w:pPr>
      <w:r>
        <w:rPr>
          <w:rFonts w:hint="eastAsia" w:ascii="宋体" w:hAnsi="宋体" w:cs="宋体"/>
          <w:b/>
          <w:bCs/>
          <w:sz w:val="24"/>
        </w:rPr>
        <w:t>2. 技术服务要求：</w:t>
      </w:r>
    </w:p>
    <w:p>
      <w:pPr>
        <w:spacing w:line="360" w:lineRule="auto"/>
        <w:ind w:firstLine="480" w:firstLineChars="200"/>
        <w:rPr>
          <w:rFonts w:hint="eastAsia" w:ascii="宋体" w:hAnsi="宋体" w:cs="宋体"/>
          <w:sz w:val="24"/>
        </w:rPr>
      </w:pPr>
      <w:r>
        <w:rPr>
          <w:rFonts w:hint="eastAsia" w:ascii="宋体" w:hAnsi="宋体" w:cs="宋体"/>
          <w:sz w:val="24"/>
        </w:rPr>
        <w:t>1、投标人应确保其技术建议以及所提供的产品的完整性、实用性，保证全部系统及时投入正常运行。否则若出现因投标人提供的设备不满足要求、不合理，或者其所提供的技术支持和服务不全面，而导致系统无法实现或不能完全实现的状况，投标人负全部责任。</w:t>
      </w:r>
    </w:p>
    <w:p>
      <w:pPr>
        <w:spacing w:line="360" w:lineRule="auto"/>
        <w:ind w:firstLine="480" w:firstLineChars="200"/>
        <w:rPr>
          <w:rFonts w:hint="eastAsia" w:ascii="宋体" w:hAnsi="宋体" w:cs="宋体"/>
          <w:sz w:val="24"/>
        </w:rPr>
      </w:pPr>
      <w:r>
        <w:rPr>
          <w:rFonts w:hint="eastAsia" w:ascii="宋体" w:hAnsi="宋体" w:cs="宋体"/>
          <w:sz w:val="24"/>
        </w:rPr>
        <w:t>2、如果产品在服务期内发生设备故障，投标人应及时予以响应（免费上门服务），否则采购人将自行采取必要的措施，由此产生风险和费用由投标人承担。中标人对其提供的所有设备均应提供5年原厂商质保。保修期从产品验收合格之日起开始计算。</w:t>
      </w:r>
    </w:p>
    <w:p>
      <w:pPr>
        <w:spacing w:line="360" w:lineRule="auto"/>
        <w:ind w:firstLine="480" w:firstLineChars="200"/>
        <w:rPr>
          <w:rFonts w:hint="eastAsia" w:ascii="宋体" w:hAnsi="宋体" w:cs="宋体"/>
          <w:sz w:val="24"/>
        </w:rPr>
      </w:pPr>
      <w:r>
        <w:rPr>
          <w:rFonts w:hint="eastAsia" w:ascii="宋体" w:hAnsi="宋体" w:cs="宋体"/>
          <w:sz w:val="24"/>
        </w:rPr>
        <w:t xml:space="preserve"> ★3、如招标文件中遗漏了必须具备的设备、配件或服务，投标人有义务保证采购人系统的完整性，如项目实施过程中因缺少设备、配件或服务导致采购人系统无法正常运行，投标人须承诺免费提供。</w:t>
      </w:r>
    </w:p>
    <w:p>
      <w:pPr>
        <w:spacing w:line="360" w:lineRule="auto"/>
        <w:ind w:firstLine="482" w:firstLineChars="200"/>
        <w:rPr>
          <w:rFonts w:hint="eastAsia" w:ascii="宋体" w:hAnsi="宋体" w:cs="宋体"/>
          <w:b/>
          <w:bCs/>
          <w:sz w:val="24"/>
        </w:rPr>
      </w:pPr>
      <w:r>
        <w:rPr>
          <w:rFonts w:hint="eastAsia" w:ascii="宋体" w:hAnsi="宋体" w:cs="宋体"/>
          <w:b/>
          <w:bCs/>
          <w:sz w:val="24"/>
        </w:rPr>
        <w:t>3.售后服务</w:t>
      </w:r>
    </w:p>
    <w:p>
      <w:pPr>
        <w:spacing w:line="360" w:lineRule="auto"/>
        <w:ind w:firstLine="480" w:firstLineChars="200"/>
        <w:rPr>
          <w:rFonts w:hint="eastAsia" w:ascii="宋体" w:hAnsi="宋体" w:cs="宋体"/>
          <w:sz w:val="24"/>
        </w:rPr>
      </w:pPr>
      <w:r>
        <w:rPr>
          <w:rFonts w:hint="eastAsia" w:ascii="宋体" w:hAnsi="宋体" w:cs="宋体"/>
          <w:sz w:val="24"/>
        </w:rPr>
        <w:t>（1）中标人应保证系统按招标书所提要求时间投入正常运行。</w:t>
      </w:r>
    </w:p>
    <w:p>
      <w:pPr>
        <w:spacing w:line="360" w:lineRule="auto"/>
        <w:ind w:firstLine="480" w:firstLineChars="200"/>
        <w:rPr>
          <w:rFonts w:hint="eastAsia" w:ascii="宋体" w:hAnsi="宋体" w:cs="宋体"/>
          <w:sz w:val="24"/>
        </w:rPr>
      </w:pPr>
      <w:r>
        <w:rPr>
          <w:rFonts w:hint="eastAsia" w:ascii="宋体" w:hAnsi="宋体" w:cs="宋体"/>
          <w:sz w:val="24"/>
        </w:rPr>
        <w:t>（2）售后维护方面，需有定期回访、维护。保修条款严格按国家规定/厂商规定（两者取高标准为准）执行。</w:t>
      </w:r>
    </w:p>
    <w:p>
      <w:pPr>
        <w:spacing w:line="360" w:lineRule="auto"/>
        <w:ind w:firstLine="480" w:firstLineChars="200"/>
        <w:rPr>
          <w:rFonts w:hint="eastAsia" w:ascii="宋体" w:hAnsi="宋体" w:cs="宋体"/>
          <w:sz w:val="24"/>
        </w:rPr>
      </w:pPr>
      <w:r>
        <w:rPr>
          <w:rFonts w:hint="eastAsia" w:ascii="宋体" w:hAnsi="宋体" w:cs="宋体"/>
          <w:sz w:val="24"/>
        </w:rPr>
        <w:t>（3）售后服务、保修服务齐全，且均按有关国家标准规定执行。除特殊说明外，所有设备按原厂提供的要求保修。</w:t>
      </w:r>
    </w:p>
    <w:p>
      <w:pPr>
        <w:spacing w:line="360" w:lineRule="auto"/>
        <w:ind w:firstLine="480" w:firstLineChars="200"/>
        <w:rPr>
          <w:rFonts w:hint="eastAsia" w:ascii="宋体" w:hAnsi="宋体" w:cs="宋体"/>
          <w:sz w:val="24"/>
        </w:rPr>
      </w:pPr>
      <w:r>
        <w:rPr>
          <w:rFonts w:hint="eastAsia" w:ascii="宋体" w:hAnsi="宋体" w:cs="宋体"/>
          <w:sz w:val="24"/>
        </w:rPr>
        <w:t>（4）在规定的服务期限内，中标人应提供系统维护所需的工作人员和材料，对产品进行定期或不定期的预防维护，使其系统保持良好的运行状态。</w:t>
      </w:r>
    </w:p>
    <w:p>
      <w:pPr>
        <w:spacing w:line="360" w:lineRule="auto"/>
        <w:ind w:firstLine="480" w:firstLineChars="200"/>
        <w:rPr>
          <w:rFonts w:hint="eastAsia" w:ascii="宋体" w:hAnsi="宋体" w:cs="宋体"/>
          <w:sz w:val="24"/>
        </w:rPr>
      </w:pPr>
      <w:r>
        <w:rPr>
          <w:rFonts w:hint="eastAsia" w:ascii="宋体" w:hAnsi="宋体" w:cs="宋体"/>
          <w:sz w:val="24"/>
        </w:rPr>
        <w:t>（5）投标人应明确系统完善、免费维护期满后的维护方案和费用等。</w:t>
      </w:r>
    </w:p>
    <w:p>
      <w:pPr>
        <w:spacing w:line="360" w:lineRule="auto"/>
        <w:ind w:firstLine="480" w:firstLineChars="200"/>
        <w:rPr>
          <w:rFonts w:hint="eastAsia" w:ascii="宋体" w:hAnsi="宋体" w:cs="宋体"/>
          <w:sz w:val="24"/>
        </w:rPr>
      </w:pPr>
      <w:r>
        <w:rPr>
          <w:rFonts w:hint="eastAsia" w:ascii="宋体" w:hAnsi="宋体" w:cs="宋体"/>
          <w:sz w:val="24"/>
        </w:rPr>
        <w:t>（6）中标人应提供完整的设备资料如设备说明书、系统设置与操作步骤等，应包含纸质资料与电子文档。</w:t>
      </w:r>
    </w:p>
    <w:p>
      <w:pPr>
        <w:spacing w:line="360" w:lineRule="auto"/>
        <w:ind w:firstLine="480" w:firstLineChars="200"/>
        <w:rPr>
          <w:rFonts w:hint="eastAsia" w:ascii="宋体" w:hAnsi="宋体" w:cs="宋体"/>
          <w:sz w:val="24"/>
        </w:rPr>
      </w:pPr>
      <w:r>
        <w:rPr>
          <w:rFonts w:hint="eastAsia" w:ascii="宋体" w:hAnsi="宋体" w:cs="宋体"/>
          <w:sz w:val="24"/>
        </w:rPr>
        <w:t>（7）中标人要提供两次的免费培训（不限人数），保证甲方技术人员达到熟练操作、维护的程度，能进行一般的日常维护管理和检修，并能够处理简单的软、硬件故障。</w:t>
      </w:r>
    </w:p>
    <w:p>
      <w:pPr>
        <w:spacing w:line="360" w:lineRule="auto"/>
        <w:ind w:firstLine="480" w:firstLineChars="200"/>
        <w:rPr>
          <w:rFonts w:hint="eastAsia" w:ascii="宋体" w:hAnsi="宋体" w:cs="宋体"/>
          <w:sz w:val="24"/>
        </w:rPr>
      </w:pPr>
      <w:r>
        <w:rPr>
          <w:rFonts w:hint="eastAsia" w:ascii="宋体" w:hAnsi="宋体" w:cs="宋体"/>
          <w:sz w:val="24"/>
        </w:rPr>
        <w:t>（8）对提供的产品免费保修期（质保期）至少为五年，终身维护，质保期内每一个月巡检1次。</w:t>
      </w:r>
    </w:p>
    <w:p>
      <w:pPr>
        <w:spacing w:line="360" w:lineRule="auto"/>
        <w:ind w:firstLine="480" w:firstLineChars="200"/>
        <w:rPr>
          <w:rFonts w:hint="eastAsia" w:ascii="宋体" w:hAnsi="宋体" w:cs="宋体"/>
          <w:sz w:val="24"/>
        </w:rPr>
      </w:pPr>
      <w:r>
        <w:rPr>
          <w:rFonts w:hint="eastAsia" w:ascii="宋体" w:hAnsi="宋体" w:cs="宋体"/>
          <w:sz w:val="24"/>
        </w:rPr>
        <w:t>（9）提供7*24小时技术支持服务，接到故障报修后2工作小时内到达现场，前端故障恢复时间小于24小时，监控中心和分中心故障恢复时间小于4小时。系统软件提供终身免费升级，或提供代用件。</w:t>
      </w:r>
    </w:p>
    <w:p>
      <w:pPr>
        <w:spacing w:line="360" w:lineRule="auto"/>
        <w:ind w:firstLine="480" w:firstLineChars="200"/>
        <w:rPr>
          <w:rFonts w:hint="eastAsia" w:ascii="宋体" w:hAnsi="宋体" w:cs="宋体"/>
          <w:sz w:val="24"/>
        </w:rPr>
      </w:pPr>
      <w:r>
        <w:rPr>
          <w:rFonts w:hint="eastAsia" w:ascii="宋体" w:hAnsi="宋体" w:cs="宋体"/>
          <w:sz w:val="24"/>
        </w:rPr>
        <w:t>（10）投标人应在投标文件中详细对质量保证及售后服务方案做出承诺，并加盖投标人有效公章。</w:t>
      </w:r>
    </w:p>
    <w:p>
      <w:pPr>
        <w:spacing w:line="360" w:lineRule="auto"/>
        <w:ind w:firstLine="480" w:firstLineChars="200"/>
        <w:jc w:val="left"/>
        <w:rPr>
          <w:rFonts w:hint="eastAsia" w:ascii="宋体" w:hAnsi="宋体" w:cs="宋体"/>
          <w:color w:val="C00000"/>
          <w:sz w:val="24"/>
        </w:rPr>
      </w:pPr>
      <w:r>
        <w:rPr>
          <w:rFonts w:hint="eastAsia" w:ascii="宋体" w:hAnsi="宋体" w:cs="宋体"/>
          <w:color w:val="C00000"/>
          <w:sz w:val="24"/>
        </w:rPr>
        <w:t>标注为★是必须实质性响应，不满足则做废标处理。</w:t>
      </w:r>
    </w:p>
    <w:p>
      <w:pPr>
        <w:pStyle w:val="17"/>
        <w:spacing w:after="0" w:afterLines="0" w:line="360" w:lineRule="auto"/>
        <w:ind w:left="0" w:leftChars="0" w:firstLine="0" w:firstLineChars="0"/>
        <w:outlineLvl w:val="1"/>
        <w:rPr>
          <w:rFonts w:hint="eastAsia" w:ascii="宋体" w:hAnsi="宋体" w:cs="宋体"/>
          <w:b/>
          <w:kern w:val="0"/>
          <w:sz w:val="24"/>
          <w:szCs w:val="24"/>
          <w:lang w:eastAsia="zh-CN"/>
        </w:rPr>
      </w:pPr>
      <w:r>
        <w:rPr>
          <w:rFonts w:hint="eastAsia" w:ascii="宋体" w:hAnsi="宋体" w:cs="宋体"/>
          <w:b/>
          <w:kern w:val="0"/>
          <w:sz w:val="24"/>
          <w:szCs w:val="24"/>
          <w:lang w:eastAsia="zh-CN"/>
        </w:rPr>
        <w:t>（六）其他要求</w:t>
      </w:r>
    </w:p>
    <w:p>
      <w:pPr>
        <w:spacing w:line="360" w:lineRule="auto"/>
        <w:ind w:firstLine="480" w:firstLineChars="200"/>
        <w:rPr>
          <w:rFonts w:hint="eastAsia" w:ascii="宋体" w:hAnsi="宋体" w:cs="宋体"/>
          <w:sz w:val="24"/>
        </w:rPr>
      </w:pPr>
      <w:r>
        <w:rPr>
          <w:rFonts w:hint="eastAsia" w:ascii="宋体" w:hAnsi="宋体" w:cs="宋体"/>
          <w:sz w:val="24"/>
        </w:rPr>
        <w:t>1.供货及安装调试时间要求：</w:t>
      </w:r>
    </w:p>
    <w:p>
      <w:pPr>
        <w:spacing w:line="360" w:lineRule="auto"/>
        <w:ind w:firstLine="480" w:firstLineChars="200"/>
        <w:rPr>
          <w:rFonts w:hint="eastAsia" w:ascii="宋体" w:hAnsi="宋体" w:cs="宋体"/>
          <w:sz w:val="24"/>
        </w:rPr>
      </w:pPr>
      <w:r>
        <w:rPr>
          <w:rFonts w:hint="eastAsia" w:ascii="宋体" w:hAnsi="宋体" w:cs="宋体"/>
          <w:sz w:val="24"/>
        </w:rPr>
        <w:t>所有工程项目需按采购方要求安装调试完成，具体以采购方公函为准（采购方原因除外）。</w:t>
      </w:r>
    </w:p>
    <w:p>
      <w:pPr>
        <w:spacing w:line="360" w:lineRule="auto"/>
        <w:ind w:firstLine="480" w:firstLineChars="200"/>
        <w:rPr>
          <w:rFonts w:hint="eastAsia" w:ascii="宋体" w:hAnsi="宋体" w:cs="宋体"/>
          <w:sz w:val="24"/>
        </w:rPr>
      </w:pPr>
      <w:r>
        <w:rPr>
          <w:rFonts w:hint="eastAsia" w:ascii="宋体" w:hAnsi="宋体" w:cs="宋体"/>
          <w:sz w:val="24"/>
        </w:rPr>
        <w:t>2.验收方式</w:t>
      </w:r>
    </w:p>
    <w:p>
      <w:pPr>
        <w:spacing w:line="360" w:lineRule="auto"/>
        <w:ind w:firstLine="480" w:firstLineChars="200"/>
        <w:rPr>
          <w:rFonts w:hint="eastAsia" w:ascii="宋体" w:hAnsi="宋体" w:cs="宋体"/>
          <w:sz w:val="24"/>
        </w:rPr>
      </w:pPr>
      <w:r>
        <w:rPr>
          <w:rFonts w:hint="eastAsia" w:ascii="宋体" w:hAnsi="宋体" w:cs="宋体"/>
          <w:sz w:val="24"/>
        </w:rPr>
        <w:t>按照国家相关质量标准、技术规范要求、合同规定的验收标准及招、投标文件的要求，招标方组织相关部门、人员进行验收。为确保城区智慧交管项目的整体建设效果，项目所含标段整体验收，</w:t>
      </w:r>
      <w:r>
        <w:rPr>
          <w:rFonts w:hint="eastAsia" w:ascii="宋体" w:hAnsi="宋体" w:cs="宋体"/>
          <w:sz w:val="24"/>
          <w:highlight w:val="yellow"/>
        </w:rPr>
        <w:t>不单独验收任何标段</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3.投标报价</w:t>
      </w:r>
    </w:p>
    <w:p>
      <w:pPr>
        <w:spacing w:line="360" w:lineRule="auto"/>
        <w:ind w:firstLine="480" w:firstLineChars="200"/>
        <w:rPr>
          <w:rFonts w:hint="eastAsia" w:ascii="宋体" w:hAnsi="宋体" w:cs="宋体"/>
          <w:sz w:val="24"/>
        </w:rPr>
      </w:pPr>
      <w:r>
        <w:rPr>
          <w:rFonts w:hint="eastAsia" w:ascii="宋体" w:hAnsi="宋体" w:cs="宋体"/>
          <w:sz w:val="24"/>
        </w:rPr>
        <w:t>投标人以人民币报价且投标报价含设备费、运至买方指定地点的运输费、保险费、伴随服务费、调试费用、软件、上线、软件升级、培训、售后服务等一切费用，报价方式为交钥匙价格。</w:t>
      </w:r>
    </w:p>
    <w:p>
      <w:pPr>
        <w:spacing w:line="360" w:lineRule="auto"/>
        <w:ind w:firstLine="480" w:firstLineChars="200"/>
        <w:rPr>
          <w:rFonts w:hint="eastAsia" w:ascii="宋体" w:hAnsi="宋体" w:cs="宋体"/>
          <w:sz w:val="24"/>
        </w:rPr>
      </w:pPr>
      <w:r>
        <w:rPr>
          <w:rFonts w:hint="eastAsia" w:ascii="宋体" w:hAnsi="宋体" w:cs="宋体"/>
          <w:sz w:val="24"/>
        </w:rPr>
        <w:t>4.履约保证金</w:t>
      </w:r>
    </w:p>
    <w:p>
      <w:pPr>
        <w:spacing w:line="360" w:lineRule="auto"/>
        <w:ind w:firstLine="480" w:firstLineChars="200"/>
        <w:rPr>
          <w:rFonts w:hint="eastAsia" w:ascii="宋体" w:hAnsi="宋体" w:cs="宋体"/>
          <w:sz w:val="24"/>
        </w:rPr>
      </w:pPr>
      <w:r>
        <w:rPr>
          <w:rFonts w:hint="eastAsia" w:ascii="宋体" w:hAnsi="宋体" w:cs="宋体"/>
          <w:sz w:val="24"/>
        </w:rPr>
        <w:t>签订合同前，中标人需向采购单位缴纳合同金额10%的履约保证金，项目整体验收合格无任何问题一个月内退回，不计息。</w:t>
      </w:r>
    </w:p>
    <w:p>
      <w:pPr>
        <w:spacing w:line="360" w:lineRule="auto"/>
        <w:ind w:firstLine="480" w:firstLineChars="200"/>
        <w:rPr>
          <w:rFonts w:hint="eastAsia" w:ascii="宋体" w:hAnsi="宋体" w:cs="宋体"/>
          <w:sz w:val="24"/>
        </w:rPr>
      </w:pPr>
      <w:r>
        <w:rPr>
          <w:rFonts w:hint="eastAsia" w:ascii="宋体" w:hAnsi="宋体" w:cs="宋体"/>
          <w:sz w:val="24"/>
        </w:rPr>
        <w:t>6、工期</w:t>
      </w:r>
    </w:p>
    <w:p>
      <w:pPr>
        <w:spacing w:line="360" w:lineRule="auto"/>
        <w:ind w:firstLine="480" w:firstLineChars="200"/>
        <w:rPr>
          <w:rFonts w:hint="eastAsia" w:ascii="宋体" w:hAnsi="宋体" w:cs="宋体"/>
          <w:sz w:val="24"/>
        </w:rPr>
      </w:pPr>
      <w:r>
        <w:rPr>
          <w:rFonts w:hint="eastAsia" w:ascii="宋体" w:hAnsi="宋体" w:cs="宋体"/>
          <w:sz w:val="24"/>
        </w:rPr>
        <w:t>合同签订后60天内完成安装调试。</w:t>
      </w:r>
    </w:p>
    <w:p>
      <w:pPr>
        <w:pStyle w:val="17"/>
        <w:spacing w:after="0" w:afterLines="0" w:line="360" w:lineRule="auto"/>
        <w:ind w:left="0" w:leftChars="0" w:firstLine="0" w:firstLineChars="0"/>
        <w:outlineLvl w:val="1"/>
        <w:rPr>
          <w:rFonts w:hint="eastAsia" w:ascii="宋体" w:hAnsi="宋体" w:cs="宋体"/>
          <w:b/>
          <w:kern w:val="0"/>
          <w:sz w:val="24"/>
          <w:szCs w:val="24"/>
          <w:lang w:eastAsia="zh-CN"/>
        </w:rPr>
      </w:pPr>
      <w:r>
        <w:rPr>
          <w:rFonts w:hint="eastAsia" w:ascii="宋体" w:hAnsi="宋体" w:cs="宋体"/>
          <w:b/>
          <w:kern w:val="0"/>
          <w:sz w:val="24"/>
          <w:szCs w:val="24"/>
          <w:lang w:eastAsia="zh-CN"/>
        </w:rPr>
        <w:t>（七）付款方式</w:t>
      </w:r>
    </w:p>
    <w:p>
      <w:pPr>
        <w:pStyle w:val="17"/>
        <w:spacing w:after="0" w:afterLines="0" w:line="360" w:lineRule="auto"/>
        <w:ind w:left="0" w:leftChars="0" w:firstLine="0" w:firstLineChars="0"/>
        <w:outlineLvl w:val="1"/>
        <w:rPr>
          <w:rFonts w:hint="eastAsia" w:ascii="宋体" w:hAnsi="宋体" w:cs="宋体"/>
          <w:b/>
          <w:kern w:val="0"/>
          <w:sz w:val="24"/>
          <w:szCs w:val="24"/>
          <w:lang w:eastAsia="zh-CN"/>
        </w:rPr>
      </w:pPr>
      <w:r>
        <w:rPr>
          <w:rFonts w:hint="eastAsia" w:ascii="宋体" w:hAnsi="宋体" w:eastAsia="宋体" w:cs="宋体"/>
          <w:sz w:val="24"/>
        </w:rPr>
        <w:t xml:space="preserve"> 经诸暨市公安局组织的平台上线验收合格后方才认定产品合格。由招标方组织综合验收合格后，该项目所涉费用开始给付，具体为费用验收合格后1个月内给付70%，验收合格后一年内给付20%（均无息），验收合格后三年内给付5%（均无息），验收合格后五年内给付5%（</w:t>
      </w:r>
      <w:r>
        <w:rPr>
          <w:rFonts w:hint="eastAsia" w:ascii="宋体" w:hAnsi="宋体" w:cs="宋体"/>
          <w:sz w:val="24"/>
          <w:lang w:eastAsia="zh-CN"/>
        </w:rPr>
        <w:t>不计息</w:t>
      </w:r>
      <w:r>
        <w:rPr>
          <w:rFonts w:hint="eastAsia" w:ascii="宋体" w:hAnsi="宋体" w:cs="宋体"/>
          <w:b/>
          <w:kern w:val="0"/>
          <w:sz w:val="24"/>
          <w:szCs w:val="24"/>
          <w:lang w:eastAsia="zh-CN"/>
        </w:rPr>
        <w:t>）。</w:t>
      </w:r>
    </w:p>
    <w:p>
      <w:pPr>
        <w:pStyle w:val="17"/>
        <w:spacing w:after="0" w:afterLines="0" w:line="360" w:lineRule="auto"/>
        <w:ind w:left="0" w:leftChars="0" w:firstLine="0" w:firstLineChars="0"/>
        <w:outlineLvl w:val="1"/>
        <w:rPr>
          <w:rFonts w:hint="eastAsia" w:ascii="宋体" w:hAnsi="宋体" w:cs="宋体"/>
          <w:b/>
          <w:kern w:val="0"/>
          <w:sz w:val="24"/>
          <w:szCs w:val="24"/>
          <w:lang w:eastAsia="zh-CN"/>
        </w:rPr>
      </w:pPr>
      <w:r>
        <w:rPr>
          <w:rFonts w:hint="eastAsia" w:ascii="宋体" w:hAnsi="宋体" w:cs="宋体"/>
          <w:b/>
          <w:kern w:val="0"/>
          <w:sz w:val="24"/>
          <w:szCs w:val="24"/>
          <w:lang w:eastAsia="zh-CN"/>
        </w:rPr>
        <w:t>（八）最高限价</w:t>
      </w:r>
    </w:p>
    <w:p>
      <w:pPr>
        <w:spacing w:line="360" w:lineRule="auto"/>
        <w:ind w:firstLine="480" w:firstLineChars="200"/>
        <w:rPr>
          <w:rFonts w:hint="eastAsia" w:ascii="宋体" w:hAnsi="宋体" w:cs="宋体"/>
          <w:sz w:val="24"/>
        </w:rPr>
      </w:pPr>
      <w:r>
        <w:rPr>
          <w:rFonts w:hint="eastAsia" w:ascii="宋体" w:hAnsi="宋体" w:cs="宋体"/>
          <w:sz w:val="24"/>
        </w:rPr>
        <w:t xml:space="preserve">  本次采购最高限价为人民币柒拾伍万</w:t>
      </w:r>
      <w:r>
        <w:rPr>
          <w:rFonts w:hint="eastAsia" w:ascii="宋体" w:hAnsi="宋体" w:cs="宋体"/>
          <w:sz w:val="24"/>
          <w:lang w:eastAsia="zh-CN"/>
        </w:rPr>
        <w:t>元</w:t>
      </w:r>
      <w:r>
        <w:rPr>
          <w:rFonts w:hint="eastAsia" w:ascii="宋体" w:hAnsi="宋体" w:cs="宋体"/>
          <w:sz w:val="24"/>
        </w:rPr>
        <w:t>（￥</w:t>
      </w:r>
      <w:r>
        <w:rPr>
          <w:rFonts w:ascii="宋体" w:hAnsi="宋体" w:cs="宋体"/>
          <w:sz w:val="24"/>
        </w:rPr>
        <w:t>750000</w:t>
      </w:r>
      <w:r>
        <w:rPr>
          <w:rFonts w:hint="eastAsia" w:ascii="宋体" w:hAnsi="宋体" w:cs="宋体"/>
          <w:sz w:val="24"/>
          <w:lang w:val="en-US" w:eastAsia="zh-CN"/>
        </w:rPr>
        <w:t>.00</w:t>
      </w:r>
      <w:r>
        <w:rPr>
          <w:rFonts w:hint="eastAsia" w:ascii="宋体" w:hAnsi="宋体" w:cs="宋体"/>
          <w:sz w:val="24"/>
        </w:rPr>
        <w:t>）整，任何超过最高限价的报价将被认定为无效报价。</w:t>
      </w:r>
    </w:p>
    <w:p>
      <w:pPr>
        <w:keepNext/>
        <w:keepLines/>
        <w:tabs>
          <w:tab w:val="left" w:pos="567"/>
        </w:tabs>
        <w:spacing w:line="413" w:lineRule="auto"/>
        <w:outlineLvl w:val="1"/>
        <w:rPr>
          <w:rFonts w:hint="eastAsia" w:ascii="宋体" w:hAnsi="宋体"/>
          <w:b/>
          <w:color w:val="00000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FFFFFFFF" w:usb1="E9FFFFFF" w:usb2="0000003F" w:usb3="00000000" w:csb0="603F01FF" w:csb1="FFFF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ibl0d0BAAC+AwAADgAAAGRycy9lMm9Eb2MueG1srVPNjtMwEL4j8Q6W 7zRpD6iKmq6AahESAqSFB3Adp7HkP42nTcoDwBtw4sKd5+pzMHaS7rJc9sAlGc+Mv5nvm/HmZrCG nRRE7V3Nl4uSM+Wkb7Q71PzL59sXa84iCtcI452q+VlFfrN9/mzTh0qtfOdNo4ARiItVH2reIYaq KKLslBVx4YNyFGw9WIF0hEPRgOgJ3ZpiVZYvi95DE8BLFSN5d2OQT4jwFEDftlqqnZdHqxyOqKCM QKIUOx0i3+Zu21ZJ/Ni2USEzNSemmL9UhOx9+hbbjagOIEKn5dSCeEoLjzhZoR0VvULtBAp2BP0P lNUSfPQtLqS3xUgkK0IsluUjbe46EVTmQlLHcBU9/j9Y+eH0CZhuar7izAlLA7/8+H75+fvy6xtb Jnn6ECvKuguUh8NrP9DSzP5IzsR6aMGmP/FhFCdxz1dx1YBMpkvr1XpdUkhSbD4QfnF/PUDEt8pb loyaA00viypO7yOOqXNKqub8rTYmT9C4vxyEmTxF6n3sMVk47IeJ0N43Z+JDz4DqdB6+ctbTEtTc 0c5zZt450jjty2zAbOxnQzhJF2uOnI3mGxz36hhAH7q8aampGF4dkTrNBFIbY+2pOxprlmBawbQ3 D8856/7Zbf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Jom5dHdAQAAvgMAAA4AAAAAAAAA AQAgAAAAHgEAAGRycy9lMm9Eb2MueG1sUEsFBgAAAAAGAAYAWQEAAG0FAAAAAA== ">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127"/>
      <w:lvlText w:val="%1."/>
      <w:lvlJc w:val="left"/>
      <w:pPr>
        <w:tabs>
          <w:tab w:val="left" w:pos="1200"/>
        </w:tabs>
        <w:ind w:left="1200" w:hanging="360"/>
      </w:pPr>
    </w:lvl>
  </w:abstractNum>
  <w:abstractNum w:abstractNumId="1">
    <w:nsid w:val="0000000B"/>
    <w:multiLevelType w:val="multilevel"/>
    <w:tmpl w:val="0000000B"/>
    <w:lvl w:ilvl="0" w:tentative="0">
      <w:start w:val="1"/>
      <w:numFmt w:val="decimal"/>
      <w:pStyle w:val="1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7"/>
      <w:suff w:val="nothing"/>
      <w:lvlText w:val="%1、"/>
      <w:lvlJc w:val="left"/>
    </w:lvl>
  </w:abstractNum>
  <w:abstractNum w:abstractNumId="3">
    <w:nsid w:val="0000000E"/>
    <w:multiLevelType w:val="multilevel"/>
    <w:tmpl w:val="0000000E"/>
    <w:lvl w:ilvl="0" w:tentative="0">
      <w:start w:val="1"/>
      <w:numFmt w:val="bullet"/>
      <w:pStyle w:val="12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000000F"/>
    <w:multiLevelType w:val="multilevel"/>
    <w:tmpl w:val="0000000F"/>
    <w:lvl w:ilvl="0" w:tentative="0">
      <w:start w:val="1"/>
      <w:numFmt w:val="decimalEnclosedCircle"/>
      <w:lvlText w:val="%1"/>
      <w:lvlJc w:val="left"/>
      <w:pPr>
        <w:tabs>
          <w:tab w:val="left" w:pos="1200"/>
        </w:tabs>
        <w:ind w:left="1200" w:hanging="720"/>
      </w:pPr>
      <w:rPr>
        <w:rFonts w:hint="default"/>
      </w:rPr>
    </w:lvl>
    <w:lvl w:ilvl="1" w:tentative="0">
      <w:start w:val="1"/>
      <w:numFmt w:val="lowerLetter"/>
      <w:pStyle w:val="21"/>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626"/>
    <w:rsid w:val="000E6CA1"/>
    <w:rsid w:val="000E7227"/>
    <w:rsid w:val="001A78F2"/>
    <w:rsid w:val="001D2687"/>
    <w:rsid w:val="001E4A15"/>
    <w:rsid w:val="002049AA"/>
    <w:rsid w:val="0028466C"/>
    <w:rsid w:val="003B7785"/>
    <w:rsid w:val="003E03F8"/>
    <w:rsid w:val="006C3634"/>
    <w:rsid w:val="007325A9"/>
    <w:rsid w:val="009E43DD"/>
    <w:rsid w:val="00A92CB6"/>
    <w:rsid w:val="00AF01E6"/>
    <w:rsid w:val="00CE5293"/>
    <w:rsid w:val="00DB1361"/>
    <w:rsid w:val="00FC2B29"/>
    <w:rsid w:val="0A292BA4"/>
    <w:rsid w:val="0B035DCA"/>
    <w:rsid w:val="20FF3418"/>
    <w:rsid w:val="379F7947"/>
    <w:rsid w:val="40E162F1"/>
    <w:rsid w:val="41166BD7"/>
    <w:rsid w:val="47BB4C02"/>
    <w:rsid w:val="484120FC"/>
    <w:rsid w:val="4AC01DA3"/>
    <w:rsid w:val="4FF90DA9"/>
    <w:rsid w:val="503129AB"/>
    <w:rsid w:val="5DAD043E"/>
    <w:rsid w:val="66115FA9"/>
    <w:rsid w:val="6AAD1589"/>
    <w:rsid w:val="6E32093B"/>
    <w:rsid w:val="71575D16"/>
    <w:rsid w:val="792E5F6C"/>
    <w:rsid w:val="79F60A37"/>
    <w:rsid w:val="7B6966D8"/>
    <w:rsid w:val="7F7530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color w:val="000000"/>
      <w:sz w:val="21"/>
      <w:szCs w:val="21"/>
      <w:lang w:val="en-US" w:eastAsia="zh-CN" w:bidi="ar-SA"/>
    </w:rPr>
  </w:style>
  <w:style w:type="paragraph" w:styleId="2">
    <w:name w:val="heading 1"/>
    <w:basedOn w:val="1"/>
    <w:next w:val="1"/>
    <w:link w:val="87"/>
    <w:qFormat/>
    <w:uiPriority w:val="0"/>
    <w:pPr>
      <w:keepNext/>
      <w:keepLines/>
      <w:spacing w:before="340" w:beforeLines="0" w:after="330" w:afterLines="0" w:line="576" w:lineRule="auto"/>
      <w:outlineLvl w:val="0"/>
    </w:pPr>
    <w:rPr>
      <w:b/>
      <w:kern w:val="44"/>
      <w:sz w:val="44"/>
    </w:rPr>
  </w:style>
  <w:style w:type="paragraph" w:styleId="3">
    <w:name w:val="heading 2"/>
    <w:basedOn w:val="1"/>
    <w:next w:val="1"/>
    <w:link w:val="66"/>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beforeLines="0" w:after="260" w:afterLines="0" w:line="413" w:lineRule="auto"/>
      <w:outlineLvl w:val="2"/>
    </w:pPr>
    <w:rPr>
      <w:b/>
      <w:bCs/>
      <w:sz w:val="32"/>
      <w:szCs w:val="32"/>
    </w:rPr>
  </w:style>
  <w:style w:type="paragraph" w:styleId="5">
    <w:name w:val="heading 4"/>
    <w:next w:val="1"/>
    <w:link w:val="95"/>
    <w:qFormat/>
    <w:uiPriority w:val="0"/>
    <w:pPr>
      <w:keepNext/>
      <w:keepLines/>
      <w:spacing w:before="280" w:after="290" w:line="377" w:lineRule="auto"/>
      <w:outlineLvl w:val="3"/>
    </w:pPr>
    <w:rPr>
      <w:rFonts w:ascii="Cambria" w:hAnsi="Cambria" w:eastAsia="黑体"/>
      <w:b/>
      <w:bCs/>
      <w:kern w:val="2"/>
      <w:sz w:val="24"/>
      <w:szCs w:val="28"/>
      <w:lang w:bidi="ar-SA"/>
    </w:rPr>
  </w:style>
  <w:style w:type="paragraph" w:styleId="6">
    <w:name w:val="heading 6"/>
    <w:basedOn w:val="1"/>
    <w:next w:val="1"/>
    <w:qFormat/>
    <w:uiPriority w:val="0"/>
    <w:pPr>
      <w:keepNext/>
      <w:keepLines/>
      <w:autoSpaceDE w:val="0"/>
      <w:autoSpaceDN w:val="0"/>
      <w:adjustRightInd w:val="0"/>
      <w:spacing w:before="240" w:after="64" w:line="320" w:lineRule="auto"/>
      <w:outlineLvl w:val="5"/>
    </w:pPr>
    <w:rPr>
      <w:rFonts w:ascii="Cambria" w:hAnsi="Cambria" w:eastAsia="宋体" w:cs="Times New Roman"/>
      <w:b/>
      <w:bCs/>
      <w:color w:val="000000"/>
      <w:kern w:val="0"/>
      <w:sz w:val="24"/>
    </w:rPr>
  </w:style>
  <w:style w:type="character" w:default="1" w:styleId="30">
    <w:name w:val="Default Paragraph Font"/>
    <w:uiPriority w:val="0"/>
  </w:style>
  <w:style w:type="table" w:default="1" w:styleId="29">
    <w:name w:val="Normal Table"/>
    <w:unhideWhenUsed/>
    <w:uiPriority w:val="99"/>
    <w:tblPr>
      <w:tblStyle w:val="29"/>
      <w:tblCellMar>
        <w:top w:w="0" w:type="dxa"/>
        <w:left w:w="108" w:type="dxa"/>
        <w:bottom w:w="0" w:type="dxa"/>
        <w:right w:w="108" w:type="dxa"/>
      </w:tblCellMar>
    </w:tblPr>
  </w:style>
  <w:style w:type="paragraph" w:styleId="7">
    <w:name w:val="List Number"/>
    <w:basedOn w:val="1"/>
    <w:uiPriority w:val="0"/>
    <w:pPr>
      <w:widowControl/>
      <w:numPr>
        <w:ilvl w:val="0"/>
        <w:numId w:val="1"/>
      </w:numPr>
      <w:tabs>
        <w:tab w:val="left" w:pos="720"/>
      </w:tabs>
      <w:autoSpaceDE/>
      <w:autoSpaceDN/>
      <w:adjustRightInd/>
      <w:spacing w:after="156" w:afterLines="50"/>
      <w:jc w:val="left"/>
    </w:pPr>
    <w:rPr>
      <w:color w:val="auto"/>
      <w:sz w:val="24"/>
      <w:szCs w:val="20"/>
    </w:rPr>
  </w:style>
  <w:style w:type="paragraph" w:styleId="8">
    <w:name w:val="Normal Indent"/>
    <w:basedOn w:val="1"/>
    <w:link w:val="52"/>
    <w:uiPriority w:val="0"/>
    <w:pPr>
      <w:autoSpaceDE/>
      <w:autoSpaceDN/>
      <w:adjustRightInd/>
      <w:ind w:firstLine="420"/>
    </w:pPr>
    <w:rPr>
      <w:color w:val="auto"/>
      <w:kern w:val="2"/>
      <w:szCs w:val="20"/>
    </w:rPr>
  </w:style>
  <w:style w:type="paragraph" w:styleId="9">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0">
    <w:name w:val="Document Map"/>
    <w:basedOn w:val="1"/>
    <w:link w:val="61"/>
    <w:uiPriority w:val="0"/>
    <w:pPr>
      <w:shd w:val="clear" w:color="auto" w:fill="000080"/>
      <w:autoSpaceDE/>
      <w:autoSpaceDN/>
      <w:adjustRightInd/>
    </w:pPr>
    <w:rPr>
      <w:color w:val="auto"/>
      <w:kern w:val="2"/>
      <w:szCs w:val="24"/>
      <w:shd w:val="clear" w:color="auto" w:fill="000080"/>
    </w:rPr>
  </w:style>
  <w:style w:type="paragraph" w:styleId="11">
    <w:name w:val="annotation text"/>
    <w:basedOn w:val="1"/>
    <w:link w:val="64"/>
    <w:uiPriority w:val="0"/>
    <w:pPr>
      <w:autoSpaceDE/>
      <w:autoSpaceDN/>
      <w:adjustRightInd/>
      <w:spacing w:line="360" w:lineRule="auto"/>
      <w:ind w:firstLine="200" w:firstLineChars="200"/>
      <w:jc w:val="left"/>
    </w:pPr>
  </w:style>
  <w:style w:type="paragraph" w:styleId="12">
    <w:name w:val="Body Text"/>
    <w:basedOn w:val="1"/>
    <w:link w:val="65"/>
    <w:uiPriority w:val="0"/>
    <w:pPr>
      <w:autoSpaceDE/>
      <w:autoSpaceDN/>
      <w:adjustRightInd/>
      <w:spacing w:after="120" w:afterLines="0"/>
    </w:pPr>
    <w:rPr>
      <w:color w:val="auto"/>
      <w:kern w:val="2"/>
      <w:szCs w:val="24"/>
    </w:rPr>
  </w:style>
  <w:style w:type="paragraph" w:styleId="13">
    <w:name w:val="Body Text Indent"/>
    <w:basedOn w:val="1"/>
    <w:link w:val="84"/>
    <w:uiPriority w:val="0"/>
    <w:pPr>
      <w:spacing w:after="120" w:afterLines="0"/>
      <w:ind w:left="420" w:leftChars="200"/>
    </w:pPr>
  </w:style>
  <w:style w:type="paragraph" w:styleId="14">
    <w:name w:val="List Number 3"/>
    <w:basedOn w:val="1"/>
    <w:uiPriority w:val="0"/>
    <w:pPr>
      <w:numPr>
        <w:ilvl w:val="0"/>
        <w:numId w:val="2"/>
      </w:numPr>
    </w:pPr>
  </w:style>
  <w:style w:type="paragraph" w:styleId="15">
    <w:name w:val="Plain Text"/>
    <w:basedOn w:val="1"/>
    <w:link w:val="93"/>
    <w:uiPriority w:val="0"/>
    <w:pPr>
      <w:autoSpaceDE/>
      <w:autoSpaceDN/>
      <w:adjustRightInd/>
    </w:pPr>
    <w:rPr>
      <w:rFonts w:ascii="Tahoma" w:hAnsi="Tahoma"/>
      <w:color w:val="auto"/>
      <w:kern w:val="2"/>
      <w:sz w:val="24"/>
      <w:szCs w:val="20"/>
    </w:rPr>
  </w:style>
  <w:style w:type="paragraph" w:styleId="16">
    <w:name w:val="Date"/>
    <w:basedOn w:val="1"/>
    <w:next w:val="1"/>
    <w:link w:val="68"/>
    <w:uiPriority w:val="0"/>
    <w:pPr>
      <w:ind w:left="100" w:leftChars="2500"/>
    </w:pPr>
  </w:style>
  <w:style w:type="paragraph" w:styleId="17">
    <w:name w:val="Body Text Indent 2"/>
    <w:basedOn w:val="1"/>
    <w:uiPriority w:val="0"/>
    <w:pPr>
      <w:autoSpaceDE/>
      <w:autoSpaceDN/>
      <w:adjustRightInd/>
      <w:spacing w:after="120" w:afterLines="0" w:line="480" w:lineRule="auto"/>
      <w:ind w:left="420"/>
    </w:pPr>
    <w:rPr>
      <w:color w:val="auto"/>
      <w:kern w:val="2"/>
      <w:szCs w:val="24"/>
    </w:rPr>
  </w:style>
  <w:style w:type="paragraph" w:styleId="18">
    <w:name w:val="Balloon Text"/>
    <w:basedOn w:val="1"/>
    <w:uiPriority w:val="0"/>
    <w:rPr>
      <w:sz w:val="18"/>
      <w:szCs w:val="18"/>
    </w:rPr>
  </w:style>
  <w:style w:type="paragraph" w:styleId="19">
    <w:name w:val="footer"/>
    <w:basedOn w:val="1"/>
    <w:link w:val="92"/>
    <w:uiPriority w:val="0"/>
    <w:pPr>
      <w:tabs>
        <w:tab w:val="center" w:pos="4153"/>
        <w:tab w:val="right" w:pos="8306"/>
      </w:tabs>
      <w:snapToGrid w:val="0"/>
      <w:jc w:val="left"/>
    </w:pPr>
    <w:rPr>
      <w:sz w:val="18"/>
      <w:szCs w:val="18"/>
    </w:rPr>
  </w:style>
  <w:style w:type="paragraph" w:styleId="20">
    <w:name w:val="header"/>
    <w:basedOn w:val="1"/>
    <w:link w:val="63"/>
    <w:uiPriority w:val="0"/>
    <w:pPr>
      <w:pBdr>
        <w:bottom w:val="single" w:color="auto" w:sz="6" w:space="1"/>
      </w:pBdr>
      <w:tabs>
        <w:tab w:val="center" w:pos="4153"/>
        <w:tab w:val="right" w:pos="8306"/>
      </w:tabs>
      <w:snapToGrid w:val="0"/>
      <w:jc w:val="center"/>
    </w:pPr>
    <w:rPr>
      <w:sz w:val="18"/>
      <w:szCs w:val="18"/>
    </w:rPr>
  </w:style>
  <w:style w:type="paragraph" w:styleId="21">
    <w:name w:val="Signature"/>
    <w:basedOn w:val="1"/>
    <w:next w:val="1"/>
    <w:link w:val="53"/>
    <w:uiPriority w:val="0"/>
    <w:pPr>
      <w:keepNext/>
      <w:widowControl/>
      <w:numPr>
        <w:ilvl w:val="1"/>
        <w:numId w:val="3"/>
      </w:numPr>
      <w:autoSpaceDE/>
      <w:autoSpaceDN/>
      <w:spacing w:line="220" w:lineRule="atLeast"/>
      <w:jc w:val="right"/>
      <w:textAlignment w:val="baseline"/>
    </w:pPr>
    <w:rPr>
      <w:rFonts w:ascii="Arial" w:hAnsi="Arial"/>
      <w:color w:val="auto"/>
      <w:spacing w:val="-5"/>
      <w:sz w:val="24"/>
      <w:szCs w:val="20"/>
      <w:lang/>
    </w:rPr>
  </w:style>
  <w:style w:type="paragraph" w:styleId="22">
    <w:name w:val="Body Text Indent 3"/>
    <w:basedOn w:val="1"/>
    <w:link w:val="85"/>
    <w:uiPriority w:val="0"/>
    <w:pPr>
      <w:autoSpaceDE/>
      <w:autoSpaceDN/>
      <w:adjustRightInd/>
      <w:ind w:firstLine="435"/>
    </w:pPr>
    <w:rPr>
      <w:color w:val="auto"/>
      <w:kern w:val="2"/>
      <w:szCs w:val="24"/>
    </w:rPr>
  </w:style>
  <w:style w:type="paragraph" w:styleId="23">
    <w:name w:val="index 7"/>
    <w:basedOn w:val="1"/>
    <w:next w:val="1"/>
    <w:uiPriority w:val="0"/>
    <w:pPr>
      <w:autoSpaceDE/>
      <w:autoSpaceDN/>
      <w:adjustRightInd/>
      <w:ind w:left="1200" w:leftChars="1200"/>
    </w:pPr>
    <w:rPr>
      <w:color w:val="auto"/>
      <w:kern w:val="2"/>
      <w:szCs w:val="24"/>
    </w:rPr>
  </w:style>
  <w:style w:type="paragraph" w:styleId="24">
    <w:name w:val="HTML Preformatted"/>
    <w:basedOn w:val="1"/>
    <w:link w:val="36"/>
    <w:uiPriority w:val="0"/>
    <w:pPr>
      <w:autoSpaceDE/>
      <w:autoSpaceDN/>
      <w:adjustRightInd/>
    </w:pPr>
    <w:rPr>
      <w:rFonts w:ascii="Arial Unicode MS" w:hAnsi="Arial Unicode MS" w:eastAsia="Arial Unicode MS"/>
      <w:color w:val="auto"/>
      <w:sz w:val="20"/>
      <w:szCs w:val="20"/>
    </w:rPr>
  </w:style>
  <w:style w:type="paragraph" w:styleId="25">
    <w:name w:val="Normal (Web)"/>
    <w:basedOn w:val="1"/>
    <w:link w:val="41"/>
    <w:uiPriority w:val="0"/>
    <w:pPr>
      <w:widowControl/>
      <w:autoSpaceDE/>
      <w:autoSpaceDN/>
      <w:adjustRightInd/>
      <w:spacing w:before="100" w:beforeLines="0" w:beforeAutospacing="1" w:after="100" w:afterLines="0" w:afterAutospacing="1"/>
      <w:jc w:val="left"/>
    </w:pPr>
    <w:rPr>
      <w:rFonts w:ascii="宋体" w:hAnsi="宋体"/>
      <w:sz w:val="24"/>
      <w:szCs w:val="24"/>
    </w:rPr>
  </w:style>
  <w:style w:type="paragraph" w:styleId="26">
    <w:name w:val="annotation subject"/>
    <w:basedOn w:val="11"/>
    <w:next w:val="11"/>
    <w:link w:val="49"/>
    <w:uiPriority w:val="0"/>
    <w:pPr>
      <w:spacing w:line="240" w:lineRule="auto"/>
      <w:ind w:firstLine="0" w:firstLineChars="0"/>
    </w:pPr>
    <w:rPr>
      <w:b/>
      <w:bCs/>
      <w:color w:val="auto"/>
      <w:kern w:val="2"/>
      <w:szCs w:val="24"/>
    </w:rPr>
  </w:style>
  <w:style w:type="paragraph" w:styleId="27">
    <w:name w:val="Body Text First Indent"/>
    <w:basedOn w:val="12"/>
    <w:link w:val="74"/>
    <w:uiPriority w:val="0"/>
    <w:pPr>
      <w:autoSpaceDE w:val="0"/>
      <w:autoSpaceDN w:val="0"/>
      <w:adjustRightInd w:val="0"/>
      <w:ind w:firstLine="420" w:firstLineChars="100"/>
    </w:pPr>
    <w:rPr>
      <w:color w:val="000000"/>
      <w:szCs w:val="21"/>
    </w:rPr>
  </w:style>
  <w:style w:type="paragraph" w:styleId="28">
    <w:name w:val="Body Text First Indent 2"/>
    <w:basedOn w:val="13"/>
    <w:link w:val="91"/>
    <w:uiPriority w:val="0"/>
    <w:pPr>
      <w:ind w:firstLine="420" w:firstLineChars="200"/>
    </w:pPr>
  </w:style>
  <w:style w:type="character" w:styleId="31">
    <w:name w:val="Strong"/>
    <w:qFormat/>
    <w:uiPriority w:val="0"/>
    <w:rPr>
      <w:b/>
      <w:bCs/>
    </w:rPr>
  </w:style>
  <w:style w:type="character" w:styleId="32">
    <w:name w:val="page number"/>
    <w:uiPriority w:val="0"/>
  </w:style>
  <w:style w:type="character" w:styleId="33">
    <w:name w:val="Emphasis"/>
    <w:qFormat/>
    <w:uiPriority w:val="0"/>
    <w:rPr>
      <w:color w:val="CC0000"/>
    </w:rPr>
  </w:style>
  <w:style w:type="character" w:styleId="34">
    <w:name w:val="Hyperlink"/>
    <w:uiPriority w:val="0"/>
    <w:rPr>
      <w:color w:val="0000FF"/>
      <w:u w:val="single"/>
    </w:rPr>
  </w:style>
  <w:style w:type="character" w:styleId="35">
    <w:name w:val="annotation reference"/>
    <w:uiPriority w:val="0"/>
    <w:rPr>
      <w:sz w:val="21"/>
      <w:szCs w:val="21"/>
    </w:rPr>
  </w:style>
  <w:style w:type="character" w:customStyle="1" w:styleId="36">
    <w:name w:val="HTML 预设格式 Char"/>
    <w:link w:val="24"/>
    <w:uiPriority w:val="0"/>
    <w:rPr>
      <w:rFonts w:ascii="Arial Unicode MS" w:hAnsi="Arial Unicode MS" w:eastAsia="Arial Unicode MS"/>
    </w:rPr>
  </w:style>
  <w:style w:type="character" w:customStyle="1" w:styleId="37">
    <w:name w:val="01 正文样式 Char"/>
    <w:link w:val="38"/>
    <w:uiPriority w:val="0"/>
    <w:rPr>
      <w:kern w:val="2"/>
      <w:sz w:val="24"/>
    </w:rPr>
  </w:style>
  <w:style w:type="paragraph" w:customStyle="1" w:styleId="38">
    <w:name w:val="01 正文样式"/>
    <w:basedOn w:val="1"/>
    <w:link w:val="37"/>
    <w:uiPriority w:val="0"/>
    <w:pPr>
      <w:autoSpaceDE/>
      <w:autoSpaceDN/>
      <w:adjustRightInd/>
      <w:spacing w:line="560" w:lineRule="exact"/>
      <w:ind w:firstLine="480" w:firstLineChars="200"/>
    </w:pPr>
    <w:rPr>
      <w:color w:val="auto"/>
      <w:kern w:val="2"/>
      <w:sz w:val="24"/>
      <w:szCs w:val="20"/>
    </w:rPr>
  </w:style>
  <w:style w:type="character" w:customStyle="1" w:styleId="39">
    <w:name w:val="标题 3 字符"/>
    <w:uiPriority w:val="0"/>
    <w:rPr>
      <w:b/>
      <w:bCs/>
      <w:color w:val="000000"/>
      <w:sz w:val="32"/>
      <w:szCs w:val="32"/>
    </w:rPr>
  </w:style>
  <w:style w:type="character" w:customStyle="1" w:styleId="40">
    <w:name w:val="param-name"/>
    <w:uiPriority w:val="0"/>
  </w:style>
  <w:style w:type="character" w:customStyle="1" w:styleId="41">
    <w:name w:val="普通(网站) Char1"/>
    <w:link w:val="25"/>
    <w:uiPriority w:val="0"/>
    <w:rPr>
      <w:rFonts w:ascii="宋体" w:hAnsi="宋体" w:eastAsia="宋体"/>
      <w:color w:val="000000"/>
      <w:sz w:val="24"/>
      <w:szCs w:val="24"/>
      <w:lang w:bidi="ar-SA"/>
    </w:rPr>
  </w:style>
  <w:style w:type="character" w:customStyle="1" w:styleId="42">
    <w:name w:val="jtz2 Char"/>
    <w:aliases w:val="节 Char,l2 Char,H2 Char,sect 1.2 Char,GAO1 Char,2nd level Char,h2 Char,2 Char,Header 2 Char,Titre2 Char,Head 2 Char,子系统 Char,子系统1 Char,子系统2 Char,子系统3 Char,子系统4 Char,子系统11 Char,子系统21 Char,子系统31 Char,子系统5 Char,子系统12 Char,子系统22 Char,子系统32 Char"/>
    <w:uiPriority w:val="0"/>
    <w:rPr>
      <w:rFonts w:ascii="Arial" w:hAnsi="Arial" w:eastAsia="宋体"/>
      <w:b/>
      <w:bCs/>
      <w:kern w:val="2"/>
      <w:sz w:val="30"/>
      <w:szCs w:val="32"/>
      <w:lang w:val="en-US" w:eastAsia="zh-CN" w:bidi="ar-SA"/>
    </w:rPr>
  </w:style>
  <w:style w:type="character" w:customStyle="1" w:styleId="43">
    <w:name w:val=" Char Char5"/>
    <w:uiPriority w:val="0"/>
    <w:rPr>
      <w:rFonts w:eastAsia="宋体"/>
      <w:b/>
      <w:color w:val="000000"/>
      <w:kern w:val="44"/>
      <w:sz w:val="44"/>
      <w:szCs w:val="21"/>
      <w:lang w:val="en-US" w:eastAsia="zh-CN" w:bidi="ar-SA"/>
    </w:rPr>
  </w:style>
  <w:style w:type="character" w:customStyle="1" w:styleId="44">
    <w:name w:val="页脚 Char"/>
    <w:uiPriority w:val="0"/>
    <w:rPr>
      <w:rFonts w:eastAsia="宋体"/>
      <w:color w:val="000000"/>
      <w:sz w:val="18"/>
      <w:szCs w:val="18"/>
      <w:lang w:val="en-US" w:eastAsia="zh-CN" w:bidi="ar-SA"/>
    </w:rPr>
  </w:style>
  <w:style w:type="character" w:customStyle="1" w:styleId="45">
    <w:name w:val=" Char Char17"/>
    <w:uiPriority w:val="0"/>
    <w:rPr>
      <w:rFonts w:ascii="Calibri" w:hAnsi="Calibri" w:eastAsia="宋体" w:cs="Times New Roman"/>
    </w:rPr>
  </w:style>
  <w:style w:type="character" w:customStyle="1" w:styleId="46">
    <w:name w:val="15"/>
    <w:uiPriority w:val="0"/>
    <w:rPr>
      <w:rFonts w:hint="default" w:ascii="Lucida Sans" w:hAnsi="Lucida Sans"/>
    </w:rPr>
  </w:style>
  <w:style w:type="character" w:customStyle="1" w:styleId="47">
    <w:name w:val="页眉 Char"/>
    <w:uiPriority w:val="0"/>
    <w:rPr>
      <w:rFonts w:eastAsia="宋体"/>
      <w:color w:val="000000"/>
      <w:sz w:val="18"/>
      <w:szCs w:val="18"/>
      <w:lang w:val="en-US" w:eastAsia="zh-CN" w:bidi="ar-SA"/>
    </w:rPr>
  </w:style>
  <w:style w:type="character" w:customStyle="1" w:styleId="48">
    <w:name w:val="正文文本缩进 字符"/>
    <w:uiPriority w:val="0"/>
    <w:rPr>
      <w:color w:val="000000"/>
      <w:sz w:val="21"/>
      <w:szCs w:val="21"/>
    </w:rPr>
  </w:style>
  <w:style w:type="character" w:customStyle="1" w:styleId="49">
    <w:name w:val="批注主题 Char"/>
    <w:link w:val="26"/>
    <w:uiPriority w:val="0"/>
    <w:rPr>
      <w:b/>
      <w:bCs/>
      <w:kern w:val="2"/>
      <w:sz w:val="21"/>
      <w:szCs w:val="24"/>
    </w:rPr>
  </w:style>
  <w:style w:type="character" w:customStyle="1" w:styleId="50">
    <w:name w:val="标题 3 Char"/>
    <w:link w:val="4"/>
    <w:uiPriority w:val="0"/>
    <w:rPr>
      <w:b/>
      <w:bCs/>
      <w:color w:val="000000"/>
      <w:sz w:val="32"/>
      <w:szCs w:val="32"/>
    </w:rPr>
  </w:style>
  <w:style w:type="character" w:customStyle="1" w:styleId="51">
    <w:name w:val=" Char Char3"/>
    <w:uiPriority w:val="0"/>
    <w:rPr>
      <w:rFonts w:ascii="宋体" w:hAnsi="Courier New" w:eastAsia="宋体"/>
      <w:sz w:val="24"/>
      <w:szCs w:val="24"/>
      <w:lang w:bidi="ar-SA"/>
    </w:rPr>
  </w:style>
  <w:style w:type="character" w:customStyle="1" w:styleId="52">
    <w:name w:val="正文缩进 Char"/>
    <w:link w:val="8"/>
    <w:uiPriority w:val="0"/>
    <w:rPr>
      <w:kern w:val="2"/>
      <w:sz w:val="21"/>
    </w:rPr>
  </w:style>
  <w:style w:type="character" w:customStyle="1" w:styleId="53">
    <w:name w:val="签名 Char"/>
    <w:link w:val="21"/>
    <w:uiPriority w:val="0"/>
    <w:rPr>
      <w:rFonts w:ascii="Arial" w:hAnsi="Arial"/>
      <w:spacing w:val="-5"/>
      <w:sz w:val="24"/>
      <w:lang/>
    </w:rPr>
  </w:style>
  <w:style w:type="character" w:customStyle="1" w:styleId="54">
    <w:name w:val="正文文本缩进 2 Char1"/>
    <w:uiPriority w:val="0"/>
    <w:rPr>
      <w:kern w:val="2"/>
      <w:sz w:val="21"/>
      <w:szCs w:val="24"/>
    </w:rPr>
  </w:style>
  <w:style w:type="character" w:customStyle="1" w:styleId="55">
    <w:name w:val="列出段落 Char"/>
    <w:link w:val="56"/>
    <w:uiPriority w:val="0"/>
    <w:rPr>
      <w:rFonts w:ascii="Calibri" w:hAnsi="Calibri" w:eastAsia="宋体"/>
      <w:kern w:val="2"/>
      <w:sz w:val="21"/>
      <w:szCs w:val="22"/>
      <w:lang w:val="en-US" w:eastAsia="zh-CN" w:bidi="ar-SA"/>
    </w:rPr>
  </w:style>
  <w:style w:type="paragraph" w:styleId="56">
    <w:name w:val="List Paragraph"/>
    <w:basedOn w:val="1"/>
    <w:link w:val="55"/>
    <w:uiPriority w:val="0"/>
    <w:pPr>
      <w:ind w:firstLine="420" w:firstLineChars="200"/>
    </w:pPr>
    <w:rPr>
      <w:color w:val="auto"/>
      <w:kern w:val="2"/>
      <w:szCs w:val="22"/>
    </w:rPr>
  </w:style>
  <w:style w:type="character" w:customStyle="1" w:styleId="57">
    <w:name w:val="正文文本缩进 3 字符"/>
    <w:uiPriority w:val="0"/>
    <w:rPr>
      <w:color w:val="000000"/>
      <w:sz w:val="16"/>
      <w:szCs w:val="16"/>
    </w:rPr>
  </w:style>
  <w:style w:type="character" w:customStyle="1" w:styleId="58">
    <w:name w:val="标题 1 Char"/>
    <w:uiPriority w:val="0"/>
    <w:rPr>
      <w:rFonts w:eastAsia="宋体"/>
      <w:b/>
      <w:color w:val="000000"/>
      <w:kern w:val="44"/>
      <w:sz w:val="44"/>
      <w:szCs w:val="21"/>
      <w:lang w:val="en-US" w:eastAsia="zh-CN" w:bidi="ar-SA"/>
    </w:rPr>
  </w:style>
  <w:style w:type="character" w:customStyle="1" w:styleId="59">
    <w:name w:val="Plain Text Char"/>
    <w:uiPriority w:val="0"/>
    <w:rPr>
      <w:rFonts w:ascii="宋体" w:hAnsi="Courier New" w:eastAsia="宋体"/>
      <w:kern w:val="2"/>
      <w:sz w:val="21"/>
      <w:lang w:val="en-US" w:eastAsia="zh-CN" w:bidi="ar-SA"/>
    </w:rPr>
  </w:style>
  <w:style w:type="character" w:customStyle="1" w:styleId="60">
    <w:name w:val="签名 字符"/>
    <w:uiPriority w:val="0"/>
    <w:rPr>
      <w:color w:val="000000"/>
      <w:sz w:val="21"/>
      <w:szCs w:val="21"/>
    </w:rPr>
  </w:style>
  <w:style w:type="character" w:customStyle="1" w:styleId="61">
    <w:name w:val="文档结构图 Char"/>
    <w:link w:val="10"/>
    <w:uiPriority w:val="0"/>
    <w:rPr>
      <w:kern w:val="2"/>
      <w:sz w:val="21"/>
      <w:szCs w:val="24"/>
      <w:shd w:val="clear" w:color="auto" w:fill="000080"/>
    </w:rPr>
  </w:style>
  <w:style w:type="character" w:customStyle="1" w:styleId="62">
    <w:name w:val="font01"/>
    <w:uiPriority w:val="0"/>
    <w:rPr>
      <w:rFonts w:hint="eastAsia" w:ascii="宋体" w:hAnsi="宋体" w:eastAsia="宋体" w:cs="宋体"/>
      <w:color w:val="000000"/>
      <w:sz w:val="24"/>
      <w:szCs w:val="24"/>
    </w:rPr>
  </w:style>
  <w:style w:type="character" w:customStyle="1" w:styleId="63">
    <w:name w:val="页眉 Char1"/>
    <w:link w:val="20"/>
    <w:uiPriority w:val="0"/>
    <w:rPr>
      <w:color w:val="000000"/>
      <w:sz w:val="18"/>
      <w:szCs w:val="18"/>
    </w:rPr>
  </w:style>
  <w:style w:type="character" w:customStyle="1" w:styleId="64">
    <w:name w:val="批注文字 Char"/>
    <w:basedOn w:val="30"/>
    <w:link w:val="11"/>
    <w:uiPriority w:val="0"/>
  </w:style>
  <w:style w:type="character" w:customStyle="1" w:styleId="65">
    <w:name w:val="正文文本 Char"/>
    <w:link w:val="12"/>
    <w:uiPriority w:val="0"/>
    <w:rPr>
      <w:kern w:val="2"/>
      <w:sz w:val="21"/>
      <w:szCs w:val="24"/>
    </w:rPr>
  </w:style>
  <w:style w:type="character" w:customStyle="1" w:styleId="66">
    <w:name w:val="标题 2 Char"/>
    <w:link w:val="3"/>
    <w:uiPriority w:val="0"/>
    <w:rPr>
      <w:rFonts w:ascii="Arial" w:hAnsi="Arial" w:eastAsia="黑体"/>
      <w:b/>
      <w:bCs/>
      <w:color w:val="000000"/>
      <w:sz w:val="32"/>
      <w:szCs w:val="32"/>
    </w:rPr>
  </w:style>
  <w:style w:type="character" w:customStyle="1" w:styleId="67">
    <w:name w:val=" Char Char13"/>
    <w:uiPriority w:val="0"/>
    <w:rPr>
      <w:rFonts w:eastAsia="宋体"/>
      <w:b/>
      <w:bCs/>
      <w:kern w:val="44"/>
      <w:sz w:val="44"/>
      <w:szCs w:val="44"/>
      <w:lang w:val="en-US" w:eastAsia="zh-CN" w:bidi="ar-SA"/>
    </w:rPr>
  </w:style>
  <w:style w:type="character" w:customStyle="1" w:styleId="68">
    <w:name w:val="日期 Char2"/>
    <w:link w:val="16"/>
    <w:uiPriority w:val="0"/>
    <w:rPr>
      <w:color w:val="000000"/>
      <w:sz w:val="21"/>
      <w:szCs w:val="21"/>
    </w:rPr>
  </w:style>
  <w:style w:type="character" w:customStyle="1" w:styleId="69">
    <w:name w:val="普通(网站) Char"/>
    <w:uiPriority w:val="0"/>
    <w:rPr>
      <w:rFonts w:ascii="宋体" w:hAnsi="宋体" w:eastAsia="宋体"/>
      <w:color w:val="000000"/>
      <w:sz w:val="24"/>
      <w:szCs w:val="24"/>
      <w:lang w:bidi="ar-SA"/>
    </w:rPr>
  </w:style>
  <w:style w:type="character" w:customStyle="1" w:styleId="70">
    <w:name w:val="01正文样式 Char"/>
    <w:link w:val="71"/>
    <w:uiPriority w:val="0"/>
    <w:rPr>
      <w:rFonts w:ascii="Tahoma" w:hAnsi="Tahoma" w:eastAsia="仿宋_GB2312"/>
      <w:sz w:val="28"/>
    </w:rPr>
  </w:style>
  <w:style w:type="paragraph" w:customStyle="1" w:styleId="71">
    <w:name w:val="01正文样式"/>
    <w:basedOn w:val="1"/>
    <w:link w:val="70"/>
    <w:uiPriority w:val="0"/>
    <w:pPr>
      <w:autoSpaceDE/>
      <w:autoSpaceDN/>
      <w:adjustRightInd/>
      <w:ind w:firstLine="480"/>
    </w:pPr>
    <w:rPr>
      <w:rFonts w:ascii="Tahoma" w:hAnsi="Tahoma" w:eastAsia="仿宋_GB2312"/>
      <w:color w:val="auto"/>
      <w:sz w:val="28"/>
      <w:szCs w:val="20"/>
    </w:rPr>
  </w:style>
  <w:style w:type="character" w:customStyle="1" w:styleId="72">
    <w:name w:val="列出段落 Char Char"/>
    <w:link w:val="73"/>
    <w:uiPriority w:val="0"/>
    <w:rPr>
      <w:rFonts w:ascii="Calibri" w:hAnsi="Calibri"/>
      <w:szCs w:val="22"/>
    </w:rPr>
  </w:style>
  <w:style w:type="paragraph" w:customStyle="1" w:styleId="73">
    <w:name w:val="List Paragraph"/>
    <w:basedOn w:val="1"/>
    <w:link w:val="72"/>
    <w:uiPriority w:val="0"/>
    <w:pPr>
      <w:autoSpaceDE/>
      <w:autoSpaceDN/>
      <w:adjustRightInd/>
      <w:ind w:firstLine="420" w:firstLineChars="200"/>
    </w:pPr>
    <w:rPr>
      <w:color w:val="auto"/>
      <w:sz w:val="20"/>
      <w:szCs w:val="22"/>
    </w:rPr>
  </w:style>
  <w:style w:type="character" w:customStyle="1" w:styleId="74">
    <w:name w:val="正文首行缩进 Char"/>
    <w:link w:val="27"/>
    <w:uiPriority w:val="0"/>
    <w:rPr>
      <w:color w:val="000000"/>
      <w:kern w:val="2"/>
      <w:sz w:val="21"/>
      <w:szCs w:val="21"/>
    </w:rPr>
  </w:style>
  <w:style w:type="character" w:customStyle="1" w:styleId="75">
    <w:name w:val="日期 Char"/>
    <w:link w:val="76"/>
    <w:uiPriority w:val="0"/>
    <w:rPr>
      <w:rFonts w:ascii="黑体" w:eastAsia="黑体"/>
      <w:spacing w:val="4"/>
      <w:sz w:val="24"/>
      <w:lang w:bidi="ar-SA"/>
    </w:rPr>
  </w:style>
  <w:style w:type="paragraph" w:customStyle="1" w:styleId="76">
    <w:name w:val="Date"/>
    <w:basedOn w:val="1"/>
    <w:next w:val="1"/>
    <w:link w:val="75"/>
    <w:uiPriority w:val="0"/>
    <w:pPr>
      <w:autoSpaceDE/>
      <w:autoSpaceDN/>
      <w:adjustRightInd/>
      <w:ind w:left="100" w:leftChars="2500"/>
    </w:pPr>
    <w:rPr>
      <w:rFonts w:ascii="黑体" w:eastAsia="黑体"/>
      <w:color w:val="auto"/>
      <w:spacing w:val="4"/>
      <w:sz w:val="24"/>
      <w:szCs w:val="20"/>
    </w:rPr>
  </w:style>
  <w:style w:type="character" w:customStyle="1" w:styleId="77">
    <w:name w:val="正文文字2 Char"/>
    <w:link w:val="78"/>
    <w:uiPriority w:val="0"/>
    <w:rPr>
      <w:rFonts w:ascii="Arial" w:eastAsia="黑体"/>
      <w:sz w:val="21"/>
    </w:rPr>
  </w:style>
  <w:style w:type="paragraph" w:customStyle="1" w:styleId="78">
    <w:name w:val="正文文字2"/>
    <w:basedOn w:val="12"/>
    <w:link w:val="77"/>
    <w:uiPriority w:val="0"/>
    <w:pPr>
      <w:adjustRightInd w:val="0"/>
      <w:spacing w:after="60" w:afterLines="0" w:line="360" w:lineRule="atLeast"/>
      <w:ind w:left="72" w:right="72"/>
      <w:jc w:val="center"/>
      <w:textAlignment w:val="baseline"/>
    </w:pPr>
    <w:rPr>
      <w:rFonts w:ascii="Arial" w:eastAsia="黑体"/>
      <w:kern w:val="0"/>
      <w:szCs w:val="20"/>
    </w:rPr>
  </w:style>
  <w:style w:type="character" w:customStyle="1" w:styleId="79">
    <w:name w:val=" Char Char11"/>
    <w:uiPriority w:val="0"/>
    <w:rPr>
      <w:rFonts w:ascii="Arial" w:hAnsi="Arial" w:eastAsia="黑体"/>
      <w:b/>
      <w:kern w:val="2"/>
      <w:sz w:val="32"/>
      <w:szCs w:val="32"/>
      <w:lang w:val="en-US" w:eastAsia="zh-CN" w:bidi="ar-SA"/>
    </w:rPr>
  </w:style>
  <w:style w:type="character" w:customStyle="1" w:styleId="80">
    <w:name w:val="正文文本首行缩进 字符1"/>
    <w:uiPriority w:val="0"/>
    <w:rPr>
      <w:color w:val="000000"/>
      <w:kern w:val="2"/>
      <w:sz w:val="21"/>
      <w:szCs w:val="21"/>
    </w:rPr>
  </w:style>
  <w:style w:type="character" w:customStyle="1" w:styleId="81">
    <w:name w:val="jtz2 Char1"/>
    <w:aliases w:val="节 Char1,l2 Char1,H2 Char1,sect 1.2 Char1,GAO1 Char1,2nd level Char1,h2 Char1,2 Char1,Header 2 Char1,Titre2 Char1,Head 2 Char1,子系统 Char1,子系统1 Char1,子系统2 Char1,子系统3 Char1,子系统4 Char1,子系统11 Char1,子系统21 Char1,子系统31 Char1,子系统5 Char1,子系统12 Char1"/>
    <w:uiPriority w:val="0"/>
    <w:rPr>
      <w:rFonts w:ascii="Cambria" w:hAnsi="Cambria" w:eastAsia="宋体"/>
      <w:b/>
      <w:bCs/>
      <w:kern w:val="2"/>
      <w:sz w:val="30"/>
      <w:szCs w:val="32"/>
      <w:lang w:val="en-US" w:eastAsia="zh-CN" w:bidi="ar-SA"/>
    </w:rPr>
  </w:style>
  <w:style w:type="character" w:customStyle="1" w:styleId="82">
    <w:name w:val="日期 Char1"/>
    <w:uiPriority w:val="0"/>
    <w:rPr>
      <w:kern w:val="2"/>
      <w:sz w:val="21"/>
      <w:szCs w:val="24"/>
    </w:rPr>
  </w:style>
  <w:style w:type="character" w:customStyle="1" w:styleId="83">
    <w:name w:val="日期 字符"/>
    <w:uiPriority w:val="0"/>
    <w:rPr>
      <w:color w:val="000000"/>
      <w:sz w:val="21"/>
      <w:szCs w:val="21"/>
    </w:rPr>
  </w:style>
  <w:style w:type="character" w:customStyle="1" w:styleId="84">
    <w:name w:val="正文文本缩进 Char"/>
    <w:link w:val="13"/>
    <w:uiPriority w:val="0"/>
    <w:rPr>
      <w:color w:val="000000"/>
      <w:sz w:val="21"/>
      <w:szCs w:val="21"/>
    </w:rPr>
  </w:style>
  <w:style w:type="character" w:customStyle="1" w:styleId="85">
    <w:name w:val="正文文本缩进 3 Char"/>
    <w:link w:val="22"/>
    <w:uiPriority w:val="0"/>
    <w:rPr>
      <w:kern w:val="2"/>
      <w:sz w:val="21"/>
      <w:szCs w:val="24"/>
    </w:rPr>
  </w:style>
  <w:style w:type="character" w:customStyle="1" w:styleId="86">
    <w:name w:val="纯文本 Char1"/>
    <w:aliases w:val="普通文字 Char Char1,纯文本 Char Char Char,纯文本 Char Char1,普通文字 Char Char Char1,正 文 1 Char,普通文字 Char Char Char Char1,普通文字 Char Char Char Char Char,普通文字 Char1,正文文字 Char Char,Texte Char,表格文字 Char,普通文字1 Char,普通文字2 Char,普通文字3 Char,普通文字4 Char,普通文字5 Char"/>
    <w:uiPriority w:val="0"/>
    <w:rPr>
      <w:rFonts w:eastAsia="宋体"/>
      <w:kern w:val="2"/>
      <w:sz w:val="24"/>
      <w:lang w:val="en-US" w:eastAsia="zh-CN" w:bidi="ar-SA"/>
    </w:rPr>
  </w:style>
  <w:style w:type="character" w:customStyle="1" w:styleId="87">
    <w:name w:val="标题 1 Char1"/>
    <w:link w:val="2"/>
    <w:uiPriority w:val="0"/>
    <w:rPr>
      <w:rFonts w:eastAsia="宋体"/>
      <w:b/>
      <w:color w:val="000000"/>
      <w:kern w:val="44"/>
      <w:sz w:val="44"/>
      <w:szCs w:val="21"/>
      <w:lang w:val="en-US" w:eastAsia="zh-CN" w:bidi="ar-SA"/>
    </w:rPr>
  </w:style>
  <w:style w:type="character" w:customStyle="1" w:styleId="88">
    <w:name w:val="jtz3 Char"/>
    <w:aliases w:val="3 Char,h4 Char,h3 Char,l3 Char,CT Char,H3 Char,3rd level Char,Heading 3 - old Char,Fab-3 Char,level_3 Char,PIM 3 Char,Level 3 Head Char,BOD 0 Char,sect1.2.3 Char,Bold Head Char,bh Char,heading 3 Char,标题 4.1.1 Char,sect1.2.31 Char,H31 Char"/>
    <w:uiPriority w:val="0"/>
    <w:rPr>
      <w:rFonts w:eastAsia="宋体"/>
      <w:b/>
      <w:bCs/>
      <w:kern w:val="2"/>
      <w:sz w:val="28"/>
      <w:szCs w:val="32"/>
      <w:lang w:val="en-US" w:eastAsia="zh-CN" w:bidi="ar-SA"/>
    </w:rPr>
  </w:style>
  <w:style w:type="character" w:customStyle="1" w:styleId="89">
    <w:name w:val="正文 1.5 倍行距 Char"/>
    <w:link w:val="90"/>
    <w:uiPriority w:val="0"/>
    <w:rPr>
      <w:sz w:val="24"/>
    </w:rPr>
  </w:style>
  <w:style w:type="paragraph" w:customStyle="1" w:styleId="90">
    <w:name w:val="正文 1.5 倍行距"/>
    <w:basedOn w:val="1"/>
    <w:link w:val="89"/>
    <w:uiPriority w:val="0"/>
    <w:pPr>
      <w:spacing w:line="360" w:lineRule="auto"/>
      <w:ind w:firstLine="480" w:firstLineChars="200"/>
      <w:textAlignment w:val="baseline"/>
    </w:pPr>
    <w:rPr>
      <w:color w:val="auto"/>
      <w:sz w:val="24"/>
      <w:szCs w:val="20"/>
    </w:rPr>
  </w:style>
  <w:style w:type="character" w:customStyle="1" w:styleId="91">
    <w:name w:val="正文首行缩进 2 Char"/>
    <w:basedOn w:val="84"/>
    <w:link w:val="28"/>
    <w:uiPriority w:val="0"/>
  </w:style>
  <w:style w:type="character" w:customStyle="1" w:styleId="92">
    <w:name w:val="页脚 Char1"/>
    <w:link w:val="19"/>
    <w:uiPriority w:val="0"/>
    <w:rPr>
      <w:color w:val="000000"/>
      <w:sz w:val="18"/>
      <w:szCs w:val="18"/>
    </w:rPr>
  </w:style>
  <w:style w:type="character" w:customStyle="1" w:styleId="93">
    <w:name w:val="纯文本 Char"/>
    <w:link w:val="15"/>
    <w:uiPriority w:val="0"/>
    <w:rPr>
      <w:rFonts w:ascii="Tahoma" w:hAnsi="Tahoma" w:eastAsia="宋体"/>
      <w:kern w:val="2"/>
      <w:sz w:val="24"/>
      <w:lang w:val="en-US" w:eastAsia="zh-CN" w:bidi="ar-SA"/>
    </w:rPr>
  </w:style>
  <w:style w:type="character" w:customStyle="1" w:styleId="94">
    <w:name w:val="HTML 预设格式 字符"/>
    <w:uiPriority w:val="0"/>
    <w:rPr>
      <w:rFonts w:ascii="Courier New" w:hAnsi="Courier New" w:cs="Courier New"/>
      <w:color w:val="000000"/>
    </w:rPr>
  </w:style>
  <w:style w:type="character" w:customStyle="1" w:styleId="95">
    <w:name w:val="标题 4 Char"/>
    <w:link w:val="5"/>
    <w:uiPriority w:val="0"/>
    <w:rPr>
      <w:rFonts w:ascii="Cambria" w:hAnsi="Cambria" w:eastAsia="黑体"/>
      <w:b/>
      <w:bCs/>
      <w:kern w:val="2"/>
      <w:sz w:val="24"/>
      <w:szCs w:val="28"/>
      <w:lang w:bidi="ar-SA"/>
    </w:rPr>
  </w:style>
  <w:style w:type="paragraph" w:customStyle="1" w:styleId="96">
    <w:name w:val="文档正文"/>
    <w:basedOn w:val="1"/>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97">
    <w:name w:val="标题1"/>
    <w:basedOn w:val="1"/>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98">
    <w:name w:val="p15"/>
    <w:basedOn w:val="1"/>
    <w:uiPriority w:val="0"/>
    <w:pPr>
      <w:widowControl/>
      <w:autoSpaceDE/>
      <w:autoSpaceDN/>
      <w:adjustRightInd/>
      <w:snapToGrid w:val="0"/>
    </w:pPr>
  </w:style>
  <w:style w:type="paragraph" w:customStyle="1" w:styleId="99">
    <w:name w:val="p18"/>
    <w:basedOn w:val="1"/>
    <w:uiPriority w:val="0"/>
    <w:pPr>
      <w:widowControl/>
      <w:autoSpaceDE/>
      <w:autoSpaceDN/>
      <w:adjustRightInd/>
      <w:snapToGrid w:val="0"/>
      <w:jc w:val="left"/>
    </w:pPr>
    <w:rPr>
      <w:sz w:val="24"/>
      <w:szCs w:val="24"/>
    </w:rPr>
  </w:style>
  <w:style w:type="paragraph" w:customStyle="1" w:styleId="100">
    <w:name w:val="_Style 42"/>
    <w:basedOn w:val="13"/>
    <w:next w:val="28"/>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01">
    <w:name w:val="表格文本"/>
    <w:basedOn w:val="1"/>
    <w:qFormat/>
    <w:uiPriority w:val="0"/>
    <w:pPr>
      <w:autoSpaceDE w:val="0"/>
      <w:autoSpaceDN w:val="0"/>
      <w:adjustRightInd w:val="0"/>
      <w:spacing w:beforeLines="50" w:afterLines="50"/>
    </w:pPr>
    <w:rPr>
      <w:color w:val="000000"/>
      <w:kern w:val="0"/>
      <w:szCs w:val="21"/>
    </w:rPr>
  </w:style>
  <w:style w:type="paragraph" w:customStyle="1" w:styleId="102">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eastAsia="Times New Roman" w:cs="Calibri"/>
      <w:color w:val="000000"/>
      <w:kern w:val="2"/>
      <w:sz w:val="18"/>
      <w:szCs w:val="18"/>
      <w:u w:val="none" w:color="000000"/>
      <w:lang w:val="en-US" w:eastAsia="zh-CN" w:bidi="ar-SA"/>
    </w:rPr>
  </w:style>
  <w:style w:type="paragraph" w:customStyle="1" w:styleId="103">
    <w:name w:val="Char Char1"/>
    <w:basedOn w:val="1"/>
    <w:uiPriority w:val="0"/>
    <w:pPr>
      <w:widowControl/>
      <w:autoSpaceDE/>
      <w:autoSpaceDN/>
      <w:spacing w:after="160" w:afterLines="0" w:line="240" w:lineRule="exact"/>
      <w:jc w:val="left"/>
    </w:pPr>
    <w:rPr>
      <w:rFonts w:eastAsia="仿宋_GB2312"/>
      <w:color w:val="auto"/>
      <w:kern w:val="2"/>
      <w:sz w:val="28"/>
      <w:szCs w:val="24"/>
    </w:rPr>
  </w:style>
  <w:style w:type="paragraph" w:customStyle="1" w:styleId="104">
    <w:name w:val="*正文"/>
    <w:basedOn w:val="1"/>
    <w:qFormat/>
    <w:uiPriority w:val="0"/>
    <w:pPr>
      <w:spacing w:line="360" w:lineRule="auto"/>
      <w:ind w:firstLine="200" w:firstLineChars="200"/>
      <w:jc w:val="left"/>
    </w:pPr>
    <w:rPr>
      <w:rFonts w:ascii="宋体" w:hAnsi="宋体" w:eastAsia="宋体" w:cs="Times New Roman"/>
      <w:sz w:val="24"/>
    </w:rPr>
  </w:style>
  <w:style w:type="paragraph" w:customStyle="1" w:styleId="105">
    <w:name w:val="样式4"/>
    <w:basedOn w:val="2"/>
    <w:uiPriority w:val="0"/>
    <w:pPr>
      <w:autoSpaceDE/>
      <w:autoSpaceDN/>
      <w:adjustRightInd/>
      <w:spacing w:line="480" w:lineRule="auto"/>
    </w:pPr>
    <w:rPr>
      <w:bCs/>
      <w:color w:val="auto"/>
      <w:sz w:val="32"/>
      <w:szCs w:val="44"/>
    </w:rPr>
  </w:style>
  <w:style w:type="paragraph" w:customStyle="1" w:styleId="106">
    <w:name w:val="Table Text"/>
    <w:uiPriority w:val="0"/>
    <w:pPr>
      <w:tabs>
        <w:tab w:val="decimal" w:pos="0"/>
      </w:tabs>
    </w:pPr>
    <w:rPr>
      <w:rFonts w:ascii="Arial" w:hAnsi="Arial"/>
      <w:sz w:val="21"/>
      <w:szCs w:val="21"/>
      <w:lang w:val="en-US" w:eastAsia="zh-CN" w:bidi="ar-SA"/>
    </w:rPr>
  </w:style>
  <w:style w:type="paragraph" w:customStyle="1" w:styleId="107">
    <w:name w:val=" Char Char Char Char Char Char Char Char Char Char Char Char Char Char Char Char Char Char Char"/>
    <w:basedOn w:val="1"/>
    <w:uiPriority w:val="0"/>
    <w:pPr>
      <w:autoSpaceDE/>
      <w:autoSpaceDN/>
      <w:adjustRightInd/>
    </w:pPr>
    <w:rPr>
      <w:color w:val="auto"/>
      <w:kern w:val="2"/>
      <w:szCs w:val="24"/>
    </w:rPr>
  </w:style>
  <w:style w:type="paragraph" w:customStyle="1" w:styleId="108">
    <w:name w:val="Char Char"/>
    <w:basedOn w:val="1"/>
    <w:uiPriority w:val="0"/>
    <w:pPr>
      <w:autoSpaceDE/>
      <w:autoSpaceDN/>
      <w:adjustRightInd/>
    </w:pPr>
    <w:rPr>
      <w:rFonts w:ascii="仿宋_GB2312" w:eastAsia="仿宋_GB2312"/>
      <w:b/>
      <w:color w:val="auto"/>
      <w:kern w:val="2"/>
      <w:sz w:val="32"/>
      <w:szCs w:val="32"/>
    </w:rPr>
  </w:style>
  <w:style w:type="paragraph" w:customStyle="1" w:styleId="109">
    <w:name w:val="_Style 10"/>
    <w:basedOn w:val="1"/>
    <w:uiPriority w:val="0"/>
    <w:pPr>
      <w:autoSpaceDE/>
      <w:autoSpaceDN/>
      <w:adjustRightInd/>
    </w:pPr>
    <w:rPr>
      <w:rFonts w:ascii="Tahoma" w:hAnsi="Tahoma"/>
      <w:color w:val="auto"/>
      <w:kern w:val="2"/>
      <w:sz w:val="24"/>
      <w:szCs w:val="20"/>
    </w:rPr>
  </w:style>
  <w:style w:type="paragraph" w:customStyle="1" w:styleId="110">
    <w:name w:val="Char Char Char Char Char Char Char Char Char Char Char Char Char Char Char Char Char Char Char Char Char Char Char Char Char Char Char Char"/>
    <w:basedOn w:val="1"/>
    <w:uiPriority w:val="0"/>
    <w:pPr>
      <w:tabs>
        <w:tab w:val="left" w:pos="360"/>
      </w:tabs>
      <w:autoSpaceDE/>
      <w:autoSpaceDN/>
      <w:adjustRightInd/>
    </w:pPr>
    <w:rPr>
      <w:color w:val="auto"/>
      <w:kern w:val="2"/>
      <w:sz w:val="24"/>
      <w:szCs w:val="24"/>
    </w:rPr>
  </w:style>
  <w:style w:type="paragraph" w:customStyle="1" w:styleId="111">
    <w:name w:val="p21"/>
    <w:basedOn w:val="1"/>
    <w:uiPriority w:val="0"/>
    <w:pPr>
      <w:widowControl/>
      <w:autoSpaceDE/>
      <w:autoSpaceDN/>
      <w:adjustRightInd/>
      <w:jc w:val="left"/>
    </w:pPr>
    <w:rPr>
      <w:color w:val="auto"/>
    </w:rPr>
  </w:style>
  <w:style w:type="paragraph" w:customStyle="1" w:styleId="112">
    <w:name w:val="样式 正文缩进首行缩进两字 + 小四 首行缩进:  2 字符"/>
    <w:basedOn w:val="8"/>
    <w:uiPriority w:val="0"/>
    <w:pPr>
      <w:spacing w:line="360" w:lineRule="auto"/>
      <w:ind w:firstLine="200" w:firstLineChars="200"/>
    </w:pPr>
    <w:rPr>
      <w:rFonts w:cs="宋体"/>
      <w:sz w:val="24"/>
    </w:rPr>
  </w:style>
  <w:style w:type="paragraph" w:customStyle="1" w:styleId="113">
    <w:name w:val="p19"/>
    <w:basedOn w:val="1"/>
    <w:uiPriority w:val="0"/>
    <w:pPr>
      <w:widowControl/>
      <w:autoSpaceDE/>
      <w:autoSpaceDN/>
      <w:adjustRightInd/>
      <w:spacing w:before="156" w:beforeLines="0" w:after="156" w:afterLines="0" w:line="360" w:lineRule="auto"/>
      <w:ind w:firstLine="420"/>
    </w:pPr>
    <w:rPr>
      <w:color w:val="auto"/>
      <w:sz w:val="24"/>
      <w:szCs w:val="24"/>
    </w:rPr>
  </w:style>
  <w:style w:type="paragraph" w:customStyle="1" w:styleId="114">
    <w:name w:val="p23"/>
    <w:basedOn w:val="1"/>
    <w:uiPriority w:val="0"/>
    <w:pPr>
      <w:widowControl/>
      <w:pBdr>
        <w:bottom w:val="single" w:color="000000" w:sz="6" w:space="1"/>
      </w:pBdr>
      <w:autoSpaceDE/>
      <w:autoSpaceDN/>
      <w:adjustRightInd/>
      <w:jc w:val="center"/>
    </w:pPr>
    <w:rPr>
      <w:color w:val="auto"/>
      <w:sz w:val="18"/>
      <w:szCs w:val="18"/>
    </w:rPr>
  </w:style>
  <w:style w:type="paragraph" w:customStyle="1" w:styleId="115">
    <w:name w:val="p17"/>
    <w:basedOn w:val="1"/>
    <w:uiPriority w:val="0"/>
    <w:pPr>
      <w:widowControl/>
      <w:autoSpaceDE/>
      <w:autoSpaceDN/>
      <w:adjustRightInd/>
      <w:ind w:left="2520"/>
    </w:pPr>
    <w:rPr>
      <w:color w:val="auto"/>
    </w:rPr>
  </w:style>
  <w:style w:type="paragraph" w:customStyle="1" w:styleId="116">
    <w:name w:val="Table Paragraph"/>
    <w:basedOn w:val="1"/>
    <w:uiPriority w:val="0"/>
    <w:pPr>
      <w:jc w:val="left"/>
    </w:pPr>
    <w:rPr>
      <w:rFonts w:ascii="Calibri" w:hAnsi="Calibri"/>
      <w:sz w:val="22"/>
      <w:lang w:eastAsia="en-US"/>
    </w:rPr>
  </w:style>
  <w:style w:type="paragraph" w:customStyle="1" w:styleId="117">
    <w:name w:val=" Char Char Char Char Char Char"/>
    <w:basedOn w:val="1"/>
    <w:uiPriority w:val="0"/>
    <w:pPr>
      <w:widowControl/>
      <w:autoSpaceDE/>
      <w:autoSpaceDN/>
      <w:adjustRightInd/>
      <w:spacing w:after="160" w:afterLines="0" w:line="240" w:lineRule="exact"/>
      <w:jc w:val="left"/>
    </w:pPr>
    <w:rPr>
      <w:color w:val="auto"/>
      <w:kern w:val="2"/>
      <w:szCs w:val="24"/>
    </w:rPr>
  </w:style>
  <w:style w:type="paragraph" w:customStyle="1" w:styleId="118">
    <w:name w:val="列出段落1"/>
    <w:basedOn w:val="1"/>
    <w:uiPriority w:val="0"/>
    <w:pPr>
      <w:autoSpaceDE/>
      <w:autoSpaceDN/>
      <w:adjustRightInd/>
      <w:ind w:firstLine="420" w:firstLineChars="200"/>
    </w:pPr>
    <w:rPr>
      <w:rFonts w:ascii="Calibri" w:hAnsi="Calibri" w:cs="黑体"/>
      <w:color w:val="auto"/>
      <w:kern w:val="2"/>
      <w:szCs w:val="22"/>
    </w:rPr>
  </w:style>
  <w:style w:type="paragraph" w:customStyle="1" w:styleId="119">
    <w:name w:val="题注居中"/>
    <w:basedOn w:val="9"/>
    <w:next w:val="1"/>
    <w:uiPriority w:val="0"/>
    <w:pPr>
      <w:spacing w:after="120" w:afterLines="0" w:line="240" w:lineRule="exact"/>
      <w:ind w:firstLine="0" w:firstLineChars="0"/>
      <w:jc w:val="center"/>
    </w:pPr>
    <w:rPr>
      <w:rFonts w:ascii="宋体" w:hAnsi="宋体" w:eastAsia="宋体" w:cs="宋体"/>
      <w:b/>
      <w:sz w:val="21"/>
    </w:rPr>
  </w:style>
  <w:style w:type="paragraph" w:customStyle="1" w:styleId="120">
    <w:name w:val="列项"/>
    <w:basedOn w:val="1"/>
    <w:next w:val="1"/>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1">
    <w:name w:val="正文段"/>
    <w:basedOn w:val="1"/>
    <w:uiPriority w:val="0"/>
    <w:pPr>
      <w:widowControl/>
      <w:autoSpaceDE/>
      <w:autoSpaceDN/>
      <w:adjustRightInd/>
      <w:snapToGrid w:val="0"/>
      <w:spacing w:after="156" w:afterLines="50"/>
      <w:ind w:firstLine="200" w:firstLineChars="200"/>
    </w:pPr>
    <w:rPr>
      <w:color w:val="auto"/>
      <w:sz w:val="24"/>
      <w:szCs w:val="20"/>
    </w:rPr>
  </w:style>
  <w:style w:type="paragraph" w:customStyle="1" w:styleId="122">
    <w:name w:val=" Char"/>
    <w:basedOn w:val="1"/>
    <w:uiPriority w:val="0"/>
    <w:pPr>
      <w:widowControl/>
      <w:autoSpaceDE/>
      <w:autoSpaceDN/>
      <w:adjustRightInd/>
      <w:spacing w:after="160" w:afterLines="0" w:line="240" w:lineRule="exact"/>
      <w:jc w:val="left"/>
    </w:pPr>
    <w:rPr>
      <w:rFonts w:ascii="Verdana" w:hAnsi="Verdana"/>
      <w:color w:val="auto"/>
      <w:szCs w:val="20"/>
      <w:lang w:eastAsia="en-US"/>
    </w:rPr>
  </w:style>
  <w:style w:type="paragraph" w:customStyle="1" w:styleId="123">
    <w:name w:val="列出段落11"/>
    <w:basedOn w:val="1"/>
    <w:qFormat/>
    <w:uiPriority w:val="0"/>
    <w:pPr>
      <w:autoSpaceDE/>
      <w:autoSpaceDN/>
      <w:adjustRightInd/>
      <w:ind w:firstLine="420" w:firstLineChars="200"/>
    </w:pPr>
    <w:rPr>
      <w:rFonts w:ascii="Calibri" w:hAnsi="Calibri"/>
      <w:color w:val="auto"/>
      <w:kern w:val="2"/>
      <w:szCs w:val="22"/>
    </w:rPr>
  </w:style>
  <w:style w:type="paragraph" w:customStyle="1" w:styleId="124">
    <w:name w:val="p20"/>
    <w:basedOn w:val="1"/>
    <w:uiPriority w:val="0"/>
    <w:pPr>
      <w:widowControl/>
      <w:autoSpaceDE/>
      <w:autoSpaceDN/>
      <w:adjustRightInd/>
      <w:ind w:left="425" w:firstLine="420"/>
    </w:pPr>
    <w:rPr>
      <w:rFonts w:ascii="Calibri" w:hAnsi="Calibri" w:cs="宋体"/>
      <w:color w:val="auto"/>
    </w:rPr>
  </w:style>
  <w:style w:type="paragraph" w:customStyle="1" w:styleId="125">
    <w:name w:val="_Style 5"/>
    <w:basedOn w:val="1"/>
    <w:uiPriority w:val="0"/>
    <w:pPr>
      <w:autoSpaceDE/>
      <w:autoSpaceDN/>
      <w:adjustRightInd/>
    </w:pPr>
    <w:rPr>
      <w:rFonts w:ascii="Tahoma" w:hAnsi="Tahoma"/>
      <w:color w:val="auto"/>
      <w:kern w:val="2"/>
      <w:sz w:val="24"/>
      <w:szCs w:val="20"/>
    </w:rPr>
  </w:style>
  <w:style w:type="paragraph" w:customStyle="1" w:styleId="126">
    <w:name w:val="p22"/>
    <w:basedOn w:val="1"/>
    <w:uiPriority w:val="0"/>
    <w:pPr>
      <w:widowControl/>
      <w:autoSpaceDE/>
      <w:autoSpaceDN/>
      <w:adjustRightInd/>
      <w:jc w:val="left"/>
    </w:pPr>
    <w:rPr>
      <w:color w:val="auto"/>
      <w:sz w:val="18"/>
      <w:szCs w:val="18"/>
    </w:rPr>
  </w:style>
  <w:style w:type="paragraph" w:customStyle="1" w:styleId="127">
    <w:name w:val="Char Char Char Char1"/>
    <w:basedOn w:val="1"/>
    <w:uiPriority w:val="0"/>
    <w:pPr>
      <w:numPr>
        <w:ilvl w:val="0"/>
        <w:numId w:val="5"/>
      </w:numPr>
      <w:tabs>
        <w:tab w:val="clear" w:pos="1200"/>
      </w:tabs>
      <w:autoSpaceDE/>
      <w:autoSpaceDN/>
      <w:adjustRightInd/>
      <w:ind w:left="0" w:leftChars="0" w:firstLine="0" w:firstLineChars="0"/>
    </w:pPr>
    <w:rPr>
      <w:rFonts w:ascii="Tahoma" w:hAnsi="Tahoma"/>
      <w:color w:val="auto"/>
      <w:kern w:val="2"/>
      <w:sz w:val="24"/>
      <w:szCs w:val="20"/>
    </w:rPr>
  </w:style>
  <w:style w:type="paragraph" w:customStyle="1" w:styleId="128">
    <w:name w:val="p0"/>
    <w:basedOn w:val="1"/>
    <w:uiPriority w:val="0"/>
    <w:pPr>
      <w:widowControl/>
      <w:autoSpaceDE/>
      <w:autoSpaceDN/>
      <w:adjustRightInd/>
      <w:snapToGrid w:val="0"/>
      <w:spacing w:after="200" w:afterLines="0"/>
      <w:jc w:val="left"/>
    </w:pPr>
    <w:rPr>
      <w:rFonts w:ascii="Tahoma" w:hAnsi="Tahoma" w:cs="Tahoma"/>
      <w:color w:val="auto"/>
      <w:sz w:val="22"/>
      <w:szCs w:val="22"/>
    </w:rPr>
  </w:style>
  <w:style w:type="paragraph" w:customStyle="1" w:styleId="129">
    <w:name w:val="p16"/>
    <w:basedOn w:val="1"/>
    <w:uiPriority w:val="0"/>
    <w:pPr>
      <w:widowControl/>
      <w:autoSpaceDE/>
      <w:autoSpaceDN/>
      <w:adjustRightInd/>
    </w:pPr>
    <w:rPr>
      <w:color w:val="auto"/>
      <w:sz w:val="24"/>
      <w:szCs w:val="24"/>
    </w:rPr>
  </w:style>
  <w:style w:type="paragraph" w:customStyle="1" w:styleId="130">
    <w:name w:val="自动更正"/>
    <w:uiPriority w:val="0"/>
    <w:pPr>
      <w:widowControl w:val="0"/>
      <w:jc w:val="both"/>
    </w:pPr>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media/image1.png" Type="http://schemas.openxmlformats.org/officeDocument/2006/relationships/imag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4859</Words>
  <Characters>27697</Characters>
  <Lines>230</Lines>
  <Paragraphs>64</Paragraphs>
  <TotalTime>5</TotalTime>
  <ScaleCrop>false</ScaleCrop>
  <LinksUpToDate>false</LinksUpToDate>
  <CharactersWithSpaces>32492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2018-10-25T07:15:00Z</dcterms:created>
  <dc:creator>lenovo9</dc:creator>
  <cp:lastModifiedBy>WPS_1701756769</cp:lastModifiedBy>
  <cp:lastPrinted>2018-11-12T05:33:27Z</cp:lastPrinted>
  <dcterms:modified xsi:type="dcterms:W3CDTF">2024-02-23T02:10:04Z</dcterms:modified>
  <cp:revision>14</cp:revision>
  <dc:title>标的一：2016-2017年诸暨市行政事业单位定点会计检查、审计等服务采购项目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1541516750</vt:lpwstr>
  </property>
  <property fmtid="{D5CDD505-2E9C-101B-9397-08002B2CF9AE}" pid="6" name="_2015_ms_pID_725343">
    <vt:lpwstr>(2)npUrE333EjqQuZp8oL6K0K2HLnOSZFVMtqJssmZFy0BLs97YN0bWvh4417mWIQusJ0tZUeQv
nrLZapYrsVYGSHEC7bo3grQn7bRuITunVLrSUvE7QtGGjeVVZ8bMoIhJJVtzKJZobkZ1z+0+
27RccoVLFQA8kB4DD5b9cPo+6S0mxu/w1iILIpjveViecb6poWfQ0zSITt4tVUdhMYDpFvsd
fPb12YZ9e5g7bwvcaj</vt:lpwstr>
  </property>
  <property fmtid="{D5CDD505-2E9C-101B-9397-08002B2CF9AE}" pid="7" name="_2015_ms_pID_7253431">
    <vt:lpwstr>FfJGMWJXQVo82kiC/M3RC7gPDF1IAxNvKplXS679Wub/isxZCWEsh3
kNqpRcPWZ6JI+0zFffmRUoytOA04deOpvTF9haL1vN2tnxgC6ksUCm4tu16cZYDzwfiKiOtw
9V6afRDrwWdD7oFCqeb2dzTGzev5uXsIepLCb82+ecTp5mX6ifL/X6kyMJLT1MezBYaSD+rH
WXVgpydWutYYEVSV</vt:lpwstr>
  </property>
  <property fmtid="{D5CDD505-2E9C-101B-9397-08002B2CF9AE}" pid="8" name="KSOProductBuildVer">
    <vt:lpwstr>2052-12.1.0.16388</vt:lpwstr>
  </property>
  <property fmtid="{D5CDD505-2E9C-101B-9397-08002B2CF9AE}" pid="9" name="ICV">
    <vt:lpwstr>D3625D58305F4C7ABB006EB62E8F95B4_13</vt:lpwstr>
  </property>
</Properties>
</file>