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jc w:val="center"/>
        <w:outlineLvl w:val="0"/>
        <w:rPr>
          <w:rFonts w:cs="Arial" w:asciiTheme="majorEastAsia" w:hAnsiTheme="majorEastAsia" w:eastAsiaTheme="majorEastAsia"/>
          <w:b/>
          <w:color w:val="auto"/>
          <w:spacing w:val="-12"/>
          <w:sz w:val="48"/>
          <w:szCs w:val="48"/>
        </w:rPr>
      </w:pPr>
      <w:r>
        <w:rPr>
          <w:rFonts w:hint="eastAsia" w:cs="Arial" w:asciiTheme="majorEastAsia" w:hAnsiTheme="majorEastAsia" w:eastAsiaTheme="majorEastAsia"/>
          <w:b/>
          <w:color w:val="auto"/>
          <w:spacing w:val="-12"/>
          <w:sz w:val="48"/>
          <w:szCs w:val="48"/>
          <w:lang w:eastAsia="zh-CN"/>
        </w:rPr>
        <w:t>绍兴银行“数智绍芯”工程咨询服务项目</w:t>
      </w:r>
    </w:p>
    <w:p>
      <w:pPr>
        <w:shd w:val="clear"/>
        <w:outlineLvl w:val="0"/>
        <w:rPr>
          <w:rFonts w:asciiTheme="majorEastAsia" w:hAnsiTheme="majorEastAsia" w:eastAsiaTheme="majorEastAsia"/>
          <w:color w:val="auto"/>
          <w:sz w:val="44"/>
        </w:rPr>
      </w:pPr>
    </w:p>
    <w:p>
      <w:pPr>
        <w:shd w:val="clear"/>
        <w:outlineLvl w:val="0"/>
        <w:rPr>
          <w:rFonts w:asciiTheme="majorEastAsia" w:hAnsiTheme="majorEastAsia" w:eastAsiaTheme="majorEastAsia"/>
          <w:color w:val="auto"/>
          <w:sz w:val="44"/>
        </w:rPr>
      </w:pPr>
    </w:p>
    <w:p>
      <w:pPr>
        <w:shd w:val="clear"/>
        <w:jc w:val="center"/>
        <w:outlineLvl w:val="0"/>
        <w:rPr>
          <w:rFonts w:cs="Arial" w:asciiTheme="majorEastAsia" w:hAnsiTheme="majorEastAsia" w:eastAsiaTheme="majorEastAsia"/>
          <w:b/>
          <w:color w:val="auto"/>
          <w:sz w:val="72"/>
          <w:szCs w:val="72"/>
        </w:rPr>
      </w:pPr>
      <w:r>
        <w:rPr>
          <w:rFonts w:hint="eastAsia" w:cs="Arial" w:asciiTheme="majorEastAsia" w:hAnsiTheme="majorEastAsia" w:eastAsiaTheme="majorEastAsia"/>
          <w:b/>
          <w:color w:val="auto"/>
          <w:sz w:val="72"/>
          <w:szCs w:val="72"/>
        </w:rPr>
        <w:t>竞</w:t>
      </w:r>
    </w:p>
    <w:p>
      <w:pPr>
        <w:shd w:val="clear"/>
        <w:jc w:val="center"/>
        <w:outlineLvl w:val="0"/>
        <w:rPr>
          <w:rFonts w:cs="Arial" w:asciiTheme="majorEastAsia" w:hAnsiTheme="majorEastAsia" w:eastAsiaTheme="majorEastAsia"/>
          <w:b/>
          <w:color w:val="auto"/>
          <w:sz w:val="72"/>
          <w:szCs w:val="72"/>
        </w:rPr>
      </w:pPr>
      <w:r>
        <w:rPr>
          <w:rFonts w:hint="eastAsia" w:cs="Arial" w:asciiTheme="majorEastAsia" w:hAnsiTheme="majorEastAsia" w:eastAsiaTheme="majorEastAsia"/>
          <w:b/>
          <w:color w:val="auto"/>
          <w:sz w:val="72"/>
          <w:szCs w:val="72"/>
        </w:rPr>
        <w:t>争</w:t>
      </w:r>
    </w:p>
    <w:p>
      <w:pPr>
        <w:shd w:val="clear"/>
        <w:jc w:val="center"/>
        <w:outlineLvl w:val="0"/>
        <w:rPr>
          <w:rFonts w:cs="Arial" w:asciiTheme="majorEastAsia" w:hAnsiTheme="majorEastAsia" w:eastAsiaTheme="majorEastAsia"/>
          <w:b/>
          <w:color w:val="auto"/>
          <w:sz w:val="72"/>
          <w:szCs w:val="72"/>
        </w:rPr>
      </w:pPr>
      <w:r>
        <w:rPr>
          <w:rFonts w:hint="eastAsia" w:cs="Arial" w:asciiTheme="majorEastAsia" w:hAnsiTheme="majorEastAsia" w:eastAsiaTheme="majorEastAsia"/>
          <w:b/>
          <w:color w:val="auto"/>
          <w:sz w:val="72"/>
          <w:szCs w:val="72"/>
        </w:rPr>
        <w:t>性</w:t>
      </w:r>
    </w:p>
    <w:p>
      <w:pPr>
        <w:shd w:val="clear"/>
        <w:jc w:val="center"/>
        <w:outlineLvl w:val="0"/>
        <w:rPr>
          <w:rFonts w:cs="Arial" w:asciiTheme="majorEastAsia" w:hAnsiTheme="majorEastAsia" w:eastAsiaTheme="majorEastAsia"/>
          <w:b/>
          <w:color w:val="auto"/>
          <w:sz w:val="72"/>
          <w:szCs w:val="72"/>
        </w:rPr>
      </w:pPr>
      <w:r>
        <w:rPr>
          <w:rFonts w:hint="eastAsia" w:cs="Arial" w:asciiTheme="majorEastAsia" w:hAnsiTheme="majorEastAsia" w:eastAsiaTheme="majorEastAsia"/>
          <w:b/>
          <w:color w:val="auto"/>
          <w:sz w:val="72"/>
          <w:szCs w:val="72"/>
        </w:rPr>
        <w:t>磋</w:t>
      </w:r>
    </w:p>
    <w:p>
      <w:pPr>
        <w:shd w:val="clear"/>
        <w:jc w:val="center"/>
        <w:outlineLvl w:val="0"/>
        <w:rPr>
          <w:rFonts w:cs="Arial" w:asciiTheme="majorEastAsia" w:hAnsiTheme="majorEastAsia" w:eastAsiaTheme="majorEastAsia"/>
          <w:b/>
          <w:color w:val="auto"/>
          <w:sz w:val="72"/>
          <w:szCs w:val="72"/>
        </w:rPr>
      </w:pPr>
      <w:r>
        <w:rPr>
          <w:rFonts w:hint="eastAsia" w:cs="Arial" w:asciiTheme="majorEastAsia" w:hAnsiTheme="majorEastAsia" w:eastAsiaTheme="majorEastAsia"/>
          <w:b/>
          <w:color w:val="auto"/>
          <w:sz w:val="72"/>
          <w:szCs w:val="72"/>
        </w:rPr>
        <w:t>商</w:t>
      </w:r>
    </w:p>
    <w:p>
      <w:pPr>
        <w:shd w:val="clear"/>
        <w:jc w:val="center"/>
        <w:outlineLvl w:val="0"/>
        <w:rPr>
          <w:rFonts w:cs="Arial" w:asciiTheme="majorEastAsia" w:hAnsiTheme="majorEastAsia" w:eastAsiaTheme="majorEastAsia"/>
          <w:b/>
          <w:color w:val="auto"/>
          <w:sz w:val="72"/>
          <w:szCs w:val="72"/>
        </w:rPr>
      </w:pPr>
      <w:r>
        <w:rPr>
          <w:rFonts w:hint="eastAsia" w:cs="Arial" w:asciiTheme="majorEastAsia" w:hAnsiTheme="majorEastAsia" w:eastAsiaTheme="majorEastAsia"/>
          <w:b/>
          <w:color w:val="auto"/>
          <w:sz w:val="72"/>
          <w:szCs w:val="72"/>
        </w:rPr>
        <w:t>文</w:t>
      </w:r>
    </w:p>
    <w:p>
      <w:pPr>
        <w:shd w:val="clear"/>
        <w:jc w:val="center"/>
        <w:outlineLvl w:val="0"/>
        <w:rPr>
          <w:rFonts w:cs="Arial" w:asciiTheme="majorEastAsia" w:hAnsiTheme="majorEastAsia" w:eastAsiaTheme="majorEastAsia"/>
          <w:b/>
          <w:color w:val="auto"/>
          <w:sz w:val="72"/>
          <w:szCs w:val="72"/>
        </w:rPr>
      </w:pPr>
      <w:r>
        <w:rPr>
          <w:rFonts w:hint="eastAsia" w:cs="Arial" w:asciiTheme="majorEastAsia" w:hAnsiTheme="majorEastAsia" w:eastAsiaTheme="majorEastAsia"/>
          <w:b/>
          <w:color w:val="auto"/>
          <w:sz w:val="72"/>
          <w:szCs w:val="72"/>
        </w:rPr>
        <w:t>件</w:t>
      </w:r>
    </w:p>
    <w:p>
      <w:pPr>
        <w:shd w:val="clear"/>
        <w:jc w:val="center"/>
        <w:outlineLvl w:val="0"/>
        <w:rPr>
          <w:rFonts w:asciiTheme="majorEastAsia" w:hAnsiTheme="majorEastAsia" w:eastAsiaTheme="majorEastAsia"/>
          <w:color w:val="auto"/>
          <w:sz w:val="44"/>
        </w:rPr>
      </w:pPr>
    </w:p>
    <w:p>
      <w:pPr>
        <w:shd w:val="clear"/>
        <w:jc w:val="center"/>
        <w:rPr>
          <w:rFonts w:asciiTheme="majorEastAsia" w:hAnsiTheme="majorEastAsia" w:eastAsiaTheme="majorEastAsia"/>
          <w:color w:val="auto"/>
          <w:sz w:val="28"/>
          <w:szCs w:val="28"/>
        </w:rPr>
      </w:pPr>
      <w:r>
        <w:rPr>
          <w:rFonts w:hint="eastAsia" w:asciiTheme="majorEastAsia" w:hAnsiTheme="majorEastAsia" w:eastAsiaTheme="majorEastAsia"/>
          <w:color w:val="auto"/>
          <w:sz w:val="28"/>
          <w:szCs w:val="28"/>
        </w:rPr>
        <w:t>磋商编号: CGSHZJ-2023-N000823</w:t>
      </w:r>
    </w:p>
    <w:tbl>
      <w:tblPr>
        <w:tblStyle w:val="90"/>
        <w:tblW w:w="6863" w:type="dxa"/>
        <w:jc w:val="center"/>
        <w:tblLayout w:type="fixed"/>
        <w:tblCellMar>
          <w:top w:w="0" w:type="dxa"/>
          <w:left w:w="108" w:type="dxa"/>
          <w:bottom w:w="0" w:type="dxa"/>
          <w:right w:w="108" w:type="dxa"/>
        </w:tblCellMar>
      </w:tblPr>
      <w:tblGrid>
        <w:gridCol w:w="2356"/>
        <w:gridCol w:w="4507"/>
      </w:tblGrid>
      <w:tr>
        <w:tblPrEx>
          <w:tblCellMar>
            <w:top w:w="0" w:type="dxa"/>
            <w:left w:w="108" w:type="dxa"/>
            <w:bottom w:w="0" w:type="dxa"/>
            <w:right w:w="108" w:type="dxa"/>
          </w:tblCellMar>
        </w:tblPrEx>
        <w:trPr>
          <w:trHeight w:val="548" w:hRule="atLeast"/>
          <w:jc w:val="center"/>
        </w:trPr>
        <w:tc>
          <w:tcPr>
            <w:tcW w:w="2356" w:type="dxa"/>
            <w:tcBorders>
              <w:top w:val="nil"/>
              <w:left w:val="nil"/>
              <w:bottom w:val="nil"/>
              <w:right w:val="nil"/>
            </w:tcBorders>
            <w:noWrap/>
          </w:tcPr>
          <w:p>
            <w:pPr>
              <w:pStyle w:val="294"/>
              <w:shd w:val="clear"/>
              <w:spacing w:after="100" w:afterAutospacing="1" w:line="440" w:lineRule="exact"/>
              <w:rPr>
                <w:rFonts w:asciiTheme="majorEastAsia" w:hAnsiTheme="majorEastAsia" w:eastAsiaTheme="majorEastAsia"/>
                <w:color w:val="auto"/>
                <w:kern w:val="2"/>
                <w:sz w:val="28"/>
                <w:szCs w:val="28"/>
              </w:rPr>
            </w:pPr>
          </w:p>
        </w:tc>
        <w:tc>
          <w:tcPr>
            <w:tcW w:w="4507" w:type="dxa"/>
            <w:tcBorders>
              <w:top w:val="nil"/>
              <w:left w:val="nil"/>
              <w:bottom w:val="nil"/>
              <w:right w:val="nil"/>
            </w:tcBorders>
            <w:noWrap/>
            <w:vAlign w:val="bottom"/>
          </w:tcPr>
          <w:p>
            <w:pPr>
              <w:pStyle w:val="294"/>
              <w:shd w:val="clear"/>
              <w:spacing w:line="320" w:lineRule="exact"/>
              <w:outlineLvl w:val="0"/>
              <w:rPr>
                <w:rFonts w:asciiTheme="majorEastAsia" w:hAnsiTheme="majorEastAsia" w:eastAsiaTheme="majorEastAsia"/>
                <w:color w:val="auto"/>
                <w:kern w:val="2"/>
                <w:sz w:val="28"/>
                <w:szCs w:val="28"/>
              </w:rPr>
            </w:pPr>
          </w:p>
        </w:tc>
      </w:tr>
      <w:tr>
        <w:tblPrEx>
          <w:tblCellMar>
            <w:top w:w="0" w:type="dxa"/>
            <w:left w:w="108" w:type="dxa"/>
            <w:bottom w:w="0" w:type="dxa"/>
            <w:right w:w="108" w:type="dxa"/>
          </w:tblCellMar>
        </w:tblPrEx>
        <w:trPr>
          <w:trHeight w:val="610" w:hRule="atLeast"/>
          <w:jc w:val="center"/>
        </w:trPr>
        <w:tc>
          <w:tcPr>
            <w:tcW w:w="2356" w:type="dxa"/>
            <w:tcBorders>
              <w:top w:val="nil"/>
              <w:left w:val="nil"/>
              <w:bottom w:val="nil"/>
              <w:right w:val="nil"/>
            </w:tcBorders>
            <w:noWrap/>
            <w:vAlign w:val="center"/>
          </w:tcPr>
          <w:p>
            <w:pPr>
              <w:pStyle w:val="294"/>
              <w:shd w:val="clear"/>
              <w:spacing w:after="100" w:afterAutospacing="1" w:line="440" w:lineRule="exact"/>
              <w:jc w:val="both"/>
              <w:rPr>
                <w:rFonts w:asciiTheme="majorEastAsia" w:hAnsiTheme="majorEastAsia" w:eastAsiaTheme="majorEastAsia"/>
                <w:color w:val="auto"/>
                <w:kern w:val="2"/>
                <w:sz w:val="28"/>
                <w:szCs w:val="28"/>
              </w:rPr>
            </w:pPr>
            <w:r>
              <w:rPr>
                <w:rFonts w:asciiTheme="majorEastAsia" w:hAnsiTheme="majorEastAsia" w:eastAsiaTheme="majorEastAsia"/>
                <w:color w:val="auto"/>
                <w:spacing w:val="93"/>
                <w:kern w:val="2"/>
                <w:sz w:val="28"/>
                <w:szCs w:val="28"/>
              </w:rPr>
              <w:t>采购单</w:t>
            </w:r>
            <w:r>
              <w:rPr>
                <w:rFonts w:asciiTheme="majorEastAsia" w:hAnsiTheme="majorEastAsia" w:eastAsiaTheme="majorEastAsia"/>
                <w:color w:val="auto"/>
                <w:spacing w:val="1"/>
                <w:kern w:val="2"/>
                <w:sz w:val="28"/>
                <w:szCs w:val="28"/>
              </w:rPr>
              <w:t>位</w:t>
            </w:r>
            <w:r>
              <w:rPr>
                <w:rFonts w:asciiTheme="majorEastAsia" w:hAnsiTheme="majorEastAsia" w:eastAsiaTheme="majorEastAsia"/>
                <w:color w:val="auto"/>
                <w:kern w:val="2"/>
                <w:sz w:val="28"/>
                <w:szCs w:val="28"/>
              </w:rPr>
              <w:t>：</w:t>
            </w:r>
          </w:p>
        </w:tc>
        <w:tc>
          <w:tcPr>
            <w:tcW w:w="4507" w:type="dxa"/>
            <w:tcBorders>
              <w:top w:val="nil"/>
              <w:left w:val="nil"/>
              <w:bottom w:val="nil"/>
              <w:right w:val="nil"/>
            </w:tcBorders>
            <w:noWrap/>
            <w:vAlign w:val="center"/>
          </w:tcPr>
          <w:p>
            <w:pPr>
              <w:pStyle w:val="294"/>
              <w:shd w:val="clear"/>
              <w:spacing w:after="100" w:afterAutospacing="1" w:line="440" w:lineRule="exact"/>
              <w:jc w:val="both"/>
              <w:rPr>
                <w:rFonts w:hint="eastAsia" w:asciiTheme="majorEastAsia" w:hAnsiTheme="majorEastAsia" w:eastAsiaTheme="majorEastAsia"/>
                <w:color w:val="auto"/>
                <w:kern w:val="2"/>
                <w:sz w:val="28"/>
                <w:szCs w:val="28"/>
                <w:lang w:eastAsia="zh-CN"/>
              </w:rPr>
            </w:pPr>
            <w:r>
              <w:rPr>
                <w:rFonts w:hint="eastAsia" w:asciiTheme="majorEastAsia" w:hAnsiTheme="majorEastAsia" w:eastAsiaTheme="majorEastAsia"/>
                <w:color w:val="auto"/>
                <w:kern w:val="2"/>
                <w:sz w:val="28"/>
                <w:szCs w:val="28"/>
                <w:lang w:eastAsia="zh-CN"/>
              </w:rPr>
              <w:t>绍兴银行股份有限公司</w:t>
            </w:r>
          </w:p>
        </w:tc>
      </w:tr>
      <w:tr>
        <w:tblPrEx>
          <w:tblCellMar>
            <w:top w:w="0" w:type="dxa"/>
            <w:left w:w="108" w:type="dxa"/>
            <w:bottom w:w="0" w:type="dxa"/>
            <w:right w:w="108" w:type="dxa"/>
          </w:tblCellMar>
        </w:tblPrEx>
        <w:trPr>
          <w:trHeight w:val="526" w:hRule="atLeast"/>
          <w:jc w:val="center"/>
        </w:trPr>
        <w:tc>
          <w:tcPr>
            <w:tcW w:w="2356" w:type="dxa"/>
            <w:tcBorders>
              <w:top w:val="nil"/>
              <w:left w:val="nil"/>
              <w:bottom w:val="nil"/>
              <w:right w:val="nil"/>
            </w:tcBorders>
            <w:noWrap/>
            <w:vAlign w:val="center"/>
          </w:tcPr>
          <w:p>
            <w:pPr>
              <w:pStyle w:val="294"/>
              <w:shd w:val="clear"/>
              <w:spacing w:after="100" w:afterAutospacing="1" w:line="440" w:lineRule="exact"/>
              <w:jc w:val="both"/>
              <w:rPr>
                <w:rFonts w:asciiTheme="majorEastAsia" w:hAnsiTheme="majorEastAsia" w:eastAsiaTheme="majorEastAsia"/>
                <w:color w:val="auto"/>
                <w:kern w:val="2"/>
                <w:sz w:val="28"/>
                <w:szCs w:val="28"/>
              </w:rPr>
            </w:pPr>
            <w:r>
              <w:rPr>
                <w:rFonts w:asciiTheme="majorEastAsia" w:hAnsiTheme="majorEastAsia" w:eastAsiaTheme="majorEastAsia"/>
                <w:color w:val="auto"/>
                <w:kern w:val="2"/>
                <w:sz w:val="28"/>
                <w:szCs w:val="28"/>
              </w:rPr>
              <w:t>招标代理单位：</w:t>
            </w:r>
          </w:p>
        </w:tc>
        <w:tc>
          <w:tcPr>
            <w:tcW w:w="4507" w:type="dxa"/>
            <w:tcBorders>
              <w:top w:val="nil"/>
              <w:left w:val="nil"/>
              <w:bottom w:val="nil"/>
              <w:right w:val="nil"/>
            </w:tcBorders>
            <w:noWrap/>
            <w:vAlign w:val="center"/>
          </w:tcPr>
          <w:p>
            <w:pPr>
              <w:pStyle w:val="294"/>
              <w:shd w:val="clear"/>
              <w:spacing w:after="100" w:afterAutospacing="1" w:line="440" w:lineRule="exact"/>
              <w:jc w:val="both"/>
              <w:rPr>
                <w:rFonts w:hint="eastAsia" w:asciiTheme="majorEastAsia" w:hAnsiTheme="majorEastAsia" w:eastAsiaTheme="majorEastAsia"/>
                <w:color w:val="auto"/>
                <w:kern w:val="2"/>
                <w:sz w:val="28"/>
                <w:szCs w:val="28"/>
                <w:lang w:eastAsia="zh-CN"/>
              </w:rPr>
            </w:pPr>
            <w:r>
              <w:rPr>
                <w:rFonts w:hint="eastAsia" w:asciiTheme="majorEastAsia" w:hAnsiTheme="majorEastAsia" w:eastAsiaTheme="majorEastAsia"/>
                <w:color w:val="auto"/>
                <w:kern w:val="2"/>
                <w:sz w:val="28"/>
                <w:szCs w:val="28"/>
                <w:lang w:eastAsia="zh-CN"/>
              </w:rPr>
              <w:t>浙江华元工程咨询有限公司</w:t>
            </w:r>
          </w:p>
        </w:tc>
      </w:tr>
      <w:tr>
        <w:tblPrEx>
          <w:tblCellMar>
            <w:top w:w="0" w:type="dxa"/>
            <w:left w:w="108" w:type="dxa"/>
            <w:bottom w:w="0" w:type="dxa"/>
            <w:right w:w="108" w:type="dxa"/>
          </w:tblCellMar>
        </w:tblPrEx>
        <w:trPr>
          <w:trHeight w:val="988" w:hRule="atLeast"/>
          <w:jc w:val="center"/>
        </w:trPr>
        <w:tc>
          <w:tcPr>
            <w:tcW w:w="2356" w:type="dxa"/>
            <w:tcBorders>
              <w:top w:val="nil"/>
              <w:left w:val="nil"/>
              <w:bottom w:val="nil"/>
              <w:right w:val="nil"/>
            </w:tcBorders>
            <w:noWrap/>
            <w:vAlign w:val="center"/>
          </w:tcPr>
          <w:p>
            <w:pPr>
              <w:pStyle w:val="294"/>
              <w:shd w:val="clear"/>
              <w:spacing w:after="100" w:afterAutospacing="1" w:line="440" w:lineRule="exact"/>
              <w:jc w:val="both"/>
              <w:rPr>
                <w:rFonts w:asciiTheme="majorEastAsia" w:hAnsiTheme="majorEastAsia" w:eastAsiaTheme="majorEastAsia"/>
                <w:color w:val="auto"/>
                <w:kern w:val="2"/>
                <w:sz w:val="28"/>
                <w:szCs w:val="28"/>
              </w:rPr>
            </w:pPr>
            <w:r>
              <w:rPr>
                <w:rFonts w:asciiTheme="majorEastAsia" w:hAnsiTheme="majorEastAsia" w:eastAsiaTheme="majorEastAsia"/>
                <w:color w:val="auto"/>
                <w:spacing w:val="93"/>
                <w:kern w:val="2"/>
                <w:sz w:val="28"/>
                <w:szCs w:val="28"/>
              </w:rPr>
              <w:t>监督单</w:t>
            </w:r>
            <w:r>
              <w:rPr>
                <w:rFonts w:asciiTheme="majorEastAsia" w:hAnsiTheme="majorEastAsia" w:eastAsiaTheme="majorEastAsia"/>
                <w:color w:val="auto"/>
                <w:spacing w:val="1"/>
                <w:kern w:val="2"/>
                <w:sz w:val="28"/>
                <w:szCs w:val="28"/>
              </w:rPr>
              <w:t>位</w:t>
            </w:r>
            <w:r>
              <w:rPr>
                <w:rFonts w:asciiTheme="majorEastAsia" w:hAnsiTheme="majorEastAsia" w:eastAsiaTheme="majorEastAsia"/>
                <w:color w:val="auto"/>
                <w:kern w:val="2"/>
                <w:sz w:val="28"/>
                <w:szCs w:val="28"/>
              </w:rPr>
              <w:t>：</w:t>
            </w:r>
          </w:p>
        </w:tc>
        <w:tc>
          <w:tcPr>
            <w:tcW w:w="4507" w:type="dxa"/>
            <w:tcBorders>
              <w:top w:val="nil"/>
              <w:left w:val="nil"/>
              <w:bottom w:val="nil"/>
              <w:right w:val="nil"/>
            </w:tcBorders>
            <w:noWrap/>
            <w:vAlign w:val="center"/>
          </w:tcPr>
          <w:p>
            <w:pPr>
              <w:pStyle w:val="294"/>
              <w:shd w:val="clear"/>
              <w:spacing w:after="100" w:afterAutospacing="1" w:line="440" w:lineRule="exact"/>
              <w:jc w:val="both"/>
              <w:rPr>
                <w:rFonts w:hint="default"/>
                <w:lang w:val="en-US" w:eastAsia="zh-CN"/>
              </w:rPr>
            </w:pPr>
            <w:r>
              <w:rPr>
                <w:rFonts w:hint="eastAsia" w:asciiTheme="majorEastAsia" w:hAnsiTheme="majorEastAsia" w:eastAsiaTheme="majorEastAsia"/>
                <w:color w:val="auto"/>
                <w:kern w:val="2"/>
                <w:sz w:val="28"/>
                <w:szCs w:val="28"/>
                <w:lang w:val="en-US" w:eastAsia="zh-CN"/>
              </w:rPr>
              <w:t>中共绍兴市纪委绍兴市监委驻   绍兴银行股份有限公司纪检监察组</w:t>
            </w:r>
          </w:p>
        </w:tc>
      </w:tr>
      <w:tr>
        <w:tblPrEx>
          <w:tblCellMar>
            <w:top w:w="0" w:type="dxa"/>
            <w:left w:w="108" w:type="dxa"/>
            <w:bottom w:w="0" w:type="dxa"/>
            <w:right w:w="108" w:type="dxa"/>
          </w:tblCellMar>
        </w:tblPrEx>
        <w:trPr>
          <w:trHeight w:val="680" w:hRule="atLeast"/>
          <w:jc w:val="center"/>
        </w:trPr>
        <w:tc>
          <w:tcPr>
            <w:tcW w:w="2356" w:type="dxa"/>
            <w:tcBorders>
              <w:top w:val="nil"/>
              <w:left w:val="nil"/>
              <w:bottom w:val="nil"/>
              <w:right w:val="nil"/>
            </w:tcBorders>
            <w:noWrap/>
            <w:vAlign w:val="center"/>
          </w:tcPr>
          <w:p>
            <w:pPr>
              <w:pStyle w:val="294"/>
              <w:shd w:val="clear"/>
              <w:spacing w:after="100" w:afterAutospacing="1" w:line="440" w:lineRule="exact"/>
              <w:jc w:val="both"/>
              <w:rPr>
                <w:rFonts w:asciiTheme="majorEastAsia" w:hAnsiTheme="majorEastAsia" w:eastAsiaTheme="majorEastAsia"/>
                <w:color w:val="auto"/>
                <w:kern w:val="2"/>
                <w:sz w:val="28"/>
                <w:szCs w:val="28"/>
              </w:rPr>
            </w:pPr>
          </w:p>
        </w:tc>
        <w:tc>
          <w:tcPr>
            <w:tcW w:w="4507" w:type="dxa"/>
            <w:tcBorders>
              <w:top w:val="nil"/>
              <w:left w:val="nil"/>
              <w:bottom w:val="nil"/>
              <w:right w:val="nil"/>
            </w:tcBorders>
            <w:noWrap/>
            <w:vAlign w:val="center"/>
          </w:tcPr>
          <w:p>
            <w:pPr>
              <w:pStyle w:val="294"/>
              <w:shd w:val="clear"/>
              <w:spacing w:after="100" w:afterAutospacing="1" w:line="440" w:lineRule="exact"/>
              <w:jc w:val="both"/>
              <w:rPr>
                <w:rFonts w:asciiTheme="majorEastAsia" w:hAnsiTheme="majorEastAsia" w:eastAsiaTheme="majorEastAsia"/>
                <w:color w:val="auto"/>
                <w:kern w:val="2"/>
                <w:sz w:val="28"/>
                <w:szCs w:val="28"/>
              </w:rPr>
            </w:pPr>
            <w:r>
              <w:rPr>
                <w:rFonts w:asciiTheme="majorEastAsia" w:hAnsiTheme="majorEastAsia" w:eastAsiaTheme="majorEastAsia"/>
                <w:color w:val="auto"/>
                <w:kern w:val="2"/>
                <w:sz w:val="28"/>
                <w:szCs w:val="28"/>
              </w:rPr>
              <w:t>二○二</w:t>
            </w:r>
            <w:r>
              <w:rPr>
                <w:rFonts w:hint="eastAsia" w:asciiTheme="majorEastAsia" w:hAnsiTheme="majorEastAsia" w:eastAsiaTheme="majorEastAsia"/>
                <w:color w:val="auto"/>
                <w:kern w:val="2"/>
                <w:sz w:val="28"/>
                <w:szCs w:val="28"/>
              </w:rPr>
              <w:t>三</w:t>
            </w:r>
            <w:r>
              <w:rPr>
                <w:rFonts w:asciiTheme="majorEastAsia" w:hAnsiTheme="majorEastAsia" w:eastAsiaTheme="majorEastAsia"/>
                <w:color w:val="auto"/>
                <w:kern w:val="2"/>
                <w:sz w:val="28"/>
                <w:szCs w:val="28"/>
              </w:rPr>
              <w:t>年</w:t>
            </w:r>
            <w:r>
              <w:rPr>
                <w:rFonts w:hint="eastAsia" w:asciiTheme="majorEastAsia" w:hAnsiTheme="majorEastAsia" w:eastAsiaTheme="majorEastAsia"/>
                <w:color w:val="auto"/>
                <w:kern w:val="2"/>
                <w:sz w:val="28"/>
                <w:szCs w:val="28"/>
                <w:lang w:eastAsia="zh-CN"/>
              </w:rPr>
              <w:t>三</w:t>
            </w:r>
            <w:r>
              <w:rPr>
                <w:rFonts w:asciiTheme="majorEastAsia" w:hAnsiTheme="majorEastAsia" w:eastAsiaTheme="majorEastAsia"/>
                <w:color w:val="auto"/>
                <w:kern w:val="2"/>
                <w:sz w:val="28"/>
                <w:szCs w:val="28"/>
              </w:rPr>
              <w:t>月</w:t>
            </w:r>
          </w:p>
        </w:tc>
      </w:tr>
    </w:tbl>
    <w:p>
      <w:pPr>
        <w:shd w:val="clear"/>
        <w:jc w:val="center"/>
        <w:rPr>
          <w:rFonts w:asciiTheme="majorEastAsia" w:hAnsiTheme="majorEastAsia" w:eastAsiaTheme="majorEastAsia"/>
          <w:b/>
          <w:color w:val="auto"/>
          <w:sz w:val="44"/>
          <w:szCs w:val="44"/>
        </w:rPr>
      </w:pPr>
    </w:p>
    <w:p>
      <w:pPr>
        <w:shd w:val="clear"/>
        <w:jc w:val="center"/>
        <w:rPr>
          <w:rFonts w:asciiTheme="majorEastAsia" w:hAnsiTheme="majorEastAsia" w:eastAsiaTheme="majorEastAsia"/>
          <w:b/>
          <w:color w:val="auto"/>
          <w:sz w:val="44"/>
          <w:szCs w:val="44"/>
        </w:rPr>
      </w:pPr>
    </w:p>
    <w:p>
      <w:pPr>
        <w:pStyle w:val="34"/>
        <w:rPr>
          <w:rFonts w:asciiTheme="majorEastAsia" w:hAnsiTheme="majorEastAsia" w:eastAsiaTheme="majorEastAsia"/>
          <w:b/>
          <w:color w:val="auto"/>
          <w:sz w:val="44"/>
          <w:szCs w:val="44"/>
        </w:rPr>
      </w:pPr>
    </w:p>
    <w:p>
      <w:pPr>
        <w:pStyle w:val="88"/>
      </w:pPr>
    </w:p>
    <w:p>
      <w:pPr>
        <w:shd w:val="clear"/>
        <w:ind w:right="1189" w:rightChars="566"/>
        <w:jc w:val="center"/>
        <w:rPr>
          <w:rFonts w:asciiTheme="majorEastAsia" w:hAnsiTheme="majorEastAsia" w:eastAsiaTheme="majorEastAsia"/>
          <w:b/>
          <w:color w:val="auto"/>
          <w:sz w:val="44"/>
          <w:szCs w:val="44"/>
        </w:rPr>
      </w:pPr>
      <w:r>
        <w:rPr>
          <w:rFonts w:hint="eastAsia" w:asciiTheme="majorEastAsia" w:hAnsiTheme="majorEastAsia" w:eastAsiaTheme="majorEastAsia"/>
          <w:b/>
          <w:color w:val="auto"/>
          <w:sz w:val="44"/>
          <w:szCs w:val="44"/>
        </w:rPr>
        <w:t xml:space="preserve">     目录</w:t>
      </w:r>
    </w:p>
    <w:p>
      <w:pPr>
        <w:shd w:val="clear"/>
        <w:jc w:val="center"/>
        <w:rPr>
          <w:rFonts w:asciiTheme="majorEastAsia" w:hAnsiTheme="majorEastAsia" w:eastAsiaTheme="majorEastAsia"/>
          <w:b/>
          <w:color w:val="auto"/>
          <w:sz w:val="44"/>
          <w:szCs w:val="44"/>
        </w:rPr>
      </w:pPr>
    </w:p>
    <w:p>
      <w:pPr>
        <w:shd w:val="clear"/>
        <w:jc w:val="center"/>
        <w:rPr>
          <w:rFonts w:asciiTheme="majorEastAsia" w:hAnsiTheme="majorEastAsia" w:eastAsiaTheme="majorEastAsia"/>
          <w:color w:val="auto"/>
        </w:rPr>
      </w:pPr>
    </w:p>
    <w:p>
      <w:pPr>
        <w:shd w:val="clear"/>
        <w:snapToGrid w:val="0"/>
        <w:spacing w:line="480" w:lineRule="auto"/>
        <w:ind w:firstLine="1276" w:firstLineChars="353"/>
        <w:jc w:val="left"/>
        <w:rPr>
          <w:rFonts w:asciiTheme="majorEastAsia" w:hAnsiTheme="majorEastAsia" w:eastAsiaTheme="majorEastAsia"/>
          <w:b/>
          <w:color w:val="auto"/>
          <w:sz w:val="36"/>
          <w:szCs w:val="36"/>
        </w:rPr>
      </w:pPr>
      <w:r>
        <w:rPr>
          <w:rFonts w:hint="eastAsia" w:asciiTheme="majorEastAsia" w:hAnsiTheme="majorEastAsia" w:eastAsiaTheme="majorEastAsia"/>
          <w:b/>
          <w:color w:val="auto"/>
          <w:sz w:val="36"/>
          <w:szCs w:val="36"/>
        </w:rPr>
        <w:t>第一部分    竞争性磋商公告</w:t>
      </w:r>
    </w:p>
    <w:p>
      <w:pPr>
        <w:shd w:val="clear"/>
        <w:snapToGrid w:val="0"/>
        <w:spacing w:line="480" w:lineRule="auto"/>
        <w:ind w:firstLine="1276" w:firstLineChars="353"/>
        <w:jc w:val="left"/>
        <w:rPr>
          <w:rFonts w:asciiTheme="majorEastAsia" w:hAnsiTheme="majorEastAsia" w:eastAsiaTheme="majorEastAsia"/>
          <w:b/>
          <w:color w:val="auto"/>
          <w:sz w:val="36"/>
          <w:szCs w:val="36"/>
        </w:rPr>
      </w:pPr>
      <w:r>
        <w:rPr>
          <w:rFonts w:hint="eastAsia" w:asciiTheme="majorEastAsia" w:hAnsiTheme="majorEastAsia" w:eastAsiaTheme="majorEastAsia"/>
          <w:b/>
          <w:color w:val="auto"/>
          <w:sz w:val="36"/>
          <w:szCs w:val="36"/>
        </w:rPr>
        <w:t>第二部分    磋商须知</w:t>
      </w:r>
    </w:p>
    <w:p>
      <w:pPr>
        <w:shd w:val="clear"/>
        <w:snapToGrid w:val="0"/>
        <w:spacing w:line="480" w:lineRule="auto"/>
        <w:ind w:firstLine="1276" w:firstLineChars="353"/>
        <w:jc w:val="left"/>
        <w:rPr>
          <w:rFonts w:asciiTheme="majorEastAsia" w:hAnsiTheme="majorEastAsia" w:eastAsiaTheme="majorEastAsia"/>
          <w:b/>
          <w:color w:val="auto"/>
          <w:sz w:val="36"/>
          <w:szCs w:val="36"/>
        </w:rPr>
      </w:pPr>
      <w:r>
        <w:rPr>
          <w:rFonts w:hint="eastAsia" w:asciiTheme="majorEastAsia" w:hAnsiTheme="majorEastAsia" w:eastAsiaTheme="majorEastAsia"/>
          <w:b/>
          <w:color w:val="auto"/>
          <w:sz w:val="36"/>
          <w:szCs w:val="36"/>
        </w:rPr>
        <w:t>第三部分    磋商项目范围及要求</w:t>
      </w:r>
    </w:p>
    <w:p>
      <w:pPr>
        <w:shd w:val="clear"/>
        <w:snapToGrid w:val="0"/>
        <w:spacing w:line="480" w:lineRule="auto"/>
        <w:ind w:firstLine="1276" w:firstLineChars="353"/>
        <w:jc w:val="left"/>
        <w:rPr>
          <w:rFonts w:asciiTheme="majorEastAsia" w:hAnsiTheme="majorEastAsia" w:eastAsiaTheme="majorEastAsia"/>
          <w:b/>
          <w:color w:val="auto"/>
          <w:sz w:val="36"/>
          <w:szCs w:val="36"/>
        </w:rPr>
      </w:pPr>
      <w:r>
        <w:rPr>
          <w:rFonts w:hint="eastAsia" w:asciiTheme="majorEastAsia" w:hAnsiTheme="majorEastAsia" w:eastAsiaTheme="majorEastAsia"/>
          <w:b/>
          <w:color w:val="auto"/>
          <w:sz w:val="36"/>
          <w:szCs w:val="36"/>
        </w:rPr>
        <w:t>第四部分    合同的主要条款</w:t>
      </w:r>
    </w:p>
    <w:p>
      <w:pPr>
        <w:shd w:val="clear"/>
        <w:snapToGrid w:val="0"/>
        <w:spacing w:line="480" w:lineRule="auto"/>
        <w:ind w:firstLine="1276" w:firstLineChars="353"/>
        <w:jc w:val="left"/>
        <w:rPr>
          <w:rFonts w:asciiTheme="majorEastAsia" w:hAnsiTheme="majorEastAsia" w:eastAsiaTheme="majorEastAsia"/>
          <w:b/>
          <w:color w:val="auto"/>
          <w:sz w:val="36"/>
          <w:szCs w:val="36"/>
        </w:rPr>
      </w:pPr>
      <w:r>
        <w:rPr>
          <w:rFonts w:hint="eastAsia" w:asciiTheme="majorEastAsia" w:hAnsiTheme="majorEastAsia" w:eastAsiaTheme="majorEastAsia"/>
          <w:b/>
          <w:color w:val="auto"/>
          <w:sz w:val="36"/>
          <w:szCs w:val="36"/>
        </w:rPr>
        <w:t>第五部分    磋商方法及标准</w:t>
      </w:r>
    </w:p>
    <w:p>
      <w:pPr>
        <w:shd w:val="clear"/>
        <w:snapToGrid w:val="0"/>
        <w:spacing w:line="480" w:lineRule="auto"/>
        <w:ind w:firstLine="1276" w:firstLineChars="353"/>
        <w:jc w:val="left"/>
        <w:rPr>
          <w:rFonts w:asciiTheme="majorEastAsia" w:hAnsiTheme="majorEastAsia" w:eastAsiaTheme="majorEastAsia"/>
          <w:b/>
          <w:color w:val="auto"/>
          <w:sz w:val="36"/>
          <w:szCs w:val="36"/>
        </w:rPr>
      </w:pPr>
      <w:r>
        <w:rPr>
          <w:rFonts w:hint="eastAsia" w:asciiTheme="majorEastAsia" w:hAnsiTheme="majorEastAsia" w:eastAsiaTheme="majorEastAsia"/>
          <w:b/>
          <w:color w:val="auto"/>
          <w:sz w:val="36"/>
          <w:szCs w:val="36"/>
        </w:rPr>
        <w:t>第六部分    磋商响应文件及其附件格式</w:t>
      </w:r>
    </w:p>
    <w:p>
      <w:pPr>
        <w:shd w:val="clear"/>
        <w:snapToGrid w:val="0"/>
        <w:spacing w:line="480" w:lineRule="auto"/>
        <w:jc w:val="left"/>
        <w:rPr>
          <w:rFonts w:asciiTheme="majorEastAsia" w:hAnsiTheme="majorEastAsia" w:eastAsiaTheme="majorEastAsia"/>
          <w:color w:val="auto"/>
          <w:sz w:val="36"/>
          <w:szCs w:val="36"/>
        </w:rPr>
      </w:pPr>
    </w:p>
    <w:p>
      <w:pPr>
        <w:shd w:val="clear"/>
        <w:snapToGrid w:val="0"/>
        <w:spacing w:line="480" w:lineRule="auto"/>
        <w:jc w:val="left"/>
        <w:rPr>
          <w:rFonts w:asciiTheme="majorEastAsia" w:hAnsiTheme="majorEastAsia" w:eastAsiaTheme="majorEastAsia"/>
          <w:color w:val="auto"/>
          <w:sz w:val="36"/>
          <w:szCs w:val="36"/>
        </w:rPr>
      </w:pPr>
    </w:p>
    <w:p>
      <w:pPr>
        <w:shd w:val="clear"/>
        <w:snapToGrid w:val="0"/>
        <w:spacing w:line="480" w:lineRule="auto"/>
        <w:jc w:val="left"/>
        <w:rPr>
          <w:rFonts w:asciiTheme="majorEastAsia" w:hAnsiTheme="majorEastAsia" w:eastAsiaTheme="majorEastAsia"/>
          <w:color w:val="auto"/>
          <w:sz w:val="36"/>
          <w:szCs w:val="36"/>
        </w:rPr>
      </w:pPr>
    </w:p>
    <w:p>
      <w:pPr>
        <w:shd w:val="clear"/>
        <w:snapToGrid w:val="0"/>
        <w:spacing w:line="480" w:lineRule="auto"/>
        <w:jc w:val="left"/>
        <w:rPr>
          <w:rFonts w:asciiTheme="majorEastAsia" w:hAnsiTheme="majorEastAsia" w:eastAsiaTheme="majorEastAsia"/>
          <w:color w:val="auto"/>
          <w:sz w:val="36"/>
          <w:szCs w:val="36"/>
        </w:rPr>
      </w:pPr>
    </w:p>
    <w:p>
      <w:pPr>
        <w:widowControl/>
        <w:shd w:val="clear"/>
        <w:jc w:val="left"/>
        <w:rPr>
          <w:rFonts w:asciiTheme="majorEastAsia" w:hAnsiTheme="majorEastAsia" w:eastAsiaTheme="majorEastAsia"/>
          <w:color w:val="auto"/>
          <w:sz w:val="36"/>
          <w:szCs w:val="36"/>
        </w:rPr>
      </w:pPr>
      <w:r>
        <w:rPr>
          <w:rFonts w:hint="eastAsia" w:asciiTheme="majorEastAsia" w:hAnsiTheme="majorEastAsia" w:eastAsiaTheme="majorEastAsia"/>
          <w:color w:val="auto"/>
          <w:sz w:val="36"/>
          <w:szCs w:val="36"/>
        </w:rPr>
        <w:br w:type="page"/>
      </w:r>
      <w:bookmarkStart w:id="235" w:name="_GoBack"/>
      <w:bookmarkEnd w:id="235"/>
    </w:p>
    <w:p>
      <w:pPr>
        <w:shd w:val="clear"/>
        <w:snapToGrid w:val="0"/>
        <w:spacing w:line="420" w:lineRule="exact"/>
        <w:jc w:val="center"/>
        <w:rPr>
          <w:rFonts w:asciiTheme="majorEastAsia" w:hAnsiTheme="majorEastAsia" w:eastAsiaTheme="majorEastAsia"/>
          <w:b/>
          <w:color w:val="auto"/>
          <w:sz w:val="36"/>
          <w:szCs w:val="36"/>
        </w:rPr>
      </w:pPr>
      <w:r>
        <w:rPr>
          <w:rFonts w:hint="eastAsia" w:asciiTheme="majorEastAsia" w:hAnsiTheme="majorEastAsia" w:eastAsiaTheme="majorEastAsia"/>
          <w:b/>
          <w:color w:val="auto"/>
          <w:sz w:val="36"/>
          <w:szCs w:val="36"/>
        </w:rPr>
        <w:t>第一部分 竞争性磋商公告</w:t>
      </w:r>
    </w:p>
    <w:p>
      <w:pPr>
        <w:shd w:val="clear"/>
        <w:rPr>
          <w:rFonts w:asciiTheme="majorEastAsia" w:hAnsiTheme="majorEastAsia" w:eastAsiaTheme="majorEastAsia"/>
          <w:color w:val="auto"/>
        </w:rPr>
      </w:pPr>
    </w:p>
    <w:tbl>
      <w:tblPr>
        <w:tblStyle w:val="90"/>
        <w:tblW w:w="8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trPr>
        <w:tc>
          <w:tcPr>
            <w:tcW w:w="8612" w:type="dxa"/>
          </w:tcPr>
          <w:p>
            <w:pPr>
              <w:pStyle w:val="155"/>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项目概况：</w:t>
            </w:r>
          </w:p>
          <w:p>
            <w:pPr>
              <w:pStyle w:val="155"/>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lang w:eastAsia="zh-CN"/>
              </w:rPr>
              <w:t>绍兴银行“数智绍芯”工程咨询服务项目</w:t>
            </w:r>
            <w:r>
              <w:rPr>
                <w:rFonts w:hint="eastAsia" w:asciiTheme="majorEastAsia" w:hAnsiTheme="majorEastAsia" w:eastAsiaTheme="majorEastAsia"/>
                <w:color w:val="auto"/>
                <w:szCs w:val="24"/>
              </w:rPr>
              <w:t>的潜在磋商响应人</w:t>
            </w:r>
            <w:r>
              <w:rPr>
                <w:rFonts w:hint="eastAsia" w:asciiTheme="majorEastAsia" w:hAnsiTheme="majorEastAsia" w:eastAsiaTheme="majorEastAsia"/>
                <w:color w:val="auto"/>
              </w:rPr>
              <w:t>应在网上报名获取（下载）磋商文件</w:t>
            </w:r>
            <w:r>
              <w:rPr>
                <w:rFonts w:hint="eastAsia" w:asciiTheme="majorEastAsia" w:hAnsiTheme="majorEastAsia" w:eastAsiaTheme="majorEastAsia"/>
                <w:color w:val="auto"/>
                <w:szCs w:val="24"/>
              </w:rPr>
              <w:t>，并于2023年</w:t>
            </w:r>
            <w:r>
              <w:rPr>
                <w:rFonts w:hint="eastAsia" w:asciiTheme="majorEastAsia" w:hAnsiTheme="majorEastAsia" w:eastAsiaTheme="majorEastAsia"/>
                <w:color w:val="auto"/>
                <w:szCs w:val="24"/>
                <w:lang w:val="en-US" w:eastAsia="zh-CN"/>
              </w:rPr>
              <w:t xml:space="preserve">  </w:t>
            </w:r>
            <w:r>
              <w:rPr>
                <w:rFonts w:hint="eastAsia" w:asciiTheme="majorEastAsia" w:hAnsiTheme="majorEastAsia" w:eastAsiaTheme="majorEastAsia"/>
                <w:color w:val="auto"/>
                <w:szCs w:val="24"/>
              </w:rPr>
              <w:t>月</w:t>
            </w:r>
            <w:r>
              <w:rPr>
                <w:rFonts w:hint="eastAsia" w:asciiTheme="majorEastAsia" w:hAnsiTheme="majorEastAsia" w:eastAsiaTheme="majorEastAsia"/>
                <w:color w:val="auto"/>
                <w:szCs w:val="24"/>
                <w:lang w:val="en-US" w:eastAsia="zh-CN"/>
              </w:rPr>
              <w:t xml:space="preserve">  </w:t>
            </w:r>
            <w:r>
              <w:rPr>
                <w:rFonts w:hint="eastAsia" w:asciiTheme="majorEastAsia" w:hAnsiTheme="majorEastAsia" w:eastAsiaTheme="majorEastAsia"/>
                <w:color w:val="auto"/>
                <w:szCs w:val="24"/>
              </w:rPr>
              <w:t>日 09:00（北京时间）前递交（上传）响应文件。</w:t>
            </w:r>
          </w:p>
        </w:tc>
      </w:tr>
    </w:tbl>
    <w:p>
      <w:pPr>
        <w:pStyle w:val="155"/>
        <w:shd w:val="clear"/>
        <w:spacing w:afterLines="0" w:line="440" w:lineRule="exact"/>
        <w:ind w:firstLine="480"/>
        <w:jc w:val="left"/>
        <w:rPr>
          <w:rFonts w:asciiTheme="majorEastAsia" w:hAnsiTheme="majorEastAsia" w:eastAsiaTheme="majorEastAsia"/>
          <w:color w:val="auto"/>
          <w:szCs w:val="24"/>
        </w:rPr>
      </w:pPr>
      <w:r>
        <w:rPr>
          <w:rFonts w:hint="eastAsia" w:asciiTheme="majorEastAsia" w:hAnsiTheme="majorEastAsia" w:eastAsiaTheme="majorEastAsia"/>
          <w:color w:val="auto"/>
          <w:szCs w:val="24"/>
        </w:rPr>
        <w:t>一、项目基本情况</w:t>
      </w:r>
    </w:p>
    <w:p>
      <w:pPr>
        <w:pStyle w:val="155"/>
        <w:shd w:val="clear"/>
        <w:spacing w:afterLines="0" w:line="440" w:lineRule="exact"/>
        <w:ind w:firstLine="480"/>
        <w:rPr>
          <w:rFonts w:hint="eastAsia" w:asciiTheme="majorEastAsia" w:hAnsiTheme="majorEastAsia" w:eastAsiaTheme="majorEastAsia"/>
          <w:color w:val="auto"/>
          <w:szCs w:val="24"/>
          <w:lang w:eastAsia="zh-CN"/>
        </w:rPr>
      </w:pPr>
      <w:r>
        <w:rPr>
          <w:rFonts w:hint="eastAsia" w:asciiTheme="majorEastAsia" w:hAnsiTheme="majorEastAsia" w:eastAsiaTheme="majorEastAsia"/>
          <w:color w:val="auto"/>
          <w:szCs w:val="24"/>
        </w:rPr>
        <w:t>项目编号：</w:t>
      </w:r>
      <w:r>
        <w:rPr>
          <w:rFonts w:hint="eastAsia" w:asciiTheme="majorEastAsia" w:hAnsiTheme="majorEastAsia" w:eastAsiaTheme="majorEastAsia"/>
          <w:color w:val="auto"/>
          <w:szCs w:val="24"/>
          <w:lang w:eastAsia="zh-CN"/>
        </w:rPr>
        <w:t>CGSHZJ-2023-N000823</w:t>
      </w:r>
    </w:p>
    <w:p>
      <w:pPr>
        <w:pStyle w:val="155"/>
        <w:shd w:val="clear"/>
        <w:spacing w:afterLines="0" w:line="440" w:lineRule="exact"/>
        <w:ind w:firstLine="480"/>
        <w:rPr>
          <w:rFonts w:asciiTheme="majorEastAsia" w:hAnsiTheme="majorEastAsia" w:eastAsiaTheme="majorEastAsia"/>
          <w:color w:val="auto"/>
          <w:szCs w:val="24"/>
          <w:highlight w:val="none"/>
        </w:rPr>
      </w:pPr>
      <w:r>
        <w:rPr>
          <w:rFonts w:hint="eastAsia" w:asciiTheme="majorEastAsia" w:hAnsiTheme="majorEastAsia" w:eastAsiaTheme="majorEastAsia"/>
          <w:color w:val="auto"/>
          <w:szCs w:val="24"/>
        </w:rPr>
        <w:t>项</w:t>
      </w:r>
      <w:r>
        <w:rPr>
          <w:rFonts w:hint="eastAsia" w:asciiTheme="majorEastAsia" w:hAnsiTheme="majorEastAsia" w:eastAsiaTheme="majorEastAsia"/>
          <w:color w:val="auto"/>
          <w:szCs w:val="24"/>
          <w:highlight w:val="none"/>
        </w:rPr>
        <w:t>目名称：</w:t>
      </w:r>
      <w:r>
        <w:rPr>
          <w:rFonts w:hint="eastAsia" w:asciiTheme="majorEastAsia" w:hAnsiTheme="majorEastAsia" w:eastAsiaTheme="majorEastAsia"/>
          <w:color w:val="auto"/>
          <w:szCs w:val="24"/>
          <w:highlight w:val="none"/>
          <w:lang w:eastAsia="zh-CN"/>
        </w:rPr>
        <w:t>绍兴银行“数智绍芯”工程咨询服务项目</w:t>
      </w:r>
    </w:p>
    <w:p>
      <w:pPr>
        <w:pStyle w:val="155"/>
        <w:shd w:val="clear"/>
        <w:spacing w:afterLines="0" w:line="440" w:lineRule="exact"/>
        <w:ind w:firstLine="480"/>
        <w:rPr>
          <w:rFonts w:asciiTheme="majorEastAsia" w:hAnsiTheme="majorEastAsia" w:eastAsiaTheme="majorEastAsia"/>
          <w:color w:val="auto"/>
          <w:szCs w:val="24"/>
          <w:highlight w:val="none"/>
        </w:rPr>
      </w:pPr>
      <w:r>
        <w:rPr>
          <w:rFonts w:hint="eastAsia" w:asciiTheme="majorEastAsia" w:hAnsiTheme="majorEastAsia" w:eastAsiaTheme="majorEastAsia"/>
          <w:color w:val="auto"/>
          <w:szCs w:val="24"/>
          <w:highlight w:val="none"/>
        </w:rPr>
        <w:t>采购方式：竞争性磋商</w:t>
      </w:r>
    </w:p>
    <w:p>
      <w:pPr>
        <w:pStyle w:val="155"/>
        <w:shd w:val="clear"/>
        <w:spacing w:afterLines="0" w:line="440" w:lineRule="exact"/>
        <w:ind w:firstLine="480"/>
        <w:rPr>
          <w:rFonts w:hint="eastAsia" w:asciiTheme="majorEastAsia" w:hAnsiTheme="majorEastAsia" w:eastAsiaTheme="majorEastAsia"/>
          <w:color w:val="auto"/>
          <w:szCs w:val="24"/>
          <w:highlight w:val="none"/>
          <w:lang w:eastAsia="zh-CN"/>
        </w:rPr>
      </w:pPr>
      <w:r>
        <w:rPr>
          <w:rFonts w:hint="eastAsia" w:asciiTheme="majorEastAsia" w:hAnsiTheme="majorEastAsia" w:eastAsiaTheme="majorEastAsia"/>
          <w:color w:val="auto"/>
          <w:szCs w:val="24"/>
          <w:highlight w:val="none"/>
        </w:rPr>
        <w:t>预算金额（元）：</w:t>
      </w:r>
      <w:r>
        <w:rPr>
          <w:rFonts w:hint="eastAsia" w:asciiTheme="majorEastAsia" w:hAnsiTheme="majorEastAsia" w:eastAsiaTheme="majorEastAsia"/>
          <w:color w:val="auto"/>
          <w:szCs w:val="24"/>
          <w:highlight w:val="none"/>
          <w:lang w:eastAsia="zh-CN"/>
        </w:rPr>
        <w:t>8</w:t>
      </w:r>
      <w:r>
        <w:rPr>
          <w:rFonts w:hint="eastAsia" w:asciiTheme="majorEastAsia" w:hAnsiTheme="majorEastAsia" w:eastAsiaTheme="majorEastAsia"/>
          <w:color w:val="auto"/>
          <w:szCs w:val="24"/>
          <w:highlight w:val="none"/>
          <w:lang w:eastAsia="zh-CN"/>
        </w:rPr>
        <w:t>500000</w:t>
      </w:r>
    </w:p>
    <w:p>
      <w:pPr>
        <w:pStyle w:val="155"/>
        <w:shd w:val="clear"/>
        <w:spacing w:afterLines="0" w:line="440" w:lineRule="exact"/>
        <w:ind w:firstLine="480"/>
        <w:rPr>
          <w:rFonts w:hint="eastAsia" w:asciiTheme="majorEastAsia" w:hAnsiTheme="majorEastAsia" w:eastAsiaTheme="majorEastAsia"/>
          <w:color w:val="auto"/>
          <w:szCs w:val="24"/>
          <w:highlight w:val="none"/>
          <w:lang w:eastAsia="zh-CN"/>
        </w:rPr>
      </w:pPr>
      <w:r>
        <w:rPr>
          <w:rFonts w:hint="eastAsia" w:asciiTheme="majorEastAsia" w:hAnsiTheme="majorEastAsia" w:eastAsiaTheme="majorEastAsia"/>
          <w:color w:val="auto"/>
          <w:szCs w:val="24"/>
          <w:highlight w:val="none"/>
        </w:rPr>
        <w:t>最高限价（元）：</w:t>
      </w:r>
      <w:r>
        <w:rPr>
          <w:rFonts w:hint="eastAsia" w:asciiTheme="majorEastAsia" w:hAnsiTheme="majorEastAsia" w:eastAsiaTheme="majorEastAsia"/>
          <w:color w:val="auto"/>
          <w:szCs w:val="24"/>
          <w:highlight w:val="none"/>
          <w:lang w:eastAsia="zh-CN"/>
        </w:rPr>
        <w:t>8</w:t>
      </w:r>
      <w:r>
        <w:rPr>
          <w:rFonts w:hint="eastAsia" w:asciiTheme="majorEastAsia" w:hAnsiTheme="majorEastAsia" w:eastAsiaTheme="majorEastAsia"/>
          <w:color w:val="auto"/>
          <w:szCs w:val="24"/>
          <w:highlight w:val="none"/>
          <w:lang w:eastAsia="zh-CN"/>
        </w:rPr>
        <w:t>500000</w:t>
      </w:r>
    </w:p>
    <w:p>
      <w:pPr>
        <w:pStyle w:val="155"/>
        <w:shd w:val="clear"/>
        <w:spacing w:afterLines="0" w:line="440" w:lineRule="exact"/>
        <w:ind w:firstLine="480"/>
        <w:rPr>
          <w:rFonts w:asciiTheme="majorEastAsia" w:hAnsiTheme="majorEastAsia" w:eastAsiaTheme="majorEastAsia"/>
          <w:color w:val="auto"/>
          <w:szCs w:val="24"/>
          <w:highlight w:val="none"/>
        </w:rPr>
      </w:pPr>
      <w:r>
        <w:rPr>
          <w:rFonts w:hint="eastAsia" w:asciiTheme="majorEastAsia" w:hAnsiTheme="majorEastAsia" w:eastAsiaTheme="majorEastAsia"/>
          <w:color w:val="auto"/>
          <w:szCs w:val="24"/>
          <w:highlight w:val="none"/>
        </w:rPr>
        <w:t>采购需求：</w:t>
      </w:r>
    </w:p>
    <w:p>
      <w:pPr>
        <w:pStyle w:val="155"/>
        <w:shd w:val="clear"/>
        <w:spacing w:afterLines="0" w:line="440" w:lineRule="exact"/>
        <w:ind w:firstLine="480"/>
        <w:rPr>
          <w:rFonts w:asciiTheme="majorEastAsia" w:hAnsiTheme="majorEastAsia" w:eastAsiaTheme="majorEastAsia"/>
          <w:color w:val="auto"/>
          <w:szCs w:val="24"/>
          <w:highlight w:val="none"/>
        </w:rPr>
      </w:pPr>
      <w:r>
        <w:rPr>
          <w:rFonts w:hint="eastAsia" w:asciiTheme="majorEastAsia" w:hAnsiTheme="majorEastAsia" w:eastAsiaTheme="majorEastAsia"/>
          <w:color w:val="auto"/>
          <w:szCs w:val="24"/>
          <w:highlight w:val="none"/>
        </w:rPr>
        <w:t>标项一:</w:t>
      </w:r>
    </w:p>
    <w:p>
      <w:pPr>
        <w:pStyle w:val="155"/>
        <w:shd w:val="clear"/>
        <w:spacing w:afterLines="0" w:line="440" w:lineRule="exact"/>
        <w:ind w:firstLine="480"/>
        <w:rPr>
          <w:rFonts w:asciiTheme="majorEastAsia" w:hAnsiTheme="majorEastAsia" w:eastAsiaTheme="majorEastAsia"/>
          <w:color w:val="auto"/>
          <w:szCs w:val="24"/>
          <w:highlight w:val="none"/>
        </w:rPr>
      </w:pPr>
      <w:r>
        <w:rPr>
          <w:rFonts w:hint="eastAsia" w:asciiTheme="majorEastAsia" w:hAnsiTheme="majorEastAsia" w:eastAsiaTheme="majorEastAsia"/>
          <w:color w:val="auto"/>
          <w:szCs w:val="24"/>
          <w:highlight w:val="none"/>
        </w:rPr>
        <w:t xml:space="preserve">  标项名称: </w:t>
      </w:r>
      <w:r>
        <w:rPr>
          <w:rFonts w:hint="eastAsia" w:asciiTheme="majorEastAsia" w:hAnsiTheme="majorEastAsia" w:eastAsiaTheme="majorEastAsia"/>
          <w:color w:val="auto"/>
          <w:szCs w:val="24"/>
          <w:highlight w:val="none"/>
          <w:lang w:eastAsia="zh-CN"/>
        </w:rPr>
        <w:t>绍兴银行“数智绍芯”工程咨询服务项目</w:t>
      </w:r>
    </w:p>
    <w:p>
      <w:pPr>
        <w:pStyle w:val="155"/>
        <w:shd w:val="clear"/>
        <w:spacing w:afterLines="0" w:line="440" w:lineRule="exact"/>
        <w:ind w:firstLine="480"/>
        <w:rPr>
          <w:rFonts w:asciiTheme="majorEastAsia" w:hAnsiTheme="majorEastAsia" w:eastAsiaTheme="majorEastAsia"/>
          <w:color w:val="auto"/>
          <w:szCs w:val="24"/>
          <w:highlight w:val="none"/>
        </w:rPr>
      </w:pPr>
      <w:r>
        <w:rPr>
          <w:rFonts w:hint="eastAsia" w:asciiTheme="majorEastAsia" w:hAnsiTheme="majorEastAsia" w:eastAsiaTheme="majorEastAsia"/>
          <w:color w:val="auto"/>
          <w:szCs w:val="24"/>
          <w:highlight w:val="none"/>
        </w:rPr>
        <w:t>  数量:1</w:t>
      </w:r>
    </w:p>
    <w:p>
      <w:pPr>
        <w:pStyle w:val="155"/>
        <w:shd w:val="clear"/>
        <w:spacing w:afterLines="0" w:line="440" w:lineRule="exact"/>
        <w:ind w:firstLine="480"/>
        <w:rPr>
          <w:rFonts w:hint="eastAsia" w:asciiTheme="majorEastAsia" w:hAnsiTheme="majorEastAsia" w:eastAsiaTheme="majorEastAsia"/>
          <w:color w:val="auto"/>
          <w:szCs w:val="24"/>
          <w:highlight w:val="none"/>
          <w:lang w:eastAsia="zh-CN"/>
        </w:rPr>
      </w:pPr>
      <w:r>
        <w:rPr>
          <w:rFonts w:hint="eastAsia" w:asciiTheme="majorEastAsia" w:hAnsiTheme="majorEastAsia" w:eastAsiaTheme="majorEastAsia"/>
          <w:color w:val="auto"/>
          <w:szCs w:val="24"/>
          <w:highlight w:val="none"/>
        </w:rPr>
        <w:t> </w:t>
      </w:r>
      <w:r>
        <w:rPr>
          <w:rFonts w:hint="eastAsia" w:asciiTheme="majorEastAsia" w:hAnsiTheme="majorEastAsia" w:eastAsiaTheme="majorEastAsia"/>
          <w:color w:val="auto"/>
          <w:szCs w:val="24"/>
          <w:highlight w:val="none"/>
        </w:rPr>
        <w:t xml:space="preserve"> 预算金额（元）: </w:t>
      </w:r>
      <w:r>
        <w:rPr>
          <w:rFonts w:hint="eastAsia" w:asciiTheme="majorEastAsia" w:hAnsiTheme="majorEastAsia" w:eastAsiaTheme="majorEastAsia"/>
          <w:color w:val="auto"/>
          <w:szCs w:val="24"/>
          <w:highlight w:val="none"/>
          <w:lang w:eastAsia="zh-CN"/>
        </w:rPr>
        <w:t>8</w:t>
      </w:r>
      <w:r>
        <w:rPr>
          <w:rFonts w:hint="eastAsia" w:asciiTheme="majorEastAsia" w:hAnsiTheme="majorEastAsia" w:eastAsiaTheme="majorEastAsia"/>
          <w:color w:val="auto"/>
          <w:szCs w:val="24"/>
          <w:highlight w:val="none"/>
          <w:lang w:eastAsia="zh-CN"/>
        </w:rPr>
        <w:t>500000</w:t>
      </w:r>
    </w:p>
    <w:p>
      <w:pPr>
        <w:pStyle w:val="155"/>
        <w:shd w:val="clear"/>
        <w:spacing w:afterLines="0" w:line="440" w:lineRule="exact"/>
        <w:ind w:firstLine="480"/>
        <w:rPr>
          <w:rFonts w:asciiTheme="majorEastAsia" w:hAnsiTheme="majorEastAsia" w:eastAsiaTheme="majorEastAsia"/>
          <w:color w:val="auto"/>
          <w:szCs w:val="24"/>
          <w:highlight w:val="none"/>
        </w:rPr>
      </w:pPr>
      <w:r>
        <w:rPr>
          <w:rFonts w:hint="eastAsia" w:asciiTheme="majorEastAsia" w:hAnsiTheme="majorEastAsia" w:eastAsiaTheme="majorEastAsia"/>
          <w:color w:val="auto"/>
          <w:szCs w:val="24"/>
          <w:highlight w:val="none"/>
        </w:rPr>
        <w:t>简要规格描述或项目基本概况介绍、用途：详见磋商文件 </w:t>
      </w:r>
    </w:p>
    <w:p>
      <w:pPr>
        <w:pStyle w:val="155"/>
        <w:shd w:val="clear"/>
        <w:spacing w:afterLines="0" w:line="440" w:lineRule="exact"/>
        <w:ind w:firstLine="480"/>
        <w:rPr>
          <w:rFonts w:asciiTheme="majorEastAsia" w:hAnsiTheme="majorEastAsia" w:eastAsiaTheme="majorEastAsia"/>
          <w:color w:val="auto"/>
          <w:szCs w:val="24"/>
          <w:highlight w:val="none"/>
        </w:rPr>
      </w:pPr>
      <w:r>
        <w:rPr>
          <w:rFonts w:hint="eastAsia" w:asciiTheme="majorEastAsia" w:hAnsiTheme="majorEastAsia" w:eastAsiaTheme="majorEastAsia"/>
          <w:color w:val="auto"/>
          <w:szCs w:val="24"/>
          <w:highlight w:val="none"/>
        </w:rPr>
        <w:t>  备注：无</w:t>
      </w:r>
    </w:p>
    <w:p>
      <w:pPr>
        <w:pStyle w:val="155"/>
        <w:shd w:val="clear"/>
        <w:spacing w:afterLines="0" w:line="440" w:lineRule="exact"/>
        <w:ind w:firstLine="480"/>
        <w:rPr>
          <w:rFonts w:asciiTheme="majorEastAsia" w:hAnsiTheme="majorEastAsia" w:eastAsiaTheme="majorEastAsia"/>
          <w:color w:val="auto"/>
          <w:szCs w:val="24"/>
          <w:highlight w:val="none"/>
        </w:rPr>
      </w:pPr>
      <w:r>
        <w:rPr>
          <w:rFonts w:hint="eastAsia" w:asciiTheme="majorEastAsia" w:hAnsiTheme="majorEastAsia" w:eastAsiaTheme="majorEastAsia"/>
          <w:color w:val="auto"/>
          <w:szCs w:val="24"/>
          <w:highlight w:val="none"/>
        </w:rPr>
        <w:t>合同履约期限：按双方合同约定条款执行。</w:t>
      </w:r>
    </w:p>
    <w:p>
      <w:pPr>
        <w:pStyle w:val="155"/>
        <w:shd w:val="clear"/>
        <w:spacing w:afterLines="0" w:line="440" w:lineRule="exact"/>
        <w:ind w:firstLine="480"/>
        <w:rPr>
          <w:rFonts w:asciiTheme="majorEastAsia" w:hAnsiTheme="majorEastAsia" w:eastAsiaTheme="majorEastAsia"/>
          <w:color w:val="auto"/>
          <w:szCs w:val="24"/>
          <w:highlight w:val="none"/>
        </w:rPr>
      </w:pPr>
      <w:r>
        <w:rPr>
          <w:rFonts w:hint="eastAsia" w:asciiTheme="majorEastAsia" w:hAnsiTheme="majorEastAsia" w:eastAsiaTheme="majorEastAsia"/>
          <w:color w:val="auto"/>
          <w:szCs w:val="24"/>
          <w:highlight w:val="none"/>
        </w:rPr>
        <w:t>本项目（否）接受联合体投标。</w:t>
      </w:r>
    </w:p>
    <w:p>
      <w:pPr>
        <w:pStyle w:val="155"/>
        <w:shd w:val="clear"/>
        <w:spacing w:afterLines="0" w:line="440" w:lineRule="exact"/>
        <w:ind w:firstLine="480"/>
        <w:rPr>
          <w:rFonts w:asciiTheme="majorEastAsia" w:hAnsiTheme="majorEastAsia" w:eastAsiaTheme="majorEastAsia"/>
          <w:color w:val="auto"/>
          <w:szCs w:val="24"/>
          <w:highlight w:val="none"/>
        </w:rPr>
      </w:pPr>
      <w:r>
        <w:rPr>
          <w:rFonts w:hint="eastAsia" w:asciiTheme="majorEastAsia" w:hAnsiTheme="majorEastAsia" w:eastAsiaTheme="majorEastAsia"/>
          <w:color w:val="auto"/>
          <w:szCs w:val="24"/>
          <w:highlight w:val="none"/>
        </w:rPr>
        <w:t>二、申请人的资格要求：</w:t>
      </w:r>
    </w:p>
    <w:p>
      <w:pPr>
        <w:pStyle w:val="155"/>
        <w:shd w:val="clear"/>
        <w:spacing w:after="156" w:line="440" w:lineRule="exact"/>
        <w:ind w:firstLine="480"/>
        <w:jc w:val="left"/>
        <w:rPr>
          <w:rFonts w:asciiTheme="majorEastAsia" w:hAnsiTheme="majorEastAsia" w:eastAsiaTheme="majorEastAsia"/>
          <w:color w:val="auto"/>
          <w:szCs w:val="24"/>
          <w:highlight w:val="none"/>
        </w:rPr>
      </w:pPr>
      <w:r>
        <w:rPr>
          <w:rFonts w:hint="eastAsia" w:asciiTheme="majorEastAsia" w:hAnsiTheme="majorEastAsia" w:eastAsiaTheme="majorEastAsia"/>
          <w:color w:val="auto"/>
          <w:szCs w:val="24"/>
          <w:highlight w:val="none"/>
        </w:rPr>
        <w:t>1.符合《中华人民共和国政府采购法》第二十二条的规定 ；未被“信用中国”（www.creditchina.gov.cn）、中国政府采购网（www.ccgp.gov.cn）列入失信被执行人、重大税收违法案件当事人名单、政府采购严重违法失信行为记录名单。</w:t>
      </w:r>
    </w:p>
    <w:p>
      <w:pPr>
        <w:pStyle w:val="155"/>
        <w:shd w:val="clear"/>
        <w:spacing w:after="156" w:line="440" w:lineRule="exact"/>
        <w:ind w:firstLine="480"/>
        <w:jc w:val="left"/>
        <w:rPr>
          <w:rFonts w:hint="eastAsia" w:asciiTheme="majorEastAsia" w:hAnsiTheme="majorEastAsia" w:eastAsiaTheme="majorEastAsia"/>
          <w:color w:val="auto"/>
          <w:szCs w:val="24"/>
          <w:highlight w:val="none"/>
        </w:rPr>
      </w:pPr>
      <w:r>
        <w:rPr>
          <w:rFonts w:hint="eastAsia" w:asciiTheme="majorEastAsia" w:hAnsiTheme="majorEastAsia" w:eastAsiaTheme="majorEastAsia"/>
          <w:color w:val="auto"/>
          <w:szCs w:val="24"/>
          <w:highlight w:val="none"/>
          <w:lang w:val="en-US" w:eastAsia="zh-CN"/>
        </w:rPr>
        <w:t>2.</w:t>
      </w:r>
      <w:r>
        <w:rPr>
          <w:rFonts w:hint="eastAsia" w:asciiTheme="majorEastAsia" w:hAnsiTheme="majorEastAsia" w:eastAsiaTheme="majorEastAsia"/>
          <w:color w:val="auto"/>
          <w:szCs w:val="24"/>
          <w:highlight w:val="none"/>
        </w:rPr>
        <w:t>近三年（2020年1月1日至今-）在国内银行（村镇银行除外）核心业务系统需求、IT架构或项目管理（PMO）等咨询服务三个以上案例的实施经验；</w:t>
      </w:r>
    </w:p>
    <w:p>
      <w:pPr>
        <w:pStyle w:val="155"/>
        <w:shd w:val="clear"/>
        <w:spacing w:after="156" w:line="440" w:lineRule="exact"/>
        <w:ind w:firstLine="480"/>
        <w:jc w:val="left"/>
        <w:rPr>
          <w:rFonts w:asciiTheme="majorEastAsia" w:hAnsiTheme="majorEastAsia" w:eastAsiaTheme="majorEastAsia"/>
          <w:color w:val="auto"/>
          <w:szCs w:val="24"/>
          <w:highlight w:val="none"/>
        </w:rPr>
      </w:pPr>
      <w:r>
        <w:rPr>
          <w:rFonts w:hint="eastAsia" w:asciiTheme="majorEastAsia" w:hAnsiTheme="majorEastAsia" w:eastAsiaTheme="majorEastAsia"/>
          <w:color w:val="auto"/>
          <w:szCs w:val="24"/>
          <w:highlight w:val="none"/>
          <w:lang w:val="en-US" w:eastAsia="zh-CN"/>
        </w:rPr>
        <w:t>3</w:t>
      </w:r>
      <w:r>
        <w:rPr>
          <w:rFonts w:hint="eastAsia" w:asciiTheme="majorEastAsia" w:hAnsiTheme="majorEastAsia" w:eastAsiaTheme="majorEastAsia"/>
          <w:color w:val="auto"/>
          <w:szCs w:val="24"/>
          <w:highlight w:val="none"/>
        </w:rPr>
        <w:t>.以联合体形式参与磋商的，提供联合体协议（本项目不接受联合体投标或者磋商响应人不以联合体形式参与磋商的，则不需要提供）；</w:t>
      </w:r>
    </w:p>
    <w:p>
      <w:pPr>
        <w:pStyle w:val="155"/>
        <w:shd w:val="clear"/>
        <w:spacing w:afterLines="0" w:line="440" w:lineRule="exact"/>
        <w:ind w:left="420" w:leftChars="200" w:firstLine="0" w:firstLineChars="0"/>
        <w:rPr>
          <w:rFonts w:asciiTheme="majorEastAsia" w:hAnsiTheme="majorEastAsia" w:eastAsiaTheme="majorEastAsia"/>
          <w:color w:val="auto"/>
          <w:szCs w:val="24"/>
          <w:highlight w:val="none"/>
        </w:rPr>
      </w:pPr>
      <w:r>
        <w:rPr>
          <w:rFonts w:hint="eastAsia" w:asciiTheme="majorEastAsia" w:hAnsiTheme="majorEastAsia" w:eastAsiaTheme="majorEastAsia"/>
          <w:color w:val="auto"/>
          <w:szCs w:val="24"/>
          <w:highlight w:val="none"/>
          <w:lang w:val="en-US" w:eastAsia="zh-CN"/>
        </w:rPr>
        <w:t>4</w:t>
      </w:r>
      <w:r>
        <w:rPr>
          <w:rFonts w:hint="eastAsia" w:asciiTheme="majorEastAsia" w:hAnsiTheme="majorEastAsia" w:eastAsiaTheme="majorEastAsia"/>
          <w:color w:val="auto"/>
          <w:szCs w:val="24"/>
          <w:highlight w:val="none"/>
        </w:rPr>
        <w:t>.落实政府采购政策需满足的资格要求：</w:t>
      </w:r>
    </w:p>
    <w:p>
      <w:pPr>
        <w:pStyle w:val="155"/>
        <w:shd w:val="clear"/>
        <w:spacing w:afterLines="0" w:line="440" w:lineRule="exact"/>
        <w:ind w:firstLine="420"/>
        <w:rPr>
          <w:rFonts w:asciiTheme="majorEastAsia" w:hAnsiTheme="majorEastAsia" w:eastAsiaTheme="majorEastAsia"/>
          <w:color w:val="auto"/>
          <w:szCs w:val="24"/>
          <w:highlight w:val="none"/>
        </w:rPr>
      </w:pPr>
      <w:sdt>
        <w:sdtPr>
          <w:rPr>
            <w:rFonts w:hint="eastAsia" w:cs="Arial" w:asciiTheme="majorEastAsia" w:hAnsiTheme="majorEastAsia" w:eastAsiaTheme="majorEastAsia"/>
            <w:color w:val="auto"/>
            <w:sz w:val="21"/>
            <w:szCs w:val="21"/>
            <w:highlight w:val="none"/>
          </w:rPr>
          <w:id w:val="725337177"/>
        </w:sdtPr>
        <w:sdtEndPr>
          <w:rPr>
            <w:rFonts w:hint="eastAsia" w:cs="Arial" w:asciiTheme="majorEastAsia" w:hAnsiTheme="majorEastAsia" w:eastAsiaTheme="majorEastAsia"/>
            <w:color w:val="auto"/>
            <w:sz w:val="21"/>
            <w:szCs w:val="21"/>
            <w:highlight w:val="none"/>
          </w:rPr>
        </w:sdtEndPr>
        <w:sdtContent>
          <w:sdt>
            <w:sdtPr>
              <w:rPr>
                <w:rFonts w:hint="eastAsia" w:cs="Arial" w:asciiTheme="majorEastAsia" w:hAnsiTheme="majorEastAsia" w:eastAsiaTheme="majorEastAsia"/>
                <w:color w:val="auto"/>
                <w:szCs w:val="21"/>
                <w:highlight w:val="none"/>
              </w:rPr>
              <w:id w:val="15521273"/>
            </w:sdtPr>
            <w:sdtEndPr>
              <w:rPr>
                <w:rFonts w:hint="eastAsia" w:cs="Arial" w:asciiTheme="majorEastAsia" w:hAnsiTheme="majorEastAsia" w:eastAsiaTheme="majorEastAsia"/>
                <w:color w:val="auto"/>
                <w:szCs w:val="21"/>
                <w:highlight w:val="none"/>
              </w:rPr>
            </w:sdtEndPr>
            <w:sdtContent>
              <w:r>
                <w:rPr>
                  <w:rFonts w:hint="eastAsia" w:cs="Arial" w:asciiTheme="majorEastAsia" w:hAnsiTheme="majorEastAsia" w:eastAsiaTheme="majorEastAsia"/>
                  <w:color w:val="auto"/>
                  <w:highlight w:val="none"/>
                </w:rPr>
                <w:sym w:font="Wingdings" w:char="F0FE"/>
              </w:r>
            </w:sdtContent>
          </w:sdt>
        </w:sdtContent>
      </w:sdt>
      <w:r>
        <w:rPr>
          <w:rFonts w:hint="eastAsia" w:asciiTheme="majorEastAsia" w:hAnsiTheme="majorEastAsia" w:eastAsiaTheme="majorEastAsia"/>
          <w:color w:val="auto"/>
          <w:highlight w:val="none"/>
        </w:rPr>
        <w:t>无；</w:t>
      </w:r>
    </w:p>
    <w:p>
      <w:pPr>
        <w:shd w:val="clear"/>
        <w:spacing w:line="360" w:lineRule="auto"/>
        <w:ind w:firstLine="480" w:firstLineChars="200"/>
        <w:rPr>
          <w:rFonts w:asciiTheme="majorEastAsia" w:hAnsiTheme="majorEastAsia" w:eastAsiaTheme="majorEastAsia"/>
          <w:color w:val="auto"/>
          <w:sz w:val="24"/>
          <w:highlight w:val="none"/>
        </w:rPr>
      </w:pPr>
      <w:sdt>
        <w:sdtPr>
          <w:rPr>
            <w:rFonts w:hint="eastAsia" w:cs="Arial" w:asciiTheme="majorEastAsia" w:hAnsiTheme="majorEastAsia" w:eastAsiaTheme="majorEastAsia"/>
            <w:color w:val="auto"/>
            <w:kern w:val="0"/>
            <w:sz w:val="24"/>
            <w:highlight w:val="none"/>
          </w:rPr>
          <w:id w:val="7828197"/>
        </w:sdtPr>
        <w:sdtEndPr>
          <w:rPr>
            <w:rFonts w:hint="eastAsia" w:cs="Arial" w:asciiTheme="majorEastAsia" w:hAnsiTheme="majorEastAsia" w:eastAsiaTheme="majorEastAsia"/>
            <w:color w:val="auto"/>
            <w:kern w:val="0"/>
            <w:sz w:val="24"/>
            <w:highlight w:val="none"/>
          </w:rPr>
        </w:sdtEndPr>
        <w:sdtContent>
          <w:sdt>
            <w:sdtPr>
              <w:rPr>
                <w:rFonts w:hint="eastAsia" w:cs="Arial" w:asciiTheme="majorEastAsia" w:hAnsiTheme="majorEastAsia" w:eastAsiaTheme="majorEastAsia"/>
                <w:color w:val="auto"/>
                <w:szCs w:val="21"/>
                <w:highlight w:val="none"/>
              </w:rPr>
              <w:id w:val="7828198"/>
            </w:sdtPr>
            <w:sdtEndPr>
              <w:rPr>
                <w:rFonts w:hint="eastAsia" w:cs="Arial" w:asciiTheme="majorEastAsia" w:hAnsiTheme="majorEastAsia" w:eastAsiaTheme="majorEastAsia"/>
                <w:color w:val="auto"/>
                <w:szCs w:val="21"/>
                <w:highlight w:val="none"/>
              </w:rPr>
            </w:sdtEndPr>
            <w:sdtContent>
              <w:r>
                <w:rPr>
                  <w:rFonts w:hint="eastAsia" w:hAnsi="MS Mincho" w:eastAsia="MS Mincho" w:cs="MS Mincho" w:asciiTheme="majorEastAsia"/>
                  <w:color w:val="auto"/>
                  <w:kern w:val="0"/>
                  <w:sz w:val="24"/>
                  <w:highlight w:val="none"/>
                </w:rPr>
                <w:t>☐</w:t>
              </w:r>
            </w:sdtContent>
          </w:sdt>
        </w:sdtContent>
      </w:sdt>
      <w:r>
        <w:rPr>
          <w:rFonts w:hint="eastAsia" w:cs="Arial" w:asciiTheme="majorEastAsia" w:hAnsiTheme="majorEastAsia" w:eastAsiaTheme="majorEastAsia"/>
          <w:color w:val="auto"/>
          <w:kern w:val="0"/>
          <w:sz w:val="24"/>
          <w:highlight w:val="none"/>
        </w:rPr>
        <w:t>专</w:t>
      </w:r>
      <w:r>
        <w:rPr>
          <w:rFonts w:hint="eastAsia" w:asciiTheme="majorEastAsia" w:hAnsiTheme="majorEastAsia" w:eastAsiaTheme="majorEastAsia"/>
          <w:color w:val="auto"/>
          <w:sz w:val="24"/>
          <w:highlight w:val="none"/>
        </w:rPr>
        <w:t>门面向中小企业</w:t>
      </w:r>
    </w:p>
    <w:p>
      <w:pPr>
        <w:shd w:val="clear"/>
        <w:spacing w:line="360" w:lineRule="auto"/>
        <w:ind w:firstLine="897" w:firstLineChars="374"/>
        <w:rPr>
          <w:rFonts w:asciiTheme="majorEastAsia" w:hAnsiTheme="majorEastAsia" w:eastAsiaTheme="majorEastAsia"/>
          <w:color w:val="auto"/>
          <w:sz w:val="24"/>
          <w:highlight w:val="none"/>
        </w:rPr>
      </w:pPr>
      <w:r>
        <w:rPr>
          <w:rFonts w:hint="eastAsia" w:hAnsi="MS Mincho" w:eastAsia="MS Mincho" w:cs="MS Mincho" w:asciiTheme="majorEastAsia"/>
          <w:color w:val="auto"/>
          <w:kern w:val="0"/>
          <w:sz w:val="24"/>
          <w:highlight w:val="none"/>
        </w:rPr>
        <w:t>☐</w:t>
      </w:r>
      <w:r>
        <w:rPr>
          <w:rFonts w:hint="eastAsia" w:asciiTheme="majorEastAsia" w:hAnsiTheme="majorEastAsia" w:eastAsiaTheme="majorEastAsia"/>
          <w:color w:val="auto"/>
          <w:sz w:val="24"/>
          <w:highlight w:val="none"/>
        </w:rPr>
        <w:t>货物全部由符合政策要求的中小企业制造，提供中小企业声明函；</w:t>
      </w:r>
    </w:p>
    <w:p>
      <w:pPr>
        <w:shd w:val="clear"/>
        <w:spacing w:line="360" w:lineRule="auto"/>
        <w:ind w:firstLine="897" w:firstLineChars="374"/>
        <w:rPr>
          <w:rFonts w:asciiTheme="majorEastAsia" w:hAnsiTheme="majorEastAsia" w:eastAsiaTheme="majorEastAsia"/>
          <w:color w:val="auto"/>
          <w:sz w:val="24"/>
          <w:highlight w:val="none"/>
        </w:rPr>
      </w:pPr>
      <w:sdt>
        <w:sdtPr>
          <w:rPr>
            <w:rFonts w:hint="eastAsia" w:cs="Arial" w:asciiTheme="majorEastAsia" w:hAnsiTheme="majorEastAsia" w:eastAsiaTheme="majorEastAsia"/>
            <w:color w:val="auto"/>
            <w:kern w:val="0"/>
            <w:sz w:val="24"/>
            <w:highlight w:val="none"/>
          </w:rPr>
          <w:id w:val="5"/>
        </w:sdtPr>
        <w:sdtEndPr>
          <w:rPr>
            <w:rFonts w:hint="eastAsia" w:cs="Arial" w:asciiTheme="majorEastAsia" w:hAnsiTheme="majorEastAsia" w:eastAsiaTheme="majorEastAsia"/>
            <w:color w:val="auto"/>
            <w:kern w:val="0"/>
            <w:sz w:val="24"/>
            <w:highlight w:val="none"/>
          </w:rPr>
        </w:sdtEndPr>
        <w:sdtContent>
          <w:sdt>
            <w:sdtPr>
              <w:rPr>
                <w:rFonts w:hint="eastAsia" w:cs="Arial" w:asciiTheme="majorEastAsia" w:hAnsiTheme="majorEastAsia" w:eastAsiaTheme="majorEastAsia"/>
                <w:color w:val="auto"/>
                <w:kern w:val="0"/>
                <w:sz w:val="24"/>
                <w:highlight w:val="none"/>
              </w:rPr>
              <w:id w:val="279565509"/>
            </w:sdtPr>
            <w:sdtEndPr>
              <w:rPr>
                <w:rFonts w:hint="eastAsia" w:cs="Arial" w:asciiTheme="majorEastAsia" w:hAnsiTheme="majorEastAsia" w:eastAsiaTheme="majorEastAsia"/>
                <w:color w:val="auto"/>
                <w:kern w:val="0"/>
                <w:sz w:val="24"/>
                <w:highlight w:val="none"/>
              </w:rPr>
            </w:sdtEndPr>
            <w:sdtContent>
              <w:r>
                <w:rPr>
                  <w:rFonts w:hint="eastAsia" w:hAnsi="MS Mincho" w:eastAsia="MS Mincho" w:cs="MS Mincho" w:asciiTheme="majorEastAsia"/>
                  <w:color w:val="auto"/>
                  <w:kern w:val="0"/>
                  <w:sz w:val="24"/>
                  <w:highlight w:val="none"/>
                </w:rPr>
                <w:t>☐</w:t>
              </w:r>
            </w:sdtContent>
          </w:sdt>
        </w:sdtContent>
      </w:sdt>
      <w:r>
        <w:rPr>
          <w:rFonts w:hint="eastAsia" w:asciiTheme="majorEastAsia" w:hAnsiTheme="majorEastAsia" w:eastAsiaTheme="majorEastAsia"/>
          <w:color w:val="auto"/>
          <w:sz w:val="24"/>
          <w:highlight w:val="none"/>
        </w:rPr>
        <w:t>货物全部由符合政策要求的小微企业制造，提供中小企业声明函；</w:t>
      </w:r>
    </w:p>
    <w:p>
      <w:pPr>
        <w:shd w:val="clear"/>
        <w:spacing w:line="360" w:lineRule="auto"/>
        <w:ind w:firstLine="897" w:firstLineChars="374"/>
        <w:rPr>
          <w:rFonts w:asciiTheme="majorEastAsia" w:hAnsiTheme="majorEastAsia" w:eastAsiaTheme="majorEastAsia"/>
          <w:color w:val="auto"/>
          <w:sz w:val="24"/>
          <w:highlight w:val="none"/>
        </w:rPr>
      </w:pPr>
      <w:sdt>
        <w:sdtPr>
          <w:rPr>
            <w:rFonts w:hint="eastAsia" w:cs="Arial" w:asciiTheme="majorEastAsia" w:hAnsiTheme="majorEastAsia" w:eastAsiaTheme="majorEastAsia"/>
            <w:color w:val="auto"/>
            <w:kern w:val="0"/>
            <w:sz w:val="24"/>
            <w:highlight w:val="none"/>
          </w:rPr>
          <w:id w:val="306902902"/>
        </w:sdtPr>
        <w:sdtEndPr>
          <w:rPr>
            <w:rFonts w:hint="eastAsia" w:cs="Arial" w:asciiTheme="majorEastAsia" w:hAnsiTheme="majorEastAsia" w:eastAsiaTheme="majorEastAsia"/>
            <w:color w:val="auto"/>
            <w:kern w:val="0"/>
            <w:sz w:val="24"/>
            <w:highlight w:val="none"/>
          </w:rPr>
        </w:sdtEndPr>
        <w:sdtContent>
          <w:sdt>
            <w:sdtPr>
              <w:rPr>
                <w:rFonts w:hint="eastAsia" w:cs="Arial" w:asciiTheme="majorEastAsia" w:hAnsiTheme="majorEastAsia" w:eastAsiaTheme="majorEastAsia"/>
                <w:color w:val="auto"/>
                <w:kern w:val="0"/>
                <w:sz w:val="24"/>
                <w:highlight w:val="none"/>
              </w:rPr>
              <w:id w:val="279565511"/>
            </w:sdtPr>
            <w:sdtEndPr>
              <w:rPr>
                <w:rFonts w:hint="eastAsia" w:cs="Arial" w:asciiTheme="majorEastAsia" w:hAnsiTheme="majorEastAsia" w:eastAsiaTheme="majorEastAsia"/>
                <w:color w:val="auto"/>
                <w:kern w:val="0"/>
                <w:sz w:val="24"/>
                <w:highlight w:val="none"/>
              </w:rPr>
            </w:sdtEndPr>
            <w:sdtContent>
              <w:sdt>
                <w:sdtPr>
                  <w:rPr>
                    <w:rFonts w:hint="eastAsia" w:cs="Arial" w:asciiTheme="majorEastAsia" w:hAnsiTheme="majorEastAsia" w:eastAsiaTheme="majorEastAsia"/>
                    <w:color w:val="auto"/>
                    <w:szCs w:val="21"/>
                    <w:highlight w:val="none"/>
                  </w:rPr>
                  <w:id w:val="7828188"/>
                </w:sdtPr>
                <w:sdtEndPr>
                  <w:rPr>
                    <w:rFonts w:hint="eastAsia" w:cs="Arial" w:asciiTheme="majorEastAsia" w:hAnsiTheme="majorEastAsia" w:eastAsiaTheme="majorEastAsia"/>
                    <w:color w:val="auto"/>
                    <w:szCs w:val="21"/>
                    <w:highlight w:val="none"/>
                  </w:rPr>
                </w:sdtEndPr>
                <w:sdtContent>
                  <w:r>
                    <w:rPr>
                      <w:rFonts w:hint="eastAsia" w:hAnsi="MS Mincho" w:eastAsia="MS Mincho" w:cs="MS Mincho" w:asciiTheme="majorEastAsia"/>
                      <w:color w:val="auto"/>
                      <w:kern w:val="0"/>
                      <w:sz w:val="24"/>
                      <w:highlight w:val="none"/>
                    </w:rPr>
                    <w:t>☐</w:t>
                  </w:r>
                </w:sdtContent>
              </w:sdt>
            </w:sdtContent>
          </w:sdt>
        </w:sdtContent>
      </w:sdt>
      <w:r>
        <w:rPr>
          <w:rFonts w:hint="eastAsia" w:asciiTheme="majorEastAsia" w:hAnsiTheme="majorEastAsia" w:eastAsiaTheme="majorEastAsia"/>
          <w:color w:val="auto"/>
          <w:sz w:val="24"/>
          <w:highlight w:val="none"/>
        </w:rPr>
        <w:t>服务全部由符合政策要求的中小企业承接，提供中小企业声明函；</w:t>
      </w:r>
    </w:p>
    <w:p>
      <w:pPr>
        <w:shd w:val="clear"/>
        <w:spacing w:line="360" w:lineRule="auto"/>
        <w:ind w:firstLine="897" w:firstLineChars="374"/>
        <w:rPr>
          <w:rFonts w:asciiTheme="majorEastAsia" w:hAnsiTheme="majorEastAsia" w:eastAsiaTheme="majorEastAsia"/>
          <w:color w:val="auto"/>
          <w:sz w:val="24"/>
          <w:highlight w:val="none"/>
        </w:rPr>
      </w:pPr>
      <w:sdt>
        <w:sdtPr>
          <w:rPr>
            <w:rFonts w:hint="eastAsia" w:cs="Arial" w:asciiTheme="majorEastAsia" w:hAnsiTheme="majorEastAsia" w:eastAsiaTheme="majorEastAsia"/>
            <w:color w:val="auto"/>
            <w:kern w:val="0"/>
            <w:sz w:val="24"/>
            <w:highlight w:val="none"/>
          </w:rPr>
          <w:id w:val="10"/>
        </w:sdtPr>
        <w:sdtEndPr>
          <w:rPr>
            <w:rFonts w:hint="eastAsia" w:cs="Arial" w:asciiTheme="majorEastAsia" w:hAnsiTheme="majorEastAsia" w:eastAsiaTheme="majorEastAsia"/>
            <w:color w:val="auto"/>
            <w:kern w:val="0"/>
            <w:sz w:val="24"/>
            <w:highlight w:val="none"/>
          </w:rPr>
        </w:sdtEndPr>
        <w:sdtContent>
          <w:sdt>
            <w:sdtPr>
              <w:rPr>
                <w:rFonts w:hint="eastAsia" w:cs="Arial" w:asciiTheme="majorEastAsia" w:hAnsiTheme="majorEastAsia" w:eastAsiaTheme="majorEastAsia"/>
                <w:color w:val="auto"/>
                <w:kern w:val="0"/>
                <w:sz w:val="24"/>
                <w:highlight w:val="none"/>
              </w:rPr>
              <w:id w:val="279565513"/>
            </w:sdtPr>
            <w:sdtEndPr>
              <w:rPr>
                <w:rFonts w:hint="eastAsia" w:cs="Arial" w:asciiTheme="majorEastAsia" w:hAnsiTheme="majorEastAsia" w:eastAsiaTheme="majorEastAsia"/>
                <w:color w:val="auto"/>
                <w:kern w:val="0"/>
                <w:sz w:val="24"/>
                <w:highlight w:val="none"/>
              </w:rPr>
            </w:sdtEndPr>
            <w:sdtContent>
              <w:r>
                <w:rPr>
                  <w:rFonts w:hint="eastAsia" w:hAnsi="MS Mincho" w:eastAsia="MS Mincho" w:cs="MS Mincho" w:asciiTheme="majorEastAsia"/>
                  <w:color w:val="auto"/>
                  <w:kern w:val="0"/>
                  <w:sz w:val="24"/>
                  <w:highlight w:val="none"/>
                </w:rPr>
                <w:t>☐</w:t>
              </w:r>
            </w:sdtContent>
          </w:sdt>
        </w:sdtContent>
      </w:sdt>
      <w:r>
        <w:rPr>
          <w:rFonts w:hint="eastAsia" w:asciiTheme="majorEastAsia" w:hAnsiTheme="majorEastAsia" w:eastAsiaTheme="majorEastAsia"/>
          <w:color w:val="auto"/>
          <w:sz w:val="24"/>
          <w:highlight w:val="none"/>
        </w:rPr>
        <w:t>服务全部由符合政策要求的小微企业承接，提供中小企业声明函；</w:t>
      </w:r>
    </w:p>
    <w:p>
      <w:pPr>
        <w:shd w:val="clear"/>
        <w:spacing w:line="360" w:lineRule="auto"/>
        <w:ind w:firstLine="480" w:firstLineChars="200"/>
        <w:rPr>
          <w:rFonts w:asciiTheme="majorEastAsia" w:hAnsiTheme="majorEastAsia" w:eastAsiaTheme="majorEastAsia"/>
          <w:color w:val="auto"/>
          <w:sz w:val="24"/>
          <w:highlight w:val="none"/>
        </w:rPr>
      </w:pPr>
      <w:sdt>
        <w:sdtPr>
          <w:rPr>
            <w:rFonts w:hint="eastAsia" w:cs="Arial" w:asciiTheme="majorEastAsia" w:hAnsiTheme="majorEastAsia" w:eastAsiaTheme="majorEastAsia"/>
            <w:color w:val="auto"/>
            <w:kern w:val="0"/>
            <w:sz w:val="24"/>
            <w:highlight w:val="none"/>
          </w:rPr>
          <w:id w:val="603697228"/>
        </w:sdtPr>
        <w:sdtEndPr>
          <w:rPr>
            <w:rFonts w:hint="eastAsia" w:cs="Arial" w:asciiTheme="majorEastAsia" w:hAnsiTheme="majorEastAsia" w:eastAsiaTheme="majorEastAsia"/>
            <w:color w:val="auto"/>
            <w:kern w:val="0"/>
            <w:sz w:val="24"/>
            <w:highlight w:val="none"/>
          </w:rPr>
        </w:sdtEndPr>
        <w:sdtContent>
          <w:sdt>
            <w:sdtPr>
              <w:rPr>
                <w:rFonts w:hint="eastAsia" w:cs="Arial" w:asciiTheme="majorEastAsia" w:hAnsiTheme="majorEastAsia" w:eastAsiaTheme="majorEastAsia"/>
                <w:color w:val="auto"/>
                <w:kern w:val="0"/>
                <w:sz w:val="24"/>
                <w:highlight w:val="none"/>
              </w:rPr>
              <w:id w:val="279565515"/>
            </w:sdtPr>
            <w:sdtEndPr>
              <w:rPr>
                <w:rFonts w:hint="eastAsia" w:cs="Arial" w:asciiTheme="majorEastAsia" w:hAnsiTheme="majorEastAsia" w:eastAsiaTheme="majorEastAsia"/>
                <w:color w:val="auto"/>
                <w:kern w:val="0"/>
                <w:sz w:val="24"/>
                <w:highlight w:val="none"/>
              </w:rPr>
            </w:sdtEndPr>
            <w:sdtContent>
              <w:r>
                <w:rPr>
                  <w:rFonts w:hint="eastAsia" w:hAnsi="MS Mincho" w:eastAsia="MS Mincho" w:cs="MS Mincho" w:asciiTheme="majorEastAsia"/>
                  <w:color w:val="auto"/>
                  <w:kern w:val="0"/>
                  <w:sz w:val="24"/>
                  <w:highlight w:val="none"/>
                </w:rPr>
                <w:t>☐</w:t>
              </w:r>
            </w:sdtContent>
          </w:sdt>
        </w:sdtContent>
      </w:sdt>
      <w:r>
        <w:rPr>
          <w:rFonts w:hint="eastAsia" w:asciiTheme="majorEastAsia" w:hAnsiTheme="majorEastAsia" w:eastAsiaTheme="majorEastAsia"/>
          <w:color w:val="auto"/>
          <w:sz w:val="24"/>
          <w:highlight w:val="none"/>
        </w:rPr>
        <w:t>要求以联合体形式参加，提供联合协议和中小企业声明函，联合协议中中小企业合同金额应当达到%，小微企业合同金额应当达到%;</w:t>
      </w:r>
      <w:r>
        <w:rPr>
          <w:rFonts w:hint="eastAsia" w:cs="宋体" w:asciiTheme="majorEastAsia" w:hAnsiTheme="majorEastAsia" w:eastAsiaTheme="majorEastAsia"/>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Theme="majorEastAsia" w:hAnsiTheme="majorEastAsia" w:eastAsiaTheme="majorEastAsia"/>
          <w:color w:val="auto"/>
          <w:sz w:val="24"/>
          <w:highlight w:val="none"/>
        </w:rPr>
        <w:t>；</w:t>
      </w:r>
    </w:p>
    <w:p>
      <w:pPr>
        <w:shd w:val="clear"/>
        <w:spacing w:line="360" w:lineRule="auto"/>
        <w:ind w:firstLine="480" w:firstLineChars="200"/>
        <w:rPr>
          <w:rFonts w:asciiTheme="majorEastAsia" w:hAnsiTheme="majorEastAsia" w:eastAsiaTheme="majorEastAsia"/>
          <w:color w:val="auto"/>
          <w:sz w:val="24"/>
          <w:highlight w:val="none"/>
        </w:rPr>
      </w:pPr>
      <w:sdt>
        <w:sdtPr>
          <w:rPr>
            <w:rFonts w:hint="eastAsia" w:cs="Arial" w:asciiTheme="majorEastAsia" w:hAnsiTheme="majorEastAsia" w:eastAsiaTheme="majorEastAsia"/>
            <w:color w:val="auto"/>
            <w:kern w:val="0"/>
            <w:sz w:val="24"/>
            <w:highlight w:val="none"/>
          </w:rPr>
          <w:id w:val="34630645"/>
        </w:sdtPr>
        <w:sdtEndPr>
          <w:rPr>
            <w:rFonts w:hint="eastAsia" w:cs="Arial" w:asciiTheme="majorEastAsia" w:hAnsiTheme="majorEastAsia" w:eastAsiaTheme="majorEastAsia"/>
            <w:color w:val="auto"/>
            <w:kern w:val="0"/>
            <w:sz w:val="24"/>
            <w:highlight w:val="none"/>
          </w:rPr>
        </w:sdtEndPr>
        <w:sdtContent>
          <w:sdt>
            <w:sdtPr>
              <w:rPr>
                <w:rFonts w:hint="eastAsia" w:cs="Arial" w:asciiTheme="majorEastAsia" w:hAnsiTheme="majorEastAsia" w:eastAsiaTheme="majorEastAsia"/>
                <w:color w:val="auto"/>
                <w:kern w:val="0"/>
                <w:sz w:val="24"/>
                <w:highlight w:val="none"/>
              </w:rPr>
              <w:id w:val="279565517"/>
            </w:sdtPr>
            <w:sdtEndPr>
              <w:rPr>
                <w:rFonts w:hint="eastAsia" w:cs="Arial" w:asciiTheme="majorEastAsia" w:hAnsiTheme="majorEastAsia" w:eastAsiaTheme="majorEastAsia"/>
                <w:color w:val="auto"/>
                <w:kern w:val="0"/>
                <w:sz w:val="24"/>
                <w:highlight w:val="none"/>
              </w:rPr>
            </w:sdtEndPr>
            <w:sdtContent>
              <w:r>
                <w:rPr>
                  <w:rFonts w:hint="eastAsia" w:hAnsi="MS Mincho" w:eastAsia="MS Mincho" w:cs="MS Mincho" w:asciiTheme="majorEastAsia"/>
                  <w:color w:val="auto"/>
                  <w:kern w:val="0"/>
                  <w:sz w:val="24"/>
                  <w:highlight w:val="none"/>
                </w:rPr>
                <w:t>☐</w:t>
              </w:r>
            </w:sdtContent>
          </w:sdt>
        </w:sdtContent>
      </w:sdt>
      <w:r>
        <w:rPr>
          <w:rFonts w:hint="eastAsia" w:asciiTheme="majorEastAsia" w:hAnsiTheme="majorEastAsia" w:eastAsiaTheme="majorEastAsia"/>
          <w:color w:val="auto"/>
          <w:sz w:val="24"/>
          <w:highlight w:val="none"/>
        </w:rPr>
        <w:t>要求合同分包，提供分包意向协议和中小企业声明函，分包意向协议中中小企业合同金额应当达到达到% ，小微企业合同金额应当达到% ;</w:t>
      </w:r>
      <w:r>
        <w:rPr>
          <w:rFonts w:hint="eastAsia" w:cs="宋体" w:asciiTheme="majorEastAsia" w:hAnsiTheme="majorEastAsia" w:eastAsiaTheme="majorEastAsia"/>
          <w:color w:val="auto"/>
          <w:spacing w:val="8"/>
          <w:kern w:val="0"/>
          <w:sz w:val="24"/>
          <w:highlight w:val="none"/>
        </w:rPr>
        <w:t>如果供应商本身提供所有标的均由中小企业制造、承建或承接，视同符合了资格条件，无需再向中小企业分包，无需提供分包意向协议</w:t>
      </w:r>
      <w:r>
        <w:rPr>
          <w:rFonts w:hint="eastAsia" w:asciiTheme="majorEastAsia" w:hAnsiTheme="majorEastAsia" w:eastAsiaTheme="majorEastAsia"/>
          <w:color w:val="auto"/>
          <w:sz w:val="24"/>
          <w:highlight w:val="none"/>
        </w:rPr>
        <w:t>；</w:t>
      </w:r>
    </w:p>
    <w:p>
      <w:pPr>
        <w:pStyle w:val="155"/>
        <w:shd w:val="clear"/>
        <w:spacing w:afterLines="0" w:line="440" w:lineRule="exact"/>
        <w:ind w:firstLine="480"/>
        <w:rPr>
          <w:rFonts w:asciiTheme="majorEastAsia" w:hAnsiTheme="majorEastAsia" w:eastAsiaTheme="majorEastAsia"/>
          <w:color w:val="auto"/>
          <w:szCs w:val="24"/>
          <w:highlight w:val="none"/>
        </w:rPr>
      </w:pPr>
      <w:r>
        <w:rPr>
          <w:rFonts w:hint="eastAsia" w:asciiTheme="majorEastAsia" w:hAnsiTheme="majorEastAsia" w:eastAsiaTheme="majorEastAsia"/>
          <w:color w:val="auto"/>
          <w:szCs w:val="24"/>
          <w:highlight w:val="none"/>
          <w:lang w:val="en-US" w:eastAsia="zh-CN"/>
        </w:rPr>
        <w:t>5</w:t>
      </w:r>
      <w:r>
        <w:rPr>
          <w:rFonts w:hint="eastAsia" w:asciiTheme="majorEastAsia" w:hAnsiTheme="majorEastAsia" w:eastAsiaTheme="majorEastAsia"/>
          <w:color w:val="auto"/>
          <w:szCs w:val="24"/>
          <w:highlight w:val="none"/>
        </w:rPr>
        <w:t>.本项目的特定资格要求：无</w:t>
      </w:r>
    </w:p>
    <w:p>
      <w:pPr>
        <w:pStyle w:val="155"/>
        <w:shd w:val="clear"/>
        <w:spacing w:afterLines="0" w:line="440" w:lineRule="exact"/>
        <w:ind w:firstLine="480"/>
        <w:rPr>
          <w:rFonts w:asciiTheme="majorEastAsia" w:hAnsiTheme="majorEastAsia" w:eastAsiaTheme="majorEastAsia"/>
          <w:color w:val="auto"/>
          <w:szCs w:val="24"/>
          <w:highlight w:val="none"/>
        </w:rPr>
      </w:pPr>
      <w:r>
        <w:rPr>
          <w:rFonts w:hint="eastAsia" w:asciiTheme="majorEastAsia" w:hAnsiTheme="majorEastAsia" w:eastAsiaTheme="majorEastAsia"/>
          <w:color w:val="auto"/>
          <w:szCs w:val="24"/>
          <w:highlight w:val="none"/>
          <w:lang w:val="en-US" w:eastAsia="zh-CN"/>
        </w:rPr>
        <w:t>6</w:t>
      </w:r>
      <w:r>
        <w:rPr>
          <w:rFonts w:hint="eastAsia" w:asciiTheme="majorEastAsia" w:hAnsiTheme="majorEastAsia" w:eastAsiaTheme="majorEastAsia"/>
          <w:color w:val="auto"/>
          <w:szCs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pStyle w:val="155"/>
        <w:shd w:val="clear"/>
        <w:spacing w:afterLines="0" w:line="440" w:lineRule="exact"/>
        <w:ind w:firstLine="480"/>
        <w:rPr>
          <w:rFonts w:asciiTheme="majorEastAsia" w:hAnsiTheme="majorEastAsia" w:eastAsiaTheme="majorEastAsia"/>
          <w:color w:val="auto"/>
          <w:szCs w:val="24"/>
          <w:highlight w:val="none"/>
        </w:rPr>
      </w:pPr>
      <w:r>
        <w:rPr>
          <w:rFonts w:hint="eastAsia" w:asciiTheme="majorEastAsia" w:hAnsiTheme="majorEastAsia" w:eastAsiaTheme="majorEastAsia"/>
          <w:color w:val="auto"/>
          <w:szCs w:val="24"/>
          <w:highlight w:val="none"/>
        </w:rPr>
        <w:t>三、获取（下载）磋商文件 </w:t>
      </w:r>
    </w:p>
    <w:p>
      <w:pPr>
        <w:pStyle w:val="155"/>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highlight w:val="none"/>
        </w:rPr>
        <w:t>时间：/至2023年</w:t>
      </w:r>
      <w:r>
        <w:rPr>
          <w:rFonts w:hint="eastAsia" w:asciiTheme="majorEastAsia" w:hAnsiTheme="majorEastAsia" w:eastAsiaTheme="majorEastAsia"/>
          <w:color w:val="auto"/>
          <w:szCs w:val="24"/>
          <w:highlight w:val="none"/>
          <w:lang w:val="en-US" w:eastAsia="zh-CN"/>
        </w:rPr>
        <w:t xml:space="preserve">  </w:t>
      </w:r>
      <w:r>
        <w:rPr>
          <w:rFonts w:hint="eastAsia" w:asciiTheme="majorEastAsia" w:hAnsiTheme="majorEastAsia" w:eastAsiaTheme="majorEastAsia"/>
          <w:color w:val="auto"/>
          <w:szCs w:val="24"/>
          <w:highlight w:val="none"/>
        </w:rPr>
        <w:t>月</w:t>
      </w:r>
      <w:r>
        <w:rPr>
          <w:rFonts w:hint="eastAsia" w:asciiTheme="majorEastAsia" w:hAnsiTheme="majorEastAsia" w:eastAsiaTheme="majorEastAsia"/>
          <w:color w:val="auto"/>
          <w:szCs w:val="24"/>
          <w:highlight w:val="none"/>
          <w:lang w:val="en-US" w:eastAsia="zh-CN"/>
        </w:rPr>
        <w:t xml:space="preserve">  </w:t>
      </w:r>
      <w:r>
        <w:rPr>
          <w:rFonts w:hint="eastAsia" w:asciiTheme="majorEastAsia" w:hAnsiTheme="majorEastAsia" w:eastAsiaTheme="majorEastAsia"/>
          <w:color w:val="auto"/>
          <w:szCs w:val="24"/>
          <w:highlight w:val="none"/>
        </w:rPr>
        <w:t>日，每天上午00:00至12:00</w:t>
      </w:r>
      <w:r>
        <w:rPr>
          <w:rFonts w:hint="eastAsia" w:asciiTheme="majorEastAsia" w:hAnsiTheme="majorEastAsia" w:eastAsiaTheme="majorEastAsia"/>
          <w:color w:val="auto"/>
          <w:szCs w:val="24"/>
        </w:rPr>
        <w:t> ，下午12:00至23:59（北京时间，线上获取法定节假日均可，线下获取文件法定节假日除外）</w:t>
      </w:r>
    </w:p>
    <w:p>
      <w:pPr>
        <w:pStyle w:val="155"/>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地点（网址）：</w:t>
      </w:r>
      <w:r>
        <w:rPr>
          <w:color w:val="auto"/>
        </w:rPr>
        <w:fldChar w:fldCharType="begin"/>
      </w:r>
      <w:r>
        <w:rPr>
          <w:color w:val="auto"/>
        </w:rPr>
        <w:instrText xml:space="preserve"> HYPERLINK "http://ggb.sx.gov.cn" </w:instrText>
      </w:r>
      <w:r>
        <w:rPr>
          <w:color w:val="auto"/>
        </w:rPr>
        <w:fldChar w:fldCharType="separate"/>
      </w:r>
      <w:r>
        <w:rPr>
          <w:rFonts w:hint="eastAsia" w:asciiTheme="majorEastAsia" w:hAnsiTheme="majorEastAsia" w:eastAsiaTheme="majorEastAsia"/>
          <w:color w:val="auto"/>
        </w:rPr>
        <w:t>http://ggb.sx.gov.cn</w:t>
      </w:r>
      <w:r>
        <w:rPr>
          <w:rFonts w:hint="eastAsia" w:asciiTheme="majorEastAsia" w:hAnsiTheme="majorEastAsia" w:eastAsiaTheme="majorEastAsia"/>
          <w:color w:val="auto"/>
        </w:rPr>
        <w:fldChar w:fldCharType="end"/>
      </w:r>
      <w:r>
        <w:rPr>
          <w:rFonts w:hint="eastAsia" w:asciiTheme="majorEastAsia" w:hAnsiTheme="majorEastAsia" w:eastAsiaTheme="majorEastAsia"/>
          <w:color w:val="auto"/>
          <w:szCs w:val="24"/>
        </w:rPr>
        <w:t> </w:t>
      </w:r>
    </w:p>
    <w:p>
      <w:pPr>
        <w:pStyle w:val="155"/>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方式：</w:t>
      </w:r>
      <w:r>
        <w:rPr>
          <w:rFonts w:hint="eastAsia" w:asciiTheme="majorEastAsia" w:hAnsiTheme="majorEastAsia" w:eastAsiaTheme="majorEastAsia"/>
          <w:color w:val="auto"/>
        </w:rPr>
        <w:t>磋商响应人登陆绍兴公共资源交易网</w:t>
      </w:r>
      <w:r>
        <w:rPr>
          <w:color w:val="auto"/>
        </w:rPr>
        <w:fldChar w:fldCharType="begin"/>
      </w:r>
      <w:r>
        <w:rPr>
          <w:color w:val="auto"/>
        </w:rPr>
        <w:instrText xml:space="preserve"> HYPERLINK "http://ggb.sx.gov.cn/" </w:instrText>
      </w:r>
      <w:r>
        <w:rPr>
          <w:color w:val="auto"/>
        </w:rPr>
        <w:fldChar w:fldCharType="separate"/>
      </w:r>
      <w:r>
        <w:rPr>
          <w:rStyle w:val="97"/>
          <w:rFonts w:hint="eastAsia" w:asciiTheme="majorEastAsia" w:hAnsiTheme="majorEastAsia" w:eastAsiaTheme="majorEastAsia"/>
          <w:color w:val="auto"/>
        </w:rPr>
        <w:t>http://ggb.sx.gov.cn</w:t>
      </w:r>
      <w:r>
        <w:rPr>
          <w:rStyle w:val="97"/>
          <w:rFonts w:hint="eastAsia" w:asciiTheme="majorEastAsia" w:hAnsiTheme="majorEastAsia" w:eastAsiaTheme="majorEastAsia"/>
          <w:color w:val="auto"/>
        </w:rPr>
        <w:fldChar w:fldCharType="end"/>
      </w:r>
      <w:r>
        <w:rPr>
          <w:rFonts w:hint="eastAsia" w:asciiTheme="majorEastAsia" w:hAnsiTheme="majorEastAsia" w:eastAsiaTheme="majorEastAsia"/>
          <w:color w:val="auto"/>
        </w:rPr>
        <w:t>，在线申请获取磋商文件（进入“采购业务”应用，在“招标文件下载”菜单中选择项目，申请获取磋商文件，并完成“网上报名”操作。）</w:t>
      </w:r>
    </w:p>
    <w:p>
      <w:pPr>
        <w:pStyle w:val="155"/>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售价（元）：0 </w:t>
      </w:r>
    </w:p>
    <w:p>
      <w:pPr>
        <w:pStyle w:val="155"/>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四、响应文件提交（上传）</w:t>
      </w:r>
    </w:p>
    <w:p>
      <w:pPr>
        <w:pStyle w:val="155"/>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截止时间：2023年</w:t>
      </w:r>
      <w:r>
        <w:rPr>
          <w:rFonts w:hint="eastAsia" w:asciiTheme="majorEastAsia" w:hAnsiTheme="majorEastAsia" w:eastAsiaTheme="majorEastAsia"/>
          <w:color w:val="auto"/>
          <w:szCs w:val="24"/>
          <w:lang w:val="en-US" w:eastAsia="zh-CN"/>
        </w:rPr>
        <w:t xml:space="preserve">  </w:t>
      </w:r>
      <w:r>
        <w:rPr>
          <w:rFonts w:hint="eastAsia" w:asciiTheme="majorEastAsia" w:hAnsiTheme="majorEastAsia" w:eastAsiaTheme="majorEastAsia"/>
          <w:color w:val="auto"/>
          <w:szCs w:val="24"/>
        </w:rPr>
        <w:t>月</w:t>
      </w:r>
      <w:r>
        <w:rPr>
          <w:rFonts w:hint="eastAsia" w:asciiTheme="majorEastAsia" w:hAnsiTheme="majorEastAsia" w:eastAsiaTheme="majorEastAsia"/>
          <w:color w:val="auto"/>
          <w:szCs w:val="24"/>
          <w:lang w:val="en-US" w:eastAsia="zh-CN"/>
        </w:rPr>
        <w:t xml:space="preserve">  </w:t>
      </w:r>
      <w:r>
        <w:rPr>
          <w:rFonts w:hint="eastAsia" w:asciiTheme="majorEastAsia" w:hAnsiTheme="majorEastAsia" w:eastAsiaTheme="majorEastAsia"/>
          <w:color w:val="auto"/>
          <w:szCs w:val="24"/>
        </w:rPr>
        <w:t>日 09:00（北京时间）</w:t>
      </w:r>
    </w:p>
    <w:p>
      <w:pPr>
        <w:pStyle w:val="155"/>
        <w:shd w:val="clear"/>
        <w:spacing w:afterLines="0" w:line="440" w:lineRule="exact"/>
        <w:ind w:firstLine="480"/>
        <w:rPr>
          <w:rFonts w:asciiTheme="majorEastAsia" w:hAnsiTheme="majorEastAsia" w:eastAsiaTheme="majorEastAsia"/>
          <w:color w:val="auto"/>
        </w:rPr>
      </w:pPr>
      <w:r>
        <w:rPr>
          <w:rFonts w:hint="eastAsia" w:asciiTheme="majorEastAsia" w:hAnsiTheme="majorEastAsia" w:eastAsiaTheme="majorEastAsia"/>
          <w:color w:val="auto"/>
          <w:szCs w:val="24"/>
        </w:rPr>
        <w:t>地点（网址）：</w:t>
      </w:r>
      <w:r>
        <w:rPr>
          <w:rFonts w:hint="eastAsia" w:asciiTheme="majorEastAsia" w:hAnsiTheme="majorEastAsia" w:eastAsiaTheme="majorEastAsia"/>
          <w:color w:val="auto"/>
        </w:rPr>
        <w:t>绍兴市迪荡新城惠利街20号鼎盛时代大厦四楼绍兴市公共资源交易中心</w:t>
      </w:r>
      <w:r>
        <w:rPr>
          <w:rFonts w:hint="eastAsia" w:asciiTheme="majorEastAsia" w:hAnsiTheme="majorEastAsia" w:eastAsiaTheme="majorEastAsia"/>
          <w:color w:val="auto"/>
          <w:lang w:val="en-US" w:eastAsia="zh-CN"/>
        </w:rPr>
        <w:t xml:space="preserve">   </w:t>
      </w:r>
      <w:r>
        <w:rPr>
          <w:rFonts w:hint="eastAsia" w:asciiTheme="majorEastAsia" w:hAnsiTheme="majorEastAsia" w:eastAsiaTheme="majorEastAsia"/>
          <w:color w:val="auto"/>
        </w:rPr>
        <w:t>室。</w:t>
      </w:r>
    </w:p>
    <w:p>
      <w:pPr>
        <w:pStyle w:val="155"/>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五、响应文件开启</w:t>
      </w:r>
    </w:p>
    <w:p>
      <w:pPr>
        <w:pStyle w:val="155"/>
        <w:shd w:val="clear"/>
        <w:spacing w:afterLines="0" w:line="440" w:lineRule="exact"/>
        <w:ind w:firstLine="480"/>
        <w:rPr>
          <w:rFonts w:asciiTheme="majorEastAsia" w:hAnsiTheme="majorEastAsia" w:eastAsiaTheme="majorEastAsia"/>
          <w:b/>
          <w:color w:val="auto"/>
          <w:szCs w:val="24"/>
        </w:rPr>
      </w:pPr>
      <w:r>
        <w:rPr>
          <w:rFonts w:hint="eastAsia" w:asciiTheme="majorEastAsia" w:hAnsiTheme="majorEastAsia" w:eastAsiaTheme="majorEastAsia"/>
          <w:color w:val="auto"/>
          <w:szCs w:val="24"/>
        </w:rPr>
        <w:t>开启时间：2023年</w:t>
      </w:r>
      <w:r>
        <w:rPr>
          <w:rFonts w:hint="eastAsia" w:asciiTheme="majorEastAsia" w:hAnsiTheme="majorEastAsia" w:eastAsiaTheme="majorEastAsia"/>
          <w:color w:val="auto"/>
          <w:szCs w:val="24"/>
          <w:lang w:val="en-US" w:eastAsia="zh-CN"/>
        </w:rPr>
        <w:t xml:space="preserve">  </w:t>
      </w:r>
      <w:r>
        <w:rPr>
          <w:rFonts w:hint="eastAsia" w:asciiTheme="majorEastAsia" w:hAnsiTheme="majorEastAsia" w:eastAsiaTheme="majorEastAsia"/>
          <w:color w:val="auto"/>
          <w:szCs w:val="24"/>
        </w:rPr>
        <w:t>月</w:t>
      </w:r>
      <w:r>
        <w:rPr>
          <w:rFonts w:hint="eastAsia" w:asciiTheme="majorEastAsia" w:hAnsiTheme="majorEastAsia" w:eastAsiaTheme="majorEastAsia"/>
          <w:color w:val="auto"/>
          <w:szCs w:val="24"/>
          <w:lang w:val="en-US" w:eastAsia="zh-CN"/>
        </w:rPr>
        <w:t xml:space="preserve">  </w:t>
      </w:r>
      <w:r>
        <w:rPr>
          <w:rFonts w:hint="eastAsia" w:asciiTheme="majorEastAsia" w:hAnsiTheme="majorEastAsia" w:eastAsiaTheme="majorEastAsia"/>
          <w:color w:val="auto"/>
          <w:szCs w:val="24"/>
        </w:rPr>
        <w:t>日 09:00（北京时间）</w:t>
      </w:r>
    </w:p>
    <w:p>
      <w:pPr>
        <w:pStyle w:val="155"/>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地点（网址）：绍兴市迪荡新城惠利街20号鼎盛时代大厦四楼绍兴市公共资源交易中心</w:t>
      </w:r>
      <w:r>
        <w:rPr>
          <w:rFonts w:hint="eastAsia" w:asciiTheme="majorEastAsia" w:hAnsiTheme="majorEastAsia" w:eastAsiaTheme="majorEastAsia"/>
          <w:color w:val="auto"/>
          <w:szCs w:val="24"/>
          <w:lang w:val="en-US" w:eastAsia="zh-CN"/>
        </w:rPr>
        <w:t xml:space="preserve">  </w:t>
      </w:r>
      <w:r>
        <w:rPr>
          <w:rFonts w:hint="eastAsia" w:asciiTheme="majorEastAsia" w:hAnsiTheme="majorEastAsia" w:eastAsiaTheme="majorEastAsia"/>
          <w:color w:val="auto"/>
          <w:szCs w:val="24"/>
        </w:rPr>
        <w:t>室。  </w:t>
      </w:r>
    </w:p>
    <w:p>
      <w:pPr>
        <w:pStyle w:val="155"/>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六、公告期限 </w:t>
      </w:r>
    </w:p>
    <w:p>
      <w:pPr>
        <w:pStyle w:val="155"/>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自本公告发布之日起3个工作日。</w:t>
      </w:r>
    </w:p>
    <w:p>
      <w:pPr>
        <w:pStyle w:val="155"/>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七、其他补充事宜</w:t>
      </w:r>
    </w:p>
    <w:p>
      <w:pPr>
        <w:pStyle w:val="155"/>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1.磋商响应人认为磋商文件使自己的权益受到损害的，可以自获取磋商文件之日或者磋商文件公告期限届满之日（公告期限届满后获取磋商文件的，以公告期限届满之日为准）起7个工作日内，以书面形式向采购人和采购代理机构提出质疑。质疑磋商响应人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155"/>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2.其他事项：无  </w:t>
      </w:r>
    </w:p>
    <w:p>
      <w:pPr>
        <w:pStyle w:val="155"/>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八、对本次采购提出询问、质疑、投诉，请按以下方式联系</w:t>
      </w:r>
    </w:p>
    <w:p>
      <w:pPr>
        <w:pStyle w:val="155"/>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1.采购人信息</w:t>
      </w:r>
    </w:p>
    <w:p>
      <w:pPr>
        <w:pStyle w:val="155"/>
        <w:shd w:val="clear"/>
        <w:spacing w:afterLines="0" w:line="440" w:lineRule="exact"/>
        <w:ind w:firstLine="480"/>
        <w:rPr>
          <w:rFonts w:hint="eastAsia" w:asciiTheme="majorEastAsia" w:hAnsiTheme="majorEastAsia" w:eastAsiaTheme="majorEastAsia"/>
          <w:color w:val="auto"/>
          <w:szCs w:val="24"/>
          <w:lang w:eastAsia="zh-CN"/>
        </w:rPr>
      </w:pPr>
      <w:r>
        <w:rPr>
          <w:rFonts w:hint="eastAsia" w:asciiTheme="majorEastAsia" w:hAnsiTheme="majorEastAsia" w:eastAsiaTheme="majorEastAsia"/>
          <w:color w:val="auto"/>
          <w:szCs w:val="24"/>
        </w:rPr>
        <w:t>名称：</w:t>
      </w:r>
      <w:r>
        <w:rPr>
          <w:rFonts w:hint="eastAsia" w:asciiTheme="majorEastAsia" w:hAnsiTheme="majorEastAsia" w:eastAsiaTheme="majorEastAsia"/>
          <w:color w:val="auto"/>
          <w:szCs w:val="24"/>
          <w:lang w:eastAsia="zh-CN"/>
        </w:rPr>
        <w:t>绍兴银行股份有限公司</w:t>
      </w:r>
    </w:p>
    <w:p>
      <w:pPr>
        <w:pStyle w:val="155"/>
        <w:shd w:val="clear"/>
        <w:spacing w:afterLines="0" w:line="440" w:lineRule="exact"/>
        <w:ind w:firstLine="480"/>
        <w:rPr>
          <w:rFonts w:hint="eastAsia" w:cs="Times New Roman" w:asciiTheme="majorEastAsia" w:hAnsiTheme="majorEastAsia" w:eastAsiaTheme="majorEastAsia"/>
          <w:color w:val="auto"/>
          <w:szCs w:val="24"/>
          <w:lang w:eastAsia="zh-CN"/>
        </w:rPr>
      </w:pPr>
      <w:r>
        <w:rPr>
          <w:rFonts w:hint="eastAsia" w:asciiTheme="majorEastAsia" w:hAnsiTheme="majorEastAsia" w:eastAsiaTheme="majorEastAsia"/>
          <w:color w:val="auto"/>
          <w:szCs w:val="24"/>
        </w:rPr>
        <w:t>地址：</w:t>
      </w:r>
      <w:r>
        <w:rPr>
          <w:rFonts w:hint="eastAsia" w:cs="Times New Roman" w:asciiTheme="majorEastAsia" w:hAnsiTheme="majorEastAsia" w:eastAsiaTheme="majorEastAsia"/>
          <w:color w:val="auto"/>
          <w:szCs w:val="24"/>
          <w:lang w:eastAsia="zh-CN"/>
        </w:rPr>
        <w:t>绍兴市越城区中兴南路1号</w:t>
      </w:r>
    </w:p>
    <w:p>
      <w:pPr>
        <w:pStyle w:val="155"/>
        <w:shd w:val="clear"/>
        <w:spacing w:afterLines="0" w:line="440" w:lineRule="exact"/>
        <w:ind w:firstLine="480"/>
        <w:rPr>
          <w:rFonts w:hint="eastAsia" w:cs="Times New Roman" w:asciiTheme="majorEastAsia" w:hAnsiTheme="majorEastAsia" w:eastAsiaTheme="majorEastAsia"/>
          <w:color w:val="auto"/>
          <w:szCs w:val="24"/>
          <w:lang w:eastAsia="zh-CN"/>
        </w:rPr>
      </w:pPr>
      <w:r>
        <w:rPr>
          <w:rFonts w:hint="eastAsia" w:asciiTheme="majorEastAsia" w:hAnsiTheme="majorEastAsia" w:eastAsiaTheme="majorEastAsia"/>
          <w:color w:val="auto"/>
          <w:szCs w:val="24"/>
        </w:rPr>
        <w:t>项目联系人（询问）：徐丹瑶</w:t>
      </w:r>
      <w:r>
        <w:rPr>
          <w:rFonts w:hint="eastAsia" w:cs="Times New Roman" w:asciiTheme="majorEastAsia" w:hAnsiTheme="majorEastAsia" w:eastAsiaTheme="majorEastAsia"/>
          <w:color w:val="auto"/>
          <w:szCs w:val="24"/>
          <w:lang w:eastAsia="zh-CN"/>
        </w:rPr>
        <w:t xml:space="preserve"> </w:t>
      </w:r>
    </w:p>
    <w:p>
      <w:pPr>
        <w:pStyle w:val="155"/>
        <w:shd w:val="clear"/>
        <w:spacing w:afterLines="0" w:line="440" w:lineRule="exact"/>
        <w:ind w:firstLine="480"/>
        <w:rPr>
          <w:rFonts w:hint="eastAsia" w:asciiTheme="majorEastAsia" w:hAnsiTheme="majorEastAsia" w:eastAsiaTheme="majorEastAsia"/>
          <w:color w:val="auto"/>
          <w:szCs w:val="24"/>
        </w:rPr>
      </w:pPr>
      <w:r>
        <w:rPr>
          <w:rFonts w:hint="eastAsia" w:asciiTheme="majorEastAsia" w:hAnsiTheme="majorEastAsia" w:eastAsiaTheme="majorEastAsia"/>
          <w:color w:val="auto"/>
          <w:szCs w:val="24"/>
        </w:rPr>
        <w:t>项目联系方式（询问）：0575-85735876</w:t>
      </w:r>
    </w:p>
    <w:p>
      <w:pPr>
        <w:pStyle w:val="155"/>
        <w:shd w:val="clear"/>
        <w:spacing w:afterLines="0" w:line="440" w:lineRule="exact"/>
        <w:ind w:firstLine="480"/>
        <w:rPr>
          <w:rFonts w:hint="eastAsia" w:asciiTheme="majorEastAsia" w:hAnsiTheme="majorEastAsia" w:eastAsiaTheme="majorEastAsia"/>
          <w:color w:val="auto"/>
          <w:szCs w:val="24"/>
        </w:rPr>
      </w:pPr>
      <w:r>
        <w:rPr>
          <w:rFonts w:hint="eastAsia" w:asciiTheme="majorEastAsia" w:hAnsiTheme="majorEastAsia" w:eastAsiaTheme="majorEastAsia"/>
          <w:color w:val="auto"/>
          <w:szCs w:val="24"/>
        </w:rPr>
        <w:t>质疑联系人：</w:t>
      </w:r>
      <w:r>
        <w:rPr>
          <w:rFonts w:hint="eastAsia" w:asciiTheme="majorEastAsia" w:hAnsiTheme="majorEastAsia" w:eastAsiaTheme="majorEastAsia"/>
          <w:color w:val="auto"/>
          <w:szCs w:val="24"/>
          <w:lang w:eastAsia="zh-CN"/>
        </w:rPr>
        <w:t>汪兴强</w:t>
      </w:r>
    </w:p>
    <w:p>
      <w:pPr>
        <w:pStyle w:val="155"/>
        <w:shd w:val="clear"/>
        <w:spacing w:afterLines="0" w:line="440" w:lineRule="exact"/>
        <w:ind w:firstLine="480"/>
        <w:rPr>
          <w:rFonts w:hint="eastAsia" w:asciiTheme="majorEastAsia" w:hAnsiTheme="majorEastAsia" w:eastAsiaTheme="majorEastAsia"/>
          <w:color w:val="auto"/>
          <w:szCs w:val="24"/>
        </w:rPr>
      </w:pPr>
      <w:r>
        <w:rPr>
          <w:rFonts w:hint="eastAsia" w:asciiTheme="majorEastAsia" w:hAnsiTheme="majorEastAsia" w:eastAsiaTheme="majorEastAsia"/>
          <w:color w:val="auto"/>
          <w:szCs w:val="24"/>
        </w:rPr>
        <w:t>质疑联系方式：0575-85097131</w:t>
      </w:r>
    </w:p>
    <w:p>
      <w:pPr>
        <w:pStyle w:val="155"/>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 xml:space="preserve">2.采购代理机构信息       </w:t>
      </w:r>
    </w:p>
    <w:p>
      <w:pPr>
        <w:pStyle w:val="155"/>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名称：</w:t>
      </w:r>
      <w:r>
        <w:rPr>
          <w:rFonts w:hint="eastAsia" w:asciiTheme="majorEastAsia" w:hAnsiTheme="majorEastAsia" w:eastAsiaTheme="majorEastAsia"/>
          <w:color w:val="auto"/>
          <w:szCs w:val="24"/>
          <w:lang w:eastAsia="zh-CN"/>
        </w:rPr>
        <w:t>浙江华元工程咨询有限公司</w:t>
      </w:r>
      <w:r>
        <w:rPr>
          <w:rFonts w:hint="eastAsia" w:asciiTheme="majorEastAsia" w:hAnsiTheme="majorEastAsia" w:eastAsiaTheme="majorEastAsia"/>
          <w:color w:val="auto"/>
          <w:szCs w:val="24"/>
        </w:rPr>
        <w:t xml:space="preserve">       </w:t>
      </w:r>
    </w:p>
    <w:p>
      <w:pPr>
        <w:pStyle w:val="155"/>
        <w:shd w:val="clear"/>
        <w:spacing w:afterLines="0" w:line="440" w:lineRule="exact"/>
        <w:ind w:firstLine="480"/>
        <w:rPr>
          <w:rFonts w:hint="eastAsia" w:asciiTheme="majorEastAsia" w:hAnsiTheme="majorEastAsia" w:eastAsiaTheme="majorEastAsia"/>
          <w:color w:val="auto"/>
          <w:szCs w:val="24"/>
          <w:lang w:eastAsia="zh-CN"/>
        </w:rPr>
      </w:pPr>
      <w:r>
        <w:rPr>
          <w:rFonts w:hint="eastAsia" w:asciiTheme="majorEastAsia" w:hAnsiTheme="majorEastAsia" w:eastAsiaTheme="majorEastAsia"/>
          <w:color w:val="auto"/>
          <w:szCs w:val="24"/>
        </w:rPr>
        <w:t>地址：</w:t>
      </w:r>
      <w:r>
        <w:rPr>
          <w:rFonts w:hint="eastAsia" w:asciiTheme="majorEastAsia" w:hAnsiTheme="majorEastAsia" w:eastAsiaTheme="majorEastAsia"/>
          <w:color w:val="auto"/>
          <w:szCs w:val="24"/>
          <w:lang w:eastAsia="zh-CN"/>
        </w:rPr>
        <w:t>绍兴市梅龙湖路56号1402室</w:t>
      </w:r>
    </w:p>
    <w:p>
      <w:pPr>
        <w:pStyle w:val="155"/>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传真：</w:t>
      </w:r>
      <w:r>
        <w:rPr>
          <w:rFonts w:hint="eastAsia" w:asciiTheme="majorEastAsia" w:hAnsiTheme="majorEastAsia" w:eastAsiaTheme="majorEastAsia"/>
          <w:color w:val="auto"/>
          <w:szCs w:val="24"/>
          <w:lang w:val="en-US" w:eastAsia="zh-CN"/>
        </w:rPr>
        <w:t>/</w:t>
      </w:r>
      <w:r>
        <w:rPr>
          <w:rFonts w:hint="eastAsia" w:asciiTheme="majorEastAsia" w:hAnsiTheme="majorEastAsia" w:eastAsiaTheme="majorEastAsia"/>
          <w:color w:val="auto"/>
          <w:szCs w:val="24"/>
        </w:rPr>
        <w:t xml:space="preserve">      </w:t>
      </w:r>
    </w:p>
    <w:p>
      <w:pPr>
        <w:pStyle w:val="155"/>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项目联系人（询问）：</w:t>
      </w:r>
      <w:r>
        <w:rPr>
          <w:rFonts w:hint="eastAsia" w:asciiTheme="majorEastAsia" w:hAnsiTheme="majorEastAsia" w:eastAsiaTheme="majorEastAsia"/>
          <w:color w:val="auto"/>
          <w:szCs w:val="24"/>
          <w:lang w:eastAsia="zh-CN"/>
        </w:rPr>
        <w:t>陈国萍</w:t>
      </w:r>
      <w:r>
        <w:rPr>
          <w:rFonts w:hint="eastAsia" w:asciiTheme="majorEastAsia" w:hAnsiTheme="majorEastAsia" w:eastAsiaTheme="majorEastAsia"/>
          <w:color w:val="auto"/>
          <w:szCs w:val="24"/>
        </w:rPr>
        <w:t xml:space="preserve">       </w:t>
      </w:r>
    </w:p>
    <w:p>
      <w:pPr>
        <w:pStyle w:val="155"/>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项目联系方式（询问）：</w:t>
      </w:r>
      <w:r>
        <w:rPr>
          <w:rFonts w:hint="eastAsia" w:asciiTheme="majorEastAsia" w:hAnsiTheme="majorEastAsia" w:eastAsiaTheme="majorEastAsia"/>
          <w:color w:val="auto"/>
          <w:szCs w:val="24"/>
          <w:lang w:eastAsia="zh-CN"/>
        </w:rPr>
        <w:t>15988275574</w:t>
      </w:r>
      <w:r>
        <w:rPr>
          <w:rFonts w:hint="eastAsia" w:asciiTheme="majorEastAsia" w:hAnsiTheme="majorEastAsia" w:eastAsiaTheme="majorEastAsia"/>
          <w:color w:val="auto"/>
          <w:szCs w:val="24"/>
        </w:rPr>
        <w:t xml:space="preserve"> </w:t>
      </w:r>
    </w:p>
    <w:p>
      <w:pPr>
        <w:pStyle w:val="155"/>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质疑联系人：</w:t>
      </w:r>
      <w:r>
        <w:rPr>
          <w:rFonts w:hint="eastAsia" w:asciiTheme="majorEastAsia" w:hAnsiTheme="majorEastAsia" w:eastAsiaTheme="majorEastAsia"/>
          <w:color w:val="auto"/>
          <w:szCs w:val="24"/>
          <w:lang w:eastAsia="zh-CN"/>
        </w:rPr>
        <w:t>马丽燕</w:t>
      </w:r>
      <w:r>
        <w:rPr>
          <w:rFonts w:hint="eastAsia" w:asciiTheme="majorEastAsia" w:hAnsiTheme="majorEastAsia" w:eastAsiaTheme="majorEastAsia"/>
          <w:color w:val="auto"/>
          <w:szCs w:val="24"/>
        </w:rPr>
        <w:t xml:space="preserve">       </w:t>
      </w:r>
    </w:p>
    <w:p>
      <w:pPr>
        <w:pStyle w:val="155"/>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质疑联系方式：0575-</w:t>
      </w:r>
      <w:r>
        <w:rPr>
          <w:rFonts w:hint="eastAsia" w:asciiTheme="majorEastAsia" w:hAnsiTheme="majorEastAsia" w:eastAsiaTheme="majorEastAsia"/>
          <w:color w:val="auto"/>
          <w:szCs w:val="24"/>
          <w:lang w:eastAsia="zh-CN"/>
        </w:rPr>
        <w:t>85133886</w:t>
      </w:r>
      <w:r>
        <w:rPr>
          <w:rFonts w:hint="eastAsia" w:asciiTheme="majorEastAsia" w:hAnsiTheme="majorEastAsia" w:eastAsiaTheme="majorEastAsia"/>
          <w:color w:val="auto"/>
          <w:szCs w:val="24"/>
        </w:rPr>
        <w:t xml:space="preserve">　　   </w:t>
      </w:r>
    </w:p>
    <w:p>
      <w:pPr>
        <w:pStyle w:val="155"/>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 xml:space="preserve">3.监督管理部门       </w:t>
      </w:r>
    </w:p>
    <w:p>
      <w:pPr>
        <w:pStyle w:val="155"/>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 xml:space="preserve">名称：中共绍兴市纪委绍兴市监委驻绍兴银行股份有限公司纪检监察组      </w:t>
      </w:r>
    </w:p>
    <w:p>
      <w:pPr>
        <w:pStyle w:val="155"/>
        <w:shd w:val="clear"/>
        <w:spacing w:afterLines="0" w:line="440" w:lineRule="exact"/>
        <w:ind w:firstLine="480"/>
        <w:rPr>
          <w:rFonts w:hint="default" w:asciiTheme="majorEastAsia" w:hAnsiTheme="majorEastAsia" w:eastAsiaTheme="majorEastAsia"/>
          <w:color w:val="auto"/>
          <w:szCs w:val="24"/>
          <w:lang w:val="en-US" w:eastAsia="zh-CN"/>
        </w:rPr>
      </w:pPr>
      <w:r>
        <w:rPr>
          <w:rFonts w:hint="eastAsia" w:asciiTheme="majorEastAsia" w:hAnsiTheme="majorEastAsia" w:eastAsiaTheme="majorEastAsia"/>
          <w:color w:val="auto"/>
          <w:szCs w:val="24"/>
        </w:rPr>
        <w:t>地址：</w:t>
      </w:r>
      <w:r>
        <w:rPr>
          <w:rFonts w:asciiTheme="majorEastAsia" w:hAnsiTheme="majorEastAsia" w:eastAsiaTheme="majorEastAsia"/>
          <w:color w:val="auto"/>
          <w:szCs w:val="24"/>
        </w:rPr>
        <w:t>绍兴市</w:t>
      </w:r>
      <w:r>
        <w:rPr>
          <w:rFonts w:hint="eastAsia" w:asciiTheme="majorEastAsia" w:hAnsiTheme="majorEastAsia" w:eastAsiaTheme="majorEastAsia"/>
          <w:color w:val="auto"/>
          <w:szCs w:val="24"/>
          <w:lang w:val="en-US" w:eastAsia="zh-CN"/>
        </w:rPr>
        <w:t>中兴南路1号</w:t>
      </w:r>
    </w:p>
    <w:p>
      <w:pPr>
        <w:pStyle w:val="155"/>
        <w:shd w:val="clear"/>
        <w:spacing w:afterLines="0" w:line="440" w:lineRule="exact"/>
        <w:ind w:firstLine="480"/>
        <w:rPr>
          <w:rFonts w:hint="default" w:asciiTheme="majorEastAsia" w:hAnsiTheme="majorEastAsia" w:eastAsiaTheme="majorEastAsia"/>
          <w:color w:val="auto"/>
          <w:szCs w:val="24"/>
          <w:lang w:val="en-US" w:eastAsia="zh-CN"/>
        </w:rPr>
      </w:pPr>
      <w:r>
        <w:rPr>
          <w:rFonts w:hint="eastAsia" w:asciiTheme="majorEastAsia" w:hAnsiTheme="majorEastAsia" w:eastAsiaTheme="majorEastAsia"/>
          <w:color w:val="auto"/>
          <w:szCs w:val="24"/>
        </w:rPr>
        <w:t>联系人 ：</w:t>
      </w:r>
      <w:r>
        <w:rPr>
          <w:rFonts w:hint="eastAsia" w:asciiTheme="majorEastAsia" w:hAnsiTheme="majorEastAsia" w:eastAsiaTheme="majorEastAsia"/>
          <w:color w:val="auto"/>
          <w:szCs w:val="24"/>
          <w:lang w:val="en-US" w:eastAsia="zh-CN"/>
        </w:rPr>
        <w:t>张磊</w:t>
      </w:r>
    </w:p>
    <w:p>
      <w:pPr>
        <w:pStyle w:val="155"/>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监督电话：0575-85113494</w:t>
      </w:r>
    </w:p>
    <w:p>
      <w:pPr>
        <w:pStyle w:val="155"/>
        <w:shd w:val="clear"/>
        <w:spacing w:afterLines="0" w:line="440" w:lineRule="exact"/>
        <w:ind w:firstLine="480"/>
        <w:rPr>
          <w:rFonts w:asciiTheme="majorEastAsia" w:hAnsiTheme="majorEastAsia" w:eastAsiaTheme="majorEastAsia"/>
          <w:color w:val="auto"/>
          <w:szCs w:val="24"/>
        </w:rPr>
      </w:pPr>
    </w:p>
    <w:p>
      <w:pPr>
        <w:pageBreakBefore/>
        <w:shd w:val="clear"/>
        <w:ind w:left="238"/>
        <w:jc w:val="center"/>
        <w:rPr>
          <w:rFonts w:asciiTheme="majorEastAsia" w:hAnsiTheme="majorEastAsia" w:eastAsiaTheme="majorEastAsia"/>
          <w:b/>
          <w:color w:val="auto"/>
          <w:sz w:val="36"/>
          <w:szCs w:val="36"/>
        </w:rPr>
      </w:pPr>
      <w:r>
        <w:rPr>
          <w:rFonts w:hint="eastAsia" w:asciiTheme="majorEastAsia" w:hAnsiTheme="majorEastAsia" w:eastAsiaTheme="majorEastAsia"/>
          <w:b/>
          <w:color w:val="auto"/>
          <w:sz w:val="36"/>
          <w:szCs w:val="36"/>
        </w:rPr>
        <w:t>第二部分 磋商须知</w:t>
      </w:r>
    </w:p>
    <w:p>
      <w:pPr>
        <w:shd w:val="clear"/>
        <w:ind w:left="238"/>
        <w:jc w:val="center"/>
        <w:rPr>
          <w:rFonts w:asciiTheme="majorEastAsia" w:hAnsiTheme="majorEastAsia" w:eastAsiaTheme="majorEastAsia"/>
          <w:b/>
          <w:color w:val="auto"/>
          <w:sz w:val="30"/>
          <w:szCs w:val="36"/>
        </w:rPr>
      </w:pPr>
      <w:r>
        <w:rPr>
          <w:rFonts w:hint="eastAsia" w:asciiTheme="majorEastAsia" w:hAnsiTheme="majorEastAsia" w:eastAsiaTheme="majorEastAsia"/>
          <w:b/>
          <w:color w:val="auto"/>
          <w:sz w:val="30"/>
          <w:szCs w:val="36"/>
        </w:rPr>
        <w:t>前附表</w:t>
      </w:r>
    </w:p>
    <w:tbl>
      <w:tblPr>
        <w:tblStyle w:val="90"/>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55"/>
        <w:gridCol w:w="7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vAlign w:val="center"/>
          </w:tcPr>
          <w:p>
            <w:pPr>
              <w:shd w:val="clear"/>
              <w:spacing w:beforeLines="50" w:afterLines="30" w:line="30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序号</w:t>
            </w:r>
          </w:p>
        </w:tc>
        <w:tc>
          <w:tcPr>
            <w:tcW w:w="8371" w:type="dxa"/>
            <w:gridSpan w:val="2"/>
            <w:vAlign w:val="center"/>
          </w:tcPr>
          <w:p>
            <w:pPr>
              <w:shd w:val="clear"/>
              <w:spacing w:beforeLines="50" w:afterLines="30" w:line="30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869" w:type="dxa"/>
            <w:vAlign w:val="center"/>
          </w:tcPr>
          <w:p>
            <w:pPr>
              <w:shd w:val="clear"/>
              <w:spacing w:line="44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1</w:t>
            </w:r>
          </w:p>
        </w:tc>
        <w:tc>
          <w:tcPr>
            <w:tcW w:w="8371" w:type="dxa"/>
            <w:gridSpan w:val="2"/>
            <w:vAlign w:val="center"/>
          </w:tcPr>
          <w:p>
            <w:pPr>
              <w:shd w:val="clear"/>
              <w:snapToGrid w:val="0"/>
              <w:spacing w:line="440" w:lineRule="exact"/>
              <w:rPr>
                <w:rFonts w:cs="仿宋_GB2312" w:asciiTheme="majorEastAsia" w:hAnsiTheme="majorEastAsia" w:eastAsiaTheme="majorEastAsia"/>
                <w:color w:val="auto"/>
                <w:sz w:val="24"/>
              </w:rPr>
            </w:pPr>
            <w:r>
              <w:rPr>
                <w:rFonts w:hint="eastAsia" w:cs="仿宋_GB2312" w:asciiTheme="majorEastAsia" w:hAnsiTheme="majorEastAsia" w:eastAsiaTheme="majorEastAsia"/>
                <w:b/>
                <w:color w:val="auto"/>
                <w:sz w:val="24"/>
              </w:rPr>
              <w:t>磋商响应人应当提交的资格、资信证明文件</w:t>
            </w:r>
            <w:r>
              <w:rPr>
                <w:rFonts w:hint="eastAsia" w:cs="仿宋_GB2312" w:asciiTheme="majorEastAsia" w:hAnsiTheme="majorEastAsia" w:eastAsiaTheme="majorEastAsia"/>
                <w:color w:val="auto"/>
                <w:sz w:val="24"/>
              </w:rPr>
              <w:t>：</w:t>
            </w:r>
          </w:p>
          <w:p>
            <w:pPr>
              <w:shd w:val="clear"/>
              <w:spacing w:line="440" w:lineRule="exact"/>
              <w:ind w:firstLine="480" w:firstLineChars="200"/>
              <w:rPr>
                <w:rFonts w:asciiTheme="majorEastAsia" w:hAnsiTheme="majorEastAsia" w:eastAsiaTheme="majorEastAsia"/>
                <w:b/>
                <w:color w:val="auto"/>
                <w:sz w:val="24"/>
              </w:rPr>
            </w:pPr>
            <w:r>
              <w:rPr>
                <w:rFonts w:hint="eastAsia" w:cs="仿宋_GB2312" w:asciiTheme="majorEastAsia" w:hAnsiTheme="majorEastAsia" w:eastAsiaTheme="majorEastAsia"/>
                <w:color w:val="auto"/>
                <w:sz w:val="24"/>
              </w:rPr>
              <w:t>法律和国务院行政法规规定或授权有关部门规定磋商响应人或产品进入市场须先行取得相关认证或许可的，磋商响应人须在磋商响应文件中提供相关的认证或许可证明材料。未经认证、许可，或者虽经认证、许可但相关资质证书已经失效的磋商响应人，不能推荐、确认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869" w:type="dxa"/>
            <w:vAlign w:val="center"/>
          </w:tcPr>
          <w:p>
            <w:pPr>
              <w:shd w:val="clear"/>
              <w:spacing w:line="44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2</w:t>
            </w:r>
          </w:p>
        </w:tc>
        <w:tc>
          <w:tcPr>
            <w:tcW w:w="8371" w:type="dxa"/>
            <w:gridSpan w:val="2"/>
            <w:vAlign w:val="center"/>
          </w:tcPr>
          <w:p>
            <w:pPr>
              <w:shd w:val="clear"/>
              <w:snapToGrid w:val="0"/>
              <w:spacing w:line="440" w:lineRule="exact"/>
              <w:rPr>
                <w:rFonts w:cs="仿宋_GB2312" w:asciiTheme="majorEastAsia" w:hAnsiTheme="majorEastAsia" w:eastAsiaTheme="majorEastAsia"/>
                <w:b/>
                <w:color w:val="auto"/>
                <w:sz w:val="24"/>
              </w:rPr>
            </w:pPr>
            <w:r>
              <w:rPr>
                <w:rFonts w:hint="eastAsia" w:cs="仿宋_GB2312" w:asciiTheme="majorEastAsia" w:hAnsiTheme="majorEastAsia" w:eastAsiaTheme="majorEastAsia"/>
                <w:b/>
                <w:color w:val="auto"/>
                <w:sz w:val="24"/>
              </w:rPr>
              <w:t>资格审查方式：</w:t>
            </w:r>
          </w:p>
          <w:p>
            <w:pPr>
              <w:shd w:val="clear"/>
              <w:snapToGrid w:val="0"/>
              <w:spacing w:line="440" w:lineRule="exact"/>
              <w:rPr>
                <w:rFonts w:cs="仿宋_GB2312" w:asciiTheme="majorEastAsia" w:hAnsiTheme="majorEastAsia" w:eastAsiaTheme="majorEastAsia"/>
                <w:b/>
                <w:color w:val="auto"/>
                <w:sz w:val="24"/>
              </w:rPr>
            </w:pPr>
            <w:r>
              <w:rPr>
                <w:rFonts w:hint="eastAsia" w:cs="仿宋_GB2312" w:asciiTheme="majorEastAsia" w:hAnsiTheme="majorEastAsia" w:eastAsiaTheme="majorEastAsia"/>
                <w:b/>
                <w:color w:val="auto"/>
                <w:sz w:val="24"/>
              </w:rPr>
              <w:t>1.资格后审。</w:t>
            </w:r>
          </w:p>
          <w:p>
            <w:pPr>
              <w:shd w:val="clear"/>
              <w:snapToGrid w:val="0"/>
              <w:spacing w:line="440" w:lineRule="exact"/>
              <w:rPr>
                <w:rFonts w:cs="仿宋_GB2312" w:asciiTheme="majorEastAsia" w:hAnsiTheme="majorEastAsia" w:eastAsiaTheme="majorEastAsia"/>
                <w:b/>
                <w:color w:val="auto"/>
                <w:sz w:val="24"/>
              </w:rPr>
            </w:pPr>
            <w:r>
              <w:rPr>
                <w:rFonts w:hint="eastAsia" w:cs="仿宋_GB2312" w:asciiTheme="majorEastAsia" w:hAnsiTheme="majorEastAsia" w:eastAsiaTheme="majorEastAsia"/>
                <w:b/>
                <w:color w:val="auto"/>
                <w:sz w:val="24"/>
              </w:rPr>
              <w:t>2.法定代表人的被授权委托人必须是磋商响应人本单位职工。需在磋商响应文件技术部分内提供由社保机构出具的该授权代表的社保证明（1.如该授权代表为离退休返聘人员的，磋商响应文件技术部分内需提供退休证明及单位聘用证明;2.如由第三方代理社保事项的，则需提供加盖磋商响应人公章的委托代理协议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vAlign w:val="center"/>
          </w:tcPr>
          <w:p>
            <w:pPr>
              <w:shd w:val="clear"/>
              <w:spacing w:line="44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3</w:t>
            </w:r>
          </w:p>
        </w:tc>
        <w:tc>
          <w:tcPr>
            <w:tcW w:w="8371" w:type="dxa"/>
            <w:gridSpan w:val="2"/>
            <w:vAlign w:val="center"/>
          </w:tcPr>
          <w:p>
            <w:pPr>
              <w:shd w:val="clear"/>
              <w:autoSpaceDE w:val="0"/>
              <w:autoSpaceDN w:val="0"/>
              <w:spacing w:line="440" w:lineRule="exact"/>
              <w:textAlignment w:val="bottom"/>
              <w:rPr>
                <w:rFonts w:asciiTheme="majorEastAsia" w:hAnsiTheme="majorEastAsia" w:eastAsiaTheme="majorEastAsia"/>
                <w:color w:val="auto"/>
                <w:sz w:val="24"/>
              </w:rPr>
            </w:pPr>
            <w:r>
              <w:rPr>
                <w:rFonts w:hint="eastAsia" w:asciiTheme="majorEastAsia" w:hAnsiTheme="majorEastAsia" w:eastAsiaTheme="majorEastAsia"/>
                <w:b/>
                <w:color w:val="auto"/>
                <w:sz w:val="24"/>
              </w:rPr>
              <w:t>磋商有效期：</w:t>
            </w:r>
            <w:r>
              <w:rPr>
                <w:rFonts w:hint="eastAsia" w:cs="仿宋_GB2312" w:asciiTheme="majorEastAsia" w:hAnsiTheme="majorEastAsia" w:eastAsiaTheme="majorEastAsia"/>
                <w:color w:val="auto"/>
                <w:sz w:val="24"/>
              </w:rPr>
              <w:t>有效期为从提交磋商响应文件的截止之日起90天。</w:t>
            </w:r>
            <w:r>
              <w:rPr>
                <w:rFonts w:hint="eastAsia" w:cs="仿宋_GB2312" w:asciiTheme="majorEastAsia" w:hAnsiTheme="majorEastAsia" w:eastAsiaTheme="majorEastAsia"/>
                <w:b/>
                <w:color w:val="auto"/>
                <w:sz w:val="24"/>
              </w:rPr>
              <w:t>磋商响应人的磋商文件中承</w:t>
            </w:r>
            <w:r>
              <w:rPr>
                <w:rFonts w:hint="eastAsia" w:cs="仿宋_GB2312" w:asciiTheme="majorEastAsia" w:hAnsiTheme="majorEastAsia" w:eastAsiaTheme="majorEastAsia"/>
                <w:b/>
                <w:color w:val="auto"/>
                <w:sz w:val="24"/>
                <w:szCs w:val="21"/>
              </w:rPr>
              <w:t>诺的磋商有效期少于磋商文件中载明的磋商有效期的，磋商无效。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69" w:type="dxa"/>
            <w:vAlign w:val="center"/>
          </w:tcPr>
          <w:p>
            <w:pPr>
              <w:shd w:val="clear"/>
              <w:spacing w:line="44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4</w:t>
            </w:r>
          </w:p>
        </w:tc>
        <w:tc>
          <w:tcPr>
            <w:tcW w:w="8371" w:type="dxa"/>
            <w:gridSpan w:val="2"/>
            <w:vAlign w:val="center"/>
          </w:tcPr>
          <w:p>
            <w:pPr>
              <w:shd w:val="clear"/>
              <w:spacing w:line="420" w:lineRule="exact"/>
              <w:rPr>
                <w:rFonts w:asciiTheme="majorEastAsia" w:hAnsiTheme="majorEastAsia" w:eastAsiaTheme="majorEastAsia"/>
                <w:color w:val="auto"/>
                <w:sz w:val="24"/>
              </w:rPr>
            </w:pPr>
            <w:r>
              <w:rPr>
                <w:rFonts w:hint="eastAsia" w:cs="仿宋_GB2312" w:asciiTheme="majorEastAsia" w:hAnsiTheme="majorEastAsia" w:eastAsiaTheme="majorEastAsia"/>
                <w:b/>
                <w:color w:val="auto"/>
                <w:sz w:val="24"/>
              </w:rPr>
              <w:t>转包：</w:t>
            </w:r>
            <w:r>
              <w:rPr>
                <w:rFonts w:hint="eastAsia" w:cs="仿宋_GB2312" w:asciiTheme="majorEastAsia" w:hAnsiTheme="majorEastAsia" w:eastAsiaTheme="majorEastAsia"/>
                <w:color w:val="auto"/>
                <w:sz w:val="24"/>
              </w:rPr>
              <w:t>本项目不得转包。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69" w:type="dxa"/>
            <w:vAlign w:val="center"/>
          </w:tcPr>
          <w:p>
            <w:pPr>
              <w:shd w:val="clear"/>
              <w:spacing w:line="44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5</w:t>
            </w:r>
          </w:p>
        </w:tc>
        <w:tc>
          <w:tcPr>
            <w:tcW w:w="8371" w:type="dxa"/>
            <w:gridSpan w:val="2"/>
            <w:vAlign w:val="center"/>
          </w:tcPr>
          <w:p>
            <w:pPr>
              <w:shd w:val="clear"/>
              <w:spacing w:line="440" w:lineRule="exact"/>
              <w:rPr>
                <w:rFonts w:asciiTheme="majorEastAsia" w:hAnsiTheme="majorEastAsia" w:eastAsiaTheme="majorEastAsia"/>
                <w:color w:val="auto"/>
                <w:sz w:val="24"/>
              </w:rPr>
            </w:pPr>
            <w:r>
              <w:rPr>
                <w:rFonts w:hint="eastAsia" w:cs="仿宋_GB2312" w:asciiTheme="majorEastAsia" w:hAnsiTheme="majorEastAsia" w:eastAsiaTheme="majorEastAsia"/>
                <w:b/>
                <w:color w:val="auto"/>
                <w:sz w:val="24"/>
              </w:rPr>
              <w:t>分包：</w:t>
            </w:r>
            <w:r>
              <w:rPr>
                <w:rFonts w:hint="eastAsia" w:hAnsi="MS Mincho" w:eastAsia="MS Mincho" w:cs="MS Mincho" w:asciiTheme="majorEastAsia"/>
                <w:color w:val="auto"/>
                <w:kern w:val="0"/>
                <w:sz w:val="24"/>
              </w:rPr>
              <w:t>☐</w:t>
            </w:r>
            <w:r>
              <w:rPr>
                <w:rFonts w:hint="eastAsia" w:cs="Arial" w:asciiTheme="majorEastAsia" w:hAnsiTheme="majorEastAsia" w:eastAsiaTheme="majorEastAsia"/>
                <w:color w:val="auto"/>
                <w:kern w:val="0"/>
                <w:sz w:val="24"/>
              </w:rPr>
              <w:t>A</w:t>
            </w:r>
            <w:r>
              <w:rPr>
                <w:rFonts w:hint="eastAsia" w:asciiTheme="majorEastAsia" w:hAnsiTheme="majorEastAsia" w:eastAsiaTheme="majorEastAsia"/>
                <w:color w:val="auto"/>
                <w:sz w:val="24"/>
              </w:rPr>
              <w:t>同意将非主体、非关键性的</w:t>
            </w:r>
            <w:r>
              <w:rPr>
                <w:rFonts w:hint="eastAsia" w:asciiTheme="majorEastAsia" w:hAnsiTheme="majorEastAsia" w:eastAsiaTheme="majorEastAsia"/>
                <w:color w:val="auto"/>
                <w:sz w:val="24"/>
                <w:u w:val="single"/>
              </w:rPr>
              <w:t xml:space="preserve">             </w:t>
            </w:r>
            <w:r>
              <w:rPr>
                <w:rFonts w:hint="eastAsia" w:asciiTheme="majorEastAsia" w:hAnsiTheme="majorEastAsia" w:eastAsiaTheme="majorEastAsia"/>
                <w:color w:val="auto"/>
                <w:sz w:val="24"/>
              </w:rPr>
              <w:t>工作分包。</w:t>
            </w:r>
          </w:p>
          <w:p>
            <w:pPr>
              <w:shd w:val="clear"/>
              <w:spacing w:line="440" w:lineRule="exact"/>
              <w:ind w:firstLine="720" w:firstLineChars="300"/>
              <w:rPr>
                <w:rFonts w:cs="仿宋_GB2312" w:asciiTheme="majorEastAsia" w:hAnsiTheme="majorEastAsia" w:eastAsiaTheme="majorEastAsia"/>
                <w:b/>
                <w:color w:val="auto"/>
                <w:sz w:val="24"/>
              </w:rPr>
            </w:pPr>
            <w:r>
              <w:rPr>
                <w:rFonts w:hint="eastAsia" w:cs="Arial" w:asciiTheme="majorEastAsia" w:hAnsiTheme="majorEastAsia" w:eastAsiaTheme="majorEastAsia"/>
                <w:color w:val="auto"/>
                <w:kern w:val="0"/>
                <w:sz w:val="24"/>
              </w:rPr>
              <w:sym w:font="Wingdings" w:char="F0FE"/>
            </w:r>
            <w:r>
              <w:rPr>
                <w:rFonts w:hint="eastAsia" w:cs="Arial" w:asciiTheme="majorEastAsia" w:hAnsiTheme="majorEastAsia" w:eastAsiaTheme="majorEastAsia"/>
                <w:color w:val="auto"/>
                <w:kern w:val="0"/>
                <w:sz w:val="24"/>
              </w:rPr>
              <w:t>B</w:t>
            </w:r>
            <w:r>
              <w:rPr>
                <w:rFonts w:hint="eastAsia" w:asciiTheme="majorEastAsia" w:hAnsiTheme="majorEastAsia" w:eastAsiaTheme="majorEastAsia"/>
                <w:color w:val="auto"/>
                <w:sz w:val="24"/>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vAlign w:val="center"/>
          </w:tcPr>
          <w:p>
            <w:pPr>
              <w:shd w:val="clear"/>
              <w:spacing w:line="44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6</w:t>
            </w:r>
          </w:p>
        </w:tc>
        <w:tc>
          <w:tcPr>
            <w:tcW w:w="8371" w:type="dxa"/>
            <w:gridSpan w:val="2"/>
            <w:vAlign w:val="center"/>
          </w:tcPr>
          <w:p>
            <w:pPr>
              <w:shd w:val="clear"/>
              <w:spacing w:line="440" w:lineRule="exact"/>
              <w:rPr>
                <w:rFonts w:asciiTheme="majorEastAsia" w:hAnsiTheme="majorEastAsia" w:eastAsiaTheme="majorEastAsia"/>
                <w:color w:val="auto"/>
                <w:sz w:val="24"/>
              </w:rPr>
            </w:pPr>
            <w:r>
              <w:rPr>
                <w:rFonts w:hint="eastAsia" w:asciiTheme="majorEastAsia" w:hAnsiTheme="majorEastAsia" w:eastAsiaTheme="majorEastAsia"/>
                <w:b/>
                <w:color w:val="auto"/>
                <w:sz w:val="24"/>
              </w:rPr>
              <w:t>磋商响应文件份数：</w:t>
            </w:r>
            <w:r>
              <w:rPr>
                <w:rFonts w:hint="eastAsia" w:asciiTheme="majorEastAsia" w:hAnsiTheme="majorEastAsia" w:eastAsiaTheme="majorEastAsia"/>
                <w:color w:val="auto"/>
                <w:sz w:val="24"/>
              </w:rPr>
              <w:t>正本一份、副本二份。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69" w:type="dxa"/>
            <w:vAlign w:val="center"/>
          </w:tcPr>
          <w:p>
            <w:pPr>
              <w:shd w:val="clear"/>
              <w:spacing w:line="44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7</w:t>
            </w:r>
          </w:p>
        </w:tc>
        <w:tc>
          <w:tcPr>
            <w:tcW w:w="8371" w:type="dxa"/>
            <w:gridSpan w:val="2"/>
            <w:vAlign w:val="center"/>
          </w:tcPr>
          <w:p>
            <w:pPr>
              <w:shd w:val="clear"/>
              <w:autoSpaceDE w:val="0"/>
              <w:autoSpaceDN w:val="0"/>
              <w:spacing w:line="420" w:lineRule="exact"/>
              <w:textAlignment w:val="bottom"/>
              <w:rPr>
                <w:rFonts w:asciiTheme="majorEastAsia" w:hAnsiTheme="majorEastAsia" w:eastAsiaTheme="majorEastAsia"/>
                <w:b/>
                <w:color w:val="auto"/>
                <w:sz w:val="24"/>
              </w:rPr>
            </w:pPr>
            <w:r>
              <w:rPr>
                <w:rFonts w:hint="eastAsia" w:cs="仿宋_GB2312" w:asciiTheme="majorEastAsia" w:hAnsiTheme="majorEastAsia" w:eastAsiaTheme="majorEastAsia"/>
                <w:b/>
                <w:color w:val="auto"/>
                <w:kern w:val="0"/>
                <w:sz w:val="24"/>
                <w:lang w:val="zh-CN"/>
              </w:rPr>
              <w:t>磋商次序：</w:t>
            </w:r>
            <w:r>
              <w:rPr>
                <w:rFonts w:hint="eastAsia" w:cs="仿宋_GB2312" w:asciiTheme="majorEastAsia" w:hAnsiTheme="majorEastAsia" w:eastAsiaTheme="majorEastAsia"/>
                <w:color w:val="auto"/>
                <w:kern w:val="0"/>
                <w:sz w:val="24"/>
                <w:lang w:val="zh-CN"/>
              </w:rPr>
              <w:t>以报名时间的先后顺序为准。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69" w:type="dxa"/>
            <w:vAlign w:val="center"/>
          </w:tcPr>
          <w:p>
            <w:pPr>
              <w:shd w:val="clear"/>
              <w:spacing w:line="44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8</w:t>
            </w:r>
          </w:p>
        </w:tc>
        <w:tc>
          <w:tcPr>
            <w:tcW w:w="8371" w:type="dxa"/>
            <w:gridSpan w:val="2"/>
            <w:vAlign w:val="center"/>
          </w:tcPr>
          <w:p>
            <w:pPr>
              <w:shd w:val="clear"/>
              <w:autoSpaceDE w:val="0"/>
              <w:autoSpaceDN w:val="0"/>
              <w:spacing w:line="440" w:lineRule="exact"/>
              <w:textAlignment w:val="bottom"/>
              <w:rPr>
                <w:rFonts w:cs="仿宋_GB2312" w:asciiTheme="majorEastAsia" w:hAnsiTheme="majorEastAsia" w:eastAsiaTheme="majorEastAsia"/>
                <w:b/>
                <w:color w:val="auto"/>
                <w:sz w:val="24"/>
              </w:rPr>
            </w:pPr>
            <w:r>
              <w:rPr>
                <w:rFonts w:hint="eastAsia" w:cs="仿宋_GB2312" w:asciiTheme="majorEastAsia" w:hAnsiTheme="majorEastAsia" w:eastAsiaTheme="majorEastAsia"/>
                <w:b/>
                <w:color w:val="auto"/>
                <w:sz w:val="24"/>
              </w:rPr>
              <w:t>开标前答疑会或现场考察：</w:t>
            </w:r>
          </w:p>
          <w:p>
            <w:pPr>
              <w:shd w:val="clear"/>
              <w:spacing w:line="360" w:lineRule="auto"/>
              <w:rPr>
                <w:rFonts w:asciiTheme="majorEastAsia" w:hAnsiTheme="majorEastAsia" w:eastAsiaTheme="majorEastAsia"/>
                <w:color w:val="auto"/>
                <w:sz w:val="24"/>
              </w:rPr>
            </w:pPr>
            <w:sdt>
              <w:sdtPr>
                <w:rPr>
                  <w:rFonts w:hint="eastAsia" w:cs="Arial" w:asciiTheme="majorEastAsia" w:hAnsiTheme="majorEastAsia" w:eastAsiaTheme="majorEastAsia"/>
                  <w:color w:val="auto"/>
                  <w:kern w:val="0"/>
                  <w:sz w:val="24"/>
                </w:rPr>
                <w:id w:val="16"/>
              </w:sdtPr>
              <w:sdtEndPr>
                <w:rPr>
                  <w:rFonts w:hint="eastAsia" w:cs="Arial" w:asciiTheme="majorEastAsia" w:hAnsiTheme="majorEastAsia" w:eastAsiaTheme="majorEastAsia"/>
                  <w:color w:val="auto"/>
                  <w:kern w:val="0"/>
                  <w:sz w:val="24"/>
                </w:rPr>
              </w:sdtEndPr>
              <w:sdtContent>
                <w:r>
                  <w:rPr>
                    <w:rFonts w:hint="eastAsia" w:cs="Arial" w:asciiTheme="majorEastAsia" w:hAnsiTheme="majorEastAsia" w:eastAsiaTheme="majorEastAsia"/>
                    <w:color w:val="auto"/>
                    <w:kern w:val="0"/>
                    <w:sz w:val="24"/>
                  </w:rPr>
                  <w:sym w:font="Wingdings" w:char="F0FE"/>
                </w:r>
              </w:sdtContent>
            </w:sdt>
            <w:r>
              <w:rPr>
                <w:rFonts w:hint="eastAsia" w:cs="Arial" w:asciiTheme="majorEastAsia" w:hAnsiTheme="majorEastAsia" w:eastAsiaTheme="majorEastAsia"/>
                <w:color w:val="auto"/>
                <w:kern w:val="0"/>
                <w:sz w:val="24"/>
              </w:rPr>
              <w:t>A</w:t>
            </w:r>
            <w:r>
              <w:rPr>
                <w:rFonts w:hint="eastAsia" w:asciiTheme="majorEastAsia" w:hAnsiTheme="majorEastAsia" w:eastAsiaTheme="majorEastAsia"/>
                <w:color w:val="auto"/>
                <w:sz w:val="24"/>
              </w:rPr>
              <w:t>不组织。</w:t>
            </w:r>
          </w:p>
          <w:p>
            <w:pPr>
              <w:shd w:val="clear"/>
              <w:autoSpaceDE w:val="0"/>
              <w:autoSpaceDN w:val="0"/>
              <w:spacing w:line="420" w:lineRule="exact"/>
              <w:textAlignment w:val="bottom"/>
              <w:rPr>
                <w:rFonts w:cs="仿宋_GB2312" w:asciiTheme="majorEastAsia" w:hAnsiTheme="majorEastAsia" w:eastAsiaTheme="majorEastAsia"/>
                <w:b/>
                <w:color w:val="auto"/>
                <w:kern w:val="0"/>
                <w:sz w:val="24"/>
                <w:lang w:val="zh-CN"/>
              </w:rPr>
            </w:pPr>
            <w:sdt>
              <w:sdtPr>
                <w:rPr>
                  <w:rFonts w:hint="eastAsia" w:cs="Arial" w:asciiTheme="majorEastAsia" w:hAnsiTheme="majorEastAsia" w:eastAsiaTheme="majorEastAsia"/>
                  <w:color w:val="auto"/>
                  <w:kern w:val="0"/>
                  <w:sz w:val="24"/>
                </w:rPr>
                <w:id w:val="17"/>
              </w:sdtPr>
              <w:sdtEndPr>
                <w:rPr>
                  <w:rFonts w:hint="eastAsia" w:cs="Arial" w:asciiTheme="majorEastAsia" w:hAnsiTheme="majorEastAsia" w:eastAsiaTheme="majorEastAsia"/>
                  <w:color w:val="auto"/>
                  <w:kern w:val="0"/>
                  <w:sz w:val="24"/>
                </w:rPr>
              </w:sdtEndPr>
              <w:sdtContent>
                <w:r>
                  <w:rPr>
                    <w:rFonts w:hint="eastAsia" w:hAnsi="MS Mincho" w:eastAsia="MS Mincho" w:cs="MS Mincho" w:asciiTheme="majorEastAsia"/>
                    <w:color w:val="auto"/>
                    <w:kern w:val="0"/>
                    <w:sz w:val="24"/>
                  </w:rPr>
                  <w:t>☐</w:t>
                </w:r>
              </w:sdtContent>
            </w:sdt>
            <w:r>
              <w:rPr>
                <w:rFonts w:hint="eastAsia" w:asciiTheme="majorEastAsia" w:hAnsiTheme="majorEastAsia" w:eastAsiaTheme="majorEastAsia"/>
                <w:color w:val="auto"/>
                <w:kern w:val="0"/>
                <w:sz w:val="24"/>
              </w:rPr>
              <w:t>B组织，</w:t>
            </w:r>
            <w:r>
              <w:rPr>
                <w:rFonts w:hint="eastAsia" w:asciiTheme="majorEastAsia" w:hAnsiTheme="majorEastAsia" w:eastAsiaTheme="majorEastAsia"/>
                <w:color w:val="auto"/>
                <w:sz w:val="24"/>
              </w:rPr>
              <w:t>时间：,地点：，联系人：，联系方式：</w:t>
            </w:r>
            <w:r>
              <w:rPr>
                <w:rFonts w:hint="eastAsia" w:asciiTheme="majorEastAsia" w:hAnsiTheme="majorEastAsia" w:eastAsiaTheme="majorEastAsia"/>
                <w:color w:val="auto"/>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69" w:type="dxa"/>
            <w:vAlign w:val="center"/>
          </w:tcPr>
          <w:p>
            <w:pPr>
              <w:shd w:val="clear"/>
              <w:spacing w:line="44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9</w:t>
            </w:r>
          </w:p>
        </w:tc>
        <w:tc>
          <w:tcPr>
            <w:tcW w:w="8371" w:type="dxa"/>
            <w:gridSpan w:val="2"/>
            <w:vAlign w:val="center"/>
          </w:tcPr>
          <w:p>
            <w:pPr>
              <w:shd w:val="clear"/>
              <w:spacing w:line="440" w:lineRule="exact"/>
              <w:rPr>
                <w:rFonts w:asciiTheme="majorEastAsia" w:hAnsiTheme="majorEastAsia" w:eastAsiaTheme="majorEastAsia"/>
                <w:b/>
                <w:color w:val="auto"/>
                <w:sz w:val="24"/>
              </w:rPr>
            </w:pPr>
            <w:r>
              <w:rPr>
                <w:rFonts w:hint="eastAsia" w:asciiTheme="majorEastAsia" w:hAnsiTheme="majorEastAsia" w:eastAsiaTheme="majorEastAsia"/>
                <w:b/>
                <w:color w:val="auto"/>
                <w:sz w:val="24"/>
              </w:rPr>
              <w:t>样品提供：</w:t>
            </w:r>
          </w:p>
          <w:p>
            <w:pPr>
              <w:shd w:val="clear"/>
              <w:spacing w:line="360" w:lineRule="auto"/>
              <w:rPr>
                <w:rFonts w:asciiTheme="majorEastAsia" w:hAnsiTheme="majorEastAsia" w:eastAsiaTheme="majorEastAsia"/>
                <w:color w:val="auto"/>
                <w:sz w:val="24"/>
              </w:rPr>
            </w:pPr>
            <w:sdt>
              <w:sdtPr>
                <w:rPr>
                  <w:rFonts w:hint="eastAsia" w:cs="Arial" w:asciiTheme="majorEastAsia" w:hAnsiTheme="majorEastAsia" w:eastAsiaTheme="majorEastAsia"/>
                  <w:color w:val="auto"/>
                  <w:kern w:val="0"/>
                  <w:sz w:val="24"/>
                  <w:szCs w:val="21"/>
                </w:rPr>
                <w:id w:val="18"/>
              </w:sdtPr>
              <w:sdtEndPr>
                <w:rPr>
                  <w:rFonts w:hint="eastAsia" w:cs="Arial" w:asciiTheme="majorEastAsia" w:hAnsiTheme="majorEastAsia" w:eastAsiaTheme="majorEastAsia"/>
                  <w:color w:val="auto"/>
                  <w:kern w:val="0"/>
                  <w:sz w:val="24"/>
                  <w:szCs w:val="21"/>
                </w:rPr>
              </w:sdtEndPr>
              <w:sdtContent>
                <w:r>
                  <w:rPr>
                    <w:rFonts w:hint="eastAsia" w:cs="Arial" w:asciiTheme="majorEastAsia" w:hAnsiTheme="majorEastAsia" w:eastAsiaTheme="majorEastAsia"/>
                    <w:color w:val="auto"/>
                    <w:kern w:val="0"/>
                    <w:sz w:val="24"/>
                  </w:rPr>
                  <w:sym w:font="Wingdings" w:char="F0FE"/>
                </w:r>
              </w:sdtContent>
            </w:sdt>
            <w:r>
              <w:rPr>
                <w:rFonts w:hint="eastAsia" w:cs="Arial" w:asciiTheme="majorEastAsia" w:hAnsiTheme="majorEastAsia" w:eastAsiaTheme="majorEastAsia"/>
                <w:color w:val="auto"/>
                <w:kern w:val="0"/>
                <w:sz w:val="24"/>
              </w:rPr>
              <w:t>A</w:t>
            </w:r>
            <w:r>
              <w:rPr>
                <w:rFonts w:hint="eastAsia" w:asciiTheme="majorEastAsia" w:hAnsiTheme="majorEastAsia" w:eastAsiaTheme="majorEastAsia"/>
                <w:color w:val="auto"/>
                <w:sz w:val="24"/>
              </w:rPr>
              <w:t>不要求提供。</w:t>
            </w:r>
          </w:p>
          <w:p>
            <w:pPr>
              <w:shd w:val="clear"/>
              <w:spacing w:line="360" w:lineRule="auto"/>
              <w:rPr>
                <w:rFonts w:asciiTheme="majorEastAsia" w:hAnsiTheme="majorEastAsia" w:eastAsiaTheme="majorEastAsia"/>
                <w:color w:val="auto"/>
                <w:kern w:val="0"/>
                <w:sz w:val="24"/>
              </w:rPr>
            </w:pPr>
            <w:r>
              <w:rPr>
                <w:rFonts w:hint="eastAsia" w:cs="Arial" w:asciiTheme="majorEastAsia" w:hAnsiTheme="majorEastAsia" w:eastAsiaTheme="majorEastAsia"/>
                <w:color w:val="auto"/>
                <w:kern w:val="0"/>
                <w:sz w:val="24"/>
              </w:rPr>
              <w:t>□</w:t>
            </w:r>
            <w:r>
              <w:rPr>
                <w:rFonts w:hint="eastAsia" w:asciiTheme="majorEastAsia" w:hAnsiTheme="majorEastAsia" w:eastAsiaTheme="majorEastAsia"/>
                <w:color w:val="auto"/>
                <w:kern w:val="0"/>
                <w:sz w:val="24"/>
              </w:rPr>
              <w:t>B要求提供，</w:t>
            </w:r>
          </w:p>
          <w:p>
            <w:pPr>
              <w:shd w:val="clear"/>
              <w:spacing w:line="360" w:lineRule="auto"/>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（1）</w:t>
            </w:r>
            <w:r>
              <w:rPr>
                <w:rFonts w:hint="eastAsia" w:asciiTheme="majorEastAsia" w:hAnsiTheme="majorEastAsia" w:eastAsiaTheme="majorEastAsia"/>
                <w:snapToGrid w:val="0"/>
                <w:color w:val="auto"/>
                <w:kern w:val="28"/>
                <w:sz w:val="24"/>
              </w:rPr>
              <w:t>样品：</w:t>
            </w:r>
            <w:r>
              <w:rPr>
                <w:rFonts w:hint="eastAsia" w:asciiTheme="majorEastAsia" w:hAnsiTheme="majorEastAsia" w:eastAsiaTheme="majorEastAsia"/>
                <w:color w:val="auto"/>
                <w:kern w:val="0"/>
                <w:sz w:val="24"/>
              </w:rPr>
              <w:t>；</w:t>
            </w:r>
          </w:p>
          <w:p>
            <w:pPr>
              <w:shd w:val="clear"/>
              <w:spacing w:line="360" w:lineRule="auto"/>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（2）</w:t>
            </w:r>
            <w:r>
              <w:rPr>
                <w:rFonts w:hint="eastAsia" w:asciiTheme="majorEastAsia" w:hAnsiTheme="majorEastAsia" w:eastAsiaTheme="majorEastAsia"/>
                <w:snapToGrid w:val="0"/>
                <w:color w:val="auto"/>
                <w:kern w:val="28"/>
                <w:sz w:val="24"/>
              </w:rPr>
              <w:t>样品制作的标准和要求：</w:t>
            </w:r>
            <w:r>
              <w:rPr>
                <w:rFonts w:hint="eastAsia" w:asciiTheme="majorEastAsia" w:hAnsiTheme="majorEastAsia" w:eastAsiaTheme="majorEastAsia"/>
                <w:color w:val="auto"/>
                <w:kern w:val="0"/>
                <w:sz w:val="24"/>
              </w:rPr>
              <w:t>；</w:t>
            </w:r>
          </w:p>
          <w:p>
            <w:pPr>
              <w:shd w:val="clear"/>
              <w:spacing w:line="360" w:lineRule="auto"/>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（3）样品的评审方法以及评审标准</w:t>
            </w:r>
            <w:r>
              <w:rPr>
                <w:rFonts w:hint="eastAsia" w:asciiTheme="majorEastAsia" w:hAnsiTheme="majorEastAsia" w:eastAsiaTheme="majorEastAsia"/>
                <w:snapToGrid w:val="0"/>
                <w:color w:val="auto"/>
                <w:kern w:val="28"/>
                <w:sz w:val="24"/>
              </w:rPr>
              <w:t>：详见</w:t>
            </w:r>
            <w:r>
              <w:rPr>
                <w:rFonts w:hint="eastAsia" w:asciiTheme="majorEastAsia" w:hAnsiTheme="majorEastAsia" w:eastAsiaTheme="majorEastAsia"/>
                <w:color w:val="auto"/>
                <w:sz w:val="24"/>
                <w:u w:val="single"/>
              </w:rPr>
              <w:t>评标办法</w:t>
            </w:r>
            <w:r>
              <w:rPr>
                <w:rFonts w:hint="eastAsia" w:asciiTheme="majorEastAsia" w:hAnsiTheme="majorEastAsia" w:eastAsiaTheme="majorEastAsia"/>
                <w:color w:val="auto"/>
                <w:kern w:val="0"/>
                <w:sz w:val="24"/>
              </w:rPr>
              <w:t>；</w:t>
            </w:r>
          </w:p>
          <w:p>
            <w:pPr>
              <w:shd w:val="clear"/>
              <w:spacing w:line="360" w:lineRule="auto"/>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（4）是否需要随样品提交检测报告：</w:t>
            </w:r>
            <w:sdt>
              <w:sdtPr>
                <w:rPr>
                  <w:rFonts w:hint="eastAsia" w:cs="Arial" w:asciiTheme="majorEastAsia" w:hAnsiTheme="majorEastAsia" w:eastAsiaTheme="majorEastAsia"/>
                  <w:color w:val="auto"/>
                  <w:kern w:val="0"/>
                  <w:sz w:val="24"/>
                </w:rPr>
                <w:id w:val="1303421454"/>
              </w:sdtPr>
              <w:sdtEndPr>
                <w:rPr>
                  <w:rFonts w:hint="eastAsia" w:cs="Arial" w:asciiTheme="majorEastAsia" w:hAnsiTheme="majorEastAsia" w:eastAsiaTheme="majorEastAsia"/>
                  <w:color w:val="auto"/>
                  <w:kern w:val="0"/>
                  <w:sz w:val="24"/>
                </w:rPr>
              </w:sdtEndPr>
              <w:sdtContent>
                <w:sdt>
                  <w:sdtPr>
                    <w:rPr>
                      <w:rFonts w:hint="eastAsia" w:cs="Arial" w:asciiTheme="majorEastAsia" w:hAnsiTheme="majorEastAsia" w:eastAsiaTheme="majorEastAsia"/>
                      <w:color w:val="auto"/>
                      <w:kern w:val="0"/>
                      <w:sz w:val="24"/>
                    </w:rPr>
                    <w:id w:val="21"/>
                  </w:sdtPr>
                  <w:sdtEndPr>
                    <w:rPr>
                      <w:rFonts w:hint="eastAsia" w:cs="Arial" w:asciiTheme="majorEastAsia" w:hAnsiTheme="majorEastAsia" w:eastAsiaTheme="majorEastAsia"/>
                      <w:color w:val="auto"/>
                      <w:kern w:val="0"/>
                      <w:sz w:val="24"/>
                    </w:rPr>
                  </w:sdtEndPr>
                  <w:sdtContent>
                    <w:r>
                      <w:rPr>
                        <w:rFonts w:hint="eastAsia" w:cs="Arial" w:asciiTheme="majorEastAsia" w:hAnsiTheme="majorEastAsia" w:eastAsiaTheme="majorEastAsia"/>
                        <w:color w:val="auto"/>
                        <w:kern w:val="0"/>
                        <w:sz w:val="24"/>
                      </w:rPr>
                      <w:t>□</w:t>
                    </w:r>
                  </w:sdtContent>
                </w:sdt>
              </w:sdtContent>
            </w:sdt>
            <w:r>
              <w:rPr>
                <w:rFonts w:hint="eastAsia" w:cs="Arial" w:asciiTheme="majorEastAsia" w:hAnsiTheme="majorEastAsia" w:eastAsiaTheme="majorEastAsia"/>
                <w:color w:val="auto"/>
                <w:kern w:val="0"/>
                <w:sz w:val="24"/>
              </w:rPr>
              <w:t>否</w:t>
            </w:r>
            <w:r>
              <w:rPr>
                <w:rFonts w:hint="eastAsia" w:asciiTheme="majorEastAsia" w:hAnsiTheme="majorEastAsia" w:eastAsiaTheme="majorEastAsia"/>
                <w:color w:val="auto"/>
                <w:kern w:val="0"/>
                <w:sz w:val="24"/>
              </w:rPr>
              <w:t>；</w:t>
            </w:r>
            <w:sdt>
              <w:sdtPr>
                <w:rPr>
                  <w:rFonts w:hint="eastAsia" w:cs="Arial" w:asciiTheme="majorEastAsia" w:hAnsiTheme="majorEastAsia" w:eastAsiaTheme="majorEastAsia"/>
                  <w:color w:val="auto"/>
                  <w:kern w:val="0"/>
                  <w:sz w:val="24"/>
                </w:rPr>
                <w:id w:val="1621728433"/>
              </w:sdtPr>
              <w:sdtEndPr>
                <w:rPr>
                  <w:rFonts w:hint="eastAsia" w:cs="Arial" w:asciiTheme="majorEastAsia" w:hAnsiTheme="majorEastAsia" w:eastAsiaTheme="majorEastAsia"/>
                  <w:color w:val="auto"/>
                  <w:kern w:val="0"/>
                  <w:sz w:val="24"/>
                </w:rPr>
              </w:sdtEndPr>
              <w:sdtContent>
                <w:sdt>
                  <w:sdtPr>
                    <w:rPr>
                      <w:rFonts w:hint="eastAsia" w:cs="Arial" w:asciiTheme="majorEastAsia" w:hAnsiTheme="majorEastAsia" w:eastAsiaTheme="majorEastAsia"/>
                      <w:color w:val="auto"/>
                      <w:kern w:val="0"/>
                      <w:sz w:val="24"/>
                    </w:rPr>
                    <w:id w:val="1414742328"/>
                  </w:sdtPr>
                  <w:sdtEndPr>
                    <w:rPr>
                      <w:rFonts w:hint="eastAsia" w:cs="Arial" w:asciiTheme="majorEastAsia" w:hAnsiTheme="majorEastAsia" w:eastAsiaTheme="majorEastAsia"/>
                      <w:color w:val="auto"/>
                      <w:kern w:val="0"/>
                      <w:sz w:val="24"/>
                    </w:rPr>
                  </w:sdtEndPr>
                  <w:sdtContent>
                    <w:r>
                      <w:rPr>
                        <w:rFonts w:hint="eastAsia" w:cs="Arial" w:asciiTheme="majorEastAsia" w:hAnsiTheme="majorEastAsia" w:eastAsiaTheme="majorEastAsia"/>
                        <w:color w:val="auto"/>
                        <w:kern w:val="0"/>
                        <w:sz w:val="24"/>
                      </w:rPr>
                      <w:t>□</w:t>
                    </w:r>
                  </w:sdtContent>
                </w:sdt>
              </w:sdtContent>
            </w:sdt>
            <w:r>
              <w:rPr>
                <w:rFonts w:hint="eastAsia" w:asciiTheme="majorEastAsia" w:hAnsiTheme="majorEastAsia" w:eastAsiaTheme="majorEastAsia"/>
                <w:color w:val="auto"/>
                <w:kern w:val="0"/>
                <w:sz w:val="24"/>
              </w:rPr>
              <w:t>是，检测机构的要求</w:t>
            </w:r>
            <w:r>
              <w:rPr>
                <w:rFonts w:hint="eastAsia" w:asciiTheme="majorEastAsia" w:hAnsiTheme="majorEastAsia" w:eastAsiaTheme="majorEastAsia"/>
                <w:color w:val="auto"/>
                <w:sz w:val="24"/>
              </w:rPr>
              <w:t>：</w:t>
            </w:r>
            <w:r>
              <w:rPr>
                <w:rFonts w:hint="eastAsia" w:asciiTheme="majorEastAsia" w:hAnsiTheme="majorEastAsia" w:eastAsiaTheme="majorEastAsia"/>
                <w:color w:val="auto"/>
                <w:kern w:val="0"/>
                <w:sz w:val="24"/>
              </w:rPr>
              <w:t>；检测内容</w:t>
            </w:r>
            <w:r>
              <w:rPr>
                <w:rFonts w:hint="eastAsia" w:asciiTheme="majorEastAsia" w:hAnsiTheme="majorEastAsia" w:eastAsiaTheme="majorEastAsia"/>
                <w:color w:val="auto"/>
                <w:sz w:val="24"/>
              </w:rPr>
              <w:t>：</w:t>
            </w:r>
            <w:r>
              <w:rPr>
                <w:rFonts w:hint="eastAsia" w:asciiTheme="majorEastAsia" w:hAnsiTheme="majorEastAsia" w:eastAsiaTheme="majorEastAsia"/>
                <w:color w:val="auto"/>
                <w:kern w:val="0"/>
                <w:sz w:val="24"/>
              </w:rPr>
              <w:t>。</w:t>
            </w:r>
          </w:p>
          <w:p>
            <w:pPr>
              <w:shd w:val="clear"/>
              <w:spacing w:line="360" w:lineRule="auto"/>
              <w:rPr>
                <w:rFonts w:asciiTheme="majorEastAsia" w:hAnsiTheme="majorEastAsia" w:eastAsiaTheme="majorEastAsia"/>
                <w:color w:val="auto"/>
                <w:sz w:val="24"/>
              </w:rPr>
            </w:pPr>
            <w:r>
              <w:rPr>
                <w:rFonts w:hint="eastAsia" w:asciiTheme="majorEastAsia" w:hAnsiTheme="majorEastAsia" w:eastAsiaTheme="majorEastAsia"/>
                <w:color w:val="auto"/>
                <w:sz w:val="24"/>
              </w:rPr>
              <w:t>（5）提供样品的时间：</w:t>
            </w:r>
            <w:r>
              <w:rPr>
                <w:rFonts w:hint="eastAsia" w:asciiTheme="majorEastAsia" w:hAnsiTheme="majorEastAsia" w:eastAsiaTheme="majorEastAsia"/>
                <w:color w:val="auto"/>
                <w:kern w:val="0"/>
                <w:sz w:val="24"/>
              </w:rPr>
              <w:t>；地点：；联系人</w:t>
            </w:r>
            <w:r>
              <w:rPr>
                <w:rFonts w:hint="eastAsia" w:asciiTheme="majorEastAsia" w:hAnsiTheme="majorEastAsia" w:eastAsiaTheme="majorEastAsia"/>
                <w:color w:val="auto"/>
                <w:sz w:val="24"/>
              </w:rPr>
              <w:t>：，</w:t>
            </w:r>
            <w:r>
              <w:rPr>
                <w:rFonts w:hint="eastAsia" w:asciiTheme="majorEastAsia" w:hAnsiTheme="majorEastAsia" w:eastAsiaTheme="majorEastAsia"/>
                <w:color w:val="auto"/>
                <w:kern w:val="28"/>
                <w:sz w:val="24"/>
              </w:rPr>
              <w:t>联系电话：</w:t>
            </w:r>
            <w:r>
              <w:rPr>
                <w:rFonts w:hint="eastAsia" w:asciiTheme="majorEastAsia" w:hAnsiTheme="majorEastAsia" w:eastAsiaTheme="majorEastAsia"/>
                <w:color w:val="auto"/>
                <w:sz w:val="24"/>
              </w:rPr>
              <w:t>。请磋商响应人在上述时间内提供样品并按规定位置安装完毕。超过截止时间的，采购人或采购代理机构将不予接收，并将清场并封闭样品现场。</w:t>
            </w:r>
          </w:p>
          <w:p>
            <w:pPr>
              <w:shd w:val="clear"/>
              <w:spacing w:line="360" w:lineRule="auto"/>
              <w:rPr>
                <w:rFonts w:asciiTheme="majorEastAsia" w:hAnsiTheme="majorEastAsia" w:eastAsiaTheme="majorEastAsia"/>
                <w:color w:val="auto"/>
                <w:sz w:val="24"/>
              </w:rPr>
            </w:pPr>
            <w:r>
              <w:rPr>
                <w:rFonts w:hint="eastAsia" w:asciiTheme="majorEastAsia" w:hAnsiTheme="majorEastAsia" w:eastAsiaTheme="majorEastAsia"/>
                <w:color w:val="auto"/>
                <w:sz w:val="24"/>
              </w:rPr>
              <w:t xml:space="preserve"> (6)采购活动结束后，对于未成交人提供的样品，采购人、采购机构将通知未成交人在规定的时间内取回，逾期未取回的，采购人、采购机构不负保管义务；对于成交人提供的样品，采购人将进行保管、封存，并作为履约验收的参考。</w:t>
            </w:r>
          </w:p>
          <w:p>
            <w:pPr>
              <w:shd w:val="clear"/>
              <w:autoSpaceDE w:val="0"/>
              <w:autoSpaceDN w:val="0"/>
              <w:adjustRightIn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color w:val="auto"/>
                <w:sz w:val="24"/>
              </w:rPr>
              <w:t>（7）制作、运输、安装和保管样品所发生的一切费用由磋商响应人自理。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69" w:type="dxa"/>
            <w:vAlign w:val="center"/>
          </w:tcPr>
          <w:p>
            <w:pPr>
              <w:shd w:val="clear"/>
              <w:spacing w:line="44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10</w:t>
            </w:r>
          </w:p>
        </w:tc>
        <w:tc>
          <w:tcPr>
            <w:tcW w:w="8371" w:type="dxa"/>
            <w:gridSpan w:val="2"/>
            <w:vAlign w:val="center"/>
          </w:tcPr>
          <w:p>
            <w:pPr>
              <w:shd w:val="clear"/>
              <w:spacing w:line="440" w:lineRule="exact"/>
              <w:rPr>
                <w:rFonts w:asciiTheme="majorEastAsia" w:hAnsiTheme="majorEastAsia" w:eastAsiaTheme="majorEastAsia"/>
                <w:b/>
                <w:color w:val="auto"/>
                <w:sz w:val="24"/>
              </w:rPr>
            </w:pPr>
            <w:r>
              <w:rPr>
                <w:rFonts w:hint="eastAsia" w:asciiTheme="majorEastAsia" w:hAnsiTheme="majorEastAsia" w:eastAsiaTheme="majorEastAsia"/>
                <w:b/>
                <w:color w:val="auto"/>
                <w:sz w:val="24"/>
              </w:rPr>
              <w:t>方案讲解演示：</w:t>
            </w:r>
          </w:p>
          <w:p>
            <w:pPr>
              <w:shd w:val="clear"/>
              <w:spacing w:line="360" w:lineRule="auto"/>
              <w:rPr>
                <w:rFonts w:asciiTheme="majorEastAsia" w:hAnsiTheme="majorEastAsia" w:eastAsiaTheme="majorEastAsia"/>
                <w:color w:val="auto"/>
                <w:sz w:val="24"/>
              </w:rPr>
            </w:pPr>
            <w:sdt>
              <w:sdtPr>
                <w:rPr>
                  <w:rFonts w:hint="eastAsia" w:cs="Arial" w:asciiTheme="majorEastAsia" w:hAnsiTheme="majorEastAsia" w:eastAsiaTheme="majorEastAsia"/>
                  <w:color w:val="auto"/>
                  <w:kern w:val="0"/>
                  <w:sz w:val="24"/>
                </w:rPr>
                <w:id w:val="611332032"/>
              </w:sdtPr>
              <w:sdtEndPr>
                <w:rPr>
                  <w:rFonts w:hint="eastAsia" w:cs="Times New Roman" w:asciiTheme="majorEastAsia" w:hAnsiTheme="majorEastAsia" w:eastAsiaTheme="majorEastAsia"/>
                  <w:b/>
                  <w:color w:val="auto"/>
                  <w:kern w:val="2"/>
                  <w:sz w:val="24"/>
                </w:rPr>
              </w:sdtEndPr>
              <w:sdtContent>
                <w:sdt>
                  <w:sdtPr>
                    <w:rPr>
                      <w:rFonts w:hint="eastAsia" w:cs="Arial" w:asciiTheme="majorEastAsia" w:hAnsiTheme="majorEastAsia" w:eastAsiaTheme="majorEastAsia"/>
                      <w:color w:val="auto"/>
                      <w:kern w:val="0"/>
                      <w:sz w:val="24"/>
                    </w:rPr>
                    <w:id w:val="611332033"/>
                  </w:sdtPr>
                  <w:sdtEndPr>
                    <w:rPr>
                      <w:rFonts w:hint="eastAsia" w:cs="Times New Roman" w:asciiTheme="majorEastAsia" w:hAnsiTheme="majorEastAsia" w:eastAsiaTheme="majorEastAsia"/>
                      <w:b/>
                      <w:color w:val="auto"/>
                      <w:kern w:val="2"/>
                      <w:sz w:val="24"/>
                    </w:rPr>
                  </w:sdtEndPr>
                  <w:sdtContent>
                    <w:r>
                      <w:rPr>
                        <w:rFonts w:hint="eastAsia" w:asciiTheme="majorEastAsia" w:hAnsiTheme="majorEastAsia" w:eastAsiaTheme="majorEastAsia"/>
                        <w:b/>
                        <w:color w:val="auto"/>
                        <w:sz w:val="24"/>
                      </w:rPr>
                      <w:sym w:font="Wingdings" w:char="00FE"/>
                    </w:r>
                  </w:sdtContent>
                </w:sdt>
              </w:sdtContent>
            </w:sdt>
            <w:r>
              <w:rPr>
                <w:rFonts w:hint="eastAsia" w:asciiTheme="majorEastAsia" w:hAnsiTheme="majorEastAsia" w:eastAsiaTheme="majorEastAsia"/>
                <w:b/>
                <w:color w:val="auto"/>
                <w:sz w:val="24"/>
              </w:rPr>
              <w:t xml:space="preserve"> A无方案讲解演示。</w:t>
            </w:r>
          </w:p>
          <w:p>
            <w:pPr>
              <w:shd w:val="clear"/>
              <w:rPr>
                <w:rFonts w:asciiTheme="majorEastAsia" w:hAnsiTheme="majorEastAsia" w:eastAsiaTheme="majorEastAsia"/>
                <w:b/>
                <w:color w:val="auto"/>
                <w:sz w:val="24"/>
              </w:rPr>
            </w:pPr>
            <w:r>
              <w:rPr>
                <w:rFonts w:hint="eastAsia" w:asciiTheme="majorEastAsia" w:hAnsiTheme="majorEastAsia" w:eastAsiaTheme="majorEastAsia"/>
                <w:b/>
                <w:color w:val="auto"/>
                <w:sz w:val="24"/>
              </w:rPr>
              <w:sym w:font="Wingdings 2" w:char="00A3"/>
            </w:r>
            <w:r>
              <w:rPr>
                <w:rFonts w:hint="eastAsia" w:asciiTheme="majorEastAsia" w:hAnsiTheme="majorEastAsia" w:eastAsiaTheme="majorEastAsia"/>
                <w:b/>
                <w:color w:val="auto"/>
                <w:sz w:val="24"/>
              </w:rPr>
              <w:t>B有方案讲解演示：</w:t>
            </w:r>
          </w:p>
          <w:p>
            <w:pPr>
              <w:shd w:val="clear"/>
              <w:spacing w:line="440" w:lineRule="exact"/>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在磋商时安排每个磋商响应人进行</w:t>
            </w:r>
            <w:r>
              <w:rPr>
                <w:rFonts w:asciiTheme="majorEastAsia" w:hAnsiTheme="majorEastAsia" w:eastAsiaTheme="majorEastAsia"/>
                <w:color w:val="auto"/>
                <w:kern w:val="0"/>
                <w:sz w:val="24"/>
              </w:rPr>
              <w:t>方案讲解演示</w:t>
            </w:r>
            <w:r>
              <w:rPr>
                <w:rFonts w:hint="eastAsia" w:cs="仿宋_GB2312" w:asciiTheme="majorEastAsia" w:hAnsiTheme="majorEastAsia" w:eastAsiaTheme="majorEastAsia"/>
                <w:color w:val="auto"/>
                <w:kern w:val="0"/>
                <w:sz w:val="24"/>
                <w:lang w:val="zh-CN"/>
              </w:rPr>
              <w:t>，讲解</w:t>
            </w:r>
            <w:r>
              <w:rPr>
                <w:rFonts w:hint="eastAsia" w:cs="仿宋_GB2312" w:asciiTheme="majorEastAsia" w:hAnsiTheme="majorEastAsia" w:eastAsiaTheme="majorEastAsia"/>
                <w:color w:val="auto"/>
                <w:sz w:val="24"/>
              </w:rPr>
              <w:t>演示结束</w:t>
            </w:r>
            <w:r>
              <w:rPr>
                <w:rFonts w:hint="eastAsia" w:cs="仿宋_GB2312" w:asciiTheme="majorEastAsia" w:hAnsiTheme="majorEastAsia" w:eastAsiaTheme="majorEastAsia"/>
                <w:color w:val="auto"/>
                <w:kern w:val="0"/>
                <w:sz w:val="24"/>
                <w:lang w:val="zh-CN"/>
              </w:rPr>
              <w:t>后按要求解答磋商小组的提问。</w:t>
            </w:r>
          </w:p>
          <w:p>
            <w:pPr>
              <w:shd w:val="clear"/>
              <w:spacing w:line="440" w:lineRule="exact"/>
              <w:rPr>
                <w:rFonts w:cs="仿宋_GB2312" w:asciiTheme="majorEastAsia" w:hAnsiTheme="majorEastAsia" w:eastAsiaTheme="majorEastAsia"/>
                <w:color w:val="auto"/>
                <w:sz w:val="24"/>
              </w:rPr>
            </w:pPr>
            <w:r>
              <w:rPr>
                <w:rFonts w:hint="eastAsia" w:cs="仿宋_GB2312" w:asciiTheme="majorEastAsia" w:hAnsiTheme="majorEastAsia" w:eastAsiaTheme="majorEastAsia"/>
                <w:b/>
                <w:color w:val="auto"/>
                <w:kern w:val="0"/>
                <w:sz w:val="24"/>
                <w:lang w:val="zh-CN"/>
              </w:rPr>
              <w:t>讲解演示设备：</w:t>
            </w:r>
            <w:r>
              <w:rPr>
                <w:rFonts w:hint="eastAsia" w:cs="仿宋_GB2312" w:asciiTheme="majorEastAsia" w:hAnsiTheme="majorEastAsia" w:eastAsiaTheme="majorEastAsia"/>
                <w:color w:val="auto"/>
                <w:kern w:val="0"/>
                <w:sz w:val="24"/>
                <w:lang w:val="zh-CN"/>
              </w:rPr>
              <w:t>讲解</w:t>
            </w:r>
            <w:r>
              <w:rPr>
                <w:rFonts w:hint="eastAsia" w:cs="仿宋_GB2312" w:asciiTheme="majorEastAsia" w:hAnsiTheme="majorEastAsia" w:eastAsiaTheme="majorEastAsia"/>
                <w:color w:val="auto"/>
                <w:sz w:val="24"/>
              </w:rPr>
              <w:t>演示所需设备由投标人自行准备。</w:t>
            </w:r>
          </w:p>
          <w:p>
            <w:pPr>
              <w:shd w:val="clear"/>
              <w:spacing w:line="440" w:lineRule="exact"/>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b/>
                <w:color w:val="auto"/>
                <w:kern w:val="0"/>
                <w:sz w:val="24"/>
                <w:lang w:val="zh-CN"/>
              </w:rPr>
              <w:t>讲解演示时间：</w:t>
            </w:r>
            <w:r>
              <w:rPr>
                <w:rFonts w:hint="eastAsia" w:cs="仿宋_GB2312" w:asciiTheme="majorEastAsia" w:hAnsiTheme="majorEastAsia" w:eastAsiaTheme="majorEastAsia"/>
                <w:color w:val="auto"/>
                <w:kern w:val="0"/>
                <w:sz w:val="24"/>
                <w:lang w:val="zh-CN"/>
              </w:rPr>
              <w:t>每个磋商响应人讲解演示前的调试准备时间不超过15分钟，讲解演示时间不超过20分钟，</w:t>
            </w:r>
            <w:r>
              <w:rPr>
                <w:rFonts w:hint="eastAsia" w:cs="仿宋_GB2312" w:asciiTheme="majorEastAsia" w:hAnsiTheme="majorEastAsia" w:eastAsiaTheme="majorEastAsia"/>
                <w:color w:val="auto"/>
                <w:sz w:val="24"/>
              </w:rPr>
              <w:t>不包含评标委员会提问解答时间。</w:t>
            </w:r>
          </w:p>
          <w:p>
            <w:pPr>
              <w:shd w:val="clear"/>
              <w:spacing w:line="440" w:lineRule="exact"/>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b/>
                <w:color w:val="auto"/>
                <w:kern w:val="0"/>
                <w:sz w:val="24"/>
                <w:lang w:val="zh-CN"/>
              </w:rPr>
              <w:t>讲解演示次序：</w:t>
            </w:r>
            <w:r>
              <w:rPr>
                <w:rFonts w:hint="eastAsia" w:cs="仿宋_GB2312" w:asciiTheme="majorEastAsia" w:hAnsiTheme="majorEastAsia" w:eastAsiaTheme="majorEastAsia"/>
                <w:color w:val="auto"/>
                <w:kern w:val="0"/>
                <w:sz w:val="24"/>
                <w:lang w:val="zh-CN"/>
              </w:rPr>
              <w:t>以</w:t>
            </w:r>
            <w:r>
              <w:rPr>
                <w:rFonts w:hint="eastAsia" w:cs="Arial" w:asciiTheme="majorEastAsia" w:hAnsiTheme="majorEastAsia" w:eastAsiaTheme="majorEastAsia"/>
                <w:bCs/>
                <w:color w:val="auto"/>
                <w:sz w:val="24"/>
              </w:rPr>
              <w:t>投标</w:t>
            </w:r>
            <w:r>
              <w:rPr>
                <w:rFonts w:hint="eastAsia" w:cs="仿宋_GB2312" w:asciiTheme="majorEastAsia" w:hAnsiTheme="majorEastAsia" w:eastAsiaTheme="majorEastAsia"/>
                <w:color w:val="auto"/>
                <w:kern w:val="0"/>
                <w:sz w:val="24"/>
                <w:lang w:val="zh-CN"/>
              </w:rPr>
              <w:t>文件提交时间的先后顺序为准。</w:t>
            </w:r>
          </w:p>
          <w:p>
            <w:pPr>
              <w:shd w:val="clear"/>
              <w:spacing w:line="440" w:lineRule="exact"/>
              <w:ind w:firstLine="1200" w:firstLineChars="500"/>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单一磋商响应人未能在规定时间内完成讲解演示设备调试的或讲解演示过程中出现视频中断、无法连接讲解演示视频的，则由下一顺位的磋商响应人进行讲解演示，同时可再给予该磋商响应人一次重新讲解演示的机会，但讲解演示顺序排至所有讲解演示投标人的最末位，出现同类问题的其他投标人亦按此方法处理。</w:t>
            </w:r>
          </w:p>
          <w:p>
            <w:pPr>
              <w:shd w:val="clear"/>
              <w:spacing w:line="440" w:lineRule="exact"/>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b/>
                <w:color w:val="auto"/>
                <w:kern w:val="0"/>
                <w:sz w:val="24"/>
                <w:lang w:val="zh-CN"/>
              </w:rPr>
              <w:t>讲解演示途径：</w:t>
            </w:r>
            <w:r>
              <w:rPr>
                <w:rFonts w:hint="eastAsia" w:cs="仿宋_GB2312" w:asciiTheme="majorEastAsia" w:hAnsiTheme="majorEastAsia" w:eastAsiaTheme="majorEastAsia"/>
                <w:color w:val="auto"/>
                <w:kern w:val="0"/>
                <w:sz w:val="24"/>
                <w:lang w:val="zh-CN"/>
              </w:rPr>
              <w:t>通过现场或录屏方式进行演示，其中涉及需要安装的软件磋商响应人应在开标前自行下载安装，确保网络、摄像头、麦克风、讲解演示环境等演示所需设备和系统正常稳定，并提前熟悉操作和使用。</w:t>
            </w:r>
          </w:p>
          <w:p>
            <w:pPr>
              <w:shd w:val="clear"/>
              <w:spacing w:line="420" w:lineRule="exact"/>
              <w:rPr>
                <w:rFonts w:asciiTheme="majorEastAsia" w:hAnsiTheme="majorEastAsia" w:eastAsiaTheme="majorEastAsia"/>
                <w:color w:val="auto"/>
                <w:sz w:val="24"/>
              </w:rPr>
            </w:pPr>
            <w:r>
              <w:rPr>
                <w:rFonts w:hint="eastAsia" w:asciiTheme="majorEastAsia" w:hAnsiTheme="majorEastAsia" w:eastAsiaTheme="majorEastAsia"/>
                <w:color w:val="auto"/>
                <w:kern w:val="0"/>
                <w:sz w:val="24"/>
              </w:rPr>
              <w:t>注：因</w:t>
            </w:r>
            <w:r>
              <w:rPr>
                <w:rFonts w:hint="eastAsia" w:cs="仿宋_GB2312" w:asciiTheme="majorEastAsia" w:hAnsiTheme="majorEastAsia" w:eastAsiaTheme="majorEastAsia"/>
                <w:color w:val="auto"/>
                <w:kern w:val="0"/>
                <w:sz w:val="24"/>
                <w:lang w:val="zh-CN"/>
              </w:rPr>
              <w:t>磋商响应人</w:t>
            </w:r>
            <w:r>
              <w:rPr>
                <w:rFonts w:hint="eastAsia" w:asciiTheme="majorEastAsia" w:hAnsiTheme="majorEastAsia" w:eastAsiaTheme="majorEastAsia"/>
                <w:color w:val="auto"/>
                <w:kern w:val="0"/>
                <w:sz w:val="24"/>
              </w:rPr>
              <w:t>自身原因导致无法讲解演示或者讲解演示效果不理想的，责任自负。因平台原因导致本项目方案讲解演示环节无法顺利开展，按照《浙江省政府采购项目电子交易管理暂行办法》相关规定执行。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vAlign w:val="center"/>
          </w:tcPr>
          <w:p>
            <w:pPr>
              <w:shd w:val="clear"/>
              <w:spacing w:line="44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11</w:t>
            </w:r>
          </w:p>
        </w:tc>
        <w:tc>
          <w:tcPr>
            <w:tcW w:w="855" w:type="dxa"/>
            <w:vAlign w:val="center"/>
          </w:tcPr>
          <w:p>
            <w:pPr>
              <w:shd w:val="clear"/>
              <w:snapToGrid w:val="0"/>
              <w:spacing w:line="440" w:lineRule="exact"/>
              <w:rPr>
                <w:rFonts w:cs="仿宋_GB2312" w:asciiTheme="majorEastAsia" w:hAnsiTheme="majorEastAsia" w:eastAsiaTheme="majorEastAsia"/>
                <w:b/>
                <w:color w:val="auto"/>
                <w:sz w:val="24"/>
              </w:rPr>
            </w:pPr>
            <w:r>
              <w:rPr>
                <w:rFonts w:hint="eastAsia" w:cs="仿宋_GB2312" w:asciiTheme="majorEastAsia" w:hAnsiTheme="majorEastAsia" w:eastAsiaTheme="majorEastAsia"/>
                <w:b/>
                <w:color w:val="auto"/>
                <w:sz w:val="24"/>
              </w:rPr>
              <w:t>进口产品</w:t>
            </w:r>
          </w:p>
        </w:tc>
        <w:tc>
          <w:tcPr>
            <w:tcW w:w="7516" w:type="dxa"/>
            <w:vAlign w:val="center"/>
          </w:tcPr>
          <w:p>
            <w:pPr>
              <w:shd w:val="clear"/>
              <w:spacing w:line="360" w:lineRule="auto"/>
              <w:rPr>
                <w:rFonts w:cs="Arial" w:asciiTheme="majorEastAsia" w:hAnsiTheme="majorEastAsia" w:eastAsiaTheme="majorEastAsia"/>
                <w:color w:val="auto"/>
                <w:kern w:val="0"/>
                <w:sz w:val="24"/>
              </w:rPr>
            </w:pPr>
            <w:sdt>
              <w:sdtPr>
                <w:rPr>
                  <w:rFonts w:hint="eastAsia" w:cs="Arial" w:asciiTheme="majorEastAsia" w:hAnsiTheme="majorEastAsia" w:eastAsiaTheme="majorEastAsia"/>
                  <w:color w:val="auto"/>
                  <w:kern w:val="0"/>
                  <w:sz w:val="24"/>
                  <w:szCs w:val="21"/>
                </w:rPr>
                <w:id w:val="26"/>
              </w:sdtPr>
              <w:sdtEndPr>
                <w:rPr>
                  <w:rFonts w:hint="eastAsia" w:cs="Arial" w:asciiTheme="majorEastAsia" w:hAnsiTheme="majorEastAsia" w:eastAsiaTheme="majorEastAsia"/>
                  <w:color w:val="auto"/>
                  <w:kern w:val="0"/>
                  <w:sz w:val="24"/>
                  <w:szCs w:val="21"/>
                </w:rPr>
              </w:sdtEndPr>
              <w:sdtContent>
                <w:r>
                  <w:rPr>
                    <w:rFonts w:hint="eastAsia" w:cs="Arial" w:asciiTheme="majorEastAsia" w:hAnsiTheme="majorEastAsia" w:eastAsiaTheme="majorEastAsia"/>
                    <w:color w:val="auto"/>
                    <w:kern w:val="0"/>
                    <w:sz w:val="24"/>
                  </w:rPr>
                  <w:sym w:font="Wingdings" w:char="F0FE"/>
                </w:r>
              </w:sdtContent>
            </w:sdt>
            <w:r>
              <w:rPr>
                <w:rFonts w:hint="eastAsia" w:cs="Arial" w:asciiTheme="majorEastAsia" w:hAnsiTheme="majorEastAsia" w:eastAsiaTheme="majorEastAsia"/>
                <w:color w:val="auto"/>
                <w:kern w:val="0"/>
                <w:sz w:val="24"/>
              </w:rPr>
              <w:t>本项目不允许采购进口产品。</w:t>
            </w:r>
          </w:p>
          <w:p>
            <w:pPr>
              <w:shd w:val="clear"/>
              <w:snapToGrid w:val="0"/>
              <w:spacing w:line="440" w:lineRule="exact"/>
              <w:rPr>
                <w:rFonts w:cs="仿宋_GB2312" w:asciiTheme="majorEastAsia" w:hAnsiTheme="majorEastAsia" w:eastAsiaTheme="majorEastAsia"/>
                <w:b/>
                <w:color w:val="auto"/>
                <w:sz w:val="24"/>
              </w:rPr>
            </w:pPr>
            <w:sdt>
              <w:sdtPr>
                <w:rPr>
                  <w:rFonts w:hint="eastAsia" w:cs="Arial" w:asciiTheme="majorEastAsia" w:hAnsiTheme="majorEastAsia" w:eastAsiaTheme="majorEastAsia"/>
                  <w:color w:val="auto"/>
                  <w:kern w:val="0"/>
                  <w:sz w:val="24"/>
                </w:rPr>
                <w:id w:val="27"/>
              </w:sdtPr>
              <w:sdtEndPr>
                <w:rPr>
                  <w:rFonts w:hint="eastAsia" w:cs="Arial" w:asciiTheme="majorEastAsia" w:hAnsiTheme="majorEastAsia" w:eastAsiaTheme="majorEastAsia"/>
                  <w:color w:val="auto"/>
                  <w:kern w:val="0"/>
                  <w:sz w:val="24"/>
                </w:rPr>
              </w:sdtEndPr>
              <w:sdtContent>
                <w:sdt>
                  <w:sdtPr>
                    <w:rPr>
                      <w:rFonts w:hint="eastAsia" w:cs="Arial" w:asciiTheme="majorEastAsia" w:hAnsiTheme="majorEastAsia" w:eastAsiaTheme="majorEastAsia"/>
                      <w:color w:val="auto"/>
                      <w:kern w:val="0"/>
                      <w:sz w:val="24"/>
                    </w:rPr>
                    <w:id w:val="778085749"/>
                  </w:sdtPr>
                  <w:sdtEndPr>
                    <w:rPr>
                      <w:rFonts w:hint="eastAsia" w:cs="Arial" w:asciiTheme="majorEastAsia" w:hAnsiTheme="majorEastAsia" w:eastAsiaTheme="majorEastAsia"/>
                      <w:color w:val="auto"/>
                      <w:kern w:val="0"/>
                      <w:sz w:val="24"/>
                    </w:rPr>
                  </w:sdtEndPr>
                  <w:sdtContent>
                    <w:r>
                      <w:rPr>
                        <w:rFonts w:hAnsi="MS Gothic" w:cs="Arial" w:asciiTheme="majorEastAsia" w:eastAsiaTheme="majorEastAsia"/>
                        <w:color w:val="auto"/>
                        <w:kern w:val="0"/>
                        <w:sz w:val="24"/>
                      </w:rPr>
                      <w:t>☐</w:t>
                    </w:r>
                  </w:sdtContent>
                </w:sdt>
              </w:sdtContent>
            </w:sdt>
            <w:r>
              <w:rPr>
                <w:rFonts w:hint="eastAsia" w:cs="Arial" w:asciiTheme="majorEastAsia" w:hAnsiTheme="majorEastAsia" w:eastAsiaTheme="majorEastAsia"/>
                <w:color w:val="auto"/>
                <w:kern w:val="0"/>
                <w:sz w:val="24"/>
              </w:rPr>
              <w:t>可以采购进口产品，优先采购向我国企业转让技术、与我国企业签订消化吸收再创新方案的磋商响应人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vAlign w:val="center"/>
          </w:tcPr>
          <w:p>
            <w:pPr>
              <w:shd w:val="clear"/>
              <w:spacing w:line="44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12</w:t>
            </w:r>
          </w:p>
        </w:tc>
        <w:tc>
          <w:tcPr>
            <w:tcW w:w="855" w:type="dxa"/>
            <w:vAlign w:val="center"/>
          </w:tcPr>
          <w:p>
            <w:pPr>
              <w:shd w:val="clear"/>
              <w:snapToGrid w:val="0"/>
              <w:ind w:left="-3" w:leftChars="-8" w:right="-50" w:rightChars="-24" w:hanging="14" w:hangingChars="7"/>
              <w:rPr>
                <w:rFonts w:cs="仿宋_GB2312" w:asciiTheme="majorEastAsia" w:hAnsiTheme="majorEastAsia" w:eastAsiaTheme="majorEastAsia"/>
                <w:b/>
                <w:color w:val="auto"/>
                <w:spacing w:val="-20"/>
                <w:sz w:val="24"/>
              </w:rPr>
            </w:pPr>
            <w:r>
              <w:rPr>
                <w:rFonts w:hint="eastAsia" w:cs="仿宋_GB2312" w:asciiTheme="majorEastAsia" w:hAnsiTheme="majorEastAsia" w:eastAsiaTheme="majorEastAsia"/>
                <w:b/>
                <w:color w:val="auto"/>
                <w:spacing w:val="-20"/>
                <w:sz w:val="24"/>
              </w:rPr>
              <w:t>项目属性与核心产品</w:t>
            </w:r>
          </w:p>
        </w:tc>
        <w:tc>
          <w:tcPr>
            <w:tcW w:w="7516" w:type="dxa"/>
            <w:vAlign w:val="center"/>
          </w:tcPr>
          <w:p>
            <w:pPr>
              <w:shd w:val="clear"/>
              <w:rPr>
                <w:rFonts w:asciiTheme="majorEastAsia" w:hAnsiTheme="majorEastAsia" w:eastAsiaTheme="majorEastAsia"/>
                <w:color w:val="auto"/>
                <w:sz w:val="24"/>
              </w:rPr>
            </w:pPr>
            <w:sdt>
              <w:sdtPr>
                <w:rPr>
                  <w:rFonts w:hint="eastAsia" w:cs="Arial" w:asciiTheme="majorEastAsia" w:hAnsiTheme="majorEastAsia" w:eastAsiaTheme="majorEastAsia"/>
                  <w:color w:val="auto"/>
                  <w:kern w:val="0"/>
                  <w:sz w:val="24"/>
                  <w:szCs w:val="21"/>
                </w:rPr>
                <w:id w:val="118727868"/>
              </w:sdtPr>
              <w:sdtEndPr>
                <w:rPr>
                  <w:rFonts w:hint="eastAsia" w:cs="Arial" w:asciiTheme="majorEastAsia" w:hAnsiTheme="majorEastAsia" w:eastAsiaTheme="majorEastAsia"/>
                  <w:color w:val="auto"/>
                  <w:kern w:val="0"/>
                  <w:sz w:val="24"/>
                  <w:szCs w:val="21"/>
                </w:rPr>
              </w:sdtEndPr>
              <w:sdtContent>
                <w:sdt>
                  <w:sdtPr>
                    <w:rPr>
                      <w:rFonts w:hint="eastAsia" w:cs="Arial" w:asciiTheme="majorEastAsia" w:hAnsiTheme="majorEastAsia" w:eastAsiaTheme="majorEastAsia"/>
                      <w:color w:val="auto"/>
                      <w:kern w:val="0"/>
                      <w:sz w:val="24"/>
                      <w:szCs w:val="21"/>
                    </w:rPr>
                    <w:id w:val="778085745"/>
                  </w:sdtPr>
                  <w:sdtEndPr>
                    <w:rPr>
                      <w:rFonts w:hint="eastAsia" w:cs="Arial" w:asciiTheme="majorEastAsia" w:hAnsiTheme="majorEastAsia" w:eastAsiaTheme="majorEastAsia"/>
                      <w:color w:val="auto"/>
                      <w:kern w:val="0"/>
                      <w:sz w:val="24"/>
                      <w:szCs w:val="21"/>
                    </w:rPr>
                  </w:sdtEndPr>
                  <w:sdtContent>
                    <w:r>
                      <w:rPr>
                        <w:rFonts w:hAnsi="MS Gothic" w:cs="Arial" w:asciiTheme="majorEastAsia" w:eastAsiaTheme="majorEastAsia"/>
                        <w:color w:val="auto"/>
                        <w:kern w:val="0"/>
                        <w:sz w:val="24"/>
                      </w:rPr>
                      <w:t>☐</w:t>
                    </w:r>
                  </w:sdtContent>
                </w:sdt>
              </w:sdtContent>
            </w:sdt>
            <w:r>
              <w:rPr>
                <w:rFonts w:hint="eastAsia" w:cs="Arial" w:asciiTheme="majorEastAsia" w:hAnsiTheme="majorEastAsia" w:eastAsiaTheme="majorEastAsia"/>
                <w:color w:val="auto"/>
                <w:kern w:val="0"/>
                <w:sz w:val="24"/>
              </w:rPr>
              <w:t>A</w:t>
            </w:r>
            <w:r>
              <w:rPr>
                <w:rFonts w:hint="eastAsia" w:asciiTheme="majorEastAsia" w:hAnsiTheme="majorEastAsia" w:eastAsiaTheme="majorEastAsia"/>
                <w:color w:val="auto"/>
                <w:sz w:val="24"/>
              </w:rPr>
              <w:t>货物类。</w:t>
            </w:r>
          </w:p>
          <w:p>
            <w:pPr>
              <w:shd w:val="clear"/>
              <w:snapToGrid w:val="0"/>
              <w:spacing w:line="400" w:lineRule="exact"/>
              <w:rPr>
                <w:rFonts w:cs="仿宋_GB2312" w:asciiTheme="majorEastAsia" w:hAnsiTheme="majorEastAsia" w:eastAsiaTheme="majorEastAsia"/>
                <w:color w:val="auto"/>
                <w:sz w:val="24"/>
              </w:rPr>
            </w:pPr>
            <w:sdt>
              <w:sdtPr>
                <w:rPr>
                  <w:rFonts w:hint="eastAsia" w:cs="Arial" w:asciiTheme="majorEastAsia" w:hAnsiTheme="majorEastAsia" w:eastAsiaTheme="majorEastAsia"/>
                  <w:color w:val="auto"/>
                  <w:kern w:val="0"/>
                  <w:sz w:val="24"/>
                </w:rPr>
                <w:id w:val="474885559"/>
              </w:sdtPr>
              <w:sdtEndPr>
                <w:rPr>
                  <w:rFonts w:hint="eastAsia" w:cs="Arial" w:asciiTheme="majorEastAsia" w:hAnsiTheme="majorEastAsia" w:eastAsiaTheme="majorEastAsia"/>
                  <w:color w:val="auto"/>
                  <w:kern w:val="0"/>
                  <w:sz w:val="24"/>
                </w:rPr>
              </w:sdtEndPr>
              <w:sdtContent>
                <w:sdt>
                  <w:sdtPr>
                    <w:rPr>
                      <w:rFonts w:hint="eastAsia" w:cs="Arial" w:asciiTheme="majorEastAsia" w:hAnsiTheme="majorEastAsia" w:eastAsiaTheme="majorEastAsia"/>
                      <w:color w:val="auto"/>
                      <w:kern w:val="0"/>
                      <w:sz w:val="24"/>
                    </w:rPr>
                    <w:id w:val="778085747"/>
                  </w:sdtPr>
                  <w:sdtEndPr>
                    <w:rPr>
                      <w:rFonts w:hint="eastAsia" w:cs="Arial" w:asciiTheme="majorEastAsia" w:hAnsiTheme="majorEastAsia" w:eastAsiaTheme="majorEastAsia"/>
                      <w:color w:val="auto"/>
                      <w:kern w:val="0"/>
                      <w:sz w:val="24"/>
                    </w:rPr>
                  </w:sdtEndPr>
                  <w:sdtContent>
                    <w:sdt>
                      <w:sdtPr>
                        <w:rPr>
                          <w:rFonts w:hint="eastAsia" w:cs="Arial" w:asciiTheme="majorEastAsia" w:hAnsiTheme="majorEastAsia" w:eastAsiaTheme="majorEastAsia"/>
                          <w:color w:val="auto"/>
                          <w:kern w:val="0"/>
                          <w:sz w:val="24"/>
                          <w:szCs w:val="21"/>
                        </w:rPr>
                        <w:id w:val="149448213"/>
                      </w:sdtPr>
                      <w:sdtEndPr>
                        <w:rPr>
                          <w:rFonts w:hint="eastAsia" w:cs="Arial" w:asciiTheme="majorEastAsia" w:hAnsiTheme="majorEastAsia" w:eastAsiaTheme="majorEastAsia"/>
                          <w:color w:val="auto"/>
                          <w:kern w:val="0"/>
                          <w:sz w:val="24"/>
                          <w:szCs w:val="21"/>
                        </w:rPr>
                      </w:sdtEndPr>
                      <w:sdtContent>
                        <w:sdt>
                          <w:sdtPr>
                            <w:rPr>
                              <w:rFonts w:hint="eastAsia" w:cs="Arial" w:asciiTheme="majorEastAsia" w:hAnsiTheme="majorEastAsia" w:eastAsiaTheme="majorEastAsia"/>
                              <w:color w:val="auto"/>
                              <w:kern w:val="0"/>
                              <w:sz w:val="24"/>
                              <w:szCs w:val="21"/>
                            </w:rPr>
                            <w:id w:val="15521274"/>
                          </w:sdtPr>
                          <w:sdtEndPr>
                            <w:rPr>
                              <w:rFonts w:hint="eastAsia" w:cs="Arial" w:asciiTheme="majorEastAsia" w:hAnsiTheme="majorEastAsia" w:eastAsiaTheme="majorEastAsia"/>
                              <w:color w:val="auto"/>
                              <w:kern w:val="0"/>
                              <w:sz w:val="24"/>
                              <w:szCs w:val="21"/>
                            </w:rPr>
                          </w:sdtEndPr>
                          <w:sdtContent>
                            <w:r>
                              <w:rPr>
                                <w:rFonts w:hint="eastAsia" w:cs="Arial" w:asciiTheme="majorEastAsia" w:hAnsiTheme="majorEastAsia" w:eastAsiaTheme="majorEastAsia"/>
                                <w:color w:val="auto"/>
                                <w:kern w:val="0"/>
                                <w:sz w:val="24"/>
                              </w:rPr>
                              <w:sym w:font="Wingdings" w:char="F0FE"/>
                            </w:r>
                          </w:sdtContent>
                        </w:sdt>
                      </w:sdtContent>
                    </w:sdt>
                  </w:sdtContent>
                </w:sdt>
              </w:sdtContent>
            </w:sdt>
            <w:r>
              <w:rPr>
                <w:rFonts w:hint="eastAsia" w:cs="Arial" w:asciiTheme="majorEastAsia" w:hAnsiTheme="majorEastAsia" w:eastAsiaTheme="majorEastAsia"/>
                <w:color w:val="auto"/>
                <w:kern w:val="0"/>
                <w:sz w:val="24"/>
              </w:rPr>
              <w:t>B</w:t>
            </w:r>
            <w:r>
              <w:rPr>
                <w:rFonts w:hint="eastAsia" w:asciiTheme="majorEastAsia" w:hAnsiTheme="majorEastAsia" w:eastAsiaTheme="majorEastAsia"/>
                <w:color w:val="auto"/>
                <w:sz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vAlign w:val="center"/>
          </w:tcPr>
          <w:p>
            <w:pPr>
              <w:shd w:val="clear"/>
              <w:spacing w:line="44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13</w:t>
            </w:r>
          </w:p>
        </w:tc>
        <w:tc>
          <w:tcPr>
            <w:tcW w:w="855" w:type="dxa"/>
            <w:vAlign w:val="center"/>
          </w:tcPr>
          <w:p>
            <w:pPr>
              <w:shd w:val="clear"/>
              <w:snapToGrid w:val="0"/>
              <w:ind w:left="-18" w:leftChars="-9" w:right="-50" w:rightChars="-24" w:hanging="1"/>
              <w:jc w:val="center"/>
              <w:rPr>
                <w:rFonts w:cs="仿宋_GB2312" w:asciiTheme="majorEastAsia" w:hAnsiTheme="majorEastAsia" w:eastAsiaTheme="majorEastAsia"/>
                <w:b/>
                <w:color w:val="auto"/>
                <w:spacing w:val="-20"/>
                <w:sz w:val="24"/>
              </w:rPr>
            </w:pPr>
            <w:r>
              <w:rPr>
                <w:rFonts w:hint="eastAsia" w:cs="仿宋_GB2312" w:asciiTheme="majorEastAsia" w:hAnsiTheme="majorEastAsia" w:eastAsiaTheme="majorEastAsia"/>
                <w:b/>
                <w:color w:val="auto"/>
                <w:spacing w:val="-20"/>
                <w:sz w:val="24"/>
              </w:rPr>
              <w:t>采购标的对应的中小企业划分标准所属行业</w:t>
            </w:r>
          </w:p>
        </w:tc>
        <w:tc>
          <w:tcPr>
            <w:tcW w:w="7516" w:type="dxa"/>
          </w:tcPr>
          <w:p>
            <w:pPr>
              <w:shd w:val="clear"/>
              <w:snapToGrid w:val="0"/>
              <w:rPr>
                <w:rFonts w:asciiTheme="majorEastAsia" w:hAnsiTheme="majorEastAsia" w:eastAsiaTheme="majorEastAsia"/>
                <w:color w:val="auto"/>
              </w:rPr>
            </w:pPr>
            <w:r>
              <w:rPr>
                <w:rFonts w:hint="eastAsia" w:cs="Arial" w:asciiTheme="majorEastAsia" w:hAnsiTheme="majorEastAsia" w:eastAsiaTheme="majorEastAsia"/>
                <w:color w:val="auto"/>
                <w:kern w:val="0"/>
                <w:sz w:val="24"/>
              </w:rPr>
              <w:t>（1）标的：</w:t>
            </w:r>
            <w:r>
              <w:rPr>
                <w:rFonts w:hint="eastAsia" w:cs="Arial" w:asciiTheme="majorEastAsia" w:hAnsiTheme="majorEastAsia" w:eastAsiaTheme="majorEastAsia"/>
                <w:color w:val="auto"/>
                <w:kern w:val="0"/>
                <w:sz w:val="24"/>
                <w:u w:val="single"/>
              </w:rPr>
              <w:t>标项一，属于软件和信息技术服务业。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69" w:type="dxa"/>
            <w:vMerge w:val="restart"/>
            <w:vAlign w:val="center"/>
          </w:tcPr>
          <w:p>
            <w:pPr>
              <w:shd w:val="clear"/>
              <w:spacing w:line="40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14</w:t>
            </w:r>
          </w:p>
        </w:tc>
        <w:tc>
          <w:tcPr>
            <w:tcW w:w="855" w:type="dxa"/>
            <w:vMerge w:val="restart"/>
            <w:vAlign w:val="center"/>
          </w:tcPr>
          <w:p>
            <w:pPr>
              <w:shd w:val="clear"/>
              <w:snapToGrid w:val="0"/>
              <w:spacing w:line="400" w:lineRule="exact"/>
              <w:rPr>
                <w:rFonts w:cs="仿宋_GB2312" w:asciiTheme="majorEastAsia" w:hAnsiTheme="majorEastAsia" w:eastAsiaTheme="majorEastAsia"/>
                <w:b/>
                <w:color w:val="auto"/>
                <w:sz w:val="24"/>
              </w:rPr>
            </w:pPr>
            <w:r>
              <w:rPr>
                <w:rFonts w:hint="eastAsia" w:asciiTheme="majorEastAsia" w:hAnsiTheme="majorEastAsia" w:eastAsiaTheme="majorEastAsia"/>
                <w:b/>
                <w:color w:val="auto"/>
                <w:sz w:val="24"/>
              </w:rPr>
              <w:t>供应商信用信息事项</w:t>
            </w:r>
          </w:p>
        </w:tc>
        <w:tc>
          <w:tcPr>
            <w:tcW w:w="7516" w:type="dxa"/>
            <w:vAlign w:val="center"/>
          </w:tcPr>
          <w:p>
            <w:pPr>
              <w:shd w:val="clear"/>
              <w:snapToGrid w:val="0"/>
              <w:spacing w:line="400" w:lineRule="exact"/>
              <w:rPr>
                <w:rFonts w:cs="仿宋_GB2312" w:asciiTheme="majorEastAsia" w:hAnsiTheme="majorEastAsia" w:eastAsiaTheme="majorEastAsia"/>
                <w:b/>
                <w:color w:val="auto"/>
                <w:sz w:val="24"/>
              </w:rPr>
            </w:pPr>
            <w:r>
              <w:rPr>
                <w:rFonts w:hint="eastAsia" w:asciiTheme="majorEastAsia" w:hAnsiTheme="majorEastAsia" w:eastAsiaTheme="majorEastAsia"/>
                <w:b/>
                <w:color w:val="auto"/>
                <w:sz w:val="24"/>
              </w:rPr>
              <w:t>信用信息查询渠道及截止时间：</w:t>
            </w:r>
            <w:r>
              <w:rPr>
                <w:rFonts w:hint="eastAsia" w:asciiTheme="majorEastAsia" w:hAnsiTheme="majorEastAsia" w:eastAsiaTheme="majorEastAsia"/>
                <w:color w:val="auto"/>
                <w:sz w:val="24"/>
              </w:rPr>
              <w:t>采购人或采购人委托的磋商小组或采购代理机构将通过“信用中国”网站(www.creditchina.gov.cn)、中国政府采购网(www.ccgp.gov.cn)渠道查询</w:t>
            </w:r>
            <w:r>
              <w:rPr>
                <w:rFonts w:hint="eastAsia" w:cs="仿宋_GB2312" w:asciiTheme="majorEastAsia" w:hAnsiTheme="majorEastAsia" w:eastAsiaTheme="majorEastAsia"/>
                <w:b/>
                <w:color w:val="auto"/>
                <w:sz w:val="24"/>
              </w:rPr>
              <w:t>磋商当天</w:t>
            </w:r>
            <w:r>
              <w:rPr>
                <w:rFonts w:hint="eastAsia" w:asciiTheme="majorEastAsia" w:hAnsiTheme="majorEastAsia" w:eastAsiaTheme="majorEastAsia"/>
                <w:color w:val="auto"/>
                <w:sz w:val="24"/>
              </w:rPr>
              <w:t>的信用记录。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69" w:type="dxa"/>
            <w:vMerge w:val="continue"/>
            <w:vAlign w:val="center"/>
          </w:tcPr>
          <w:p>
            <w:pPr>
              <w:shd w:val="clear"/>
              <w:spacing w:line="400" w:lineRule="exact"/>
              <w:jc w:val="center"/>
              <w:rPr>
                <w:rFonts w:asciiTheme="majorEastAsia" w:hAnsiTheme="majorEastAsia" w:eastAsiaTheme="majorEastAsia"/>
                <w:color w:val="auto"/>
                <w:sz w:val="24"/>
              </w:rPr>
            </w:pPr>
          </w:p>
        </w:tc>
        <w:tc>
          <w:tcPr>
            <w:tcW w:w="855" w:type="dxa"/>
            <w:vMerge w:val="continue"/>
            <w:vAlign w:val="center"/>
          </w:tcPr>
          <w:p>
            <w:pPr>
              <w:shd w:val="clear"/>
              <w:snapToGrid w:val="0"/>
              <w:spacing w:line="400" w:lineRule="exact"/>
              <w:rPr>
                <w:rFonts w:cs="仿宋_GB2312" w:asciiTheme="majorEastAsia" w:hAnsiTheme="majorEastAsia" w:eastAsiaTheme="majorEastAsia"/>
                <w:b/>
                <w:color w:val="auto"/>
                <w:sz w:val="24"/>
              </w:rPr>
            </w:pPr>
          </w:p>
        </w:tc>
        <w:tc>
          <w:tcPr>
            <w:tcW w:w="7516" w:type="dxa"/>
            <w:vAlign w:val="center"/>
          </w:tcPr>
          <w:p>
            <w:pPr>
              <w:shd w:val="clear"/>
              <w:snapToGrid w:val="0"/>
              <w:spacing w:line="400" w:lineRule="exact"/>
              <w:rPr>
                <w:rFonts w:cs="仿宋_GB2312" w:asciiTheme="majorEastAsia" w:hAnsiTheme="majorEastAsia" w:eastAsiaTheme="majorEastAsia"/>
                <w:b/>
                <w:color w:val="auto"/>
                <w:sz w:val="24"/>
              </w:rPr>
            </w:pPr>
            <w:r>
              <w:rPr>
                <w:rFonts w:hint="eastAsia" w:asciiTheme="majorEastAsia" w:hAnsiTheme="majorEastAsia" w:eastAsiaTheme="majorEastAsia"/>
                <w:b/>
                <w:color w:val="auto"/>
                <w:sz w:val="24"/>
              </w:rPr>
              <w:t>信用信息查询记录和证据留存的具体方式：</w:t>
            </w:r>
            <w:r>
              <w:rPr>
                <w:rFonts w:hint="eastAsia" w:asciiTheme="majorEastAsia" w:hAnsiTheme="majorEastAsia" w:eastAsiaTheme="majorEastAsia"/>
                <w:color w:val="auto"/>
                <w:sz w:val="24"/>
              </w:rPr>
              <w:t>采购人或采购人委托的磋商小组或采购代理机构现场查询磋商响应人的信用记录，查询结果经确认后与</w:t>
            </w:r>
            <w:r>
              <w:rPr>
                <w:rFonts w:hint="eastAsia" w:cs="仿宋_GB2312" w:asciiTheme="majorEastAsia" w:hAnsiTheme="majorEastAsia" w:eastAsiaTheme="majorEastAsia"/>
                <w:color w:val="auto"/>
                <w:sz w:val="24"/>
              </w:rPr>
              <w:t>磋商响应</w:t>
            </w:r>
            <w:r>
              <w:rPr>
                <w:rFonts w:hint="eastAsia" w:asciiTheme="majorEastAsia" w:hAnsiTheme="majorEastAsia" w:eastAsiaTheme="majorEastAsia"/>
                <w:color w:val="auto"/>
                <w:sz w:val="24"/>
              </w:rPr>
              <w:t>文件一起存档。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69" w:type="dxa"/>
            <w:vMerge w:val="continue"/>
            <w:vAlign w:val="center"/>
          </w:tcPr>
          <w:p>
            <w:pPr>
              <w:shd w:val="clear"/>
              <w:spacing w:line="400" w:lineRule="exact"/>
              <w:jc w:val="center"/>
              <w:rPr>
                <w:rFonts w:asciiTheme="majorEastAsia" w:hAnsiTheme="majorEastAsia" w:eastAsiaTheme="majorEastAsia"/>
                <w:color w:val="auto"/>
                <w:sz w:val="24"/>
              </w:rPr>
            </w:pPr>
          </w:p>
        </w:tc>
        <w:tc>
          <w:tcPr>
            <w:tcW w:w="855" w:type="dxa"/>
            <w:vMerge w:val="continue"/>
            <w:vAlign w:val="center"/>
          </w:tcPr>
          <w:p>
            <w:pPr>
              <w:shd w:val="clear"/>
              <w:snapToGrid w:val="0"/>
              <w:spacing w:line="400" w:lineRule="exact"/>
              <w:rPr>
                <w:rFonts w:cs="仿宋_GB2312" w:asciiTheme="majorEastAsia" w:hAnsiTheme="majorEastAsia" w:eastAsiaTheme="majorEastAsia"/>
                <w:b/>
                <w:color w:val="auto"/>
                <w:sz w:val="24"/>
              </w:rPr>
            </w:pPr>
          </w:p>
        </w:tc>
        <w:tc>
          <w:tcPr>
            <w:tcW w:w="7516" w:type="dxa"/>
            <w:vAlign w:val="center"/>
          </w:tcPr>
          <w:p>
            <w:pPr>
              <w:shd w:val="clear"/>
              <w:snapToGrid w:val="0"/>
              <w:spacing w:line="400" w:lineRule="exact"/>
              <w:rPr>
                <w:rFonts w:asciiTheme="majorEastAsia" w:hAnsiTheme="majorEastAsia" w:eastAsiaTheme="majorEastAsia"/>
                <w:color w:val="auto"/>
                <w:sz w:val="24"/>
              </w:rPr>
            </w:pPr>
            <w:r>
              <w:rPr>
                <w:rFonts w:hint="eastAsia" w:asciiTheme="majorEastAsia" w:hAnsiTheme="majorEastAsia" w:eastAsiaTheme="majorEastAsia"/>
                <w:b/>
                <w:color w:val="auto"/>
                <w:sz w:val="24"/>
              </w:rPr>
              <w:t>信用信息的使用规则：</w:t>
            </w:r>
            <w:r>
              <w:rPr>
                <w:rFonts w:hint="eastAsia" w:asciiTheme="majorEastAsia" w:hAnsiTheme="majorEastAsia" w:eastAsiaTheme="majorEastAsia"/>
                <w:color w:val="auto"/>
                <w:sz w:val="24"/>
              </w:rPr>
              <w:t>经查询列入失信被执行人名单、重大税收违法案件当事人名单、政府采购严重违法失信行为记录名单的磋商响应人将被拒绝参与政府采购活动。</w:t>
            </w:r>
          </w:p>
          <w:p>
            <w:pPr>
              <w:shd w:val="clear"/>
              <w:snapToGrid w:val="0"/>
              <w:spacing w:line="400" w:lineRule="exact"/>
              <w:rPr>
                <w:rFonts w:cs="仿宋_GB2312" w:asciiTheme="majorEastAsia" w:hAnsiTheme="majorEastAsia" w:eastAsiaTheme="majorEastAsia"/>
                <w:b/>
                <w:color w:val="auto"/>
                <w:sz w:val="24"/>
              </w:rPr>
            </w:pPr>
            <w:r>
              <w:rPr>
                <w:rFonts w:hint="eastAsia" w:asciiTheme="majorEastAsia" w:hAnsiTheme="majorEastAsia" w:eastAsiaTheme="majorEastAsia"/>
                <w:color w:val="auto"/>
                <w:sz w:val="24"/>
              </w:rPr>
              <w:t>联合体信用信息查询：两个以上的自然人、法人或者其他组织组成一个联合体，以一个磋商响应人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9" w:type="dxa"/>
            <w:vAlign w:val="center"/>
          </w:tcPr>
          <w:p>
            <w:pPr>
              <w:shd w:val="clear"/>
              <w:spacing w:line="40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15</w:t>
            </w:r>
          </w:p>
        </w:tc>
        <w:tc>
          <w:tcPr>
            <w:tcW w:w="8371" w:type="dxa"/>
            <w:gridSpan w:val="2"/>
            <w:vAlign w:val="center"/>
          </w:tcPr>
          <w:p>
            <w:pPr>
              <w:shd w:val="clear"/>
              <w:snapToGrid w:val="0"/>
              <w:spacing w:line="440" w:lineRule="exact"/>
              <w:rPr>
                <w:rFonts w:cs="仿宋_GB2312" w:asciiTheme="majorEastAsia" w:hAnsiTheme="majorEastAsia" w:eastAsiaTheme="majorEastAsia"/>
                <w:b/>
                <w:color w:val="auto"/>
                <w:sz w:val="24"/>
              </w:rPr>
            </w:pPr>
            <w:r>
              <w:rPr>
                <w:rFonts w:hint="eastAsia" w:cs="仿宋_GB2312" w:asciiTheme="majorEastAsia" w:hAnsiTheme="majorEastAsia" w:eastAsiaTheme="majorEastAsia"/>
                <w:b/>
                <w:color w:val="auto"/>
                <w:sz w:val="24"/>
              </w:rPr>
              <w:t>扰乱公共资源交易市场秩序行为：</w:t>
            </w:r>
          </w:p>
          <w:p>
            <w:pPr>
              <w:shd w:val="clear"/>
              <w:snapToGrid w:val="0"/>
              <w:spacing w:line="44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不诚信参加公共资源交易活动，扰乱市场秩序，被绍兴市公共资源交易平台责令整改、暂停交易的磋商响应人，在此期间将被拒绝参与政府采购活动。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9" w:type="dxa"/>
            <w:vAlign w:val="center"/>
          </w:tcPr>
          <w:p>
            <w:pPr>
              <w:shd w:val="clear"/>
              <w:spacing w:line="40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16</w:t>
            </w:r>
          </w:p>
        </w:tc>
        <w:tc>
          <w:tcPr>
            <w:tcW w:w="8371" w:type="dxa"/>
            <w:gridSpan w:val="2"/>
            <w:vAlign w:val="center"/>
          </w:tcPr>
          <w:p>
            <w:pPr>
              <w:shd w:val="clear"/>
              <w:snapToGrid w:val="0"/>
              <w:spacing w:line="44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需要落实的政府采购政策：包括保护环境、节约能源、促进中小企业发展等。详见磋商文件第二部分总则。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9" w:type="dxa"/>
            <w:vAlign w:val="center"/>
          </w:tcPr>
          <w:p>
            <w:pPr>
              <w:shd w:val="clear"/>
              <w:spacing w:line="44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17</w:t>
            </w:r>
          </w:p>
        </w:tc>
        <w:tc>
          <w:tcPr>
            <w:tcW w:w="8371" w:type="dxa"/>
            <w:gridSpan w:val="2"/>
            <w:vAlign w:val="center"/>
          </w:tcPr>
          <w:p>
            <w:pPr>
              <w:shd w:val="clear"/>
              <w:snapToGrid w:val="0"/>
              <w:spacing w:line="44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更正补充公告请自行登录浙江政府采购网或绍兴公共资源交易网查看下载。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9" w:type="dxa"/>
            <w:vAlign w:val="center"/>
          </w:tcPr>
          <w:p>
            <w:pPr>
              <w:shd w:val="clear"/>
              <w:spacing w:line="440" w:lineRule="exact"/>
              <w:jc w:val="center"/>
              <w:rPr>
                <w:rFonts w:asciiTheme="majorEastAsia" w:hAnsiTheme="majorEastAsia" w:eastAsiaTheme="majorEastAsia"/>
                <w:color w:val="auto"/>
                <w:sz w:val="24"/>
              </w:rPr>
            </w:pPr>
          </w:p>
        </w:tc>
        <w:tc>
          <w:tcPr>
            <w:tcW w:w="8371" w:type="dxa"/>
            <w:gridSpan w:val="2"/>
            <w:vAlign w:val="center"/>
          </w:tcPr>
          <w:p>
            <w:pPr>
              <w:shd w:val="clear"/>
              <w:snapToGrid w:val="0"/>
              <w:spacing w:line="44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磋商注意事项：</w:t>
            </w:r>
          </w:p>
          <w:p>
            <w:pPr>
              <w:shd w:val="clear"/>
              <w:snapToGrid w:val="0"/>
              <w:spacing w:line="360" w:lineRule="auto"/>
              <w:ind w:firstLine="405" w:firstLineChars="169"/>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因疫情防控期间，本项目投标与开标采用以下方式：</w:t>
            </w:r>
          </w:p>
          <w:p>
            <w:pPr>
              <w:shd w:val="clear"/>
              <w:snapToGrid w:val="0"/>
              <w:spacing w:line="360" w:lineRule="auto"/>
              <w:ind w:firstLine="405" w:firstLineChars="169"/>
              <w:rPr>
                <w:rFonts w:cs="仿宋" w:asciiTheme="majorEastAsia" w:hAnsiTheme="majorEastAsia" w:eastAsiaTheme="majorEastAsia"/>
                <w:color w:val="auto"/>
                <w:sz w:val="24"/>
              </w:rPr>
            </w:pPr>
            <w:r>
              <w:rPr>
                <w:rFonts w:cs="仿宋" w:asciiTheme="majorEastAsia" w:hAnsiTheme="majorEastAsia" w:eastAsiaTheme="majorEastAsia"/>
                <w:color w:val="auto"/>
                <w:sz w:val="24"/>
              </w:rPr>
              <w:t>（1）</w:t>
            </w:r>
            <w:r>
              <w:rPr>
                <w:rFonts w:hint="eastAsia" w:cs="仿宋" w:asciiTheme="majorEastAsia" w:hAnsiTheme="majorEastAsia" w:eastAsiaTheme="majorEastAsia"/>
                <w:color w:val="auto"/>
                <w:sz w:val="24"/>
              </w:rPr>
              <w:t>本项目磋商响应文件允许投标单位通过邮寄方式送达。邮寄送达地址：</w:t>
            </w:r>
            <w:r>
              <w:rPr>
                <w:rFonts w:hint="eastAsia" w:cs="宋体" w:asciiTheme="majorEastAsia" w:hAnsiTheme="majorEastAsia" w:eastAsiaTheme="majorEastAsia"/>
                <w:color w:val="auto"/>
                <w:sz w:val="24"/>
              </w:rPr>
              <w:t>绍兴市</w:t>
            </w:r>
            <w:r>
              <w:rPr>
                <w:rFonts w:hint="eastAsia" w:cs="宋体" w:asciiTheme="majorEastAsia" w:hAnsiTheme="majorEastAsia" w:eastAsiaTheme="majorEastAsia"/>
                <w:color w:val="auto"/>
                <w:sz w:val="24"/>
                <w:lang w:eastAsia="zh-CN"/>
              </w:rPr>
              <w:t>梅龙湖路</w:t>
            </w:r>
            <w:r>
              <w:rPr>
                <w:rFonts w:hint="eastAsia" w:cs="宋体" w:asciiTheme="majorEastAsia" w:hAnsiTheme="majorEastAsia" w:eastAsiaTheme="majorEastAsia"/>
                <w:color w:val="auto"/>
                <w:sz w:val="24"/>
                <w:lang w:val="en-US" w:eastAsia="zh-CN"/>
              </w:rPr>
              <w:t>56号1801-2</w:t>
            </w:r>
            <w:r>
              <w:rPr>
                <w:rFonts w:hint="eastAsia" w:cs="宋体" w:asciiTheme="majorEastAsia" w:hAnsiTheme="majorEastAsia" w:eastAsiaTheme="majorEastAsia"/>
                <w:color w:val="auto"/>
                <w:sz w:val="24"/>
              </w:rPr>
              <w:t>室</w:t>
            </w:r>
            <w:r>
              <w:rPr>
                <w:rFonts w:hint="eastAsia" w:cs="仿宋" w:asciiTheme="majorEastAsia" w:hAnsiTheme="majorEastAsia" w:eastAsiaTheme="majorEastAsia"/>
                <w:color w:val="auto"/>
                <w:sz w:val="24"/>
              </w:rPr>
              <w:t>（</w:t>
            </w:r>
            <w:r>
              <w:rPr>
                <w:rFonts w:hint="eastAsia" w:cs="仿宋" w:asciiTheme="majorEastAsia" w:hAnsiTheme="majorEastAsia" w:eastAsiaTheme="majorEastAsia"/>
                <w:color w:val="auto"/>
                <w:sz w:val="24"/>
                <w:lang w:eastAsia="zh-CN"/>
              </w:rPr>
              <w:t>浙江华元工程咨询有限公司</w:t>
            </w:r>
            <w:r>
              <w:rPr>
                <w:rFonts w:hint="eastAsia" w:cs="仿宋" w:asciiTheme="majorEastAsia" w:hAnsiTheme="majorEastAsia" w:eastAsiaTheme="majorEastAsia"/>
                <w:color w:val="auto"/>
                <w:sz w:val="24"/>
              </w:rPr>
              <w:t>，接收人：</w:t>
            </w:r>
            <w:r>
              <w:rPr>
                <w:rFonts w:hint="eastAsia" w:cs="Arial" w:asciiTheme="majorEastAsia" w:hAnsiTheme="majorEastAsia" w:eastAsiaTheme="majorEastAsia"/>
                <w:color w:val="auto"/>
                <w:sz w:val="24"/>
                <w:lang w:eastAsia="zh-CN"/>
              </w:rPr>
              <w:t>陈国萍</w:t>
            </w:r>
            <w:r>
              <w:rPr>
                <w:rFonts w:hint="eastAsia" w:cs="仿宋" w:asciiTheme="majorEastAsia" w:hAnsiTheme="majorEastAsia" w:eastAsiaTheme="majorEastAsia"/>
                <w:color w:val="auto"/>
                <w:sz w:val="24"/>
              </w:rPr>
              <w:t>，联系方式：</w:t>
            </w:r>
            <w:r>
              <w:rPr>
                <w:rFonts w:hint="eastAsia" w:asciiTheme="majorEastAsia" w:hAnsiTheme="majorEastAsia" w:eastAsiaTheme="majorEastAsia"/>
                <w:color w:val="auto"/>
                <w:sz w:val="24"/>
                <w:lang w:val="en-US" w:eastAsia="zh-CN"/>
              </w:rPr>
              <w:t>15988275574</w:t>
            </w:r>
            <w:r>
              <w:rPr>
                <w:rFonts w:hint="eastAsia" w:cs="仿宋" w:asciiTheme="majorEastAsia" w:hAnsiTheme="majorEastAsia" w:eastAsiaTheme="majorEastAsia"/>
                <w:color w:val="auto"/>
                <w:sz w:val="24"/>
              </w:rPr>
              <w:t>。快递寄出后，请将快递底单照片发送邮件至</w:t>
            </w:r>
            <w:r>
              <w:rPr>
                <w:rFonts w:hint="eastAsia" w:cs="Arial" w:asciiTheme="majorEastAsia" w:hAnsiTheme="majorEastAsia" w:eastAsiaTheme="majorEastAsia"/>
                <w:color w:val="auto"/>
                <w:sz w:val="24"/>
                <w:lang w:val="en-US" w:eastAsia="zh-CN"/>
              </w:rPr>
              <w:t>952804478</w:t>
            </w:r>
            <w:r>
              <w:rPr>
                <w:rFonts w:hint="eastAsia" w:cs="Arial" w:asciiTheme="majorEastAsia" w:hAnsiTheme="majorEastAsia" w:eastAsiaTheme="majorEastAsia"/>
                <w:color w:val="auto"/>
                <w:sz w:val="24"/>
              </w:rPr>
              <w:t>@qq.com</w:t>
            </w:r>
            <w:r>
              <w:rPr>
                <w:rFonts w:hint="eastAsia" w:cs="仿宋" w:asciiTheme="majorEastAsia" w:hAnsiTheme="majorEastAsia" w:eastAsiaTheme="majorEastAsia"/>
                <w:color w:val="auto"/>
                <w:sz w:val="24"/>
              </w:rPr>
              <w:t>，邮件名称为公司名字+联系人姓名+手机号，以便及时查收）。同时请充分考虑快递时间，确保在磋商截止时间前送达。磋商响应文件递交的时间以招标代理机构签收时间为准，除邮寄外包装外，磋商响应文件仍需要按磋商文件要求封包，但在邮寄过程中发生的包封缺损或保管过程中发生的一切事宜均由磋商响应人自行承担。</w:t>
            </w:r>
          </w:p>
          <w:p>
            <w:pPr>
              <w:shd w:val="clear"/>
              <w:snapToGrid w:val="0"/>
              <w:spacing w:line="360" w:lineRule="auto"/>
              <w:ind w:firstLine="405" w:firstLineChars="169"/>
              <w:rPr>
                <w:rFonts w:cs="仿宋" w:asciiTheme="majorEastAsia" w:hAnsiTheme="majorEastAsia" w:eastAsiaTheme="majorEastAsia"/>
                <w:color w:val="auto"/>
                <w:sz w:val="24"/>
              </w:rPr>
            </w:pPr>
            <w:r>
              <w:rPr>
                <w:rFonts w:cs="仿宋" w:asciiTheme="majorEastAsia" w:hAnsiTheme="majorEastAsia" w:eastAsiaTheme="majorEastAsia"/>
                <w:color w:val="auto"/>
                <w:sz w:val="24"/>
              </w:rPr>
              <w:t>（2）</w:t>
            </w:r>
            <w:r>
              <w:rPr>
                <w:rFonts w:hint="eastAsia" w:cs="仿宋" w:asciiTheme="majorEastAsia" w:hAnsiTheme="majorEastAsia" w:eastAsiaTheme="majorEastAsia"/>
                <w:color w:val="auto"/>
                <w:sz w:val="24"/>
              </w:rPr>
              <w:t>本项目允许投标单位现场送达（即交即走）的方式，在磋商截止时间前将磋商响应文件递交至投标地点。</w:t>
            </w:r>
          </w:p>
          <w:p>
            <w:pPr>
              <w:shd w:val="clear"/>
              <w:snapToGrid w:val="0"/>
              <w:spacing w:line="360" w:lineRule="auto"/>
              <w:ind w:firstLine="405" w:firstLineChars="169"/>
              <w:rPr>
                <w:rFonts w:cs="仿宋" w:asciiTheme="majorEastAsia" w:hAnsiTheme="majorEastAsia" w:eastAsiaTheme="majorEastAsia"/>
                <w:color w:val="auto"/>
                <w:sz w:val="24"/>
              </w:rPr>
            </w:pPr>
            <w:r>
              <w:rPr>
                <w:rFonts w:cs="仿宋" w:asciiTheme="majorEastAsia" w:hAnsiTheme="majorEastAsia" w:eastAsiaTheme="majorEastAsia"/>
                <w:color w:val="auto"/>
                <w:sz w:val="24"/>
              </w:rPr>
              <w:t>（3）</w:t>
            </w:r>
            <w:r>
              <w:rPr>
                <w:rFonts w:hint="eastAsia" w:cs="仿宋" w:asciiTheme="majorEastAsia" w:hAnsiTheme="majorEastAsia" w:eastAsiaTheme="majorEastAsia"/>
                <w:color w:val="auto"/>
                <w:sz w:val="24"/>
              </w:rPr>
              <w:t>磋商响应人的法定代表人或授权代表等均可不参加开标会议。若磋商响应人法定代表人或授权代表不在现场参加开标会议的，取消开标现场的书面签字确认等有关操作要求，磋商响应人需向采购代理机构工作人员告知其联系方式，以备询标等事宜。</w:t>
            </w:r>
          </w:p>
          <w:p>
            <w:pPr>
              <w:shd w:val="clear"/>
              <w:snapToGrid w:val="0"/>
              <w:spacing w:line="360" w:lineRule="auto"/>
              <w:ind w:firstLine="405" w:firstLineChars="169"/>
              <w:rPr>
                <w:rFonts w:cs="仿宋" w:asciiTheme="majorEastAsia" w:hAnsiTheme="majorEastAsia" w:eastAsiaTheme="majorEastAsia"/>
                <w:color w:val="auto"/>
                <w:sz w:val="24"/>
              </w:rPr>
            </w:pPr>
            <w:r>
              <w:rPr>
                <w:rFonts w:cs="仿宋" w:asciiTheme="majorEastAsia" w:hAnsiTheme="majorEastAsia" w:eastAsiaTheme="majorEastAsia"/>
                <w:color w:val="auto"/>
                <w:sz w:val="24"/>
              </w:rPr>
              <w:t>（4）</w:t>
            </w:r>
            <w:r>
              <w:rPr>
                <w:rFonts w:hint="eastAsia" w:cs="仿宋" w:asciiTheme="majorEastAsia" w:hAnsiTheme="majorEastAsia" w:eastAsiaTheme="majorEastAsia"/>
                <w:color w:val="auto"/>
                <w:sz w:val="24"/>
              </w:rPr>
              <w:t>本项目磋商文件内对开标现场原件核验不作要求，采购人有权在标后对中标候选人进行原件核验。磋商响应人对所提供的全部资料的真实性承担法律责任。</w:t>
            </w:r>
          </w:p>
          <w:p>
            <w:pPr>
              <w:shd w:val="clear"/>
              <w:snapToGrid w:val="0"/>
              <w:spacing w:line="440" w:lineRule="exact"/>
              <w:ind w:firstLine="360" w:firstLineChars="150"/>
              <w:rPr>
                <w:rFonts w:asciiTheme="majorEastAsia" w:hAnsiTheme="majorEastAsia" w:eastAsiaTheme="majorEastAsia"/>
                <w:color w:val="auto"/>
                <w:sz w:val="24"/>
              </w:rPr>
            </w:pPr>
            <w:r>
              <w:rPr>
                <w:rFonts w:cs="仿宋" w:asciiTheme="majorEastAsia" w:hAnsiTheme="majorEastAsia" w:eastAsiaTheme="majorEastAsia"/>
                <w:color w:val="auto"/>
                <w:sz w:val="24"/>
              </w:rPr>
              <w:t>（5）</w:t>
            </w:r>
            <w:r>
              <w:rPr>
                <w:rFonts w:hint="eastAsia" w:cs="仿宋" w:asciiTheme="majorEastAsia" w:hAnsiTheme="majorEastAsia" w:eastAsiaTheme="majorEastAsia"/>
                <w:color w:val="auto"/>
                <w:sz w:val="24"/>
              </w:rPr>
              <w:t>因疫情防控期间，参加现场开标会议的各磋商响应人需佩戴口罩并配合绍兴市公共资源交易中心和招标代理机构的防疫工作。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9" w:type="dxa"/>
            <w:vMerge w:val="restart"/>
            <w:vAlign w:val="center"/>
          </w:tcPr>
          <w:p>
            <w:pPr>
              <w:shd w:val="clear"/>
              <w:spacing w:line="44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19</w:t>
            </w:r>
          </w:p>
        </w:tc>
        <w:tc>
          <w:tcPr>
            <w:tcW w:w="8371" w:type="dxa"/>
            <w:gridSpan w:val="2"/>
            <w:vAlign w:val="center"/>
          </w:tcPr>
          <w:p>
            <w:pPr>
              <w:shd w:val="clear"/>
              <w:spacing w:line="440" w:lineRule="exact"/>
              <w:rPr>
                <w:rFonts w:cs="宋体" w:asciiTheme="majorEastAsia" w:hAnsiTheme="majorEastAsia" w:eastAsiaTheme="majorEastAsia"/>
                <w:b/>
                <w:color w:val="auto"/>
                <w:sz w:val="24"/>
              </w:rPr>
            </w:pPr>
            <w:r>
              <w:rPr>
                <w:rFonts w:hint="eastAsia" w:cs="宋体" w:asciiTheme="majorEastAsia" w:hAnsiTheme="majorEastAsia" w:eastAsiaTheme="majorEastAsia"/>
                <w:b/>
                <w:color w:val="auto"/>
                <w:sz w:val="24"/>
              </w:rPr>
              <w:t>特别说明：</w:t>
            </w:r>
          </w:p>
          <w:p>
            <w:pPr>
              <w:shd w:val="clear"/>
              <w:spacing w:line="440" w:lineRule="exact"/>
              <w:rPr>
                <w:rFonts w:asciiTheme="majorEastAsia" w:hAnsiTheme="majorEastAsia" w:eastAsiaTheme="majorEastAsia"/>
                <w:color w:val="auto"/>
                <w:sz w:val="24"/>
              </w:rPr>
            </w:pPr>
            <w:r>
              <w:rPr>
                <w:rFonts w:hint="eastAsia" w:cs="宋体" w:asciiTheme="majorEastAsia" w:hAnsiTheme="majorEastAsia" w:eastAsiaTheme="majorEastAsia"/>
                <w:snapToGrid w:val="0"/>
                <w:color w:val="auto"/>
                <w:kern w:val="28"/>
                <w:sz w:val="24"/>
              </w:rPr>
              <w:t>联合体响应磋商的或者以分包方式履行合同的，联合体各方（磋商响应人与分包磋商响应人）分别提供与联合体协议（分包意向协议）中规定的分工内容相应的业绩证明材料，业绩数量以提供材料较少的一方为准</w:t>
            </w:r>
            <w:r>
              <w:rPr>
                <w:rFonts w:hint="eastAsia" w:cs="宋体" w:asciiTheme="majorEastAsia" w:hAnsiTheme="majorEastAsia" w:eastAsiaTheme="majorEastAsia"/>
                <w:b/>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9" w:type="dxa"/>
            <w:vMerge w:val="continue"/>
            <w:vAlign w:val="center"/>
          </w:tcPr>
          <w:p>
            <w:pPr>
              <w:shd w:val="clear"/>
              <w:spacing w:line="440" w:lineRule="exact"/>
              <w:jc w:val="center"/>
              <w:rPr>
                <w:rFonts w:asciiTheme="majorEastAsia" w:hAnsiTheme="majorEastAsia" w:eastAsiaTheme="majorEastAsia"/>
                <w:color w:val="auto"/>
                <w:sz w:val="24"/>
              </w:rPr>
            </w:pPr>
          </w:p>
        </w:tc>
        <w:tc>
          <w:tcPr>
            <w:tcW w:w="8371" w:type="dxa"/>
            <w:gridSpan w:val="2"/>
            <w:vAlign w:val="center"/>
          </w:tcPr>
          <w:p>
            <w:pPr>
              <w:shd w:val="clear"/>
              <w:adjustRightInd w:val="0"/>
              <w:spacing w:line="440" w:lineRule="exact"/>
              <w:rPr>
                <w:rFonts w:cs="宋体" w:asciiTheme="majorEastAsia" w:hAnsiTheme="majorEastAsia" w:eastAsiaTheme="majorEastAsia"/>
                <w:snapToGrid w:val="0"/>
                <w:color w:val="auto"/>
                <w:kern w:val="28"/>
                <w:sz w:val="24"/>
              </w:rPr>
            </w:pPr>
            <w:sdt>
              <w:sdtPr>
                <w:rPr>
                  <w:rFonts w:hint="eastAsia" w:cs="宋体" w:asciiTheme="majorEastAsia" w:hAnsiTheme="majorEastAsia" w:eastAsiaTheme="majorEastAsia"/>
                  <w:color w:val="auto"/>
                  <w:kern w:val="0"/>
                  <w:sz w:val="24"/>
                  <w:szCs w:val="21"/>
                </w:rPr>
                <w:id w:val="35"/>
              </w:sdtPr>
              <w:sdtEndPr>
                <w:rPr>
                  <w:rFonts w:hint="eastAsia" w:cs="宋体" w:asciiTheme="majorEastAsia" w:hAnsiTheme="majorEastAsia" w:eastAsiaTheme="majorEastAsia"/>
                  <w:color w:val="auto"/>
                  <w:kern w:val="0"/>
                  <w:sz w:val="24"/>
                  <w:szCs w:val="21"/>
                </w:rPr>
              </w:sdtEndPr>
              <w:sdtContent>
                <w:sdt>
                  <w:sdtPr>
                    <w:rPr>
                      <w:rFonts w:hint="eastAsia" w:cs="宋体" w:asciiTheme="majorEastAsia" w:hAnsiTheme="majorEastAsia" w:eastAsiaTheme="majorEastAsia"/>
                      <w:color w:val="auto"/>
                      <w:kern w:val="0"/>
                      <w:sz w:val="24"/>
                      <w:szCs w:val="21"/>
                    </w:rPr>
                    <w:id w:val="366108627"/>
                  </w:sdtPr>
                  <w:sdtEndPr>
                    <w:rPr>
                      <w:rFonts w:hint="eastAsia" w:cs="宋体" w:asciiTheme="majorEastAsia" w:hAnsiTheme="majorEastAsia" w:eastAsiaTheme="majorEastAsia"/>
                      <w:color w:val="auto"/>
                      <w:kern w:val="0"/>
                      <w:sz w:val="24"/>
                      <w:szCs w:val="21"/>
                    </w:rPr>
                  </w:sdtEndPr>
                  <w:sdtContent>
                    <w:sdt>
                      <w:sdtPr>
                        <w:rPr>
                          <w:rFonts w:hint="eastAsia" w:cs="宋体" w:asciiTheme="majorEastAsia" w:hAnsiTheme="majorEastAsia" w:eastAsiaTheme="majorEastAsia"/>
                          <w:color w:val="auto"/>
                          <w:kern w:val="0"/>
                          <w:sz w:val="24"/>
                          <w:szCs w:val="21"/>
                        </w:rPr>
                        <w:id w:val="15521275"/>
                      </w:sdtPr>
                      <w:sdtEndPr>
                        <w:rPr>
                          <w:rFonts w:hint="eastAsia" w:cs="宋体" w:asciiTheme="majorEastAsia" w:hAnsiTheme="majorEastAsia" w:eastAsiaTheme="majorEastAsia"/>
                          <w:color w:val="auto"/>
                          <w:kern w:val="0"/>
                          <w:sz w:val="24"/>
                          <w:szCs w:val="21"/>
                        </w:rPr>
                      </w:sdtEndPr>
                      <w:sdtContent>
                        <w:r>
                          <w:rPr>
                            <w:rFonts w:hint="eastAsia" w:eastAsia="MS Gothic" w:cs="宋体" w:asciiTheme="majorEastAsia" w:hAnsiTheme="majorEastAsia"/>
                            <w:color w:val="auto"/>
                            <w:kern w:val="0"/>
                            <w:sz w:val="24"/>
                          </w:rPr>
                          <w:t>☐</w:t>
                        </w:r>
                      </w:sdtContent>
                    </w:sdt>
                  </w:sdtContent>
                </w:sdt>
              </w:sdtContent>
            </w:sdt>
            <w:r>
              <w:rPr>
                <w:rFonts w:hint="eastAsia" w:cs="宋体" w:asciiTheme="majorEastAsia" w:hAnsiTheme="majorEastAsia" w:eastAsiaTheme="majorEastAsia"/>
                <w:snapToGrid w:val="0"/>
                <w:color w:val="auto"/>
                <w:kern w:val="28"/>
                <w:sz w:val="24"/>
              </w:rPr>
              <w:t>联合体响应磋商的，联合体各方均需按磋商文件第五部分评审标准要求提供资信证明文件，否则视为不符合相关要求。</w:t>
            </w:r>
          </w:p>
          <w:p>
            <w:pPr>
              <w:shd w:val="clear"/>
              <w:spacing w:line="440" w:lineRule="exact"/>
              <w:rPr>
                <w:rFonts w:cs="宋体" w:asciiTheme="majorEastAsia" w:hAnsiTheme="majorEastAsia" w:eastAsiaTheme="majorEastAsia"/>
                <w:b/>
                <w:color w:val="auto"/>
                <w:sz w:val="24"/>
              </w:rPr>
            </w:pPr>
            <w:sdt>
              <w:sdtPr>
                <w:rPr>
                  <w:rFonts w:hint="eastAsia" w:cs="宋体" w:asciiTheme="majorEastAsia" w:hAnsiTheme="majorEastAsia" w:eastAsiaTheme="majorEastAsia"/>
                  <w:color w:val="auto"/>
                  <w:kern w:val="0"/>
                  <w:sz w:val="24"/>
                  <w:szCs w:val="21"/>
                </w:rPr>
                <w:id w:val="38"/>
              </w:sdtPr>
              <w:sdtEndPr>
                <w:rPr>
                  <w:rFonts w:hint="eastAsia" w:cs="宋体" w:asciiTheme="majorEastAsia" w:hAnsiTheme="majorEastAsia" w:eastAsiaTheme="majorEastAsia"/>
                  <w:color w:val="auto"/>
                  <w:kern w:val="0"/>
                  <w:sz w:val="24"/>
                  <w:szCs w:val="21"/>
                </w:rPr>
              </w:sdtEndPr>
              <w:sdtContent>
                <w:r>
                  <w:rPr>
                    <w:rFonts w:hint="eastAsia" w:eastAsia="MS Gothic" w:cs="宋体" w:asciiTheme="majorEastAsia" w:hAnsiTheme="majorEastAsia"/>
                    <w:color w:val="auto"/>
                    <w:kern w:val="0"/>
                    <w:sz w:val="24"/>
                  </w:rPr>
                  <w:t>☐</w:t>
                </w:r>
              </w:sdtContent>
            </w:sdt>
            <w:r>
              <w:rPr>
                <w:rFonts w:hint="eastAsia" w:cs="宋体" w:asciiTheme="majorEastAsia" w:hAnsiTheme="majorEastAsia" w:eastAsiaTheme="majorEastAsia"/>
                <w:snapToGrid w:val="0"/>
                <w:color w:val="auto"/>
                <w:kern w:val="28"/>
                <w:sz w:val="24"/>
              </w:rPr>
              <w:t>联合体响应磋商的，联合体中有一方或者联合体成员根据分工按磋商文件第五部分评审标准要求提供资信证明文件的，视为符合了相关要求。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9" w:type="dxa"/>
            <w:vAlign w:val="center"/>
          </w:tcPr>
          <w:p>
            <w:pPr>
              <w:shd w:val="clear"/>
              <w:spacing w:line="44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20</w:t>
            </w:r>
          </w:p>
        </w:tc>
        <w:tc>
          <w:tcPr>
            <w:tcW w:w="8371" w:type="dxa"/>
            <w:gridSpan w:val="2"/>
            <w:vAlign w:val="center"/>
          </w:tcPr>
          <w:p>
            <w:pPr>
              <w:pStyle w:val="294"/>
              <w:shd w:val="clear"/>
              <w:spacing w:line="360" w:lineRule="auto"/>
              <w:jc w:val="left"/>
              <w:rPr>
                <w:rFonts w:asciiTheme="majorEastAsia" w:hAnsiTheme="majorEastAsia" w:eastAsiaTheme="majorEastAsia"/>
                <w:color w:val="auto"/>
                <w:kern w:val="2"/>
                <w:sz w:val="24"/>
              </w:rPr>
            </w:pPr>
            <w:r>
              <w:rPr>
                <w:rFonts w:asciiTheme="majorEastAsia" w:hAnsiTheme="majorEastAsia" w:eastAsiaTheme="majorEastAsia"/>
                <w:color w:val="auto"/>
                <w:kern w:val="2"/>
                <w:sz w:val="24"/>
              </w:rPr>
              <w:t>中标人须向招标代理机构交纳代理服务费：</w:t>
            </w:r>
          </w:p>
          <w:p>
            <w:pPr>
              <w:pStyle w:val="294"/>
              <w:shd w:val="clear"/>
              <w:spacing w:line="360" w:lineRule="auto"/>
              <w:jc w:val="left"/>
              <w:rPr>
                <w:rFonts w:asciiTheme="majorEastAsia" w:hAnsiTheme="majorEastAsia" w:eastAsiaTheme="majorEastAsia"/>
                <w:color w:val="auto"/>
                <w:kern w:val="2"/>
                <w:sz w:val="24"/>
              </w:rPr>
            </w:pPr>
            <w:r>
              <w:rPr>
                <w:rFonts w:asciiTheme="majorEastAsia" w:hAnsiTheme="majorEastAsia" w:eastAsiaTheme="majorEastAsia"/>
                <w:color w:val="auto"/>
                <w:kern w:val="2"/>
                <w:sz w:val="24"/>
              </w:rPr>
              <w:t>（1）以中标通知中确定的中标总金额作为服务费的计算基数，具体比例参照《国家计委关于印发&lt;招标代理服务收费管理暂行办法&gt;的通知》（计价格[2002]1980号）</w:t>
            </w:r>
            <w:r>
              <w:rPr>
                <w:rFonts w:hint="eastAsia" w:asciiTheme="majorEastAsia" w:hAnsiTheme="majorEastAsia" w:eastAsiaTheme="majorEastAsia"/>
                <w:color w:val="auto"/>
                <w:kern w:val="2"/>
                <w:sz w:val="24"/>
                <w:lang w:val="en-US" w:eastAsia="zh-CN"/>
              </w:rPr>
              <w:t>*6.5折</w:t>
            </w:r>
            <w:r>
              <w:rPr>
                <w:rFonts w:hint="eastAsia" w:asciiTheme="majorEastAsia" w:hAnsiTheme="majorEastAsia" w:eastAsiaTheme="majorEastAsia"/>
                <w:color w:val="auto"/>
                <w:kern w:val="2"/>
                <w:sz w:val="24"/>
              </w:rPr>
              <w:t>执行</w:t>
            </w:r>
            <w:r>
              <w:rPr>
                <w:rFonts w:asciiTheme="majorEastAsia" w:hAnsiTheme="majorEastAsia" w:eastAsiaTheme="majorEastAsia"/>
                <w:color w:val="auto"/>
                <w:kern w:val="2"/>
                <w:sz w:val="24"/>
              </w:rPr>
              <w:t>。</w:t>
            </w:r>
          </w:p>
          <w:p>
            <w:pPr>
              <w:pStyle w:val="294"/>
              <w:shd w:val="clear"/>
              <w:spacing w:line="360" w:lineRule="auto"/>
              <w:jc w:val="left"/>
              <w:rPr>
                <w:rFonts w:asciiTheme="majorEastAsia" w:hAnsiTheme="majorEastAsia" w:eastAsiaTheme="majorEastAsia"/>
                <w:color w:val="auto"/>
                <w:kern w:val="2"/>
                <w:sz w:val="24"/>
              </w:rPr>
            </w:pPr>
            <w:r>
              <w:rPr>
                <w:rFonts w:asciiTheme="majorEastAsia" w:hAnsiTheme="majorEastAsia" w:eastAsiaTheme="majorEastAsia"/>
                <w:color w:val="auto"/>
                <w:kern w:val="2"/>
                <w:sz w:val="24"/>
              </w:rPr>
              <w:t>（2）代理服务费的交纳方式：</w:t>
            </w:r>
          </w:p>
          <w:p>
            <w:pPr>
              <w:pStyle w:val="294"/>
              <w:shd w:val="clear"/>
              <w:spacing w:line="360" w:lineRule="auto"/>
              <w:jc w:val="left"/>
              <w:rPr>
                <w:rFonts w:asciiTheme="majorEastAsia" w:hAnsiTheme="majorEastAsia" w:eastAsiaTheme="majorEastAsia"/>
                <w:color w:val="auto"/>
                <w:kern w:val="2"/>
                <w:sz w:val="24"/>
              </w:rPr>
            </w:pPr>
            <w:r>
              <w:rPr>
                <w:rFonts w:asciiTheme="majorEastAsia" w:hAnsiTheme="majorEastAsia" w:eastAsiaTheme="majorEastAsia"/>
                <w:color w:val="auto"/>
                <w:kern w:val="2"/>
                <w:sz w:val="24"/>
              </w:rPr>
              <w:t>用银行支票、汇票、电汇、现金等付款方式直接交纳代理服务费。</w:t>
            </w:r>
          </w:p>
          <w:p>
            <w:pPr>
              <w:pStyle w:val="294"/>
              <w:shd w:val="clear"/>
              <w:spacing w:line="360" w:lineRule="auto"/>
              <w:jc w:val="left"/>
              <w:rPr>
                <w:rFonts w:hint="eastAsia" w:asciiTheme="majorEastAsia" w:hAnsiTheme="majorEastAsia" w:eastAsiaTheme="majorEastAsia"/>
                <w:color w:val="auto"/>
                <w:kern w:val="2"/>
                <w:sz w:val="24"/>
                <w:lang w:eastAsia="zh-CN"/>
              </w:rPr>
            </w:pPr>
            <w:r>
              <w:rPr>
                <w:rFonts w:asciiTheme="majorEastAsia" w:hAnsiTheme="majorEastAsia" w:eastAsiaTheme="majorEastAsia"/>
                <w:color w:val="auto"/>
                <w:kern w:val="2"/>
                <w:sz w:val="24"/>
              </w:rPr>
              <w:t>公司名称：</w:t>
            </w:r>
            <w:r>
              <w:rPr>
                <w:rFonts w:hint="eastAsia" w:asciiTheme="majorEastAsia" w:hAnsiTheme="majorEastAsia" w:eastAsiaTheme="majorEastAsia"/>
                <w:color w:val="auto"/>
                <w:kern w:val="2"/>
                <w:sz w:val="24"/>
                <w:lang w:eastAsia="zh-CN"/>
              </w:rPr>
              <w:t>浙江华元工程咨询有限公司</w:t>
            </w:r>
          </w:p>
          <w:p>
            <w:pPr>
              <w:pStyle w:val="294"/>
              <w:shd w:val="clear"/>
              <w:spacing w:line="360" w:lineRule="auto"/>
              <w:jc w:val="left"/>
              <w:rPr>
                <w:rFonts w:hint="default" w:asciiTheme="majorEastAsia" w:hAnsiTheme="majorEastAsia" w:eastAsiaTheme="majorEastAsia"/>
                <w:color w:val="auto"/>
                <w:kern w:val="2"/>
                <w:sz w:val="24"/>
                <w:lang w:val="en-US" w:eastAsia="zh-CN"/>
              </w:rPr>
            </w:pPr>
            <w:r>
              <w:rPr>
                <w:rFonts w:asciiTheme="majorEastAsia" w:hAnsiTheme="majorEastAsia" w:eastAsiaTheme="majorEastAsia"/>
                <w:color w:val="auto"/>
                <w:kern w:val="2"/>
                <w:sz w:val="24"/>
              </w:rPr>
              <w:t>账    号：39</w:t>
            </w:r>
            <w:r>
              <w:rPr>
                <w:rFonts w:hint="eastAsia" w:asciiTheme="majorEastAsia" w:hAnsiTheme="majorEastAsia" w:eastAsiaTheme="majorEastAsia"/>
                <w:color w:val="auto"/>
                <w:kern w:val="2"/>
                <w:sz w:val="24"/>
                <w:lang w:val="en-US" w:eastAsia="zh-CN"/>
              </w:rPr>
              <w:t>4858338639</w:t>
            </w:r>
          </w:p>
          <w:p>
            <w:pPr>
              <w:pStyle w:val="294"/>
              <w:shd w:val="clear"/>
              <w:spacing w:line="360" w:lineRule="auto"/>
              <w:jc w:val="left"/>
              <w:rPr>
                <w:rFonts w:asciiTheme="majorEastAsia" w:hAnsiTheme="majorEastAsia" w:eastAsiaTheme="majorEastAsia"/>
                <w:color w:val="auto"/>
                <w:kern w:val="2"/>
                <w:sz w:val="24"/>
              </w:rPr>
            </w:pPr>
            <w:r>
              <w:rPr>
                <w:rFonts w:asciiTheme="majorEastAsia" w:hAnsiTheme="majorEastAsia" w:eastAsiaTheme="majorEastAsia"/>
                <w:color w:val="auto"/>
                <w:kern w:val="2"/>
                <w:sz w:val="24"/>
              </w:rPr>
              <w:t>开 户 行：中国银行绍兴</w:t>
            </w:r>
            <w:r>
              <w:rPr>
                <w:rFonts w:hint="eastAsia" w:asciiTheme="majorEastAsia" w:hAnsiTheme="majorEastAsia" w:eastAsiaTheme="majorEastAsia"/>
                <w:color w:val="auto"/>
                <w:kern w:val="2"/>
                <w:sz w:val="24"/>
                <w:lang w:eastAsia="zh-CN"/>
              </w:rPr>
              <w:t>市分</w:t>
            </w:r>
            <w:r>
              <w:rPr>
                <w:rFonts w:asciiTheme="majorEastAsia" w:hAnsiTheme="majorEastAsia" w:eastAsiaTheme="majorEastAsia"/>
                <w:color w:val="auto"/>
                <w:kern w:val="2"/>
                <w:sz w:val="24"/>
              </w:rPr>
              <w:t>行</w:t>
            </w:r>
          </w:p>
          <w:p>
            <w:pPr>
              <w:shd w:val="clear"/>
              <w:adjustRightInd w:val="0"/>
              <w:spacing w:line="440" w:lineRule="exact"/>
              <w:rPr>
                <w:rFonts w:cs="宋体" w:asciiTheme="majorEastAsia" w:hAnsiTheme="majorEastAsia" w:eastAsiaTheme="majorEastAsia"/>
                <w:color w:val="auto"/>
                <w:kern w:val="0"/>
                <w:sz w:val="24"/>
                <w:szCs w:val="21"/>
              </w:rPr>
            </w:pPr>
            <w:r>
              <w:rPr>
                <w:rFonts w:asciiTheme="majorEastAsia" w:hAnsiTheme="majorEastAsia" w:eastAsiaTheme="majorEastAsia"/>
                <w:color w:val="auto"/>
                <w:sz w:val="24"/>
              </w:rPr>
              <w:t>（3）领取中标通知书前交纳。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240" w:type="dxa"/>
            <w:gridSpan w:val="3"/>
            <w:vAlign w:val="center"/>
          </w:tcPr>
          <w:p>
            <w:pPr>
              <w:shd w:val="clear"/>
              <w:spacing w:line="44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解释：凡涉及本磋商文件的解释权属于采购人、本公司。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240" w:type="dxa"/>
            <w:gridSpan w:val="3"/>
            <w:vAlign w:val="center"/>
          </w:tcPr>
          <w:p>
            <w:pPr>
              <w:shd w:val="clear"/>
              <w:spacing w:line="400" w:lineRule="exact"/>
              <w:rPr>
                <w:rFonts w:asciiTheme="majorEastAsia" w:hAnsiTheme="majorEastAsia" w:eastAsiaTheme="majorEastAsia"/>
                <w:b/>
                <w:color w:val="auto"/>
                <w:sz w:val="24"/>
              </w:rPr>
            </w:pPr>
            <w:r>
              <w:rPr>
                <w:rFonts w:hint="eastAsia" w:asciiTheme="majorEastAsia" w:hAnsiTheme="majorEastAsia" w:eastAsiaTheme="majorEastAsia"/>
                <w:b/>
                <w:color w:val="auto"/>
                <w:sz w:val="24"/>
              </w:rPr>
              <w:t>注：成交候选供应商放弃成交资格或因质疑、投诉被取消成交资格或不能履行合同的，本项目应重新开展采购活动。</w:t>
            </w:r>
          </w:p>
        </w:tc>
      </w:tr>
    </w:tbl>
    <w:p>
      <w:pPr>
        <w:pageBreakBefore/>
        <w:shd w:val="clear"/>
        <w:snapToGrid w:val="0"/>
        <w:spacing w:line="300" w:lineRule="auto"/>
        <w:jc w:val="center"/>
        <w:rPr>
          <w:rFonts w:asciiTheme="majorEastAsia" w:hAnsiTheme="majorEastAsia" w:eastAsiaTheme="majorEastAsia"/>
          <w:b/>
          <w:color w:val="auto"/>
          <w:sz w:val="36"/>
          <w:szCs w:val="36"/>
        </w:rPr>
      </w:pPr>
      <w:r>
        <w:rPr>
          <w:rFonts w:hint="eastAsia" w:asciiTheme="majorEastAsia" w:hAnsiTheme="majorEastAsia" w:eastAsiaTheme="majorEastAsia"/>
          <w:b/>
          <w:color w:val="auto"/>
          <w:sz w:val="36"/>
          <w:szCs w:val="36"/>
        </w:rPr>
        <w:t>一、总则</w:t>
      </w:r>
    </w:p>
    <w:p>
      <w:pPr>
        <w:shd w:val="clear"/>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1.项目说明</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1.1本磋商文件适用于本次所述项目的磋商、资格审查及信用信息查询、合同、验收等行为（法律、法规另有规定的，从其规定）。</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1.2磋商响应人一旦参与本次磋商活动，即被视为接受了本磋商文件的所有内容，如有任何异议，均应在法定时间内提出。</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1.3磋商响应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磋商响应人应承担相应后果，并负责赔偿。磋商响应人为执行本项目合同而提供的技术资料等归采购人所有。</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1.4本磋商文件所称公章是指单位法定名称章或者冠以法定名称的投标业务专用章。</w:t>
      </w:r>
    </w:p>
    <w:p>
      <w:pPr>
        <w:shd w:val="clear"/>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2. 定义</w:t>
      </w:r>
    </w:p>
    <w:p>
      <w:pPr>
        <w:shd w:val="clear"/>
        <w:snapToGrid w:val="0"/>
        <w:spacing w:line="440" w:lineRule="exact"/>
        <w:jc w:val="left"/>
        <w:rPr>
          <w:rFonts w:asciiTheme="majorEastAsia" w:hAnsiTheme="majorEastAsia" w:eastAsiaTheme="majorEastAsia"/>
          <w:b/>
          <w:color w:val="auto"/>
          <w:sz w:val="24"/>
        </w:rPr>
      </w:pPr>
      <w:r>
        <w:rPr>
          <w:rFonts w:hint="eastAsia" w:cs="仿宋_GB2312" w:asciiTheme="majorEastAsia" w:hAnsiTheme="majorEastAsia" w:eastAsiaTheme="majorEastAsia"/>
          <w:color w:val="auto"/>
          <w:sz w:val="24"/>
        </w:rPr>
        <w:t>2.1政府采购当事人及监管部门：</w:t>
      </w:r>
      <w:r>
        <w:rPr>
          <w:rFonts w:hint="eastAsia" w:cs="仿宋_GB2312" w:asciiTheme="majorEastAsia" w:hAnsiTheme="majorEastAsia" w:eastAsiaTheme="majorEastAsia"/>
          <w:color w:val="auto"/>
          <w:sz w:val="24"/>
          <w:lang w:eastAsia="zh-CN"/>
        </w:rPr>
        <w:t>绍兴银行股份有限公司</w:t>
      </w:r>
      <w:r>
        <w:rPr>
          <w:rFonts w:hint="eastAsia" w:cs="仿宋_GB2312" w:asciiTheme="majorEastAsia" w:hAnsiTheme="majorEastAsia" w:eastAsiaTheme="majorEastAsia"/>
          <w:color w:val="auto"/>
          <w:sz w:val="24"/>
        </w:rPr>
        <w:t>为本项目的采购人（合同中的甲方）；</w:t>
      </w:r>
      <w:r>
        <w:rPr>
          <w:rFonts w:hint="eastAsia" w:cs="仿宋_GB2312" w:asciiTheme="majorEastAsia" w:hAnsiTheme="majorEastAsia" w:eastAsiaTheme="majorEastAsia"/>
          <w:color w:val="auto"/>
          <w:sz w:val="24"/>
          <w:lang w:eastAsia="zh-CN"/>
        </w:rPr>
        <w:t>浙江华元工程咨询有限公司</w:t>
      </w:r>
      <w:r>
        <w:rPr>
          <w:rFonts w:hint="eastAsia" w:cs="仿宋_GB2312" w:asciiTheme="majorEastAsia" w:hAnsiTheme="majorEastAsia" w:eastAsiaTheme="majorEastAsia"/>
          <w:color w:val="auto"/>
          <w:sz w:val="24"/>
        </w:rPr>
        <w:t>为采购代理机构；参加磋商响应的法人、其他组织或者自然人为磋商响应人；经磋商评审后产生并经采购单位确认的磋商响应人为成交候选人，同时发布成交公告后无异议并签订合同的成交供应商为合同中的乙方；中共绍兴市纪委绍兴市监委驻绍兴银行股份有限公司纪检监察组为采购监督管理部门。</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2.2 “产品”系指供方按磋商文件规定，经合法途径取得的，须向采购人提供的一切产品、保险、税金、安装、施工、调试、备品备件、工具、手册及其它有关技术资料和材料。</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2.3 “服务”系指磋商文件规定磋商响应人须承担的安装、调试、技术协助、校准、培训、技术指导以及其他类似的义务。</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2.4 “项目”系指磋商响应人按磋商文件规定向采购人提供的产品和服务。</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2.5“授权代表”系指法定代表人的被授权委托人。</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2.6“★”系指实质性指标要求条款，“▲”系指主要性能指标要求条款。如任意一条打“★”的指标出现负偏离视为实质性不响应磋商文件要求，作无效磋商处理；如任意一条打“▲”的指标出现负偏离按评分标准作扣分处理。“</w:t>
      </w:r>
      <w:sdt>
        <w:sdtPr>
          <w:rPr>
            <w:rFonts w:hint="eastAsia" w:cs="Arial" w:asciiTheme="majorEastAsia" w:hAnsiTheme="majorEastAsia" w:eastAsiaTheme="majorEastAsia"/>
            <w:color w:val="auto"/>
            <w:kern w:val="0"/>
            <w:sz w:val="24"/>
          </w:rPr>
          <w:id w:val="512970236"/>
        </w:sdtPr>
        <w:sdtEndPr>
          <w:rPr>
            <w:rFonts w:hint="eastAsia" w:cs="Arial" w:asciiTheme="majorEastAsia" w:hAnsiTheme="majorEastAsia" w:eastAsiaTheme="majorEastAsia"/>
            <w:color w:val="auto"/>
            <w:kern w:val="0"/>
            <w:sz w:val="24"/>
          </w:rPr>
        </w:sdtEndPr>
        <w:sdtContent>
          <w:sdt>
            <w:sdtPr>
              <w:rPr>
                <w:rFonts w:hint="eastAsia" w:cs="Arial" w:asciiTheme="majorEastAsia" w:hAnsiTheme="majorEastAsia" w:eastAsiaTheme="majorEastAsia"/>
                <w:color w:val="auto"/>
                <w:kern w:val="0"/>
                <w:sz w:val="24"/>
              </w:rPr>
              <w:id w:val="778085741"/>
            </w:sdtPr>
            <w:sdtEndPr>
              <w:rPr>
                <w:rFonts w:hint="eastAsia" w:cs="Arial" w:asciiTheme="majorEastAsia" w:hAnsiTheme="majorEastAsia" w:eastAsiaTheme="majorEastAsia"/>
                <w:color w:val="auto"/>
                <w:kern w:val="0"/>
                <w:sz w:val="24"/>
              </w:rPr>
            </w:sdtEndPr>
            <w:sdtContent>
              <w:sdt>
                <w:sdtPr>
                  <w:rPr>
                    <w:rFonts w:hint="eastAsia" w:cs="Arial" w:asciiTheme="majorEastAsia" w:hAnsiTheme="majorEastAsia" w:eastAsiaTheme="majorEastAsia"/>
                    <w:color w:val="auto"/>
                    <w:kern w:val="0"/>
                    <w:sz w:val="24"/>
                  </w:rPr>
                  <w:id w:val="1026831988"/>
                </w:sdtPr>
                <w:sdtEndPr>
                  <w:rPr>
                    <w:rFonts w:hint="eastAsia" w:cs="Arial" w:asciiTheme="majorEastAsia" w:hAnsiTheme="majorEastAsia" w:eastAsiaTheme="majorEastAsia"/>
                    <w:color w:val="auto"/>
                    <w:kern w:val="0"/>
                    <w:sz w:val="24"/>
                  </w:rPr>
                </w:sdtEndPr>
                <w:sdtContent>
                  <w:r>
                    <w:rPr>
                      <w:rFonts w:hint="eastAsia" w:cs="Arial" w:asciiTheme="majorEastAsia" w:hAnsiTheme="majorEastAsia" w:eastAsiaTheme="majorEastAsia"/>
                      <w:color w:val="auto"/>
                      <w:kern w:val="0"/>
                      <w:sz w:val="24"/>
                    </w:rPr>
                    <w:sym w:font="Wingdings" w:char="F0FE"/>
                  </w:r>
                </w:sdtContent>
              </w:sdt>
              <w:r>
                <w:rPr>
                  <w:rFonts w:hint="eastAsia" w:cs="宋体" w:asciiTheme="majorEastAsia" w:hAnsiTheme="majorEastAsia" w:eastAsiaTheme="majorEastAsia"/>
                  <w:color w:val="auto"/>
                  <w:kern w:val="0"/>
                  <w:sz w:val="24"/>
                </w:rPr>
                <w:t></w:t>
              </w:r>
            </w:sdtContent>
          </w:sdt>
        </w:sdtContent>
      </w:sdt>
      <w:r>
        <w:rPr>
          <w:rFonts w:hint="eastAsia" w:asciiTheme="majorEastAsia" w:hAnsiTheme="majorEastAsia" w:eastAsiaTheme="majorEastAsia"/>
          <w:color w:val="auto"/>
          <w:sz w:val="24"/>
        </w:rPr>
        <w:t>” 系指适用本项目的要求，“</w:t>
      </w:r>
      <w:sdt>
        <w:sdtPr>
          <w:rPr>
            <w:rFonts w:hint="eastAsia" w:cs="Arial" w:asciiTheme="majorEastAsia" w:hAnsiTheme="majorEastAsia" w:eastAsiaTheme="majorEastAsia"/>
            <w:color w:val="auto"/>
            <w:kern w:val="0"/>
            <w:sz w:val="24"/>
          </w:rPr>
          <w:id w:val="404888855"/>
        </w:sdtPr>
        <w:sdtEndPr>
          <w:rPr>
            <w:rFonts w:hint="eastAsia" w:cs="Arial" w:asciiTheme="majorEastAsia" w:hAnsiTheme="majorEastAsia" w:eastAsiaTheme="majorEastAsia"/>
            <w:color w:val="auto"/>
            <w:kern w:val="0"/>
            <w:sz w:val="24"/>
          </w:rPr>
        </w:sdtEndPr>
        <w:sdtContent>
          <w:sdt>
            <w:sdtPr>
              <w:rPr>
                <w:rFonts w:hint="eastAsia" w:cs="Arial" w:asciiTheme="majorEastAsia" w:hAnsiTheme="majorEastAsia" w:eastAsiaTheme="majorEastAsia"/>
                <w:color w:val="auto"/>
                <w:kern w:val="0"/>
                <w:sz w:val="24"/>
              </w:rPr>
              <w:id w:val="778085743"/>
            </w:sdtPr>
            <w:sdtEndPr>
              <w:rPr>
                <w:rFonts w:hint="eastAsia" w:cs="Arial" w:asciiTheme="majorEastAsia" w:hAnsiTheme="majorEastAsia" w:eastAsiaTheme="majorEastAsia"/>
                <w:color w:val="auto"/>
                <w:kern w:val="0"/>
                <w:sz w:val="24"/>
              </w:rPr>
            </w:sdtEndPr>
            <w:sdtContent>
              <w:r>
                <w:rPr>
                  <w:rFonts w:hAnsi="MS Gothic" w:cs="Arial" w:asciiTheme="majorEastAsia" w:eastAsiaTheme="majorEastAsia"/>
                  <w:color w:val="auto"/>
                  <w:kern w:val="0"/>
                  <w:sz w:val="24"/>
                </w:rPr>
                <w:t>☐</w:t>
              </w:r>
            </w:sdtContent>
          </w:sdt>
        </w:sdtContent>
      </w:sdt>
      <w:r>
        <w:rPr>
          <w:rFonts w:hint="eastAsia" w:asciiTheme="majorEastAsia" w:hAnsiTheme="majorEastAsia" w:eastAsiaTheme="majorEastAsia"/>
          <w:color w:val="auto"/>
          <w:sz w:val="24"/>
        </w:rPr>
        <w:t>” 系指不适用本项目的要求。</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2.7因特殊原因需要使用冠以法定名称的业务专用章的，参与磋商时须提供《业务专用章使用说明函》(详见附件)。</w:t>
      </w:r>
    </w:p>
    <w:p>
      <w:pPr>
        <w:shd w:val="clear"/>
        <w:spacing w:line="440" w:lineRule="exact"/>
        <w:rPr>
          <w:rFonts w:asciiTheme="majorEastAsia" w:hAnsiTheme="majorEastAsia" w:eastAsiaTheme="majorEastAsia" w:cstheme="majorEastAsia"/>
          <w:b/>
          <w:color w:val="auto"/>
          <w:sz w:val="24"/>
        </w:rPr>
      </w:pPr>
      <w:r>
        <w:rPr>
          <w:rFonts w:hint="eastAsia" w:asciiTheme="majorEastAsia" w:hAnsiTheme="majorEastAsia" w:eastAsiaTheme="majorEastAsia" w:cstheme="majorEastAsia"/>
          <w:b/>
          <w:color w:val="auto"/>
          <w:sz w:val="24"/>
        </w:rPr>
        <w:t>3.采购项目需要落实的政府采购政策</w:t>
      </w:r>
    </w:p>
    <w:p>
      <w:pPr>
        <w:shd w:val="clear"/>
        <w:spacing w:line="440" w:lineRule="exac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3.1 本项目原则上采购本国生产的货物、工程和服务，不允许采购进口产品。除非采购人采购进口产品，已经在采购活动开始前向监督管理部门提出申请并获得监督管理部门审核同意，且在采购需求中明确规定可以采购进口产品（但如果因信息不对称等原因，仍有满足需求的国内产品要求参与采购竞争的，采购人、采购机构不会对其加以限制，仍将按照公平竞争原则实施采购）。</w:t>
      </w:r>
    </w:p>
    <w:p>
      <w:pPr>
        <w:shd w:val="clear"/>
        <w:spacing w:line="440" w:lineRule="exac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3.2 支持绿色发展</w:t>
      </w:r>
    </w:p>
    <w:p>
      <w:pPr>
        <w:shd w:val="clear"/>
        <w:spacing w:line="440" w:lineRule="exac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磋商响应人须按磋商文件要求提供相关产品认证证书。</w:t>
      </w:r>
    </w:p>
    <w:p>
      <w:pPr>
        <w:shd w:val="clear"/>
        <w:spacing w:line="440" w:lineRule="exact"/>
        <w:rPr>
          <w:rFonts w:asciiTheme="majorEastAsia" w:hAnsiTheme="majorEastAsia" w:eastAsiaTheme="majorEastAsia" w:cstheme="majorEastAsia"/>
          <w:b/>
          <w:color w:val="auto"/>
          <w:sz w:val="24"/>
        </w:rPr>
      </w:pPr>
      <w:r>
        <w:rPr>
          <w:rFonts w:hint="eastAsia" w:asciiTheme="majorEastAsia" w:hAnsiTheme="majorEastAsia" w:eastAsiaTheme="majorEastAsia" w:cstheme="majorEastAsia"/>
          <w:color w:val="auto"/>
          <w:sz w:val="24"/>
        </w:rPr>
        <w:t>3.2.2</w:t>
      </w:r>
      <w:r>
        <w:rPr>
          <w:rFonts w:hint="eastAsia" w:asciiTheme="majorEastAsia" w:hAnsiTheme="majorEastAsia" w:eastAsiaTheme="majorEastAsia" w:cstheme="majorEastAsia"/>
          <w:b/>
          <w:color w:val="auto"/>
          <w:sz w:val="24"/>
        </w:rPr>
        <w:t>采购人拟采购的产品属于政府强制采购的节能产品品目清单范围的，磋商响应人未按磋商文件要求提供国家确定的认证机构出具的、处于有效期之内的节能产品认证证书，磋商无效。</w:t>
      </w:r>
    </w:p>
    <w:p>
      <w:pPr>
        <w:shd w:val="clear"/>
        <w:spacing w:line="440" w:lineRule="exac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3.2.3 修缮、装修类项目采购建材的，采购人应将绿色建筑和绿色建材性能、指标等作为实质性条件纳入磋商文件和合同。</w:t>
      </w:r>
    </w:p>
    <w:p>
      <w:pPr>
        <w:shd w:val="clear"/>
        <w:spacing w:line="440" w:lineRule="exac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3.2.4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hd w:val="clear"/>
        <w:spacing w:line="440" w:lineRule="exac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3.3</w:t>
      </w:r>
      <w:r>
        <w:rPr>
          <w:rFonts w:hint="eastAsia" w:asciiTheme="majorEastAsia" w:hAnsiTheme="majorEastAsia" w:eastAsiaTheme="majorEastAsia" w:cstheme="majorEastAsia"/>
          <w:bCs/>
          <w:color w:val="auto"/>
          <w:sz w:val="24"/>
        </w:rPr>
        <w:t>小微</w:t>
      </w:r>
      <w:r>
        <w:rPr>
          <w:rFonts w:hint="eastAsia" w:asciiTheme="majorEastAsia" w:hAnsiTheme="majorEastAsia" w:eastAsiaTheme="majorEastAsia" w:cstheme="majorEastAsia"/>
          <w:color w:val="auto"/>
          <w:sz w:val="24"/>
        </w:rPr>
        <w:t>企业价格扣除（2022年7月1日至2022年12月31日期间发布采购公告或者发出采购邀请的货物、服务采购项目按照下列规定执行,到期后按财库〔2022]19号文件规定执行。）</w:t>
      </w:r>
    </w:p>
    <w:p>
      <w:pPr>
        <w:shd w:val="clear"/>
        <w:spacing w:line="440" w:lineRule="exact"/>
        <w:rPr>
          <w:rFonts w:asciiTheme="majorEastAsia" w:hAnsiTheme="majorEastAsia" w:eastAsiaTheme="majorEastAsia" w:cstheme="majorEastAsia"/>
          <w:bCs/>
          <w:color w:val="auto"/>
          <w:sz w:val="24"/>
        </w:rPr>
      </w:pPr>
      <w:r>
        <w:rPr>
          <w:rFonts w:hint="eastAsia" w:asciiTheme="majorEastAsia" w:hAnsiTheme="majorEastAsia" w:eastAsiaTheme="majorEastAsia" w:cstheme="majorEastAsia"/>
          <w:color w:val="auto"/>
          <w:sz w:val="24"/>
        </w:rPr>
        <w:t>3.3.1小微企业是指</w:t>
      </w:r>
      <w:r>
        <w:rPr>
          <w:rFonts w:hint="eastAsia" w:asciiTheme="majorEastAsia" w:hAnsiTheme="majorEastAsia" w:eastAsiaTheme="majorEastAsia" w:cstheme="majorEastAsia"/>
          <w:bCs/>
          <w:color w:val="auto"/>
          <w:sz w:val="24"/>
        </w:rPr>
        <w:t>在中华人民共和国境内依法设立，依据国务院批准的中小企业划分标准确定的小型企业和微型企业，但与大企业的负责人为同一人，或者与大企业存在直接控股、管理关系的除外。</w:t>
      </w:r>
    </w:p>
    <w:p>
      <w:pPr>
        <w:shd w:val="clear"/>
        <w:spacing w:line="440" w:lineRule="exact"/>
        <w:ind w:firstLine="480" w:firstLineChars="200"/>
        <w:rPr>
          <w:rFonts w:asciiTheme="majorEastAsia" w:hAnsiTheme="majorEastAsia" w:eastAsiaTheme="majorEastAsia" w:cstheme="majorEastAsia"/>
          <w:bCs/>
          <w:color w:val="auto"/>
          <w:sz w:val="24"/>
        </w:rPr>
      </w:pPr>
      <w:r>
        <w:rPr>
          <w:rFonts w:hint="eastAsia" w:asciiTheme="majorEastAsia" w:hAnsiTheme="majorEastAsia" w:eastAsiaTheme="majorEastAsia" w:cstheme="majorEastAsia"/>
          <w:bCs/>
          <w:color w:val="auto"/>
          <w:sz w:val="24"/>
        </w:rPr>
        <w:t>符合中小企业划分标准的个体工商户，在政府采购活动中视同中小企业。</w:t>
      </w:r>
    </w:p>
    <w:p>
      <w:pPr>
        <w:shd w:val="clear"/>
        <w:spacing w:line="440" w:lineRule="exact"/>
        <w:rPr>
          <w:rFonts w:asciiTheme="majorEastAsia" w:hAnsiTheme="majorEastAsia" w:eastAsiaTheme="majorEastAsia" w:cstheme="majorEastAsia"/>
          <w:bCs/>
          <w:color w:val="auto"/>
          <w:sz w:val="24"/>
        </w:rPr>
      </w:pPr>
      <w:r>
        <w:rPr>
          <w:rFonts w:hint="eastAsia" w:asciiTheme="majorEastAsia" w:hAnsiTheme="majorEastAsia" w:eastAsiaTheme="majorEastAsia" w:cstheme="majorEastAsia"/>
          <w:bCs/>
          <w:color w:val="auto"/>
          <w:sz w:val="24"/>
        </w:rPr>
        <w:t>3.3.2在货物采购项目中，货物由小微企业制造，即货物由小微企业生产且使用该小微企业商号或者注册商标。</w:t>
      </w:r>
      <w:r>
        <w:rPr>
          <w:rFonts w:hint="eastAsia" w:asciiTheme="majorEastAsia" w:hAnsiTheme="majorEastAsia" w:eastAsiaTheme="majorEastAsia" w:cstheme="majorEastAsia"/>
          <w:b/>
          <w:bCs/>
          <w:color w:val="auto"/>
          <w:sz w:val="24"/>
        </w:rPr>
        <w:t>供应商提供的货物既有中小企业制造货物，也有大型企业制造货物的，不享受中小企业扶持政策。</w:t>
      </w:r>
    </w:p>
    <w:p>
      <w:pPr>
        <w:shd w:val="clear"/>
        <w:spacing w:line="440" w:lineRule="exact"/>
        <w:rPr>
          <w:rFonts w:asciiTheme="majorEastAsia" w:hAnsiTheme="majorEastAsia" w:eastAsiaTheme="majorEastAsia" w:cstheme="majorEastAsia"/>
          <w:bCs/>
          <w:color w:val="auto"/>
          <w:sz w:val="24"/>
        </w:rPr>
      </w:pPr>
      <w:r>
        <w:rPr>
          <w:rFonts w:hint="eastAsia" w:asciiTheme="majorEastAsia" w:hAnsiTheme="majorEastAsia" w:eastAsiaTheme="majorEastAsia" w:cstheme="majorEastAsia"/>
          <w:bCs/>
          <w:color w:val="auto"/>
          <w:sz w:val="24"/>
        </w:rPr>
        <w:t>3.3.3在服务采购项目中，服务由小微企业承接，即提供服务的人员为小微企业依照《中华人民共和国劳动合同法》订立劳动合同的从业人员。</w:t>
      </w:r>
    </w:p>
    <w:p>
      <w:pPr>
        <w:shd w:val="clear"/>
        <w:spacing w:line="440" w:lineRule="exac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3.3.4小微企业应按照磋商文件格式要求提供《中小企业声明函》。</w:t>
      </w:r>
    </w:p>
    <w:p>
      <w:pPr>
        <w:shd w:val="clear"/>
        <w:spacing w:line="440" w:lineRule="exac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3.3.5对于经主管预算单位统筹后未预留份额专门面向中小企业采购的采购项目，以及预留份额项目中的非预留部分采购包，采购人、采购代理机构将对符合规定的小微企业报价给予10%的扣除，用扣除后的价格参加评审。</w:t>
      </w:r>
    </w:p>
    <w:p>
      <w:pPr>
        <w:shd w:val="clear"/>
        <w:spacing w:line="440" w:lineRule="exac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3.3.6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4%的扣除，用扣除后的价格参加评审。组成联合体或者接受分包的小微企业与联合体内其他企业、分包企业之间存在直接控股、管理关系的，不享受价格扣除优惠政策。</w:t>
      </w:r>
    </w:p>
    <w:p>
      <w:pPr>
        <w:shd w:val="clear"/>
        <w:spacing w:line="440" w:lineRule="exact"/>
        <w:ind w:firstLine="482" w:firstLineChars="200"/>
        <w:rPr>
          <w:rFonts w:asciiTheme="majorEastAsia" w:hAnsiTheme="majorEastAsia" w:eastAsiaTheme="majorEastAsia" w:cstheme="majorEastAsia"/>
          <w:b/>
          <w:color w:val="auto"/>
          <w:sz w:val="24"/>
        </w:rPr>
      </w:pPr>
      <w:r>
        <w:rPr>
          <w:rFonts w:hint="eastAsia" w:asciiTheme="majorEastAsia" w:hAnsiTheme="majorEastAsia" w:eastAsiaTheme="majorEastAsia" w:cstheme="majorEastAsia"/>
          <w:b/>
          <w:color w:val="auto"/>
          <w:sz w:val="24"/>
        </w:rPr>
        <w:t>以联合体形式参加政府采购活动， 联合体各方均为中小企业的，联合体视同中小企业。其中，联合体各方均为小微企业的，联合体视同小微企业。</w:t>
      </w:r>
    </w:p>
    <w:p>
      <w:pPr>
        <w:shd w:val="clear"/>
        <w:spacing w:line="440" w:lineRule="exac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3.3.7符合《关于促进残疾人就业政府采购政策的通知》（财库〔2017〕141号）规定的条件并提供《残疾人福利性单位声明函》（附件1）的残疾人福利性单位视同小微企业；</w:t>
      </w:r>
    </w:p>
    <w:p>
      <w:pPr>
        <w:shd w:val="clear"/>
        <w:spacing w:line="440" w:lineRule="exac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3.3.8符合《关于政府采购支持监狱企业发展有关问题的通知》（财库[2014]68号）规定的监狱企业并提供由省级以上监狱管理局、戒毒管理局（含新疆生产建设兵团）出具的属于监狱企业证明文件的，视同为小微企业。</w:t>
      </w:r>
    </w:p>
    <w:p>
      <w:pPr>
        <w:shd w:val="clear"/>
        <w:spacing w:line="440" w:lineRule="exac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3.4</w:t>
      </w:r>
      <w:r>
        <w:rPr>
          <w:rFonts w:hint="eastAsia" w:asciiTheme="majorEastAsia" w:hAnsiTheme="majorEastAsia" w:eastAsiaTheme="majorEastAsia" w:cstheme="majorEastAsia"/>
          <w:bCs/>
          <w:color w:val="auto"/>
          <w:sz w:val="24"/>
        </w:rPr>
        <w:t>支持科技创新创新发展</w:t>
      </w:r>
    </w:p>
    <w:p>
      <w:pPr>
        <w:shd w:val="clear"/>
        <w:spacing w:line="44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stheme="majorEastAsia"/>
          <w:color w:val="auto"/>
          <w:sz w:val="24"/>
        </w:rPr>
        <w:t>对省级以上主管部门认定的首台套产品，自纳入《省推广应用指导目录》起三年内参加政府采购活动，视同已具备相应销售业绩，业绩分为满分</w:t>
      </w:r>
      <w:r>
        <w:rPr>
          <w:rFonts w:hint="eastAsia" w:asciiTheme="majorEastAsia" w:hAnsiTheme="majorEastAsia" w:eastAsiaTheme="majorEastAsia"/>
          <w:color w:val="auto"/>
          <w:sz w:val="24"/>
        </w:rPr>
        <w:t>。</w:t>
      </w:r>
    </w:p>
    <w:p>
      <w:pPr>
        <w:shd w:val="clear"/>
        <w:spacing w:line="44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★4.特别说明：</w:t>
      </w:r>
    </w:p>
    <w:p>
      <w:pPr>
        <w:shd w:val="clear"/>
        <w:spacing w:line="44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4.1磋商响应人磋商所使用的资格、信誉、荣誉、业绩与企业认证必须为本单位所拥有。磋商响应人磋商所使用的项目实施人员必须为本单位正式员工。</w:t>
      </w:r>
    </w:p>
    <w:p>
      <w:pPr>
        <w:shd w:val="clear"/>
        <w:spacing w:line="44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4.2磋商响应人应仔细阅读磋商文件的所有内容，按照磋商文件的要求提交磋商响应文件，并对所提供的全部资料的真实性承担法律责任。</w:t>
      </w:r>
    </w:p>
    <w:p>
      <w:pPr>
        <w:shd w:val="clear"/>
        <w:spacing w:line="44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4.3磋商响应人在磋商活动中提供任何虚假材料,其磋商无效，并报监管部门查处；成交后发现的,成交供应商须依照《中华人民共和国消费者权益保护法》规定赔偿采购人，且民事赔偿并不免除违法磋商响应人的行政与刑事责任。</w:t>
      </w:r>
    </w:p>
    <w:p>
      <w:pPr>
        <w:shd w:val="clear"/>
        <w:snapToGrid w:val="0"/>
        <w:spacing w:beforeLines="50" w:afterLines="50"/>
        <w:jc w:val="center"/>
        <w:rPr>
          <w:rFonts w:asciiTheme="majorEastAsia" w:hAnsiTheme="majorEastAsia" w:eastAsiaTheme="majorEastAsia"/>
          <w:color w:val="auto"/>
          <w:sz w:val="24"/>
        </w:rPr>
      </w:pPr>
      <w:r>
        <w:rPr>
          <w:rFonts w:hint="eastAsia" w:asciiTheme="majorEastAsia" w:hAnsiTheme="majorEastAsia" w:eastAsiaTheme="majorEastAsia"/>
          <w:b/>
          <w:color w:val="auto"/>
          <w:sz w:val="36"/>
          <w:szCs w:val="36"/>
        </w:rPr>
        <w:t>二、磋商文件</w:t>
      </w:r>
    </w:p>
    <w:p>
      <w:pPr>
        <w:shd w:val="clear"/>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1．政府采购方式</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1.1 本项目采用</w:t>
      </w:r>
      <w:r>
        <w:rPr>
          <w:rFonts w:hint="eastAsia" w:asciiTheme="majorEastAsia" w:hAnsiTheme="majorEastAsia" w:eastAsiaTheme="majorEastAsia"/>
          <w:b/>
          <w:color w:val="auto"/>
          <w:kern w:val="0"/>
          <w:sz w:val="24"/>
        </w:rPr>
        <w:t>竞争性磋商</w:t>
      </w:r>
      <w:r>
        <w:rPr>
          <w:rFonts w:hint="eastAsia" w:asciiTheme="majorEastAsia" w:hAnsiTheme="majorEastAsia" w:eastAsiaTheme="majorEastAsia"/>
          <w:color w:val="auto"/>
          <w:sz w:val="24"/>
        </w:rPr>
        <w:t>方式进行。</w:t>
      </w:r>
    </w:p>
    <w:p>
      <w:pPr>
        <w:shd w:val="clear"/>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color w:val="auto"/>
          <w:sz w:val="24"/>
        </w:rPr>
        <w:t>1.2 如某一标项实质性响应磋商文件的磋商响应人不足三家时，由采购人重新组织开展采购活动或按有关规定实施。</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1.3 本次竞争性磋商设定上限价，上限价即谈判公告中公布的各分标项预算金额。（各分标项之间的预算金额不能互相调整）</w:t>
      </w:r>
    </w:p>
    <w:p>
      <w:pPr>
        <w:shd w:val="clear"/>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2. 磋商委托</w:t>
      </w:r>
    </w:p>
    <w:p>
      <w:pPr>
        <w:pStyle w:val="21"/>
        <w:shd w:val="clear"/>
        <w:spacing w:afterLines="0" w:line="440" w:lineRule="exact"/>
        <w:ind w:left="0" w:firstLine="480" w:firstLineChars="200"/>
        <w:rPr>
          <w:rFonts w:asciiTheme="majorEastAsia" w:hAnsiTheme="majorEastAsia" w:eastAsiaTheme="majorEastAsia"/>
          <w:color w:val="auto"/>
        </w:rPr>
      </w:pPr>
      <w:r>
        <w:rPr>
          <w:rFonts w:asciiTheme="majorEastAsia" w:hAnsiTheme="majorEastAsia" w:eastAsiaTheme="majorEastAsia"/>
          <w:color w:val="auto"/>
        </w:rPr>
        <w:t>本项目为邮寄（建议使用EMS或顺丰邮寄）和现场送达（即交即走）的方式递交</w:t>
      </w:r>
      <w:r>
        <w:rPr>
          <w:rFonts w:hint="eastAsia" w:asciiTheme="majorEastAsia" w:hAnsiTheme="majorEastAsia" w:eastAsiaTheme="majorEastAsia"/>
          <w:color w:val="auto"/>
        </w:rPr>
        <w:t>磋商响应</w:t>
      </w:r>
      <w:r>
        <w:rPr>
          <w:rFonts w:asciiTheme="majorEastAsia" w:hAnsiTheme="majorEastAsia" w:eastAsiaTheme="majorEastAsia"/>
          <w:color w:val="auto"/>
        </w:rPr>
        <w:t>文件，磋商响应人的法定代表人或其授权代表或个体工商户不需要参加现场投标和开标</w:t>
      </w:r>
      <w:r>
        <w:rPr>
          <w:rFonts w:hint="eastAsia" w:asciiTheme="majorEastAsia" w:hAnsiTheme="majorEastAsia" w:eastAsiaTheme="majorEastAsia"/>
          <w:color w:val="auto"/>
        </w:rPr>
        <w:t>。</w:t>
      </w:r>
    </w:p>
    <w:p>
      <w:pPr>
        <w:shd w:val="clear"/>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3. 磋商费用</w:t>
      </w:r>
    </w:p>
    <w:p>
      <w:pPr>
        <w:pStyle w:val="21"/>
        <w:shd w:val="clear"/>
        <w:spacing w:afterLines="0" w:line="440" w:lineRule="exact"/>
        <w:ind w:left="0" w:firstLine="480" w:firstLineChars="200"/>
        <w:rPr>
          <w:rFonts w:asciiTheme="majorEastAsia" w:hAnsiTheme="majorEastAsia" w:eastAsiaTheme="majorEastAsia"/>
          <w:color w:val="auto"/>
        </w:rPr>
      </w:pPr>
      <w:r>
        <w:rPr>
          <w:rFonts w:hint="eastAsia" w:asciiTheme="majorEastAsia" w:hAnsiTheme="majorEastAsia" w:eastAsiaTheme="majorEastAsia"/>
          <w:color w:val="auto"/>
        </w:rPr>
        <w:t>磋商响应人应自行承担编制磋商响应文件及参加本次磋商所涉及的一切费用。不管磋商结果如何，采购人对上述费用不负任何责任。</w:t>
      </w:r>
      <w:r>
        <w:rPr>
          <w:rFonts w:asciiTheme="majorEastAsia" w:hAnsiTheme="majorEastAsia" w:eastAsiaTheme="majorEastAsia"/>
          <w:b/>
          <w:color w:val="auto"/>
        </w:rPr>
        <w:t>中标人需支付招标代理服务费，具体详见磋商响应人须知前附表。</w:t>
      </w:r>
    </w:p>
    <w:p>
      <w:pPr>
        <w:shd w:val="clear"/>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4. 磋商文件</w:t>
      </w:r>
    </w:p>
    <w:p>
      <w:pPr>
        <w:shd w:val="clear"/>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 xml:space="preserve">4.1 </w:t>
      </w:r>
      <w:r>
        <w:rPr>
          <w:rFonts w:hint="eastAsia" w:asciiTheme="majorEastAsia" w:hAnsiTheme="majorEastAsia" w:eastAsiaTheme="majorEastAsia"/>
          <w:bCs/>
          <w:color w:val="auto"/>
          <w:sz w:val="24"/>
        </w:rPr>
        <w:t>磋商文件包括本磋商文件及所有的磋商答疑记录（澄清、修改）和发出的补充通知</w:t>
      </w:r>
      <w:r>
        <w:rPr>
          <w:rFonts w:hint="eastAsia" w:asciiTheme="majorEastAsia" w:hAnsiTheme="majorEastAsia" w:eastAsiaTheme="majorEastAsia"/>
          <w:color w:val="auto"/>
          <w:sz w:val="24"/>
        </w:rPr>
        <w:t>。</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 xml:space="preserve">4.2磋商文件的澄清 </w:t>
      </w:r>
    </w:p>
    <w:p>
      <w:pPr>
        <w:shd w:val="clear"/>
        <w:snapToGrid w:val="0"/>
        <w:spacing w:line="440" w:lineRule="exact"/>
        <w:ind w:firstLine="480" w:firstLineChars="20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磋商响应人对磋商文件如有疑点要求澄清，可用书面形式（包括并不仅限于纸质、信件和数据电文（包括电报、电传、传真、电子数据交换和电子邮件</w:t>
      </w:r>
      <w:r>
        <w:rPr>
          <w:rFonts w:hint="eastAsia" w:asciiTheme="majorEastAsia" w:hAnsiTheme="majorEastAsia" w:eastAsiaTheme="majorEastAsia"/>
          <w:color w:val="auto"/>
        </w:rPr>
        <w:t>）)</w:t>
      </w:r>
      <w:r>
        <w:rPr>
          <w:rFonts w:hint="eastAsia" w:asciiTheme="majorEastAsia" w:hAnsiTheme="majorEastAsia" w:eastAsiaTheme="majorEastAsia"/>
          <w:color w:val="auto"/>
          <w:sz w:val="24"/>
        </w:rPr>
        <w:t>等通知采购人，但通知不得迟于磋商截止前7日使采购人收到，采购人将用书面形式予以答复。如有必要，可将不说明来源的答复发给所有磋商响应人。</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4.3磋商文件的修改</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4.3.1在磋商截止时间前，采购人有权修改磋商文件，以书面形式通知所有磋商响应人，通知中没有注明更改磋商截止时间的视为截止时间不变。修改的文件作为磋商文件的补充和组成部分，对所有磋商响应人均有约束力。磋商响应人应在两天内以书面形式确认已收到的修改文件，并需附法定代表人或其授权代表的签字加盖公章，逾期不确认的视同认可。</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4.3.2为使供应有足够的时间按修改文件要求修正磋商响应文件，采购人可酌情推迟磋商截止时间，并将此变更通知磋商响应人。在这种情况下，采购人与磋商响应人以前在磋商截止期方面的全部权力、责任和义务，将适用于延长后新的磋商截止期。</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4.4本项目各标段内，如出现打有“★”的指标为实质性指标，任意一条出现负偏离的均视同为实质性不响应磋商文件要求，作无效磋商处理。</w:t>
      </w:r>
    </w:p>
    <w:p>
      <w:pPr>
        <w:shd w:val="clear"/>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5.参考品牌</w:t>
      </w:r>
    </w:p>
    <w:p>
      <w:pPr>
        <w:shd w:val="clear"/>
        <w:snapToGrid w:val="0"/>
        <w:spacing w:line="440" w:lineRule="exact"/>
        <w:ind w:firstLine="470" w:firstLineChars="196"/>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本磋商文件如涉及各类品牌、型号，则所述品牌、型号是结合实际现有情况的推荐性参考方案，磋商方也可根据磋商文件得要求推荐性能相当或高于、服务条款相等或高于、符合采购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采购方实际业务需求同档次优质品牌的说明书，无法在磋商响应文件中提供的，其磋商可能会被拒绝（或作无效磋商）。</w:t>
      </w:r>
    </w:p>
    <w:p>
      <w:pPr>
        <w:shd w:val="clear"/>
        <w:snapToGrid w:val="0"/>
        <w:spacing w:line="800" w:lineRule="exact"/>
        <w:jc w:val="center"/>
        <w:rPr>
          <w:rFonts w:asciiTheme="majorEastAsia" w:hAnsiTheme="majorEastAsia" w:eastAsiaTheme="majorEastAsia"/>
          <w:b/>
          <w:color w:val="auto"/>
          <w:sz w:val="36"/>
          <w:szCs w:val="36"/>
        </w:rPr>
      </w:pPr>
      <w:r>
        <w:rPr>
          <w:rFonts w:hint="eastAsia" w:asciiTheme="majorEastAsia" w:hAnsiTheme="majorEastAsia" w:eastAsiaTheme="majorEastAsia"/>
          <w:b/>
          <w:color w:val="auto"/>
          <w:sz w:val="36"/>
          <w:szCs w:val="36"/>
        </w:rPr>
        <w:t>三、磋商响应文件</w:t>
      </w:r>
    </w:p>
    <w:p>
      <w:pPr>
        <w:numPr>
          <w:ilvl w:val="0"/>
          <w:numId w:val="2"/>
        </w:numPr>
        <w:shd w:val="clear"/>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磋商响应文件的语言及计量单位</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1.1磋商响应人应仔细阅读磋商文件中的所有内容，按照磋商文件要求，详细编制磋商响应文件，并保证磋商响应文件的正确性和真实性。</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1.2 磋商响应文件以及磋商响应人与采购人、集中采购机构就有关磋商事宜的所有来往函电，均应以中文书写（技术术语除外）。</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1.3 磋商计量单位，除磋商文件中有特殊要求外，应采用中华人民共和国法定计量单位，货币单位：人民币元。</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1.4不按磋商文件的要求提供的磋商响应文件可能导致被拒绝。</w:t>
      </w:r>
    </w:p>
    <w:p>
      <w:pPr>
        <w:shd w:val="clear"/>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2. 磋商响应文件的组成</w:t>
      </w:r>
    </w:p>
    <w:p>
      <w:pPr>
        <w:shd w:val="clear"/>
        <w:spacing w:line="440" w:lineRule="exact"/>
        <w:ind w:firstLine="480" w:firstLineChars="20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磋商响应文件由“报价文件资料”、“商务技术（资信）文件资料”两部分组成。</w:t>
      </w:r>
    </w:p>
    <w:p>
      <w:pPr>
        <w:shd w:val="clear"/>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2.1 “报价文件资料”应包含以下内容（正本用原件）：</w:t>
      </w:r>
    </w:p>
    <w:p>
      <w:pPr>
        <w:shd w:val="clear"/>
        <w:tabs>
          <w:tab w:val="left" w:pos="3870"/>
          <w:tab w:val="left" w:pos="4085"/>
        </w:tabs>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 xml:space="preserve">2.1.1磋商响应函（格式见第六部分附件）； </w:t>
      </w:r>
    </w:p>
    <w:p>
      <w:pPr>
        <w:shd w:val="clear"/>
        <w:tabs>
          <w:tab w:val="left" w:pos="3870"/>
          <w:tab w:val="left" w:pos="4085"/>
        </w:tabs>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 xml:space="preserve">2.1.2报价一览表（格式见第六部分附件）； </w:t>
      </w:r>
    </w:p>
    <w:p>
      <w:pPr>
        <w:shd w:val="clear"/>
        <w:tabs>
          <w:tab w:val="left" w:pos="3870"/>
          <w:tab w:val="left" w:pos="4085"/>
        </w:tabs>
        <w:snapToGrid w:val="0"/>
        <w:spacing w:line="440" w:lineRule="exact"/>
        <w:jc w:val="left"/>
        <w:rPr>
          <w:rFonts w:asciiTheme="majorEastAsia" w:hAnsiTheme="majorEastAsia" w:eastAsiaTheme="majorEastAsia"/>
          <w:color w:val="auto"/>
          <w:sz w:val="24"/>
          <w:szCs w:val="20"/>
        </w:rPr>
      </w:pPr>
      <w:r>
        <w:rPr>
          <w:rFonts w:hint="eastAsia" w:asciiTheme="majorEastAsia" w:hAnsiTheme="majorEastAsia" w:eastAsiaTheme="majorEastAsia"/>
          <w:color w:val="auto"/>
          <w:sz w:val="24"/>
        </w:rPr>
        <w:t>2.1.3中</w:t>
      </w:r>
      <w:r>
        <w:rPr>
          <w:rFonts w:hint="eastAsia" w:asciiTheme="majorEastAsia" w:hAnsiTheme="majorEastAsia" w:eastAsiaTheme="majorEastAsia"/>
          <w:color w:val="auto"/>
          <w:sz w:val="24"/>
          <w:szCs w:val="20"/>
        </w:rPr>
        <w:t>小企业声明函（如有，格式见第六部分附件）；</w:t>
      </w:r>
    </w:p>
    <w:p>
      <w:pPr>
        <w:shd w:val="clear"/>
        <w:tabs>
          <w:tab w:val="left" w:pos="3870"/>
          <w:tab w:val="left" w:pos="4085"/>
        </w:tabs>
        <w:snapToGrid w:val="0"/>
        <w:spacing w:line="440" w:lineRule="exact"/>
        <w:jc w:val="left"/>
        <w:rPr>
          <w:rFonts w:asciiTheme="majorEastAsia" w:hAnsiTheme="majorEastAsia" w:eastAsiaTheme="majorEastAsia"/>
          <w:color w:val="auto"/>
          <w:sz w:val="24"/>
          <w:szCs w:val="20"/>
        </w:rPr>
      </w:pPr>
      <w:r>
        <w:rPr>
          <w:rFonts w:hint="eastAsia" w:asciiTheme="majorEastAsia" w:hAnsiTheme="majorEastAsia" w:eastAsiaTheme="majorEastAsia"/>
          <w:color w:val="auto"/>
          <w:sz w:val="24"/>
          <w:szCs w:val="20"/>
        </w:rPr>
        <w:t>2.1.4残疾人福利性单位声明函（如有，格式见第六部分附件）。</w:t>
      </w:r>
    </w:p>
    <w:p>
      <w:pPr>
        <w:shd w:val="clear"/>
        <w:tabs>
          <w:tab w:val="left" w:pos="3870"/>
          <w:tab w:val="left" w:pos="4085"/>
        </w:tabs>
        <w:snapToGrid w:val="0"/>
        <w:spacing w:line="440" w:lineRule="exact"/>
        <w:ind w:firstLine="480" w:firstLineChars="20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以上文件组成“报价文件资料”。磋商响应人在“报价文件资料”中应对磋商文件作实质性响应，该项内容将作为磋商重要指标。</w:t>
      </w:r>
    </w:p>
    <w:p>
      <w:pPr>
        <w:pStyle w:val="38"/>
        <w:shd w:val="clear"/>
        <w:tabs>
          <w:tab w:val="left" w:pos="1854"/>
        </w:tabs>
        <w:spacing w:afterLines="0" w:line="440" w:lineRule="exact"/>
        <w:ind w:left="0" w:firstLine="0"/>
        <w:rPr>
          <w:rFonts w:asciiTheme="majorEastAsia" w:hAnsiTheme="majorEastAsia" w:eastAsiaTheme="majorEastAsia"/>
          <w:b/>
          <w:color w:val="auto"/>
        </w:rPr>
      </w:pPr>
      <w:r>
        <w:rPr>
          <w:rFonts w:hint="eastAsia" w:asciiTheme="majorEastAsia" w:hAnsiTheme="majorEastAsia" w:eastAsiaTheme="majorEastAsia"/>
          <w:color w:val="auto"/>
        </w:rPr>
        <w:t>2.2 “商务技术（资信）文件资料”应包括以下内容（正本用原件）：</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2.2.1法定代表人授权委托书(格式见第六部分附件)；</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2.2.2授权代表社保证明（格式见第六部分附件）；</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2.2.3法定代表人身份证明书（格式见第六部分附件）；</w:t>
      </w:r>
    </w:p>
    <w:p>
      <w:pPr>
        <w:shd w:val="clear"/>
        <w:snapToGrid w:val="0"/>
        <w:spacing w:line="440" w:lineRule="exact"/>
        <w:rPr>
          <w:rFonts w:cs="仿宋_GB2312" w:asciiTheme="majorEastAsia" w:hAnsiTheme="majorEastAsia" w:eastAsiaTheme="majorEastAsia"/>
          <w:color w:val="auto"/>
          <w:kern w:val="0"/>
          <w:sz w:val="24"/>
        </w:rPr>
      </w:pPr>
      <w:r>
        <w:rPr>
          <w:rFonts w:hint="eastAsia" w:asciiTheme="majorEastAsia" w:hAnsiTheme="majorEastAsia" w:eastAsiaTheme="majorEastAsia"/>
          <w:color w:val="auto"/>
          <w:sz w:val="24"/>
        </w:rPr>
        <w:t>2.2.4</w:t>
      </w:r>
      <w:r>
        <w:rPr>
          <w:rFonts w:hint="eastAsia" w:cs="Arial" w:asciiTheme="majorEastAsia" w:hAnsiTheme="majorEastAsia" w:eastAsiaTheme="majorEastAsia"/>
          <w:color w:val="auto"/>
          <w:kern w:val="0"/>
          <w:sz w:val="24"/>
        </w:rPr>
        <w:t>磋商响应人基本资格条件</w:t>
      </w:r>
      <w:r>
        <w:rPr>
          <w:rFonts w:hint="eastAsia" w:cs="仿宋_GB2312" w:asciiTheme="majorEastAsia" w:hAnsiTheme="majorEastAsia" w:eastAsiaTheme="majorEastAsia"/>
          <w:color w:val="auto"/>
          <w:sz w:val="24"/>
        </w:rPr>
        <w:t>书面承诺函（</w:t>
      </w:r>
      <w:r>
        <w:rPr>
          <w:rFonts w:hint="eastAsia" w:asciiTheme="majorEastAsia" w:hAnsiTheme="majorEastAsia" w:eastAsiaTheme="majorEastAsia"/>
          <w:color w:val="auto"/>
          <w:sz w:val="24"/>
        </w:rPr>
        <w:t>格式见第六部分附件</w:t>
      </w:r>
      <w:r>
        <w:rPr>
          <w:rFonts w:hint="eastAsia" w:cs="仿宋_GB2312" w:asciiTheme="majorEastAsia" w:hAnsiTheme="majorEastAsia" w:eastAsiaTheme="majorEastAsia"/>
          <w:color w:val="auto"/>
          <w:sz w:val="24"/>
        </w:rPr>
        <w:t>）</w:t>
      </w:r>
      <w:r>
        <w:rPr>
          <w:rFonts w:hint="eastAsia" w:cs="仿宋_GB2312" w:asciiTheme="majorEastAsia" w:hAnsiTheme="majorEastAsia" w:eastAsiaTheme="majorEastAsia"/>
          <w:color w:val="auto"/>
          <w:kern w:val="0"/>
          <w:sz w:val="24"/>
        </w:rPr>
        <w:t>；</w:t>
      </w:r>
    </w:p>
    <w:p>
      <w:pPr>
        <w:pStyle w:val="47"/>
        <w:shd w:val="clear"/>
        <w:snapToGrid w:val="0"/>
        <w:spacing w:line="440" w:lineRule="exact"/>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kern w:val="0"/>
          <w:sz w:val="24"/>
        </w:rPr>
        <w:t>2.2.5</w:t>
      </w:r>
      <w:r>
        <w:rPr>
          <w:rFonts w:hint="eastAsia" w:cs="Arial" w:asciiTheme="majorEastAsia" w:hAnsiTheme="majorEastAsia" w:eastAsiaTheme="majorEastAsia"/>
          <w:color w:val="auto"/>
          <w:kern w:val="0"/>
          <w:sz w:val="24"/>
        </w:rPr>
        <w:t>磋商响应人</w:t>
      </w:r>
      <w:r>
        <w:rPr>
          <w:rFonts w:hint="eastAsia" w:cs="仿宋_GB2312" w:asciiTheme="majorEastAsia" w:hAnsiTheme="majorEastAsia" w:eastAsiaTheme="majorEastAsia"/>
          <w:color w:val="auto"/>
          <w:sz w:val="24"/>
        </w:rPr>
        <w:t>特定资格条件（如项目要求）的有关证明材料（复印件）；</w:t>
      </w:r>
    </w:p>
    <w:p>
      <w:pPr>
        <w:pStyle w:val="47"/>
        <w:shd w:val="clear"/>
        <w:snapToGrid w:val="0"/>
        <w:spacing w:line="440" w:lineRule="exact"/>
        <w:rPr>
          <w:rFonts w:cs="仿宋_GB2312" w:asciiTheme="majorEastAsia" w:hAnsiTheme="majorEastAsia" w:eastAsiaTheme="majorEastAsia"/>
          <w:color w:val="auto"/>
          <w:sz w:val="24"/>
          <w:lang w:val="zh-CN"/>
        </w:rPr>
      </w:pPr>
      <w:r>
        <w:rPr>
          <w:rFonts w:hint="eastAsia" w:asciiTheme="majorEastAsia" w:hAnsiTheme="majorEastAsia" w:eastAsiaTheme="majorEastAsia"/>
          <w:color w:val="auto"/>
          <w:sz w:val="24"/>
        </w:rPr>
        <w:t>2.2.6</w:t>
      </w:r>
      <w:r>
        <w:rPr>
          <w:rFonts w:hint="eastAsia" w:cs="仿宋_GB2312" w:asciiTheme="majorEastAsia" w:hAnsiTheme="majorEastAsia" w:eastAsiaTheme="majorEastAsia"/>
          <w:color w:val="auto"/>
          <w:sz w:val="24"/>
          <w:lang w:val="zh-CN"/>
        </w:rPr>
        <w:t>磋商响应人应提供针对项目的完整技术解决方案：</w:t>
      </w:r>
    </w:p>
    <w:p>
      <w:pPr>
        <w:shd w:val="clear"/>
        <w:snapToGrid w:val="0"/>
        <w:spacing w:line="440" w:lineRule="exact"/>
        <w:ind w:firstLine="480" w:firstLineChars="200"/>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sz w:val="24"/>
          <w:lang w:val="zh-CN"/>
        </w:rPr>
        <w:t>针对本项目的完整技术解决方案和实施方案；详细阐述项目方案的实现思路及关键技术；符合本项目对当前和未来发展的要求；以及对功能设计和实施计划的建议；</w:t>
      </w:r>
    </w:p>
    <w:p>
      <w:pPr>
        <w:shd w:val="clear"/>
        <w:tabs>
          <w:tab w:val="left" w:pos="3870"/>
          <w:tab w:val="left" w:pos="4085"/>
        </w:tabs>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2.2.6优惠条件：磋商响应人承诺给予采购人的各种优惠条件；（如有）</w:t>
      </w:r>
    </w:p>
    <w:p>
      <w:pPr>
        <w:shd w:val="clear"/>
        <w:tabs>
          <w:tab w:val="left" w:pos="3870"/>
          <w:tab w:val="left" w:pos="4085"/>
        </w:tabs>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2.2.7提供相关标段成功案例。应有需方名称及联系电话，提供最终用户合同复印件（加盖单位公章）如无独立法人资格的分公司（如金融、保险、通讯等特定行业的全国性企业所设立的区域性分支机构）参加磋商的，磋商时提供的人员、业绩、荣誉、知识产权、项目案例等，必须为磋商响应分公司本身所具有，总公司或其他分公司的人员、业绩、荣誉、知识产权、项目案例等，不能作为该磋商响应分公司的文件予以确认。）；</w:t>
      </w:r>
    </w:p>
    <w:p>
      <w:pPr>
        <w:shd w:val="clear"/>
        <w:snapToGrid w:val="0"/>
        <w:spacing w:line="440" w:lineRule="exact"/>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rPr>
        <w:t>2.2.8</w:t>
      </w:r>
      <w:r>
        <w:rPr>
          <w:rFonts w:hint="eastAsia" w:cs="仿宋_GB2312" w:asciiTheme="majorEastAsia" w:hAnsiTheme="majorEastAsia" w:eastAsiaTheme="majorEastAsia"/>
          <w:color w:val="auto"/>
          <w:sz w:val="24"/>
        </w:rPr>
        <w:t>磋商响应人在磋商响应文件技术偏离说明表中，</w:t>
      </w:r>
      <w:r>
        <w:rPr>
          <w:rFonts w:hint="eastAsia" w:cs="仿宋_GB2312" w:asciiTheme="majorEastAsia" w:hAnsiTheme="majorEastAsia" w:eastAsiaTheme="majorEastAsia"/>
          <w:color w:val="auto"/>
          <w:kern w:val="0"/>
          <w:sz w:val="24"/>
          <w:lang w:val="zh-CN"/>
        </w:rPr>
        <w:t>应对</w:t>
      </w:r>
      <w:r>
        <w:rPr>
          <w:rFonts w:hint="eastAsia" w:cs="仿宋_GB2312" w:asciiTheme="majorEastAsia" w:hAnsiTheme="majorEastAsia" w:eastAsiaTheme="majorEastAsia"/>
          <w:color w:val="auto"/>
          <w:sz w:val="24"/>
        </w:rPr>
        <w:t>项目技术规范和服务要求</w:t>
      </w:r>
      <w:r>
        <w:rPr>
          <w:rFonts w:hint="eastAsia" w:cs="仿宋_GB2312" w:asciiTheme="majorEastAsia" w:hAnsiTheme="majorEastAsia" w:eastAsiaTheme="majorEastAsia"/>
          <w:color w:val="auto"/>
          <w:kern w:val="0"/>
          <w:sz w:val="24"/>
          <w:lang w:val="zh-CN"/>
        </w:rPr>
        <w:t>中所提出各项要求进行答复、说明和解释。如果磋商响应人在技术偏离表中注明无偏离，评标结束后、签订采购合同前又认为其实际产品与磋商响应技术需求不一致的，视为磋商响应人在磋商响应有效期内对其磋商响应文件进行了实质性修改，采购机构将把这一情况报送采购监管部门；</w:t>
      </w:r>
    </w:p>
    <w:p>
      <w:pPr>
        <w:shd w:val="clear"/>
        <w:snapToGrid w:val="0"/>
        <w:spacing w:line="440" w:lineRule="exact"/>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2.2.9磋商响应人为完成本项目组建的工作小组名单，每个专业人员的情况和人员数应该明确表示，明确各阶段投入人数，在提交的磋商响应文件中安排的人员，须为公司的固定职员；每个参加项目人员的履历表应随磋商响应文件一并提交，主要内容包括学历、技术职称、工作特长、经验与业绩(包括从事相关项目的经验，对每一个项目有一个简要的描述，该人员参与的时间以及在项目中的责任)，资质情况等；</w:t>
      </w:r>
    </w:p>
    <w:p>
      <w:pPr>
        <w:shd w:val="clear"/>
        <w:tabs>
          <w:tab w:val="left" w:pos="0"/>
          <w:tab w:val="left" w:pos="840"/>
        </w:tabs>
        <w:autoSpaceDE w:val="0"/>
        <w:autoSpaceDN w:val="0"/>
        <w:spacing w:line="440" w:lineRule="exact"/>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2.2.10验收方案；</w:t>
      </w:r>
    </w:p>
    <w:p>
      <w:pPr>
        <w:shd w:val="clear"/>
        <w:snapToGrid w:val="0"/>
        <w:spacing w:line="440" w:lineRule="exact"/>
        <w:rPr>
          <w:rFonts w:cs="仿宋_GB2312" w:asciiTheme="majorEastAsia" w:hAnsiTheme="majorEastAsia" w:eastAsiaTheme="majorEastAsia"/>
          <w:color w:val="auto"/>
          <w:sz w:val="24"/>
          <w:lang w:val="zh-CN"/>
        </w:rPr>
      </w:pPr>
      <w:r>
        <w:rPr>
          <w:rFonts w:hint="eastAsia" w:cs="仿宋_GB2312" w:asciiTheme="majorEastAsia" w:hAnsiTheme="majorEastAsia" w:eastAsiaTheme="majorEastAsia"/>
          <w:color w:val="auto"/>
          <w:kern w:val="0"/>
          <w:sz w:val="24"/>
        </w:rPr>
        <w:t>2.2.11</w:t>
      </w:r>
      <w:r>
        <w:rPr>
          <w:rFonts w:hint="eastAsia" w:cs="仿宋_GB2312" w:asciiTheme="majorEastAsia" w:hAnsiTheme="majorEastAsia" w:eastAsiaTheme="majorEastAsia"/>
          <w:snapToGrid w:val="0"/>
          <w:color w:val="auto"/>
          <w:sz w:val="24"/>
        </w:rPr>
        <w:t>磋商响应人售后服务证明材料：合作单位营业执照或磋商响应人在本地（绍兴市行政区域范围内）设立的项目部、办公室、办事处等机构的证明材料或磋商响应人作出的成交后提供本地化服务的承诺</w:t>
      </w:r>
      <w:r>
        <w:rPr>
          <w:rFonts w:hint="eastAsia" w:cs="仿宋_GB2312" w:asciiTheme="majorEastAsia" w:hAnsiTheme="majorEastAsia" w:eastAsiaTheme="majorEastAsia"/>
          <w:color w:val="auto"/>
          <w:sz w:val="24"/>
          <w:lang w:val="zh-CN"/>
        </w:rPr>
        <w:t>；</w:t>
      </w:r>
    </w:p>
    <w:p>
      <w:pPr>
        <w:shd w:val="clear"/>
        <w:snapToGrid w:val="0"/>
        <w:spacing w:line="440" w:lineRule="exact"/>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sz w:val="24"/>
          <w:lang w:val="zh-CN"/>
        </w:rPr>
        <w:t>2.2.12廉政承诺书</w:t>
      </w:r>
      <w:r>
        <w:rPr>
          <w:rFonts w:hint="eastAsia" w:asciiTheme="majorEastAsia" w:hAnsiTheme="majorEastAsia" w:eastAsiaTheme="majorEastAsia"/>
          <w:color w:val="auto"/>
          <w:sz w:val="24"/>
        </w:rPr>
        <w:t>（格式见第六部分附件）；</w:t>
      </w:r>
    </w:p>
    <w:p>
      <w:pPr>
        <w:pStyle w:val="38"/>
        <w:shd w:val="clear"/>
        <w:tabs>
          <w:tab w:val="left" w:pos="1854"/>
          <w:tab w:val="clear" w:pos="482"/>
        </w:tabs>
        <w:spacing w:afterLines="0" w:line="440" w:lineRule="exact"/>
        <w:ind w:left="0" w:firstLine="0"/>
        <w:rPr>
          <w:rFonts w:asciiTheme="majorEastAsia" w:hAnsiTheme="majorEastAsia" w:eastAsiaTheme="majorEastAsia"/>
          <w:color w:val="auto"/>
        </w:rPr>
      </w:pPr>
      <w:r>
        <w:rPr>
          <w:rFonts w:hint="eastAsia" w:asciiTheme="majorEastAsia" w:hAnsiTheme="majorEastAsia" w:eastAsiaTheme="majorEastAsia"/>
          <w:color w:val="auto"/>
        </w:rPr>
        <w:t>2.2.13联合协议（如有）；</w:t>
      </w:r>
    </w:p>
    <w:p>
      <w:pPr>
        <w:pStyle w:val="38"/>
        <w:shd w:val="clear"/>
        <w:tabs>
          <w:tab w:val="left" w:pos="1854"/>
          <w:tab w:val="clear" w:pos="482"/>
        </w:tabs>
        <w:spacing w:afterLines="0" w:line="440" w:lineRule="exact"/>
        <w:ind w:left="0" w:firstLine="0"/>
        <w:rPr>
          <w:rFonts w:asciiTheme="majorEastAsia" w:hAnsiTheme="majorEastAsia" w:eastAsiaTheme="majorEastAsia"/>
          <w:color w:val="auto"/>
        </w:rPr>
      </w:pPr>
      <w:r>
        <w:rPr>
          <w:rFonts w:hint="eastAsia" w:asciiTheme="majorEastAsia" w:hAnsiTheme="majorEastAsia" w:eastAsiaTheme="majorEastAsia"/>
          <w:color w:val="auto"/>
        </w:rPr>
        <w:t>2.2.14分包意向协议（如有）；</w:t>
      </w:r>
    </w:p>
    <w:p>
      <w:pPr>
        <w:pStyle w:val="38"/>
        <w:shd w:val="clear"/>
        <w:tabs>
          <w:tab w:val="left" w:pos="1854"/>
          <w:tab w:val="clear" w:pos="482"/>
        </w:tabs>
        <w:spacing w:afterLines="0" w:line="440" w:lineRule="exact"/>
        <w:ind w:left="0" w:firstLine="0"/>
        <w:rPr>
          <w:rFonts w:asciiTheme="majorEastAsia" w:hAnsiTheme="majorEastAsia" w:eastAsiaTheme="majorEastAsia"/>
          <w:color w:val="auto"/>
        </w:rPr>
      </w:pPr>
      <w:r>
        <w:rPr>
          <w:rFonts w:hint="eastAsia" w:asciiTheme="majorEastAsia" w:hAnsiTheme="majorEastAsia" w:eastAsiaTheme="majorEastAsia"/>
          <w:color w:val="auto"/>
        </w:rPr>
        <w:t>2.2.15中小企业声明函（如有）；</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2.2.16</w:t>
      </w:r>
      <w:r>
        <w:rPr>
          <w:rFonts w:hint="eastAsia" w:asciiTheme="majorEastAsia" w:hAnsiTheme="majorEastAsia" w:eastAsiaTheme="majorEastAsia"/>
          <w:color w:val="auto"/>
          <w:sz w:val="24"/>
          <w:u w:val="wave"/>
        </w:rPr>
        <w:t>未尽事宜请各投标单位按评分标准和相对应标项相关要求制作</w:t>
      </w:r>
      <w:r>
        <w:rPr>
          <w:rFonts w:hint="eastAsia" w:asciiTheme="majorEastAsia" w:hAnsiTheme="majorEastAsia" w:eastAsiaTheme="majorEastAsia"/>
          <w:color w:val="auto"/>
          <w:sz w:val="24"/>
        </w:rPr>
        <w:t>；</w:t>
      </w:r>
    </w:p>
    <w:p>
      <w:pPr>
        <w:pStyle w:val="38"/>
        <w:shd w:val="clear"/>
        <w:tabs>
          <w:tab w:val="left" w:pos="1854"/>
          <w:tab w:val="clear" w:pos="482"/>
        </w:tabs>
        <w:spacing w:afterLines="0" w:line="440" w:lineRule="exact"/>
        <w:ind w:left="0" w:firstLine="0"/>
        <w:rPr>
          <w:rFonts w:asciiTheme="majorEastAsia" w:hAnsiTheme="majorEastAsia" w:eastAsiaTheme="majorEastAsia"/>
          <w:color w:val="auto"/>
        </w:rPr>
      </w:pPr>
      <w:r>
        <w:rPr>
          <w:rFonts w:hint="eastAsia" w:asciiTheme="majorEastAsia" w:hAnsiTheme="majorEastAsia" w:eastAsiaTheme="majorEastAsia"/>
          <w:color w:val="auto"/>
        </w:rPr>
        <w:t>2.2.17磋商响应人需要说明的其他文件和说明（格式自拟）。</w:t>
      </w:r>
    </w:p>
    <w:p>
      <w:pPr>
        <w:shd w:val="clear"/>
        <w:tabs>
          <w:tab w:val="left" w:pos="3870"/>
          <w:tab w:val="left" w:pos="4085"/>
        </w:tabs>
        <w:snapToGrid w:val="0"/>
        <w:spacing w:line="440" w:lineRule="exact"/>
        <w:ind w:firstLine="480" w:firstLineChars="20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以上文件组成“商务技术（资信）文件资料”。磋商响应人在“商务技术（资信）文件资料”中应对磋商文件作实质性响应，该项内容将作为磋商重要指标。</w:t>
      </w:r>
    </w:p>
    <w:p>
      <w:pPr>
        <w:pStyle w:val="38"/>
        <w:shd w:val="clear"/>
        <w:tabs>
          <w:tab w:val="left" w:pos="1854"/>
          <w:tab w:val="clear" w:pos="482"/>
        </w:tabs>
        <w:spacing w:afterLines="0" w:line="440" w:lineRule="exact"/>
        <w:ind w:left="0" w:right="-78" w:rightChars="-37" w:firstLine="480" w:firstLineChars="200"/>
        <w:rPr>
          <w:rFonts w:asciiTheme="majorEastAsia" w:hAnsiTheme="majorEastAsia" w:eastAsiaTheme="majorEastAsia"/>
          <w:b/>
          <w:color w:val="auto"/>
        </w:rPr>
      </w:pPr>
      <w:r>
        <w:rPr>
          <w:rFonts w:hint="eastAsia" w:asciiTheme="majorEastAsia" w:hAnsiTheme="majorEastAsia" w:eastAsiaTheme="majorEastAsia"/>
          <w:color w:val="auto"/>
        </w:rPr>
        <w:t>不按磋商文件的要求提供的磋商响应文件和资料，可能会被磋商小组视为未实质性响应，其风险应由磋商响应人自行承担。</w:t>
      </w:r>
    </w:p>
    <w:p>
      <w:pPr>
        <w:shd w:val="clear"/>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3.报价</w:t>
      </w:r>
    </w:p>
    <w:p>
      <w:pPr>
        <w:pStyle w:val="47"/>
        <w:shd w:val="clear"/>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3.1应按磋商文件中《报价一览表》要求填写。</w:t>
      </w:r>
    </w:p>
    <w:p>
      <w:pPr>
        <w:pStyle w:val="47"/>
        <w:shd w:val="clear"/>
        <w:spacing w:line="440" w:lineRule="exact"/>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3.2报价为采购人可以合格使用产品和服务的价格，</w:t>
      </w:r>
      <w:r>
        <w:rPr>
          <w:rFonts w:hint="eastAsia" w:asciiTheme="majorEastAsia" w:hAnsiTheme="majorEastAsia" w:eastAsiaTheme="majorEastAsia"/>
          <w:color w:val="auto"/>
          <w:sz w:val="24"/>
          <w:szCs w:val="24"/>
          <w:lang w:val="zh-CN"/>
        </w:rPr>
        <w:t>包括但不仅限于人员费用（工资、福利、培训等）、材料消耗费用、设备费、管理费用、考察费、打印费、交通费、招标代理费、综合验收、利润、税金、全额含税发票、政策性文件规定及合同包含的所有风险、责任等</w:t>
      </w:r>
      <w:r>
        <w:rPr>
          <w:rFonts w:hint="eastAsia" w:asciiTheme="majorEastAsia" w:hAnsiTheme="majorEastAsia" w:eastAsiaTheme="majorEastAsia"/>
          <w:color w:val="auto"/>
          <w:sz w:val="24"/>
          <w:szCs w:val="24"/>
        </w:rPr>
        <w:t>合同实施过程中的应预见和不可预见费用。</w:t>
      </w:r>
    </w:p>
    <w:p>
      <w:pPr>
        <w:pStyle w:val="47"/>
        <w:shd w:val="clear"/>
        <w:spacing w:line="440" w:lineRule="exact"/>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3.3磋商文件未列明，而</w:t>
      </w:r>
      <w:r>
        <w:rPr>
          <w:rFonts w:hint="eastAsia" w:asciiTheme="majorEastAsia" w:hAnsiTheme="majorEastAsia" w:eastAsiaTheme="majorEastAsia"/>
          <w:color w:val="auto"/>
          <w:sz w:val="24"/>
        </w:rPr>
        <w:t>磋商响应人</w:t>
      </w:r>
      <w:r>
        <w:rPr>
          <w:rFonts w:hint="eastAsia" w:asciiTheme="majorEastAsia" w:hAnsiTheme="majorEastAsia" w:eastAsiaTheme="majorEastAsia"/>
          <w:color w:val="auto"/>
          <w:sz w:val="24"/>
          <w:szCs w:val="24"/>
        </w:rPr>
        <w:t>认为必需的费用也需列入报价。</w:t>
      </w:r>
    </w:p>
    <w:p>
      <w:pPr>
        <w:pStyle w:val="47"/>
        <w:shd w:val="clear"/>
        <w:spacing w:line="440" w:lineRule="exact"/>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rPr>
        <w:t>3.4若磋商响应人各分标项最后报价超过采购人设定的各分标项上限价，将失去成交候选供应商资格。</w:t>
      </w:r>
    </w:p>
    <w:p>
      <w:pPr>
        <w:shd w:val="clear"/>
        <w:tabs>
          <w:tab w:val="left" w:pos="525"/>
        </w:tabs>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3.5</w:t>
      </w:r>
      <w:r>
        <w:rPr>
          <w:rFonts w:hint="eastAsia" w:asciiTheme="majorEastAsia" w:hAnsiTheme="majorEastAsia" w:eastAsiaTheme="majorEastAsia"/>
          <w:b/>
          <w:color w:val="auto"/>
          <w:sz w:val="24"/>
        </w:rPr>
        <w:t>磋商最后报价只允许有一个报价，有选择的报价将不予接受（除指定外）。</w:t>
      </w:r>
    </w:p>
    <w:p>
      <w:pPr>
        <w:pStyle w:val="21"/>
        <w:shd w:val="clear"/>
        <w:spacing w:afterLines="0" w:line="440" w:lineRule="atLeast"/>
        <w:ind w:left="0" w:firstLine="0"/>
        <w:rPr>
          <w:rFonts w:asciiTheme="majorEastAsia" w:hAnsiTheme="majorEastAsia" w:eastAsiaTheme="majorEastAsia"/>
          <w:b/>
          <w:color w:val="auto"/>
          <w:szCs w:val="24"/>
        </w:rPr>
      </w:pPr>
      <w:r>
        <w:rPr>
          <w:rFonts w:hint="eastAsia" w:asciiTheme="majorEastAsia" w:hAnsiTheme="majorEastAsia" w:eastAsiaTheme="majorEastAsia"/>
          <w:b/>
          <w:color w:val="auto"/>
          <w:szCs w:val="24"/>
        </w:rPr>
        <w:t>4.磋商响应文件的有效期</w:t>
      </w:r>
    </w:p>
    <w:p>
      <w:pPr>
        <w:pStyle w:val="21"/>
        <w:shd w:val="clear"/>
        <w:spacing w:afterLines="0" w:line="440" w:lineRule="atLeast"/>
        <w:ind w:left="0" w:firstLine="0"/>
        <w:rPr>
          <w:rFonts w:cs="仿宋_GB2312" w:asciiTheme="majorEastAsia" w:hAnsiTheme="majorEastAsia" w:eastAsiaTheme="majorEastAsia"/>
          <w:b/>
          <w:color w:val="auto"/>
          <w:szCs w:val="21"/>
        </w:rPr>
      </w:pPr>
      <w:r>
        <w:rPr>
          <w:rFonts w:hint="eastAsia" w:asciiTheme="majorEastAsia" w:hAnsiTheme="majorEastAsia" w:eastAsiaTheme="majorEastAsia"/>
          <w:color w:val="auto"/>
          <w:szCs w:val="24"/>
        </w:rPr>
        <w:t>4.1</w:t>
      </w:r>
      <w:r>
        <w:rPr>
          <w:rFonts w:hint="eastAsia" w:cs="仿宋_GB2312" w:asciiTheme="majorEastAsia" w:hAnsiTheme="majorEastAsia" w:eastAsiaTheme="majorEastAsia"/>
          <w:color w:val="auto"/>
        </w:rPr>
        <w:t>有效期为从提交磋商响应文件的截止之日起90天。</w:t>
      </w:r>
      <w:r>
        <w:rPr>
          <w:rFonts w:hint="eastAsia" w:cs="仿宋_GB2312" w:asciiTheme="majorEastAsia" w:hAnsiTheme="majorEastAsia" w:eastAsiaTheme="majorEastAsia"/>
          <w:b/>
          <w:color w:val="auto"/>
        </w:rPr>
        <w:t>磋商响应人的磋商响应文件中承</w:t>
      </w:r>
      <w:r>
        <w:rPr>
          <w:rFonts w:hint="eastAsia" w:cs="仿宋_GB2312" w:asciiTheme="majorEastAsia" w:hAnsiTheme="majorEastAsia" w:eastAsiaTheme="majorEastAsia"/>
          <w:b/>
          <w:color w:val="auto"/>
          <w:szCs w:val="21"/>
        </w:rPr>
        <w:t>诺的磋商有效期少于磋商文件中载明的磋商有效期的，磋商无效。</w:t>
      </w:r>
    </w:p>
    <w:p>
      <w:pPr>
        <w:pStyle w:val="21"/>
        <w:shd w:val="clear"/>
        <w:spacing w:afterLines="0" w:line="440" w:lineRule="atLeast"/>
        <w:ind w:left="0" w:firstLine="0"/>
        <w:rPr>
          <w:rFonts w:asciiTheme="majorEastAsia" w:hAnsiTheme="majorEastAsia" w:eastAsiaTheme="majorEastAsia"/>
          <w:color w:val="auto"/>
          <w:szCs w:val="24"/>
        </w:rPr>
      </w:pPr>
      <w:r>
        <w:rPr>
          <w:rFonts w:hint="eastAsia" w:asciiTheme="majorEastAsia" w:hAnsiTheme="majorEastAsia" w:eastAsiaTheme="majorEastAsia"/>
          <w:color w:val="auto"/>
          <w:szCs w:val="24"/>
        </w:rPr>
        <w:t>4.2在特殊情况下，采购人可与磋商响应人协商延长磋商响应文件的有效期，这种要求和答复均以书面形式进行。</w:t>
      </w:r>
    </w:p>
    <w:p>
      <w:pPr>
        <w:pStyle w:val="21"/>
        <w:shd w:val="clear"/>
        <w:spacing w:afterLines="0" w:line="440" w:lineRule="atLeast"/>
        <w:ind w:left="0" w:firstLine="0"/>
        <w:rPr>
          <w:rFonts w:asciiTheme="majorEastAsia" w:hAnsiTheme="majorEastAsia" w:eastAsiaTheme="majorEastAsia"/>
          <w:color w:val="auto"/>
          <w:szCs w:val="24"/>
        </w:rPr>
      </w:pPr>
      <w:r>
        <w:rPr>
          <w:rFonts w:hint="eastAsia" w:asciiTheme="majorEastAsia" w:hAnsiTheme="majorEastAsia" w:eastAsiaTheme="majorEastAsia"/>
          <w:color w:val="auto"/>
          <w:szCs w:val="24"/>
        </w:rPr>
        <w:t>4.3磋商响应人可拒绝接受延期要求而不会导致磋商保证金被没收。同意延长有效期的磋商响应人不能修改磋商响应文件。</w:t>
      </w:r>
    </w:p>
    <w:p>
      <w:pPr>
        <w:pStyle w:val="21"/>
        <w:shd w:val="clear"/>
        <w:spacing w:afterLines="0" w:line="440" w:lineRule="atLeast"/>
        <w:ind w:left="0" w:firstLine="0"/>
        <w:rPr>
          <w:rFonts w:asciiTheme="majorEastAsia" w:hAnsiTheme="majorEastAsia" w:eastAsiaTheme="majorEastAsia"/>
          <w:b/>
          <w:color w:val="auto"/>
          <w:sz w:val="24"/>
        </w:rPr>
      </w:pPr>
      <w:r>
        <w:rPr>
          <w:rFonts w:hint="eastAsia" w:asciiTheme="majorEastAsia" w:hAnsiTheme="majorEastAsia" w:eastAsiaTheme="majorEastAsia"/>
          <w:b/>
          <w:color w:val="auto"/>
          <w:sz w:val="24"/>
        </w:rPr>
        <w:t>5.</w:t>
      </w:r>
      <w:r>
        <w:rPr>
          <w:rFonts w:hint="eastAsia" w:cs="Times New Roman" w:asciiTheme="majorEastAsia" w:hAnsiTheme="majorEastAsia" w:eastAsiaTheme="majorEastAsia"/>
          <w:b/>
          <w:color w:val="auto"/>
          <w:sz w:val="24"/>
        </w:rPr>
        <w:t>磋商响应文件</w:t>
      </w:r>
      <w:r>
        <w:rPr>
          <w:rFonts w:cs="Times New Roman" w:asciiTheme="majorEastAsia" w:hAnsiTheme="majorEastAsia" w:eastAsiaTheme="majorEastAsia"/>
          <w:b/>
          <w:color w:val="auto"/>
          <w:sz w:val="24"/>
        </w:rPr>
        <w:t>份</w:t>
      </w:r>
      <w:r>
        <w:rPr>
          <w:rFonts w:asciiTheme="majorEastAsia" w:hAnsiTheme="majorEastAsia" w:eastAsiaTheme="majorEastAsia"/>
          <w:b/>
          <w:color w:val="auto"/>
          <w:sz w:val="24"/>
        </w:rPr>
        <w:t>数和规定</w:t>
      </w:r>
    </w:p>
    <w:p>
      <w:pPr>
        <w:pStyle w:val="21"/>
        <w:shd w:val="clear"/>
        <w:spacing w:afterLines="0" w:line="440" w:lineRule="atLeast"/>
        <w:ind w:left="0" w:firstLine="0"/>
        <w:rPr>
          <w:rFonts w:asciiTheme="majorEastAsia" w:hAnsiTheme="majorEastAsia" w:eastAsiaTheme="majorEastAsia"/>
          <w:color w:val="auto"/>
          <w:sz w:val="24"/>
        </w:rPr>
      </w:pPr>
      <w:r>
        <w:rPr>
          <w:rFonts w:asciiTheme="majorEastAsia" w:hAnsiTheme="majorEastAsia" w:eastAsiaTheme="majorEastAsia"/>
          <w:color w:val="auto"/>
          <w:sz w:val="24"/>
        </w:rPr>
        <w:t>5.1</w:t>
      </w:r>
      <w:r>
        <w:rPr>
          <w:rFonts w:hint="eastAsia" w:asciiTheme="majorEastAsia" w:hAnsiTheme="majorEastAsia" w:eastAsiaTheme="majorEastAsia"/>
          <w:color w:val="auto"/>
          <w:sz w:val="24"/>
        </w:rPr>
        <w:t>磋商响应</w:t>
      </w:r>
      <w:r>
        <w:rPr>
          <w:rFonts w:asciiTheme="majorEastAsia" w:hAnsiTheme="majorEastAsia" w:eastAsiaTheme="majorEastAsia"/>
          <w:color w:val="auto"/>
          <w:sz w:val="24"/>
        </w:rPr>
        <w:t>文件的正本需打印或用不褪色的墨水填写，不允许行间插字，并注明“正本”字样，</w:t>
      </w:r>
      <w:r>
        <w:rPr>
          <w:rFonts w:hint="eastAsia" w:asciiTheme="majorEastAsia" w:hAnsiTheme="majorEastAsia" w:eastAsiaTheme="majorEastAsia"/>
          <w:color w:val="auto"/>
          <w:sz w:val="24"/>
        </w:rPr>
        <w:t>磋商响应</w:t>
      </w:r>
      <w:r>
        <w:rPr>
          <w:rFonts w:asciiTheme="majorEastAsia" w:hAnsiTheme="majorEastAsia" w:eastAsiaTheme="majorEastAsia"/>
          <w:color w:val="auto"/>
          <w:sz w:val="24"/>
        </w:rPr>
        <w:t>文件正本除本招标须知中规定的可提供复印件外均须提供原件。副本为正本的复印件</w:t>
      </w:r>
      <w:r>
        <w:rPr>
          <w:rFonts w:hint="eastAsia" w:asciiTheme="majorEastAsia" w:hAnsiTheme="majorEastAsia" w:eastAsiaTheme="majorEastAsia"/>
          <w:color w:val="auto"/>
          <w:sz w:val="24"/>
        </w:rPr>
        <w:t>，正本与副本不一致，以正本为准</w:t>
      </w:r>
      <w:r>
        <w:rPr>
          <w:rFonts w:asciiTheme="majorEastAsia" w:hAnsiTheme="majorEastAsia" w:eastAsiaTheme="majorEastAsia"/>
          <w:color w:val="auto"/>
          <w:sz w:val="24"/>
        </w:rPr>
        <w:t>。</w:t>
      </w:r>
    </w:p>
    <w:p>
      <w:pPr>
        <w:shd w:val="clear"/>
        <w:spacing w:line="360" w:lineRule="auto"/>
        <w:jc w:val="left"/>
        <w:rPr>
          <w:rFonts w:asciiTheme="majorEastAsia" w:hAnsiTheme="majorEastAsia" w:eastAsiaTheme="majorEastAsia"/>
          <w:color w:val="auto"/>
          <w:sz w:val="24"/>
        </w:rPr>
      </w:pPr>
      <w:r>
        <w:rPr>
          <w:rFonts w:asciiTheme="majorEastAsia" w:hAnsiTheme="majorEastAsia" w:eastAsiaTheme="majorEastAsia"/>
          <w:color w:val="auto"/>
          <w:sz w:val="24"/>
        </w:rPr>
        <w:t>5.2</w:t>
      </w:r>
      <w:r>
        <w:rPr>
          <w:rFonts w:hint="eastAsia" w:asciiTheme="majorEastAsia" w:hAnsiTheme="majorEastAsia" w:eastAsiaTheme="majorEastAsia"/>
          <w:color w:val="auto"/>
          <w:sz w:val="24"/>
        </w:rPr>
        <w:t>磋商响应</w:t>
      </w:r>
      <w:r>
        <w:rPr>
          <w:rFonts w:asciiTheme="majorEastAsia" w:hAnsiTheme="majorEastAsia" w:eastAsiaTheme="majorEastAsia"/>
          <w:color w:val="auto"/>
          <w:sz w:val="24"/>
        </w:rPr>
        <w:t>文件由“商务技术（资信）文件资料”和“报价文件资料”两部分文件组成，应按统一格式填写，装订成册。并在封面处明确注明“商务技术（资信）文件资料”或“报价文件资料”。</w:t>
      </w:r>
    </w:p>
    <w:p>
      <w:pPr>
        <w:shd w:val="clear"/>
        <w:spacing w:line="360" w:lineRule="auto"/>
        <w:jc w:val="left"/>
        <w:rPr>
          <w:rFonts w:asciiTheme="majorEastAsia" w:hAnsiTheme="majorEastAsia" w:eastAsiaTheme="majorEastAsia"/>
          <w:color w:val="auto"/>
          <w:sz w:val="24"/>
        </w:rPr>
      </w:pPr>
      <w:r>
        <w:rPr>
          <w:rFonts w:asciiTheme="majorEastAsia" w:hAnsiTheme="majorEastAsia" w:eastAsiaTheme="majorEastAsia"/>
          <w:color w:val="auto"/>
          <w:sz w:val="24"/>
        </w:rPr>
        <w:t>5.3</w:t>
      </w:r>
      <w:r>
        <w:rPr>
          <w:rFonts w:hint="eastAsia" w:asciiTheme="majorEastAsia" w:hAnsiTheme="majorEastAsia" w:eastAsiaTheme="majorEastAsia"/>
          <w:color w:val="auto"/>
          <w:sz w:val="24"/>
        </w:rPr>
        <w:t>磋商响应</w:t>
      </w:r>
      <w:r>
        <w:rPr>
          <w:rFonts w:asciiTheme="majorEastAsia" w:hAnsiTheme="majorEastAsia" w:eastAsiaTheme="majorEastAsia"/>
          <w:color w:val="auto"/>
          <w:sz w:val="24"/>
        </w:rPr>
        <w:t>文件一式</w:t>
      </w:r>
      <w:r>
        <w:rPr>
          <w:rFonts w:hint="eastAsia" w:asciiTheme="majorEastAsia" w:hAnsiTheme="majorEastAsia" w:eastAsiaTheme="majorEastAsia"/>
          <w:color w:val="auto"/>
          <w:sz w:val="24"/>
        </w:rPr>
        <w:t>三</w:t>
      </w:r>
      <w:r>
        <w:rPr>
          <w:rFonts w:asciiTheme="majorEastAsia" w:hAnsiTheme="majorEastAsia" w:eastAsiaTheme="majorEastAsia"/>
          <w:color w:val="auto"/>
          <w:sz w:val="24"/>
        </w:rPr>
        <w:t>份，</w:t>
      </w:r>
      <w:r>
        <w:rPr>
          <w:rFonts w:hint="eastAsia" w:asciiTheme="majorEastAsia" w:hAnsiTheme="majorEastAsia" w:eastAsiaTheme="majorEastAsia"/>
          <w:color w:val="auto"/>
          <w:sz w:val="24"/>
        </w:rPr>
        <w:t>报价文件资料（一正二副），商务技术（资信）文件资料（一正二副）。</w:t>
      </w:r>
    </w:p>
    <w:p>
      <w:pPr>
        <w:shd w:val="clear"/>
        <w:spacing w:line="360" w:lineRule="auto"/>
        <w:jc w:val="left"/>
        <w:rPr>
          <w:rFonts w:asciiTheme="majorEastAsia" w:hAnsiTheme="majorEastAsia" w:eastAsiaTheme="majorEastAsia"/>
          <w:color w:val="auto"/>
          <w:sz w:val="24"/>
        </w:rPr>
      </w:pPr>
      <w:r>
        <w:rPr>
          <w:rFonts w:asciiTheme="majorEastAsia" w:hAnsiTheme="majorEastAsia" w:eastAsiaTheme="majorEastAsia"/>
          <w:color w:val="auto"/>
          <w:sz w:val="24"/>
        </w:rPr>
        <w:t>5.4</w:t>
      </w:r>
      <w:r>
        <w:rPr>
          <w:rFonts w:hint="eastAsia" w:asciiTheme="majorEastAsia" w:hAnsiTheme="majorEastAsia" w:eastAsiaTheme="majorEastAsia"/>
          <w:color w:val="auto"/>
          <w:sz w:val="24"/>
        </w:rPr>
        <w:t>磋商响应</w:t>
      </w:r>
      <w:r>
        <w:rPr>
          <w:rFonts w:asciiTheme="majorEastAsia" w:hAnsiTheme="majorEastAsia" w:eastAsiaTheme="majorEastAsia"/>
          <w:color w:val="auto"/>
          <w:sz w:val="24"/>
        </w:rPr>
        <w:t xml:space="preserve">文件须由磋商响应人在规定位置盖章并由法定代表人或其授权代表签署，磋商响应人应写全称。 </w:t>
      </w:r>
    </w:p>
    <w:p>
      <w:pPr>
        <w:shd w:val="clear"/>
        <w:spacing w:line="360" w:lineRule="auto"/>
        <w:jc w:val="left"/>
        <w:rPr>
          <w:rFonts w:asciiTheme="majorEastAsia" w:hAnsiTheme="majorEastAsia" w:eastAsiaTheme="majorEastAsia"/>
          <w:color w:val="auto"/>
          <w:sz w:val="24"/>
        </w:rPr>
      </w:pPr>
      <w:r>
        <w:rPr>
          <w:rFonts w:asciiTheme="majorEastAsia" w:hAnsiTheme="majorEastAsia" w:eastAsiaTheme="majorEastAsia"/>
          <w:color w:val="auto"/>
          <w:sz w:val="24"/>
        </w:rPr>
        <w:t>5.5</w:t>
      </w:r>
      <w:r>
        <w:rPr>
          <w:rFonts w:hint="eastAsia" w:asciiTheme="majorEastAsia" w:hAnsiTheme="majorEastAsia" w:eastAsiaTheme="majorEastAsia"/>
          <w:color w:val="auto"/>
          <w:sz w:val="24"/>
        </w:rPr>
        <w:t>磋商响应</w:t>
      </w:r>
      <w:r>
        <w:rPr>
          <w:rFonts w:asciiTheme="majorEastAsia" w:hAnsiTheme="majorEastAsia" w:eastAsiaTheme="majorEastAsia"/>
          <w:color w:val="auto"/>
          <w:sz w:val="24"/>
        </w:rPr>
        <w:t>文件不得涂改，若有修改错漏处，须加盖单位公章或者法定代表人或其授权代表签字或盖章。</w:t>
      </w:r>
    </w:p>
    <w:p>
      <w:pPr>
        <w:shd w:val="clear"/>
        <w:snapToGrid w:val="0"/>
        <w:spacing w:line="360" w:lineRule="auto"/>
        <w:jc w:val="left"/>
        <w:rPr>
          <w:rFonts w:asciiTheme="majorEastAsia" w:hAnsiTheme="majorEastAsia" w:eastAsiaTheme="majorEastAsia"/>
          <w:color w:val="auto"/>
          <w:sz w:val="24"/>
        </w:rPr>
      </w:pPr>
      <w:r>
        <w:rPr>
          <w:rFonts w:asciiTheme="majorEastAsia" w:hAnsiTheme="majorEastAsia" w:eastAsiaTheme="majorEastAsia"/>
          <w:color w:val="auto"/>
          <w:sz w:val="24"/>
        </w:rPr>
        <w:t>5.6</w:t>
      </w:r>
      <w:r>
        <w:rPr>
          <w:rFonts w:hint="eastAsia" w:asciiTheme="majorEastAsia" w:hAnsiTheme="majorEastAsia" w:eastAsiaTheme="majorEastAsia"/>
          <w:color w:val="auto"/>
          <w:sz w:val="24"/>
        </w:rPr>
        <w:t>磋商响应</w:t>
      </w:r>
      <w:r>
        <w:rPr>
          <w:rFonts w:asciiTheme="majorEastAsia" w:hAnsiTheme="majorEastAsia" w:eastAsiaTheme="majorEastAsia"/>
          <w:color w:val="auto"/>
          <w:sz w:val="24"/>
        </w:rPr>
        <w:t>文件因字迹潦草或表达不清所引起的后果由磋商响应人负责。</w:t>
      </w:r>
    </w:p>
    <w:p>
      <w:pPr>
        <w:shd w:val="clear"/>
        <w:spacing w:line="360" w:lineRule="auto"/>
        <w:jc w:val="left"/>
        <w:rPr>
          <w:rFonts w:asciiTheme="majorEastAsia" w:hAnsiTheme="majorEastAsia" w:eastAsiaTheme="majorEastAsia"/>
          <w:color w:val="auto"/>
          <w:sz w:val="24"/>
        </w:rPr>
      </w:pPr>
      <w:r>
        <w:rPr>
          <w:rFonts w:asciiTheme="majorEastAsia" w:hAnsiTheme="majorEastAsia" w:eastAsiaTheme="majorEastAsia"/>
          <w:color w:val="auto"/>
          <w:sz w:val="24"/>
        </w:rPr>
        <w:t>5.7磋商响应人应认真阅读磋商文件中所有的内容。如果磋商响应人编制的</w:t>
      </w:r>
      <w:r>
        <w:rPr>
          <w:rFonts w:hint="eastAsia" w:asciiTheme="majorEastAsia" w:hAnsiTheme="majorEastAsia" w:eastAsiaTheme="majorEastAsia"/>
          <w:color w:val="auto"/>
          <w:sz w:val="24"/>
        </w:rPr>
        <w:t>磋商响应</w:t>
      </w:r>
      <w:r>
        <w:rPr>
          <w:rFonts w:asciiTheme="majorEastAsia" w:hAnsiTheme="majorEastAsia" w:eastAsiaTheme="majorEastAsia"/>
          <w:color w:val="auto"/>
          <w:sz w:val="24"/>
        </w:rPr>
        <w:t>文件实质上不响应</w:t>
      </w:r>
      <w:r>
        <w:rPr>
          <w:rFonts w:hint="eastAsia" w:asciiTheme="majorEastAsia" w:hAnsiTheme="majorEastAsia" w:eastAsiaTheme="majorEastAsia"/>
          <w:color w:val="auto"/>
          <w:sz w:val="24"/>
        </w:rPr>
        <w:t>磋商</w:t>
      </w:r>
      <w:r>
        <w:rPr>
          <w:rFonts w:asciiTheme="majorEastAsia" w:hAnsiTheme="majorEastAsia" w:eastAsiaTheme="majorEastAsia"/>
          <w:color w:val="auto"/>
          <w:sz w:val="24"/>
        </w:rPr>
        <w:t>文件的要求，其</w:t>
      </w:r>
      <w:r>
        <w:rPr>
          <w:rFonts w:hint="eastAsia" w:asciiTheme="majorEastAsia" w:hAnsiTheme="majorEastAsia" w:eastAsiaTheme="majorEastAsia"/>
          <w:color w:val="auto"/>
          <w:sz w:val="24"/>
        </w:rPr>
        <w:t>磋商响应</w:t>
      </w:r>
      <w:r>
        <w:rPr>
          <w:rFonts w:asciiTheme="majorEastAsia" w:hAnsiTheme="majorEastAsia" w:eastAsiaTheme="majorEastAsia"/>
          <w:color w:val="auto"/>
          <w:sz w:val="24"/>
        </w:rPr>
        <w:t>文件将被采购人拒绝。</w:t>
      </w:r>
    </w:p>
    <w:p>
      <w:pPr>
        <w:shd w:val="clear"/>
        <w:snapToGrid w:val="0"/>
        <w:spacing w:line="440" w:lineRule="exact"/>
        <w:jc w:val="left"/>
        <w:rPr>
          <w:rFonts w:cs="仿宋_GB2312" w:asciiTheme="majorEastAsia" w:hAnsiTheme="majorEastAsia" w:eastAsiaTheme="majorEastAsia"/>
          <w:color w:val="auto"/>
          <w:sz w:val="24"/>
        </w:rPr>
      </w:pPr>
      <w:r>
        <w:rPr>
          <w:rFonts w:cs="仿宋_GB2312" w:asciiTheme="majorEastAsia" w:hAnsiTheme="majorEastAsia" w:eastAsiaTheme="majorEastAsia"/>
          <w:color w:val="auto"/>
          <w:sz w:val="24"/>
        </w:rPr>
        <w:t>5.8</w:t>
      </w:r>
      <w:r>
        <w:rPr>
          <w:rFonts w:hint="eastAsia" w:cs="仿宋_GB2312" w:asciiTheme="majorEastAsia" w:hAnsiTheme="majorEastAsia" w:eastAsiaTheme="majorEastAsia"/>
          <w:color w:val="auto"/>
          <w:sz w:val="24"/>
        </w:rPr>
        <w:t>磋商响应</w:t>
      </w:r>
      <w:r>
        <w:rPr>
          <w:rFonts w:cs="仿宋_GB2312" w:asciiTheme="majorEastAsia" w:hAnsiTheme="majorEastAsia" w:eastAsiaTheme="majorEastAsia"/>
          <w:color w:val="auto"/>
          <w:sz w:val="24"/>
        </w:rPr>
        <w:t>文件建议采用A4幅面，按顺序统一编目编码装订成册。</w:t>
      </w:r>
      <w:r>
        <w:rPr>
          <w:rFonts w:hint="eastAsia" w:cs="仿宋_GB2312" w:asciiTheme="majorEastAsia" w:hAnsiTheme="majorEastAsia" w:eastAsiaTheme="majorEastAsia"/>
          <w:b/>
          <w:color w:val="auto"/>
          <w:sz w:val="24"/>
        </w:rPr>
        <w:t>提倡双面打印</w:t>
      </w:r>
      <w:r>
        <w:rPr>
          <w:rFonts w:hint="eastAsia" w:cs="仿宋_GB2312" w:asciiTheme="majorEastAsia" w:hAnsiTheme="majorEastAsia" w:eastAsiaTheme="majorEastAsia"/>
          <w:color w:val="auto"/>
          <w:sz w:val="24"/>
        </w:rPr>
        <w:t>。</w:t>
      </w:r>
    </w:p>
    <w:p>
      <w:pPr>
        <w:shd w:val="clear"/>
        <w:snapToGrid w:val="0"/>
        <w:spacing w:line="440" w:lineRule="exact"/>
        <w:jc w:val="left"/>
        <w:rPr>
          <w:rFonts w:cs="仿宋_GB2312" w:asciiTheme="majorEastAsia" w:hAnsiTheme="majorEastAsia" w:eastAsiaTheme="majorEastAsia"/>
          <w:b/>
          <w:color w:val="auto"/>
          <w:sz w:val="24"/>
        </w:rPr>
      </w:pPr>
      <w:r>
        <w:rPr>
          <w:rFonts w:hint="eastAsia" w:asciiTheme="majorEastAsia" w:hAnsiTheme="majorEastAsia" w:eastAsiaTheme="majorEastAsia"/>
          <w:b/>
          <w:color w:val="auto"/>
          <w:sz w:val="24"/>
        </w:rPr>
        <w:t>6.</w:t>
      </w:r>
      <w:r>
        <w:rPr>
          <w:rFonts w:hint="eastAsia" w:cs="仿宋_GB2312" w:asciiTheme="majorEastAsia" w:hAnsiTheme="majorEastAsia" w:eastAsiaTheme="majorEastAsia"/>
          <w:b/>
          <w:color w:val="auto"/>
          <w:sz w:val="24"/>
        </w:rPr>
        <w:t>磋商响应文件的提交</w:t>
      </w:r>
    </w:p>
    <w:p>
      <w:pPr>
        <w:pStyle w:val="47"/>
        <w:shd w:val="clear"/>
        <w:spacing w:line="440" w:lineRule="exact"/>
        <w:ind w:firstLine="480" w:firstLineChars="200"/>
        <w:jc w:val="left"/>
        <w:rPr>
          <w:rFonts w:asciiTheme="majorEastAsia" w:hAnsiTheme="majorEastAsia" w:eastAsiaTheme="majorEastAsia"/>
          <w:color w:val="auto"/>
          <w:sz w:val="24"/>
        </w:rPr>
      </w:pPr>
      <w:r>
        <w:rPr>
          <w:rFonts w:asciiTheme="majorEastAsia" w:hAnsiTheme="majorEastAsia" w:eastAsiaTheme="majorEastAsia"/>
          <w:color w:val="auto"/>
          <w:sz w:val="24"/>
        </w:rPr>
        <w:t>“商务技术（资信）文件资料”、“报价文件资料”</w:t>
      </w:r>
      <w:r>
        <w:rPr>
          <w:rFonts w:hint="eastAsia" w:asciiTheme="majorEastAsia" w:hAnsiTheme="majorEastAsia" w:eastAsiaTheme="majorEastAsia"/>
          <w:b/>
          <w:color w:val="auto"/>
          <w:sz w:val="24"/>
        </w:rPr>
        <w:t>应分二部份分别密封封装。</w:t>
      </w:r>
      <w:r>
        <w:rPr>
          <w:rFonts w:hint="eastAsia" w:asciiTheme="majorEastAsia" w:hAnsiTheme="majorEastAsia" w:eastAsiaTheme="majorEastAsia"/>
          <w:color w:val="auto"/>
          <w:sz w:val="24"/>
        </w:rPr>
        <w:t>各磋商响应人在编制磋商响应文件时请按照磋商文件第六部分规定的格式进行，混乱的编排导致投标文件被误读或评标委员会查找不到有效文件是磋商响应人的风险。并明确注明“商务技术（资信）文件资料或报价文件资料、项目名称、磋商响应人名称”字样，同时封口处加盖单位公章。</w:t>
      </w:r>
    </w:p>
    <w:p>
      <w:pPr>
        <w:pStyle w:val="47"/>
        <w:shd w:val="clear"/>
        <w:spacing w:line="440" w:lineRule="exact"/>
        <w:ind w:firstLine="480" w:firstLineChars="200"/>
        <w:jc w:val="left"/>
        <w:rPr>
          <w:rFonts w:asciiTheme="majorEastAsia" w:hAnsiTheme="majorEastAsia" w:eastAsiaTheme="majorEastAsia"/>
          <w:color w:val="auto"/>
          <w:kern w:val="0"/>
          <w:sz w:val="24"/>
        </w:rPr>
      </w:pPr>
      <w:r>
        <w:rPr>
          <w:rFonts w:hint="eastAsia" w:asciiTheme="majorEastAsia" w:hAnsiTheme="majorEastAsia" w:eastAsiaTheme="majorEastAsia"/>
          <w:color w:val="auto"/>
          <w:sz w:val="24"/>
        </w:rPr>
        <w:t>磋商响应人应按“磋商公告”规定的时间、方式将磋商响应文件提交给采购机构，</w:t>
      </w:r>
      <w:r>
        <w:rPr>
          <w:rFonts w:hint="eastAsia" w:asciiTheme="majorEastAsia" w:hAnsiTheme="majorEastAsia" w:eastAsiaTheme="majorEastAsia"/>
          <w:b/>
          <w:color w:val="auto"/>
          <w:sz w:val="24"/>
        </w:rPr>
        <w:t>采购机构将拒绝接受逾期提交的磋商响应文件。</w:t>
      </w:r>
    </w:p>
    <w:p>
      <w:pPr>
        <w:widowControl/>
        <w:shd w:val="clear"/>
        <w:snapToGrid w:val="0"/>
        <w:spacing w:line="440" w:lineRule="exact"/>
        <w:rPr>
          <w:rFonts w:asciiTheme="majorEastAsia" w:hAnsiTheme="majorEastAsia" w:eastAsiaTheme="majorEastAsia"/>
          <w:b/>
          <w:color w:val="auto"/>
          <w:kern w:val="0"/>
          <w:sz w:val="24"/>
        </w:rPr>
      </w:pPr>
      <w:r>
        <w:rPr>
          <w:rFonts w:hint="eastAsia" w:asciiTheme="majorEastAsia" w:hAnsiTheme="majorEastAsia" w:eastAsiaTheme="majorEastAsia"/>
          <w:b/>
          <w:color w:val="auto"/>
          <w:sz w:val="24"/>
        </w:rPr>
        <w:t>7．</w:t>
      </w:r>
      <w:r>
        <w:rPr>
          <w:rFonts w:hint="eastAsia" w:asciiTheme="majorEastAsia" w:hAnsiTheme="majorEastAsia" w:eastAsiaTheme="majorEastAsia"/>
          <w:b/>
          <w:color w:val="auto"/>
          <w:kern w:val="0"/>
          <w:sz w:val="24"/>
        </w:rPr>
        <w:t>磋商响应文件的补充和修改</w:t>
      </w:r>
    </w:p>
    <w:p>
      <w:pPr>
        <w:widowControl/>
        <w:shd w:val="clear"/>
        <w:snapToGrid w:val="0"/>
        <w:spacing w:line="440" w:lineRule="exact"/>
        <w:ind w:firstLine="480" w:firstLineChars="200"/>
        <w:rPr>
          <w:rFonts w:asciiTheme="majorEastAsia" w:hAnsiTheme="majorEastAsia" w:eastAsiaTheme="majorEastAsia"/>
          <w:color w:val="auto"/>
          <w:sz w:val="24"/>
          <w:szCs w:val="20"/>
        </w:rPr>
      </w:pPr>
      <w:r>
        <w:rPr>
          <w:rFonts w:hint="eastAsia" w:asciiTheme="majorEastAsia" w:hAnsiTheme="majorEastAsia" w:eastAsiaTheme="majorEastAsia"/>
          <w:color w:val="auto"/>
          <w:sz w:val="24"/>
          <w:szCs w:val="20"/>
        </w:rPr>
        <w:t>磋商截止时间前，磋商响应人可以</w:t>
      </w:r>
      <w:r>
        <w:rPr>
          <w:rFonts w:asciiTheme="majorEastAsia" w:hAnsiTheme="majorEastAsia" w:eastAsiaTheme="majorEastAsia"/>
          <w:color w:val="auto"/>
          <w:sz w:val="24"/>
          <w:szCs w:val="20"/>
        </w:rPr>
        <w:t>以</w:t>
      </w:r>
      <w:r>
        <w:rPr>
          <w:rFonts w:hint="eastAsia" w:asciiTheme="majorEastAsia" w:hAnsiTheme="majorEastAsia" w:eastAsiaTheme="majorEastAsia"/>
          <w:color w:val="auto"/>
          <w:sz w:val="24"/>
          <w:szCs w:val="20"/>
        </w:rPr>
        <w:t>书面形式提出对</w:t>
      </w:r>
      <w:r>
        <w:rPr>
          <w:rFonts w:asciiTheme="majorEastAsia" w:hAnsiTheme="majorEastAsia" w:eastAsiaTheme="majorEastAsia"/>
          <w:color w:val="auto"/>
          <w:sz w:val="24"/>
          <w:szCs w:val="20"/>
        </w:rPr>
        <w:t>磋商响应</w:t>
      </w:r>
      <w:r>
        <w:rPr>
          <w:rFonts w:hint="eastAsia" w:asciiTheme="majorEastAsia" w:hAnsiTheme="majorEastAsia" w:eastAsiaTheme="majorEastAsia"/>
          <w:color w:val="auto"/>
          <w:sz w:val="24"/>
          <w:szCs w:val="20"/>
        </w:rPr>
        <w:t>文件进行补充和修改，相应部分以最后的补充和修改为准。</w:t>
      </w:r>
      <w:r>
        <w:rPr>
          <w:rFonts w:asciiTheme="majorEastAsia" w:hAnsiTheme="majorEastAsia" w:eastAsiaTheme="majorEastAsia"/>
          <w:color w:val="auto"/>
          <w:sz w:val="24"/>
          <w:szCs w:val="20"/>
        </w:rPr>
        <w:t>若修改和补充为</w:t>
      </w:r>
      <w:r>
        <w:rPr>
          <w:rFonts w:hint="eastAsia" w:asciiTheme="majorEastAsia" w:hAnsiTheme="majorEastAsia" w:eastAsiaTheme="majorEastAsia"/>
          <w:color w:val="auto"/>
          <w:sz w:val="24"/>
          <w:szCs w:val="20"/>
        </w:rPr>
        <w:t>书面材料</w:t>
      </w:r>
      <w:r>
        <w:rPr>
          <w:rFonts w:asciiTheme="majorEastAsia" w:hAnsiTheme="majorEastAsia" w:eastAsiaTheme="majorEastAsia"/>
          <w:color w:val="auto"/>
          <w:sz w:val="24"/>
          <w:szCs w:val="20"/>
        </w:rPr>
        <w:t>的</w:t>
      </w:r>
      <w:r>
        <w:rPr>
          <w:rFonts w:hint="eastAsia" w:asciiTheme="majorEastAsia" w:hAnsiTheme="majorEastAsia" w:eastAsiaTheme="majorEastAsia"/>
          <w:color w:val="auto"/>
          <w:sz w:val="24"/>
          <w:szCs w:val="20"/>
        </w:rPr>
        <w:t>应</w:t>
      </w:r>
      <w:r>
        <w:rPr>
          <w:rFonts w:asciiTheme="majorEastAsia" w:hAnsiTheme="majorEastAsia" w:eastAsiaTheme="majorEastAsia"/>
          <w:color w:val="auto"/>
          <w:sz w:val="24"/>
          <w:szCs w:val="20"/>
        </w:rPr>
        <w:t>当</w:t>
      </w:r>
      <w:r>
        <w:rPr>
          <w:rFonts w:hint="eastAsia" w:asciiTheme="majorEastAsia" w:hAnsiTheme="majorEastAsia" w:eastAsiaTheme="majorEastAsia"/>
          <w:color w:val="auto"/>
          <w:sz w:val="24"/>
          <w:szCs w:val="20"/>
        </w:rPr>
        <w:t>密封，并明确注明“</w:t>
      </w:r>
      <w:r>
        <w:rPr>
          <w:rFonts w:asciiTheme="majorEastAsia" w:hAnsiTheme="majorEastAsia" w:eastAsiaTheme="majorEastAsia"/>
          <w:color w:val="auto"/>
          <w:sz w:val="24"/>
          <w:szCs w:val="20"/>
        </w:rPr>
        <w:t>资格文件（或商务和</w:t>
      </w:r>
      <w:r>
        <w:rPr>
          <w:rFonts w:hint="eastAsia" w:asciiTheme="majorEastAsia" w:hAnsiTheme="majorEastAsia" w:eastAsiaTheme="majorEastAsia"/>
          <w:color w:val="auto"/>
          <w:sz w:val="24"/>
          <w:szCs w:val="20"/>
        </w:rPr>
        <w:t>技术文件或</w:t>
      </w:r>
      <w:r>
        <w:rPr>
          <w:rFonts w:asciiTheme="majorEastAsia" w:hAnsiTheme="majorEastAsia" w:eastAsiaTheme="majorEastAsia"/>
          <w:color w:val="auto"/>
          <w:sz w:val="24"/>
          <w:szCs w:val="20"/>
        </w:rPr>
        <w:t>报价</w:t>
      </w:r>
      <w:r>
        <w:rPr>
          <w:rFonts w:hint="eastAsia" w:asciiTheme="majorEastAsia" w:hAnsiTheme="majorEastAsia" w:eastAsiaTheme="majorEastAsia"/>
          <w:color w:val="auto"/>
          <w:sz w:val="24"/>
          <w:szCs w:val="20"/>
        </w:rPr>
        <w:t>文件</w:t>
      </w:r>
      <w:r>
        <w:rPr>
          <w:rFonts w:asciiTheme="majorEastAsia" w:hAnsiTheme="majorEastAsia" w:eastAsiaTheme="majorEastAsia"/>
          <w:color w:val="auto"/>
          <w:sz w:val="24"/>
          <w:szCs w:val="20"/>
        </w:rPr>
        <w:t>）</w:t>
      </w:r>
      <w:r>
        <w:rPr>
          <w:rFonts w:hint="eastAsia" w:asciiTheme="majorEastAsia" w:hAnsiTheme="majorEastAsia" w:eastAsiaTheme="majorEastAsia"/>
          <w:color w:val="auto"/>
          <w:sz w:val="24"/>
          <w:szCs w:val="20"/>
        </w:rPr>
        <w:t>修改（或补充）</w:t>
      </w:r>
      <w:r>
        <w:rPr>
          <w:rFonts w:asciiTheme="majorEastAsia" w:hAnsiTheme="majorEastAsia" w:eastAsiaTheme="majorEastAsia"/>
          <w:color w:val="auto"/>
          <w:sz w:val="24"/>
          <w:szCs w:val="20"/>
        </w:rPr>
        <w:t>材料</w:t>
      </w:r>
      <w:r>
        <w:rPr>
          <w:rFonts w:hint="eastAsia" w:asciiTheme="majorEastAsia" w:hAnsiTheme="majorEastAsia" w:eastAsiaTheme="majorEastAsia"/>
          <w:color w:val="auto"/>
          <w:sz w:val="24"/>
          <w:szCs w:val="20"/>
        </w:rPr>
        <w:t>、项目名称</w:t>
      </w:r>
      <w:r>
        <w:rPr>
          <w:rFonts w:asciiTheme="majorEastAsia" w:hAnsiTheme="majorEastAsia" w:eastAsiaTheme="majorEastAsia"/>
          <w:color w:val="auto"/>
          <w:sz w:val="24"/>
          <w:szCs w:val="20"/>
        </w:rPr>
        <w:t>或项目（标段）编号</w:t>
      </w:r>
      <w:r>
        <w:rPr>
          <w:rFonts w:hint="eastAsia" w:asciiTheme="majorEastAsia" w:hAnsiTheme="majorEastAsia" w:eastAsiaTheme="majorEastAsia"/>
          <w:color w:val="auto"/>
          <w:sz w:val="24"/>
          <w:szCs w:val="20"/>
        </w:rPr>
        <w:t>、磋商响应人名称”字样，同时由法定代表人或其授权代表签字或盖章。</w:t>
      </w:r>
      <w:r>
        <w:rPr>
          <w:rFonts w:asciiTheme="majorEastAsia" w:hAnsiTheme="majorEastAsia" w:eastAsiaTheme="majorEastAsia"/>
          <w:color w:val="auto"/>
          <w:sz w:val="24"/>
          <w:szCs w:val="20"/>
        </w:rPr>
        <w:t>未按上述规则制作的补充和修改材料将被拒收。</w:t>
      </w:r>
    </w:p>
    <w:p>
      <w:pPr>
        <w:shd w:val="clear"/>
        <w:jc w:val="center"/>
        <w:rPr>
          <w:rFonts w:asciiTheme="majorEastAsia" w:hAnsiTheme="majorEastAsia" w:eastAsiaTheme="majorEastAsia"/>
          <w:b/>
          <w:color w:val="auto"/>
          <w:sz w:val="32"/>
          <w:szCs w:val="32"/>
        </w:rPr>
      </w:pPr>
      <w:r>
        <w:rPr>
          <w:rFonts w:hint="eastAsia" w:asciiTheme="majorEastAsia" w:hAnsiTheme="majorEastAsia" w:eastAsiaTheme="majorEastAsia"/>
          <w:b/>
          <w:color w:val="auto"/>
          <w:sz w:val="32"/>
          <w:szCs w:val="32"/>
        </w:rPr>
        <w:t>四、磋商和评审</w:t>
      </w:r>
    </w:p>
    <w:p>
      <w:pPr>
        <w:shd w:val="clear"/>
        <w:snapToGrid w:val="0"/>
        <w:spacing w:line="440" w:lineRule="exact"/>
        <w:jc w:val="left"/>
        <w:rPr>
          <w:rFonts w:asciiTheme="majorEastAsia" w:hAnsiTheme="majorEastAsia" w:eastAsiaTheme="majorEastAsia"/>
          <w:b/>
          <w:bCs/>
          <w:color w:val="auto"/>
          <w:sz w:val="24"/>
        </w:rPr>
      </w:pPr>
      <w:r>
        <w:rPr>
          <w:rFonts w:hint="eastAsia" w:asciiTheme="majorEastAsia" w:hAnsiTheme="majorEastAsia" w:eastAsiaTheme="majorEastAsia"/>
          <w:b/>
          <w:bCs/>
          <w:color w:val="auto"/>
          <w:sz w:val="24"/>
        </w:rPr>
        <w:t>1．</w:t>
      </w:r>
      <w:r>
        <w:rPr>
          <w:rFonts w:asciiTheme="majorEastAsia" w:hAnsiTheme="majorEastAsia" w:eastAsiaTheme="majorEastAsia"/>
          <w:b/>
          <w:bCs/>
          <w:color w:val="auto"/>
          <w:sz w:val="24"/>
        </w:rPr>
        <w:t>磋商出席</w:t>
      </w:r>
    </w:p>
    <w:p>
      <w:pPr>
        <w:shd w:val="clear"/>
        <w:snapToGrid w:val="0"/>
        <w:spacing w:line="440" w:lineRule="exact"/>
        <w:jc w:val="left"/>
        <w:rPr>
          <w:rFonts w:hint="eastAsia" w:asciiTheme="majorEastAsia" w:hAnsiTheme="majorEastAsia" w:eastAsiaTheme="majorEastAsia"/>
          <w:b/>
          <w:bCs/>
          <w:color w:val="auto"/>
          <w:sz w:val="24"/>
        </w:rPr>
      </w:pPr>
      <w:r>
        <w:rPr>
          <w:rFonts w:hint="eastAsia" w:asciiTheme="majorEastAsia" w:hAnsiTheme="majorEastAsia" w:eastAsiaTheme="majorEastAsia"/>
          <w:b/>
          <w:bCs/>
          <w:color w:val="auto"/>
          <w:sz w:val="24"/>
        </w:rPr>
        <w:t xml:space="preserve">1.1 </w:t>
      </w:r>
      <w:r>
        <w:rPr>
          <w:rFonts w:asciiTheme="majorEastAsia" w:hAnsiTheme="majorEastAsia" w:eastAsiaTheme="majorEastAsia"/>
          <w:b/>
          <w:bCs/>
          <w:color w:val="auto"/>
          <w:sz w:val="24"/>
        </w:rPr>
        <w:t>磋商响应人法定代表人或其授权代表或个体工商户经营者</w:t>
      </w:r>
      <w:r>
        <w:rPr>
          <w:rFonts w:hint="eastAsia" w:asciiTheme="majorEastAsia" w:hAnsiTheme="majorEastAsia" w:eastAsiaTheme="majorEastAsia"/>
          <w:b/>
          <w:bCs/>
          <w:color w:val="auto"/>
          <w:sz w:val="24"/>
        </w:rPr>
        <w:t>均不</w:t>
      </w:r>
      <w:r>
        <w:rPr>
          <w:rFonts w:asciiTheme="majorEastAsia" w:hAnsiTheme="majorEastAsia" w:eastAsiaTheme="majorEastAsia"/>
          <w:b/>
          <w:bCs/>
          <w:color w:val="auto"/>
          <w:sz w:val="24"/>
        </w:rPr>
        <w:t>需</w:t>
      </w:r>
      <w:r>
        <w:rPr>
          <w:rFonts w:hint="eastAsia" w:asciiTheme="majorEastAsia" w:hAnsiTheme="majorEastAsia" w:eastAsiaTheme="majorEastAsia"/>
          <w:b/>
          <w:bCs/>
          <w:color w:val="auto"/>
          <w:sz w:val="24"/>
        </w:rPr>
        <w:t>要参加</w:t>
      </w:r>
      <w:r>
        <w:rPr>
          <w:rFonts w:asciiTheme="majorEastAsia" w:hAnsiTheme="majorEastAsia" w:eastAsiaTheme="majorEastAsia"/>
          <w:b/>
          <w:bCs/>
          <w:color w:val="auto"/>
          <w:sz w:val="24"/>
        </w:rPr>
        <w:t>磋商</w:t>
      </w:r>
      <w:r>
        <w:rPr>
          <w:rFonts w:hint="eastAsia" w:asciiTheme="majorEastAsia" w:hAnsiTheme="majorEastAsia" w:eastAsiaTheme="majorEastAsia"/>
          <w:b/>
          <w:bCs/>
          <w:color w:val="auto"/>
          <w:sz w:val="24"/>
        </w:rPr>
        <w:t>。</w:t>
      </w:r>
    </w:p>
    <w:p>
      <w:pPr>
        <w:shd w:val="clear"/>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2．磋商程序</w:t>
      </w:r>
    </w:p>
    <w:p>
      <w:pPr>
        <w:shd w:val="clear"/>
        <w:snapToGrid w:val="0"/>
        <w:spacing w:line="48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2.1响应截止时间后，主持人宣布磋商开始。</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2.2启封磋商响应文件。</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2.3确定各磋商响应人磋商、演示顺序（如有要求）。</w:t>
      </w:r>
    </w:p>
    <w:p>
      <w:pPr>
        <w:shd w:val="clear"/>
        <w:spacing w:line="44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2.4磋商小组对磋商响应文件进行评估和比较。</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2.5磋商小组与单一磋商响应人分别进行磋商。</w:t>
      </w:r>
    </w:p>
    <w:p>
      <w:pPr>
        <w:shd w:val="clear"/>
        <w:snapToGrid w:val="0"/>
        <w:spacing w:line="480" w:lineRule="exact"/>
        <w:jc w:val="left"/>
        <w:rPr>
          <w:rFonts w:asciiTheme="majorEastAsia" w:hAnsiTheme="majorEastAsia" w:eastAsiaTheme="majorEastAsia"/>
          <w:color w:val="auto"/>
          <w:sz w:val="24"/>
        </w:rPr>
      </w:pPr>
      <w:r>
        <w:rPr>
          <w:rFonts w:hint="eastAsia" w:asciiTheme="majorEastAsia" w:hAnsiTheme="majorEastAsia" w:eastAsiaTheme="majorEastAsia"/>
          <w:bCs/>
          <w:color w:val="auto"/>
          <w:sz w:val="24"/>
        </w:rPr>
        <w:t>2.6</w:t>
      </w:r>
      <w:r>
        <w:rPr>
          <w:rFonts w:hint="eastAsia" w:asciiTheme="majorEastAsia" w:hAnsiTheme="majorEastAsia" w:eastAsiaTheme="majorEastAsia"/>
          <w:color w:val="auto"/>
          <w:sz w:val="24"/>
        </w:rPr>
        <w:t>磋商小组要求所有实质性响应的磋商响应人在规定时间内提交最后报价（只公开最后报价，最后报价不得高于初次报价）。</w:t>
      </w:r>
    </w:p>
    <w:p>
      <w:pPr>
        <w:shd w:val="clear"/>
        <w:snapToGrid w:val="0"/>
        <w:spacing w:line="48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2.7由磋商小组采用综合评分法对提交最后报价的磋商响应人的磋商响应文件和最后报价进行综合评审，在符合采购需求、质量和服务要求的前提下，按评审得分从高到低顺序推荐确定成交候选供应商。</w:t>
      </w:r>
    </w:p>
    <w:p>
      <w:pPr>
        <w:shd w:val="clear"/>
        <w:snapToGrid w:val="0"/>
        <w:spacing w:line="48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2.8主持人公布磋商结果。</w:t>
      </w:r>
    </w:p>
    <w:p>
      <w:pPr>
        <w:shd w:val="clear"/>
        <w:snapToGrid w:val="0"/>
        <w:spacing w:line="48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3．磋商内容</w:t>
      </w:r>
    </w:p>
    <w:p>
      <w:pPr>
        <w:shd w:val="clear"/>
        <w:spacing w:line="44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3.1本次磋商内容为在磋商文件范围内就磋商响应人的磋商响应文件，磋商小组与磋商响应人在技术、价格、服务、合同等问题进行磋商，最终确定成交与否。</w:t>
      </w:r>
    </w:p>
    <w:p>
      <w:pPr>
        <w:shd w:val="clear"/>
        <w:spacing w:line="44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3.2磋商应作书面记录，磋商响应人并就磋商内容作出书面承诺，并由磋商响应人盖公章后生效，作为磋商响应文件的一部分。</w:t>
      </w:r>
    </w:p>
    <w:p>
      <w:pPr>
        <w:shd w:val="clear"/>
        <w:spacing w:line="440" w:lineRule="exact"/>
        <w:rPr>
          <w:rFonts w:asciiTheme="majorEastAsia" w:hAnsiTheme="majorEastAsia" w:eastAsiaTheme="majorEastAsia"/>
          <w:color w:val="auto"/>
          <w:kern w:val="0"/>
          <w:sz w:val="24"/>
        </w:rPr>
      </w:pPr>
      <w:r>
        <w:rPr>
          <w:rFonts w:hint="eastAsia" w:asciiTheme="majorEastAsia" w:hAnsiTheme="majorEastAsia" w:eastAsiaTheme="majorEastAsia"/>
          <w:color w:val="auto"/>
          <w:sz w:val="24"/>
        </w:rPr>
        <w:t>3.3磋商文件有实质性变动的，磋商小组以书面形式通知所有参加磋商的磋商响应人。</w:t>
      </w:r>
    </w:p>
    <w:p>
      <w:pPr>
        <w:shd w:val="clear"/>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4．磋商</w:t>
      </w:r>
    </w:p>
    <w:p>
      <w:pPr>
        <w:shd w:val="clear"/>
        <w:spacing w:line="480" w:lineRule="exact"/>
        <w:jc w:val="left"/>
        <w:rPr>
          <w:rFonts w:cs="宋体" w:asciiTheme="majorEastAsia" w:hAnsiTheme="majorEastAsia" w:eastAsiaTheme="majorEastAsia"/>
          <w:color w:val="auto"/>
          <w:sz w:val="24"/>
        </w:rPr>
      </w:pPr>
      <w:r>
        <w:rPr>
          <w:rFonts w:hint="eastAsia" w:asciiTheme="majorEastAsia" w:hAnsiTheme="majorEastAsia" w:eastAsiaTheme="majorEastAsia"/>
          <w:color w:val="auto"/>
          <w:sz w:val="24"/>
        </w:rPr>
        <w:t>4.1</w:t>
      </w:r>
      <w:r>
        <w:rPr>
          <w:rFonts w:hint="eastAsia" w:cs="宋体" w:asciiTheme="majorEastAsia" w:hAnsiTheme="majorEastAsia" w:eastAsiaTheme="majorEastAsia"/>
          <w:color w:val="auto"/>
          <w:sz w:val="24"/>
        </w:rPr>
        <w:t>磋商小组由采购人依法组建，负责评审活动。磋商小组遵循公开、公平、公正、科学合理、竞争择优的原则。</w:t>
      </w:r>
    </w:p>
    <w:p>
      <w:pPr>
        <w:shd w:val="clear"/>
        <w:spacing w:line="480" w:lineRule="exact"/>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4.2磋商小组由采购人代表和有关方面的专家组成，成员人数为3人以上单数。</w:t>
      </w:r>
    </w:p>
    <w:p>
      <w:pPr>
        <w:shd w:val="clear"/>
        <w:spacing w:line="480" w:lineRule="exact"/>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4.3磋商小组负责对磋商响应人资格的最终审定。</w:t>
      </w:r>
    </w:p>
    <w:p>
      <w:pPr>
        <w:shd w:val="clear"/>
        <w:spacing w:line="48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4.4磋商小组可以要求磋商响应人对其磋商响应文件中含义不明确的内容作必要的澄清或者说明，但澄清或者说明不得超过磋商响应文件的范围或者改变磋商响应文件的实质性内容。</w:t>
      </w:r>
    </w:p>
    <w:p>
      <w:pPr>
        <w:shd w:val="clear"/>
        <w:spacing w:line="440" w:lineRule="exact"/>
        <w:ind w:firstLine="480" w:firstLineChars="20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磋商中需要磋商响应人对磋商、响应文件作出澄清、说明或者补正的，评标委员会和磋商响应人应当通过电子邮件交换数据电文。给予磋商响应人提交澄清说明或补正的时间不少于半小时，磋商响应人已经明确表示澄清说明或补正完毕的除外。</w:t>
      </w:r>
    </w:p>
    <w:p>
      <w:pPr>
        <w:shd w:val="clear"/>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4.5磋商小组组长组织评审人员独立评审。磋商小组对拟认定为磋商响应文件无效、磋商响应人资格不符合的，应组织相关磋商响应人代表进行陈述、澄清或申辩；采购组织机构可协助磋商小组组长对打分结果进行校对、核对并汇总统计；对明</w:t>
      </w:r>
    </w:p>
    <w:p>
      <w:pPr>
        <w:shd w:val="clear"/>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显畸高、畸低的评分情形（磋商小组成员个人主观打分偏离所有磋商小组成员主观打分平均值30%以上），启动评分畸高、畸低行为认定程序，磋商小组组长应提醒相关评审人员进行复核或书面说明理由，评审人员拒绝说明的，由现场监督员据实记录；评审人员的评审、修改记录应保留原件，随项目其他资料一并存档。</w:t>
      </w:r>
    </w:p>
    <w:p>
      <w:pPr>
        <w:widowControl/>
        <w:shd w:val="clear"/>
        <w:snapToGrid w:val="0"/>
        <w:spacing w:line="480" w:lineRule="exact"/>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4.6</w:t>
      </w:r>
      <w:r>
        <w:rPr>
          <w:rFonts w:hint="eastAsia" w:asciiTheme="majorEastAsia" w:hAnsiTheme="majorEastAsia" w:eastAsiaTheme="majorEastAsia"/>
          <w:color w:val="auto"/>
          <w:sz w:val="24"/>
        </w:rPr>
        <w:t>磋商小组</w:t>
      </w:r>
      <w:r>
        <w:rPr>
          <w:rFonts w:hint="eastAsia" w:asciiTheme="majorEastAsia" w:hAnsiTheme="majorEastAsia" w:eastAsiaTheme="majorEastAsia"/>
          <w:color w:val="auto"/>
          <w:kern w:val="0"/>
          <w:sz w:val="24"/>
        </w:rPr>
        <w:t>对磋商响应文件的判定，只依据磋商响应文件和磋商文件内容本身，不依据任何外来证明。</w:t>
      </w:r>
    </w:p>
    <w:p>
      <w:pPr>
        <w:widowControl/>
        <w:shd w:val="clear"/>
        <w:snapToGrid w:val="0"/>
        <w:spacing w:line="480" w:lineRule="exact"/>
        <w:rPr>
          <w:rFonts w:asciiTheme="majorEastAsia" w:hAnsiTheme="majorEastAsia" w:eastAsiaTheme="majorEastAsia"/>
          <w:color w:val="auto"/>
          <w:kern w:val="0"/>
          <w:sz w:val="24"/>
        </w:rPr>
      </w:pPr>
      <w:r>
        <w:rPr>
          <w:rFonts w:hint="eastAsia" w:cs="宋体" w:asciiTheme="majorEastAsia" w:hAnsiTheme="majorEastAsia" w:eastAsiaTheme="majorEastAsia"/>
          <w:color w:val="auto"/>
          <w:sz w:val="24"/>
        </w:rPr>
        <w:t>4.7磋商小组不向落标方解释落标的原因，不退还磋商响应文件。</w:t>
      </w:r>
    </w:p>
    <w:p>
      <w:pPr>
        <w:shd w:val="clear"/>
        <w:snapToGrid w:val="0"/>
        <w:spacing w:line="48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5．磋商响应文件的初审鉴定</w:t>
      </w:r>
    </w:p>
    <w:p>
      <w:pPr>
        <w:shd w:val="clear"/>
        <w:snapToGrid w:val="0"/>
        <w:spacing w:line="48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5.1资格性审查</w:t>
      </w:r>
    </w:p>
    <w:p>
      <w:pPr>
        <w:shd w:val="clear"/>
        <w:snapToGrid w:val="0"/>
        <w:spacing w:line="48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5.1.1依据法律、法规和磋商文件规定，对磋商响应文件中对资格证明、磋商保证金等进行审查，以确定磋商响应人是否具备磋商资格。</w:t>
      </w:r>
    </w:p>
    <w:p>
      <w:pPr>
        <w:shd w:val="clear"/>
        <w:spacing w:line="480" w:lineRule="exact"/>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5.2符合性审查</w:t>
      </w:r>
    </w:p>
    <w:p>
      <w:pPr>
        <w:shd w:val="clear"/>
        <w:spacing w:line="480" w:lineRule="exact"/>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5.2.1磋商时，磋商小组将首先评定每份磋商响应文件是否在实质上响应了磋商文件要求。所谓实质上的响应，是指磋商响应文件与磋商文件的所有实质性条款、条件和要求相符，无显著差异或保留，或者对合同中约定的采购人的权利和磋商响应人的义务方面造成重大的限制，纠正这些显著差异或保留将会对其他实质上响应磋商文件要求的磋商响应人的竞争地位产生不公正的影响。</w:t>
      </w:r>
    </w:p>
    <w:p>
      <w:pPr>
        <w:shd w:val="clear"/>
        <w:spacing w:line="480" w:lineRule="exact"/>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5.3如果磋商响应文件实质不响应磋商文件的各项要求，磋商小组将予以拒绝，并且不允许磋商响应人通过修改或撤销其不符合要求的差异或保留，使之成为具有响应性的磋商。</w:t>
      </w:r>
    </w:p>
    <w:p>
      <w:pPr>
        <w:widowControl/>
        <w:shd w:val="clear"/>
        <w:snapToGrid w:val="0"/>
        <w:spacing w:line="440" w:lineRule="exact"/>
        <w:rPr>
          <w:rFonts w:asciiTheme="majorEastAsia" w:hAnsiTheme="majorEastAsia" w:eastAsiaTheme="majorEastAsia"/>
          <w:b/>
          <w:color w:val="auto"/>
          <w:kern w:val="0"/>
          <w:sz w:val="24"/>
        </w:rPr>
      </w:pPr>
      <w:r>
        <w:rPr>
          <w:rFonts w:hint="eastAsia" w:asciiTheme="majorEastAsia" w:hAnsiTheme="majorEastAsia" w:eastAsiaTheme="majorEastAsia"/>
          <w:b/>
          <w:color w:val="auto"/>
          <w:kern w:val="0"/>
          <w:sz w:val="24"/>
        </w:rPr>
        <w:t>6. 对明显的文字和计算错误的修正原则</w:t>
      </w:r>
    </w:p>
    <w:p>
      <w:pPr>
        <w:shd w:val="clear"/>
        <w:spacing w:line="440" w:lineRule="exact"/>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6.1磋商响应文件中报价一览表（报价表）内容与磋商响应文件中相应内容不一致的，以报价一览表（报价表）为准；</w:t>
      </w:r>
    </w:p>
    <w:p>
      <w:pPr>
        <w:shd w:val="clear"/>
        <w:spacing w:line="440" w:lineRule="exact"/>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6.2大写金额和小写金额不一致的，以大写金额为准；</w:t>
      </w:r>
    </w:p>
    <w:p>
      <w:pPr>
        <w:shd w:val="clear"/>
        <w:spacing w:line="440" w:lineRule="exact"/>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6.3单价金额小数点或者百分比有明显错位的，以报价一览表的总价为准，并修改单价；</w:t>
      </w:r>
    </w:p>
    <w:p>
      <w:pPr>
        <w:shd w:val="clear"/>
        <w:spacing w:line="440" w:lineRule="exact"/>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6.4总价金额与按单价汇总金额不一致的，以单价金额计算结果为准。</w:t>
      </w:r>
    </w:p>
    <w:p>
      <w:pPr>
        <w:shd w:val="clear"/>
        <w:spacing w:line="480" w:lineRule="exact"/>
        <w:ind w:firstLine="480" w:firstLineChars="200"/>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同时出现两种以上不一致的，按照前款规定的顺序修正。</w:t>
      </w:r>
      <w:r>
        <w:rPr>
          <w:rFonts w:hint="eastAsia" w:cs="仿宋_GB2312" w:asciiTheme="majorEastAsia" w:hAnsiTheme="majorEastAsia" w:eastAsiaTheme="majorEastAsia"/>
          <w:bCs/>
          <w:color w:val="auto"/>
          <w:sz w:val="24"/>
        </w:rPr>
        <w:t>修正后的报价按照财政部公布第87号令《政府采购货物和服务招标投标管理办法》</w:t>
      </w:r>
      <w:r>
        <w:rPr>
          <w:rFonts w:hint="eastAsia" w:cs="宋体" w:asciiTheme="majorEastAsia" w:hAnsiTheme="majorEastAsia" w:eastAsiaTheme="majorEastAsia"/>
          <w:color w:val="auto"/>
          <w:sz w:val="24"/>
        </w:rPr>
        <w:t>第五十一条第二款的规定经磋商响应人确认后产生约束力，磋商响应人不确认的，其磋商无效。</w:t>
      </w:r>
    </w:p>
    <w:p>
      <w:pPr>
        <w:shd w:val="clear"/>
        <w:spacing w:line="480" w:lineRule="exact"/>
        <w:jc w:val="left"/>
        <w:rPr>
          <w:rFonts w:cs="宋体" w:asciiTheme="majorEastAsia" w:hAnsiTheme="majorEastAsia" w:eastAsiaTheme="majorEastAsia"/>
          <w:b/>
          <w:color w:val="auto"/>
          <w:sz w:val="24"/>
        </w:rPr>
      </w:pPr>
      <w:r>
        <w:rPr>
          <w:rFonts w:hint="eastAsia" w:cs="宋体" w:asciiTheme="majorEastAsia" w:hAnsiTheme="majorEastAsia" w:eastAsiaTheme="majorEastAsia"/>
          <w:b/>
          <w:color w:val="auto"/>
          <w:sz w:val="24"/>
        </w:rPr>
        <w:t>7.磋商响应文件的评审、比较和否决</w:t>
      </w:r>
    </w:p>
    <w:p>
      <w:pPr>
        <w:shd w:val="clear"/>
        <w:spacing w:line="480" w:lineRule="exact"/>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7.1磋商小组将对在实质上响应磋商文件要求的磋商响应文件进行评估和比较。</w:t>
      </w:r>
    </w:p>
    <w:p>
      <w:pPr>
        <w:shd w:val="clear"/>
        <w:spacing w:line="480" w:lineRule="exact"/>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7.2磋商小组可以书面形式要求磋商响应人就磋商响应文件含义不明确的内容进行书面说明并提供相关材料。</w:t>
      </w:r>
    </w:p>
    <w:p>
      <w:pPr>
        <w:shd w:val="clear"/>
        <w:spacing w:line="480" w:lineRule="exact"/>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7.3如发现与磋商文件要求相偏离的，磋商小组应对其偏离情形进行必要的书面核实。</w:t>
      </w:r>
    </w:p>
    <w:p>
      <w:pPr>
        <w:shd w:val="clear"/>
        <w:spacing w:line="480" w:lineRule="exact"/>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7.4如属于实质性偏离或符合无效响应条件的，磋商小组应当询问相关磋商响应人，并允许其进行陈述申辩，但不允许对偏离条款撤回。</w:t>
      </w:r>
    </w:p>
    <w:p>
      <w:pPr>
        <w:shd w:val="clear"/>
        <w:spacing w:line="480" w:lineRule="exact"/>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7.5比较与评价。磋商小组依据磋商文件规定的评审标准和方法，对磋商响应文件进行商务和技术评估，综合比较与评价。。</w:t>
      </w:r>
    </w:p>
    <w:p>
      <w:pPr>
        <w:shd w:val="clear"/>
        <w:spacing w:line="480" w:lineRule="exact"/>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7.6汇总（商务技术得分情况）。磋商小组各成员应当独立对每个磋商响应人的磋商响应文件进行评价，并汇总商务技术得分情况。</w:t>
      </w:r>
    </w:p>
    <w:p>
      <w:pPr>
        <w:shd w:val="clear"/>
        <w:spacing w:line="480" w:lineRule="exact"/>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7.7 报价审核。对符合采购需求且通过商务技术（资信）评审的磋商响应人的报价的合理性、准确性等进行审查核实。</w:t>
      </w:r>
    </w:p>
    <w:p>
      <w:pPr>
        <w:shd w:val="clear"/>
        <w:spacing w:line="480" w:lineRule="exact"/>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7.7.1磋商小组认为磋商响应人的报价明显低于其他通过符合性审查磋商响应人的报价，有可能影响产品质量或者不能诚信履约的，应当要求其在磋商现场合理的时间内提供书面说明，必要时提交相关证明材料。</w:t>
      </w:r>
    </w:p>
    <w:p>
      <w:pPr>
        <w:shd w:val="clear"/>
        <w:spacing w:line="480" w:lineRule="exact"/>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7.7.2根据财政部发布的《政府采购促进中小企业发展暂行办法》规定，对于非专门面向中小企业的项目，对小型和微型企业产品的价格给予一定的扣除，用扣除后的价格参与评审。</w:t>
      </w:r>
    </w:p>
    <w:p>
      <w:pPr>
        <w:shd w:val="clear"/>
        <w:spacing w:line="480" w:lineRule="exact"/>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7.7.3如需磋商价格修正，按财政部第87号令第五十九条的规定对磋商价格进行修正。</w:t>
      </w:r>
    </w:p>
    <w:p>
      <w:pPr>
        <w:shd w:val="clear"/>
        <w:spacing w:line="480" w:lineRule="exact"/>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7.8磋商小组依据磋商文件规定的评标标准和方法，对磋商响应文件进行评审和比较后，向本公司提供书面磋商报告，并按得分高低排序推荐中标候选磋商响应人。</w:t>
      </w:r>
    </w:p>
    <w:p>
      <w:pPr>
        <w:pStyle w:val="21"/>
        <w:shd w:val="clear"/>
        <w:spacing w:afterLines="0" w:line="440" w:lineRule="exact"/>
        <w:ind w:left="0" w:firstLine="0"/>
        <w:rPr>
          <w:rFonts w:asciiTheme="majorEastAsia" w:hAnsiTheme="majorEastAsia" w:eastAsiaTheme="majorEastAsia"/>
          <w:b/>
          <w:color w:val="auto"/>
        </w:rPr>
      </w:pPr>
      <w:r>
        <w:rPr>
          <w:rFonts w:hint="eastAsia" w:asciiTheme="majorEastAsia" w:hAnsiTheme="majorEastAsia" w:eastAsiaTheme="majorEastAsia"/>
          <w:b/>
          <w:color w:val="auto"/>
        </w:rPr>
        <w:t>8.磋商响应文件的澄清</w:t>
      </w:r>
    </w:p>
    <w:p>
      <w:pPr>
        <w:pStyle w:val="21"/>
        <w:shd w:val="clear"/>
        <w:spacing w:afterLines="0" w:line="440" w:lineRule="exact"/>
        <w:ind w:left="0" w:firstLine="480" w:firstLineChars="200"/>
        <w:rPr>
          <w:rFonts w:asciiTheme="majorEastAsia" w:hAnsiTheme="majorEastAsia" w:eastAsiaTheme="majorEastAsia"/>
          <w:color w:val="auto"/>
        </w:rPr>
      </w:pPr>
      <w:r>
        <w:rPr>
          <w:rFonts w:hint="eastAsia" w:asciiTheme="majorEastAsia" w:hAnsiTheme="majorEastAsia" w:eastAsiaTheme="majorEastAsia"/>
          <w:color w:val="auto"/>
        </w:rPr>
        <w:t>为有利于对磋商响应文件的比较和评议，磋商小组可要求磋商响应人对磋商响应文件进行澄清，必要时磋商小组可要求磋商响应人对澄清的问题作出书面答复。书面答复须由磋商响应人法定代表人或其授权代表签字或者加盖公章，并作为磋商响应文件的一部分。</w:t>
      </w:r>
    </w:p>
    <w:p>
      <w:pPr>
        <w:pStyle w:val="47"/>
        <w:shd w:val="clear"/>
        <w:snapToGrid w:val="0"/>
        <w:spacing w:line="440" w:lineRule="exact"/>
        <w:jc w:val="left"/>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9．无效磋商的情形</w:t>
      </w:r>
    </w:p>
    <w:p>
      <w:pPr>
        <w:shd w:val="clear"/>
        <w:tabs>
          <w:tab w:val="left" w:pos="4085"/>
        </w:tabs>
        <w:snapToGrid w:val="0"/>
        <w:spacing w:line="440" w:lineRule="exact"/>
        <w:ind w:firstLine="480" w:firstLineChars="20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磋商响应文件有下列情形之一的作无效磋商响应处理：</w:t>
      </w:r>
    </w:p>
    <w:p>
      <w:pPr>
        <w:shd w:val="clear"/>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9.1磋商响应文件未按照磋商文件规定要求签字或盖章的；</w:t>
      </w:r>
    </w:p>
    <w:p>
      <w:pPr>
        <w:shd w:val="clear"/>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9.2单位负责人为同一人或者存在直接控股、管理关系的不同磋商响应人参加同一合同项下的政府采购活动的（均无效）；</w:t>
      </w:r>
    </w:p>
    <w:p>
      <w:pPr>
        <w:shd w:val="clear"/>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 xml:space="preserve">9.3为采购项目提供整体设计、规范编制或者项目管理、监理、检测等服务的磋商响应人参加该采购项目的其他采购活动的； </w:t>
      </w:r>
    </w:p>
    <w:p>
      <w:pPr>
        <w:shd w:val="clear"/>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9.4磋商响应人未提供磋商文件中规定的基本资格条件书面承诺函的，或磋商响应人未提供有效的特定资格证明文件的，视为磋商响应人不具备磋商文件中规定的资格要求；</w:t>
      </w:r>
    </w:p>
    <w:p>
      <w:pPr>
        <w:shd w:val="clear"/>
        <w:snapToGrid w:val="0"/>
        <w:spacing w:line="440" w:lineRule="exact"/>
        <w:jc w:val="left"/>
        <w:rPr>
          <w:rFonts w:asciiTheme="majorEastAsia" w:hAnsiTheme="majorEastAsia" w:eastAsiaTheme="majorEastAsia"/>
          <w:b/>
          <w:color w:val="auto"/>
          <w:kern w:val="0"/>
          <w:sz w:val="24"/>
        </w:rPr>
      </w:pPr>
      <w:r>
        <w:rPr>
          <w:rFonts w:hint="eastAsia" w:asciiTheme="majorEastAsia" w:hAnsiTheme="majorEastAsia" w:eastAsiaTheme="majorEastAsia"/>
          <w:b/>
          <w:color w:val="auto"/>
          <w:sz w:val="24"/>
        </w:rPr>
        <w:t>9.5</w:t>
      </w:r>
      <w:r>
        <w:rPr>
          <w:rFonts w:hint="eastAsia" w:asciiTheme="majorEastAsia" w:hAnsiTheme="majorEastAsia" w:eastAsiaTheme="majorEastAsia"/>
          <w:b/>
          <w:color w:val="auto"/>
          <w:kern w:val="0"/>
          <w:sz w:val="24"/>
        </w:rPr>
        <w:t>《法定代表人身份证明书》与提供的身份证复印件信息不符的；《法定代表人授权委托书》与提供的身份证复印件信息不符的；</w:t>
      </w:r>
    </w:p>
    <w:p>
      <w:pPr>
        <w:shd w:val="clear"/>
        <w:snapToGrid w:val="0"/>
        <w:spacing w:line="440" w:lineRule="exact"/>
        <w:jc w:val="left"/>
        <w:rPr>
          <w:rFonts w:asciiTheme="majorEastAsia" w:hAnsiTheme="majorEastAsia" w:eastAsiaTheme="majorEastAsia"/>
          <w:b/>
          <w:color w:val="auto"/>
          <w:kern w:val="0"/>
          <w:sz w:val="24"/>
        </w:rPr>
      </w:pPr>
      <w:r>
        <w:rPr>
          <w:rFonts w:hint="eastAsia" w:asciiTheme="majorEastAsia" w:hAnsiTheme="majorEastAsia" w:eastAsiaTheme="majorEastAsia"/>
          <w:b/>
          <w:color w:val="auto"/>
          <w:kern w:val="0"/>
          <w:sz w:val="24"/>
        </w:rPr>
        <w:t>9.6《法定代表人授权委托书》或《法定代表人身份证明书》填写不全、错误、未加盖公章(《法定代表人授权委托书》要求“盖公章”和“签字或盖章”缺一不可）的；</w:t>
      </w:r>
    </w:p>
    <w:p>
      <w:pPr>
        <w:shd w:val="clear"/>
        <w:snapToGrid w:val="0"/>
        <w:spacing w:line="440" w:lineRule="exact"/>
        <w:jc w:val="left"/>
        <w:rPr>
          <w:rFonts w:asciiTheme="majorEastAsia" w:hAnsiTheme="majorEastAsia" w:eastAsiaTheme="majorEastAsia"/>
          <w:b/>
          <w:color w:val="auto"/>
          <w:kern w:val="0"/>
          <w:sz w:val="24"/>
        </w:rPr>
      </w:pPr>
      <w:r>
        <w:rPr>
          <w:rFonts w:hint="eastAsia" w:asciiTheme="majorEastAsia" w:hAnsiTheme="majorEastAsia" w:eastAsiaTheme="majorEastAsia"/>
          <w:b/>
          <w:color w:val="auto"/>
          <w:kern w:val="0"/>
          <w:sz w:val="24"/>
        </w:rPr>
        <w:t>9.7授权代表非磋商响应单位正式职工（以社保证明为准，如授权代表为离退休返聘人员的，需提供退休证明及单位聘用证明</w:t>
      </w:r>
      <w:r>
        <w:rPr>
          <w:rFonts w:hint="eastAsia" w:cs="Arial" w:asciiTheme="majorEastAsia" w:hAnsiTheme="majorEastAsia" w:eastAsiaTheme="majorEastAsia"/>
          <w:b/>
          <w:bCs/>
          <w:color w:val="auto"/>
          <w:sz w:val="24"/>
        </w:rPr>
        <w:t>)，</w:t>
      </w:r>
      <w:r>
        <w:rPr>
          <w:rFonts w:hint="eastAsia" w:asciiTheme="majorEastAsia" w:hAnsiTheme="majorEastAsia" w:eastAsiaTheme="majorEastAsia"/>
          <w:b/>
          <w:color w:val="auto"/>
          <w:kern w:val="0"/>
          <w:sz w:val="24"/>
        </w:rPr>
        <w:t>法定代表人及个体工商户除外；</w:t>
      </w:r>
    </w:p>
    <w:p>
      <w:pPr>
        <w:shd w:val="clear"/>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kern w:val="0"/>
          <w:sz w:val="24"/>
        </w:rPr>
        <w:t>9.</w:t>
      </w:r>
      <w:r>
        <w:rPr>
          <w:rFonts w:hint="eastAsia" w:asciiTheme="majorEastAsia" w:hAnsiTheme="majorEastAsia" w:eastAsiaTheme="majorEastAsia"/>
          <w:b/>
          <w:color w:val="auto"/>
          <w:sz w:val="24"/>
        </w:rPr>
        <w:t>8磋商响应文件中的磋商响应函无磋商响应人盖章或填写不全的；</w:t>
      </w:r>
    </w:p>
    <w:p>
      <w:pPr>
        <w:shd w:val="clear"/>
        <w:tabs>
          <w:tab w:val="left" w:pos="3870"/>
          <w:tab w:val="left" w:pos="4085"/>
        </w:tabs>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kern w:val="0"/>
          <w:sz w:val="24"/>
        </w:rPr>
        <w:t>9.9</w:t>
      </w:r>
      <w:r>
        <w:rPr>
          <w:rFonts w:hint="eastAsia" w:asciiTheme="majorEastAsia" w:hAnsiTheme="majorEastAsia" w:eastAsiaTheme="majorEastAsia"/>
          <w:b/>
          <w:color w:val="auto"/>
          <w:sz w:val="24"/>
        </w:rPr>
        <w:t>磋商响应人递交两份或两份以上内容不同的磋商响应文件，且未声明哪一份有效的；</w:t>
      </w:r>
    </w:p>
    <w:p>
      <w:pPr>
        <w:pStyle w:val="47"/>
        <w:shd w:val="clear"/>
        <w:snapToGrid w:val="0"/>
        <w:spacing w:line="440" w:lineRule="exact"/>
        <w:jc w:val="left"/>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rPr>
        <w:t>9.10报价一经涂改，涂改处无磋商响应单位盖章或者未经法定代表人或授权代表签字或盖章的；</w:t>
      </w:r>
    </w:p>
    <w:p>
      <w:pPr>
        <w:shd w:val="clear"/>
        <w:tabs>
          <w:tab w:val="left" w:pos="3870"/>
          <w:tab w:val="left" w:pos="4085"/>
        </w:tabs>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kern w:val="0"/>
          <w:sz w:val="24"/>
        </w:rPr>
        <w:t>9.11</w:t>
      </w:r>
      <w:r>
        <w:rPr>
          <w:rFonts w:hint="eastAsia" w:asciiTheme="majorEastAsia" w:hAnsiTheme="majorEastAsia" w:eastAsiaTheme="majorEastAsia"/>
          <w:b/>
          <w:color w:val="auto"/>
          <w:sz w:val="24"/>
        </w:rPr>
        <w:t>磋商响应文件中未按磋商响应文件规定的格式填写，或未详细应答磋商服务（或技术或产品等要求），经磋商后仍无法详细应答或应答不完整有缺失，致使磋商小组无法评审的；</w:t>
      </w:r>
    </w:p>
    <w:p>
      <w:pPr>
        <w:pStyle w:val="47"/>
        <w:shd w:val="clear"/>
        <w:snapToGrid w:val="0"/>
        <w:spacing w:line="440" w:lineRule="exact"/>
        <w:jc w:val="left"/>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9.12出现同一标的物或本次磋商产品(服务)内的主要产品(重要组成部分)出现</w:t>
      </w:r>
      <w:r>
        <w:rPr>
          <w:rFonts w:hint="eastAsia" w:asciiTheme="majorEastAsia" w:hAnsiTheme="majorEastAsia" w:eastAsiaTheme="majorEastAsia"/>
          <w:b/>
          <w:color w:val="auto"/>
          <w:sz w:val="24"/>
        </w:rPr>
        <w:t>商务技术（资信）文件资料</w:t>
      </w:r>
      <w:r>
        <w:rPr>
          <w:rFonts w:hint="eastAsia" w:asciiTheme="majorEastAsia" w:hAnsiTheme="majorEastAsia" w:eastAsiaTheme="majorEastAsia"/>
          <w:b/>
          <w:color w:val="auto"/>
          <w:sz w:val="24"/>
          <w:szCs w:val="24"/>
        </w:rPr>
        <w:t>、</w:t>
      </w:r>
      <w:r>
        <w:rPr>
          <w:rFonts w:hint="eastAsia" w:asciiTheme="majorEastAsia" w:hAnsiTheme="majorEastAsia" w:eastAsiaTheme="majorEastAsia"/>
          <w:b/>
          <w:color w:val="auto"/>
          <w:sz w:val="24"/>
        </w:rPr>
        <w:t>报价文件资料</w:t>
      </w:r>
      <w:r>
        <w:rPr>
          <w:rFonts w:hint="eastAsia" w:asciiTheme="majorEastAsia" w:hAnsiTheme="majorEastAsia" w:eastAsiaTheme="majorEastAsia"/>
          <w:b/>
          <w:color w:val="auto"/>
          <w:sz w:val="24"/>
          <w:szCs w:val="24"/>
        </w:rPr>
        <w:t>描述不一致或前后描述不一致，经磋商小组认定后为无法评审的；</w:t>
      </w:r>
    </w:p>
    <w:p>
      <w:pPr>
        <w:pStyle w:val="47"/>
        <w:shd w:val="clear"/>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kern w:val="0"/>
          <w:sz w:val="24"/>
        </w:rPr>
        <w:t>9.13</w:t>
      </w:r>
      <w:r>
        <w:rPr>
          <w:rFonts w:hint="eastAsia" w:asciiTheme="majorEastAsia" w:hAnsiTheme="majorEastAsia" w:eastAsiaTheme="majorEastAsia"/>
          <w:b/>
          <w:color w:val="auto"/>
          <w:sz w:val="24"/>
          <w:szCs w:val="24"/>
        </w:rPr>
        <w:t>《</w:t>
      </w:r>
      <w:r>
        <w:rPr>
          <w:rFonts w:hint="eastAsia" w:asciiTheme="majorEastAsia" w:hAnsiTheme="majorEastAsia" w:eastAsiaTheme="majorEastAsia"/>
          <w:b/>
          <w:color w:val="auto"/>
          <w:sz w:val="24"/>
        </w:rPr>
        <w:t>技术偏离说明表</w:t>
      </w:r>
      <w:r>
        <w:rPr>
          <w:rFonts w:hint="eastAsia" w:asciiTheme="majorEastAsia" w:hAnsiTheme="majorEastAsia" w:eastAsiaTheme="majorEastAsia"/>
          <w:b/>
          <w:color w:val="auto"/>
          <w:sz w:val="24"/>
          <w:szCs w:val="24"/>
        </w:rPr>
        <w:t>》</w:t>
      </w:r>
      <w:r>
        <w:rPr>
          <w:rFonts w:hint="eastAsia" w:asciiTheme="majorEastAsia" w:hAnsiTheme="majorEastAsia" w:eastAsiaTheme="majorEastAsia"/>
          <w:b/>
          <w:color w:val="auto"/>
          <w:sz w:val="24"/>
        </w:rPr>
        <w:t>不真实填写或弄虚作假的；</w:t>
      </w:r>
    </w:p>
    <w:p>
      <w:pPr>
        <w:shd w:val="clear"/>
        <w:tabs>
          <w:tab w:val="left" w:pos="3870"/>
          <w:tab w:val="left" w:pos="4085"/>
        </w:tabs>
        <w:snapToGrid w:val="0"/>
        <w:spacing w:line="440" w:lineRule="exact"/>
        <w:jc w:val="left"/>
        <w:rPr>
          <w:rFonts w:asciiTheme="majorEastAsia" w:hAnsiTheme="majorEastAsia" w:eastAsiaTheme="majorEastAsia"/>
          <w:b/>
          <w:color w:val="auto"/>
          <w:kern w:val="0"/>
          <w:sz w:val="24"/>
        </w:rPr>
      </w:pPr>
      <w:r>
        <w:rPr>
          <w:rFonts w:hint="eastAsia" w:asciiTheme="majorEastAsia" w:hAnsiTheme="majorEastAsia" w:eastAsiaTheme="majorEastAsia"/>
          <w:b/>
          <w:color w:val="auto"/>
          <w:sz w:val="24"/>
        </w:rPr>
        <w:t>9.14</w:t>
      </w:r>
      <w:r>
        <w:rPr>
          <w:rFonts w:hint="eastAsia" w:asciiTheme="majorEastAsia" w:hAnsiTheme="majorEastAsia" w:eastAsiaTheme="majorEastAsia"/>
          <w:b/>
          <w:color w:val="auto"/>
          <w:kern w:val="0"/>
          <w:sz w:val="24"/>
        </w:rPr>
        <w:t>磋商响应文件有采购人不能接受的条件；</w:t>
      </w:r>
    </w:p>
    <w:p>
      <w:pPr>
        <w:shd w:val="clear"/>
        <w:tabs>
          <w:tab w:val="left" w:pos="3870"/>
          <w:tab w:val="left" w:pos="4085"/>
        </w:tabs>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kern w:val="0"/>
          <w:sz w:val="24"/>
        </w:rPr>
        <w:t>9.15</w:t>
      </w:r>
      <w:r>
        <w:rPr>
          <w:rFonts w:hint="eastAsia" w:asciiTheme="majorEastAsia" w:hAnsiTheme="majorEastAsia" w:eastAsiaTheme="majorEastAsia"/>
          <w:b/>
          <w:color w:val="auto"/>
          <w:sz w:val="24"/>
        </w:rPr>
        <w:t xml:space="preserve">磋商小组认为磋商响应人的报价明显低于其他通过符合性审查磋商响应人的报价，有可能影响产品质量或者不能诚信履约的，未能按要求提供书面说明或者提交相关证明材料证明其报价合理性的; </w:t>
      </w:r>
    </w:p>
    <w:p>
      <w:pPr>
        <w:shd w:val="clear"/>
        <w:tabs>
          <w:tab w:val="left" w:pos="3870"/>
          <w:tab w:val="left" w:pos="4085"/>
        </w:tabs>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9.16最后报价超过预算金额或上限价的；</w:t>
      </w:r>
    </w:p>
    <w:p>
      <w:pPr>
        <w:shd w:val="clear"/>
        <w:tabs>
          <w:tab w:val="left" w:pos="3870"/>
          <w:tab w:val="left" w:pos="4085"/>
        </w:tabs>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9.17磋商小组认定有重大偏差或实质性不响应磋商文件要求的；</w:t>
      </w:r>
    </w:p>
    <w:p>
      <w:pPr>
        <w:shd w:val="clear"/>
        <w:tabs>
          <w:tab w:val="left" w:pos="3870"/>
          <w:tab w:val="left" w:pos="4085"/>
        </w:tabs>
        <w:snapToGrid w:val="0"/>
        <w:spacing w:line="440" w:lineRule="exact"/>
        <w:jc w:val="left"/>
        <w:rPr>
          <w:rFonts w:cs="仿宋_GB2312" w:asciiTheme="majorEastAsia" w:hAnsiTheme="majorEastAsia" w:eastAsiaTheme="majorEastAsia"/>
          <w:b/>
          <w:color w:val="auto"/>
          <w:sz w:val="24"/>
          <w:szCs w:val="21"/>
        </w:rPr>
      </w:pPr>
      <w:r>
        <w:rPr>
          <w:rFonts w:hint="eastAsia" w:cs="仿宋_GB2312" w:asciiTheme="majorEastAsia" w:hAnsiTheme="majorEastAsia" w:eastAsiaTheme="majorEastAsia"/>
          <w:b/>
          <w:color w:val="auto"/>
          <w:sz w:val="24"/>
          <w:szCs w:val="21"/>
        </w:rPr>
        <w:t>9.18采购人拟采购的产品属于政府强制采购的节能产品品目清单范围的，磋商响应人未按磋商文件要求提供国家确定的认证机构出具的、处于有效期之内的节能产品认证证书的；</w:t>
      </w:r>
    </w:p>
    <w:p>
      <w:pPr>
        <w:shd w:val="clear"/>
        <w:tabs>
          <w:tab w:val="left" w:pos="3870"/>
          <w:tab w:val="left" w:pos="4085"/>
        </w:tabs>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9.19《报价一览表》填写不完整或字迹不能辨认或有漏项的；</w:t>
      </w:r>
    </w:p>
    <w:p>
      <w:pPr>
        <w:shd w:val="clear"/>
        <w:tabs>
          <w:tab w:val="left" w:pos="3870"/>
          <w:tab w:val="left" w:pos="4085"/>
        </w:tabs>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9.20磋商响应人对根据修正原则修正后的报价不确认的；</w:t>
      </w:r>
    </w:p>
    <w:p>
      <w:pPr>
        <w:shd w:val="clear"/>
        <w:tabs>
          <w:tab w:val="left" w:pos="3870"/>
          <w:tab w:val="left" w:pos="4085"/>
        </w:tabs>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9.21磋商响应人提供虚假材料磋商的（包括但不限于以下情节）；</w:t>
      </w:r>
    </w:p>
    <w:p>
      <w:pPr>
        <w:shd w:val="clear"/>
        <w:tabs>
          <w:tab w:val="left" w:pos="3870"/>
          <w:tab w:val="left" w:pos="4085"/>
        </w:tabs>
        <w:snapToGrid w:val="0"/>
        <w:spacing w:line="440" w:lineRule="exact"/>
        <w:ind w:firstLine="470" w:firstLineChars="196"/>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9.21.1使用伪造、变造的许可证件；</w:t>
      </w:r>
    </w:p>
    <w:p>
      <w:pPr>
        <w:shd w:val="clear"/>
        <w:tabs>
          <w:tab w:val="left" w:pos="3870"/>
          <w:tab w:val="left" w:pos="4085"/>
        </w:tabs>
        <w:snapToGrid w:val="0"/>
        <w:spacing w:line="440" w:lineRule="exact"/>
        <w:ind w:firstLine="48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9.21.2提供虚假的财务状况或者业绩；</w:t>
      </w:r>
    </w:p>
    <w:p>
      <w:pPr>
        <w:shd w:val="clear"/>
        <w:tabs>
          <w:tab w:val="left" w:pos="3870"/>
          <w:tab w:val="left" w:pos="4085"/>
        </w:tabs>
        <w:snapToGrid w:val="0"/>
        <w:spacing w:line="440" w:lineRule="exact"/>
        <w:ind w:firstLine="48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9.21.3提供虚假的项目负责人或者主要技术人员简历、劳动关系证明；</w:t>
      </w:r>
    </w:p>
    <w:p>
      <w:pPr>
        <w:shd w:val="clear"/>
        <w:tabs>
          <w:tab w:val="left" w:pos="3870"/>
          <w:tab w:val="left" w:pos="4085"/>
        </w:tabs>
        <w:snapToGrid w:val="0"/>
        <w:spacing w:line="440" w:lineRule="exact"/>
        <w:ind w:firstLine="48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9.21.4提供虚假的信用状况；</w:t>
      </w:r>
    </w:p>
    <w:p>
      <w:pPr>
        <w:shd w:val="clear"/>
        <w:tabs>
          <w:tab w:val="left" w:pos="3870"/>
          <w:tab w:val="left" w:pos="4085"/>
        </w:tabs>
        <w:snapToGrid w:val="0"/>
        <w:spacing w:line="440" w:lineRule="exact"/>
        <w:ind w:firstLine="48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9.21.5其他弄虚作假的行为。</w:t>
      </w:r>
    </w:p>
    <w:p>
      <w:pPr>
        <w:shd w:val="clear"/>
        <w:tabs>
          <w:tab w:val="left" w:pos="3870"/>
          <w:tab w:val="left" w:pos="4085"/>
        </w:tabs>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9.22有下列情形之一的，视为磋商响应人串通磋商，其磋商无效：</w:t>
      </w:r>
    </w:p>
    <w:p>
      <w:pPr>
        <w:shd w:val="clear"/>
        <w:tabs>
          <w:tab w:val="left" w:pos="3870"/>
          <w:tab w:val="left" w:pos="4085"/>
        </w:tabs>
        <w:snapToGrid w:val="0"/>
        <w:spacing w:line="440" w:lineRule="exact"/>
        <w:ind w:firstLine="422" w:firstLineChars="176"/>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9.22.1不同磋商响应人的磋商响应文件由同一单位或者个人编制；</w:t>
      </w:r>
    </w:p>
    <w:p>
      <w:pPr>
        <w:shd w:val="clear"/>
        <w:tabs>
          <w:tab w:val="left" w:pos="3870"/>
          <w:tab w:val="left" w:pos="4085"/>
        </w:tabs>
        <w:snapToGrid w:val="0"/>
        <w:spacing w:line="440" w:lineRule="exact"/>
        <w:ind w:firstLine="422" w:firstLineChars="176"/>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9.22.2不同磋商响应人委托同一单位或者个人办理磋商事宜；</w:t>
      </w:r>
    </w:p>
    <w:p>
      <w:pPr>
        <w:shd w:val="clear"/>
        <w:tabs>
          <w:tab w:val="left" w:pos="3870"/>
          <w:tab w:val="left" w:pos="4085"/>
        </w:tabs>
        <w:snapToGrid w:val="0"/>
        <w:spacing w:line="440" w:lineRule="exact"/>
        <w:ind w:firstLine="422" w:firstLineChars="176"/>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9.22.3不同磋商响应人的磋商响应文件载明的项目管理成员或者联系人员为同一人；</w:t>
      </w:r>
    </w:p>
    <w:p>
      <w:pPr>
        <w:shd w:val="clear"/>
        <w:tabs>
          <w:tab w:val="left" w:pos="3870"/>
          <w:tab w:val="left" w:pos="4085"/>
        </w:tabs>
        <w:snapToGrid w:val="0"/>
        <w:spacing w:line="440" w:lineRule="exact"/>
        <w:ind w:firstLine="422" w:firstLineChars="176"/>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9.22.4不同磋商响应人的磋商响应文件异常一致或者磋商报价呈规律性差异；</w:t>
      </w:r>
    </w:p>
    <w:p>
      <w:pPr>
        <w:shd w:val="clear"/>
        <w:tabs>
          <w:tab w:val="left" w:pos="3870"/>
          <w:tab w:val="left" w:pos="4085"/>
        </w:tabs>
        <w:snapToGrid w:val="0"/>
        <w:spacing w:line="440" w:lineRule="exact"/>
        <w:ind w:firstLine="422" w:firstLineChars="176"/>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9.22.5不同磋商响应人的磋商响应文件相互混装；</w:t>
      </w:r>
    </w:p>
    <w:p>
      <w:pPr>
        <w:shd w:val="clear"/>
        <w:tabs>
          <w:tab w:val="left" w:pos="3870"/>
          <w:tab w:val="left" w:pos="4085"/>
        </w:tabs>
        <w:snapToGrid w:val="0"/>
        <w:spacing w:line="440" w:lineRule="exact"/>
        <w:ind w:firstLine="422" w:firstLineChars="176"/>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9.22.6有二份及二份以上磋商响应文件的相互之间有特别相同或相似之处，且经询标澄清磋商响应人无令人信服的理由和可靠证据证明其合理性的，经磋商小组半数以上成员确认有串通磋商嫌疑的；</w:t>
      </w:r>
    </w:p>
    <w:p>
      <w:pPr>
        <w:shd w:val="clear"/>
        <w:tabs>
          <w:tab w:val="left" w:pos="3870"/>
          <w:tab w:val="left" w:pos="4085"/>
        </w:tabs>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9.23有下列情形之一的，属于恶意串通，其磋商无效：</w:t>
      </w:r>
    </w:p>
    <w:p>
      <w:pPr>
        <w:shd w:val="clear"/>
        <w:spacing w:line="360" w:lineRule="auto"/>
        <w:ind w:firstLine="525" w:firstLineChars="250"/>
        <w:rPr>
          <w:rFonts w:cs="仿宋_GB2312" w:asciiTheme="majorEastAsia" w:hAnsiTheme="majorEastAsia" w:eastAsiaTheme="majorEastAsia"/>
          <w:color w:val="auto"/>
          <w:sz w:val="24"/>
          <w:szCs w:val="21"/>
        </w:rPr>
      </w:pPr>
      <w:r>
        <w:rPr>
          <w:rFonts w:hint="eastAsia" w:asciiTheme="majorEastAsia" w:hAnsiTheme="majorEastAsia" w:eastAsiaTheme="majorEastAsia"/>
          <w:color w:val="auto"/>
        </w:rPr>
        <w:t>9.23.1</w:t>
      </w:r>
      <w:r>
        <w:rPr>
          <w:rFonts w:hint="eastAsia" w:cs="仿宋_GB2312" w:asciiTheme="majorEastAsia" w:hAnsiTheme="majorEastAsia" w:eastAsiaTheme="majorEastAsia"/>
          <w:color w:val="auto"/>
          <w:sz w:val="24"/>
          <w:szCs w:val="21"/>
        </w:rPr>
        <w:t>磋商响应人直接或者间接从采购人或者采购机构处获得其他磋商响应人的相关情况并修改其磋商响应文件；</w:t>
      </w:r>
    </w:p>
    <w:p>
      <w:pPr>
        <w:shd w:val="clear"/>
        <w:spacing w:line="360" w:lineRule="auto"/>
        <w:ind w:firstLine="480" w:firstLineChars="200"/>
        <w:rPr>
          <w:rFonts w:cs="仿宋_GB2312" w:asciiTheme="majorEastAsia" w:hAnsiTheme="majorEastAsia" w:eastAsiaTheme="majorEastAsia"/>
          <w:color w:val="auto"/>
          <w:sz w:val="24"/>
          <w:szCs w:val="21"/>
        </w:rPr>
      </w:pPr>
      <w:r>
        <w:rPr>
          <w:rFonts w:hint="eastAsia" w:cs="仿宋_GB2312" w:asciiTheme="majorEastAsia" w:hAnsiTheme="majorEastAsia" w:eastAsiaTheme="majorEastAsia"/>
          <w:color w:val="auto"/>
          <w:sz w:val="24"/>
          <w:szCs w:val="21"/>
        </w:rPr>
        <w:t>9.23.2磋商响应人按照采购人或者采购机构的授意撤换、修改磋商响应文件；</w:t>
      </w:r>
    </w:p>
    <w:p>
      <w:pPr>
        <w:shd w:val="clear"/>
        <w:spacing w:line="360" w:lineRule="auto"/>
        <w:ind w:firstLine="480" w:firstLineChars="200"/>
        <w:rPr>
          <w:rFonts w:cs="仿宋_GB2312" w:asciiTheme="majorEastAsia" w:hAnsiTheme="majorEastAsia" w:eastAsiaTheme="majorEastAsia"/>
          <w:color w:val="auto"/>
          <w:sz w:val="24"/>
          <w:szCs w:val="21"/>
        </w:rPr>
      </w:pPr>
      <w:r>
        <w:rPr>
          <w:rFonts w:hint="eastAsia" w:cs="仿宋_GB2312" w:asciiTheme="majorEastAsia" w:hAnsiTheme="majorEastAsia" w:eastAsiaTheme="majorEastAsia"/>
          <w:color w:val="auto"/>
          <w:sz w:val="24"/>
          <w:szCs w:val="21"/>
        </w:rPr>
        <w:t>9.23.3磋商响应人之间协商报价、技术方案等磋商响应文件的实质性内容；</w:t>
      </w:r>
    </w:p>
    <w:p>
      <w:pPr>
        <w:shd w:val="clear"/>
        <w:spacing w:line="360" w:lineRule="auto"/>
        <w:ind w:firstLine="480" w:firstLineChars="200"/>
        <w:rPr>
          <w:rFonts w:cs="仿宋_GB2312" w:asciiTheme="majorEastAsia" w:hAnsiTheme="majorEastAsia" w:eastAsiaTheme="majorEastAsia"/>
          <w:color w:val="auto"/>
          <w:sz w:val="24"/>
          <w:szCs w:val="21"/>
        </w:rPr>
      </w:pPr>
      <w:r>
        <w:rPr>
          <w:rFonts w:hint="eastAsia" w:cs="仿宋_GB2312" w:asciiTheme="majorEastAsia" w:hAnsiTheme="majorEastAsia" w:eastAsiaTheme="majorEastAsia"/>
          <w:color w:val="auto"/>
          <w:sz w:val="24"/>
          <w:szCs w:val="21"/>
        </w:rPr>
        <w:t>9.23.4属于同一集团、协会、商会等组织成员的磋商响应人按照该组织要求协同参加政府采购活动；</w:t>
      </w:r>
    </w:p>
    <w:p>
      <w:pPr>
        <w:shd w:val="clear"/>
        <w:spacing w:line="360" w:lineRule="auto"/>
        <w:ind w:firstLine="480" w:firstLineChars="200"/>
        <w:rPr>
          <w:rFonts w:cs="仿宋_GB2312" w:asciiTheme="majorEastAsia" w:hAnsiTheme="majorEastAsia" w:eastAsiaTheme="majorEastAsia"/>
          <w:color w:val="auto"/>
          <w:sz w:val="24"/>
          <w:szCs w:val="21"/>
        </w:rPr>
      </w:pPr>
      <w:r>
        <w:rPr>
          <w:rFonts w:hint="eastAsia" w:cs="仿宋_GB2312" w:asciiTheme="majorEastAsia" w:hAnsiTheme="majorEastAsia" w:eastAsiaTheme="majorEastAsia"/>
          <w:color w:val="auto"/>
          <w:sz w:val="24"/>
          <w:szCs w:val="21"/>
        </w:rPr>
        <w:t>9.23.5磋商响应人之间事先约定由某一特定磋商响应人中标、成交；</w:t>
      </w:r>
    </w:p>
    <w:p>
      <w:pPr>
        <w:shd w:val="clear"/>
        <w:spacing w:line="360" w:lineRule="auto"/>
        <w:ind w:firstLine="480" w:firstLineChars="200"/>
        <w:rPr>
          <w:rFonts w:cs="仿宋_GB2312" w:asciiTheme="majorEastAsia" w:hAnsiTheme="majorEastAsia" w:eastAsiaTheme="majorEastAsia"/>
          <w:color w:val="auto"/>
          <w:sz w:val="24"/>
          <w:szCs w:val="21"/>
        </w:rPr>
      </w:pPr>
      <w:r>
        <w:rPr>
          <w:rFonts w:hint="eastAsia" w:cs="仿宋_GB2312" w:asciiTheme="majorEastAsia" w:hAnsiTheme="majorEastAsia" w:eastAsiaTheme="majorEastAsia"/>
          <w:color w:val="auto"/>
          <w:sz w:val="24"/>
          <w:szCs w:val="21"/>
        </w:rPr>
        <w:t>9.23.6磋商响应人之间商定部分磋商响应人放弃参加政府采购活动或者放弃中标、成交；</w:t>
      </w:r>
    </w:p>
    <w:p>
      <w:pPr>
        <w:shd w:val="clear"/>
        <w:tabs>
          <w:tab w:val="left" w:pos="3870"/>
          <w:tab w:val="left" w:pos="4085"/>
        </w:tabs>
        <w:snapToGrid w:val="0"/>
        <w:spacing w:line="440" w:lineRule="exact"/>
        <w:ind w:firstLine="480" w:firstLineChars="200"/>
        <w:jc w:val="left"/>
        <w:rPr>
          <w:rFonts w:asciiTheme="majorEastAsia" w:hAnsiTheme="majorEastAsia" w:eastAsiaTheme="majorEastAsia"/>
          <w:b/>
          <w:color w:val="auto"/>
          <w:sz w:val="24"/>
        </w:rPr>
      </w:pPr>
      <w:r>
        <w:rPr>
          <w:rFonts w:hint="eastAsia" w:cs="仿宋_GB2312" w:asciiTheme="majorEastAsia" w:hAnsiTheme="majorEastAsia" w:eastAsiaTheme="majorEastAsia"/>
          <w:color w:val="auto"/>
          <w:sz w:val="24"/>
          <w:szCs w:val="21"/>
        </w:rPr>
        <w:t>9.23.7磋商响应人与采购人或者采购机构之间、磋商响应人相互之间，为谋求特定磋商响应人中标、成交或者排斥其他磋商响应人的其他串通行为。</w:t>
      </w:r>
    </w:p>
    <w:p>
      <w:pPr>
        <w:shd w:val="clear"/>
        <w:tabs>
          <w:tab w:val="left" w:pos="3870"/>
          <w:tab w:val="left" w:pos="4085"/>
        </w:tabs>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9.24其他违反法律、法规的情形。</w:t>
      </w:r>
    </w:p>
    <w:p>
      <w:pPr>
        <w:shd w:val="clear"/>
        <w:snapToGrid w:val="0"/>
        <w:spacing w:line="440" w:lineRule="exact"/>
        <w:rPr>
          <w:rFonts w:asciiTheme="majorEastAsia" w:hAnsiTheme="majorEastAsia" w:eastAsiaTheme="majorEastAsia"/>
          <w:b/>
          <w:color w:val="auto"/>
          <w:kern w:val="0"/>
          <w:sz w:val="24"/>
        </w:rPr>
      </w:pPr>
      <w:r>
        <w:rPr>
          <w:rFonts w:hint="eastAsia" w:asciiTheme="majorEastAsia" w:hAnsiTheme="majorEastAsia" w:eastAsiaTheme="majorEastAsia"/>
          <w:b/>
          <w:color w:val="auto"/>
          <w:kern w:val="0"/>
          <w:sz w:val="24"/>
        </w:rPr>
        <w:t>10. 磋商过程保密</w:t>
      </w:r>
    </w:p>
    <w:p>
      <w:pPr>
        <w:shd w:val="clear"/>
        <w:snapToGrid w:val="0"/>
        <w:spacing w:line="440" w:lineRule="exact"/>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10.1</w:t>
      </w:r>
      <w:r>
        <w:rPr>
          <w:rFonts w:hint="eastAsia" w:cs="仿宋_GB2312" w:asciiTheme="majorEastAsia" w:hAnsiTheme="majorEastAsia" w:eastAsiaTheme="majorEastAsia"/>
          <w:color w:val="auto"/>
          <w:sz w:val="24"/>
        </w:rPr>
        <w:t>磋商活动在严格保密的情况下进行。磋商过程中凡是与磋商响应文件评审和比较、成交供应商推荐等磋商有关的情况和评审文件的，以及涉及国家秘密和商业秘密等信息，磋商小组成员、采购人和采购机构工作人员、相关监督人员等与评审有关的人员应当予以保密。</w:t>
      </w:r>
    </w:p>
    <w:p>
      <w:pPr>
        <w:shd w:val="clear"/>
        <w:snapToGrid w:val="0"/>
        <w:spacing w:line="440" w:lineRule="exact"/>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10.2 在磋商期间，磋商响应人企图影响采购人、集中采购机构或</w:t>
      </w:r>
      <w:r>
        <w:rPr>
          <w:rFonts w:hint="eastAsia" w:asciiTheme="majorEastAsia" w:hAnsiTheme="majorEastAsia" w:eastAsiaTheme="majorEastAsia"/>
          <w:color w:val="auto"/>
          <w:sz w:val="24"/>
        </w:rPr>
        <w:t>磋商小组</w:t>
      </w:r>
      <w:r>
        <w:rPr>
          <w:rFonts w:hint="eastAsia" w:asciiTheme="majorEastAsia" w:hAnsiTheme="majorEastAsia" w:eastAsiaTheme="majorEastAsia"/>
          <w:color w:val="auto"/>
          <w:kern w:val="0"/>
          <w:sz w:val="24"/>
        </w:rPr>
        <w:t>的任何活动，都将导致磋商被拒绝，并由其承担相应的法律责任。</w:t>
      </w:r>
    </w:p>
    <w:p>
      <w:pPr>
        <w:pStyle w:val="47"/>
        <w:shd w:val="clear"/>
        <w:spacing w:line="800" w:lineRule="exact"/>
        <w:jc w:val="center"/>
        <w:rPr>
          <w:rFonts w:asciiTheme="majorEastAsia" w:hAnsiTheme="majorEastAsia" w:eastAsiaTheme="majorEastAsia"/>
          <w:b/>
          <w:color w:val="auto"/>
          <w:sz w:val="36"/>
          <w:szCs w:val="36"/>
        </w:rPr>
      </w:pPr>
      <w:r>
        <w:rPr>
          <w:rFonts w:hint="eastAsia" w:asciiTheme="majorEastAsia" w:hAnsiTheme="majorEastAsia" w:eastAsiaTheme="majorEastAsia"/>
          <w:b/>
          <w:color w:val="auto"/>
          <w:sz w:val="36"/>
          <w:szCs w:val="36"/>
        </w:rPr>
        <w:t>五、授予合同</w:t>
      </w:r>
    </w:p>
    <w:p>
      <w:pPr>
        <w:shd w:val="clear"/>
        <w:snapToGrid w:val="0"/>
        <w:spacing w:line="440" w:lineRule="exact"/>
        <w:jc w:val="left"/>
        <w:rPr>
          <w:rFonts w:asciiTheme="majorEastAsia" w:hAnsiTheme="majorEastAsia" w:eastAsiaTheme="majorEastAsia"/>
          <w:b/>
          <w:color w:val="auto"/>
        </w:rPr>
      </w:pPr>
      <w:r>
        <w:rPr>
          <w:rFonts w:hint="eastAsia" w:asciiTheme="majorEastAsia" w:hAnsiTheme="majorEastAsia" w:eastAsiaTheme="majorEastAsia"/>
          <w:b/>
          <w:color w:val="auto"/>
          <w:sz w:val="24"/>
        </w:rPr>
        <w:t>1．</w:t>
      </w:r>
      <w:bookmarkStart w:id="0" w:name="_Toc84325929"/>
      <w:bookmarkStart w:id="1" w:name="_Toc81372953"/>
      <w:bookmarkStart w:id="2" w:name="_Toc81372776"/>
      <w:r>
        <w:rPr>
          <w:rFonts w:hint="eastAsia" w:asciiTheme="majorEastAsia" w:hAnsiTheme="majorEastAsia" w:eastAsiaTheme="majorEastAsia"/>
          <w:b/>
          <w:color w:val="auto"/>
        </w:rPr>
        <w:t>成交条件</w:t>
      </w:r>
    </w:p>
    <w:p>
      <w:pPr>
        <w:pStyle w:val="21"/>
        <w:shd w:val="clear"/>
        <w:spacing w:afterLines="0" w:line="440" w:lineRule="exact"/>
        <w:ind w:left="0" w:firstLine="0"/>
        <w:rPr>
          <w:rFonts w:asciiTheme="majorEastAsia" w:hAnsiTheme="majorEastAsia" w:eastAsiaTheme="majorEastAsia"/>
          <w:color w:val="auto"/>
          <w:szCs w:val="24"/>
        </w:rPr>
      </w:pPr>
      <w:r>
        <w:rPr>
          <w:rFonts w:hint="eastAsia" w:asciiTheme="majorEastAsia" w:hAnsiTheme="majorEastAsia" w:eastAsiaTheme="majorEastAsia"/>
          <w:color w:val="auto"/>
          <w:szCs w:val="24"/>
        </w:rPr>
        <w:t>1.1磋商响应文件基本符合磋商文件要求；</w:t>
      </w:r>
    </w:p>
    <w:p>
      <w:pPr>
        <w:pStyle w:val="21"/>
        <w:shd w:val="clear"/>
        <w:spacing w:afterLines="0" w:line="440" w:lineRule="exact"/>
        <w:ind w:left="0" w:firstLine="0"/>
        <w:rPr>
          <w:rFonts w:asciiTheme="majorEastAsia" w:hAnsiTheme="majorEastAsia" w:eastAsiaTheme="majorEastAsia"/>
          <w:color w:val="auto"/>
          <w:szCs w:val="24"/>
        </w:rPr>
      </w:pPr>
      <w:r>
        <w:rPr>
          <w:rFonts w:hint="eastAsia" w:asciiTheme="majorEastAsia" w:hAnsiTheme="majorEastAsia" w:eastAsiaTheme="majorEastAsia"/>
          <w:color w:val="auto"/>
          <w:szCs w:val="24"/>
        </w:rPr>
        <w:t>1.2磋商响应人有很好的执行合同的能力；</w:t>
      </w:r>
    </w:p>
    <w:p>
      <w:pPr>
        <w:pStyle w:val="21"/>
        <w:shd w:val="clear"/>
        <w:spacing w:afterLines="0" w:line="440" w:lineRule="exact"/>
        <w:ind w:left="0" w:firstLine="0"/>
        <w:rPr>
          <w:rFonts w:asciiTheme="majorEastAsia" w:hAnsiTheme="majorEastAsia" w:eastAsiaTheme="majorEastAsia"/>
          <w:color w:val="auto"/>
          <w:szCs w:val="24"/>
        </w:rPr>
      </w:pPr>
      <w:r>
        <w:rPr>
          <w:rFonts w:hint="eastAsia" w:asciiTheme="majorEastAsia" w:hAnsiTheme="majorEastAsia" w:eastAsiaTheme="majorEastAsia"/>
          <w:color w:val="auto"/>
          <w:szCs w:val="24"/>
        </w:rPr>
        <w:t>1.3实施方案最合理并对采购人最为有利，最大限度满足磋商文件的要求；</w:t>
      </w:r>
    </w:p>
    <w:p>
      <w:pPr>
        <w:pStyle w:val="21"/>
        <w:shd w:val="clear"/>
        <w:spacing w:afterLines="0" w:line="440" w:lineRule="exact"/>
        <w:ind w:left="0" w:firstLine="0"/>
        <w:rPr>
          <w:rFonts w:asciiTheme="majorEastAsia" w:hAnsiTheme="majorEastAsia" w:eastAsiaTheme="majorEastAsia"/>
          <w:color w:val="auto"/>
          <w:szCs w:val="24"/>
        </w:rPr>
      </w:pPr>
      <w:r>
        <w:rPr>
          <w:rFonts w:hint="eastAsia" w:asciiTheme="majorEastAsia" w:hAnsiTheme="majorEastAsia" w:eastAsiaTheme="majorEastAsia"/>
          <w:color w:val="auto"/>
          <w:szCs w:val="24"/>
        </w:rPr>
        <w:t>1.4磋商响应人能够提供质量技术、商务经济占综合优势的系统及服务。</w:t>
      </w:r>
    </w:p>
    <w:p>
      <w:pPr>
        <w:shd w:val="clear"/>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2.成交确认</w:t>
      </w:r>
    </w:p>
    <w:p>
      <w:pPr>
        <w:shd w:val="clear"/>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2.1采购人应当在收到评审报告之日起５个工作日内，在评审报告提出的成交候选供应商单中确定成交供应商。</w:t>
      </w:r>
    </w:p>
    <w:p>
      <w:pPr>
        <w:shd w:val="clear"/>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2.2采购人逾期未确定成交供应商的，视为确定评审报告提出的成交候选供应商为成交供应商。</w:t>
      </w:r>
    </w:p>
    <w:p>
      <w:pPr>
        <w:shd w:val="clear"/>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2.3采购人应在确认成交供应商前再次对资格条件和相关证件材料进一步查验核实。</w:t>
      </w:r>
    </w:p>
    <w:p>
      <w:pPr>
        <w:shd w:val="clear"/>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3．成交通知</w:t>
      </w:r>
    </w:p>
    <w:bookmarkEnd w:id="0"/>
    <w:bookmarkEnd w:id="1"/>
    <w:bookmarkEnd w:id="2"/>
    <w:p>
      <w:pPr>
        <w:pStyle w:val="143"/>
        <w:shd w:val="clear"/>
        <w:tabs>
          <w:tab w:val="left" w:pos="0"/>
        </w:tabs>
        <w:spacing w:before="0" w:line="440" w:lineRule="exact"/>
        <w:ind w:firstLine="0" w:firstLineChars="0"/>
        <w:rPr>
          <w:rFonts w:asciiTheme="majorEastAsia" w:hAnsiTheme="majorEastAsia" w:eastAsiaTheme="majorEastAsia"/>
          <w:color w:val="auto"/>
          <w:szCs w:val="24"/>
        </w:rPr>
      </w:pPr>
      <w:r>
        <w:rPr>
          <w:rFonts w:hint="eastAsia" w:asciiTheme="majorEastAsia" w:hAnsiTheme="majorEastAsia" w:eastAsiaTheme="majorEastAsia"/>
          <w:color w:val="auto"/>
          <w:szCs w:val="24"/>
        </w:rPr>
        <w:t>3.1</w:t>
      </w:r>
      <w:r>
        <w:rPr>
          <w:rFonts w:hint="eastAsia" w:cs="Helvetica" w:asciiTheme="majorEastAsia" w:hAnsiTheme="majorEastAsia" w:eastAsiaTheme="majorEastAsia"/>
          <w:color w:val="auto"/>
          <w:kern w:val="0"/>
        </w:rPr>
        <w:t>采购代理机构</w:t>
      </w:r>
      <w:r>
        <w:rPr>
          <w:rFonts w:hint="eastAsia" w:asciiTheme="majorEastAsia" w:hAnsiTheme="majorEastAsia" w:eastAsiaTheme="majorEastAsia"/>
          <w:color w:val="auto"/>
        </w:rPr>
        <w:t>对成交结果在指定媒体</w:t>
      </w:r>
      <w:r>
        <w:rPr>
          <w:rFonts w:hint="eastAsia" w:cs="Helvetica" w:asciiTheme="majorEastAsia" w:hAnsiTheme="majorEastAsia" w:eastAsiaTheme="majorEastAsia"/>
          <w:color w:val="auto"/>
          <w:kern w:val="0"/>
        </w:rPr>
        <w:t>（浙江政府采购网</w:t>
      </w:r>
      <w:r>
        <w:rPr>
          <w:color w:val="auto"/>
        </w:rPr>
        <w:fldChar w:fldCharType="begin"/>
      </w:r>
      <w:r>
        <w:rPr>
          <w:color w:val="auto"/>
        </w:rPr>
        <w:instrText xml:space="preserve"> HYPERLINK "http://www.zjzfcg.gov.cn" </w:instrText>
      </w:r>
      <w:r>
        <w:rPr>
          <w:color w:val="auto"/>
        </w:rPr>
        <w:fldChar w:fldCharType="separate"/>
      </w:r>
      <w:r>
        <w:rPr>
          <w:rStyle w:val="97"/>
          <w:rFonts w:hint="eastAsia" w:cs="Helvetica" w:asciiTheme="majorEastAsia" w:hAnsiTheme="majorEastAsia" w:eastAsiaTheme="majorEastAsia"/>
          <w:color w:val="auto"/>
          <w:kern w:val="0"/>
        </w:rPr>
        <w:t>http://zfcg.czt.zj.gov.cn/</w:t>
      </w:r>
      <w:r>
        <w:rPr>
          <w:rStyle w:val="97"/>
          <w:rFonts w:hint="eastAsia" w:cs="Helvetica" w:asciiTheme="majorEastAsia" w:hAnsiTheme="majorEastAsia" w:eastAsiaTheme="majorEastAsia"/>
          <w:color w:val="auto"/>
          <w:kern w:val="0"/>
        </w:rPr>
        <w:fldChar w:fldCharType="end"/>
      </w:r>
      <w:r>
        <w:rPr>
          <w:rFonts w:hint="eastAsia" w:cs="Helvetica" w:asciiTheme="majorEastAsia" w:hAnsiTheme="majorEastAsia" w:eastAsiaTheme="majorEastAsia"/>
          <w:color w:val="auto"/>
          <w:kern w:val="0"/>
        </w:rPr>
        <w:t>、绍兴公共资源交易网</w:t>
      </w:r>
      <w:r>
        <w:rPr>
          <w:color w:val="auto"/>
        </w:rPr>
        <w:fldChar w:fldCharType="begin"/>
      </w:r>
      <w:r>
        <w:rPr>
          <w:color w:val="auto"/>
        </w:rPr>
        <w:instrText xml:space="preserve"> HYPERLINK "http://ggb.sx.gov.cn" </w:instrText>
      </w:r>
      <w:r>
        <w:rPr>
          <w:color w:val="auto"/>
        </w:rPr>
        <w:fldChar w:fldCharType="separate"/>
      </w:r>
      <w:r>
        <w:rPr>
          <w:rStyle w:val="97"/>
          <w:rFonts w:hint="eastAsia" w:asciiTheme="majorEastAsia" w:hAnsiTheme="majorEastAsia" w:eastAsiaTheme="majorEastAsia"/>
          <w:color w:val="auto"/>
        </w:rPr>
        <w:t>http://ggb.sx.gov.cn</w:t>
      </w:r>
      <w:r>
        <w:rPr>
          <w:rStyle w:val="97"/>
          <w:rFonts w:hint="eastAsia" w:asciiTheme="majorEastAsia" w:hAnsiTheme="majorEastAsia" w:eastAsiaTheme="majorEastAsia"/>
          <w:color w:val="auto"/>
        </w:rPr>
        <w:fldChar w:fldCharType="end"/>
      </w:r>
      <w:r>
        <w:rPr>
          <w:rFonts w:hint="eastAsia" w:cs="Helvetica" w:asciiTheme="majorEastAsia" w:hAnsiTheme="majorEastAsia" w:eastAsiaTheme="majorEastAsia"/>
          <w:color w:val="auto"/>
          <w:kern w:val="0"/>
        </w:rPr>
        <w:t>）发布成交公告，成交公告期限为1个工作日。</w:t>
      </w:r>
    </w:p>
    <w:p>
      <w:pPr>
        <w:shd w:val="clear"/>
        <w:spacing w:line="440" w:lineRule="exact"/>
        <w:jc w:val="left"/>
        <w:rPr>
          <w:rFonts w:cs="仿宋_GB2312" w:asciiTheme="majorEastAsia" w:hAnsiTheme="majorEastAsia" w:eastAsiaTheme="majorEastAsia"/>
          <w:color w:val="auto"/>
          <w:kern w:val="0"/>
          <w:sz w:val="24"/>
          <w:lang w:val="zh-CN"/>
        </w:rPr>
      </w:pPr>
      <w:r>
        <w:rPr>
          <w:rFonts w:hint="eastAsia" w:asciiTheme="majorEastAsia" w:hAnsiTheme="majorEastAsia" w:eastAsiaTheme="majorEastAsia"/>
          <w:color w:val="auto"/>
          <w:sz w:val="24"/>
        </w:rPr>
        <w:t>3.2采购机构向成交供应商签发成交通知书。请成交供应商自行到采购代理机构领取成交通知书。在采购代理机构发出成交通知书前，成交供应商如有违反有关法律法规和本项目要求行为的，则取消该成交供应商的成交资格</w:t>
      </w:r>
      <w:r>
        <w:rPr>
          <w:rFonts w:hint="eastAsia" w:cs="仿宋_GB2312" w:asciiTheme="majorEastAsia" w:hAnsiTheme="majorEastAsia" w:eastAsiaTheme="majorEastAsia"/>
          <w:color w:val="auto"/>
          <w:kern w:val="0"/>
          <w:sz w:val="24"/>
          <w:lang w:val="zh-CN"/>
        </w:rPr>
        <w:t>。</w:t>
      </w:r>
    </w:p>
    <w:p>
      <w:pPr>
        <w:shd w:val="clear"/>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3.3采购人、集中采购机构对成交结果不作任何说明和解释，也不回答任何提问。</w:t>
      </w:r>
    </w:p>
    <w:p>
      <w:pPr>
        <w:shd w:val="clear"/>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4．履约保证金</w:t>
      </w:r>
    </w:p>
    <w:p>
      <w:pPr>
        <w:shd w:val="clear"/>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4.1采购人在签订合同时，按规定可向成交人收取不高于中标额的1%的履约保证金，采购人不得以磋商响应人事先提交履约保证金作为签订合同的条件。鼓励采购人根据项目特点、磋商响应人诚信等情况免收履约保证金或降低缴纳比例。</w:t>
      </w:r>
    </w:p>
    <w:p>
      <w:pPr>
        <w:shd w:val="clear"/>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4.2</w:t>
      </w:r>
      <w:r>
        <w:rPr>
          <w:rFonts w:asciiTheme="majorEastAsia" w:hAnsiTheme="majorEastAsia" w:eastAsiaTheme="majorEastAsia"/>
          <w:color w:val="auto"/>
          <w:sz w:val="24"/>
        </w:rPr>
        <w:t>项目验收结束</w:t>
      </w:r>
      <w:r>
        <w:rPr>
          <w:rFonts w:hint="eastAsia" w:asciiTheme="majorEastAsia" w:hAnsiTheme="majorEastAsia" w:eastAsiaTheme="majorEastAsia"/>
          <w:color w:val="auto"/>
          <w:sz w:val="24"/>
        </w:rPr>
        <w:t>后，采购人应及时退还履约保证金。</w:t>
      </w:r>
    </w:p>
    <w:p>
      <w:pPr>
        <w:shd w:val="clear"/>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4.3磋商响应人以银行、保险公司出具保函形式提交履约保证金的，采购人不得拒收。</w:t>
      </w:r>
    </w:p>
    <w:p>
      <w:pPr>
        <w:shd w:val="clear"/>
        <w:spacing w:line="440" w:lineRule="exact"/>
        <w:jc w:val="left"/>
        <w:rPr>
          <w:rFonts w:asciiTheme="majorEastAsia" w:hAnsiTheme="majorEastAsia" w:eastAsiaTheme="majorEastAsia"/>
          <w:color w:val="auto"/>
          <w:sz w:val="24"/>
        </w:rPr>
      </w:pPr>
      <w:r>
        <w:rPr>
          <w:rFonts w:asciiTheme="majorEastAsia" w:hAnsiTheme="majorEastAsia" w:eastAsiaTheme="majorEastAsia"/>
          <w:color w:val="auto"/>
          <w:sz w:val="24"/>
        </w:rPr>
        <w:t>4.4政府采购货物和服务项目不得收取质量保证金。</w:t>
      </w:r>
    </w:p>
    <w:p>
      <w:pPr>
        <w:shd w:val="clear"/>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5．合同签订及备案</w:t>
      </w:r>
    </w:p>
    <w:p>
      <w:pPr>
        <w:shd w:val="clear"/>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5.1成交人应当在成交通知书发出之日起30天内与采购人签订合同，自采购合同签订之日起</w:t>
      </w:r>
      <w:r>
        <w:rPr>
          <w:rFonts w:hint="eastAsia" w:asciiTheme="majorEastAsia" w:hAnsiTheme="majorEastAsia" w:eastAsiaTheme="majorEastAsia"/>
          <w:b/>
          <w:color w:val="auto"/>
          <w:sz w:val="24"/>
        </w:rPr>
        <w:t>3个工作日内</w:t>
      </w:r>
      <w:r>
        <w:rPr>
          <w:rFonts w:hint="eastAsia" w:asciiTheme="majorEastAsia" w:hAnsiTheme="majorEastAsia" w:eastAsiaTheme="majorEastAsia"/>
          <w:color w:val="auto"/>
          <w:sz w:val="24"/>
        </w:rPr>
        <w:t>，到采购代理机构进行备案。</w:t>
      </w:r>
    </w:p>
    <w:p>
      <w:pPr>
        <w:shd w:val="clear"/>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5.2如成交人为联合体的，由联合体成员各方法定代表人或其授权代表与采购人代表签订合同。</w:t>
      </w:r>
    </w:p>
    <w:p>
      <w:pPr>
        <w:shd w:val="clear"/>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6.验收</w:t>
      </w:r>
    </w:p>
    <w:p>
      <w:pPr>
        <w:shd w:val="clear"/>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6.1采购人组织对磋商响应人履约的验收。大型或者复杂的政府采购项目，应当邀请国家认可的质量检测机构参加验收工作。验收方成员应当在验收书上签字，并承担相应的法律责任。如果发现与合同中要求不符，磋商响应人须承担由此发生的一切损失和费用，并承担相应的法律责任。</w:t>
      </w:r>
    </w:p>
    <w:p>
      <w:pPr>
        <w:shd w:val="clear"/>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6.2采购人可以邀请参加本项目的其他磋商响应人或者第三方机构参与验收。参与验收的磋商响应人或者第三方机构的意见作为验收书的参考资料一并存档。</w:t>
      </w:r>
    </w:p>
    <w:p>
      <w:pPr>
        <w:shd w:val="clear"/>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6.3 采购人负责加强对成交人的履约管理，并按照采购合同约定，及时向成交人支付采购资金。对于成交人违反采购合同约定的行为，采购人应当及时处理，依法追究其违约责任。</w:t>
      </w:r>
    </w:p>
    <w:p>
      <w:pPr>
        <w:shd w:val="clear"/>
        <w:tabs>
          <w:tab w:val="left" w:pos="6780"/>
        </w:tabs>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7. 售后服务考核</w:t>
      </w:r>
      <w:r>
        <w:rPr>
          <w:rFonts w:hint="eastAsia" w:asciiTheme="majorEastAsia" w:hAnsiTheme="majorEastAsia" w:eastAsiaTheme="majorEastAsia"/>
          <w:b/>
          <w:color w:val="auto"/>
          <w:sz w:val="24"/>
        </w:rPr>
        <w:tab/>
      </w:r>
    </w:p>
    <w:p>
      <w:pPr>
        <w:shd w:val="clear"/>
        <w:spacing w:line="440" w:lineRule="exact"/>
        <w:ind w:firstLine="480" w:firstLineChars="20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采购机构将联合政府采购监管部门不定期对合同的履约情况进行检查，发现未按合同规定进行履约的，有弄虚作假，偷工减料，以次充好等情形，达不到国家、行业有关标准和商务技术（资信）文件规定的，一经查实，由政府采购监督管理部门给予相应处罚。</w:t>
      </w:r>
    </w:p>
    <w:p>
      <w:pPr>
        <w:shd w:val="clear"/>
        <w:snapToGrid w:val="0"/>
        <w:spacing w:line="800" w:lineRule="exact"/>
        <w:jc w:val="center"/>
        <w:outlineLvl w:val="0"/>
        <w:rPr>
          <w:rFonts w:cs="仿宋_GB2312" w:asciiTheme="majorEastAsia" w:hAnsiTheme="majorEastAsia" w:eastAsiaTheme="majorEastAsia"/>
          <w:b/>
          <w:color w:val="auto"/>
          <w:sz w:val="36"/>
          <w:szCs w:val="36"/>
        </w:rPr>
      </w:pPr>
      <w:r>
        <w:rPr>
          <w:rFonts w:hint="eastAsia" w:cs="仿宋_GB2312" w:asciiTheme="majorEastAsia" w:hAnsiTheme="majorEastAsia" w:eastAsiaTheme="majorEastAsia"/>
          <w:b/>
          <w:color w:val="auto"/>
          <w:sz w:val="36"/>
          <w:szCs w:val="36"/>
        </w:rPr>
        <w:t>六、质疑与投诉</w:t>
      </w:r>
    </w:p>
    <w:p>
      <w:pPr>
        <w:shd w:val="clear"/>
        <w:autoSpaceDE w:val="0"/>
        <w:autoSpaceDN w:val="0"/>
        <w:spacing w:line="360" w:lineRule="auto"/>
        <w:ind w:firstLine="470" w:firstLineChars="196"/>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pPr>
        <w:shd w:val="clear"/>
        <w:autoSpaceDE w:val="0"/>
        <w:autoSpaceDN w:val="0"/>
        <w:spacing w:line="360" w:lineRule="auto"/>
        <w:ind w:firstLine="472" w:firstLineChars="196"/>
        <w:jc w:val="left"/>
        <w:rPr>
          <w:rFonts w:cs="微软雅黑" w:asciiTheme="majorEastAsia" w:hAnsiTheme="majorEastAsia" w:eastAsiaTheme="majorEastAsia"/>
          <w:b/>
          <w:color w:val="auto"/>
          <w:kern w:val="0"/>
          <w:sz w:val="24"/>
          <w:lang w:val="zh-CN"/>
        </w:rPr>
      </w:pPr>
      <w:r>
        <w:rPr>
          <w:rFonts w:hint="eastAsia" w:cs="微软雅黑" w:asciiTheme="majorEastAsia" w:hAnsiTheme="majorEastAsia" w:eastAsiaTheme="majorEastAsia"/>
          <w:b/>
          <w:color w:val="auto"/>
          <w:kern w:val="0"/>
          <w:sz w:val="24"/>
          <w:lang w:val="zh-CN"/>
        </w:rPr>
        <w:t>1.供应商询问</w:t>
      </w:r>
    </w:p>
    <w:p>
      <w:pPr>
        <w:pStyle w:val="47"/>
        <w:shd w:val="clear"/>
        <w:spacing w:line="360" w:lineRule="auto"/>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供应商对政府采购活动事项有疑问的，可以向采购机构提出询问，采购机构将对供应商依法提出的询问作出答复，但答复的内容不得涉及商业秘密。</w:t>
      </w:r>
    </w:p>
    <w:p>
      <w:pPr>
        <w:shd w:val="clear"/>
        <w:autoSpaceDE w:val="0"/>
        <w:autoSpaceDN w:val="0"/>
        <w:spacing w:line="360" w:lineRule="auto"/>
        <w:ind w:firstLine="472" w:firstLineChars="196"/>
        <w:jc w:val="left"/>
        <w:rPr>
          <w:rFonts w:cs="微软雅黑" w:asciiTheme="majorEastAsia" w:hAnsiTheme="majorEastAsia" w:eastAsiaTheme="majorEastAsia"/>
          <w:b/>
          <w:color w:val="auto"/>
          <w:kern w:val="0"/>
          <w:sz w:val="24"/>
          <w:lang w:val="zh-CN"/>
        </w:rPr>
      </w:pPr>
      <w:r>
        <w:rPr>
          <w:rFonts w:hint="eastAsia" w:cs="微软雅黑" w:asciiTheme="majorEastAsia" w:hAnsiTheme="majorEastAsia" w:eastAsiaTheme="majorEastAsia"/>
          <w:b/>
          <w:color w:val="auto"/>
          <w:kern w:val="0"/>
          <w:sz w:val="24"/>
          <w:lang w:val="zh-CN"/>
        </w:rPr>
        <w:t>2.供应商质疑</w:t>
      </w:r>
    </w:p>
    <w:p>
      <w:pPr>
        <w:pStyle w:val="47"/>
        <w:shd w:val="clear"/>
        <w:spacing w:line="360" w:lineRule="auto"/>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2.1供应商认为磋商文件、采购过程和成交结果使自己的权益受到损害的，可以在知道或者应知其权益受到损害之日起七个工作日内，以书面形式向采购机构提出质疑，否则，采购机构不予受理：</w:t>
      </w:r>
    </w:p>
    <w:p>
      <w:pPr>
        <w:pStyle w:val="47"/>
        <w:shd w:val="clear"/>
        <w:spacing w:line="360" w:lineRule="auto"/>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1）对磋商文件提出质疑的，质疑期限为供应商获得磋商文件之日或者磋商公告期限届满之日起计算，但磋商文件在磋商公告期限届满之日后获得的，应当自磋商公告截止之日起计算，且应当在采购响应截止时间之前提出。</w:t>
      </w:r>
    </w:p>
    <w:p>
      <w:pPr>
        <w:pStyle w:val="47"/>
        <w:shd w:val="clear"/>
        <w:spacing w:line="360" w:lineRule="auto"/>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（2）对磋商过程提出质疑的，质疑期限为各磋商程序环节结束之日起计算。</w:t>
      </w:r>
    </w:p>
    <w:p>
      <w:pPr>
        <w:pStyle w:val="47"/>
        <w:shd w:val="clear"/>
        <w:spacing w:line="360" w:lineRule="auto"/>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（3）对成交结果提出质疑的，质疑期限自成交结果公告（包括结果变更公告等）期限届满之日起计算。</w:t>
      </w:r>
    </w:p>
    <w:p>
      <w:pPr>
        <w:pStyle w:val="47"/>
        <w:shd w:val="clear"/>
        <w:spacing w:line="360" w:lineRule="auto"/>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（4）供应商应在法定质疑期内一次性提出针对同一采购程序环节的质疑。</w:t>
      </w:r>
    </w:p>
    <w:p>
      <w:pPr>
        <w:pStyle w:val="47"/>
        <w:shd w:val="clear"/>
        <w:spacing w:line="360" w:lineRule="auto"/>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3.供应商提交的质疑书需一式三份，质疑书至少应包括下列主要内容：</w:t>
      </w:r>
    </w:p>
    <w:p>
      <w:pPr>
        <w:pStyle w:val="47"/>
        <w:shd w:val="clear"/>
        <w:spacing w:line="360" w:lineRule="auto"/>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（1）质疑人的名称、地址、邮政编码、联系人、联系电话，以及被质疑人名称及联系方式；</w:t>
      </w:r>
    </w:p>
    <w:p>
      <w:pPr>
        <w:pStyle w:val="47"/>
        <w:shd w:val="clear"/>
        <w:spacing w:line="360" w:lineRule="auto"/>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（2）被质疑采购项目名称、编号及采购内容；</w:t>
      </w:r>
    </w:p>
    <w:p>
      <w:pPr>
        <w:pStyle w:val="47"/>
        <w:shd w:val="clear"/>
        <w:spacing w:line="360" w:lineRule="auto"/>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（3）具体、明确的质疑事项和与质疑事项相关的请求</w:t>
      </w:r>
    </w:p>
    <w:p>
      <w:pPr>
        <w:pStyle w:val="47"/>
        <w:shd w:val="clear"/>
        <w:spacing w:line="360" w:lineRule="auto"/>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（4）事实依据；</w:t>
      </w:r>
    </w:p>
    <w:p>
      <w:pPr>
        <w:pStyle w:val="47"/>
        <w:shd w:val="clear"/>
        <w:spacing w:line="360" w:lineRule="auto"/>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（5）必要的法律依据；</w:t>
      </w:r>
    </w:p>
    <w:p>
      <w:pPr>
        <w:pStyle w:val="47"/>
        <w:shd w:val="clear"/>
        <w:spacing w:line="360" w:lineRule="auto"/>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（6）认为自己合法权益受到损害或可能受到损害的相关证据材料；</w:t>
      </w:r>
    </w:p>
    <w:p>
      <w:pPr>
        <w:pStyle w:val="47"/>
        <w:shd w:val="clear"/>
        <w:spacing w:line="360" w:lineRule="auto"/>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（7）提出质疑的日期。</w:t>
      </w:r>
    </w:p>
    <w:p>
      <w:pPr>
        <w:pStyle w:val="47"/>
        <w:shd w:val="clear"/>
        <w:spacing w:line="360" w:lineRule="auto"/>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（8） 质疑书应当署名。质疑人为自然人的，应当由本人签字并附有效身份证明；质疑人为法人或其他组织的，应当由法定代表人或主要负责人签字（或盖章）并加盖单位公章。</w:t>
      </w:r>
    </w:p>
    <w:p>
      <w:pPr>
        <w:pStyle w:val="47"/>
        <w:shd w:val="clear"/>
        <w:spacing w:line="360" w:lineRule="auto"/>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（9） 质疑人因故不能自行办理质疑事项的，可以委托代理人办理质疑事宜，但应当向被质疑人提交授权委托书，并载明委托代理的具体权限和事项。</w:t>
      </w:r>
    </w:p>
    <w:p>
      <w:pPr>
        <w:pStyle w:val="47"/>
        <w:shd w:val="clear"/>
        <w:spacing w:line="360" w:lineRule="auto"/>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（10）质疑人提供的相关材料中有外文资料的，应当将与质疑相关的外文资料完整、客观、真实地翻译为中文，并注明翻译人员姓名、工作单位、联系方式等信息。</w:t>
      </w:r>
    </w:p>
    <w:p>
      <w:pPr>
        <w:shd w:val="clear"/>
        <w:spacing w:line="360" w:lineRule="auto"/>
        <w:ind w:firstLine="480" w:firstLineChars="200"/>
        <w:rPr>
          <w:rFonts w:asciiTheme="majorEastAsia" w:hAnsiTheme="majorEastAsia" w:eastAsiaTheme="majorEastAsia"/>
          <w:color w:val="auto"/>
          <w:sz w:val="24"/>
          <w:szCs w:val="20"/>
        </w:rPr>
      </w:pPr>
      <w:r>
        <w:rPr>
          <w:rFonts w:hint="eastAsia" w:asciiTheme="majorEastAsia" w:hAnsiTheme="majorEastAsia" w:eastAsiaTheme="majorEastAsia"/>
          <w:color w:val="auto"/>
          <w:sz w:val="24"/>
          <w:szCs w:val="20"/>
        </w:rPr>
        <w:t>4.</w:t>
      </w:r>
      <w:r>
        <w:rPr>
          <w:rFonts w:hint="eastAsia" w:asciiTheme="majorEastAsia" w:hAnsiTheme="majorEastAsia" w:eastAsiaTheme="majorEastAsia"/>
          <w:color w:val="auto"/>
          <w:sz w:val="24"/>
          <w:szCs w:val="20"/>
        </w:rPr>
        <w:tab/>
      </w:r>
      <w:r>
        <w:rPr>
          <w:rFonts w:hint="eastAsia" w:asciiTheme="majorEastAsia" w:hAnsiTheme="majorEastAsia" w:eastAsiaTheme="majorEastAsia"/>
          <w:color w:val="auto"/>
          <w:sz w:val="24"/>
          <w:szCs w:val="20"/>
        </w:rPr>
        <w:t>原则上由采购人回复的质疑：</w:t>
      </w:r>
    </w:p>
    <w:p>
      <w:pPr>
        <w:shd w:val="clear"/>
        <w:spacing w:line="360" w:lineRule="auto"/>
        <w:ind w:firstLine="480" w:firstLineChars="200"/>
        <w:rPr>
          <w:rFonts w:asciiTheme="majorEastAsia" w:hAnsiTheme="majorEastAsia" w:eastAsiaTheme="majorEastAsia"/>
          <w:color w:val="auto"/>
          <w:sz w:val="24"/>
          <w:szCs w:val="20"/>
        </w:rPr>
      </w:pPr>
      <w:r>
        <w:rPr>
          <w:rFonts w:hint="eastAsia" w:asciiTheme="majorEastAsia" w:hAnsiTheme="majorEastAsia" w:eastAsiaTheme="majorEastAsia"/>
          <w:color w:val="auto"/>
          <w:sz w:val="24"/>
          <w:szCs w:val="20"/>
        </w:rPr>
        <w:t>（1）对磋商文件中特定资格条件、采购需求、评分办法提出的质疑；</w:t>
      </w:r>
    </w:p>
    <w:p>
      <w:pPr>
        <w:shd w:val="clear"/>
        <w:spacing w:line="360" w:lineRule="auto"/>
        <w:ind w:firstLine="480" w:firstLineChars="200"/>
        <w:rPr>
          <w:rFonts w:asciiTheme="majorEastAsia" w:hAnsiTheme="majorEastAsia" w:eastAsiaTheme="majorEastAsia"/>
          <w:color w:val="auto"/>
          <w:sz w:val="24"/>
          <w:szCs w:val="20"/>
        </w:rPr>
      </w:pPr>
      <w:r>
        <w:rPr>
          <w:rFonts w:hint="eastAsia" w:asciiTheme="majorEastAsia" w:hAnsiTheme="majorEastAsia" w:eastAsiaTheme="majorEastAsia"/>
          <w:color w:val="auto"/>
          <w:sz w:val="24"/>
          <w:szCs w:val="20"/>
        </w:rPr>
        <w:t>（2）对采购过程中有关现场考察或开标前答疑会事项提出的质疑。</w:t>
      </w:r>
    </w:p>
    <w:p>
      <w:pPr>
        <w:shd w:val="clear"/>
        <w:spacing w:line="360" w:lineRule="auto"/>
        <w:ind w:firstLine="720" w:firstLineChars="300"/>
        <w:rPr>
          <w:rFonts w:asciiTheme="majorEastAsia" w:hAnsiTheme="majorEastAsia" w:eastAsiaTheme="majorEastAsia"/>
          <w:color w:val="auto"/>
          <w:sz w:val="24"/>
          <w:szCs w:val="20"/>
        </w:rPr>
      </w:pPr>
      <w:r>
        <w:rPr>
          <w:rFonts w:hint="eastAsia" w:asciiTheme="majorEastAsia" w:hAnsiTheme="majorEastAsia" w:eastAsiaTheme="majorEastAsia"/>
          <w:color w:val="auto"/>
          <w:sz w:val="24"/>
          <w:szCs w:val="20"/>
        </w:rPr>
        <w:t>原则上由采购代理机构回复的质疑：</w:t>
      </w:r>
    </w:p>
    <w:p>
      <w:pPr>
        <w:shd w:val="clear"/>
        <w:spacing w:line="360" w:lineRule="auto"/>
        <w:ind w:firstLine="480" w:firstLineChars="200"/>
        <w:rPr>
          <w:rFonts w:asciiTheme="majorEastAsia" w:hAnsiTheme="majorEastAsia" w:eastAsiaTheme="majorEastAsia"/>
          <w:color w:val="auto"/>
          <w:sz w:val="24"/>
          <w:szCs w:val="20"/>
        </w:rPr>
      </w:pPr>
      <w:r>
        <w:rPr>
          <w:rFonts w:hint="eastAsia" w:asciiTheme="majorEastAsia" w:hAnsiTheme="majorEastAsia" w:eastAsiaTheme="majorEastAsia"/>
          <w:color w:val="auto"/>
          <w:sz w:val="24"/>
          <w:szCs w:val="20"/>
        </w:rPr>
        <w:t>（1）除特定资格条件、采购需求、评分办法外，对磋商文件中其他内容提出的质疑；</w:t>
      </w:r>
    </w:p>
    <w:p>
      <w:pPr>
        <w:shd w:val="clear"/>
        <w:spacing w:line="360" w:lineRule="auto"/>
        <w:ind w:firstLine="480" w:firstLineChars="200"/>
        <w:rPr>
          <w:rFonts w:asciiTheme="majorEastAsia" w:hAnsiTheme="majorEastAsia" w:eastAsiaTheme="majorEastAsia"/>
          <w:color w:val="auto"/>
          <w:sz w:val="24"/>
          <w:szCs w:val="20"/>
        </w:rPr>
      </w:pPr>
      <w:r>
        <w:rPr>
          <w:rFonts w:hint="eastAsia" w:asciiTheme="majorEastAsia" w:hAnsiTheme="majorEastAsia" w:eastAsiaTheme="majorEastAsia"/>
          <w:color w:val="auto"/>
          <w:sz w:val="24"/>
          <w:szCs w:val="20"/>
        </w:rPr>
        <w:t>（2）除有关现场考察或开标前答疑会事项外，对采购过程中其它事项提出的质疑；</w:t>
      </w:r>
    </w:p>
    <w:p>
      <w:pPr>
        <w:shd w:val="clear"/>
        <w:spacing w:line="360" w:lineRule="auto"/>
        <w:ind w:firstLine="480" w:firstLineChars="200"/>
        <w:rPr>
          <w:rFonts w:asciiTheme="majorEastAsia" w:hAnsiTheme="majorEastAsia" w:eastAsiaTheme="majorEastAsia"/>
          <w:color w:val="auto"/>
          <w:sz w:val="24"/>
          <w:szCs w:val="20"/>
        </w:rPr>
      </w:pPr>
      <w:r>
        <w:rPr>
          <w:rFonts w:hint="eastAsia" w:asciiTheme="majorEastAsia" w:hAnsiTheme="majorEastAsia" w:eastAsiaTheme="majorEastAsia"/>
          <w:color w:val="auto"/>
          <w:sz w:val="24"/>
          <w:szCs w:val="20"/>
        </w:rPr>
        <w:t>（3）对采购结果提出的质疑。</w:t>
      </w:r>
    </w:p>
    <w:p>
      <w:pPr>
        <w:shd w:val="clear"/>
        <w:spacing w:line="360" w:lineRule="auto"/>
        <w:ind w:firstLine="480" w:firstLineChars="200"/>
        <w:rPr>
          <w:rFonts w:asciiTheme="majorEastAsia" w:hAnsiTheme="majorEastAsia" w:eastAsiaTheme="majorEastAsia"/>
          <w:color w:val="auto"/>
          <w:sz w:val="24"/>
          <w:szCs w:val="20"/>
        </w:rPr>
      </w:pPr>
      <w:r>
        <w:rPr>
          <w:rFonts w:hint="eastAsia" w:asciiTheme="majorEastAsia" w:hAnsiTheme="majorEastAsia" w:eastAsiaTheme="majorEastAsia"/>
          <w:color w:val="auto"/>
          <w:sz w:val="24"/>
          <w:szCs w:val="20"/>
        </w:rPr>
        <w:t>5.采购机构应当在收到供应商的书面质疑后七个工作日内作出答复，并以书面形式通知质疑供应商和其他与质疑处理结果有利害关系的政府采购当事人，但答复的内容不得涉及商业秘密。</w:t>
      </w:r>
    </w:p>
    <w:p>
      <w:pPr>
        <w:shd w:val="clear"/>
        <w:spacing w:line="360" w:lineRule="auto"/>
        <w:ind w:firstLine="480" w:firstLineChars="200"/>
        <w:rPr>
          <w:rFonts w:asciiTheme="majorEastAsia" w:hAnsiTheme="majorEastAsia" w:eastAsiaTheme="majorEastAsia"/>
          <w:color w:val="auto"/>
          <w:sz w:val="24"/>
          <w:szCs w:val="20"/>
        </w:rPr>
      </w:pPr>
      <w:r>
        <w:rPr>
          <w:rFonts w:hint="eastAsia" w:asciiTheme="majorEastAsia" w:hAnsiTheme="majorEastAsia" w:eastAsiaTheme="majorEastAsia"/>
          <w:color w:val="auto"/>
          <w:sz w:val="24"/>
          <w:szCs w:val="20"/>
        </w:rPr>
        <w:t>6.询问或者质疑事项可能影响采购结果的，采购人应当暂停签订合同，已经签订合同的，应当中止履行合同。</w:t>
      </w:r>
    </w:p>
    <w:p>
      <w:pPr>
        <w:shd w:val="clear"/>
        <w:spacing w:line="360" w:lineRule="auto"/>
        <w:ind w:firstLine="480" w:firstLineChars="200"/>
        <w:rPr>
          <w:rFonts w:asciiTheme="majorEastAsia" w:hAnsiTheme="majorEastAsia" w:eastAsiaTheme="majorEastAsia"/>
          <w:color w:val="auto"/>
          <w:sz w:val="24"/>
          <w:szCs w:val="20"/>
        </w:rPr>
      </w:pPr>
      <w:r>
        <w:rPr>
          <w:rFonts w:hint="eastAsia" w:cs="宋体" w:asciiTheme="majorEastAsia" w:hAnsiTheme="majorEastAsia" w:eastAsiaTheme="majorEastAsia"/>
          <w:color w:val="auto"/>
          <w:kern w:val="0"/>
          <w:sz w:val="24"/>
          <w:szCs w:val="20"/>
        </w:rPr>
        <w:t>7.质疑函范本、投诉书范本请到浙江政府采购网下载专区下载。</w:t>
      </w:r>
    </w:p>
    <w:p>
      <w:pPr>
        <w:pStyle w:val="47"/>
        <w:shd w:val="clear"/>
        <w:spacing w:line="360" w:lineRule="auto"/>
        <w:ind w:firstLine="480" w:firstLineChars="200"/>
        <w:rPr>
          <w:rFonts w:asciiTheme="majorEastAsia" w:hAnsiTheme="majorEastAsia" w:eastAsiaTheme="majorEastAsia"/>
          <w:color w:val="auto"/>
          <w:sz w:val="24"/>
        </w:rPr>
      </w:pPr>
    </w:p>
    <w:p>
      <w:pPr>
        <w:pageBreakBefore/>
        <w:shd w:val="clear"/>
        <w:snapToGrid w:val="0"/>
        <w:spacing w:line="800" w:lineRule="exact"/>
        <w:jc w:val="center"/>
        <w:rPr>
          <w:rFonts w:asciiTheme="majorEastAsia" w:hAnsiTheme="majorEastAsia" w:eastAsiaTheme="majorEastAsia"/>
          <w:b/>
          <w:color w:val="auto"/>
          <w:sz w:val="24"/>
        </w:rPr>
      </w:pPr>
      <w:r>
        <w:rPr>
          <w:rFonts w:hint="eastAsia" w:asciiTheme="majorEastAsia" w:hAnsiTheme="majorEastAsia" w:eastAsiaTheme="majorEastAsia"/>
          <w:b/>
          <w:color w:val="auto"/>
          <w:sz w:val="36"/>
          <w:szCs w:val="36"/>
        </w:rPr>
        <w:t>第三部分 磋商项目范围及要求</w:t>
      </w:r>
    </w:p>
    <w:p>
      <w:pPr>
        <w:pStyle w:val="21"/>
        <w:pageBreakBefore w:val="0"/>
        <w:numPr>
          <w:ilvl w:val="0"/>
          <w:numId w:val="0"/>
        </w:numPr>
        <w:kinsoku/>
        <w:wordWrap/>
        <w:overflowPunct/>
        <w:topLinePunct w:val="0"/>
        <w:autoSpaceDE/>
        <w:autoSpaceDN/>
        <w:bidi w:val="0"/>
        <w:adjustRightInd/>
        <w:snapToGrid/>
        <w:spacing w:after="0" w:afterLines="0" w:line="400" w:lineRule="exact"/>
        <w:ind w:right="0" w:rightChars="0"/>
        <w:textAlignment w:val="auto"/>
        <w:rPr>
          <w:rFonts w:hint="eastAsia" w:ascii="宋体" w:hAnsi="宋体" w:eastAsia="宋体" w:cs="宋体"/>
          <w:b/>
          <w:sz w:val="24"/>
          <w:szCs w:val="24"/>
        </w:rPr>
      </w:pPr>
      <w:bookmarkStart w:id="3" w:name="_Toc80157775"/>
      <w:bookmarkStart w:id="4" w:name="_Toc81372964"/>
      <w:bookmarkStart w:id="5" w:name="_Toc84325981"/>
      <w:bookmarkStart w:id="6" w:name="_Toc81372787"/>
      <w:r>
        <w:rPr>
          <w:rFonts w:hint="eastAsia" w:ascii="宋体" w:hAnsi="宋体" w:eastAsia="宋体" w:cs="宋体"/>
          <w:b/>
          <w:sz w:val="24"/>
          <w:szCs w:val="24"/>
        </w:rPr>
        <w:t>（一）项目背景及目标</w:t>
      </w:r>
    </w:p>
    <w:p>
      <w:pPr>
        <w:pStyle w:val="21"/>
        <w:pageBreakBefore w:val="0"/>
        <w:numPr>
          <w:ilvl w:val="0"/>
          <w:numId w:val="0"/>
        </w:numPr>
        <w:kinsoku/>
        <w:wordWrap/>
        <w:overflowPunct/>
        <w:topLinePunct w:val="0"/>
        <w:autoSpaceDE/>
        <w:autoSpaceDN/>
        <w:bidi w:val="0"/>
        <w:adjustRightInd/>
        <w:snapToGrid/>
        <w:spacing w:after="0" w:afterLines="0" w:line="400" w:lineRule="exact"/>
        <w:ind w:right="0" w:rightChars="0"/>
        <w:textAlignment w:val="auto"/>
        <w:rPr>
          <w:rFonts w:hint="eastAsia" w:ascii="宋体" w:hAnsi="宋体" w:eastAsia="宋体" w:cs="宋体"/>
          <w:b/>
          <w:sz w:val="24"/>
          <w:szCs w:val="24"/>
          <w:highlight w:val="none"/>
        </w:rPr>
      </w:pPr>
      <w:r>
        <w:rPr>
          <w:rFonts w:hint="eastAsia" w:ascii="宋体" w:hAnsi="宋体" w:eastAsia="宋体" w:cs="宋体"/>
          <w:b/>
          <w:sz w:val="24"/>
          <w:szCs w:val="24"/>
        </w:rPr>
        <w:t>1、项目背景</w:t>
      </w:r>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新核心系统是一项事关</w:t>
      </w:r>
      <w:r>
        <w:rPr>
          <w:rFonts w:hint="eastAsia" w:ascii="宋体" w:hAnsi="宋体" w:eastAsia="宋体" w:cs="宋体"/>
          <w:bCs/>
          <w:color w:val="000000"/>
          <w:sz w:val="24"/>
          <w:szCs w:val="24"/>
          <w:highlight w:val="none"/>
          <w:lang w:eastAsia="zh-CN"/>
        </w:rPr>
        <w:t>绍兴银行</w:t>
      </w:r>
      <w:r>
        <w:rPr>
          <w:rFonts w:hint="eastAsia" w:ascii="宋体" w:hAnsi="宋体" w:eastAsia="宋体" w:cs="宋体"/>
          <w:bCs/>
          <w:color w:val="000000"/>
          <w:sz w:val="24"/>
          <w:szCs w:val="24"/>
          <w:highlight w:val="none"/>
        </w:rPr>
        <w:t>未来发展的重中之重工程，该项目命名为“数智绍芯”工程。根据</w:t>
      </w:r>
      <w:r>
        <w:rPr>
          <w:rFonts w:hint="eastAsia" w:ascii="宋体" w:hAnsi="宋体" w:eastAsia="宋体" w:cs="宋体"/>
          <w:bCs/>
          <w:color w:val="000000"/>
          <w:sz w:val="24"/>
          <w:szCs w:val="24"/>
          <w:highlight w:val="none"/>
          <w:lang w:eastAsia="zh-CN"/>
        </w:rPr>
        <w:t>绍兴银行</w:t>
      </w:r>
      <w:r>
        <w:rPr>
          <w:rFonts w:hint="eastAsia" w:ascii="宋体" w:hAnsi="宋体" w:eastAsia="宋体" w:cs="宋体"/>
          <w:bCs/>
          <w:color w:val="000000"/>
          <w:sz w:val="24"/>
          <w:szCs w:val="24"/>
          <w:highlight w:val="none"/>
        </w:rPr>
        <w:t>制定的“数智绍芯”工程总体计划，通过引入专业的咨询服务团队，与行内业务、技术人员及系统开发厂商共同组成项目建设团队。咨询服务团队提供项目群管理方法论、项目实施经验及专业咨询能力，协助</w:t>
      </w:r>
      <w:r>
        <w:rPr>
          <w:rFonts w:hint="eastAsia" w:ascii="宋体" w:hAnsi="宋体" w:eastAsia="宋体" w:cs="宋体"/>
          <w:bCs/>
          <w:color w:val="000000"/>
          <w:sz w:val="24"/>
          <w:szCs w:val="24"/>
          <w:highlight w:val="none"/>
          <w:lang w:eastAsia="zh-CN"/>
        </w:rPr>
        <w:t>绍兴银行</w:t>
      </w:r>
      <w:r>
        <w:rPr>
          <w:rFonts w:hint="eastAsia" w:ascii="宋体" w:hAnsi="宋体" w:eastAsia="宋体" w:cs="宋体"/>
          <w:bCs/>
          <w:color w:val="000000"/>
          <w:sz w:val="24"/>
          <w:szCs w:val="24"/>
          <w:highlight w:val="none"/>
        </w:rPr>
        <w:t>开展业务需求咨询、系统架构咨询、项目管理咨询等服务，确保项目群各项功能满足上线要求，从而推进项目建设进度并提高项目质量，保障项目最终顺利上线。</w:t>
      </w:r>
    </w:p>
    <w:p>
      <w:pPr>
        <w:keepNext/>
        <w:keepLines/>
        <w:pageBreakBefore w:val="0"/>
        <w:numPr>
          <w:ilvl w:val="0"/>
          <w:numId w:val="3"/>
        </w:numPr>
        <w:tabs>
          <w:tab w:val="left" w:pos="432"/>
          <w:tab w:val="left" w:pos="576"/>
        </w:tabs>
        <w:kinsoku/>
        <w:wordWrap/>
        <w:overflowPunct/>
        <w:topLinePunct w:val="0"/>
        <w:autoSpaceDE/>
        <w:autoSpaceDN/>
        <w:bidi w:val="0"/>
        <w:adjustRightInd/>
        <w:snapToGrid/>
        <w:spacing w:after="312" w:line="400" w:lineRule="exact"/>
        <w:ind w:right="0" w:rightChars="0" w:firstLine="420"/>
        <w:textAlignment w:val="auto"/>
        <w:outlineLvl w:val="1"/>
        <w:rPr>
          <w:rFonts w:hint="eastAsia" w:ascii="宋体" w:hAnsi="宋体" w:eastAsia="宋体" w:cs="宋体"/>
          <w:b/>
          <w:vanish/>
          <w:color w:val="000000"/>
          <w:sz w:val="24"/>
          <w:szCs w:val="24"/>
          <w:highlight w:val="none"/>
        </w:rPr>
      </w:pPr>
      <w:bookmarkStart w:id="7" w:name="_Toc52903501"/>
      <w:bookmarkEnd w:id="7"/>
      <w:bookmarkStart w:id="8" w:name="_Toc52903447"/>
      <w:bookmarkEnd w:id="8"/>
      <w:bookmarkStart w:id="9" w:name="_Toc52903474"/>
      <w:bookmarkEnd w:id="9"/>
      <w:bookmarkStart w:id="10" w:name="_Toc52903528"/>
      <w:bookmarkEnd w:id="10"/>
      <w:bookmarkStart w:id="11" w:name="_Toc54336385"/>
      <w:bookmarkEnd w:id="11"/>
      <w:bookmarkStart w:id="12" w:name="_Toc52897293"/>
      <w:bookmarkEnd w:id="12"/>
      <w:bookmarkStart w:id="13" w:name="_Toc52897328"/>
      <w:bookmarkEnd w:id="13"/>
      <w:bookmarkStart w:id="14" w:name="_Toc52903555"/>
      <w:bookmarkEnd w:id="14"/>
      <w:bookmarkStart w:id="15" w:name="_Toc52903659"/>
      <w:bookmarkEnd w:id="15"/>
      <w:bookmarkStart w:id="16" w:name="_Toc478303582"/>
      <w:bookmarkStart w:id="17" w:name="_Toc35329738"/>
    </w:p>
    <w:p>
      <w:pPr>
        <w:pStyle w:val="21"/>
        <w:pageBreakBefore w:val="0"/>
        <w:numPr>
          <w:ilvl w:val="0"/>
          <w:numId w:val="0"/>
        </w:numPr>
        <w:kinsoku/>
        <w:wordWrap/>
        <w:overflowPunct/>
        <w:topLinePunct w:val="0"/>
        <w:autoSpaceDE/>
        <w:autoSpaceDN/>
        <w:bidi w:val="0"/>
        <w:adjustRightInd/>
        <w:snapToGrid/>
        <w:spacing w:after="0" w:afterLines="0" w:line="400" w:lineRule="exact"/>
        <w:ind w:right="0" w:rightChars="0"/>
        <w:textAlignment w:val="auto"/>
        <w:rPr>
          <w:rFonts w:hint="eastAsia" w:ascii="宋体" w:hAnsi="宋体" w:eastAsia="宋体" w:cs="宋体"/>
          <w:b/>
          <w:sz w:val="24"/>
          <w:szCs w:val="24"/>
          <w:highlight w:val="none"/>
        </w:rPr>
      </w:pPr>
      <w:bookmarkStart w:id="18" w:name="_Toc54336386"/>
      <w:r>
        <w:rPr>
          <w:rFonts w:hint="eastAsia" w:ascii="宋体" w:hAnsi="宋体" w:eastAsia="宋体" w:cs="宋体"/>
          <w:b/>
          <w:sz w:val="24"/>
          <w:szCs w:val="24"/>
          <w:highlight w:val="none"/>
        </w:rPr>
        <w:t>2、项目建设目标</w:t>
      </w:r>
      <w:bookmarkEnd w:id="16"/>
      <w:bookmarkEnd w:id="17"/>
      <w:bookmarkEnd w:id="18"/>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highlight w:val="none"/>
        </w:rPr>
        <w:t>咨询服务团队作为协调“数智绍芯”工程项目群各方的第三方，全面参与</w:t>
      </w:r>
      <w:r>
        <w:rPr>
          <w:rFonts w:hint="eastAsia" w:ascii="宋体" w:hAnsi="宋体" w:eastAsia="宋体" w:cs="宋体"/>
          <w:bCs/>
          <w:color w:val="000000"/>
          <w:sz w:val="24"/>
          <w:szCs w:val="24"/>
          <w:highlight w:val="none"/>
          <w:lang w:eastAsia="zh-CN"/>
        </w:rPr>
        <w:t>绍兴银行</w:t>
      </w:r>
      <w:r>
        <w:rPr>
          <w:rFonts w:hint="eastAsia" w:ascii="宋体" w:hAnsi="宋体" w:eastAsia="宋体" w:cs="宋体"/>
          <w:bCs/>
          <w:color w:val="000000"/>
          <w:sz w:val="24"/>
          <w:szCs w:val="24"/>
          <w:highlight w:val="none"/>
        </w:rPr>
        <w:t>“数智绍芯”工程建设，包括需求咨询服务、架构咨询服务及PMO服务三个部分。依托专业咨询团队的项目群管理方法论、项目实施经验及专业咨询能力，在新一代核心业务系统项目群计划的实施周期及预算范围内，协助招标人</w:t>
      </w:r>
      <w:r>
        <w:rPr>
          <w:rFonts w:hint="eastAsia" w:ascii="宋体" w:hAnsi="宋体" w:eastAsia="宋体" w:cs="宋体"/>
          <w:bCs/>
          <w:color w:val="000000"/>
          <w:sz w:val="24"/>
          <w:szCs w:val="24"/>
        </w:rPr>
        <w:t>新一代核心业务系统项目群平稳、有序保质保量推进，实现新旧核心业务系统平稳切换，达成既定项目目标。各部分具体目标如下：</w:t>
      </w:r>
    </w:p>
    <w:p>
      <w:pPr>
        <w:pageBreakBefore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lang w:val="en-US" w:eastAsia="zh-CN"/>
        </w:rPr>
        <w:t>2.1</w:t>
      </w:r>
      <w:r>
        <w:rPr>
          <w:rFonts w:hint="eastAsia" w:ascii="宋体" w:hAnsi="宋体" w:eastAsia="宋体" w:cs="宋体"/>
          <w:b/>
          <w:bCs/>
          <w:color w:val="000000"/>
          <w:sz w:val="24"/>
          <w:szCs w:val="24"/>
        </w:rPr>
        <w:t>需求咨询服务目标。</w:t>
      </w:r>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依托咨询厂商丰富的同业需求咨询经验，指导招标人梳理新一代核心业务系统项目群需求，对接各业务条线，通过科学成熟的需求咨询方法论，指导招标人完成新一代核心业务系统项目群主体及外围配套改造系统需求分析，基于业务需求大纲参与需求细化阶段的详细需求与需求差异化分析，确保业务需求的完整性、先进性、前瞻性以及可落地性。需求咨询服务应转化为招标人实际业务需求，并落地为应用系统</w:t>
      </w:r>
      <w:r>
        <w:rPr>
          <w:rFonts w:hint="eastAsia" w:ascii="宋体" w:hAnsi="宋体" w:cs="宋体"/>
          <w:bCs/>
          <w:color w:val="000000"/>
          <w:sz w:val="24"/>
          <w:szCs w:val="24"/>
          <w:lang w:eastAsia="zh-CN"/>
        </w:rPr>
        <w:t>、</w:t>
      </w:r>
      <w:r>
        <w:rPr>
          <w:rFonts w:hint="eastAsia" w:ascii="宋体" w:hAnsi="宋体" w:eastAsia="宋体" w:cs="宋体"/>
          <w:bCs/>
          <w:color w:val="000000"/>
          <w:sz w:val="24"/>
          <w:szCs w:val="24"/>
        </w:rPr>
        <w:t>功能，确保新一代核心业务系统项目群的业务需求符合项目群建设业务设计目标。</w:t>
      </w:r>
    </w:p>
    <w:p>
      <w:pPr>
        <w:pageBreakBefore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lang w:val="en-US" w:eastAsia="zh-CN"/>
        </w:rPr>
        <w:t>2.2</w:t>
      </w:r>
      <w:r>
        <w:rPr>
          <w:rFonts w:hint="eastAsia" w:ascii="宋体" w:hAnsi="宋体" w:eastAsia="宋体" w:cs="宋体"/>
          <w:b/>
          <w:bCs/>
          <w:color w:val="000000"/>
          <w:sz w:val="24"/>
          <w:szCs w:val="24"/>
        </w:rPr>
        <w:t>架构咨询服务目标。</w:t>
      </w:r>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根据招标人的总体业务发展战略，结合目前业务现状及信息化建设现状和IT治理能力等实际情况，充分考虑业务、管理现状及未来发展的需求，借鉴银行业信息化建设的先进经验，协助招标人完成新一代核心业务系统项目群整体架构体系规划及系统架构设计，制定项目群应用架构蓝图，为整体架构落地提供专家指导，确保系统架构能够满足后续招标人科技发展战略要求。</w:t>
      </w:r>
    </w:p>
    <w:p>
      <w:pPr>
        <w:pageBreakBefore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b/>
          <w:bCs/>
          <w:color w:val="000000"/>
          <w:sz w:val="24"/>
          <w:szCs w:val="24"/>
        </w:rPr>
      </w:pPr>
      <w:bookmarkStart w:id="19" w:name="_Toc42790663"/>
      <w:r>
        <w:rPr>
          <w:rFonts w:hint="eastAsia" w:ascii="宋体" w:hAnsi="宋体" w:eastAsia="宋体" w:cs="宋体"/>
          <w:b/>
          <w:bCs/>
          <w:color w:val="000000"/>
          <w:sz w:val="24"/>
          <w:szCs w:val="24"/>
          <w:lang w:val="en-US" w:eastAsia="zh-CN"/>
        </w:rPr>
        <w:t>2.3</w:t>
      </w:r>
      <w:r>
        <w:rPr>
          <w:rFonts w:hint="eastAsia" w:ascii="宋体" w:hAnsi="宋体" w:eastAsia="宋体" w:cs="宋体"/>
          <w:b/>
          <w:bCs/>
          <w:color w:val="000000"/>
          <w:sz w:val="24"/>
          <w:szCs w:val="24"/>
        </w:rPr>
        <w:t>PMO服务目标</w:t>
      </w:r>
      <w:bookmarkEnd w:id="19"/>
      <w:r>
        <w:rPr>
          <w:rFonts w:hint="eastAsia" w:ascii="宋体" w:hAnsi="宋体" w:eastAsia="宋体" w:cs="宋体"/>
          <w:b/>
          <w:bCs/>
          <w:color w:val="000000"/>
          <w:sz w:val="24"/>
          <w:szCs w:val="24"/>
        </w:rPr>
        <w:t>。</w:t>
      </w:r>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PMO咨询服务厂商作为协调项目各方的独立参与人，是招标人项目管理能力的延伸，以招标人代理人的身份全面参与新一代核心业务系统项目群的项目管理工作，组织、协调项目群建设整体项目管理过程。根据新一代核心业务系统项目群预定战略、实施目标及整体计划，依靠PMO专业能力和实践经验，应用科学和系统的项目与质量管理方法，推动项目群建设每一环节、每一阶段的工作按时保质保量地完成，确保新一代核心业务系统项目群相关应用系统顺利投产上线。</w:t>
      </w:r>
    </w:p>
    <w:p>
      <w:pPr>
        <w:pStyle w:val="21"/>
        <w:pageBreakBefore w:val="0"/>
        <w:numPr>
          <w:ilvl w:val="0"/>
          <w:numId w:val="0"/>
        </w:numPr>
        <w:kinsoku/>
        <w:wordWrap/>
        <w:overflowPunct/>
        <w:topLinePunct w:val="0"/>
        <w:autoSpaceDE/>
        <w:autoSpaceDN/>
        <w:bidi w:val="0"/>
        <w:adjustRightInd/>
        <w:snapToGrid/>
        <w:spacing w:after="0" w:afterLines="0" w:line="400" w:lineRule="exact"/>
        <w:ind w:right="0" w:rightChars="0"/>
        <w:textAlignment w:val="auto"/>
        <w:rPr>
          <w:rFonts w:hint="eastAsia" w:ascii="宋体" w:hAnsi="宋体" w:eastAsia="宋体" w:cs="宋体"/>
          <w:b/>
          <w:sz w:val="24"/>
          <w:szCs w:val="24"/>
        </w:rPr>
      </w:pPr>
      <w:bookmarkStart w:id="20" w:name="_Toc41321564"/>
      <w:bookmarkStart w:id="21" w:name="_Toc41321518"/>
      <w:bookmarkStart w:id="22" w:name="_Toc54336388"/>
      <w:r>
        <w:rPr>
          <w:rFonts w:hint="eastAsia" w:ascii="宋体" w:hAnsi="宋体" w:eastAsia="宋体" w:cs="宋体"/>
          <w:b/>
          <w:sz w:val="24"/>
          <w:szCs w:val="24"/>
        </w:rPr>
        <w:t>3、项目服务周期要求</w:t>
      </w:r>
      <w:bookmarkEnd w:id="20"/>
      <w:bookmarkEnd w:id="21"/>
      <w:bookmarkEnd w:id="22"/>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bCs/>
          <w:color w:val="000000"/>
          <w:sz w:val="24"/>
          <w:szCs w:val="24"/>
          <w:highlight w:val="none"/>
        </w:rPr>
      </w:pPr>
      <w:bookmarkStart w:id="23" w:name="_Toc18609731"/>
      <w:bookmarkEnd w:id="23"/>
      <w:bookmarkStart w:id="24" w:name="_Toc20678563"/>
      <w:bookmarkEnd w:id="24"/>
      <w:bookmarkStart w:id="25" w:name="_Toc41321519"/>
      <w:bookmarkStart w:id="26" w:name="_Toc41321565"/>
      <w:r>
        <w:rPr>
          <w:rFonts w:hint="eastAsia" w:ascii="宋体" w:hAnsi="宋体" w:eastAsia="宋体" w:cs="宋体"/>
          <w:bCs/>
          <w:color w:val="000000"/>
          <w:sz w:val="24"/>
          <w:szCs w:val="24"/>
          <w:highlight w:val="none"/>
        </w:rPr>
        <w:t>（1）协助完成新核心工程</w:t>
      </w:r>
      <w:r>
        <w:rPr>
          <w:rFonts w:hint="eastAsia" w:ascii="宋体" w:hAnsi="宋体" w:cs="宋体"/>
          <w:bCs/>
          <w:color w:val="000000"/>
          <w:sz w:val="24"/>
          <w:szCs w:val="24"/>
          <w:highlight w:val="none"/>
          <w:lang w:eastAsia="zh-CN"/>
        </w:rPr>
        <w:t>技术架构</w:t>
      </w:r>
      <w:r>
        <w:rPr>
          <w:rFonts w:hint="eastAsia" w:ascii="宋体" w:hAnsi="宋体" w:eastAsia="宋体" w:cs="宋体"/>
          <w:bCs/>
          <w:color w:val="000000"/>
          <w:sz w:val="24"/>
          <w:szCs w:val="24"/>
          <w:highlight w:val="none"/>
        </w:rPr>
        <w:t>整体规划</w:t>
      </w:r>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梳理新核心工程项目的业务和技术提升点、总体建设策略、总体集成方案（应用、数据、部署、安全等）、实施路径、项目主计划以及管理规范等。并根据</w:t>
      </w:r>
      <w:r>
        <w:rPr>
          <w:rFonts w:hint="eastAsia" w:ascii="宋体" w:hAnsi="宋体" w:eastAsia="宋体" w:cs="宋体"/>
          <w:bCs/>
          <w:color w:val="000000"/>
          <w:sz w:val="24"/>
          <w:szCs w:val="24"/>
          <w:highlight w:val="none"/>
          <w:lang w:eastAsia="zh-CN"/>
        </w:rPr>
        <w:t>绍兴银行</w:t>
      </w:r>
      <w:r>
        <w:rPr>
          <w:rFonts w:hint="eastAsia" w:ascii="宋体" w:hAnsi="宋体" w:eastAsia="宋体" w:cs="宋体"/>
          <w:bCs/>
          <w:color w:val="000000"/>
          <w:sz w:val="24"/>
          <w:szCs w:val="24"/>
          <w:highlight w:val="none"/>
        </w:rPr>
        <w:t>实际情况，提出</w:t>
      </w:r>
      <w:r>
        <w:rPr>
          <w:rFonts w:hint="eastAsia" w:ascii="宋体" w:hAnsi="宋体" w:eastAsia="宋体" w:cs="宋体"/>
          <w:bCs/>
          <w:color w:val="000000"/>
          <w:sz w:val="24"/>
          <w:szCs w:val="24"/>
          <w:highlight w:val="none"/>
          <w:lang w:eastAsia="zh-CN"/>
        </w:rPr>
        <w:t>绍兴银行</w:t>
      </w:r>
      <w:r>
        <w:rPr>
          <w:rFonts w:hint="eastAsia" w:ascii="宋体" w:hAnsi="宋体" w:eastAsia="宋体" w:cs="宋体"/>
          <w:bCs/>
          <w:color w:val="000000"/>
          <w:sz w:val="24"/>
          <w:szCs w:val="24"/>
          <w:highlight w:val="none"/>
        </w:rPr>
        <w:t>资源计划，包括人员、资金、环境、场地等。</w:t>
      </w:r>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bCs/>
          <w:color w:val="000000"/>
          <w:sz w:val="24"/>
          <w:szCs w:val="24"/>
          <w:highlight w:val="none"/>
          <w:lang w:eastAsia="zh-CN"/>
        </w:rPr>
      </w:pPr>
      <w:r>
        <w:rPr>
          <w:rFonts w:hint="eastAsia" w:ascii="宋体" w:hAnsi="宋体" w:eastAsia="宋体" w:cs="宋体"/>
          <w:bCs/>
          <w:color w:val="000000"/>
          <w:sz w:val="24"/>
          <w:szCs w:val="24"/>
          <w:highlight w:val="none"/>
        </w:rPr>
        <w:t>（2）协助完成新核心</w:t>
      </w:r>
      <w:r>
        <w:rPr>
          <w:rFonts w:hint="eastAsia" w:ascii="宋体" w:hAnsi="宋体" w:cs="宋体"/>
          <w:bCs/>
          <w:color w:val="000000"/>
          <w:sz w:val="24"/>
          <w:szCs w:val="24"/>
          <w:highlight w:val="none"/>
          <w:lang w:eastAsia="zh-CN"/>
        </w:rPr>
        <w:t>工程各</w:t>
      </w:r>
      <w:r>
        <w:rPr>
          <w:rFonts w:hint="eastAsia" w:ascii="宋体" w:hAnsi="宋体" w:eastAsia="宋体" w:cs="宋体"/>
          <w:bCs/>
          <w:color w:val="000000"/>
          <w:sz w:val="24"/>
          <w:szCs w:val="24"/>
          <w:highlight w:val="none"/>
        </w:rPr>
        <w:t>模块</w:t>
      </w:r>
      <w:r>
        <w:rPr>
          <w:rFonts w:hint="eastAsia" w:ascii="宋体" w:hAnsi="宋体" w:cs="宋体"/>
          <w:bCs/>
          <w:color w:val="000000"/>
          <w:sz w:val="24"/>
          <w:szCs w:val="24"/>
          <w:highlight w:val="none"/>
          <w:lang w:eastAsia="zh-CN"/>
        </w:rPr>
        <w:t>需求分析</w:t>
      </w:r>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基于</w:t>
      </w:r>
      <w:r>
        <w:rPr>
          <w:rFonts w:hint="eastAsia" w:ascii="宋体" w:hAnsi="宋体" w:eastAsia="宋体" w:cs="宋体"/>
          <w:bCs/>
          <w:color w:val="000000"/>
          <w:sz w:val="24"/>
          <w:szCs w:val="24"/>
          <w:highlight w:val="none"/>
          <w:lang w:eastAsia="zh-CN"/>
        </w:rPr>
        <w:t>绍兴银行</w:t>
      </w:r>
      <w:r>
        <w:rPr>
          <w:rFonts w:hint="eastAsia" w:ascii="宋体" w:hAnsi="宋体" w:eastAsia="宋体" w:cs="宋体"/>
          <w:bCs/>
          <w:color w:val="000000"/>
          <w:sz w:val="24"/>
          <w:szCs w:val="24"/>
          <w:highlight w:val="none"/>
        </w:rPr>
        <w:t>业务现状和新核心工程建设目标，在理解</w:t>
      </w:r>
      <w:r>
        <w:rPr>
          <w:rFonts w:hint="eastAsia" w:ascii="宋体" w:hAnsi="宋体" w:eastAsia="宋体" w:cs="宋体"/>
          <w:bCs/>
          <w:color w:val="000000"/>
          <w:sz w:val="24"/>
          <w:szCs w:val="24"/>
          <w:highlight w:val="none"/>
          <w:lang w:eastAsia="zh-CN"/>
        </w:rPr>
        <w:t>绍兴银行</w:t>
      </w:r>
      <w:r>
        <w:rPr>
          <w:rFonts w:hint="eastAsia" w:ascii="宋体" w:hAnsi="宋体" w:eastAsia="宋体" w:cs="宋体"/>
          <w:bCs/>
          <w:color w:val="000000"/>
          <w:sz w:val="24"/>
          <w:szCs w:val="24"/>
          <w:highlight w:val="none"/>
        </w:rPr>
        <w:t>业务需求的基础上，对接各业务条线，通过科学成熟的需求规划方法论，协助规划公共模块、存款模块、</w:t>
      </w:r>
      <w:r>
        <w:rPr>
          <w:rFonts w:hint="eastAsia" w:ascii="宋体" w:hAnsi="宋体" w:cs="宋体"/>
          <w:bCs/>
          <w:color w:val="000000"/>
          <w:sz w:val="24"/>
          <w:szCs w:val="24"/>
          <w:highlight w:val="none"/>
          <w:lang w:eastAsia="zh-CN"/>
        </w:rPr>
        <w:t>贷款模块、总账模块、</w:t>
      </w:r>
      <w:r>
        <w:rPr>
          <w:rFonts w:hint="eastAsia" w:ascii="宋体" w:hAnsi="宋体" w:eastAsia="宋体" w:cs="宋体"/>
          <w:bCs/>
          <w:color w:val="000000"/>
          <w:sz w:val="24"/>
          <w:szCs w:val="24"/>
          <w:highlight w:val="none"/>
        </w:rPr>
        <w:t>支付模块、电子银行模块、中间业务模块等全量模块需求分析，包括但不限于需求采集与调研、制定业务总体方案、编写项目群基础需求、协助制定项目群产品选型策略、参与需求差异化分析，直至工程上线落地。</w:t>
      </w:r>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（3）协助完成新核心工程建设项目管理服务</w:t>
      </w:r>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highlight w:val="none"/>
        </w:rPr>
        <w:t>根据新核心项目群实施目标、整体项目群工作计划，应用科学、系统的大项目群与质量管理方法，具体工作包括但不限于计划与进度管</w:t>
      </w:r>
      <w:r>
        <w:rPr>
          <w:rFonts w:hint="eastAsia" w:ascii="宋体" w:hAnsi="宋体" w:eastAsia="宋体" w:cs="宋体"/>
          <w:bCs/>
          <w:color w:val="000000"/>
          <w:sz w:val="24"/>
          <w:szCs w:val="24"/>
        </w:rPr>
        <w:t>理、项目质量管理、沟通与问题管理、需求与变更管理、测试与缺陷管理、验收与上线管理、文档管理、配置管理、环境管理等实现系统化的全生命周期流程的管理与监控，保证项目群每一环节、每一阶段的工作按时保质保量地完成，从而保障新核心所有项目群各应用系统最终顺利上线。</w:t>
      </w:r>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w:t>
      </w:r>
      <w:r>
        <w:rPr>
          <w:rFonts w:hint="eastAsia" w:ascii="宋体" w:hAnsi="宋体" w:cs="宋体"/>
          <w:bCs/>
          <w:color w:val="000000"/>
          <w:sz w:val="24"/>
          <w:szCs w:val="24"/>
          <w:highlight w:val="none"/>
          <w:lang w:val="en-US" w:eastAsia="zh-CN"/>
        </w:rPr>
        <w:t>4</w:t>
      </w:r>
      <w:r>
        <w:rPr>
          <w:rFonts w:hint="eastAsia" w:ascii="宋体" w:hAnsi="宋体" w:eastAsia="宋体" w:cs="宋体"/>
          <w:bCs/>
          <w:color w:val="000000"/>
          <w:sz w:val="24"/>
          <w:szCs w:val="24"/>
          <w:highlight w:val="none"/>
        </w:rPr>
        <w:t>）协助完成新核心</w:t>
      </w:r>
      <w:r>
        <w:rPr>
          <w:rFonts w:hint="eastAsia" w:ascii="宋体" w:hAnsi="宋体" w:cs="宋体"/>
          <w:bCs/>
          <w:color w:val="000000"/>
          <w:sz w:val="24"/>
          <w:szCs w:val="24"/>
          <w:highlight w:val="none"/>
          <w:lang w:eastAsia="zh-CN"/>
        </w:rPr>
        <w:t>主要项目群及</w:t>
      </w:r>
      <w:r>
        <w:rPr>
          <w:rFonts w:hint="eastAsia" w:ascii="宋体" w:hAnsi="宋体" w:eastAsia="宋体" w:cs="宋体"/>
          <w:bCs/>
          <w:color w:val="000000"/>
          <w:sz w:val="24"/>
          <w:szCs w:val="24"/>
          <w:highlight w:val="none"/>
        </w:rPr>
        <w:t>外围系统改造招投标工作</w:t>
      </w:r>
    </w:p>
    <w:p>
      <w:pPr>
        <w:spacing w:line="400" w:lineRule="exact"/>
        <w:ind w:firstLine="480" w:firstLineChars="200"/>
        <w:rPr>
          <w:rFonts w:hint="eastAsia"/>
        </w:rPr>
      </w:pPr>
      <w:r>
        <w:rPr>
          <w:rFonts w:hint="eastAsia" w:ascii="宋体" w:hAnsi="宋体" w:eastAsia="宋体" w:cs="宋体"/>
          <w:bCs/>
          <w:color w:val="000000"/>
          <w:sz w:val="24"/>
          <w:szCs w:val="24"/>
          <w:highlight w:val="none"/>
        </w:rPr>
        <w:t>在</w:t>
      </w:r>
      <w:r>
        <w:rPr>
          <w:rFonts w:hint="eastAsia" w:ascii="宋体" w:hAnsi="宋体" w:cs="宋体"/>
          <w:bCs/>
          <w:color w:val="000000"/>
          <w:sz w:val="24"/>
          <w:szCs w:val="24"/>
          <w:highlight w:val="none"/>
          <w:lang w:eastAsia="zh-CN"/>
        </w:rPr>
        <w:t>主要项目群和</w:t>
      </w:r>
      <w:r>
        <w:rPr>
          <w:rFonts w:hint="eastAsia" w:ascii="宋体" w:hAnsi="宋体" w:eastAsia="宋体" w:cs="宋体"/>
          <w:bCs/>
          <w:color w:val="000000"/>
          <w:sz w:val="24"/>
          <w:szCs w:val="24"/>
          <w:highlight w:val="none"/>
        </w:rPr>
        <w:t>外围系统改造厂商引入环节，协助</w:t>
      </w:r>
      <w:r>
        <w:rPr>
          <w:rFonts w:hint="eastAsia" w:ascii="宋体" w:hAnsi="宋体" w:eastAsia="宋体" w:cs="宋体"/>
          <w:bCs/>
          <w:color w:val="000000"/>
          <w:sz w:val="24"/>
          <w:szCs w:val="24"/>
          <w:highlight w:val="none"/>
          <w:lang w:eastAsia="zh-CN"/>
        </w:rPr>
        <w:t>绍兴银行</w:t>
      </w:r>
      <w:r>
        <w:rPr>
          <w:rFonts w:hint="eastAsia" w:ascii="宋体" w:hAnsi="宋体" w:eastAsia="宋体" w:cs="宋体"/>
          <w:bCs/>
          <w:color w:val="000000"/>
          <w:sz w:val="24"/>
          <w:szCs w:val="24"/>
          <w:highlight w:val="none"/>
        </w:rPr>
        <w:t>完成项目招投标说明书以及项目合同的编写和签订，包括对具体条款的审定工作等。并根据</w:t>
      </w:r>
      <w:r>
        <w:rPr>
          <w:rFonts w:hint="eastAsia" w:ascii="宋体" w:hAnsi="宋体" w:eastAsia="宋体" w:cs="宋体"/>
          <w:bCs/>
          <w:color w:val="000000"/>
          <w:sz w:val="24"/>
          <w:szCs w:val="24"/>
          <w:highlight w:val="none"/>
          <w:lang w:eastAsia="zh-CN"/>
        </w:rPr>
        <w:t>绍兴银行</w:t>
      </w:r>
      <w:r>
        <w:rPr>
          <w:rFonts w:hint="eastAsia" w:ascii="宋体" w:hAnsi="宋体" w:eastAsia="宋体" w:cs="宋体"/>
          <w:bCs/>
          <w:color w:val="000000"/>
          <w:sz w:val="24"/>
          <w:szCs w:val="24"/>
          <w:highlight w:val="none"/>
        </w:rPr>
        <w:t>实际要求，协助</w:t>
      </w:r>
      <w:r>
        <w:rPr>
          <w:rFonts w:hint="eastAsia" w:ascii="宋体" w:hAnsi="宋体" w:eastAsia="宋体" w:cs="宋体"/>
          <w:bCs/>
          <w:color w:val="000000"/>
          <w:sz w:val="24"/>
          <w:szCs w:val="24"/>
          <w:highlight w:val="none"/>
          <w:lang w:eastAsia="zh-CN"/>
        </w:rPr>
        <w:t>绍兴银行</w:t>
      </w:r>
      <w:r>
        <w:rPr>
          <w:rFonts w:hint="eastAsia" w:ascii="宋体" w:hAnsi="宋体" w:eastAsia="宋体" w:cs="宋体"/>
          <w:bCs/>
          <w:color w:val="000000"/>
          <w:sz w:val="24"/>
          <w:szCs w:val="24"/>
          <w:highlight w:val="none"/>
        </w:rPr>
        <w:t>完成软件产品采购、关联开发及测试人力外包采购、硬件设施采购等工作。</w:t>
      </w:r>
    </w:p>
    <w:bookmarkEnd w:id="25"/>
    <w:bookmarkEnd w:id="26"/>
    <w:p>
      <w:pPr>
        <w:pStyle w:val="21"/>
        <w:pageBreakBefore w:val="0"/>
        <w:numPr>
          <w:ilvl w:val="0"/>
          <w:numId w:val="0"/>
        </w:numPr>
        <w:kinsoku/>
        <w:wordWrap/>
        <w:overflowPunct/>
        <w:topLinePunct w:val="0"/>
        <w:autoSpaceDE/>
        <w:autoSpaceDN/>
        <w:bidi w:val="0"/>
        <w:adjustRightInd/>
        <w:snapToGrid/>
        <w:spacing w:after="0" w:afterLines="0" w:line="400" w:lineRule="exact"/>
        <w:ind w:right="0" w:rightChars="0"/>
        <w:textAlignment w:val="auto"/>
        <w:rPr>
          <w:rFonts w:hint="eastAsia" w:ascii="宋体" w:hAnsi="宋体" w:eastAsia="宋体" w:cs="宋体"/>
          <w:b/>
          <w:sz w:val="24"/>
          <w:szCs w:val="24"/>
        </w:rPr>
      </w:pPr>
      <w:bookmarkStart w:id="27" w:name="_Toc54336389"/>
      <w:r>
        <w:rPr>
          <w:rFonts w:hint="eastAsia" w:ascii="宋体" w:hAnsi="宋体" w:eastAsia="宋体" w:cs="宋体"/>
          <w:b/>
          <w:sz w:val="24"/>
          <w:szCs w:val="24"/>
        </w:rPr>
        <w:t>（二）项目总体需求</w:t>
      </w:r>
      <w:bookmarkEnd w:id="27"/>
    </w:p>
    <w:p>
      <w:pPr>
        <w:pStyle w:val="21"/>
        <w:pageBreakBefore w:val="0"/>
        <w:numPr>
          <w:ilvl w:val="0"/>
          <w:numId w:val="0"/>
        </w:numPr>
        <w:kinsoku/>
        <w:wordWrap/>
        <w:overflowPunct/>
        <w:topLinePunct w:val="0"/>
        <w:autoSpaceDE/>
        <w:autoSpaceDN/>
        <w:bidi w:val="0"/>
        <w:adjustRightInd/>
        <w:snapToGrid/>
        <w:spacing w:after="0" w:afterLines="0" w:line="400" w:lineRule="exact"/>
        <w:ind w:right="0" w:rightChars="0"/>
        <w:textAlignment w:val="auto"/>
        <w:rPr>
          <w:rFonts w:hint="eastAsia" w:ascii="宋体" w:hAnsi="宋体" w:eastAsia="宋体" w:cs="宋体"/>
          <w:b/>
          <w:sz w:val="24"/>
          <w:szCs w:val="24"/>
        </w:rPr>
      </w:pPr>
      <w:bookmarkStart w:id="28" w:name="_Toc41321569"/>
      <w:bookmarkStart w:id="29" w:name="_Toc41321523"/>
      <w:bookmarkStart w:id="30" w:name="_Toc54336391"/>
      <w:bookmarkStart w:id="31" w:name="_Toc536526610"/>
      <w:r>
        <w:rPr>
          <w:rFonts w:hint="eastAsia" w:ascii="宋体" w:hAnsi="宋体" w:eastAsia="宋体" w:cs="宋体"/>
          <w:b/>
          <w:sz w:val="24"/>
          <w:szCs w:val="24"/>
        </w:rPr>
        <w:t>1、需求咨询服务</w:t>
      </w:r>
      <w:bookmarkEnd w:id="28"/>
      <w:bookmarkEnd w:id="29"/>
      <w:bookmarkEnd w:id="30"/>
    </w:p>
    <w:p>
      <w:pPr>
        <w:pageBreakBefore w:val="0"/>
        <w:kinsoku/>
        <w:wordWrap/>
        <w:overflowPunct/>
        <w:topLinePunct w:val="0"/>
        <w:autoSpaceDE/>
        <w:autoSpaceDN/>
        <w:bidi w:val="0"/>
        <w:adjustRightInd/>
        <w:snapToGrid/>
        <w:spacing w:line="400" w:lineRule="exact"/>
        <w:ind w:right="0" w:rightChars="0"/>
        <w:textAlignment w:val="auto"/>
        <w:outlineLvl w:val="3"/>
        <w:rPr>
          <w:rFonts w:hint="eastAsia" w:ascii="宋体" w:hAnsi="宋体" w:eastAsia="宋体" w:cs="宋体"/>
          <w:b/>
          <w:sz w:val="24"/>
          <w:szCs w:val="24"/>
        </w:rPr>
      </w:pPr>
      <w:bookmarkStart w:id="32" w:name="_Toc41321571"/>
      <w:bookmarkEnd w:id="32"/>
      <w:bookmarkStart w:id="33" w:name="_Toc41321525"/>
      <w:bookmarkEnd w:id="33"/>
      <w:bookmarkStart w:id="34" w:name="_Toc41321526"/>
      <w:bookmarkStart w:id="35" w:name="_Toc41321572"/>
      <w:r>
        <w:rPr>
          <w:rFonts w:hint="eastAsia" w:ascii="宋体" w:hAnsi="宋体" w:eastAsia="宋体" w:cs="宋体"/>
          <w:b/>
          <w:sz w:val="24"/>
          <w:szCs w:val="24"/>
        </w:rPr>
        <w:t>1.1需求调研与业务现状分析</w:t>
      </w:r>
    </w:p>
    <w:p>
      <w:pPr>
        <w:pageBreakBefore w:val="0"/>
        <w:numPr>
          <w:ilvl w:val="0"/>
          <w:numId w:val="4"/>
        </w:numPr>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面向高层、各部门、典型分支机构进行访谈、调研，收集各部门痛点、需求和访谈结论，形成新一代核心业务系统项目群建设的现状主要问题诊断。</w:t>
      </w:r>
    </w:p>
    <w:p>
      <w:pPr>
        <w:pageBreakBefore w:val="0"/>
        <w:numPr>
          <w:ilvl w:val="0"/>
          <w:numId w:val="4"/>
        </w:numPr>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梳理现有核心业务系统相关的业务功能支撑现状，针对核心业务系统各模块的典型问题进行分析，识别配套能力缺失薄弱点，总结归纳现状及改进建议，形成现有核心业务系统功能现状分析报告。</w:t>
      </w:r>
    </w:p>
    <w:p>
      <w:pPr>
        <w:pageBreakBefore w:val="0"/>
        <w:numPr>
          <w:ilvl w:val="0"/>
          <w:numId w:val="4"/>
        </w:numPr>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解读招标人业务发展战略，明晰关键业务能力提升需求。在对招标人业务现状及业务发展战略调研分析的基础上，了解相关业务条线的业务目标和策略，明确未来核心系统整体业务范围及重点能力提升方向；分析各业务条线发展对IT的关键要求，明确IT能力提升发展方向与目标。</w:t>
      </w:r>
    </w:p>
    <w:p>
      <w:pPr>
        <w:pageBreakBefore w:val="0"/>
        <w:kinsoku/>
        <w:wordWrap/>
        <w:overflowPunct/>
        <w:topLinePunct w:val="0"/>
        <w:autoSpaceDE/>
        <w:autoSpaceDN/>
        <w:bidi w:val="0"/>
        <w:adjustRightInd/>
        <w:snapToGrid/>
        <w:spacing w:line="400" w:lineRule="exact"/>
        <w:ind w:right="0" w:rightChars="0"/>
        <w:textAlignment w:val="auto"/>
        <w:outlineLvl w:val="3"/>
        <w:rPr>
          <w:rFonts w:hint="eastAsia" w:ascii="宋体" w:hAnsi="宋体" w:eastAsia="宋体" w:cs="宋体"/>
          <w:b/>
          <w:sz w:val="24"/>
          <w:szCs w:val="24"/>
        </w:rPr>
      </w:pPr>
      <w:r>
        <w:rPr>
          <w:rFonts w:hint="eastAsia" w:ascii="宋体" w:hAnsi="宋体" w:eastAsia="宋体" w:cs="宋体"/>
          <w:b/>
          <w:sz w:val="24"/>
          <w:szCs w:val="24"/>
        </w:rPr>
        <w:t>1.2业务专题规划培训</w:t>
      </w:r>
    </w:p>
    <w:p>
      <w:pPr>
        <w:pageBreakBefore w:val="0"/>
        <w:numPr>
          <w:ilvl w:val="0"/>
          <w:numId w:val="5"/>
        </w:numPr>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提供业内核心项目建设领先实践分享，使得招标人充分了解行业动向，以保证系统建设的前瞻性。</w:t>
      </w:r>
    </w:p>
    <w:p>
      <w:pPr>
        <w:pageBreakBefore w:val="0"/>
        <w:numPr>
          <w:ilvl w:val="0"/>
          <w:numId w:val="5"/>
        </w:numPr>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根据对招标人各业务条线的访谈情况，提供核心需求相关业务专题规划培训。</w:t>
      </w:r>
    </w:p>
    <w:p>
      <w:pPr>
        <w:pageBreakBefore w:val="0"/>
        <w:kinsoku/>
        <w:wordWrap/>
        <w:overflowPunct/>
        <w:topLinePunct w:val="0"/>
        <w:autoSpaceDE/>
        <w:autoSpaceDN/>
        <w:bidi w:val="0"/>
        <w:adjustRightInd/>
        <w:snapToGrid/>
        <w:spacing w:line="400" w:lineRule="exact"/>
        <w:ind w:right="0" w:rightChars="0"/>
        <w:textAlignment w:val="auto"/>
        <w:outlineLvl w:val="3"/>
        <w:rPr>
          <w:rFonts w:hint="eastAsia" w:ascii="宋体" w:hAnsi="宋体" w:eastAsia="宋体" w:cs="宋体"/>
          <w:b/>
          <w:sz w:val="24"/>
          <w:szCs w:val="24"/>
        </w:rPr>
      </w:pPr>
      <w:r>
        <w:rPr>
          <w:rFonts w:hint="eastAsia" w:ascii="宋体" w:hAnsi="宋体" w:eastAsia="宋体" w:cs="宋体"/>
          <w:b/>
          <w:sz w:val="24"/>
          <w:szCs w:val="24"/>
        </w:rPr>
        <w:t>1.3项目群需求范围</w:t>
      </w:r>
    </w:p>
    <w:p>
      <w:pPr>
        <w:pageBreakBefore w:val="0"/>
        <w:numPr>
          <w:ilvl w:val="0"/>
          <w:numId w:val="6"/>
        </w:numPr>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根据招标人业务战略规划及IT架构规划，识别聚焦重点领域业务发展策略和关键举措，形成新一代核心业务系统项目群建设的重要输入。</w:t>
      </w:r>
    </w:p>
    <w:p>
      <w:pPr>
        <w:pageBreakBefore w:val="0"/>
        <w:numPr>
          <w:ilvl w:val="0"/>
          <w:numId w:val="6"/>
        </w:numPr>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针对近两年的监管要求（含监管统计，下同）进行分类解读，提炼出对新一代核心业务系统项目群建设的关键能力要求。</w:t>
      </w:r>
    </w:p>
    <w:p>
      <w:pPr>
        <w:pageBreakBefore w:val="0"/>
        <w:numPr>
          <w:ilvl w:val="0"/>
          <w:numId w:val="6"/>
        </w:numPr>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以上述成果为基础，结合现状分析成果，充分参考国内银行新一代建设先进经验，提炼出招标人新一代核心业务系统项目群整体业务范围、需要具备的关键业务能力和重要提升点，最终形成本次新一代核心业务系统项目群的整体需求框架。</w:t>
      </w:r>
    </w:p>
    <w:p>
      <w:pPr>
        <w:pageBreakBefore w:val="0"/>
        <w:kinsoku/>
        <w:wordWrap/>
        <w:overflowPunct/>
        <w:topLinePunct w:val="0"/>
        <w:autoSpaceDE/>
        <w:autoSpaceDN/>
        <w:bidi w:val="0"/>
        <w:adjustRightInd/>
        <w:snapToGrid/>
        <w:spacing w:line="400" w:lineRule="exact"/>
        <w:ind w:right="0" w:rightChars="0"/>
        <w:textAlignment w:val="auto"/>
        <w:outlineLvl w:val="3"/>
        <w:rPr>
          <w:rFonts w:hint="eastAsia" w:ascii="宋体" w:hAnsi="宋体" w:eastAsia="宋体" w:cs="宋体"/>
          <w:b/>
          <w:sz w:val="24"/>
          <w:szCs w:val="24"/>
        </w:rPr>
      </w:pPr>
      <w:r>
        <w:rPr>
          <w:rFonts w:hint="eastAsia" w:ascii="宋体" w:hAnsi="宋体" w:eastAsia="宋体" w:cs="宋体"/>
          <w:b/>
          <w:sz w:val="24"/>
          <w:szCs w:val="24"/>
        </w:rPr>
        <w:t>1.4项目群需求分析</w:t>
      </w:r>
    </w:p>
    <w:p>
      <w:pPr>
        <w:pageBreakBefore w:val="0"/>
        <w:numPr>
          <w:ilvl w:val="0"/>
          <w:numId w:val="7"/>
        </w:numPr>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制定新一代核心业务系统项目群需求工作方法和相关模板，并向招标人宣讲，使招标人相关业务及技术人员熟练掌握。</w:t>
      </w:r>
    </w:p>
    <w:p>
      <w:pPr>
        <w:pageBreakBefore w:val="0"/>
        <w:numPr>
          <w:ilvl w:val="0"/>
          <w:numId w:val="7"/>
        </w:numPr>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制定新一代核心业务系统项目群需求分析工作的细化组织架构、沟通机制和计划，协助提出资源配备计划，协助培养招标人核心需求团队。</w:t>
      </w:r>
    </w:p>
    <w:p>
      <w:pPr>
        <w:pageBreakBefore w:val="0"/>
        <w:numPr>
          <w:ilvl w:val="0"/>
          <w:numId w:val="7"/>
        </w:numPr>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以业务战略、监管要求和各业务部门的业务现状及目标要求为基础，借鉴同业先进理念，明确新一代核心业务系统项目群系统支持能力定义及相应的详细功能清单，根据新一代核心业务系统项目群目标功能范围，整理形成核心业务系统项目群高阶需求，高阶需求至少包括系统范围、各系统功能明细及各系统之间关联关系。</w:t>
      </w:r>
    </w:p>
    <w:p>
      <w:pPr>
        <w:pageBreakBefore w:val="0"/>
        <w:numPr>
          <w:ilvl w:val="0"/>
          <w:numId w:val="7"/>
        </w:numPr>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梳理招标人各业务系统之间的业务流程关系</w:t>
      </w:r>
      <w:r>
        <w:rPr>
          <w:rFonts w:hint="eastAsia" w:ascii="宋体" w:hAnsi="宋体" w:eastAsia="宋体" w:cs="宋体"/>
          <w:color w:val="000000"/>
          <w:sz w:val="24"/>
          <w:szCs w:val="24"/>
        </w:rPr>
        <w:t>及业务梳理范围，提供可落地实施的具体业务梳理方法，组织和指导招标人业务人员开展关键业务项梳理和工作</w:t>
      </w:r>
      <w:r>
        <w:rPr>
          <w:rFonts w:hint="eastAsia" w:ascii="宋体" w:hAnsi="宋体" w:eastAsia="宋体" w:cs="宋体"/>
          <w:sz w:val="24"/>
          <w:szCs w:val="24"/>
        </w:rPr>
        <w:t>。</w:t>
      </w:r>
    </w:p>
    <w:p>
      <w:pPr>
        <w:pageBreakBefore w:val="0"/>
        <w:numPr>
          <w:ilvl w:val="0"/>
          <w:numId w:val="7"/>
        </w:numPr>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color w:val="FF0000"/>
          <w:sz w:val="24"/>
          <w:szCs w:val="24"/>
        </w:rPr>
      </w:pPr>
      <w:r>
        <w:rPr>
          <w:rFonts w:hint="eastAsia" w:ascii="宋体" w:hAnsi="宋体" w:eastAsia="宋体" w:cs="宋体"/>
          <w:sz w:val="24"/>
          <w:szCs w:val="24"/>
        </w:rPr>
        <w:t>组织推动新一代核心业务系统项目群主体系统及配套改造业务系统需求分析及沟通确认工作，包括制定评审方案，组织评审工作。</w:t>
      </w:r>
    </w:p>
    <w:p>
      <w:pPr>
        <w:pageBreakBefore w:val="0"/>
        <w:kinsoku/>
        <w:wordWrap/>
        <w:overflowPunct/>
        <w:topLinePunct w:val="0"/>
        <w:autoSpaceDE/>
        <w:autoSpaceDN/>
        <w:bidi w:val="0"/>
        <w:adjustRightInd/>
        <w:snapToGrid/>
        <w:spacing w:line="400" w:lineRule="exact"/>
        <w:ind w:right="0" w:rightChars="0"/>
        <w:textAlignment w:val="auto"/>
        <w:outlineLvl w:val="3"/>
        <w:rPr>
          <w:rFonts w:hint="eastAsia" w:ascii="宋体" w:hAnsi="宋体" w:eastAsia="宋体" w:cs="宋体"/>
          <w:b/>
          <w:sz w:val="24"/>
          <w:szCs w:val="24"/>
        </w:rPr>
      </w:pPr>
      <w:r>
        <w:rPr>
          <w:rFonts w:hint="eastAsia" w:ascii="宋体" w:hAnsi="宋体" w:eastAsia="宋体" w:cs="宋体"/>
          <w:b/>
          <w:sz w:val="24"/>
          <w:szCs w:val="24"/>
        </w:rPr>
        <w:t>1.5需求与产品差异化分析</w:t>
      </w:r>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新一代核心业务系统及新建重构系统开发厂商入场后，结合厂商需求原型及招标人实际组织差异化分析工作，并提供需求差异分析报告。主要工作内容包括：</w:t>
      </w:r>
    </w:p>
    <w:p>
      <w:pPr>
        <w:pageBreakBefore w:val="0"/>
        <w:numPr>
          <w:ilvl w:val="0"/>
          <w:numId w:val="8"/>
        </w:numPr>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制定和宣讲需求差异分析工作方案。</w:t>
      </w:r>
    </w:p>
    <w:p>
      <w:pPr>
        <w:pageBreakBefore w:val="0"/>
        <w:numPr>
          <w:ilvl w:val="0"/>
          <w:numId w:val="8"/>
        </w:numPr>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以基础需求为基础，结合厂商产品原型需求、招标人需求，组织项目组开展需求差异分析，针对差异分析提供建设性意见。</w:t>
      </w:r>
    </w:p>
    <w:p>
      <w:pPr>
        <w:pageBreakBefore w:val="0"/>
        <w:numPr>
          <w:ilvl w:val="0"/>
          <w:numId w:val="8"/>
        </w:numPr>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组织编制目标落地需求文档，作为后续实施厂商工作的输入。</w:t>
      </w:r>
    </w:p>
    <w:p>
      <w:pPr>
        <w:pageBreakBefore w:val="0"/>
        <w:numPr>
          <w:ilvl w:val="0"/>
          <w:numId w:val="8"/>
        </w:numPr>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识别外围系统配套需求点，组织需求点讲解工作，并提交相应外围系统纳入需求范围。</w:t>
      </w:r>
    </w:p>
    <w:p>
      <w:pPr>
        <w:pageBreakBefore w:val="0"/>
        <w:kinsoku/>
        <w:wordWrap/>
        <w:overflowPunct/>
        <w:topLinePunct w:val="0"/>
        <w:autoSpaceDE/>
        <w:autoSpaceDN/>
        <w:bidi w:val="0"/>
        <w:adjustRightInd/>
        <w:snapToGrid/>
        <w:spacing w:line="400" w:lineRule="exact"/>
        <w:ind w:right="0" w:rightChars="0"/>
        <w:textAlignment w:val="auto"/>
        <w:outlineLvl w:val="3"/>
        <w:rPr>
          <w:rFonts w:hint="eastAsia" w:ascii="宋体" w:hAnsi="宋体" w:eastAsia="宋体" w:cs="宋体"/>
          <w:b/>
          <w:sz w:val="24"/>
          <w:szCs w:val="24"/>
        </w:rPr>
      </w:pPr>
      <w:r>
        <w:rPr>
          <w:rFonts w:hint="eastAsia" w:ascii="宋体" w:hAnsi="宋体" w:eastAsia="宋体" w:cs="宋体"/>
          <w:b/>
          <w:sz w:val="24"/>
          <w:szCs w:val="24"/>
        </w:rPr>
        <w:t>1.6详细需求编写</w:t>
      </w:r>
    </w:p>
    <w:p>
      <w:pPr>
        <w:pageBreakBefore w:val="0"/>
        <w:numPr>
          <w:ilvl w:val="0"/>
          <w:numId w:val="9"/>
        </w:numPr>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制定新一代核心业务系统项目群需求编写工作方法，包括业务需求大纲编写方法、详细需求编写方法。</w:t>
      </w:r>
    </w:p>
    <w:p>
      <w:pPr>
        <w:pageBreakBefore w:val="0"/>
        <w:numPr>
          <w:ilvl w:val="0"/>
          <w:numId w:val="9"/>
        </w:numPr>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指导招标人业务人员整理及编写新一代核心业务系统项目群外围配套改造系统业务需求，组织并完成相关评审。</w:t>
      </w:r>
    </w:p>
    <w:p>
      <w:pPr>
        <w:pageBreakBefore w:val="0"/>
        <w:kinsoku/>
        <w:wordWrap/>
        <w:overflowPunct/>
        <w:topLinePunct w:val="0"/>
        <w:autoSpaceDE/>
        <w:autoSpaceDN/>
        <w:bidi w:val="0"/>
        <w:adjustRightInd/>
        <w:snapToGrid/>
        <w:spacing w:line="400" w:lineRule="exact"/>
        <w:ind w:right="0" w:rightChars="0"/>
        <w:textAlignment w:val="auto"/>
        <w:outlineLvl w:val="3"/>
        <w:rPr>
          <w:rFonts w:hint="eastAsia" w:ascii="宋体" w:hAnsi="宋体" w:eastAsia="宋体" w:cs="宋体"/>
          <w:b/>
          <w:sz w:val="24"/>
          <w:szCs w:val="24"/>
        </w:rPr>
      </w:pPr>
      <w:r>
        <w:rPr>
          <w:rFonts w:hint="eastAsia" w:ascii="宋体" w:hAnsi="宋体" w:eastAsia="宋体" w:cs="宋体"/>
          <w:b/>
          <w:sz w:val="24"/>
          <w:szCs w:val="24"/>
        </w:rPr>
        <w:t>1.7需求管控与变更管理</w:t>
      </w:r>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协助招标人建立新一代核心业务系统项目群的需求管理办法、制度、模板，以便对建设过程中的相关需求进行管理，具体包括如下内容：</w:t>
      </w:r>
    </w:p>
    <w:p>
      <w:pPr>
        <w:pageBreakBefore w:val="0"/>
        <w:numPr>
          <w:ilvl w:val="0"/>
          <w:numId w:val="10"/>
        </w:numPr>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需求跟踪管理。以核心系统需求功能清单为基础，编制需求跟踪矩阵，组织对业务功能点进行主控系统/协助系统识别，与软件规格书的功能点进行映射，确保所有功能点在设计阶段得以覆盖。</w:t>
      </w:r>
    </w:p>
    <w:p>
      <w:pPr>
        <w:pageBreakBefore w:val="0"/>
        <w:numPr>
          <w:ilvl w:val="0"/>
          <w:numId w:val="10"/>
        </w:numPr>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需求变更管理。制定新一代核心业务系统项目群建设期间的需求变更管理流程，过程中合理、有效控制变更活动，及时识别对项目里程碑产生影响的重大变更，参与重大变更的评审与决策，确保需求变更可管、可控，降低需求变更风险。</w:t>
      </w:r>
    </w:p>
    <w:p>
      <w:pPr>
        <w:pStyle w:val="21"/>
        <w:pageBreakBefore w:val="0"/>
        <w:numPr>
          <w:ilvl w:val="0"/>
          <w:numId w:val="0"/>
        </w:numPr>
        <w:kinsoku/>
        <w:wordWrap/>
        <w:overflowPunct/>
        <w:topLinePunct w:val="0"/>
        <w:autoSpaceDE/>
        <w:autoSpaceDN/>
        <w:bidi w:val="0"/>
        <w:adjustRightInd/>
        <w:snapToGrid/>
        <w:spacing w:after="0" w:afterLines="0" w:line="400" w:lineRule="exact"/>
        <w:ind w:right="0" w:rightChars="0"/>
        <w:textAlignment w:val="auto"/>
        <w:rPr>
          <w:rFonts w:hint="eastAsia" w:ascii="宋体" w:hAnsi="宋体" w:eastAsia="宋体" w:cs="宋体"/>
          <w:b/>
          <w:sz w:val="24"/>
          <w:szCs w:val="24"/>
        </w:rPr>
      </w:pPr>
      <w:bookmarkStart w:id="36" w:name="_Toc54336392"/>
      <w:r>
        <w:rPr>
          <w:rFonts w:hint="eastAsia" w:ascii="宋体" w:hAnsi="宋体" w:eastAsia="宋体" w:cs="宋体"/>
          <w:b/>
          <w:sz w:val="24"/>
          <w:szCs w:val="24"/>
          <w:lang w:val="en-US" w:eastAsia="zh-CN"/>
        </w:rPr>
        <w:t>2、</w:t>
      </w:r>
      <w:r>
        <w:rPr>
          <w:rFonts w:hint="eastAsia" w:ascii="宋体" w:hAnsi="宋体" w:eastAsia="宋体" w:cs="宋体"/>
          <w:b/>
          <w:sz w:val="24"/>
          <w:szCs w:val="24"/>
        </w:rPr>
        <w:t>架构咨询服务</w:t>
      </w:r>
      <w:bookmarkEnd w:id="34"/>
      <w:bookmarkEnd w:id="35"/>
      <w:bookmarkEnd w:id="36"/>
    </w:p>
    <w:bookmarkEnd w:id="31"/>
    <w:p>
      <w:pPr>
        <w:pageBreakBefore w:val="0"/>
        <w:kinsoku/>
        <w:wordWrap/>
        <w:overflowPunct/>
        <w:topLinePunct w:val="0"/>
        <w:autoSpaceDE/>
        <w:autoSpaceDN/>
        <w:bidi w:val="0"/>
        <w:adjustRightInd/>
        <w:snapToGrid/>
        <w:spacing w:line="400" w:lineRule="exact"/>
        <w:ind w:right="0" w:rightChars="0"/>
        <w:textAlignment w:val="auto"/>
        <w:outlineLvl w:val="3"/>
        <w:rPr>
          <w:rFonts w:hint="eastAsia" w:ascii="宋体" w:hAnsi="宋体" w:eastAsia="宋体" w:cs="宋体"/>
          <w:b/>
          <w:sz w:val="24"/>
          <w:szCs w:val="24"/>
        </w:rPr>
      </w:pPr>
      <w:bookmarkStart w:id="37" w:name="_Toc18609745"/>
      <w:bookmarkEnd w:id="37"/>
      <w:bookmarkStart w:id="38" w:name="_Toc18609783"/>
      <w:bookmarkEnd w:id="38"/>
      <w:bookmarkStart w:id="39" w:name="_Toc20678570"/>
      <w:bookmarkEnd w:id="39"/>
      <w:bookmarkStart w:id="40" w:name="_Toc20678585"/>
      <w:bookmarkEnd w:id="40"/>
      <w:bookmarkStart w:id="41" w:name="_Toc20678615"/>
      <w:bookmarkEnd w:id="41"/>
      <w:bookmarkStart w:id="42" w:name="_Toc20678581"/>
      <w:bookmarkEnd w:id="42"/>
      <w:bookmarkStart w:id="43" w:name="_Toc41321574"/>
      <w:bookmarkEnd w:id="43"/>
      <w:bookmarkStart w:id="44" w:name="_Toc20678616"/>
      <w:bookmarkEnd w:id="44"/>
      <w:bookmarkStart w:id="45" w:name="_Toc41321528"/>
      <w:bookmarkEnd w:id="45"/>
      <w:bookmarkStart w:id="46" w:name="_Toc20678577"/>
      <w:bookmarkEnd w:id="46"/>
      <w:bookmarkStart w:id="47" w:name="_Toc18609782"/>
      <w:bookmarkEnd w:id="47"/>
      <w:bookmarkStart w:id="48" w:name="_Toc18609738"/>
      <w:bookmarkEnd w:id="48"/>
      <w:bookmarkStart w:id="49" w:name="_Toc18609749"/>
      <w:bookmarkEnd w:id="49"/>
      <w:bookmarkStart w:id="50" w:name="_Toc41321575"/>
      <w:bookmarkStart w:id="51" w:name="_Toc41321529"/>
      <w:r>
        <w:rPr>
          <w:rFonts w:hint="eastAsia" w:ascii="宋体" w:hAnsi="宋体" w:eastAsia="宋体" w:cs="宋体"/>
          <w:b/>
          <w:sz w:val="24"/>
          <w:szCs w:val="24"/>
        </w:rPr>
        <w:t>2.1IT架构现状评估分析</w:t>
      </w:r>
    </w:p>
    <w:p>
      <w:pPr>
        <w:pageBreakBefore w:val="0"/>
        <w:numPr>
          <w:ilvl w:val="0"/>
          <w:numId w:val="11"/>
        </w:numPr>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收集、分析评估招标人现有的覆盖各业务领域的IT系统架构现状。</w:t>
      </w:r>
    </w:p>
    <w:p>
      <w:pPr>
        <w:pageBreakBefore w:val="0"/>
        <w:numPr>
          <w:ilvl w:val="0"/>
          <w:numId w:val="11"/>
        </w:numPr>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结合各业务条线对IT能力的诉求，参考同业领先实践，通过调研现状评估问题，提出实施优先级，确定IT能力发展路线图，形成招标人IT能力现状评估、差距分析及优化建议。</w:t>
      </w:r>
    </w:p>
    <w:p>
      <w:pPr>
        <w:pageBreakBefore w:val="0"/>
        <w:kinsoku/>
        <w:wordWrap/>
        <w:overflowPunct/>
        <w:topLinePunct w:val="0"/>
        <w:autoSpaceDE/>
        <w:autoSpaceDN/>
        <w:bidi w:val="0"/>
        <w:adjustRightInd/>
        <w:snapToGrid/>
        <w:spacing w:line="400" w:lineRule="exact"/>
        <w:ind w:right="0" w:rightChars="0"/>
        <w:textAlignment w:val="auto"/>
        <w:outlineLvl w:val="3"/>
        <w:rPr>
          <w:rFonts w:hint="eastAsia" w:ascii="宋体" w:hAnsi="宋体" w:eastAsia="宋体" w:cs="宋体"/>
          <w:b/>
          <w:sz w:val="24"/>
          <w:szCs w:val="24"/>
        </w:rPr>
      </w:pPr>
      <w:r>
        <w:rPr>
          <w:rFonts w:hint="eastAsia" w:ascii="宋体" w:hAnsi="宋体" w:eastAsia="宋体" w:cs="宋体"/>
          <w:b/>
          <w:sz w:val="24"/>
          <w:szCs w:val="24"/>
        </w:rPr>
        <w:t>2.2项目群总体架构规划</w:t>
      </w:r>
    </w:p>
    <w:p>
      <w:pPr>
        <w:pageBreakBefore w:val="0"/>
        <w:numPr>
          <w:ilvl w:val="0"/>
          <w:numId w:val="12"/>
        </w:numPr>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协助招标人完成新一代核心业务系统项目群建设总体架构规划方案，明晰核心业务系统的建设重点，细化新一代核心业务系统项目群的实施范围和实施路径，包括新建系统、重大升级系统以及配套改造系统。</w:t>
      </w:r>
    </w:p>
    <w:p>
      <w:pPr>
        <w:pageBreakBefore w:val="0"/>
        <w:numPr>
          <w:ilvl w:val="0"/>
          <w:numId w:val="12"/>
        </w:numPr>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在充分利用现有资源情况下，结合招标人实际情况，充分考虑时间、风险、资源等因素，提出新一代核心业务系统项目群建设策略建议，包括工期、任务安排、人力资源、系统资源等各方面要素。</w:t>
      </w:r>
    </w:p>
    <w:p>
      <w:pPr>
        <w:pageBreakBefore w:val="0"/>
        <w:numPr>
          <w:ilvl w:val="0"/>
          <w:numId w:val="12"/>
        </w:numPr>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协助招标人完成新一代核心业务系统项目群系统应用架构蓝图设计。</w:t>
      </w:r>
    </w:p>
    <w:p>
      <w:pPr>
        <w:pageBreakBefore w:val="0"/>
        <w:kinsoku/>
        <w:wordWrap/>
        <w:overflowPunct/>
        <w:topLinePunct w:val="0"/>
        <w:autoSpaceDE/>
        <w:autoSpaceDN/>
        <w:bidi w:val="0"/>
        <w:adjustRightInd/>
        <w:snapToGrid/>
        <w:spacing w:line="400" w:lineRule="exact"/>
        <w:ind w:right="0" w:rightChars="0"/>
        <w:textAlignment w:val="auto"/>
        <w:outlineLvl w:val="3"/>
        <w:rPr>
          <w:rFonts w:hint="eastAsia" w:ascii="宋体" w:hAnsi="宋体" w:eastAsia="宋体" w:cs="宋体"/>
          <w:b/>
          <w:sz w:val="24"/>
          <w:szCs w:val="24"/>
        </w:rPr>
      </w:pPr>
      <w:r>
        <w:rPr>
          <w:rFonts w:hint="eastAsia" w:ascii="宋体" w:hAnsi="宋体" w:eastAsia="宋体" w:cs="宋体"/>
          <w:b/>
          <w:sz w:val="24"/>
          <w:szCs w:val="24"/>
        </w:rPr>
        <w:t>2.</w:t>
      </w:r>
      <w:r>
        <w:rPr>
          <w:rFonts w:hint="eastAsia" w:ascii="宋体" w:hAnsi="宋体" w:eastAsia="宋体" w:cs="宋体"/>
          <w:b/>
          <w:sz w:val="24"/>
          <w:szCs w:val="24"/>
          <w:lang w:val="en-US" w:eastAsia="zh-CN"/>
        </w:rPr>
        <w:t>3</w:t>
      </w:r>
      <w:r>
        <w:rPr>
          <w:rFonts w:hint="eastAsia" w:ascii="宋体" w:hAnsi="宋体" w:eastAsia="宋体" w:cs="宋体"/>
          <w:b/>
          <w:sz w:val="24"/>
          <w:szCs w:val="24"/>
        </w:rPr>
        <w:t>应用架构设计服务</w:t>
      </w:r>
    </w:p>
    <w:p>
      <w:pPr>
        <w:pageBreakBefore w:val="0"/>
        <w:numPr>
          <w:ilvl w:val="0"/>
          <w:numId w:val="13"/>
        </w:numPr>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基于招标人IT战略规划，参考对标国内领先银行先进的架构模型及实践，结合本行的业务发展战略和地方特色业务，对招标人目标应用架构及应用系统提出优化改进建议。</w:t>
      </w:r>
    </w:p>
    <w:p>
      <w:pPr>
        <w:pageBreakBefore w:val="0"/>
        <w:numPr>
          <w:ilvl w:val="0"/>
          <w:numId w:val="13"/>
        </w:numPr>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明确招标人未来信息化建设目标，在充分理解本行新一代核心业务系统项目群建设目标和存量系统间关系的基础上，清晰定义关键应用系统及平台的功能、关联关系，对各新建系统和存量系统与周边系统的集成关系和应用边界进行明确。</w:t>
      </w:r>
    </w:p>
    <w:p>
      <w:pPr>
        <w:pageBreakBefore w:val="0"/>
        <w:numPr>
          <w:ilvl w:val="0"/>
          <w:numId w:val="13"/>
        </w:numPr>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针对新建及重构系统（至少包括：核心业务系统、</w:t>
      </w:r>
      <w:r>
        <w:rPr>
          <w:rFonts w:hint="eastAsia" w:ascii="宋体" w:hAnsi="宋体" w:cs="宋体"/>
          <w:sz w:val="24"/>
          <w:szCs w:val="24"/>
          <w:lang w:eastAsia="zh-CN"/>
        </w:rPr>
        <w:t>柜面系统、</w:t>
      </w:r>
      <w:r>
        <w:rPr>
          <w:rFonts w:hint="eastAsia" w:ascii="宋体" w:hAnsi="宋体" w:eastAsia="宋体" w:cs="宋体"/>
          <w:sz w:val="24"/>
          <w:szCs w:val="24"/>
        </w:rPr>
        <w:t>esb系统、总账系统、数据仓库</w:t>
      </w:r>
      <w:r>
        <w:rPr>
          <w:rFonts w:hint="eastAsia" w:ascii="宋体" w:hAnsi="宋体" w:eastAsia="宋体" w:cs="宋体"/>
          <w:sz w:val="24"/>
          <w:szCs w:val="24"/>
          <w:lang w:eastAsia="zh-CN"/>
        </w:rPr>
        <w:t>等</w:t>
      </w:r>
      <w:r>
        <w:rPr>
          <w:rFonts w:hint="eastAsia" w:ascii="宋体" w:hAnsi="宋体" w:eastAsia="宋体" w:cs="宋体"/>
          <w:sz w:val="24"/>
          <w:szCs w:val="24"/>
        </w:rPr>
        <w:t>），分别从业务功能、应用架构、实施路径、业务及技术关键点、设计及管控标准等方面进行分析，形成上述关键应用系统的深化落地实施方案。</w:t>
      </w:r>
    </w:p>
    <w:p>
      <w:pPr>
        <w:pageBreakBefore w:val="0"/>
        <w:numPr>
          <w:ilvl w:val="0"/>
          <w:numId w:val="13"/>
        </w:numPr>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制定全行应用系统架构指导原则，明确关键应用系统的目标定位、主要功能及集成关系等，作为招标人未来信息化建设架构基本法。</w:t>
      </w:r>
    </w:p>
    <w:p>
      <w:pPr>
        <w:pageBreakBefore w:val="0"/>
        <w:numPr>
          <w:ilvl w:val="0"/>
          <w:numId w:val="13"/>
        </w:numPr>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组织制定、提供完整的架构管控机制，包括架构评审、架构变更、架构例外等流程及模板，确保架构设计成果得到持续完善，保障新一代核心业务系统项目群按照架构规划进行实施。</w:t>
      </w:r>
    </w:p>
    <w:p>
      <w:pPr>
        <w:pageBreakBefore w:val="0"/>
        <w:kinsoku/>
        <w:wordWrap/>
        <w:overflowPunct/>
        <w:topLinePunct w:val="0"/>
        <w:autoSpaceDE/>
        <w:autoSpaceDN/>
        <w:bidi w:val="0"/>
        <w:adjustRightInd/>
        <w:snapToGrid/>
        <w:spacing w:line="400" w:lineRule="exact"/>
        <w:ind w:right="0" w:rightChars="0"/>
        <w:textAlignment w:val="auto"/>
        <w:outlineLvl w:val="3"/>
        <w:rPr>
          <w:rFonts w:hint="eastAsia" w:ascii="宋体" w:hAnsi="宋体" w:eastAsia="宋体" w:cs="宋体"/>
          <w:b/>
          <w:sz w:val="24"/>
          <w:szCs w:val="24"/>
        </w:rPr>
      </w:pPr>
      <w:r>
        <w:rPr>
          <w:rFonts w:hint="eastAsia" w:ascii="宋体" w:hAnsi="宋体" w:eastAsia="宋体" w:cs="宋体"/>
          <w:b/>
          <w:sz w:val="24"/>
          <w:szCs w:val="24"/>
        </w:rPr>
        <w:t>2.</w:t>
      </w:r>
      <w:r>
        <w:rPr>
          <w:rFonts w:hint="eastAsia" w:ascii="宋体" w:hAnsi="宋体" w:eastAsia="宋体" w:cs="宋体"/>
          <w:b/>
          <w:sz w:val="24"/>
          <w:szCs w:val="24"/>
          <w:lang w:val="en-US" w:eastAsia="zh-CN"/>
        </w:rPr>
        <w:t>4</w:t>
      </w:r>
      <w:r>
        <w:rPr>
          <w:rFonts w:hint="eastAsia" w:ascii="宋体" w:hAnsi="宋体" w:eastAsia="宋体" w:cs="宋体"/>
          <w:b/>
          <w:sz w:val="24"/>
          <w:szCs w:val="24"/>
        </w:rPr>
        <w:t>数据架构设计服务</w:t>
      </w:r>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以招标人业务发展战略和信息科技发展规划为依托，制定数据整个生命周期中对数据存储、转换、分布、整合的策略、模型、流程，描述招标人数据资产的逻辑和物理关系，规范数据资产的管理和应用，实现从跨系统、业务、应用的视角对数据进行有效组织和管理的目标。</w:t>
      </w:r>
    </w:p>
    <w:p>
      <w:pPr>
        <w:pageBreakBefore w:val="0"/>
        <w:kinsoku/>
        <w:wordWrap/>
        <w:overflowPunct/>
        <w:topLinePunct w:val="0"/>
        <w:autoSpaceDE/>
        <w:autoSpaceDN/>
        <w:bidi w:val="0"/>
        <w:adjustRightInd/>
        <w:snapToGrid/>
        <w:spacing w:line="400" w:lineRule="exact"/>
        <w:ind w:right="0" w:rightChars="0"/>
        <w:textAlignment w:val="auto"/>
        <w:outlineLvl w:val="3"/>
        <w:rPr>
          <w:rFonts w:hint="eastAsia" w:ascii="宋体" w:hAnsi="宋体" w:eastAsia="宋体" w:cs="宋体"/>
          <w:b/>
          <w:sz w:val="24"/>
          <w:szCs w:val="24"/>
        </w:rPr>
      </w:pPr>
      <w:r>
        <w:rPr>
          <w:rFonts w:hint="eastAsia" w:ascii="宋体" w:hAnsi="宋体" w:eastAsia="宋体" w:cs="宋体"/>
          <w:b/>
          <w:sz w:val="24"/>
          <w:szCs w:val="24"/>
        </w:rPr>
        <w:t>2.</w:t>
      </w:r>
      <w:r>
        <w:rPr>
          <w:rFonts w:hint="eastAsia" w:ascii="宋体" w:hAnsi="宋体" w:eastAsia="宋体" w:cs="宋体"/>
          <w:b/>
          <w:sz w:val="24"/>
          <w:szCs w:val="24"/>
          <w:lang w:val="en-US" w:eastAsia="zh-CN"/>
        </w:rPr>
        <w:t>5</w:t>
      </w:r>
      <w:r>
        <w:rPr>
          <w:rFonts w:hint="eastAsia" w:ascii="宋体" w:hAnsi="宋体" w:eastAsia="宋体" w:cs="宋体"/>
          <w:b/>
          <w:sz w:val="24"/>
          <w:szCs w:val="24"/>
        </w:rPr>
        <w:t>基础架构设计服务</w:t>
      </w:r>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保障招标人新一代核心业务系统项目群各应用系统、技术平台持续稳定运行，以及拓展性要求，设计核心项目群各系统投入运行所需主机、网络、存储、安全、基础软件和数据中心基础设施的规划分布和逻辑关系。</w:t>
      </w:r>
    </w:p>
    <w:p>
      <w:pPr>
        <w:pageBreakBefore w:val="0"/>
        <w:kinsoku/>
        <w:wordWrap/>
        <w:overflowPunct/>
        <w:topLinePunct w:val="0"/>
        <w:autoSpaceDE/>
        <w:autoSpaceDN/>
        <w:bidi w:val="0"/>
        <w:adjustRightInd/>
        <w:snapToGrid/>
        <w:spacing w:line="400" w:lineRule="exact"/>
        <w:ind w:right="0" w:rightChars="0"/>
        <w:textAlignment w:val="auto"/>
        <w:outlineLvl w:val="3"/>
        <w:rPr>
          <w:rFonts w:hint="eastAsia" w:ascii="宋体" w:hAnsi="宋体" w:eastAsia="宋体" w:cs="宋体"/>
          <w:b/>
          <w:sz w:val="24"/>
          <w:szCs w:val="24"/>
        </w:rPr>
      </w:pPr>
      <w:r>
        <w:rPr>
          <w:rFonts w:hint="eastAsia" w:ascii="宋体" w:hAnsi="宋体" w:eastAsia="宋体" w:cs="宋体"/>
          <w:b/>
          <w:sz w:val="24"/>
          <w:szCs w:val="24"/>
        </w:rPr>
        <w:t>2.</w:t>
      </w:r>
      <w:r>
        <w:rPr>
          <w:rFonts w:hint="eastAsia" w:ascii="宋体" w:hAnsi="宋体" w:eastAsia="宋体" w:cs="宋体"/>
          <w:b/>
          <w:sz w:val="24"/>
          <w:szCs w:val="24"/>
          <w:lang w:val="en-US" w:eastAsia="zh-CN"/>
        </w:rPr>
        <w:t>6</w:t>
      </w:r>
      <w:r>
        <w:rPr>
          <w:rFonts w:hint="eastAsia" w:ascii="宋体" w:hAnsi="宋体" w:eastAsia="宋体" w:cs="宋体"/>
          <w:b/>
          <w:sz w:val="24"/>
          <w:szCs w:val="24"/>
        </w:rPr>
        <w:t>系统选型辅助服务</w:t>
      </w:r>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结合新一代核心业务系统项目群总体架构规划、业务目标及技术目标，针对新建或重大升级系统，根据招标人要求协助进行选型。服务内容包括：</w:t>
      </w:r>
    </w:p>
    <w:p>
      <w:pPr>
        <w:pageBreakBefore w:val="0"/>
        <w:numPr>
          <w:ilvl w:val="0"/>
          <w:numId w:val="14"/>
        </w:numPr>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新建或重大升级系统招标需求评审。</w:t>
      </w:r>
    </w:p>
    <w:p>
      <w:pPr>
        <w:pageBreakBefore w:val="0"/>
        <w:numPr>
          <w:ilvl w:val="0"/>
          <w:numId w:val="14"/>
        </w:numPr>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根据业内实施的经验，提出选型的策略及建议。</w:t>
      </w:r>
    </w:p>
    <w:p>
      <w:pPr>
        <w:pageBreakBefore w:val="0"/>
        <w:numPr>
          <w:ilvl w:val="0"/>
          <w:numId w:val="14"/>
        </w:numPr>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提供建议厂商、参与厂商选型交流及提供厂商选型支持。</w:t>
      </w:r>
    </w:p>
    <w:p>
      <w:pPr>
        <w:pageBreakBefore w:val="0"/>
        <w:numPr>
          <w:ilvl w:val="0"/>
          <w:numId w:val="14"/>
        </w:numPr>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协助完成厂商选型评分表设计、信息征询整理及选型关键交付物评审等。</w:t>
      </w:r>
    </w:p>
    <w:p>
      <w:pPr>
        <w:pStyle w:val="21"/>
        <w:pageBreakBefore w:val="0"/>
        <w:numPr>
          <w:ilvl w:val="0"/>
          <w:numId w:val="0"/>
        </w:numPr>
        <w:kinsoku/>
        <w:wordWrap/>
        <w:overflowPunct/>
        <w:topLinePunct w:val="0"/>
        <w:autoSpaceDE/>
        <w:autoSpaceDN/>
        <w:bidi w:val="0"/>
        <w:adjustRightInd/>
        <w:snapToGrid/>
        <w:spacing w:after="0" w:afterLines="0" w:line="400" w:lineRule="exact"/>
        <w:ind w:right="0" w:rightChars="0"/>
        <w:textAlignment w:val="auto"/>
        <w:rPr>
          <w:rFonts w:hint="eastAsia" w:ascii="宋体" w:hAnsi="宋体" w:eastAsia="宋体" w:cs="宋体"/>
          <w:b/>
          <w:sz w:val="24"/>
          <w:szCs w:val="24"/>
          <w:lang w:val="en-US" w:eastAsia="zh-CN"/>
        </w:rPr>
      </w:pPr>
      <w:bookmarkStart w:id="52" w:name="_Toc42790672"/>
      <w:bookmarkStart w:id="53" w:name="_Toc54336390"/>
      <w:bookmarkStart w:id="54" w:name="_Toc41321566"/>
      <w:bookmarkStart w:id="55" w:name="_Toc41321520"/>
      <w:r>
        <w:rPr>
          <w:rFonts w:hint="eastAsia" w:ascii="宋体" w:hAnsi="宋体" w:eastAsia="宋体" w:cs="宋体"/>
          <w:b/>
          <w:sz w:val="24"/>
          <w:szCs w:val="24"/>
          <w:lang w:val="en-US" w:eastAsia="zh-CN"/>
        </w:rPr>
        <w:t>3、PMO服务</w:t>
      </w:r>
      <w:bookmarkEnd w:id="52"/>
      <w:bookmarkEnd w:id="53"/>
      <w:bookmarkEnd w:id="54"/>
      <w:bookmarkEnd w:id="55"/>
    </w:p>
    <w:bookmarkEnd w:id="50"/>
    <w:bookmarkEnd w:id="51"/>
    <w:p>
      <w:pPr>
        <w:pageBreakBefore w:val="0"/>
        <w:kinsoku/>
        <w:wordWrap/>
        <w:overflowPunct/>
        <w:topLinePunct w:val="0"/>
        <w:autoSpaceDE/>
        <w:autoSpaceDN/>
        <w:bidi w:val="0"/>
        <w:adjustRightInd/>
        <w:snapToGrid/>
        <w:spacing w:line="400" w:lineRule="exact"/>
        <w:ind w:leftChars="200" w:right="0" w:rightChars="0" w:firstLine="0" w:firstLineChars="0"/>
        <w:textAlignment w:val="auto"/>
        <w:outlineLvl w:val="3"/>
        <w:rPr>
          <w:rFonts w:hint="eastAsia" w:ascii="宋体" w:hAnsi="宋体" w:eastAsia="宋体" w:cs="宋体"/>
          <w:b/>
          <w:sz w:val="24"/>
          <w:szCs w:val="24"/>
        </w:rPr>
      </w:pPr>
      <w:bookmarkStart w:id="56" w:name="_Toc54336393"/>
      <w:r>
        <w:rPr>
          <w:rFonts w:hint="eastAsia" w:ascii="宋体" w:hAnsi="宋体" w:eastAsia="宋体" w:cs="宋体"/>
          <w:b/>
          <w:sz w:val="24"/>
          <w:szCs w:val="24"/>
        </w:rPr>
        <w:t>3.1项目管理解决方案</w:t>
      </w:r>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PMO服务商应采用 PMO 专业能力和实践经验，应用科学、系统的项目与质量管理方法，结合项目群的需求，提供完整的项目管理解决方案。</w:t>
      </w:r>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PMO 服务商应提供项目管理过程体系文档，对本行现状调研、项目实施过程等分析，建立合理可行的质量管理体系、过程执行及交付标准等，并负责体系的落地实施。</w:t>
      </w:r>
    </w:p>
    <w:p>
      <w:pPr>
        <w:pageBreakBefore w:val="0"/>
        <w:kinsoku/>
        <w:wordWrap/>
        <w:overflowPunct/>
        <w:topLinePunct w:val="0"/>
        <w:autoSpaceDE/>
        <w:autoSpaceDN/>
        <w:bidi w:val="0"/>
        <w:adjustRightInd/>
        <w:snapToGrid/>
        <w:spacing w:line="400" w:lineRule="exact"/>
        <w:ind w:leftChars="200" w:right="0" w:rightChars="0" w:firstLine="0" w:firstLineChars="0"/>
        <w:textAlignment w:val="auto"/>
        <w:outlineLvl w:val="3"/>
        <w:rPr>
          <w:rFonts w:hint="eastAsia" w:ascii="宋体" w:hAnsi="宋体" w:eastAsia="宋体" w:cs="宋体"/>
          <w:b/>
          <w:sz w:val="24"/>
          <w:szCs w:val="24"/>
        </w:rPr>
      </w:pPr>
      <w:bookmarkStart w:id="57" w:name="（3）项目群整体管理"/>
      <w:bookmarkEnd w:id="57"/>
      <w:bookmarkStart w:id="58" w:name="（2）项目群日常管理工作"/>
      <w:bookmarkEnd w:id="58"/>
      <w:r>
        <w:rPr>
          <w:rFonts w:hint="eastAsia" w:ascii="宋体" w:hAnsi="宋体" w:eastAsia="宋体" w:cs="宋体"/>
          <w:b/>
          <w:sz w:val="24"/>
          <w:szCs w:val="24"/>
        </w:rPr>
        <w:t xml:space="preserve">3.2项目群整体管理 </w:t>
      </w:r>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整体管理的目标是以“项目成功”为目标，确保项目实施全过程沿着正确的轨道运行。包括但不限于制定项目管理规章制度、提供并培训项目管理工具（含架构管理、需求管理、项目管理、上线指挥）、整体工作方案、层级化项目管理组织架构、考核评价机制；审定项目目标、范围、资源，跟踪各方工作，审核交付物，并纳入基线管理；对风险和问题及时预警，提出整改措施并督促整改；对重大影响性分析提供咨询建议，并组织评审和决策。</w:t>
      </w:r>
    </w:p>
    <w:p>
      <w:pPr>
        <w:pageBreakBefore w:val="0"/>
        <w:kinsoku/>
        <w:wordWrap/>
        <w:overflowPunct/>
        <w:topLinePunct w:val="0"/>
        <w:autoSpaceDE/>
        <w:autoSpaceDN/>
        <w:bidi w:val="0"/>
        <w:adjustRightInd/>
        <w:snapToGrid/>
        <w:spacing w:line="400" w:lineRule="exact"/>
        <w:ind w:leftChars="200" w:right="0" w:rightChars="0" w:firstLine="0" w:firstLineChars="0"/>
        <w:textAlignment w:val="auto"/>
        <w:outlineLvl w:val="3"/>
        <w:rPr>
          <w:rFonts w:hint="eastAsia" w:ascii="宋体" w:hAnsi="宋体" w:eastAsia="宋体" w:cs="宋体"/>
          <w:b/>
          <w:sz w:val="24"/>
          <w:szCs w:val="24"/>
        </w:rPr>
      </w:pPr>
      <w:r>
        <w:rPr>
          <w:rFonts w:hint="eastAsia" w:ascii="宋体" w:hAnsi="宋体" w:eastAsia="宋体" w:cs="宋体"/>
          <w:b/>
          <w:sz w:val="24"/>
          <w:szCs w:val="24"/>
        </w:rPr>
        <w:t xml:space="preserve">3.3项目群日常管理 </w:t>
      </w:r>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项目群的日常管理，从项目的总体管理、计划和进度管理、沟通管理、资源管理、问题和风险管理、质量管理、文档管理、需求及变更管理、测试与缺陷管理、软件与配置管理、部分特定项目的成本控制与跟踪、投产演练与上线管理、监管报备指导、质量保证总体方案等方面实现全周期规范化管理。包括但不限于统筹组织项目群实施中的项目管理工作，制定工作计划、监控进度、协调资源、安排工作、发现问题和风险、解决问题、质量保证、配置管理、组织验收、主持例会、撰写工作报告等。</w:t>
      </w:r>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PMO服务团队以第三方中立立场，遵循科学的项目管理方法，合理制定项目计划、调配项目资源，加强沟通协作，有效控制项目进度，直接、高效地协调和解决本行各部门及各厂商之间的关联工作，防范项目风险，保障项目质量，保证项目工作顺利展开。</w:t>
      </w:r>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同时，PMO 服务团队应基于本行项目管理办法规定，对各实施厂商在项目过程的交付物提出具体要求，并负责交付物的评审和验收。</w:t>
      </w:r>
    </w:p>
    <w:p>
      <w:pPr>
        <w:pageBreakBefore w:val="0"/>
        <w:kinsoku/>
        <w:wordWrap/>
        <w:overflowPunct/>
        <w:topLinePunct w:val="0"/>
        <w:autoSpaceDE/>
        <w:autoSpaceDN/>
        <w:bidi w:val="0"/>
        <w:adjustRightInd/>
        <w:snapToGrid/>
        <w:spacing w:line="400" w:lineRule="exact"/>
        <w:ind w:leftChars="200" w:right="0" w:rightChars="0" w:firstLine="0" w:firstLineChars="0"/>
        <w:textAlignment w:val="auto"/>
        <w:outlineLvl w:val="3"/>
        <w:rPr>
          <w:rFonts w:hint="eastAsia" w:ascii="宋体" w:hAnsi="宋体" w:eastAsia="宋体" w:cs="宋体"/>
          <w:b/>
          <w:sz w:val="24"/>
          <w:szCs w:val="24"/>
        </w:rPr>
      </w:pPr>
      <w:r>
        <w:rPr>
          <w:rFonts w:hint="eastAsia" w:ascii="宋体" w:hAnsi="宋体" w:eastAsia="宋体" w:cs="宋体"/>
          <w:b/>
          <w:sz w:val="24"/>
          <w:szCs w:val="24"/>
        </w:rPr>
        <w:t xml:space="preserve">3.4项目群需求管理 </w:t>
      </w:r>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协助行方建立需求管理办法、制度、模板，以便对项目建设过程中的需求进行管理。</w:t>
      </w:r>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1）需求准入管理。在不同的项目阶段根据不同的准入标准和原则，对新一代项目群需求进行统一受理和准入管控。</w:t>
      </w:r>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2）需求跟踪管理。以需求功能清单为基础，编制需求跟踪矩阵，组织对业务功能点进行主控系统/协助系统识别，与软件规格书的功能点进行映射，确保所有功能点在设计阶段得以覆盖。</w:t>
      </w:r>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3）需求变更管理。制定项目建设期间的需求变更管理流程，确保需求变更可管、可控，降低需求变更风险。</w:t>
      </w:r>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4）需求基线管理。对经过评审的业务需求说明书、业务专题等业务需求相关的交付物进行基线管理。</w:t>
      </w:r>
    </w:p>
    <w:p>
      <w:pPr>
        <w:pageBreakBefore w:val="0"/>
        <w:kinsoku/>
        <w:wordWrap/>
        <w:overflowPunct/>
        <w:topLinePunct w:val="0"/>
        <w:autoSpaceDE/>
        <w:autoSpaceDN/>
        <w:bidi w:val="0"/>
        <w:adjustRightInd/>
        <w:snapToGrid/>
        <w:spacing w:line="400" w:lineRule="exact"/>
        <w:ind w:leftChars="200" w:right="0" w:rightChars="0" w:firstLine="0" w:firstLineChars="0"/>
        <w:textAlignment w:val="auto"/>
        <w:outlineLvl w:val="3"/>
        <w:rPr>
          <w:rFonts w:hint="eastAsia" w:ascii="宋体" w:hAnsi="宋体" w:eastAsia="宋体" w:cs="宋体"/>
          <w:b/>
          <w:sz w:val="24"/>
          <w:szCs w:val="24"/>
        </w:rPr>
      </w:pPr>
      <w:r>
        <w:rPr>
          <w:rFonts w:hint="eastAsia" w:ascii="宋体" w:hAnsi="宋体" w:eastAsia="宋体" w:cs="宋体"/>
          <w:b/>
          <w:sz w:val="24"/>
          <w:szCs w:val="24"/>
        </w:rPr>
        <w:t xml:space="preserve">3.5架构与技术管控 </w:t>
      </w:r>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参与审核本行制定的总体架构设计文档、参与各项目建设方案的评审工作。</w:t>
      </w:r>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根据本行制定的技术与架构设计方案，制定架构管控方案。</w:t>
      </w:r>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组织评审各实施厂商的开发过程是否按方案设计与开发，及时纠正纠偏，保证开发质量。 </w:t>
      </w:r>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按照总体架构要求，主导并协调跨项目架构决策，并进行跟踪、记录和汇报。</w:t>
      </w:r>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按需制定架构变更流程，并监督执行。 </w:t>
      </w:r>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按需提交项目技术与架构管理报告。</w:t>
      </w:r>
    </w:p>
    <w:p>
      <w:pPr>
        <w:pStyle w:val="21"/>
        <w:pageBreakBefore w:val="0"/>
        <w:numPr>
          <w:ilvl w:val="0"/>
          <w:numId w:val="0"/>
        </w:numPr>
        <w:kinsoku/>
        <w:wordWrap/>
        <w:overflowPunct/>
        <w:topLinePunct w:val="0"/>
        <w:autoSpaceDE/>
        <w:autoSpaceDN/>
        <w:bidi w:val="0"/>
        <w:adjustRightInd/>
        <w:snapToGrid/>
        <w:spacing w:after="0" w:afterLines="0" w:line="400" w:lineRule="exact"/>
        <w:ind w:right="0" w:rightChars="0"/>
        <w:textAlignment w:val="auto"/>
        <w:rPr>
          <w:rFonts w:hint="eastAsia" w:ascii="宋体" w:hAnsi="宋体" w:eastAsia="宋体" w:cs="宋体"/>
          <w:b/>
          <w:sz w:val="24"/>
          <w:szCs w:val="24"/>
        </w:rPr>
      </w:pPr>
      <w:r>
        <w:rPr>
          <w:rFonts w:hint="eastAsia" w:ascii="宋体" w:hAnsi="宋体" w:eastAsia="宋体" w:cs="宋体"/>
          <w:b/>
          <w:sz w:val="24"/>
          <w:szCs w:val="24"/>
        </w:rPr>
        <w:t>（三）项目实施要求</w:t>
      </w:r>
      <w:bookmarkEnd w:id="56"/>
    </w:p>
    <w:p>
      <w:pPr>
        <w:keepNext/>
        <w:keepLines/>
        <w:pageBreakBefore w:val="0"/>
        <w:numPr>
          <w:ilvl w:val="0"/>
          <w:numId w:val="3"/>
        </w:numPr>
        <w:tabs>
          <w:tab w:val="left" w:pos="432"/>
          <w:tab w:val="left" w:pos="576"/>
        </w:tabs>
        <w:kinsoku/>
        <w:wordWrap/>
        <w:overflowPunct/>
        <w:topLinePunct w:val="0"/>
        <w:autoSpaceDE/>
        <w:autoSpaceDN/>
        <w:bidi w:val="0"/>
        <w:adjustRightInd/>
        <w:snapToGrid/>
        <w:spacing w:after="312" w:line="400" w:lineRule="exact"/>
        <w:ind w:right="0" w:rightChars="0" w:firstLine="420"/>
        <w:textAlignment w:val="auto"/>
        <w:outlineLvl w:val="1"/>
        <w:rPr>
          <w:rFonts w:hint="eastAsia" w:ascii="宋体" w:hAnsi="宋体" w:eastAsia="宋体" w:cs="宋体"/>
          <w:b/>
          <w:vanish/>
          <w:color w:val="000000"/>
          <w:sz w:val="24"/>
          <w:szCs w:val="24"/>
        </w:rPr>
      </w:pPr>
      <w:bookmarkStart w:id="59" w:name="_Toc54336394"/>
      <w:bookmarkEnd w:id="59"/>
      <w:bookmarkStart w:id="60" w:name="_Toc52903483"/>
      <w:bookmarkEnd w:id="60"/>
      <w:bookmarkStart w:id="61" w:name="_Toc52897337"/>
      <w:bookmarkEnd w:id="61"/>
      <w:bookmarkStart w:id="62" w:name="_Toc52903510"/>
      <w:bookmarkEnd w:id="62"/>
      <w:bookmarkStart w:id="63" w:name="_Toc52897302"/>
      <w:bookmarkEnd w:id="63"/>
      <w:bookmarkStart w:id="64" w:name="_Toc52903537"/>
      <w:bookmarkEnd w:id="64"/>
      <w:bookmarkStart w:id="65" w:name="_Toc52903668"/>
      <w:bookmarkEnd w:id="65"/>
      <w:bookmarkStart w:id="66" w:name="_Toc52903564"/>
      <w:bookmarkEnd w:id="66"/>
      <w:bookmarkStart w:id="67" w:name="_Toc52903456"/>
      <w:bookmarkEnd w:id="67"/>
    </w:p>
    <w:p>
      <w:pPr>
        <w:pStyle w:val="21"/>
        <w:pageBreakBefore w:val="0"/>
        <w:numPr>
          <w:ilvl w:val="0"/>
          <w:numId w:val="0"/>
        </w:numPr>
        <w:kinsoku/>
        <w:wordWrap/>
        <w:overflowPunct/>
        <w:topLinePunct w:val="0"/>
        <w:autoSpaceDE/>
        <w:autoSpaceDN/>
        <w:bidi w:val="0"/>
        <w:adjustRightInd/>
        <w:snapToGrid/>
        <w:spacing w:after="0" w:afterLines="0" w:line="400" w:lineRule="exact"/>
        <w:ind w:right="0" w:rightChars="0"/>
        <w:textAlignment w:val="auto"/>
        <w:rPr>
          <w:rFonts w:hint="eastAsia" w:ascii="宋体" w:hAnsi="宋体" w:eastAsia="宋体" w:cs="宋体"/>
          <w:b/>
          <w:sz w:val="24"/>
          <w:szCs w:val="24"/>
          <w:lang w:val="en-US" w:eastAsia="zh-CN"/>
        </w:rPr>
      </w:pPr>
      <w:bookmarkStart w:id="68" w:name="_Toc54336395"/>
      <w:r>
        <w:rPr>
          <w:rFonts w:hint="eastAsia" w:ascii="宋体" w:hAnsi="宋体" w:eastAsia="宋体" w:cs="宋体"/>
          <w:b/>
          <w:sz w:val="24"/>
          <w:szCs w:val="24"/>
          <w:lang w:val="en-US" w:eastAsia="zh-CN"/>
        </w:rPr>
        <w:t>1、人员相关要求</w:t>
      </w:r>
      <w:bookmarkEnd w:id="68"/>
    </w:p>
    <w:p>
      <w:pPr>
        <w:pageBreakBefore w:val="0"/>
        <w:kinsoku/>
        <w:wordWrap/>
        <w:overflowPunct/>
        <w:topLinePunct w:val="0"/>
        <w:autoSpaceDE/>
        <w:autoSpaceDN/>
        <w:bidi w:val="0"/>
        <w:adjustRightInd/>
        <w:snapToGrid/>
        <w:spacing w:line="400" w:lineRule="exact"/>
        <w:ind w:leftChars="200" w:right="0" w:rightChars="0" w:firstLine="0" w:firstLineChars="0"/>
        <w:textAlignment w:val="auto"/>
        <w:outlineLvl w:val="3"/>
        <w:rPr>
          <w:rFonts w:hint="eastAsia" w:ascii="宋体" w:hAnsi="宋体" w:eastAsia="宋体" w:cs="宋体"/>
          <w:b/>
          <w:sz w:val="24"/>
          <w:szCs w:val="24"/>
        </w:rPr>
      </w:pPr>
      <w:r>
        <w:rPr>
          <w:rFonts w:hint="eastAsia" w:ascii="宋体" w:hAnsi="宋体" w:eastAsia="宋体" w:cs="宋体"/>
          <w:b/>
          <w:sz w:val="24"/>
          <w:szCs w:val="24"/>
        </w:rPr>
        <w:t>1.1人员资质要求</w:t>
      </w:r>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投标人需在投标文件中体现参与本项目的人员名单、简历、在本项目中的角色定位、人员级别、资质情况、主要参与阶段、拟投入工作量、主要工作范围、同类项目工作经历（具体说明合作单位名称、项目名称、项目时间、在项目中担任的角色、从事的主要工作内容，以及提供至少一个合作单位的联系人方式）。其中人员资质情况需要提供资质证书复印件。</w:t>
      </w:r>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a)项目团队要求</w:t>
      </w:r>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投标人拟派的实施团队人员需包含至少</w:t>
      </w:r>
      <w:r>
        <w:rPr>
          <w:rFonts w:hint="eastAsia" w:ascii="宋体" w:hAnsi="宋体" w:eastAsia="宋体" w:cs="宋体"/>
          <w:sz w:val="24"/>
          <w:szCs w:val="24"/>
          <w:highlight w:val="none"/>
        </w:rPr>
        <w:t>8名</w:t>
      </w:r>
      <w:r>
        <w:rPr>
          <w:rFonts w:hint="eastAsia" w:ascii="宋体" w:hAnsi="宋体" w:eastAsia="宋体" w:cs="宋体"/>
          <w:sz w:val="24"/>
          <w:szCs w:val="24"/>
        </w:rPr>
        <w:t>高级（含）以上级别人员，高级（含）以上级别人员包括专家级、资深级、高级顾问。各级别人员资质要求如下：</w:t>
      </w:r>
    </w:p>
    <w:p>
      <w:pPr>
        <w:pageBreakBefore w:val="0"/>
        <w:kinsoku/>
        <w:wordWrap/>
        <w:overflowPunct/>
        <w:topLinePunct w:val="0"/>
        <w:autoSpaceDE/>
        <w:autoSpaceDN/>
        <w:bidi w:val="0"/>
        <w:adjustRightInd/>
        <w:snapToGrid/>
        <w:spacing w:line="400" w:lineRule="exact"/>
        <w:ind w:right="0" w:rightChars="0"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专家级顾问：</w:t>
      </w:r>
      <w:r>
        <w:rPr>
          <w:rFonts w:hint="eastAsia" w:ascii="宋体" w:hAnsi="宋体" w:eastAsia="宋体" w:cs="宋体"/>
          <w:sz w:val="24"/>
          <w:szCs w:val="24"/>
        </w:rPr>
        <w:t>银行系统项目经验不少于15年，带领过项目团队实施的银行新一代核心系统、银行核心系统转型或大型项目群不少于5个。具备丰富的银行业业务知识以及核心系统建设方法论及实践经验，熟悉项目群管理，善于与高层对话，具有较强的沟通协调能力。</w:t>
      </w:r>
    </w:p>
    <w:p>
      <w:pPr>
        <w:pageBreakBefore w:val="0"/>
        <w:kinsoku/>
        <w:wordWrap/>
        <w:overflowPunct/>
        <w:topLinePunct w:val="0"/>
        <w:autoSpaceDE/>
        <w:autoSpaceDN/>
        <w:bidi w:val="0"/>
        <w:adjustRightInd/>
        <w:snapToGrid/>
        <w:spacing w:line="400" w:lineRule="exact"/>
        <w:ind w:right="0" w:rightChars="0"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资深级顾问：</w:t>
      </w:r>
      <w:r>
        <w:rPr>
          <w:rFonts w:hint="eastAsia" w:ascii="宋体" w:hAnsi="宋体" w:eastAsia="宋体" w:cs="宋体"/>
          <w:sz w:val="24"/>
          <w:szCs w:val="24"/>
        </w:rPr>
        <w:t>银行系统项目经验不少于12年，具有3个以上银行新一代核心系统、银行核心系统转型或大型项目群管理和实施经验。对核心系统建设方法论及项目群管理有深入的理解和实际应用经验，并能够根据实际问题提出专业化建议。具有业务场景分析、集成、实施项目的丰富经验和较强的沟通协调能力、预见和应对项目风险能力。</w:t>
      </w:r>
    </w:p>
    <w:p>
      <w:pPr>
        <w:pageBreakBefore w:val="0"/>
        <w:kinsoku/>
        <w:wordWrap/>
        <w:overflowPunct/>
        <w:topLinePunct w:val="0"/>
        <w:autoSpaceDE/>
        <w:autoSpaceDN/>
        <w:bidi w:val="0"/>
        <w:adjustRightInd/>
        <w:snapToGrid/>
        <w:spacing w:line="400" w:lineRule="exact"/>
        <w:ind w:right="0" w:rightChars="0"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高级顾问：</w:t>
      </w:r>
      <w:r>
        <w:rPr>
          <w:rFonts w:hint="eastAsia" w:ascii="宋体" w:hAnsi="宋体" w:eastAsia="宋体" w:cs="宋体"/>
          <w:sz w:val="24"/>
          <w:szCs w:val="24"/>
        </w:rPr>
        <w:t>具备8年以上（含）银行业服务或从业经验，参与过至少2个以上新一代核心系统实施或金融行业相关咨询类项目。熟悉系统建设相关的项目管理或需求分析或架构设计或其他领域的专业知识，善于面对问题，解决问题，具有较好的沟通能力，善于团队协作。</w:t>
      </w:r>
    </w:p>
    <w:p>
      <w:pPr>
        <w:pageBreakBefore w:val="0"/>
        <w:kinsoku/>
        <w:wordWrap/>
        <w:overflowPunct/>
        <w:topLinePunct w:val="0"/>
        <w:autoSpaceDE/>
        <w:autoSpaceDN/>
        <w:bidi w:val="0"/>
        <w:adjustRightInd/>
        <w:snapToGrid/>
        <w:spacing w:line="400" w:lineRule="exact"/>
        <w:ind w:right="0" w:rightChars="0"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中级顾问：</w:t>
      </w:r>
      <w:r>
        <w:rPr>
          <w:rFonts w:hint="eastAsia" w:ascii="宋体" w:hAnsi="宋体" w:eastAsia="宋体" w:cs="宋体"/>
          <w:sz w:val="24"/>
          <w:szCs w:val="24"/>
        </w:rPr>
        <w:t>具备5年以上（含）银行业服务或从业经验，参与过至少1个以上新一代核心系统实施或金融行业相关咨询类项目。了解系统建设相关的项目管理或需求分析或架构设计或其他领域的专业知识，具有较好的沟通能力，善于团队合作。</w:t>
      </w:r>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b)项目经理资质要求</w:t>
      </w:r>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银行系统项目经验不少于10年，具有4个以上银行新一代核心系统、银行核心系统转型或大型项目群管理和实施经验。其中至少在2个核心系统项目中担任项目经理角色。熟悉银行存款、投资、资产、结算等主要业务流程，了解银行管理制度及监管政策，对核心系统建设方法论及项目群管理有深入的理解和实际应用经验，并能够根据实际问题提出专业化建议。具有专业的项目管理能力，能合理安排项目资源，并能够及时识别项目风险。具有较强沟通能力，做好干系人沟通管理。具备较强的技术能力，在项目过程中遇到的基础架构咨询、技术方案设计能给与专业的解答。</w:t>
      </w:r>
    </w:p>
    <w:p>
      <w:pPr>
        <w:pageBreakBefore w:val="0"/>
        <w:kinsoku/>
        <w:wordWrap/>
        <w:overflowPunct/>
        <w:topLinePunct w:val="0"/>
        <w:autoSpaceDE/>
        <w:autoSpaceDN/>
        <w:bidi w:val="0"/>
        <w:adjustRightInd/>
        <w:snapToGrid/>
        <w:spacing w:line="400" w:lineRule="exact"/>
        <w:ind w:leftChars="200" w:right="0" w:rightChars="0" w:firstLine="0" w:firstLineChars="0"/>
        <w:textAlignment w:val="auto"/>
        <w:outlineLvl w:val="3"/>
        <w:rPr>
          <w:rFonts w:hint="eastAsia" w:ascii="宋体" w:hAnsi="宋体" w:eastAsia="宋体" w:cs="宋体"/>
          <w:b/>
          <w:sz w:val="24"/>
          <w:szCs w:val="24"/>
        </w:rPr>
      </w:pPr>
      <w:bookmarkStart w:id="69" w:name="_Toc54336396"/>
      <w:r>
        <w:rPr>
          <w:rFonts w:hint="eastAsia" w:ascii="宋体" w:hAnsi="宋体" w:eastAsia="宋体" w:cs="宋体"/>
          <w:b/>
          <w:sz w:val="24"/>
          <w:szCs w:val="24"/>
        </w:rPr>
        <w:t>1.2人员投入要求</w:t>
      </w:r>
      <w:bookmarkEnd w:id="69"/>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投标人应在投标文件中明确拟派实施团队人员的投入工作量，并应保证该工作量投入。如提前完成工作，需经招标人审核同意后方可提前离场。</w:t>
      </w:r>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高级（含）以上级别人员的实际驻场投入工作量</w:t>
      </w:r>
      <w:r>
        <w:rPr>
          <w:rFonts w:hint="eastAsia" w:ascii="宋体" w:hAnsi="宋体" w:eastAsia="宋体" w:cs="宋体"/>
          <w:sz w:val="24"/>
          <w:szCs w:val="24"/>
          <w:lang w:eastAsia="zh-CN"/>
        </w:rPr>
        <w:t>需</w:t>
      </w:r>
      <w:r>
        <w:rPr>
          <w:rFonts w:hint="eastAsia" w:ascii="宋体" w:hAnsi="宋体" w:eastAsia="宋体" w:cs="宋体"/>
          <w:sz w:val="24"/>
          <w:szCs w:val="24"/>
        </w:rPr>
        <w:t>达到投标文件中的承诺工作量且未经招标人审核同意</w:t>
      </w:r>
      <w:r>
        <w:rPr>
          <w:rFonts w:hint="eastAsia" w:ascii="宋体" w:hAnsi="宋体" w:eastAsia="宋体" w:cs="宋体"/>
          <w:sz w:val="24"/>
          <w:szCs w:val="24"/>
          <w:lang w:eastAsia="zh-CN"/>
        </w:rPr>
        <w:t>后不得</w:t>
      </w:r>
      <w:r>
        <w:rPr>
          <w:rFonts w:hint="eastAsia" w:ascii="宋体" w:hAnsi="宋体" w:eastAsia="宋体" w:cs="宋体"/>
          <w:sz w:val="24"/>
          <w:szCs w:val="24"/>
        </w:rPr>
        <w:t>提前离场。</w:t>
      </w:r>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项目经理需全程在</w:t>
      </w:r>
      <w:r>
        <w:rPr>
          <w:rFonts w:hint="eastAsia" w:ascii="宋体" w:hAnsi="宋体" w:eastAsia="宋体" w:cs="宋体"/>
          <w:sz w:val="24"/>
          <w:szCs w:val="24"/>
          <w:lang w:eastAsia="zh-CN"/>
        </w:rPr>
        <w:t>场</w:t>
      </w:r>
      <w:r>
        <w:rPr>
          <w:rFonts w:hint="eastAsia" w:ascii="宋体" w:hAnsi="宋体" w:eastAsia="宋体" w:cs="宋体"/>
          <w:sz w:val="24"/>
          <w:szCs w:val="24"/>
        </w:rPr>
        <w:t>，直至项目上线，若由于特殊原因需临时离场，需向招标人报备，取得招标人同意后方可离场。</w:t>
      </w:r>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项目总监需定期至项目现场，指导整体项目建设，并定期进行高层回访工作。投标人应将项目真实进度情况及时向招标人汇报，各项决策需经招标人同意后方可执行。</w:t>
      </w:r>
    </w:p>
    <w:p>
      <w:pPr>
        <w:pageBreakBefore w:val="0"/>
        <w:kinsoku/>
        <w:wordWrap/>
        <w:overflowPunct/>
        <w:topLinePunct w:val="0"/>
        <w:autoSpaceDE/>
        <w:autoSpaceDN/>
        <w:bidi w:val="0"/>
        <w:adjustRightInd/>
        <w:snapToGrid/>
        <w:spacing w:line="400" w:lineRule="exact"/>
        <w:ind w:leftChars="200" w:right="0" w:rightChars="0" w:firstLine="0" w:firstLineChars="0"/>
        <w:textAlignment w:val="auto"/>
        <w:outlineLvl w:val="3"/>
        <w:rPr>
          <w:rFonts w:hint="eastAsia" w:ascii="宋体" w:hAnsi="宋体" w:eastAsia="宋体" w:cs="宋体"/>
          <w:b/>
          <w:sz w:val="24"/>
          <w:szCs w:val="24"/>
        </w:rPr>
      </w:pPr>
      <w:bookmarkStart w:id="70" w:name="_Toc54336399"/>
      <w:r>
        <w:rPr>
          <w:rFonts w:hint="eastAsia" w:ascii="宋体" w:hAnsi="宋体" w:eastAsia="宋体" w:cs="宋体"/>
          <w:b/>
          <w:sz w:val="24"/>
          <w:szCs w:val="24"/>
        </w:rPr>
        <w:t>1.</w:t>
      </w:r>
      <w:r>
        <w:rPr>
          <w:rFonts w:hint="eastAsia" w:ascii="宋体" w:hAnsi="宋体" w:eastAsia="宋体" w:cs="宋体"/>
          <w:b/>
          <w:sz w:val="24"/>
          <w:szCs w:val="24"/>
          <w:lang w:val="en-US" w:eastAsia="zh-CN"/>
        </w:rPr>
        <w:t>3</w:t>
      </w:r>
      <w:r>
        <w:rPr>
          <w:rFonts w:hint="eastAsia" w:ascii="宋体" w:hAnsi="宋体" w:eastAsia="宋体" w:cs="宋体"/>
          <w:b/>
          <w:sz w:val="24"/>
          <w:szCs w:val="24"/>
        </w:rPr>
        <w:t>人员考勤要求</w:t>
      </w:r>
      <w:bookmarkEnd w:id="70"/>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a)</w:t>
      </w:r>
      <w:r>
        <w:rPr>
          <w:rFonts w:hint="eastAsia" w:ascii="宋体" w:hAnsi="宋体" w:eastAsia="宋体" w:cs="宋体"/>
          <w:sz w:val="24"/>
          <w:szCs w:val="24"/>
        </w:rPr>
        <w:t>投标人的现场服务人员应遵守招标人的管理规定，严格执行招标人的考勤制度要求。未经招标人书面同意，投标人的现场服务人员不得出现迟到、早退、旷工等违反考勤制度的事件。如有此类情况发生，招标人有权要求投标人承担因此引起的损失。投标人非现场实施的服务人员作息时间可由投标人自行安排，但应保证在招标人要求的期限内保质保量完成相应任务。</w:t>
      </w:r>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b)</w:t>
      </w:r>
      <w:r>
        <w:rPr>
          <w:rFonts w:hint="eastAsia" w:ascii="宋体" w:hAnsi="宋体" w:eastAsia="宋体" w:cs="宋体"/>
          <w:sz w:val="24"/>
          <w:szCs w:val="24"/>
        </w:rPr>
        <w:t>若因法定节假日原因导致项目延期，投标人的现场服务人员需按照招标人的工作和考勤要求，通过加班等方式降低因节假日造成的项目延期影响。</w:t>
      </w:r>
    </w:p>
    <w:p>
      <w:pPr>
        <w:pStyle w:val="21"/>
        <w:pageBreakBefore w:val="0"/>
        <w:numPr>
          <w:ilvl w:val="0"/>
          <w:numId w:val="0"/>
        </w:numPr>
        <w:kinsoku/>
        <w:wordWrap/>
        <w:overflowPunct/>
        <w:topLinePunct w:val="0"/>
        <w:autoSpaceDE/>
        <w:autoSpaceDN/>
        <w:bidi w:val="0"/>
        <w:adjustRightInd/>
        <w:snapToGrid/>
        <w:spacing w:after="0" w:afterLines="0" w:line="400" w:lineRule="exact"/>
        <w:ind w:right="0" w:rightChars="0"/>
        <w:textAlignment w:val="auto"/>
        <w:rPr>
          <w:rFonts w:hint="eastAsia" w:ascii="宋体" w:hAnsi="宋体" w:eastAsia="宋体" w:cs="宋体"/>
          <w:b/>
          <w:sz w:val="24"/>
          <w:szCs w:val="24"/>
          <w:lang w:val="en-US" w:eastAsia="zh-CN"/>
        </w:rPr>
      </w:pPr>
      <w:bookmarkStart w:id="71" w:name="_Toc54336398"/>
      <w:r>
        <w:rPr>
          <w:rFonts w:hint="eastAsia" w:ascii="宋体" w:hAnsi="宋体" w:eastAsia="宋体" w:cs="宋体"/>
          <w:b/>
          <w:sz w:val="24"/>
          <w:szCs w:val="24"/>
          <w:lang w:val="en-US" w:eastAsia="zh-CN"/>
        </w:rPr>
        <w:t>2、</w:t>
      </w:r>
      <w:bookmarkStart w:id="72" w:name="_Toc54336404"/>
      <w:r>
        <w:rPr>
          <w:rFonts w:hint="eastAsia" w:ascii="宋体" w:hAnsi="宋体" w:eastAsia="宋体" w:cs="宋体"/>
          <w:b/>
          <w:sz w:val="24"/>
          <w:szCs w:val="24"/>
          <w:lang w:val="en-US" w:eastAsia="zh-CN"/>
        </w:rPr>
        <w:t>服务质量水平要求</w:t>
      </w:r>
      <w:bookmarkEnd w:id="72"/>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要求咨询成果具备先进性、成熟型、可持续性、适用性、可落地性，相应的咨询成果交付物可以进行有效的知识及技术转移，具备可维护性。</w:t>
      </w:r>
    </w:p>
    <w:p>
      <w:pPr>
        <w:pageBreakBefore w:val="0"/>
        <w:kinsoku/>
        <w:wordWrap/>
        <w:overflowPunct/>
        <w:topLinePunct w:val="0"/>
        <w:autoSpaceDE/>
        <w:autoSpaceDN/>
        <w:bidi w:val="0"/>
        <w:adjustRightInd/>
        <w:snapToGrid/>
        <w:spacing w:line="400" w:lineRule="exact"/>
        <w:ind w:leftChars="200" w:right="0" w:rightChars="0" w:firstLine="0" w:firstLineChars="0"/>
        <w:textAlignment w:val="auto"/>
        <w:outlineLvl w:val="3"/>
        <w:rPr>
          <w:rFonts w:hint="eastAsia" w:ascii="宋体" w:hAnsi="宋体" w:eastAsia="宋体" w:cs="宋体"/>
          <w:b/>
          <w:sz w:val="24"/>
          <w:szCs w:val="24"/>
        </w:rPr>
      </w:pPr>
      <w:r>
        <w:rPr>
          <w:rFonts w:hint="eastAsia" w:ascii="宋体" w:hAnsi="宋体" w:eastAsia="宋体" w:cs="宋体"/>
          <w:b/>
          <w:sz w:val="24"/>
          <w:szCs w:val="24"/>
        </w:rPr>
        <w:t xml:space="preserve">2.1入场时间要求 </w:t>
      </w:r>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中标人在接到中标通知书后一周内安排项目经理、业务专家和咨询顾问入场。项目实施结束并且完成知识产权转移后，经行方项目经理同意后方可退场。</w:t>
      </w:r>
    </w:p>
    <w:p>
      <w:pPr>
        <w:pageBreakBefore w:val="0"/>
        <w:kinsoku/>
        <w:wordWrap/>
        <w:overflowPunct/>
        <w:topLinePunct w:val="0"/>
        <w:autoSpaceDE/>
        <w:autoSpaceDN/>
        <w:bidi w:val="0"/>
        <w:adjustRightInd/>
        <w:snapToGrid/>
        <w:spacing w:line="400" w:lineRule="exact"/>
        <w:ind w:leftChars="200" w:right="0" w:rightChars="0" w:firstLine="0" w:firstLineChars="0"/>
        <w:textAlignment w:val="auto"/>
        <w:outlineLvl w:val="3"/>
        <w:rPr>
          <w:rFonts w:hint="eastAsia" w:ascii="宋体" w:hAnsi="宋体" w:eastAsia="宋体" w:cs="宋体"/>
          <w:b/>
          <w:sz w:val="24"/>
          <w:szCs w:val="24"/>
        </w:rPr>
      </w:pPr>
      <w:r>
        <w:rPr>
          <w:rFonts w:hint="eastAsia" w:ascii="宋体" w:hAnsi="宋体" w:eastAsia="宋体" w:cs="宋体"/>
          <w:b/>
          <w:sz w:val="24"/>
          <w:szCs w:val="24"/>
        </w:rPr>
        <w:t>2.2项目进度要求</w:t>
      </w:r>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投标人应保证按照项目进度要求，在需求提交、架构设计服务中，所有节点的交付时间均在计划范围内，包括业务分析报告、高阶需求、详细需求、产品分析报告、总体架构、选型方案等。</w:t>
      </w:r>
    </w:p>
    <w:p>
      <w:pPr>
        <w:pageBreakBefore w:val="0"/>
        <w:kinsoku/>
        <w:wordWrap/>
        <w:overflowPunct/>
        <w:topLinePunct w:val="0"/>
        <w:autoSpaceDE/>
        <w:autoSpaceDN/>
        <w:bidi w:val="0"/>
        <w:adjustRightInd/>
        <w:snapToGrid/>
        <w:spacing w:line="400" w:lineRule="exact"/>
        <w:ind w:right="0" w:rightChars="0" w:firstLine="241" w:firstLineChars="100"/>
        <w:textAlignment w:val="auto"/>
        <w:outlineLvl w:val="3"/>
        <w:rPr>
          <w:rFonts w:hint="eastAsia" w:ascii="宋体" w:hAnsi="宋体" w:eastAsia="宋体" w:cs="宋体"/>
          <w:b/>
          <w:sz w:val="24"/>
          <w:szCs w:val="24"/>
        </w:rPr>
      </w:pPr>
      <w:r>
        <w:rPr>
          <w:rFonts w:hint="eastAsia" w:ascii="宋体" w:hAnsi="宋体" w:eastAsia="宋体" w:cs="宋体"/>
          <w:b/>
          <w:sz w:val="24"/>
          <w:szCs w:val="24"/>
        </w:rPr>
        <w:t>2.3项目质量要求</w:t>
      </w:r>
    </w:p>
    <w:p>
      <w:pPr>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投标人必须亲自履行招标人委托的合作内容，未征得招标人的书面同意，不得将其在招标文件及项目合同项下的权利义务部分或全部转包、分包或者以其他途径或方式转给任何其它方执行。违反本条规定的，招标人有权取消投标人的中标资格或解除项目合同，并有权要求投标人除应退还招标人已支付的全部款项外，还需按照合同总金额的20%向招标人支付违约金。</w:t>
      </w:r>
    </w:p>
    <w:bookmarkEnd w:id="71"/>
    <w:p>
      <w:pPr>
        <w:pStyle w:val="21"/>
        <w:pageBreakBefore w:val="0"/>
        <w:numPr>
          <w:ilvl w:val="0"/>
          <w:numId w:val="0"/>
        </w:numPr>
        <w:kinsoku/>
        <w:wordWrap/>
        <w:overflowPunct/>
        <w:topLinePunct w:val="0"/>
        <w:autoSpaceDE/>
        <w:autoSpaceDN/>
        <w:bidi w:val="0"/>
        <w:adjustRightInd/>
        <w:snapToGrid/>
        <w:spacing w:after="0" w:afterLines="0" w:line="400" w:lineRule="exact"/>
        <w:ind w:right="0" w:rightChars="0"/>
        <w:textAlignment w:val="auto"/>
        <w:rPr>
          <w:rFonts w:hint="eastAsia" w:ascii="宋体" w:hAnsi="宋体" w:eastAsia="宋体" w:cs="宋体"/>
          <w:b/>
          <w:sz w:val="24"/>
          <w:szCs w:val="24"/>
          <w:lang w:val="en-US" w:eastAsia="zh-CN"/>
        </w:rPr>
      </w:pPr>
      <w:bookmarkStart w:id="73" w:name="_Toc54336400"/>
      <w:r>
        <w:rPr>
          <w:rFonts w:hint="eastAsia" w:ascii="宋体" w:hAnsi="宋体" w:eastAsia="宋体" w:cs="宋体"/>
          <w:b/>
          <w:sz w:val="24"/>
          <w:szCs w:val="24"/>
          <w:lang w:val="en-US" w:eastAsia="zh-CN"/>
        </w:rPr>
        <w:t>3、文档交付及培训要求</w:t>
      </w:r>
      <w:bookmarkEnd w:id="73"/>
    </w:p>
    <w:p>
      <w:pPr>
        <w:pStyle w:val="298"/>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文档交付清单包括但不限于以下内容（招标人可根据项目实际情况对文档交付清单进行适当调整）：</w:t>
      </w:r>
    </w:p>
    <w:p>
      <w:pPr>
        <w:pageBreakBefore w:val="0"/>
        <w:kinsoku/>
        <w:wordWrap/>
        <w:overflowPunct/>
        <w:topLinePunct w:val="0"/>
        <w:autoSpaceDE/>
        <w:autoSpaceDN/>
        <w:bidi w:val="0"/>
        <w:adjustRightInd/>
        <w:snapToGrid/>
        <w:spacing w:line="400" w:lineRule="exact"/>
        <w:ind w:leftChars="200" w:right="0" w:rightChars="0" w:firstLine="0" w:firstLineChars="0"/>
        <w:textAlignment w:val="auto"/>
        <w:outlineLvl w:val="3"/>
        <w:rPr>
          <w:rFonts w:hint="eastAsia" w:ascii="宋体" w:hAnsi="宋体" w:eastAsia="宋体" w:cs="宋体"/>
          <w:b/>
          <w:sz w:val="24"/>
          <w:szCs w:val="24"/>
        </w:rPr>
      </w:pPr>
      <w:r>
        <w:rPr>
          <w:rFonts w:hint="eastAsia" w:ascii="宋体" w:hAnsi="宋体" w:eastAsia="宋体" w:cs="宋体"/>
          <w:b/>
          <w:sz w:val="24"/>
          <w:szCs w:val="24"/>
        </w:rPr>
        <w:t>3.1需求咨询服务</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2153"/>
        <w:gridCol w:w="5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785" w:type="dxa"/>
            <w:shd w:val="clear" w:color="000000" w:fill="D9D9D9"/>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编号</w:t>
            </w:r>
          </w:p>
        </w:tc>
        <w:tc>
          <w:tcPr>
            <w:tcW w:w="2153" w:type="dxa"/>
            <w:shd w:val="clear" w:color="000000" w:fill="D9D9D9"/>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类别</w:t>
            </w:r>
          </w:p>
        </w:tc>
        <w:tc>
          <w:tcPr>
            <w:tcW w:w="5015" w:type="dxa"/>
            <w:shd w:val="clear" w:color="000000" w:fill="D9D9D9"/>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交付物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785"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1</w:t>
            </w:r>
          </w:p>
        </w:tc>
        <w:tc>
          <w:tcPr>
            <w:tcW w:w="2153"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需求调研与现状分析</w:t>
            </w:r>
          </w:p>
        </w:tc>
        <w:tc>
          <w:tcPr>
            <w:tcW w:w="5015" w:type="dxa"/>
            <w:noWrap w:val="0"/>
            <w:vAlign w:val="center"/>
          </w:tcPr>
          <w:p>
            <w:pPr>
              <w:overflowPunct w:val="0"/>
              <w:autoSpaceDE w:val="0"/>
              <w:autoSpaceDN w:val="0"/>
              <w:adjustRightInd w:val="0"/>
              <w:spacing w:after="120"/>
              <w:ind w:right="4" w:rightChars="2"/>
              <w:jc w:val="left"/>
              <w:textAlignment w:val="baseline"/>
              <w:rPr>
                <w:rFonts w:hint="eastAsia" w:ascii="宋体" w:hAnsi="宋体" w:eastAsia="宋体" w:cs="宋体"/>
                <w:sz w:val="24"/>
                <w:szCs w:val="24"/>
              </w:rPr>
            </w:pPr>
            <w:r>
              <w:rPr>
                <w:rFonts w:hint="eastAsia" w:ascii="宋体" w:hAnsi="宋体" w:eastAsia="宋体" w:cs="宋体"/>
                <w:sz w:val="24"/>
                <w:szCs w:val="24"/>
              </w:rPr>
              <w:t>《核心项目群需求调研及现状分析报告》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785"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2</w:t>
            </w:r>
          </w:p>
        </w:tc>
        <w:tc>
          <w:tcPr>
            <w:tcW w:w="2153"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需求分析</w:t>
            </w:r>
          </w:p>
        </w:tc>
        <w:tc>
          <w:tcPr>
            <w:tcW w:w="5015" w:type="dxa"/>
            <w:noWrap w:val="0"/>
            <w:vAlign w:val="center"/>
          </w:tcPr>
          <w:p>
            <w:pPr>
              <w:overflowPunct w:val="0"/>
              <w:autoSpaceDE w:val="0"/>
              <w:autoSpaceDN w:val="0"/>
              <w:adjustRightInd w:val="0"/>
              <w:spacing w:after="120"/>
              <w:ind w:right="4" w:rightChars="2"/>
              <w:jc w:val="left"/>
              <w:textAlignment w:val="baseline"/>
              <w:rPr>
                <w:rFonts w:hint="eastAsia" w:ascii="宋体" w:hAnsi="宋体" w:eastAsia="宋体" w:cs="宋体"/>
                <w:sz w:val="24"/>
                <w:szCs w:val="24"/>
              </w:rPr>
            </w:pPr>
            <w:r>
              <w:rPr>
                <w:rFonts w:hint="eastAsia" w:ascii="宋体" w:hAnsi="宋体" w:eastAsia="宋体" w:cs="宋体"/>
                <w:sz w:val="24"/>
                <w:szCs w:val="24"/>
              </w:rPr>
              <w:t>《核心项目群核心及新建重构系统高阶需求说明书》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785"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3</w:t>
            </w:r>
          </w:p>
        </w:tc>
        <w:tc>
          <w:tcPr>
            <w:tcW w:w="2153" w:type="dxa"/>
            <w:vMerge w:val="restart"/>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需求管控与变更管理</w:t>
            </w:r>
          </w:p>
        </w:tc>
        <w:tc>
          <w:tcPr>
            <w:tcW w:w="5015" w:type="dxa"/>
            <w:noWrap w:val="0"/>
            <w:vAlign w:val="center"/>
          </w:tcPr>
          <w:p>
            <w:pPr>
              <w:overflowPunct w:val="0"/>
              <w:autoSpaceDE w:val="0"/>
              <w:autoSpaceDN w:val="0"/>
              <w:adjustRightInd w:val="0"/>
              <w:spacing w:after="120"/>
              <w:ind w:right="4" w:rightChars="2"/>
              <w:jc w:val="left"/>
              <w:textAlignment w:val="baseline"/>
              <w:rPr>
                <w:rFonts w:hint="eastAsia" w:ascii="宋体" w:hAnsi="宋体" w:eastAsia="宋体" w:cs="宋体"/>
                <w:sz w:val="24"/>
                <w:szCs w:val="24"/>
              </w:rPr>
            </w:pPr>
            <w:r>
              <w:rPr>
                <w:rFonts w:hint="eastAsia" w:ascii="宋体" w:hAnsi="宋体" w:eastAsia="宋体" w:cs="宋体"/>
                <w:sz w:val="24"/>
                <w:szCs w:val="24"/>
              </w:rPr>
              <w:t>《核心项目群需求管理流程》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785"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4</w:t>
            </w:r>
          </w:p>
        </w:tc>
        <w:tc>
          <w:tcPr>
            <w:tcW w:w="2153" w:type="dxa"/>
            <w:vMerge w:val="continue"/>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p>
        </w:tc>
        <w:tc>
          <w:tcPr>
            <w:tcW w:w="5015" w:type="dxa"/>
            <w:noWrap w:val="0"/>
            <w:vAlign w:val="center"/>
          </w:tcPr>
          <w:p>
            <w:pPr>
              <w:overflowPunct w:val="0"/>
              <w:autoSpaceDE w:val="0"/>
              <w:autoSpaceDN w:val="0"/>
              <w:adjustRightInd w:val="0"/>
              <w:spacing w:after="120"/>
              <w:ind w:right="4" w:rightChars="2"/>
              <w:jc w:val="left"/>
              <w:textAlignment w:val="baseline"/>
              <w:rPr>
                <w:rFonts w:hint="eastAsia" w:ascii="宋体" w:hAnsi="宋体" w:eastAsia="宋体" w:cs="宋体"/>
                <w:sz w:val="24"/>
                <w:szCs w:val="24"/>
              </w:rPr>
            </w:pPr>
            <w:r>
              <w:rPr>
                <w:rFonts w:hint="eastAsia" w:ascii="宋体" w:hAnsi="宋体" w:eastAsia="宋体" w:cs="宋体"/>
                <w:sz w:val="24"/>
                <w:szCs w:val="24"/>
              </w:rPr>
              <w:t>《需求评审模板》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785"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5</w:t>
            </w:r>
          </w:p>
        </w:tc>
        <w:tc>
          <w:tcPr>
            <w:tcW w:w="2153" w:type="dxa"/>
            <w:vMerge w:val="continue"/>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p>
        </w:tc>
        <w:tc>
          <w:tcPr>
            <w:tcW w:w="5015" w:type="dxa"/>
            <w:noWrap w:val="0"/>
            <w:vAlign w:val="center"/>
          </w:tcPr>
          <w:p>
            <w:pPr>
              <w:overflowPunct w:val="0"/>
              <w:autoSpaceDE w:val="0"/>
              <w:autoSpaceDN w:val="0"/>
              <w:adjustRightInd w:val="0"/>
              <w:spacing w:after="120"/>
              <w:ind w:right="4" w:rightChars="2"/>
              <w:jc w:val="left"/>
              <w:textAlignment w:val="baseline"/>
              <w:rPr>
                <w:rFonts w:hint="eastAsia" w:ascii="宋体" w:hAnsi="宋体" w:eastAsia="宋体" w:cs="宋体"/>
                <w:sz w:val="24"/>
                <w:szCs w:val="24"/>
              </w:rPr>
            </w:pPr>
            <w:r>
              <w:rPr>
                <w:rFonts w:hint="eastAsia" w:ascii="宋体" w:hAnsi="宋体" w:eastAsia="宋体" w:cs="宋体"/>
                <w:sz w:val="24"/>
                <w:szCs w:val="24"/>
              </w:rPr>
              <w:t>《需求变更清单模板》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785"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6</w:t>
            </w:r>
          </w:p>
        </w:tc>
        <w:tc>
          <w:tcPr>
            <w:tcW w:w="2153" w:type="dxa"/>
            <w:vMerge w:val="continue"/>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p>
        </w:tc>
        <w:tc>
          <w:tcPr>
            <w:tcW w:w="5015" w:type="dxa"/>
            <w:noWrap w:val="0"/>
            <w:vAlign w:val="center"/>
          </w:tcPr>
          <w:p>
            <w:pPr>
              <w:overflowPunct w:val="0"/>
              <w:autoSpaceDE w:val="0"/>
              <w:autoSpaceDN w:val="0"/>
              <w:adjustRightInd w:val="0"/>
              <w:spacing w:after="120"/>
              <w:ind w:right="4" w:rightChars="2"/>
              <w:jc w:val="left"/>
              <w:textAlignment w:val="baseline"/>
              <w:rPr>
                <w:rFonts w:hint="eastAsia" w:ascii="宋体" w:hAnsi="宋体" w:eastAsia="宋体" w:cs="宋体"/>
                <w:sz w:val="24"/>
                <w:szCs w:val="24"/>
              </w:rPr>
            </w:pPr>
            <w:r>
              <w:rPr>
                <w:rFonts w:hint="eastAsia" w:ascii="宋体" w:hAnsi="宋体" w:eastAsia="宋体" w:cs="宋体"/>
                <w:sz w:val="24"/>
                <w:szCs w:val="24"/>
              </w:rPr>
              <w:t>《需求变更申请书模板》</w:t>
            </w:r>
          </w:p>
        </w:tc>
      </w:tr>
    </w:tbl>
    <w:p>
      <w:pPr>
        <w:pStyle w:val="298"/>
        <w:spacing w:line="360" w:lineRule="auto"/>
        <w:ind w:left="482"/>
        <w:jc w:val="both"/>
        <w:rPr>
          <w:rFonts w:hint="eastAsia" w:ascii="宋体" w:hAnsi="宋体" w:eastAsia="宋体" w:cs="宋体"/>
          <w:b/>
          <w:sz w:val="24"/>
          <w:szCs w:val="24"/>
        </w:rPr>
      </w:pPr>
    </w:p>
    <w:p>
      <w:pPr>
        <w:spacing w:line="360" w:lineRule="auto"/>
        <w:ind w:leftChars="200" w:right="0" w:rightChars="0" w:firstLine="0" w:firstLineChars="0"/>
        <w:outlineLvl w:val="3"/>
        <w:rPr>
          <w:rFonts w:hint="eastAsia" w:ascii="宋体" w:hAnsi="宋体" w:eastAsia="宋体" w:cs="宋体"/>
          <w:b/>
          <w:sz w:val="24"/>
          <w:szCs w:val="24"/>
        </w:rPr>
      </w:pPr>
      <w:r>
        <w:rPr>
          <w:rFonts w:hint="eastAsia" w:ascii="宋体" w:hAnsi="宋体" w:eastAsia="宋体" w:cs="宋体"/>
          <w:b/>
          <w:sz w:val="24"/>
          <w:szCs w:val="24"/>
        </w:rPr>
        <w:t>3.2架构咨询服务</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2319"/>
        <w:gridCol w:w="5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803" w:type="dxa"/>
            <w:shd w:val="clear" w:color="000000" w:fill="D9D9D9"/>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编号</w:t>
            </w:r>
          </w:p>
        </w:tc>
        <w:tc>
          <w:tcPr>
            <w:tcW w:w="2319" w:type="dxa"/>
            <w:shd w:val="clear" w:color="000000" w:fill="D9D9D9"/>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类别</w:t>
            </w:r>
          </w:p>
        </w:tc>
        <w:tc>
          <w:tcPr>
            <w:tcW w:w="5435" w:type="dxa"/>
            <w:shd w:val="clear" w:color="000000" w:fill="D9D9D9"/>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交付物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803"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1</w:t>
            </w:r>
          </w:p>
        </w:tc>
        <w:tc>
          <w:tcPr>
            <w:tcW w:w="2319"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架构评估及差距分析</w:t>
            </w:r>
          </w:p>
        </w:tc>
        <w:tc>
          <w:tcPr>
            <w:tcW w:w="5435"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《IT架构现状调研及差距分析报告》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803"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2</w:t>
            </w:r>
          </w:p>
        </w:tc>
        <w:tc>
          <w:tcPr>
            <w:tcW w:w="2319"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总体架构规划</w:t>
            </w:r>
          </w:p>
        </w:tc>
        <w:tc>
          <w:tcPr>
            <w:tcW w:w="5435"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《核心项目群总体架构规划方案》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803"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3</w:t>
            </w:r>
          </w:p>
        </w:tc>
        <w:tc>
          <w:tcPr>
            <w:tcW w:w="2319"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应用架构设计服务</w:t>
            </w:r>
          </w:p>
        </w:tc>
        <w:tc>
          <w:tcPr>
            <w:tcW w:w="5435"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《核心项目群架构设计实施方案》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803"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4</w:t>
            </w:r>
          </w:p>
        </w:tc>
        <w:tc>
          <w:tcPr>
            <w:tcW w:w="2319"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数据架构服务</w:t>
            </w:r>
          </w:p>
        </w:tc>
        <w:tc>
          <w:tcPr>
            <w:tcW w:w="5435"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《数据架构实施策略》、《数据架构模型》</w:t>
            </w:r>
          </w:p>
        </w:tc>
      </w:tr>
    </w:tbl>
    <w:p>
      <w:pPr>
        <w:spacing w:line="360" w:lineRule="auto"/>
        <w:ind w:leftChars="200" w:right="0" w:rightChars="0" w:firstLine="0" w:firstLineChars="0"/>
        <w:outlineLvl w:val="3"/>
        <w:rPr>
          <w:rFonts w:hint="eastAsia" w:ascii="宋体" w:hAnsi="宋体" w:eastAsia="宋体" w:cs="宋体"/>
          <w:b/>
          <w:sz w:val="24"/>
          <w:szCs w:val="24"/>
        </w:rPr>
      </w:pPr>
      <w:bookmarkStart w:id="74" w:name="_Toc42790710"/>
      <w:bookmarkStart w:id="75" w:name="_Toc54336401"/>
      <w:r>
        <w:rPr>
          <w:rFonts w:hint="eastAsia" w:ascii="宋体" w:hAnsi="宋体" w:eastAsia="宋体" w:cs="宋体"/>
          <w:b/>
          <w:sz w:val="24"/>
          <w:szCs w:val="24"/>
        </w:rPr>
        <w:t>3.3PMO服务</w:t>
      </w:r>
      <w:bookmarkEnd w:id="74"/>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2379"/>
        <w:gridCol w:w="5595"/>
        <w:gridCol w:w="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285" w:hRule="atLeast"/>
          <w:tblHeader/>
        </w:trPr>
        <w:tc>
          <w:tcPr>
            <w:tcW w:w="811" w:type="dxa"/>
            <w:shd w:val="clear" w:color="000000" w:fill="D9D9D9"/>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编号</w:t>
            </w:r>
          </w:p>
        </w:tc>
        <w:tc>
          <w:tcPr>
            <w:tcW w:w="2379" w:type="dxa"/>
            <w:shd w:val="clear" w:color="000000" w:fill="D9D9D9"/>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类别</w:t>
            </w:r>
          </w:p>
        </w:tc>
        <w:tc>
          <w:tcPr>
            <w:tcW w:w="5595" w:type="dxa"/>
            <w:shd w:val="clear" w:color="000000" w:fill="D9D9D9"/>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交付物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285" w:hRule="atLeast"/>
          <w:tblHeader/>
        </w:trPr>
        <w:tc>
          <w:tcPr>
            <w:tcW w:w="811"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1</w:t>
            </w:r>
          </w:p>
        </w:tc>
        <w:tc>
          <w:tcPr>
            <w:tcW w:w="2379" w:type="dxa"/>
            <w:vMerge w:val="restart"/>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项目群总体管理</w:t>
            </w:r>
          </w:p>
        </w:tc>
        <w:tc>
          <w:tcPr>
            <w:tcW w:w="5595" w:type="dxa"/>
            <w:noWrap w:val="0"/>
            <w:vAlign w:val="center"/>
          </w:tcPr>
          <w:p>
            <w:pPr>
              <w:overflowPunct w:val="0"/>
              <w:autoSpaceDE w:val="0"/>
              <w:autoSpaceDN w:val="0"/>
              <w:adjustRightInd w:val="0"/>
              <w:spacing w:after="120"/>
              <w:ind w:right="4" w:rightChars="2" w:firstLine="26" w:firstLineChars="11"/>
              <w:jc w:val="left"/>
              <w:textAlignment w:val="baseline"/>
              <w:rPr>
                <w:rFonts w:hint="eastAsia" w:ascii="宋体" w:hAnsi="宋体" w:eastAsia="宋体" w:cs="宋体"/>
                <w:sz w:val="24"/>
                <w:szCs w:val="24"/>
              </w:rPr>
            </w:pPr>
            <w:r>
              <w:rPr>
                <w:rFonts w:hint="eastAsia" w:ascii="宋体" w:hAnsi="宋体" w:eastAsia="宋体" w:cs="宋体"/>
                <w:sz w:val="24"/>
                <w:szCs w:val="24"/>
              </w:rPr>
              <w:t>《项目群管理方案》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285" w:hRule="atLeast"/>
          <w:tblHeader/>
        </w:trPr>
        <w:tc>
          <w:tcPr>
            <w:tcW w:w="811"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2</w:t>
            </w:r>
          </w:p>
        </w:tc>
        <w:tc>
          <w:tcPr>
            <w:tcW w:w="2379" w:type="dxa"/>
            <w:vMerge w:val="continue"/>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p>
        </w:tc>
        <w:tc>
          <w:tcPr>
            <w:tcW w:w="5595" w:type="dxa"/>
            <w:noWrap w:val="0"/>
            <w:vAlign w:val="center"/>
          </w:tcPr>
          <w:p>
            <w:pPr>
              <w:overflowPunct w:val="0"/>
              <w:autoSpaceDE w:val="0"/>
              <w:autoSpaceDN w:val="0"/>
              <w:adjustRightInd w:val="0"/>
              <w:spacing w:after="120"/>
              <w:ind w:right="4" w:rightChars="2" w:firstLine="26" w:firstLineChars="11"/>
              <w:jc w:val="left"/>
              <w:textAlignment w:val="baseline"/>
              <w:rPr>
                <w:rFonts w:hint="eastAsia" w:ascii="宋体" w:hAnsi="宋体" w:eastAsia="宋体" w:cs="宋体"/>
                <w:sz w:val="24"/>
                <w:szCs w:val="24"/>
              </w:rPr>
            </w:pPr>
            <w:r>
              <w:rPr>
                <w:rFonts w:hint="eastAsia" w:ascii="宋体" w:hAnsi="宋体" w:eastAsia="宋体" w:cs="宋体"/>
                <w:sz w:val="24"/>
                <w:szCs w:val="24"/>
              </w:rPr>
              <w:t>《核心项目群资源规划》（包括人力、环境资源、场地资源）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285" w:hRule="atLeast"/>
          <w:tblHeader/>
        </w:trPr>
        <w:tc>
          <w:tcPr>
            <w:tcW w:w="811"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3</w:t>
            </w:r>
          </w:p>
        </w:tc>
        <w:tc>
          <w:tcPr>
            <w:tcW w:w="2379" w:type="dxa"/>
            <w:vMerge w:val="continue"/>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p>
        </w:tc>
        <w:tc>
          <w:tcPr>
            <w:tcW w:w="5595" w:type="dxa"/>
            <w:noWrap w:val="0"/>
            <w:vAlign w:val="center"/>
          </w:tcPr>
          <w:p>
            <w:pPr>
              <w:overflowPunct w:val="0"/>
              <w:autoSpaceDE w:val="0"/>
              <w:autoSpaceDN w:val="0"/>
              <w:adjustRightInd w:val="0"/>
              <w:spacing w:after="120"/>
              <w:ind w:right="4" w:rightChars="2" w:firstLine="26" w:firstLineChars="11"/>
              <w:jc w:val="left"/>
              <w:textAlignment w:val="baseline"/>
              <w:rPr>
                <w:rFonts w:hint="eastAsia" w:ascii="宋体" w:hAnsi="宋体" w:eastAsia="宋体" w:cs="宋体"/>
                <w:sz w:val="24"/>
                <w:szCs w:val="24"/>
              </w:rPr>
            </w:pPr>
            <w:r>
              <w:rPr>
                <w:rFonts w:hint="eastAsia" w:ascii="宋体" w:hAnsi="宋体" w:eastAsia="宋体" w:cs="宋体"/>
                <w:sz w:val="24"/>
                <w:szCs w:val="24"/>
              </w:rPr>
              <w:t>《项目启动材料》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285" w:hRule="atLeast"/>
          <w:tblHeader/>
        </w:trPr>
        <w:tc>
          <w:tcPr>
            <w:tcW w:w="811"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4</w:t>
            </w:r>
          </w:p>
        </w:tc>
        <w:tc>
          <w:tcPr>
            <w:tcW w:w="2379" w:type="dxa"/>
            <w:vMerge w:val="restart"/>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计划与进度管理</w:t>
            </w:r>
          </w:p>
        </w:tc>
        <w:tc>
          <w:tcPr>
            <w:tcW w:w="5595" w:type="dxa"/>
            <w:noWrap w:val="0"/>
            <w:vAlign w:val="center"/>
          </w:tcPr>
          <w:p>
            <w:pPr>
              <w:widowControl/>
              <w:overflowPunct w:val="0"/>
              <w:autoSpaceDE w:val="0"/>
              <w:autoSpaceDN w:val="0"/>
              <w:adjustRightInd w:val="0"/>
              <w:spacing w:after="120"/>
              <w:textAlignment w:val="baseline"/>
              <w:rPr>
                <w:rFonts w:hint="eastAsia" w:ascii="宋体" w:hAnsi="宋体" w:eastAsia="宋体" w:cs="宋体"/>
                <w:sz w:val="24"/>
                <w:szCs w:val="24"/>
              </w:rPr>
            </w:pPr>
            <w:r>
              <w:rPr>
                <w:rFonts w:hint="eastAsia" w:ascii="宋体" w:hAnsi="宋体" w:eastAsia="宋体" w:cs="宋体"/>
                <w:sz w:val="24"/>
                <w:szCs w:val="24"/>
              </w:rPr>
              <w:t>《项目群里程碑计划》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285" w:hRule="atLeast"/>
          <w:tblHeader/>
        </w:trPr>
        <w:tc>
          <w:tcPr>
            <w:tcW w:w="811"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5</w:t>
            </w:r>
          </w:p>
        </w:tc>
        <w:tc>
          <w:tcPr>
            <w:tcW w:w="2379" w:type="dxa"/>
            <w:vMerge w:val="continue"/>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p>
        </w:tc>
        <w:tc>
          <w:tcPr>
            <w:tcW w:w="5595" w:type="dxa"/>
            <w:noWrap w:val="0"/>
            <w:vAlign w:val="center"/>
          </w:tcPr>
          <w:p>
            <w:pPr>
              <w:widowControl/>
              <w:overflowPunct w:val="0"/>
              <w:autoSpaceDE w:val="0"/>
              <w:autoSpaceDN w:val="0"/>
              <w:adjustRightInd w:val="0"/>
              <w:spacing w:after="120"/>
              <w:textAlignment w:val="baseline"/>
              <w:rPr>
                <w:rFonts w:hint="eastAsia" w:ascii="宋体" w:hAnsi="宋体" w:eastAsia="宋体" w:cs="宋体"/>
                <w:sz w:val="24"/>
                <w:szCs w:val="24"/>
              </w:rPr>
            </w:pPr>
            <w:r>
              <w:rPr>
                <w:rFonts w:hint="eastAsia" w:ascii="宋体" w:hAnsi="宋体" w:eastAsia="宋体" w:cs="宋体"/>
                <w:sz w:val="24"/>
                <w:szCs w:val="24"/>
              </w:rPr>
              <w:t>《项目群总体计划表》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285" w:hRule="atLeast"/>
          <w:tblHeader/>
        </w:trPr>
        <w:tc>
          <w:tcPr>
            <w:tcW w:w="811"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6</w:t>
            </w:r>
          </w:p>
        </w:tc>
        <w:tc>
          <w:tcPr>
            <w:tcW w:w="2379" w:type="dxa"/>
            <w:vMerge w:val="continue"/>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p>
        </w:tc>
        <w:tc>
          <w:tcPr>
            <w:tcW w:w="5595" w:type="dxa"/>
            <w:noWrap w:val="0"/>
            <w:vAlign w:val="center"/>
          </w:tcPr>
          <w:p>
            <w:pPr>
              <w:widowControl/>
              <w:overflowPunct w:val="0"/>
              <w:autoSpaceDE w:val="0"/>
              <w:autoSpaceDN w:val="0"/>
              <w:adjustRightInd w:val="0"/>
              <w:spacing w:after="120"/>
              <w:textAlignment w:val="baseline"/>
              <w:rPr>
                <w:rFonts w:hint="eastAsia" w:ascii="宋体" w:hAnsi="宋体" w:eastAsia="宋体" w:cs="宋体"/>
                <w:sz w:val="24"/>
                <w:szCs w:val="24"/>
              </w:rPr>
            </w:pPr>
            <w:r>
              <w:rPr>
                <w:rFonts w:hint="eastAsia" w:ascii="宋体" w:hAnsi="宋体" w:eastAsia="宋体" w:cs="宋体"/>
                <w:sz w:val="24"/>
                <w:szCs w:val="24"/>
              </w:rPr>
              <w:t>《子项目总体计划表》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285" w:hRule="atLeast"/>
          <w:tblHeader/>
        </w:trPr>
        <w:tc>
          <w:tcPr>
            <w:tcW w:w="811"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7</w:t>
            </w:r>
          </w:p>
        </w:tc>
        <w:tc>
          <w:tcPr>
            <w:tcW w:w="2379" w:type="dxa"/>
            <w:vMerge w:val="continue"/>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p>
        </w:tc>
        <w:tc>
          <w:tcPr>
            <w:tcW w:w="5595" w:type="dxa"/>
            <w:noWrap w:val="0"/>
            <w:vAlign w:val="center"/>
          </w:tcPr>
          <w:p>
            <w:pPr>
              <w:widowControl/>
              <w:overflowPunct w:val="0"/>
              <w:autoSpaceDE w:val="0"/>
              <w:autoSpaceDN w:val="0"/>
              <w:adjustRightInd w:val="0"/>
              <w:spacing w:after="120"/>
              <w:textAlignment w:val="baseline"/>
              <w:rPr>
                <w:rFonts w:hint="eastAsia" w:ascii="宋体" w:hAnsi="宋体" w:eastAsia="宋体" w:cs="宋体"/>
                <w:sz w:val="24"/>
                <w:szCs w:val="24"/>
              </w:rPr>
            </w:pPr>
            <w:r>
              <w:rPr>
                <w:rFonts w:hint="eastAsia" w:ascii="宋体" w:hAnsi="宋体" w:eastAsia="宋体" w:cs="宋体"/>
                <w:sz w:val="24"/>
                <w:szCs w:val="24"/>
              </w:rPr>
              <w:t>《各工作小组计划执行情况跟踪表》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285" w:hRule="atLeast"/>
          <w:tblHeader/>
        </w:trPr>
        <w:tc>
          <w:tcPr>
            <w:tcW w:w="811"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8</w:t>
            </w:r>
          </w:p>
        </w:tc>
        <w:tc>
          <w:tcPr>
            <w:tcW w:w="2379" w:type="dxa"/>
            <w:vMerge w:val="continue"/>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p>
        </w:tc>
        <w:tc>
          <w:tcPr>
            <w:tcW w:w="5595" w:type="dxa"/>
            <w:noWrap w:val="0"/>
            <w:vAlign w:val="center"/>
          </w:tcPr>
          <w:p>
            <w:pPr>
              <w:widowControl/>
              <w:overflowPunct w:val="0"/>
              <w:autoSpaceDE w:val="0"/>
              <w:autoSpaceDN w:val="0"/>
              <w:adjustRightInd w:val="0"/>
              <w:spacing w:after="120"/>
              <w:textAlignment w:val="baseline"/>
              <w:rPr>
                <w:rFonts w:hint="eastAsia" w:ascii="宋体" w:hAnsi="宋体" w:eastAsia="宋体" w:cs="宋体"/>
                <w:sz w:val="24"/>
                <w:szCs w:val="24"/>
              </w:rPr>
            </w:pPr>
            <w:r>
              <w:rPr>
                <w:rFonts w:hint="eastAsia" w:ascii="宋体" w:hAnsi="宋体" w:eastAsia="宋体" w:cs="宋体"/>
                <w:sz w:val="24"/>
                <w:szCs w:val="24"/>
              </w:rPr>
              <w:t>《项目进度报告》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285" w:hRule="atLeast"/>
          <w:tblHeader/>
        </w:trPr>
        <w:tc>
          <w:tcPr>
            <w:tcW w:w="811"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9</w:t>
            </w:r>
          </w:p>
        </w:tc>
        <w:tc>
          <w:tcPr>
            <w:tcW w:w="2379" w:type="dxa"/>
            <w:vMerge w:val="continue"/>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p>
        </w:tc>
        <w:tc>
          <w:tcPr>
            <w:tcW w:w="5595" w:type="dxa"/>
            <w:noWrap w:val="0"/>
            <w:vAlign w:val="center"/>
          </w:tcPr>
          <w:p>
            <w:pPr>
              <w:widowControl/>
              <w:overflowPunct w:val="0"/>
              <w:autoSpaceDE w:val="0"/>
              <w:autoSpaceDN w:val="0"/>
              <w:adjustRightInd w:val="0"/>
              <w:spacing w:after="120"/>
              <w:textAlignment w:val="baseline"/>
              <w:rPr>
                <w:rFonts w:hint="eastAsia" w:ascii="宋体" w:hAnsi="宋体" w:eastAsia="宋体" w:cs="宋体"/>
                <w:sz w:val="24"/>
                <w:szCs w:val="24"/>
              </w:rPr>
            </w:pPr>
            <w:r>
              <w:rPr>
                <w:rFonts w:hint="eastAsia" w:ascii="宋体" w:hAnsi="宋体" w:eastAsia="宋体" w:cs="宋体"/>
                <w:sz w:val="24"/>
                <w:szCs w:val="24"/>
              </w:rPr>
              <w:t>《计划变更申请表》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285" w:hRule="atLeast"/>
          <w:tblHeader/>
        </w:trPr>
        <w:tc>
          <w:tcPr>
            <w:tcW w:w="811"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10</w:t>
            </w:r>
          </w:p>
        </w:tc>
        <w:tc>
          <w:tcPr>
            <w:tcW w:w="2379" w:type="dxa"/>
            <w:vMerge w:val="restart"/>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沟通与汇报管理</w:t>
            </w:r>
          </w:p>
        </w:tc>
        <w:tc>
          <w:tcPr>
            <w:tcW w:w="5595" w:type="dxa"/>
            <w:noWrap w:val="0"/>
            <w:vAlign w:val="center"/>
          </w:tcPr>
          <w:p>
            <w:pPr>
              <w:widowControl/>
              <w:overflowPunct w:val="0"/>
              <w:autoSpaceDE w:val="0"/>
              <w:autoSpaceDN w:val="0"/>
              <w:adjustRightInd w:val="0"/>
              <w:spacing w:after="120"/>
              <w:textAlignment w:val="baseline"/>
              <w:rPr>
                <w:rFonts w:hint="eastAsia" w:ascii="宋体" w:hAnsi="宋体" w:eastAsia="宋体" w:cs="宋体"/>
                <w:sz w:val="24"/>
                <w:szCs w:val="24"/>
              </w:rPr>
            </w:pPr>
            <w:r>
              <w:rPr>
                <w:rFonts w:hint="eastAsia" w:ascii="宋体" w:hAnsi="宋体" w:eastAsia="宋体" w:cs="宋体"/>
                <w:sz w:val="24"/>
                <w:szCs w:val="24"/>
              </w:rPr>
              <w:t>《项目沟通机制》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285" w:hRule="atLeast"/>
          <w:tblHeader/>
        </w:trPr>
        <w:tc>
          <w:tcPr>
            <w:tcW w:w="811"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11</w:t>
            </w:r>
          </w:p>
        </w:tc>
        <w:tc>
          <w:tcPr>
            <w:tcW w:w="2379" w:type="dxa"/>
            <w:vMerge w:val="continue"/>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p>
        </w:tc>
        <w:tc>
          <w:tcPr>
            <w:tcW w:w="5595" w:type="dxa"/>
            <w:noWrap w:val="0"/>
            <w:vAlign w:val="center"/>
          </w:tcPr>
          <w:p>
            <w:pPr>
              <w:widowControl/>
              <w:overflowPunct w:val="0"/>
              <w:autoSpaceDE w:val="0"/>
              <w:autoSpaceDN w:val="0"/>
              <w:adjustRightInd w:val="0"/>
              <w:spacing w:after="120"/>
              <w:textAlignment w:val="baseline"/>
              <w:rPr>
                <w:rFonts w:hint="eastAsia" w:ascii="宋体" w:hAnsi="宋体" w:eastAsia="宋体" w:cs="宋体"/>
                <w:sz w:val="24"/>
                <w:szCs w:val="24"/>
              </w:rPr>
            </w:pPr>
            <w:r>
              <w:rPr>
                <w:rFonts w:hint="eastAsia" w:ascii="宋体" w:hAnsi="宋体" w:eastAsia="宋体" w:cs="宋体"/>
                <w:sz w:val="24"/>
                <w:szCs w:val="24"/>
              </w:rPr>
              <w:t>《项目领导小组会议材料（月度会议）》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285" w:hRule="atLeast"/>
          <w:tblHeader/>
        </w:trPr>
        <w:tc>
          <w:tcPr>
            <w:tcW w:w="811"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12</w:t>
            </w:r>
          </w:p>
        </w:tc>
        <w:tc>
          <w:tcPr>
            <w:tcW w:w="2379" w:type="dxa"/>
            <w:vMerge w:val="continue"/>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p>
        </w:tc>
        <w:tc>
          <w:tcPr>
            <w:tcW w:w="5595" w:type="dxa"/>
            <w:noWrap w:val="0"/>
            <w:vAlign w:val="center"/>
          </w:tcPr>
          <w:p>
            <w:pPr>
              <w:widowControl/>
              <w:overflowPunct w:val="0"/>
              <w:autoSpaceDE w:val="0"/>
              <w:autoSpaceDN w:val="0"/>
              <w:adjustRightInd w:val="0"/>
              <w:spacing w:after="120"/>
              <w:textAlignment w:val="baseline"/>
              <w:rPr>
                <w:rFonts w:hint="eastAsia" w:ascii="宋体" w:hAnsi="宋体" w:eastAsia="宋体" w:cs="宋体"/>
                <w:sz w:val="24"/>
                <w:szCs w:val="24"/>
              </w:rPr>
            </w:pPr>
            <w:r>
              <w:rPr>
                <w:rFonts w:hint="eastAsia" w:ascii="宋体" w:hAnsi="宋体" w:eastAsia="宋体" w:cs="宋体"/>
                <w:sz w:val="24"/>
                <w:szCs w:val="24"/>
              </w:rPr>
              <w:t xml:space="preserve">《项目周、日例会材料》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285" w:hRule="atLeast"/>
          <w:tblHeader/>
        </w:trPr>
        <w:tc>
          <w:tcPr>
            <w:tcW w:w="811"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13</w:t>
            </w:r>
          </w:p>
        </w:tc>
        <w:tc>
          <w:tcPr>
            <w:tcW w:w="2379" w:type="dxa"/>
            <w:vMerge w:val="continue"/>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p>
        </w:tc>
        <w:tc>
          <w:tcPr>
            <w:tcW w:w="5595" w:type="dxa"/>
            <w:noWrap w:val="0"/>
            <w:vAlign w:val="center"/>
          </w:tcPr>
          <w:p>
            <w:pPr>
              <w:widowControl/>
              <w:overflowPunct w:val="0"/>
              <w:autoSpaceDE w:val="0"/>
              <w:autoSpaceDN w:val="0"/>
              <w:adjustRightInd w:val="0"/>
              <w:spacing w:after="120"/>
              <w:textAlignment w:val="baseline"/>
              <w:rPr>
                <w:rFonts w:hint="eastAsia" w:ascii="宋体" w:hAnsi="宋体" w:eastAsia="宋体" w:cs="宋体"/>
                <w:sz w:val="24"/>
                <w:szCs w:val="24"/>
              </w:rPr>
            </w:pPr>
            <w:r>
              <w:rPr>
                <w:rFonts w:hint="eastAsia" w:ascii="宋体" w:hAnsi="宋体" w:eastAsia="宋体" w:cs="宋体"/>
                <w:sz w:val="24"/>
                <w:szCs w:val="24"/>
              </w:rPr>
              <w:t xml:space="preserve">《各工作小组工作周报》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285" w:hRule="atLeast"/>
          <w:tblHeader/>
        </w:trPr>
        <w:tc>
          <w:tcPr>
            <w:tcW w:w="811"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14</w:t>
            </w:r>
          </w:p>
        </w:tc>
        <w:tc>
          <w:tcPr>
            <w:tcW w:w="2379" w:type="dxa"/>
            <w:vMerge w:val="continue"/>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p>
        </w:tc>
        <w:tc>
          <w:tcPr>
            <w:tcW w:w="5595" w:type="dxa"/>
            <w:noWrap w:val="0"/>
            <w:vAlign w:val="center"/>
          </w:tcPr>
          <w:p>
            <w:pPr>
              <w:widowControl/>
              <w:overflowPunct w:val="0"/>
              <w:autoSpaceDE w:val="0"/>
              <w:autoSpaceDN w:val="0"/>
              <w:adjustRightInd w:val="0"/>
              <w:spacing w:after="120"/>
              <w:textAlignment w:val="baseline"/>
              <w:rPr>
                <w:rFonts w:hint="eastAsia" w:ascii="宋体" w:hAnsi="宋体" w:eastAsia="宋体" w:cs="宋体"/>
                <w:sz w:val="24"/>
                <w:szCs w:val="24"/>
              </w:rPr>
            </w:pPr>
            <w:r>
              <w:rPr>
                <w:rFonts w:hint="eastAsia" w:ascii="宋体" w:hAnsi="宋体" w:eastAsia="宋体" w:cs="宋体"/>
                <w:sz w:val="24"/>
                <w:szCs w:val="24"/>
              </w:rPr>
              <w:t>《会议纪要》 （周例会、月度例会）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285" w:hRule="atLeast"/>
          <w:tblHeader/>
        </w:trPr>
        <w:tc>
          <w:tcPr>
            <w:tcW w:w="811"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15</w:t>
            </w:r>
          </w:p>
        </w:tc>
        <w:tc>
          <w:tcPr>
            <w:tcW w:w="2379" w:type="dxa"/>
            <w:vMerge w:val="restart"/>
            <w:noWrap w:val="0"/>
            <w:vAlign w:val="center"/>
          </w:tcPr>
          <w:p>
            <w:pPr>
              <w:widowControl/>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风险与问题管理</w:t>
            </w:r>
          </w:p>
        </w:tc>
        <w:tc>
          <w:tcPr>
            <w:tcW w:w="5595" w:type="dxa"/>
            <w:noWrap w:val="0"/>
            <w:vAlign w:val="center"/>
          </w:tcPr>
          <w:p>
            <w:pPr>
              <w:widowControl/>
              <w:overflowPunct w:val="0"/>
              <w:autoSpaceDE w:val="0"/>
              <w:autoSpaceDN w:val="0"/>
              <w:adjustRightInd w:val="0"/>
              <w:spacing w:after="120"/>
              <w:textAlignment w:val="baseline"/>
              <w:rPr>
                <w:rFonts w:hint="eastAsia" w:ascii="宋体" w:hAnsi="宋体" w:eastAsia="宋体" w:cs="宋体"/>
                <w:sz w:val="24"/>
                <w:szCs w:val="24"/>
              </w:rPr>
            </w:pPr>
            <w:r>
              <w:rPr>
                <w:rFonts w:hint="eastAsia" w:ascii="宋体" w:hAnsi="宋体" w:eastAsia="宋体" w:cs="宋体"/>
                <w:sz w:val="24"/>
                <w:szCs w:val="24"/>
              </w:rPr>
              <w:t xml:space="preserve">《问题和风险跟踪清单》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285" w:hRule="atLeast"/>
          <w:tblHeader/>
        </w:trPr>
        <w:tc>
          <w:tcPr>
            <w:tcW w:w="811"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16</w:t>
            </w:r>
          </w:p>
        </w:tc>
        <w:tc>
          <w:tcPr>
            <w:tcW w:w="2379" w:type="dxa"/>
            <w:vMerge w:val="continue"/>
            <w:noWrap w:val="0"/>
            <w:vAlign w:val="center"/>
          </w:tcPr>
          <w:p>
            <w:pPr>
              <w:widowControl/>
              <w:overflowPunct w:val="0"/>
              <w:autoSpaceDE w:val="0"/>
              <w:autoSpaceDN w:val="0"/>
              <w:adjustRightInd w:val="0"/>
              <w:spacing w:after="120"/>
              <w:jc w:val="center"/>
              <w:textAlignment w:val="baseline"/>
              <w:rPr>
                <w:rFonts w:hint="eastAsia" w:ascii="宋体" w:hAnsi="宋体" w:eastAsia="宋体" w:cs="宋体"/>
                <w:sz w:val="24"/>
                <w:szCs w:val="24"/>
              </w:rPr>
            </w:pPr>
          </w:p>
        </w:tc>
        <w:tc>
          <w:tcPr>
            <w:tcW w:w="5595" w:type="dxa"/>
            <w:noWrap w:val="0"/>
            <w:vAlign w:val="center"/>
          </w:tcPr>
          <w:p>
            <w:pPr>
              <w:widowControl/>
              <w:overflowPunct w:val="0"/>
              <w:autoSpaceDE w:val="0"/>
              <w:autoSpaceDN w:val="0"/>
              <w:adjustRightInd w:val="0"/>
              <w:spacing w:after="120"/>
              <w:textAlignment w:val="baseline"/>
              <w:rPr>
                <w:rFonts w:hint="eastAsia" w:ascii="宋体" w:hAnsi="宋体" w:eastAsia="宋体" w:cs="宋体"/>
                <w:sz w:val="24"/>
                <w:szCs w:val="24"/>
              </w:rPr>
            </w:pPr>
            <w:r>
              <w:rPr>
                <w:rFonts w:hint="eastAsia" w:ascii="宋体" w:hAnsi="宋体" w:eastAsia="宋体" w:cs="宋体"/>
                <w:sz w:val="24"/>
                <w:szCs w:val="24"/>
              </w:rPr>
              <w:t>《项目问题及风险提示报告》（周报、月报）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811"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17</w:t>
            </w:r>
          </w:p>
        </w:tc>
        <w:tc>
          <w:tcPr>
            <w:tcW w:w="2379" w:type="dxa"/>
            <w:noWrap w:val="0"/>
            <w:vAlign w:val="center"/>
          </w:tcPr>
          <w:p>
            <w:pPr>
              <w:widowControl/>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项目监控与评价</w:t>
            </w:r>
          </w:p>
        </w:tc>
        <w:tc>
          <w:tcPr>
            <w:tcW w:w="5707" w:type="dxa"/>
            <w:gridSpan w:val="2"/>
            <w:noWrap w:val="0"/>
            <w:vAlign w:val="center"/>
          </w:tcPr>
          <w:p>
            <w:pPr>
              <w:widowControl/>
              <w:overflowPunct w:val="0"/>
              <w:autoSpaceDE w:val="0"/>
              <w:autoSpaceDN w:val="0"/>
              <w:adjustRightInd w:val="0"/>
              <w:spacing w:after="120"/>
              <w:textAlignment w:val="baseline"/>
              <w:rPr>
                <w:rFonts w:hint="eastAsia" w:ascii="宋体" w:hAnsi="宋体" w:eastAsia="宋体" w:cs="宋体"/>
                <w:sz w:val="24"/>
                <w:szCs w:val="24"/>
              </w:rPr>
            </w:pPr>
            <w:r>
              <w:rPr>
                <w:rFonts w:hint="eastAsia" w:ascii="宋体" w:hAnsi="宋体" w:eastAsia="宋体" w:cs="宋体"/>
                <w:sz w:val="24"/>
                <w:szCs w:val="24"/>
              </w:rPr>
              <w:t>《项目考核激励方案》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285" w:hRule="atLeast"/>
          <w:tblHeader/>
        </w:trPr>
        <w:tc>
          <w:tcPr>
            <w:tcW w:w="811"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18</w:t>
            </w:r>
          </w:p>
        </w:tc>
        <w:tc>
          <w:tcPr>
            <w:tcW w:w="2379" w:type="dxa"/>
            <w:vMerge w:val="restart"/>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项目交付物管理</w:t>
            </w:r>
          </w:p>
        </w:tc>
        <w:tc>
          <w:tcPr>
            <w:tcW w:w="5595" w:type="dxa"/>
            <w:noWrap w:val="0"/>
            <w:vAlign w:val="center"/>
          </w:tcPr>
          <w:p>
            <w:pPr>
              <w:widowControl/>
              <w:overflowPunct w:val="0"/>
              <w:autoSpaceDE w:val="0"/>
              <w:autoSpaceDN w:val="0"/>
              <w:adjustRightInd w:val="0"/>
              <w:spacing w:after="120"/>
              <w:textAlignment w:val="baseline"/>
              <w:rPr>
                <w:rFonts w:hint="eastAsia" w:ascii="宋体" w:hAnsi="宋体" w:eastAsia="宋体" w:cs="宋体"/>
                <w:sz w:val="24"/>
                <w:szCs w:val="24"/>
              </w:rPr>
            </w:pPr>
            <w:r>
              <w:rPr>
                <w:rFonts w:hint="eastAsia" w:ascii="宋体" w:hAnsi="宋体" w:eastAsia="宋体" w:cs="宋体"/>
                <w:sz w:val="24"/>
                <w:szCs w:val="24"/>
              </w:rPr>
              <w:t>《项目阶段交付物清单》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285" w:hRule="atLeast"/>
          <w:tblHeader/>
        </w:trPr>
        <w:tc>
          <w:tcPr>
            <w:tcW w:w="811"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19</w:t>
            </w:r>
          </w:p>
        </w:tc>
        <w:tc>
          <w:tcPr>
            <w:tcW w:w="2379" w:type="dxa"/>
            <w:vMerge w:val="continue"/>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p>
        </w:tc>
        <w:tc>
          <w:tcPr>
            <w:tcW w:w="5595" w:type="dxa"/>
            <w:noWrap w:val="0"/>
            <w:vAlign w:val="center"/>
          </w:tcPr>
          <w:p>
            <w:pPr>
              <w:widowControl/>
              <w:overflowPunct w:val="0"/>
              <w:autoSpaceDE w:val="0"/>
              <w:autoSpaceDN w:val="0"/>
              <w:adjustRightInd w:val="0"/>
              <w:spacing w:after="120"/>
              <w:textAlignment w:val="baseline"/>
              <w:rPr>
                <w:rFonts w:hint="eastAsia" w:ascii="宋体" w:hAnsi="宋体" w:eastAsia="宋体" w:cs="宋体"/>
                <w:sz w:val="24"/>
                <w:szCs w:val="24"/>
              </w:rPr>
            </w:pPr>
            <w:r>
              <w:rPr>
                <w:rFonts w:hint="eastAsia" w:ascii="宋体" w:hAnsi="宋体" w:eastAsia="宋体" w:cs="宋体"/>
                <w:sz w:val="24"/>
                <w:szCs w:val="24"/>
              </w:rPr>
              <w:t xml:space="preserve">《项目阶段交付物评审》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285" w:hRule="atLeast"/>
          <w:tblHeader/>
        </w:trPr>
        <w:tc>
          <w:tcPr>
            <w:tcW w:w="811"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20</w:t>
            </w:r>
          </w:p>
        </w:tc>
        <w:tc>
          <w:tcPr>
            <w:tcW w:w="2379" w:type="dxa"/>
            <w:vMerge w:val="restart"/>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投产演练与上线管理</w:t>
            </w:r>
          </w:p>
        </w:tc>
        <w:tc>
          <w:tcPr>
            <w:tcW w:w="5595" w:type="dxa"/>
            <w:noWrap w:val="0"/>
            <w:vAlign w:val="center"/>
          </w:tcPr>
          <w:p>
            <w:pPr>
              <w:widowControl/>
              <w:overflowPunct w:val="0"/>
              <w:autoSpaceDE w:val="0"/>
              <w:autoSpaceDN w:val="0"/>
              <w:adjustRightInd w:val="0"/>
              <w:spacing w:after="120"/>
              <w:textAlignment w:val="baseline"/>
              <w:rPr>
                <w:rFonts w:hint="eastAsia" w:ascii="宋体" w:hAnsi="宋体" w:eastAsia="宋体" w:cs="宋体"/>
                <w:sz w:val="24"/>
                <w:szCs w:val="24"/>
              </w:rPr>
            </w:pPr>
            <w:r>
              <w:rPr>
                <w:rFonts w:hint="eastAsia" w:ascii="宋体" w:hAnsi="宋体" w:eastAsia="宋体" w:cs="宋体"/>
                <w:sz w:val="24"/>
                <w:szCs w:val="24"/>
              </w:rPr>
              <w:t>《核心项目群投产总体方案》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285" w:hRule="atLeast"/>
          <w:tblHeader/>
        </w:trPr>
        <w:tc>
          <w:tcPr>
            <w:tcW w:w="811"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21</w:t>
            </w:r>
          </w:p>
        </w:tc>
        <w:tc>
          <w:tcPr>
            <w:tcW w:w="2379" w:type="dxa"/>
            <w:vMerge w:val="continue"/>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p>
        </w:tc>
        <w:tc>
          <w:tcPr>
            <w:tcW w:w="5595" w:type="dxa"/>
            <w:noWrap w:val="0"/>
            <w:vAlign w:val="center"/>
          </w:tcPr>
          <w:p>
            <w:pPr>
              <w:widowControl/>
              <w:overflowPunct w:val="0"/>
              <w:autoSpaceDE w:val="0"/>
              <w:autoSpaceDN w:val="0"/>
              <w:adjustRightInd w:val="0"/>
              <w:spacing w:after="120"/>
              <w:textAlignment w:val="baseline"/>
              <w:rPr>
                <w:rFonts w:hint="eastAsia" w:ascii="宋体" w:hAnsi="宋体" w:eastAsia="宋体" w:cs="宋体"/>
                <w:sz w:val="24"/>
                <w:szCs w:val="24"/>
              </w:rPr>
            </w:pPr>
            <w:r>
              <w:rPr>
                <w:rFonts w:hint="eastAsia" w:ascii="宋体" w:hAnsi="宋体" w:eastAsia="宋体" w:cs="宋体"/>
                <w:sz w:val="24"/>
                <w:szCs w:val="24"/>
              </w:rPr>
              <w:t>《上线回退方案》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285" w:hRule="atLeast"/>
          <w:tblHeader/>
        </w:trPr>
        <w:tc>
          <w:tcPr>
            <w:tcW w:w="811"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22</w:t>
            </w:r>
          </w:p>
        </w:tc>
        <w:tc>
          <w:tcPr>
            <w:tcW w:w="2379" w:type="dxa"/>
            <w:vMerge w:val="continue"/>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p>
        </w:tc>
        <w:tc>
          <w:tcPr>
            <w:tcW w:w="5595" w:type="dxa"/>
            <w:noWrap w:val="0"/>
            <w:vAlign w:val="center"/>
          </w:tcPr>
          <w:p>
            <w:pPr>
              <w:widowControl/>
              <w:overflowPunct w:val="0"/>
              <w:autoSpaceDE w:val="0"/>
              <w:autoSpaceDN w:val="0"/>
              <w:adjustRightInd w:val="0"/>
              <w:spacing w:after="120"/>
              <w:textAlignment w:val="baseline"/>
              <w:rPr>
                <w:rFonts w:hint="eastAsia" w:ascii="宋体" w:hAnsi="宋体" w:eastAsia="宋体" w:cs="宋体"/>
                <w:sz w:val="24"/>
                <w:szCs w:val="24"/>
              </w:rPr>
            </w:pPr>
            <w:r>
              <w:rPr>
                <w:rFonts w:hint="eastAsia" w:ascii="宋体" w:hAnsi="宋体" w:eastAsia="宋体" w:cs="宋体"/>
                <w:sz w:val="24"/>
                <w:szCs w:val="24"/>
              </w:rPr>
              <w:t xml:space="preserve">《上线问题管理》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285" w:hRule="atLeast"/>
          <w:tblHeader/>
        </w:trPr>
        <w:tc>
          <w:tcPr>
            <w:tcW w:w="811"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23</w:t>
            </w:r>
          </w:p>
        </w:tc>
        <w:tc>
          <w:tcPr>
            <w:tcW w:w="2379" w:type="dxa"/>
            <w:vMerge w:val="continue"/>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p>
        </w:tc>
        <w:tc>
          <w:tcPr>
            <w:tcW w:w="5595" w:type="dxa"/>
            <w:noWrap w:val="0"/>
            <w:vAlign w:val="center"/>
          </w:tcPr>
          <w:p>
            <w:pPr>
              <w:widowControl/>
              <w:overflowPunct w:val="0"/>
              <w:autoSpaceDE w:val="0"/>
              <w:autoSpaceDN w:val="0"/>
              <w:adjustRightInd w:val="0"/>
              <w:spacing w:after="120"/>
              <w:textAlignment w:val="baseline"/>
              <w:rPr>
                <w:rFonts w:hint="eastAsia" w:ascii="宋体" w:hAnsi="宋体" w:eastAsia="宋体" w:cs="宋体"/>
                <w:sz w:val="24"/>
                <w:szCs w:val="24"/>
              </w:rPr>
            </w:pPr>
            <w:r>
              <w:rPr>
                <w:rFonts w:hint="eastAsia" w:ascii="宋体" w:hAnsi="宋体" w:eastAsia="宋体" w:cs="宋体"/>
                <w:sz w:val="24"/>
                <w:szCs w:val="24"/>
              </w:rPr>
              <w:t>《上线动员会材料》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285" w:hRule="atLeast"/>
          <w:tblHeader/>
        </w:trPr>
        <w:tc>
          <w:tcPr>
            <w:tcW w:w="811"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24</w:t>
            </w:r>
          </w:p>
        </w:tc>
        <w:tc>
          <w:tcPr>
            <w:tcW w:w="2379" w:type="dxa"/>
            <w:vMerge w:val="continue"/>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p>
        </w:tc>
        <w:tc>
          <w:tcPr>
            <w:tcW w:w="5595" w:type="dxa"/>
            <w:noWrap w:val="0"/>
            <w:vAlign w:val="center"/>
          </w:tcPr>
          <w:p>
            <w:pPr>
              <w:widowControl/>
              <w:overflowPunct w:val="0"/>
              <w:autoSpaceDE w:val="0"/>
              <w:autoSpaceDN w:val="0"/>
              <w:adjustRightInd w:val="0"/>
              <w:spacing w:after="120"/>
              <w:textAlignment w:val="baseline"/>
              <w:rPr>
                <w:rFonts w:hint="eastAsia" w:ascii="宋体" w:hAnsi="宋体" w:eastAsia="宋体" w:cs="宋体"/>
                <w:sz w:val="24"/>
                <w:szCs w:val="24"/>
              </w:rPr>
            </w:pPr>
            <w:r>
              <w:rPr>
                <w:rFonts w:hint="eastAsia" w:ascii="宋体" w:hAnsi="宋体" w:eastAsia="宋体" w:cs="宋体"/>
                <w:sz w:val="24"/>
                <w:szCs w:val="24"/>
              </w:rPr>
              <w:t xml:space="preserve">《投产时序》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285" w:hRule="atLeast"/>
          <w:tblHeader/>
        </w:trPr>
        <w:tc>
          <w:tcPr>
            <w:tcW w:w="811"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25</w:t>
            </w:r>
          </w:p>
        </w:tc>
        <w:tc>
          <w:tcPr>
            <w:tcW w:w="2379" w:type="dxa"/>
            <w:vMerge w:val="continue"/>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p>
        </w:tc>
        <w:tc>
          <w:tcPr>
            <w:tcW w:w="5595" w:type="dxa"/>
            <w:noWrap w:val="0"/>
            <w:vAlign w:val="center"/>
          </w:tcPr>
          <w:p>
            <w:pPr>
              <w:widowControl/>
              <w:overflowPunct w:val="0"/>
              <w:autoSpaceDE w:val="0"/>
              <w:autoSpaceDN w:val="0"/>
              <w:adjustRightInd w:val="0"/>
              <w:spacing w:after="120"/>
              <w:textAlignment w:val="baseline"/>
              <w:rPr>
                <w:rFonts w:hint="eastAsia" w:ascii="宋体" w:hAnsi="宋体" w:eastAsia="宋体" w:cs="宋体"/>
                <w:sz w:val="24"/>
                <w:szCs w:val="24"/>
              </w:rPr>
            </w:pPr>
            <w:r>
              <w:rPr>
                <w:rFonts w:hint="eastAsia" w:ascii="宋体" w:hAnsi="宋体" w:eastAsia="宋体" w:cs="宋体"/>
                <w:sz w:val="24"/>
                <w:szCs w:val="24"/>
              </w:rPr>
              <w:t xml:space="preserve">《投产演练方案》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285" w:hRule="atLeast"/>
          <w:tblHeader/>
        </w:trPr>
        <w:tc>
          <w:tcPr>
            <w:tcW w:w="811"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26</w:t>
            </w:r>
          </w:p>
        </w:tc>
        <w:tc>
          <w:tcPr>
            <w:tcW w:w="2379" w:type="dxa"/>
            <w:vMerge w:val="continue"/>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p>
        </w:tc>
        <w:tc>
          <w:tcPr>
            <w:tcW w:w="5595" w:type="dxa"/>
            <w:noWrap w:val="0"/>
            <w:vAlign w:val="center"/>
          </w:tcPr>
          <w:p>
            <w:pPr>
              <w:widowControl/>
              <w:overflowPunct w:val="0"/>
              <w:autoSpaceDE w:val="0"/>
              <w:autoSpaceDN w:val="0"/>
              <w:adjustRightInd w:val="0"/>
              <w:spacing w:after="120"/>
              <w:textAlignment w:val="baseline"/>
              <w:rPr>
                <w:rFonts w:hint="eastAsia" w:ascii="宋体" w:hAnsi="宋体" w:eastAsia="宋体" w:cs="宋体"/>
                <w:sz w:val="24"/>
                <w:szCs w:val="24"/>
              </w:rPr>
            </w:pPr>
            <w:r>
              <w:rPr>
                <w:rFonts w:hint="eastAsia" w:ascii="宋体" w:hAnsi="宋体" w:eastAsia="宋体" w:cs="宋体"/>
                <w:sz w:val="24"/>
                <w:szCs w:val="24"/>
              </w:rPr>
              <w:t>《演练总结报告》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285" w:hRule="atLeast"/>
          <w:tblHeader/>
        </w:trPr>
        <w:tc>
          <w:tcPr>
            <w:tcW w:w="811"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27</w:t>
            </w:r>
          </w:p>
        </w:tc>
        <w:tc>
          <w:tcPr>
            <w:tcW w:w="2379" w:type="dxa"/>
            <w:vMerge w:val="continue"/>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p>
        </w:tc>
        <w:tc>
          <w:tcPr>
            <w:tcW w:w="5595" w:type="dxa"/>
            <w:noWrap w:val="0"/>
            <w:vAlign w:val="center"/>
          </w:tcPr>
          <w:p>
            <w:pPr>
              <w:widowControl/>
              <w:overflowPunct w:val="0"/>
              <w:autoSpaceDE w:val="0"/>
              <w:autoSpaceDN w:val="0"/>
              <w:adjustRightInd w:val="0"/>
              <w:spacing w:after="120"/>
              <w:textAlignment w:val="baseline"/>
              <w:rPr>
                <w:rFonts w:hint="eastAsia" w:ascii="宋体" w:hAnsi="宋体" w:eastAsia="宋体" w:cs="宋体"/>
                <w:sz w:val="24"/>
                <w:szCs w:val="24"/>
              </w:rPr>
            </w:pPr>
            <w:r>
              <w:rPr>
                <w:rFonts w:hint="eastAsia" w:ascii="宋体" w:hAnsi="宋体" w:eastAsia="宋体" w:cs="宋体"/>
                <w:sz w:val="24"/>
                <w:szCs w:val="24"/>
              </w:rPr>
              <w:t>《投产资源规划》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285" w:hRule="atLeast"/>
          <w:tblHeader/>
        </w:trPr>
        <w:tc>
          <w:tcPr>
            <w:tcW w:w="811"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28</w:t>
            </w:r>
          </w:p>
        </w:tc>
        <w:tc>
          <w:tcPr>
            <w:tcW w:w="2379" w:type="dxa"/>
            <w:vMerge w:val="continue"/>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p>
        </w:tc>
        <w:tc>
          <w:tcPr>
            <w:tcW w:w="5595" w:type="dxa"/>
            <w:noWrap w:val="0"/>
            <w:vAlign w:val="center"/>
          </w:tcPr>
          <w:p>
            <w:pPr>
              <w:widowControl/>
              <w:overflowPunct w:val="0"/>
              <w:autoSpaceDE w:val="0"/>
              <w:autoSpaceDN w:val="0"/>
              <w:adjustRightInd w:val="0"/>
              <w:spacing w:after="120"/>
              <w:textAlignment w:val="baseline"/>
              <w:rPr>
                <w:rFonts w:hint="eastAsia" w:ascii="宋体" w:hAnsi="宋体" w:eastAsia="宋体" w:cs="宋体"/>
                <w:sz w:val="24"/>
                <w:szCs w:val="24"/>
              </w:rPr>
            </w:pPr>
            <w:r>
              <w:rPr>
                <w:rFonts w:hint="eastAsia" w:ascii="宋体" w:hAnsi="宋体" w:eastAsia="宋体" w:cs="宋体"/>
                <w:sz w:val="24"/>
                <w:szCs w:val="24"/>
              </w:rPr>
              <w:t>《投产任务书》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285" w:hRule="atLeast"/>
          <w:tblHeader/>
        </w:trPr>
        <w:tc>
          <w:tcPr>
            <w:tcW w:w="811"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29</w:t>
            </w:r>
          </w:p>
        </w:tc>
        <w:tc>
          <w:tcPr>
            <w:tcW w:w="2379" w:type="dxa"/>
            <w:vMerge w:val="restart"/>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文档与验收管理</w:t>
            </w:r>
          </w:p>
        </w:tc>
        <w:tc>
          <w:tcPr>
            <w:tcW w:w="5595" w:type="dxa"/>
            <w:noWrap w:val="0"/>
            <w:vAlign w:val="center"/>
          </w:tcPr>
          <w:p>
            <w:pPr>
              <w:overflowPunct w:val="0"/>
              <w:autoSpaceDE w:val="0"/>
              <w:autoSpaceDN w:val="0"/>
              <w:adjustRightInd w:val="0"/>
              <w:spacing w:after="120"/>
              <w:ind w:right="4" w:rightChars="2" w:firstLine="26" w:firstLineChars="11"/>
              <w:jc w:val="left"/>
              <w:textAlignment w:val="baseline"/>
              <w:rPr>
                <w:rFonts w:hint="eastAsia" w:ascii="宋体" w:hAnsi="宋体" w:eastAsia="宋体" w:cs="宋体"/>
                <w:sz w:val="24"/>
                <w:szCs w:val="24"/>
              </w:rPr>
            </w:pPr>
            <w:r>
              <w:rPr>
                <w:rFonts w:hint="eastAsia" w:ascii="宋体" w:hAnsi="宋体" w:eastAsia="宋体" w:cs="宋体"/>
                <w:sz w:val="24"/>
                <w:szCs w:val="24"/>
              </w:rPr>
              <w:t>《项目文档管理规范》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285" w:hRule="atLeast"/>
          <w:tblHeader/>
        </w:trPr>
        <w:tc>
          <w:tcPr>
            <w:tcW w:w="811"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30</w:t>
            </w:r>
          </w:p>
        </w:tc>
        <w:tc>
          <w:tcPr>
            <w:tcW w:w="2379" w:type="dxa"/>
            <w:vMerge w:val="continue"/>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p>
        </w:tc>
        <w:tc>
          <w:tcPr>
            <w:tcW w:w="5595" w:type="dxa"/>
            <w:noWrap w:val="0"/>
            <w:vAlign w:val="center"/>
          </w:tcPr>
          <w:p>
            <w:pPr>
              <w:overflowPunct w:val="0"/>
              <w:autoSpaceDE w:val="0"/>
              <w:autoSpaceDN w:val="0"/>
              <w:adjustRightInd w:val="0"/>
              <w:spacing w:after="120"/>
              <w:ind w:right="4" w:rightChars="2" w:firstLine="26" w:firstLineChars="11"/>
              <w:jc w:val="left"/>
              <w:textAlignment w:val="baseline"/>
              <w:rPr>
                <w:rFonts w:hint="eastAsia" w:ascii="宋体" w:hAnsi="宋体" w:eastAsia="宋体" w:cs="宋体"/>
                <w:sz w:val="24"/>
                <w:szCs w:val="24"/>
              </w:rPr>
            </w:pPr>
            <w:r>
              <w:rPr>
                <w:rFonts w:hint="eastAsia" w:ascii="宋体" w:hAnsi="宋体" w:eastAsia="宋体" w:cs="宋体"/>
                <w:sz w:val="24"/>
                <w:szCs w:val="24"/>
              </w:rPr>
              <w:t>《各项工作文档模板》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285" w:hRule="atLeast"/>
          <w:tblHeader/>
        </w:trPr>
        <w:tc>
          <w:tcPr>
            <w:tcW w:w="811" w:type="dxa"/>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r>
              <w:rPr>
                <w:rFonts w:hint="eastAsia" w:ascii="宋体" w:hAnsi="宋体" w:eastAsia="宋体" w:cs="宋体"/>
                <w:sz w:val="24"/>
                <w:szCs w:val="24"/>
              </w:rPr>
              <w:t>31</w:t>
            </w:r>
          </w:p>
        </w:tc>
        <w:tc>
          <w:tcPr>
            <w:tcW w:w="2379" w:type="dxa"/>
            <w:vMerge w:val="continue"/>
            <w:noWrap w:val="0"/>
            <w:vAlign w:val="center"/>
          </w:tcPr>
          <w:p>
            <w:pPr>
              <w:overflowPunct w:val="0"/>
              <w:autoSpaceDE w:val="0"/>
              <w:autoSpaceDN w:val="0"/>
              <w:adjustRightInd w:val="0"/>
              <w:spacing w:after="120"/>
              <w:jc w:val="center"/>
              <w:textAlignment w:val="baseline"/>
              <w:rPr>
                <w:rFonts w:hint="eastAsia" w:ascii="宋体" w:hAnsi="宋体" w:eastAsia="宋体" w:cs="宋体"/>
                <w:sz w:val="24"/>
                <w:szCs w:val="24"/>
              </w:rPr>
            </w:pPr>
          </w:p>
        </w:tc>
        <w:tc>
          <w:tcPr>
            <w:tcW w:w="5595" w:type="dxa"/>
            <w:noWrap w:val="0"/>
            <w:vAlign w:val="center"/>
          </w:tcPr>
          <w:p>
            <w:pPr>
              <w:overflowPunct w:val="0"/>
              <w:autoSpaceDE w:val="0"/>
              <w:autoSpaceDN w:val="0"/>
              <w:adjustRightInd w:val="0"/>
              <w:spacing w:after="120"/>
              <w:ind w:right="4" w:rightChars="2" w:firstLine="26" w:firstLineChars="11"/>
              <w:jc w:val="left"/>
              <w:textAlignment w:val="baseline"/>
              <w:rPr>
                <w:rFonts w:hint="eastAsia" w:ascii="宋体" w:hAnsi="宋体" w:eastAsia="宋体" w:cs="宋体"/>
                <w:sz w:val="24"/>
                <w:szCs w:val="24"/>
              </w:rPr>
            </w:pPr>
            <w:r>
              <w:rPr>
                <w:rFonts w:hint="eastAsia" w:ascii="宋体" w:hAnsi="宋体" w:eastAsia="宋体" w:cs="宋体"/>
                <w:sz w:val="24"/>
                <w:szCs w:val="24"/>
              </w:rPr>
              <w:t>《项目验收方案》（包含验收标准、流程、评审计划）</w:t>
            </w:r>
          </w:p>
        </w:tc>
      </w:tr>
    </w:tbl>
    <w:p>
      <w:pPr>
        <w:pStyle w:val="21"/>
        <w:keepNext w:val="0"/>
        <w:keepLines w:val="0"/>
        <w:pageBreakBefore w:val="0"/>
        <w:numPr>
          <w:ilvl w:val="0"/>
          <w:numId w:val="0"/>
        </w:numPr>
        <w:kinsoku/>
        <w:wordWrap/>
        <w:overflowPunct/>
        <w:topLinePunct w:val="0"/>
        <w:autoSpaceDE/>
        <w:autoSpaceDN/>
        <w:bidi w:val="0"/>
        <w:adjustRightInd/>
        <w:snapToGrid/>
        <w:spacing w:after="0" w:afterLines="0" w:line="400" w:lineRule="exact"/>
        <w:ind w:right="0" w:rightChars="0"/>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4、其他要求</w:t>
      </w:r>
    </w:p>
    <w:p>
      <w:pPr>
        <w:keepNext w:val="0"/>
        <w:keepLines w:val="0"/>
        <w:pageBreakBefore w:val="0"/>
        <w:kinsoku/>
        <w:wordWrap/>
        <w:overflowPunct/>
        <w:topLinePunct w:val="0"/>
        <w:autoSpaceDE/>
        <w:autoSpaceDN/>
        <w:bidi w:val="0"/>
        <w:adjustRightInd/>
        <w:snapToGrid/>
        <w:spacing w:line="400" w:lineRule="exact"/>
        <w:ind w:leftChars="200" w:right="0" w:rightChars="0" w:firstLine="0" w:firstLineChars="0"/>
        <w:textAlignment w:val="auto"/>
        <w:outlineLvl w:val="3"/>
        <w:rPr>
          <w:rFonts w:hint="eastAsia" w:ascii="宋体" w:hAnsi="宋体" w:eastAsia="宋体" w:cs="宋体"/>
          <w:b/>
          <w:sz w:val="24"/>
          <w:szCs w:val="24"/>
        </w:rPr>
      </w:pPr>
      <w:r>
        <w:rPr>
          <w:rFonts w:hint="eastAsia" w:ascii="宋体" w:hAnsi="宋体" w:eastAsia="宋体" w:cs="宋体"/>
          <w:b/>
          <w:sz w:val="24"/>
          <w:szCs w:val="24"/>
        </w:rPr>
        <w:t>4.1知识转移与培训要求</w:t>
      </w:r>
      <w:bookmarkEnd w:id="75"/>
    </w:p>
    <w:p>
      <w:pPr>
        <w:keepNext w:val="0"/>
        <w:keepLines w:val="0"/>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投标人应提供项目过程中的知识转移、培训计划、培训方式，培训手段及培训内容，为确保项目实施的顺利进行，在项目实施的不同阶段应通过多种形式对招标人相关人员进行各类培训。</w:t>
      </w:r>
    </w:p>
    <w:p>
      <w:pPr>
        <w:keepNext w:val="0"/>
        <w:keepLines w:val="0"/>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投标人负责对项目管理全过程、需求分析与需求管理及架构规划与设计的方法论、制度体系、操作指南、模板表格与使用工具进行培训，确保招标人项目组成员具备项目所需的技能。</w:t>
      </w:r>
    </w:p>
    <w:p>
      <w:pPr>
        <w:keepNext w:val="0"/>
        <w:keepLines w:val="0"/>
        <w:pageBreakBefore w:val="0"/>
        <w:kinsoku/>
        <w:wordWrap/>
        <w:overflowPunct/>
        <w:topLinePunct w:val="0"/>
        <w:autoSpaceDE/>
        <w:autoSpaceDN/>
        <w:bidi w:val="0"/>
        <w:adjustRightInd/>
        <w:snapToGrid/>
        <w:spacing w:line="400" w:lineRule="exact"/>
        <w:ind w:leftChars="200" w:right="0" w:rightChars="0" w:firstLine="0" w:firstLineChars="0"/>
        <w:textAlignment w:val="auto"/>
        <w:outlineLvl w:val="3"/>
        <w:rPr>
          <w:rFonts w:hint="eastAsia" w:ascii="宋体" w:hAnsi="宋体" w:eastAsia="宋体" w:cs="宋体"/>
          <w:b/>
          <w:sz w:val="24"/>
          <w:szCs w:val="24"/>
        </w:rPr>
      </w:pPr>
      <w:bookmarkStart w:id="76" w:name="_Toc54336402"/>
      <w:r>
        <w:rPr>
          <w:rFonts w:hint="eastAsia" w:ascii="宋体" w:hAnsi="宋体" w:eastAsia="宋体" w:cs="宋体"/>
          <w:b/>
          <w:sz w:val="24"/>
          <w:szCs w:val="24"/>
        </w:rPr>
        <w:t>4.2知识产权归属要求</w:t>
      </w:r>
      <w:bookmarkEnd w:id="76"/>
    </w:p>
    <w:p>
      <w:pPr>
        <w:keepNext w:val="0"/>
        <w:keepLines w:val="0"/>
        <w:pageBreakBefore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投标人必须保证，在服务期间使用的所有方法论、参考成果、工具均合法有效，服务期间如有第三方向招标人提出侵犯其专利权、商标权或其它知识产权的主张，该责任应由投标人承担。项目服务期间的所有产出成果，知识产权均归招标人所有，未经招标人允许，投标人不得对外传播、使用。</w:t>
      </w:r>
    </w:p>
    <w:p>
      <w:pPr>
        <w:keepNext w:val="0"/>
        <w:keepLines w:val="0"/>
        <w:pageBreakBefore w:val="0"/>
        <w:kinsoku/>
        <w:wordWrap/>
        <w:overflowPunct/>
        <w:topLinePunct w:val="0"/>
        <w:autoSpaceDE/>
        <w:autoSpaceDN/>
        <w:bidi w:val="0"/>
        <w:adjustRightInd/>
        <w:snapToGrid/>
        <w:spacing w:line="400" w:lineRule="exact"/>
        <w:ind w:leftChars="200" w:right="0" w:rightChars="0" w:firstLine="0" w:firstLineChars="0"/>
        <w:textAlignment w:val="auto"/>
        <w:outlineLvl w:val="3"/>
        <w:rPr>
          <w:rFonts w:hint="eastAsia" w:ascii="宋体" w:hAnsi="宋体" w:eastAsia="宋体" w:cs="宋体"/>
          <w:b/>
          <w:sz w:val="24"/>
          <w:szCs w:val="24"/>
        </w:rPr>
      </w:pPr>
      <w:bookmarkStart w:id="77" w:name="_Toc54336407"/>
      <w:r>
        <w:rPr>
          <w:rFonts w:hint="eastAsia" w:ascii="宋体" w:hAnsi="宋体" w:eastAsia="宋体" w:cs="宋体"/>
          <w:b/>
          <w:sz w:val="24"/>
          <w:szCs w:val="24"/>
        </w:rPr>
        <w:t>4.3信息保密要求</w:t>
      </w:r>
      <w:bookmarkEnd w:id="77"/>
    </w:p>
    <w:p>
      <w:pPr>
        <w:pStyle w:val="298"/>
        <w:keepNext w:val="0"/>
        <w:keepLines w:val="0"/>
        <w:pageBreakBefore w:val="0"/>
        <w:kinsoku/>
        <w:wordWrap/>
        <w:overflowPunct/>
        <w:topLinePunct w:val="0"/>
        <w:autoSpaceDE/>
        <w:autoSpaceDN/>
        <w:bidi w:val="0"/>
        <w:adjustRightInd/>
        <w:snapToGrid/>
        <w:spacing w:line="400" w:lineRule="exact"/>
        <w:ind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投标人应承诺将采取所有必要的预防措施防止未经授权地使用、传播或披露招标人的保密信息。且所承担的保密义务不因招标文件的变更、终止而终止，直至保密信息在本行业中成为公知信息后。</w:t>
      </w:r>
    </w:p>
    <w:p>
      <w:pPr>
        <w:widowControl/>
        <w:numPr>
          <w:ilvl w:val="0"/>
          <w:numId w:val="0"/>
        </w:numPr>
        <w:tabs>
          <w:tab w:val="left" w:pos="902"/>
          <w:tab w:val="left" w:pos="1800"/>
        </w:tabs>
        <w:spacing w:line="360" w:lineRule="auto"/>
        <w:ind w:left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宋体" w:hAnsi="宋体" w:eastAsia="宋体" w:cs="宋体"/>
          <w:sz w:val="24"/>
          <w:szCs w:val="24"/>
        </w:rPr>
        <w:t>投标人应遵守招标人的保密协议规定，并确保所有现场服务人员（无论该人员是否离职）签署个人保密协议并遵照执行，同时承担可能造成的泄密损失。</w:t>
      </w:r>
    </w:p>
    <w:p>
      <w:pPr>
        <w:pStyle w:val="21"/>
        <w:pageBreakBefore w:val="0"/>
        <w:numPr>
          <w:ilvl w:val="0"/>
          <w:numId w:val="0"/>
        </w:numPr>
        <w:kinsoku/>
        <w:wordWrap/>
        <w:overflowPunct/>
        <w:topLinePunct w:val="0"/>
        <w:autoSpaceDE/>
        <w:autoSpaceDN/>
        <w:bidi w:val="0"/>
        <w:adjustRightInd/>
        <w:snapToGrid/>
        <w:spacing w:after="0" w:afterLines="0" w:line="400" w:lineRule="exact"/>
        <w:ind w:right="0" w:rightChars="0"/>
        <w:textAlignment w:val="auto"/>
        <w:rPr>
          <w:rFonts w:hint="eastAsia" w:asciiTheme="majorEastAsia" w:hAnsiTheme="majorEastAsia" w:eastAsiaTheme="majorEastAsia" w:cstheme="majorEastAsia"/>
          <w:b/>
          <w:bCs w:val="0"/>
          <w:color w:val="0000FF"/>
          <w:sz w:val="24"/>
          <w:szCs w:val="24"/>
          <w:lang w:val="en-US" w:eastAsia="zh-CN"/>
        </w:rPr>
      </w:pPr>
      <w:r>
        <w:rPr>
          <w:rFonts w:hint="eastAsia" w:ascii="宋体" w:hAnsi="宋体" w:eastAsia="宋体" w:cs="宋体"/>
          <w:b/>
          <w:sz w:val="24"/>
          <w:szCs w:val="24"/>
        </w:rPr>
        <w:t>（三）</w:t>
      </w:r>
      <w:r>
        <w:rPr>
          <w:rFonts w:hint="eastAsia" w:asciiTheme="majorEastAsia" w:hAnsiTheme="majorEastAsia" w:eastAsiaTheme="majorEastAsia" w:cstheme="majorEastAsia"/>
          <w:b/>
          <w:bCs w:val="0"/>
          <w:color w:val="0000FF"/>
          <w:sz w:val="24"/>
          <w:szCs w:val="24"/>
          <w:lang w:val="en-US" w:eastAsia="zh-CN"/>
        </w:rPr>
        <w:t>付款方式</w:t>
      </w:r>
    </w:p>
    <w:p>
      <w:pPr>
        <w:shd w:val="clear"/>
        <w:spacing w:line="360" w:lineRule="auto"/>
        <w:ind w:firstLine="480" w:firstLineChars="200"/>
        <w:jc w:val="left"/>
        <w:rPr>
          <w:rFonts w:cs="Romantic" w:asciiTheme="majorEastAsia" w:hAnsiTheme="majorEastAsia" w:eastAsiaTheme="majorEastAsia"/>
          <w:color w:val="auto"/>
          <w:sz w:val="24"/>
        </w:rPr>
      </w:pPr>
      <w:r>
        <w:rPr>
          <w:rFonts w:hint="eastAsia" w:ascii="宋体" w:hAnsi="宋体" w:cs="宋体"/>
          <w:color w:val="auto"/>
          <w:sz w:val="24"/>
        </w:rPr>
        <w:t>按《浙江省财政厅关于坚决打赢疫情防控阻击战进一步做好政府采购资金支持企业发展工作的通知》（浙财采监〔2020〕3号）和《浙江省财政厅关于进一步发挥政府采购政策 功能全力推动经济稳进提质的通知》（浙财采监〔2022〕3号）文件要求执行，具体付款方式由双方协商后在合同中明确。不得把履约保证金转为质量保证金或收取质量保证金。</w:t>
      </w:r>
    </w:p>
    <w:p>
      <w:pPr>
        <w:keepNext w:val="0"/>
        <w:keepLines w:val="0"/>
        <w:pageBreakBefore w:val="0"/>
        <w:widowControl w:val="0"/>
        <w:numPr>
          <w:ilvl w:val="1"/>
          <w:numId w:val="15"/>
        </w:numPr>
        <w:tabs>
          <w:tab w:val="clear" w:pos="0"/>
        </w:tabs>
        <w:kinsoku/>
        <w:wordWrap/>
        <w:overflowPunct/>
        <w:topLinePunct w:val="0"/>
        <w:autoSpaceDE/>
        <w:autoSpaceDN/>
        <w:bidi w:val="0"/>
        <w:adjustRightInd/>
        <w:snapToGrid w:val="0"/>
        <w:spacing w:line="360" w:lineRule="auto"/>
        <w:ind w:left="0" w:leftChars="0" w:right="0" w:rightChars="0" w:firstLine="723" w:firstLineChars="200"/>
        <w:jc w:val="left"/>
        <w:textAlignment w:val="auto"/>
        <w:outlineLvl w:val="2"/>
        <w:rPr>
          <w:rFonts w:hint="eastAsia" w:ascii="仿宋" w:hAnsi="仿宋" w:eastAsia="仿宋" w:cs="仿宋"/>
          <w:b w:val="0"/>
          <w:bCs/>
          <w:sz w:val="28"/>
          <w:szCs w:val="28"/>
          <w:lang w:val="en-US" w:eastAsia="zh-CN"/>
        </w:rPr>
      </w:pPr>
      <w:r>
        <w:rPr>
          <w:rFonts w:hint="eastAsia" w:hAnsi="宋体"/>
          <w:b/>
          <w:bCs w:val="0"/>
          <w:sz w:val="36"/>
          <w:szCs w:val="36"/>
        </w:rPr>
        <w:br w:type="page"/>
      </w:r>
    </w:p>
    <w:p>
      <w:pPr>
        <w:pageBreakBefore/>
        <w:shd w:val="clear"/>
        <w:spacing w:line="540" w:lineRule="exact"/>
        <w:ind w:left="-283" w:leftChars="-135" w:right="-651" w:rightChars="-310"/>
        <w:jc w:val="center"/>
        <w:rPr>
          <w:rFonts w:asciiTheme="majorEastAsia" w:hAnsiTheme="majorEastAsia" w:eastAsiaTheme="majorEastAsia"/>
          <w:b/>
          <w:color w:val="auto"/>
          <w:sz w:val="36"/>
          <w:szCs w:val="36"/>
        </w:rPr>
      </w:pPr>
      <w:r>
        <w:rPr>
          <w:rFonts w:hint="eastAsia" w:asciiTheme="majorEastAsia" w:hAnsiTheme="majorEastAsia" w:eastAsiaTheme="majorEastAsia"/>
          <w:b/>
          <w:color w:val="auto"/>
          <w:sz w:val="36"/>
          <w:szCs w:val="36"/>
        </w:rPr>
        <w:t>第四部分 合同主要条款</w:t>
      </w:r>
    </w:p>
    <w:p>
      <w:pPr>
        <w:shd w:val="clear"/>
        <w:rPr>
          <w:rFonts w:asciiTheme="majorEastAsia" w:hAnsiTheme="majorEastAsia" w:eastAsiaTheme="majorEastAsia"/>
          <w:color w:val="auto"/>
          <w:sz w:val="24"/>
        </w:rPr>
      </w:pPr>
    </w:p>
    <w:p>
      <w:pPr>
        <w:shd w:val="clear"/>
        <w:rPr>
          <w:rFonts w:asciiTheme="majorEastAsia" w:hAnsiTheme="majorEastAsia" w:eastAsiaTheme="majorEastAsia"/>
          <w:color w:val="auto"/>
          <w:sz w:val="24"/>
          <w:u w:val="single"/>
        </w:rPr>
      </w:pPr>
      <w:r>
        <w:rPr>
          <w:rFonts w:hint="eastAsia" w:asciiTheme="majorEastAsia" w:hAnsiTheme="majorEastAsia" w:eastAsiaTheme="majorEastAsia"/>
          <w:color w:val="auto"/>
          <w:sz w:val="24"/>
        </w:rPr>
        <w:t>合同编号：</w:t>
      </w:r>
    </w:p>
    <w:p>
      <w:pPr>
        <w:shd w:val="clear"/>
        <w:spacing w:line="480" w:lineRule="auto"/>
        <w:jc w:val="center"/>
        <w:rPr>
          <w:rFonts w:asciiTheme="majorEastAsia" w:hAnsiTheme="majorEastAsia" w:eastAsiaTheme="majorEastAsia"/>
          <w:b/>
          <w:color w:val="auto"/>
          <w:sz w:val="28"/>
          <w:szCs w:val="28"/>
        </w:rPr>
      </w:pPr>
    </w:p>
    <w:p>
      <w:pPr>
        <w:shd w:val="clear"/>
        <w:spacing w:line="480" w:lineRule="auto"/>
        <w:jc w:val="center"/>
        <w:rPr>
          <w:rFonts w:asciiTheme="majorEastAsia" w:hAnsiTheme="majorEastAsia" w:eastAsiaTheme="majorEastAsia"/>
          <w:b/>
          <w:color w:val="auto"/>
          <w:sz w:val="24"/>
        </w:rPr>
      </w:pPr>
    </w:p>
    <w:p>
      <w:pPr>
        <w:shd w:val="clear"/>
        <w:spacing w:line="480" w:lineRule="auto"/>
        <w:jc w:val="center"/>
        <w:rPr>
          <w:rFonts w:asciiTheme="majorEastAsia" w:hAnsiTheme="majorEastAsia" w:eastAsiaTheme="majorEastAsia"/>
          <w:b/>
          <w:color w:val="auto"/>
          <w:sz w:val="24"/>
        </w:rPr>
      </w:pPr>
    </w:p>
    <w:p>
      <w:pPr>
        <w:shd w:val="clear"/>
        <w:spacing w:line="480" w:lineRule="auto"/>
        <w:jc w:val="center"/>
        <w:rPr>
          <w:rFonts w:cs="仿宋_GB2312" w:asciiTheme="majorEastAsia" w:hAnsiTheme="majorEastAsia" w:eastAsiaTheme="majorEastAsia"/>
          <w:b/>
          <w:color w:val="auto"/>
          <w:sz w:val="36"/>
          <w:szCs w:val="36"/>
        </w:rPr>
      </w:pPr>
      <w:r>
        <w:rPr>
          <w:rFonts w:hint="eastAsia" w:cs="仿宋_GB2312" w:asciiTheme="majorEastAsia" w:hAnsiTheme="majorEastAsia" w:eastAsiaTheme="majorEastAsia"/>
          <w:b/>
          <w:color w:val="auto"/>
          <w:sz w:val="36"/>
          <w:szCs w:val="36"/>
        </w:rPr>
        <w:t>政府采购合同参考范本</w:t>
      </w:r>
    </w:p>
    <w:p>
      <w:pPr>
        <w:shd w:val="clear"/>
        <w:spacing w:line="480" w:lineRule="auto"/>
        <w:jc w:val="center"/>
        <w:rPr>
          <w:rFonts w:cs="仿宋_GB2312" w:asciiTheme="majorEastAsia" w:hAnsiTheme="majorEastAsia" w:eastAsiaTheme="majorEastAsia"/>
          <w:b/>
          <w:color w:val="auto"/>
          <w:sz w:val="36"/>
          <w:szCs w:val="36"/>
        </w:rPr>
      </w:pPr>
      <w:r>
        <w:rPr>
          <w:rFonts w:hint="eastAsia" w:cs="仿宋_GB2312" w:asciiTheme="majorEastAsia" w:hAnsiTheme="majorEastAsia" w:eastAsiaTheme="majorEastAsia"/>
          <w:b/>
          <w:color w:val="auto"/>
          <w:sz w:val="36"/>
          <w:szCs w:val="36"/>
        </w:rPr>
        <w:t>（服务类）</w:t>
      </w:r>
    </w:p>
    <w:p>
      <w:pPr>
        <w:pStyle w:val="5"/>
        <w:shd w:val="clear"/>
        <w:rPr>
          <w:rFonts w:asciiTheme="majorEastAsia" w:hAnsiTheme="majorEastAsia" w:eastAsiaTheme="majorEastAsia"/>
          <w:color w:val="auto"/>
        </w:rPr>
      </w:pPr>
    </w:p>
    <w:p>
      <w:pPr>
        <w:pStyle w:val="5"/>
        <w:shd w:val="clear"/>
        <w:rPr>
          <w:rFonts w:asciiTheme="majorEastAsia" w:hAnsiTheme="majorEastAsia" w:eastAsiaTheme="majorEastAsia"/>
          <w:color w:val="auto"/>
        </w:rPr>
      </w:pPr>
    </w:p>
    <w:p>
      <w:pPr>
        <w:pStyle w:val="5"/>
        <w:shd w:val="clear"/>
        <w:ind w:firstLine="562"/>
        <w:jc w:val="center"/>
        <w:rPr>
          <w:rFonts w:asciiTheme="majorEastAsia" w:hAnsiTheme="majorEastAsia" w:eastAsiaTheme="majorEastAsia"/>
          <w:b/>
          <w:color w:val="auto"/>
          <w:sz w:val="28"/>
        </w:rPr>
      </w:pPr>
      <w:r>
        <w:rPr>
          <w:rFonts w:hint="eastAsia" w:asciiTheme="majorEastAsia" w:hAnsiTheme="majorEastAsia" w:eastAsiaTheme="majorEastAsia"/>
          <w:b/>
          <w:color w:val="auto"/>
          <w:sz w:val="28"/>
        </w:rPr>
        <w:t>第一部分  合同书</w:t>
      </w:r>
    </w:p>
    <w:p>
      <w:pPr>
        <w:pStyle w:val="5"/>
        <w:shd w:val="clear"/>
        <w:rPr>
          <w:rFonts w:asciiTheme="majorEastAsia" w:hAnsiTheme="majorEastAsia" w:eastAsiaTheme="majorEastAsia"/>
          <w:color w:val="auto"/>
        </w:rPr>
      </w:pPr>
    </w:p>
    <w:p>
      <w:pPr>
        <w:pStyle w:val="5"/>
        <w:shd w:val="clear"/>
        <w:rPr>
          <w:rFonts w:asciiTheme="majorEastAsia" w:hAnsiTheme="majorEastAsia" w:eastAsiaTheme="majorEastAsia"/>
          <w:color w:val="auto"/>
        </w:rPr>
      </w:pPr>
    </w:p>
    <w:p>
      <w:pPr>
        <w:shd w:val="clear"/>
        <w:spacing w:before="120" w:line="22" w:lineRule="atLeast"/>
        <w:rPr>
          <w:rFonts w:asciiTheme="majorEastAsia" w:hAnsiTheme="majorEastAsia" w:eastAsiaTheme="majorEastAsia"/>
          <w:color w:val="auto"/>
          <w:sz w:val="24"/>
        </w:rPr>
      </w:pPr>
    </w:p>
    <w:p>
      <w:pPr>
        <w:shd w:val="clear"/>
        <w:spacing w:before="120" w:line="22" w:lineRule="atLeast"/>
        <w:ind w:left="960"/>
        <w:rPr>
          <w:rFonts w:asciiTheme="majorEastAsia" w:hAnsiTheme="majorEastAsia" w:eastAsiaTheme="majorEastAsia"/>
          <w:color w:val="auto"/>
          <w:sz w:val="24"/>
        </w:rPr>
      </w:pPr>
      <w:r>
        <w:rPr>
          <w:rFonts w:hint="eastAsia" w:asciiTheme="majorEastAsia" w:hAnsiTheme="majorEastAsia" w:eastAsiaTheme="majorEastAsia"/>
          <w:color w:val="auto"/>
          <w:sz w:val="24"/>
        </w:rPr>
        <w:t>项目名称：</w:t>
      </w:r>
    </w:p>
    <w:p>
      <w:pPr>
        <w:pStyle w:val="289"/>
        <w:shd w:val="clear"/>
        <w:spacing w:before="120" w:line="22" w:lineRule="atLeast"/>
        <w:rPr>
          <w:rFonts w:asciiTheme="majorEastAsia" w:hAnsiTheme="majorEastAsia" w:eastAsiaTheme="majorEastAsia"/>
          <w:color w:val="auto"/>
          <w:szCs w:val="24"/>
        </w:rPr>
      </w:pPr>
    </w:p>
    <w:p>
      <w:pPr>
        <w:pStyle w:val="289"/>
        <w:shd w:val="clear"/>
        <w:spacing w:before="120" w:line="22" w:lineRule="atLeast"/>
        <w:rPr>
          <w:rFonts w:asciiTheme="majorEastAsia" w:hAnsiTheme="majorEastAsia" w:eastAsiaTheme="majorEastAsia"/>
          <w:color w:val="auto"/>
          <w:szCs w:val="24"/>
        </w:rPr>
      </w:pPr>
    </w:p>
    <w:p>
      <w:pPr>
        <w:shd w:val="clear"/>
        <w:rPr>
          <w:rFonts w:asciiTheme="majorEastAsia" w:hAnsiTheme="majorEastAsia" w:eastAsiaTheme="majorEastAsia"/>
          <w:color w:val="auto"/>
          <w:sz w:val="24"/>
        </w:rPr>
      </w:pPr>
    </w:p>
    <w:p>
      <w:pPr>
        <w:shd w:val="clear"/>
        <w:spacing w:before="120" w:line="22" w:lineRule="atLeast"/>
        <w:ind w:left="960"/>
        <w:rPr>
          <w:rFonts w:asciiTheme="majorEastAsia" w:hAnsiTheme="majorEastAsia" w:eastAsiaTheme="majorEastAsia"/>
          <w:color w:val="auto"/>
          <w:sz w:val="24"/>
          <w:u w:val="single"/>
        </w:rPr>
      </w:pPr>
      <w:r>
        <w:rPr>
          <w:rFonts w:hint="eastAsia" w:asciiTheme="majorEastAsia" w:hAnsiTheme="majorEastAsia" w:eastAsiaTheme="majorEastAsia"/>
          <w:color w:val="auto"/>
          <w:sz w:val="24"/>
        </w:rPr>
        <w:t>甲方：</w:t>
      </w:r>
    </w:p>
    <w:p>
      <w:pPr>
        <w:shd w:val="clear"/>
        <w:spacing w:before="120" w:line="22" w:lineRule="atLeast"/>
        <w:rPr>
          <w:rFonts w:asciiTheme="majorEastAsia" w:hAnsiTheme="majorEastAsia" w:eastAsiaTheme="majorEastAsia"/>
          <w:color w:val="auto"/>
          <w:sz w:val="24"/>
        </w:rPr>
      </w:pPr>
    </w:p>
    <w:p>
      <w:pPr>
        <w:shd w:val="clear"/>
        <w:spacing w:before="120" w:line="22" w:lineRule="atLeast"/>
        <w:ind w:left="960"/>
        <w:rPr>
          <w:rFonts w:asciiTheme="majorEastAsia" w:hAnsiTheme="majorEastAsia" w:eastAsiaTheme="majorEastAsia"/>
          <w:color w:val="auto"/>
          <w:sz w:val="24"/>
          <w:u w:val="single"/>
        </w:rPr>
      </w:pPr>
      <w:r>
        <w:rPr>
          <w:rFonts w:hint="eastAsia" w:asciiTheme="majorEastAsia" w:hAnsiTheme="majorEastAsia" w:eastAsiaTheme="majorEastAsia"/>
          <w:color w:val="auto"/>
          <w:sz w:val="24"/>
        </w:rPr>
        <w:t>乙方：</w:t>
      </w:r>
    </w:p>
    <w:p>
      <w:pPr>
        <w:shd w:val="clear"/>
        <w:spacing w:before="120" w:line="22" w:lineRule="atLeast"/>
        <w:rPr>
          <w:rFonts w:asciiTheme="majorEastAsia" w:hAnsiTheme="majorEastAsia" w:eastAsiaTheme="majorEastAsia"/>
          <w:color w:val="auto"/>
          <w:sz w:val="24"/>
        </w:rPr>
      </w:pPr>
    </w:p>
    <w:p>
      <w:pPr>
        <w:shd w:val="clear"/>
        <w:spacing w:before="120" w:line="22" w:lineRule="atLeast"/>
        <w:ind w:firstLine="960" w:firstLineChars="400"/>
        <w:rPr>
          <w:rFonts w:asciiTheme="majorEastAsia" w:hAnsiTheme="majorEastAsia" w:eastAsiaTheme="majorEastAsia"/>
          <w:color w:val="auto"/>
          <w:sz w:val="24"/>
          <w:u w:val="single"/>
        </w:rPr>
      </w:pPr>
      <w:r>
        <w:rPr>
          <w:rFonts w:hint="eastAsia" w:asciiTheme="majorEastAsia" w:hAnsiTheme="majorEastAsia" w:eastAsiaTheme="majorEastAsia"/>
          <w:color w:val="auto"/>
          <w:sz w:val="24"/>
        </w:rPr>
        <w:t>签订地：</w:t>
      </w:r>
    </w:p>
    <w:p>
      <w:pPr>
        <w:shd w:val="clear"/>
        <w:spacing w:before="120" w:line="22" w:lineRule="atLeast"/>
        <w:rPr>
          <w:rFonts w:asciiTheme="majorEastAsia" w:hAnsiTheme="majorEastAsia" w:eastAsiaTheme="majorEastAsia"/>
          <w:color w:val="auto"/>
          <w:sz w:val="24"/>
        </w:rPr>
      </w:pPr>
    </w:p>
    <w:p>
      <w:pPr>
        <w:shd w:val="clear"/>
        <w:spacing w:before="120" w:line="22" w:lineRule="atLeast"/>
        <w:ind w:firstLine="960" w:firstLineChars="400"/>
        <w:rPr>
          <w:rFonts w:asciiTheme="majorEastAsia" w:hAnsiTheme="majorEastAsia" w:eastAsiaTheme="majorEastAsia"/>
          <w:color w:val="auto"/>
          <w:sz w:val="24"/>
          <w:u w:val="single"/>
        </w:rPr>
      </w:pPr>
      <w:r>
        <w:rPr>
          <w:rFonts w:hint="eastAsia" w:asciiTheme="majorEastAsia" w:hAnsiTheme="majorEastAsia" w:eastAsiaTheme="majorEastAsia"/>
          <w:color w:val="auto"/>
          <w:sz w:val="24"/>
        </w:rPr>
        <w:t>签订日期：年月日</w:t>
      </w:r>
    </w:p>
    <w:p>
      <w:pPr>
        <w:widowControl/>
        <w:shd w:val="clear"/>
        <w:jc w:val="left"/>
        <w:rPr>
          <w:rFonts w:asciiTheme="majorEastAsia" w:hAnsiTheme="majorEastAsia" w:eastAsiaTheme="majorEastAsia"/>
          <w:color w:val="auto"/>
          <w:kern w:val="0"/>
          <w:sz w:val="24"/>
        </w:rPr>
      </w:pPr>
    </w:p>
    <w:p>
      <w:pPr>
        <w:widowControl/>
        <w:shd w:val="clear"/>
        <w:jc w:val="left"/>
        <w:rPr>
          <w:rFonts w:asciiTheme="majorEastAsia" w:hAnsiTheme="majorEastAsia" w:eastAsiaTheme="majorEastAsia"/>
          <w:color w:val="auto"/>
          <w:kern w:val="0"/>
          <w:sz w:val="24"/>
        </w:rPr>
      </w:pPr>
    </w:p>
    <w:p>
      <w:pPr>
        <w:widowControl/>
        <w:shd w:val="clear"/>
        <w:jc w:val="left"/>
        <w:rPr>
          <w:rFonts w:asciiTheme="majorEastAsia" w:hAnsiTheme="majorEastAsia" w:eastAsiaTheme="majorEastAsia"/>
          <w:color w:val="auto"/>
          <w:kern w:val="0"/>
          <w:sz w:val="24"/>
        </w:rPr>
      </w:pPr>
    </w:p>
    <w:p>
      <w:pPr>
        <w:widowControl/>
        <w:shd w:val="clear"/>
        <w:jc w:val="left"/>
        <w:rPr>
          <w:rFonts w:asciiTheme="majorEastAsia" w:hAnsiTheme="majorEastAsia" w:eastAsiaTheme="majorEastAsia"/>
          <w:color w:val="auto"/>
          <w:kern w:val="0"/>
          <w:sz w:val="24"/>
        </w:rPr>
      </w:pPr>
    </w:p>
    <w:p>
      <w:pPr>
        <w:widowControl/>
        <w:shd w:val="clear"/>
        <w:jc w:val="left"/>
        <w:rPr>
          <w:rFonts w:asciiTheme="majorEastAsia" w:hAnsiTheme="majorEastAsia" w:eastAsiaTheme="majorEastAsia"/>
          <w:color w:val="auto"/>
          <w:kern w:val="0"/>
          <w:sz w:val="24"/>
        </w:rPr>
      </w:pPr>
    </w:p>
    <w:p>
      <w:pPr>
        <w:widowControl/>
        <w:shd w:val="clear"/>
        <w:jc w:val="left"/>
        <w:rPr>
          <w:rFonts w:asciiTheme="majorEastAsia" w:hAnsiTheme="majorEastAsia" w:eastAsiaTheme="majorEastAsia"/>
          <w:color w:val="auto"/>
          <w:kern w:val="0"/>
          <w:sz w:val="24"/>
        </w:rPr>
      </w:pPr>
    </w:p>
    <w:p>
      <w:pPr>
        <w:widowControl/>
        <w:shd w:val="clear"/>
        <w:jc w:val="left"/>
        <w:rPr>
          <w:rFonts w:asciiTheme="majorEastAsia" w:hAnsiTheme="majorEastAsia" w:eastAsiaTheme="majorEastAsia"/>
          <w:color w:val="auto"/>
          <w:kern w:val="0"/>
          <w:sz w:val="24"/>
        </w:rPr>
      </w:pPr>
    </w:p>
    <w:p>
      <w:pPr>
        <w:shd w:val="clear"/>
        <w:spacing w:line="56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lang w:val="zh-CN"/>
        </w:rPr>
        <w:t>年月日</w:t>
      </w:r>
      <w:r>
        <w:rPr>
          <w:rFonts w:hint="eastAsia" w:asciiTheme="majorEastAsia" w:hAnsiTheme="majorEastAsia" w:eastAsiaTheme="majorEastAsia"/>
          <w:color w:val="auto"/>
          <w:sz w:val="24"/>
        </w:rPr>
        <w:t>，</w:t>
      </w:r>
      <w:r>
        <w:rPr>
          <w:rFonts w:hint="eastAsia" w:asciiTheme="majorEastAsia" w:hAnsiTheme="majorEastAsia" w:eastAsiaTheme="majorEastAsia"/>
          <w:color w:val="auto"/>
          <w:sz w:val="24"/>
          <w:u w:val="single"/>
        </w:rPr>
        <w:t>（采购人）</w:t>
      </w:r>
      <w:r>
        <w:rPr>
          <w:rFonts w:hint="eastAsia" w:asciiTheme="majorEastAsia" w:hAnsiTheme="majorEastAsia" w:eastAsiaTheme="majorEastAsia"/>
          <w:color w:val="auto"/>
          <w:sz w:val="24"/>
        </w:rPr>
        <w:t>以</w:t>
      </w:r>
      <w:r>
        <w:rPr>
          <w:rFonts w:asciiTheme="majorEastAsia" w:hAnsiTheme="majorEastAsia" w:eastAsiaTheme="majorEastAsia"/>
          <w:color w:val="auto"/>
          <w:sz w:val="24"/>
          <w:u w:val="single"/>
        </w:rPr>
        <w:t xml:space="preserve">   （政府采购方式）  </w:t>
      </w:r>
      <w:r>
        <w:rPr>
          <w:rFonts w:hint="eastAsia" w:asciiTheme="majorEastAsia" w:hAnsiTheme="majorEastAsia" w:eastAsiaTheme="majorEastAsia"/>
          <w:color w:val="auto"/>
          <w:sz w:val="24"/>
        </w:rPr>
        <w:t>对</w:t>
      </w:r>
      <w:r>
        <w:rPr>
          <w:rFonts w:asciiTheme="majorEastAsia" w:hAnsiTheme="majorEastAsia" w:eastAsiaTheme="majorEastAsia"/>
          <w:color w:val="auto"/>
          <w:sz w:val="24"/>
          <w:u w:val="single"/>
        </w:rPr>
        <w:t xml:space="preserve">   （同前</w:t>
      </w:r>
      <w:r>
        <w:rPr>
          <w:rFonts w:hint="eastAsia" w:asciiTheme="majorEastAsia" w:hAnsiTheme="majorEastAsia" w:eastAsiaTheme="majorEastAsia"/>
          <w:color w:val="auto"/>
          <w:sz w:val="24"/>
          <w:u w:val="single"/>
        </w:rPr>
        <w:t>页项目名称）</w:t>
      </w:r>
      <w:r>
        <w:rPr>
          <w:rFonts w:hint="eastAsia" w:asciiTheme="majorEastAsia" w:hAnsiTheme="majorEastAsia" w:eastAsiaTheme="majorEastAsia"/>
          <w:color w:val="auto"/>
          <w:sz w:val="24"/>
        </w:rPr>
        <w:t>项目进行了采购。经</w:t>
      </w:r>
      <w:r>
        <w:rPr>
          <w:rFonts w:asciiTheme="majorEastAsia" w:hAnsiTheme="majorEastAsia" w:eastAsiaTheme="majorEastAsia"/>
          <w:color w:val="auto"/>
          <w:sz w:val="24"/>
          <w:u w:val="single"/>
        </w:rPr>
        <w:t xml:space="preserve">   （相关评定主体名称）   </w:t>
      </w:r>
      <w:r>
        <w:rPr>
          <w:rFonts w:hint="eastAsia" w:asciiTheme="majorEastAsia" w:hAnsiTheme="majorEastAsia" w:eastAsiaTheme="majorEastAsia"/>
          <w:color w:val="auto"/>
          <w:sz w:val="24"/>
        </w:rPr>
        <w:t>评定，</w:t>
      </w:r>
      <w:r>
        <w:rPr>
          <w:rFonts w:asciiTheme="majorEastAsia" w:hAnsiTheme="majorEastAsia" w:eastAsiaTheme="majorEastAsia"/>
          <w:color w:val="auto"/>
          <w:sz w:val="24"/>
          <w:u w:val="single"/>
        </w:rPr>
        <w:t xml:space="preserve">   （中标供应商名称）</w:t>
      </w:r>
      <w:r>
        <w:rPr>
          <w:rFonts w:hint="eastAsia" w:asciiTheme="majorEastAsia" w:hAnsiTheme="majorEastAsia" w:eastAsiaTheme="majorEastAsia"/>
          <w:color w:val="auto"/>
          <w:sz w:val="24"/>
        </w:rPr>
        <w:t>为该项目中标供应商。现于中标通知书发出之日起三十日内，按照采购文件确定的事项签订本合同。</w:t>
      </w:r>
    </w:p>
    <w:p>
      <w:pPr>
        <w:shd w:val="clear"/>
        <w:spacing w:line="56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lang w:val="zh-CN"/>
        </w:rPr>
        <w:t>根据《中华人民共和国民法典》、《中华人民共和国政府采购法》等相关法律法规之规定，按照平等、自愿、公平、诚实信用和绿色的原则，经</w:t>
      </w:r>
      <w:r>
        <w:rPr>
          <w:rFonts w:hint="eastAsia" w:asciiTheme="majorEastAsia" w:hAnsiTheme="majorEastAsia" w:eastAsiaTheme="majorEastAsia"/>
          <w:color w:val="auto"/>
          <w:sz w:val="24"/>
          <w:u w:val="single"/>
        </w:rPr>
        <w:t>（采购人）</w:t>
      </w:r>
      <w:r>
        <w:rPr>
          <w:rFonts w:asciiTheme="majorEastAsia" w:hAnsiTheme="majorEastAsia" w:eastAsiaTheme="majorEastAsia"/>
          <w:color w:val="auto"/>
          <w:sz w:val="24"/>
          <w:lang w:val="zh-CN"/>
        </w:rPr>
        <w:t>(以下简称：甲方)和</w:t>
      </w:r>
      <w:r>
        <w:rPr>
          <w:rFonts w:asciiTheme="majorEastAsia" w:hAnsiTheme="majorEastAsia" w:eastAsiaTheme="majorEastAsia"/>
          <w:color w:val="auto"/>
          <w:sz w:val="24"/>
          <w:u w:val="single"/>
        </w:rPr>
        <w:t xml:space="preserve">   （中标供应商名称）   </w:t>
      </w:r>
      <w:r>
        <w:rPr>
          <w:rFonts w:asciiTheme="majorEastAsia" w:hAnsiTheme="majorEastAsia" w:eastAsiaTheme="majorEastAsia"/>
          <w:color w:val="auto"/>
          <w:sz w:val="24"/>
          <w:lang w:val="zh-CN"/>
        </w:rPr>
        <w:t>(以下简称：乙方)协商一致，约定以下合同</w:t>
      </w:r>
      <w:r>
        <w:rPr>
          <w:rFonts w:hint="eastAsia" w:asciiTheme="majorEastAsia" w:hAnsiTheme="majorEastAsia" w:eastAsiaTheme="majorEastAsia"/>
          <w:color w:val="auto"/>
          <w:sz w:val="24"/>
        </w:rPr>
        <w:t>条款，以兹共同遵守、全面履行。</w:t>
      </w:r>
    </w:p>
    <w:p>
      <w:pPr>
        <w:shd w:val="clear"/>
        <w:spacing w:line="560" w:lineRule="exact"/>
        <w:ind w:firstLine="482" w:firstLineChars="200"/>
        <w:outlineLvl w:val="0"/>
        <w:rPr>
          <w:rFonts w:asciiTheme="majorEastAsia" w:hAnsiTheme="majorEastAsia" w:eastAsiaTheme="majorEastAsia"/>
          <w:b/>
          <w:color w:val="auto"/>
          <w:sz w:val="24"/>
        </w:rPr>
      </w:pPr>
      <w:bookmarkStart w:id="78" w:name="_Toc24059"/>
      <w:bookmarkStart w:id="79" w:name="_Toc2232"/>
      <w:bookmarkStart w:id="80" w:name="_Toc3029"/>
      <w:r>
        <w:rPr>
          <w:rFonts w:asciiTheme="majorEastAsia" w:hAnsiTheme="majorEastAsia" w:eastAsiaTheme="majorEastAsia"/>
          <w:b/>
          <w:color w:val="auto"/>
          <w:sz w:val="24"/>
        </w:rPr>
        <w:t xml:space="preserve">1.1 </w:t>
      </w:r>
      <w:r>
        <w:rPr>
          <w:rFonts w:hint="eastAsia" w:asciiTheme="majorEastAsia" w:hAnsiTheme="majorEastAsia" w:eastAsiaTheme="majorEastAsia"/>
          <w:b/>
          <w:color w:val="auto"/>
          <w:sz w:val="24"/>
        </w:rPr>
        <w:t>合同组成部分</w:t>
      </w:r>
      <w:bookmarkEnd w:id="78"/>
      <w:bookmarkEnd w:id="79"/>
      <w:bookmarkEnd w:id="80"/>
    </w:p>
    <w:p>
      <w:pPr>
        <w:shd w:val="clear"/>
        <w:spacing w:line="56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1.1.1 </w:t>
      </w:r>
      <w:r>
        <w:rPr>
          <w:rFonts w:hint="eastAsia" w:asciiTheme="majorEastAsia" w:hAnsiTheme="majorEastAsia" w:eastAsiaTheme="majorEastAsia"/>
          <w:color w:val="auto"/>
          <w:sz w:val="24"/>
        </w:rPr>
        <w:t>本合同及其补充合同、变更协议；</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1.1.2 </w:t>
      </w:r>
      <w:r>
        <w:rPr>
          <w:rFonts w:hint="eastAsia" w:asciiTheme="majorEastAsia" w:hAnsiTheme="majorEastAsia" w:eastAsiaTheme="majorEastAsia"/>
          <w:color w:val="auto"/>
          <w:sz w:val="24"/>
        </w:rPr>
        <w:t>中标通知书；</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1.1.3 </w:t>
      </w:r>
      <w:r>
        <w:rPr>
          <w:rFonts w:hint="eastAsia" w:asciiTheme="majorEastAsia" w:hAnsiTheme="majorEastAsia" w:eastAsiaTheme="majorEastAsia"/>
          <w:color w:val="auto"/>
          <w:sz w:val="24"/>
        </w:rPr>
        <w:t>投标文件（含澄清或者说明文件）；</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1.1.4 </w:t>
      </w:r>
      <w:r>
        <w:rPr>
          <w:rFonts w:hint="eastAsia" w:asciiTheme="majorEastAsia" w:hAnsiTheme="majorEastAsia" w:eastAsiaTheme="majorEastAsia"/>
          <w:color w:val="auto"/>
          <w:sz w:val="24"/>
        </w:rPr>
        <w:t>磋商文件（含澄清或者修改文件）；</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1.1.5 </w:t>
      </w:r>
      <w:r>
        <w:rPr>
          <w:rFonts w:hint="eastAsia" w:asciiTheme="majorEastAsia" w:hAnsiTheme="majorEastAsia" w:eastAsiaTheme="majorEastAsia"/>
          <w:color w:val="auto"/>
          <w:sz w:val="24"/>
        </w:rPr>
        <w:t>其他相关采购文件。</w:t>
      </w:r>
    </w:p>
    <w:p>
      <w:pPr>
        <w:shd w:val="clear"/>
        <w:spacing w:line="560" w:lineRule="exact"/>
        <w:ind w:firstLine="482" w:firstLineChars="200"/>
        <w:outlineLvl w:val="0"/>
        <w:rPr>
          <w:rFonts w:asciiTheme="majorEastAsia" w:hAnsiTheme="majorEastAsia" w:eastAsiaTheme="majorEastAsia"/>
          <w:b/>
          <w:color w:val="auto"/>
          <w:sz w:val="24"/>
        </w:rPr>
      </w:pPr>
      <w:bookmarkStart w:id="81" w:name="_Toc27126"/>
      <w:bookmarkStart w:id="82" w:name="_Toc24300"/>
      <w:bookmarkStart w:id="83" w:name="_Toc21295"/>
      <w:r>
        <w:rPr>
          <w:rFonts w:asciiTheme="majorEastAsia" w:hAnsiTheme="majorEastAsia" w:eastAsiaTheme="majorEastAsia"/>
          <w:b/>
          <w:color w:val="auto"/>
          <w:sz w:val="24"/>
        </w:rPr>
        <w:t xml:space="preserve">1.2 </w:t>
      </w:r>
      <w:bookmarkEnd w:id="81"/>
      <w:bookmarkEnd w:id="82"/>
      <w:bookmarkEnd w:id="83"/>
      <w:r>
        <w:rPr>
          <w:rFonts w:hint="eastAsia" w:asciiTheme="majorEastAsia" w:hAnsiTheme="majorEastAsia" w:eastAsiaTheme="majorEastAsia"/>
          <w:b/>
          <w:color w:val="auto"/>
          <w:sz w:val="24"/>
        </w:rPr>
        <w:t>服务</w:t>
      </w:r>
    </w:p>
    <w:p>
      <w:pPr>
        <w:shd w:val="clear"/>
        <w:spacing w:line="560" w:lineRule="exact"/>
        <w:ind w:firstLine="480" w:firstLineChars="200"/>
        <w:rPr>
          <w:rFonts w:asciiTheme="majorEastAsia" w:hAnsiTheme="majorEastAsia" w:eastAsiaTheme="majorEastAsia"/>
          <w:color w:val="auto"/>
          <w:sz w:val="24"/>
          <w:u w:val="single"/>
        </w:rPr>
      </w:pPr>
      <w:r>
        <w:rPr>
          <w:rFonts w:asciiTheme="majorEastAsia" w:hAnsiTheme="majorEastAsia" w:eastAsiaTheme="majorEastAsia"/>
          <w:color w:val="auto"/>
          <w:sz w:val="24"/>
        </w:rPr>
        <w:t xml:space="preserve">1.2.1 </w:t>
      </w:r>
      <w:r>
        <w:rPr>
          <w:rFonts w:hint="eastAsia" w:asciiTheme="majorEastAsia" w:hAnsiTheme="majorEastAsia" w:eastAsiaTheme="majorEastAsia"/>
          <w:color w:val="auto"/>
          <w:sz w:val="24"/>
        </w:rPr>
        <w:t>服务名称：；</w:t>
      </w:r>
    </w:p>
    <w:p>
      <w:pPr>
        <w:shd w:val="clear"/>
        <w:spacing w:line="560" w:lineRule="exact"/>
        <w:ind w:firstLine="480" w:firstLineChars="200"/>
        <w:rPr>
          <w:rFonts w:asciiTheme="majorEastAsia" w:hAnsiTheme="majorEastAsia" w:eastAsiaTheme="majorEastAsia"/>
          <w:color w:val="auto"/>
          <w:sz w:val="24"/>
          <w:u w:val="single"/>
        </w:rPr>
      </w:pPr>
      <w:r>
        <w:rPr>
          <w:rFonts w:asciiTheme="majorEastAsia" w:hAnsiTheme="majorEastAsia" w:eastAsiaTheme="majorEastAsia"/>
          <w:color w:val="auto"/>
          <w:sz w:val="24"/>
        </w:rPr>
        <w:t xml:space="preserve">1.2.2 </w:t>
      </w:r>
      <w:r>
        <w:rPr>
          <w:rFonts w:hint="eastAsia" w:asciiTheme="majorEastAsia" w:hAnsiTheme="majorEastAsia" w:eastAsiaTheme="majorEastAsia"/>
          <w:color w:val="auto"/>
          <w:sz w:val="24"/>
        </w:rPr>
        <w:t>服务期限和内容：；</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1.2.3 </w:t>
      </w:r>
      <w:r>
        <w:rPr>
          <w:rFonts w:hint="eastAsia" w:asciiTheme="majorEastAsia" w:hAnsiTheme="majorEastAsia" w:eastAsiaTheme="majorEastAsia"/>
          <w:color w:val="auto"/>
          <w:sz w:val="24"/>
        </w:rPr>
        <w:t>服务提供地点及方式：</w:t>
      </w:r>
      <w:r>
        <w:rPr>
          <w:rFonts w:hint="eastAsia" w:asciiTheme="majorEastAsia" w:hAnsiTheme="majorEastAsia" w:eastAsiaTheme="majorEastAsia"/>
          <w:color w:val="auto"/>
          <w:sz w:val="24"/>
          <w:u w:val="single"/>
        </w:rPr>
        <w:t xml:space="preserve">　　　        </w:t>
      </w:r>
      <w:r>
        <w:rPr>
          <w:rFonts w:asciiTheme="majorEastAsia" w:hAnsiTheme="majorEastAsia" w:eastAsiaTheme="majorEastAsia"/>
          <w:color w:val="auto"/>
          <w:sz w:val="24"/>
          <w:u w:val="single"/>
        </w:rPr>
        <w:t xml:space="preserve">                　      </w:t>
      </w:r>
      <w:r>
        <w:rPr>
          <w:rFonts w:hint="eastAsia" w:asciiTheme="majorEastAsia" w:hAnsiTheme="majorEastAsia" w:eastAsiaTheme="majorEastAsia"/>
          <w:color w:val="auto"/>
          <w:sz w:val="24"/>
        </w:rPr>
        <w:t>。</w:t>
      </w:r>
    </w:p>
    <w:p>
      <w:pPr>
        <w:shd w:val="clear"/>
        <w:spacing w:line="560" w:lineRule="exact"/>
        <w:ind w:firstLine="482" w:firstLineChars="200"/>
        <w:outlineLvl w:val="0"/>
        <w:rPr>
          <w:rFonts w:asciiTheme="majorEastAsia" w:hAnsiTheme="majorEastAsia" w:eastAsiaTheme="majorEastAsia"/>
          <w:b/>
          <w:color w:val="auto"/>
          <w:sz w:val="24"/>
        </w:rPr>
      </w:pPr>
      <w:bookmarkStart w:id="84" w:name="_Toc21551"/>
      <w:bookmarkStart w:id="85" w:name="_Toc21631"/>
      <w:bookmarkStart w:id="86" w:name="_Toc23292"/>
      <w:r>
        <w:rPr>
          <w:rFonts w:asciiTheme="majorEastAsia" w:hAnsiTheme="majorEastAsia" w:eastAsiaTheme="majorEastAsia"/>
          <w:b/>
          <w:color w:val="auto"/>
          <w:sz w:val="24"/>
        </w:rPr>
        <w:t xml:space="preserve">1.3 </w:t>
      </w:r>
      <w:r>
        <w:rPr>
          <w:rFonts w:hint="eastAsia" w:asciiTheme="majorEastAsia" w:hAnsiTheme="majorEastAsia" w:eastAsiaTheme="majorEastAsia"/>
          <w:b/>
          <w:color w:val="auto"/>
          <w:sz w:val="24"/>
        </w:rPr>
        <w:t>价款</w:t>
      </w:r>
      <w:bookmarkEnd w:id="84"/>
      <w:bookmarkEnd w:id="85"/>
      <w:bookmarkEnd w:id="86"/>
    </w:p>
    <w:p>
      <w:pPr>
        <w:shd w:val="clear"/>
        <w:spacing w:line="56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本合同总价为：￥元（大写：元人民币）。</w:t>
      </w:r>
    </w:p>
    <w:p>
      <w:pPr>
        <w:shd w:val="clear"/>
        <w:spacing w:line="560" w:lineRule="exact"/>
        <w:ind w:firstLine="480" w:firstLineChars="200"/>
        <w:rPr>
          <w:rFonts w:asciiTheme="majorEastAsia" w:hAnsiTheme="majorEastAsia" w:eastAsiaTheme="majorEastAsia"/>
          <w:color w:val="auto"/>
          <w:sz w:val="24"/>
          <w:u w:val="single"/>
        </w:rPr>
      </w:pPr>
      <w:r>
        <w:rPr>
          <w:rFonts w:hint="eastAsia" w:asciiTheme="majorEastAsia" w:hAnsiTheme="majorEastAsia" w:eastAsiaTheme="majorEastAsia"/>
          <w:color w:val="auto"/>
          <w:sz w:val="24"/>
        </w:rPr>
        <w:t>分项价格：</w:t>
      </w:r>
    </w:p>
    <w:tbl>
      <w:tblPr>
        <w:tblStyle w:val="90"/>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288"/>
              <w:shd w:val="clear"/>
              <w:spacing w:line="560" w:lineRule="exact"/>
              <w:jc w:val="cente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288"/>
              <w:shd w:val="clear"/>
              <w:spacing w:line="560" w:lineRule="exact"/>
              <w:ind w:firstLine="200"/>
              <w:jc w:val="cente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288"/>
              <w:shd w:val="clear"/>
              <w:spacing w:line="560" w:lineRule="exact"/>
              <w:jc w:val="cente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widowControl/>
              <w:shd w:val="clear"/>
              <w:jc w:val="left"/>
              <w:rPr>
                <w:rFonts w:asciiTheme="majorEastAsia" w:hAnsiTheme="majorEastAsia" w:eastAsiaTheme="majorEastAsia"/>
                <w:color w:val="auto"/>
                <w:sz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288"/>
              <w:shd w:val="clear"/>
              <w:spacing w:line="560" w:lineRule="exact"/>
              <w:ind w:firstLine="200"/>
              <w:jc w:val="center"/>
              <w:rPr>
                <w:rFonts w:asciiTheme="majorEastAsia" w:hAnsiTheme="majorEastAsia" w:eastAsiaTheme="majorEastAsia"/>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288"/>
              <w:shd w:val="clear"/>
              <w:spacing w:line="560" w:lineRule="exact"/>
              <w:ind w:firstLine="200"/>
              <w:jc w:val="center"/>
              <w:rPr>
                <w:rFonts w:asciiTheme="majorEastAsia" w:hAnsiTheme="majorEastAsia" w:eastAsiaTheme="maj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288"/>
              <w:shd w:val="clear"/>
              <w:spacing w:line="560" w:lineRule="exact"/>
              <w:ind w:firstLine="200"/>
              <w:jc w:val="center"/>
              <w:rPr>
                <w:rFonts w:asciiTheme="majorEastAsia" w:hAnsiTheme="majorEastAsia" w:eastAsiaTheme="majorEastAsia"/>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288"/>
              <w:shd w:val="clear"/>
              <w:spacing w:line="560" w:lineRule="exact"/>
              <w:ind w:firstLine="200"/>
              <w:jc w:val="center"/>
              <w:rPr>
                <w:rFonts w:asciiTheme="majorEastAsia" w:hAnsiTheme="majorEastAsia" w:eastAsiaTheme="majorEastAsia"/>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288"/>
              <w:shd w:val="clear"/>
              <w:spacing w:line="560" w:lineRule="exact"/>
              <w:ind w:firstLine="200"/>
              <w:jc w:val="center"/>
              <w:rPr>
                <w:rFonts w:asciiTheme="majorEastAsia" w:hAnsiTheme="majorEastAsia" w:eastAsiaTheme="maj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288"/>
              <w:shd w:val="clear"/>
              <w:spacing w:line="560" w:lineRule="exact"/>
              <w:ind w:firstLine="200"/>
              <w:jc w:val="center"/>
              <w:rPr>
                <w:rFonts w:asciiTheme="majorEastAsia" w:hAnsiTheme="majorEastAsia" w:eastAsiaTheme="majorEastAsia"/>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288"/>
              <w:shd w:val="clear"/>
              <w:spacing w:line="560" w:lineRule="exact"/>
              <w:ind w:firstLine="200"/>
              <w:jc w:val="center"/>
              <w:rPr>
                <w:rFonts w:asciiTheme="majorEastAsia" w:hAnsiTheme="majorEastAsia" w:eastAsiaTheme="majorEastAsia"/>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288"/>
              <w:shd w:val="clear"/>
              <w:spacing w:line="560" w:lineRule="exact"/>
              <w:ind w:firstLine="200"/>
              <w:jc w:val="center"/>
              <w:rPr>
                <w:rFonts w:asciiTheme="majorEastAsia" w:hAnsiTheme="majorEastAsia" w:eastAsiaTheme="maj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288"/>
              <w:shd w:val="clear"/>
              <w:spacing w:line="560" w:lineRule="exact"/>
              <w:ind w:firstLine="200"/>
              <w:jc w:val="center"/>
              <w:rPr>
                <w:rFonts w:asciiTheme="majorEastAsia" w:hAnsiTheme="majorEastAsia" w:eastAsiaTheme="majorEastAsia"/>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288"/>
              <w:shd w:val="clear"/>
              <w:spacing w:line="560" w:lineRule="exact"/>
              <w:ind w:firstLine="200"/>
              <w:jc w:val="center"/>
              <w:rPr>
                <w:rFonts w:asciiTheme="majorEastAsia" w:hAnsiTheme="majorEastAsia" w:eastAsiaTheme="majorEastAsia"/>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288"/>
              <w:shd w:val="clear"/>
              <w:spacing w:line="560" w:lineRule="exact"/>
              <w:ind w:firstLine="200"/>
              <w:jc w:val="center"/>
              <w:rPr>
                <w:rFonts w:asciiTheme="majorEastAsia" w:hAnsiTheme="majorEastAsia" w:eastAsiaTheme="maj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288"/>
              <w:shd w:val="clear"/>
              <w:spacing w:line="560" w:lineRule="exact"/>
              <w:ind w:firstLine="200"/>
              <w:jc w:val="cente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288"/>
              <w:shd w:val="clear"/>
              <w:spacing w:line="560" w:lineRule="exact"/>
              <w:ind w:firstLine="200"/>
              <w:jc w:val="center"/>
              <w:rPr>
                <w:rFonts w:asciiTheme="majorEastAsia" w:hAnsiTheme="majorEastAsia" w:eastAsiaTheme="majorEastAsia"/>
                <w:color w:val="auto"/>
                <w:sz w:val="24"/>
                <w:szCs w:val="24"/>
              </w:rPr>
            </w:pPr>
          </w:p>
        </w:tc>
      </w:tr>
    </w:tbl>
    <w:p>
      <w:pPr>
        <w:shd w:val="clear"/>
        <w:spacing w:line="440" w:lineRule="exact"/>
        <w:ind w:firstLine="482" w:firstLineChars="200"/>
        <w:outlineLvl w:val="0"/>
        <w:rPr>
          <w:rFonts w:asciiTheme="majorEastAsia" w:hAnsiTheme="majorEastAsia" w:eastAsiaTheme="majorEastAsia"/>
          <w:b/>
          <w:color w:val="auto"/>
          <w:sz w:val="24"/>
        </w:rPr>
      </w:pPr>
      <w:bookmarkStart w:id="87" w:name="_Toc1814"/>
      <w:bookmarkStart w:id="88" w:name="_Toc22618"/>
      <w:bookmarkStart w:id="89" w:name="_Toc10340"/>
      <w:bookmarkStart w:id="90" w:name="_Toc2846"/>
      <w:bookmarkStart w:id="91" w:name="_Toc32071"/>
      <w:bookmarkStart w:id="92" w:name="_Toc19304"/>
      <w:r>
        <w:rPr>
          <w:rFonts w:asciiTheme="majorEastAsia" w:hAnsiTheme="majorEastAsia" w:eastAsiaTheme="majorEastAsia"/>
          <w:b/>
          <w:color w:val="auto"/>
          <w:sz w:val="24"/>
        </w:rPr>
        <w:t xml:space="preserve">1.4 </w:t>
      </w:r>
      <w:r>
        <w:rPr>
          <w:rFonts w:hint="eastAsia" w:asciiTheme="majorEastAsia" w:hAnsiTheme="majorEastAsia" w:eastAsiaTheme="majorEastAsia"/>
          <w:b/>
          <w:color w:val="auto"/>
          <w:sz w:val="24"/>
        </w:rPr>
        <w:t>付款</w:t>
      </w:r>
      <w:bookmarkEnd w:id="87"/>
      <w:bookmarkEnd w:id="88"/>
      <w:bookmarkEnd w:id="89"/>
      <w:r>
        <w:rPr>
          <w:rFonts w:hint="eastAsia" w:asciiTheme="majorEastAsia" w:hAnsiTheme="majorEastAsia" w:eastAsiaTheme="majorEastAsia"/>
          <w:b/>
          <w:color w:val="auto"/>
          <w:sz w:val="24"/>
        </w:rPr>
        <w:t>方式、时间和条件</w:t>
      </w:r>
    </w:p>
    <w:p>
      <w:pPr>
        <w:pStyle w:val="290"/>
        <w:shd w:val="clear"/>
        <w:spacing w:before="0" w:beforeAutospacing="0" w:after="0" w:afterAutospacing="0" w:line="440" w:lineRule="exact"/>
        <w:ind w:firstLine="480"/>
        <w:rPr>
          <w:rFonts w:cs="Times New Roman" w:asciiTheme="majorEastAsia" w:hAnsiTheme="majorEastAsia" w:eastAsiaTheme="majorEastAsia"/>
          <w:color w:val="auto"/>
        </w:rPr>
      </w:pPr>
      <w:r>
        <w:rPr>
          <w:rFonts w:cs="Times New Roman" w:asciiTheme="majorEastAsia" w:hAnsiTheme="majorEastAsia" w:eastAsiaTheme="majorEastAsia"/>
          <w:color w:val="auto"/>
        </w:rPr>
        <w:t>1.4.1</w:t>
      </w:r>
      <w:r>
        <w:rPr>
          <w:rFonts w:hint="eastAsia" w:cs="Times New Roman" w:asciiTheme="majorEastAsia" w:hAnsiTheme="majorEastAsia" w:eastAsiaTheme="majorEastAsia"/>
          <w:color w:val="auto"/>
        </w:rPr>
        <w:t>甲方应严格履行合同，及时组织验收，验收合格后及时将合同款支付完毕。对于满足合同约定支付条件的，甲方自收到发票后</w:t>
      </w:r>
      <w:r>
        <w:rPr>
          <w:rFonts w:cs="Times New Roman" w:asciiTheme="majorEastAsia" w:hAnsiTheme="majorEastAsia" w:eastAsiaTheme="majorEastAsia"/>
          <w:color w:val="auto"/>
        </w:rPr>
        <w:t>5个工作日内将资金支付到合同约定的乙方账户，有条件的甲方可以即时支付。甲方不得以机构变动、人员更替、政策调整、单位放假等为由延迟付款。</w:t>
      </w:r>
    </w:p>
    <w:p>
      <w:pPr>
        <w:shd w:val="clear"/>
        <w:spacing w:line="44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1.4.2</w:t>
      </w:r>
      <w:r>
        <w:rPr>
          <w:rFonts w:hint="eastAsia" w:asciiTheme="majorEastAsia" w:hAnsiTheme="majorEastAsia" w:eastAsiaTheme="majorEastAsia"/>
          <w:color w:val="auto"/>
          <w:sz w:val="24"/>
        </w:rPr>
        <w:t>付款方式按《浙江省财政厅关于坚决打赢疫情防控阻击战进一步做好政府采购资金支持企业发展工作的通知》（浙财采监〔2020〕3号）和《浙江省财政厅关于进一步发挥政府采购政策 功能全力推动经济稳进提质的通知》（浙财采监〔2022〕3号）文件要求执行，具体付款方式由双方协商后在合同中明确。</w:t>
      </w:r>
    </w:p>
    <w:p>
      <w:pPr>
        <w:shd w:val="clear"/>
        <w:spacing w:line="44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1.4.3</w:t>
      </w:r>
      <w:r>
        <w:rPr>
          <w:rFonts w:hint="eastAsia" w:asciiTheme="majorEastAsia" w:hAnsiTheme="majorEastAsia" w:eastAsiaTheme="majorEastAsia"/>
          <w:color w:val="auto"/>
          <w:sz w:val="24"/>
        </w:rPr>
        <w:t>甲方迟延支付乙方款项的，向乙方支付逾期利息。双方可以在合同专用条款中约定逾期利率，约定利率不得低于合同订立时</w:t>
      </w:r>
      <w:r>
        <w:rPr>
          <w:rFonts w:asciiTheme="majorEastAsia" w:hAnsiTheme="majorEastAsia" w:eastAsiaTheme="majorEastAsia"/>
          <w:color w:val="auto"/>
          <w:sz w:val="24"/>
        </w:rPr>
        <w:t>1年</w:t>
      </w:r>
      <w:r>
        <w:rPr>
          <w:rFonts w:hint="eastAsia" w:asciiTheme="majorEastAsia" w:hAnsiTheme="majorEastAsia" w:eastAsiaTheme="majorEastAsia"/>
          <w:color w:val="auto"/>
          <w:sz w:val="24"/>
        </w:rPr>
        <w:t>期贷款市场报价利率；未作约定的，按照每日利率万分之五支付逾期利息。</w:t>
      </w:r>
    </w:p>
    <w:p>
      <w:pPr>
        <w:shd w:val="clear"/>
        <w:spacing w:line="440" w:lineRule="exact"/>
        <w:ind w:firstLine="480" w:firstLineChars="200"/>
        <w:outlineLvl w:val="0"/>
        <w:rPr>
          <w:rFonts w:asciiTheme="majorEastAsia" w:hAnsiTheme="majorEastAsia" w:eastAsiaTheme="majorEastAsia"/>
          <w:color w:val="auto"/>
          <w:sz w:val="24"/>
        </w:rPr>
      </w:pPr>
      <w:r>
        <w:rPr>
          <w:rFonts w:asciiTheme="majorEastAsia" w:hAnsiTheme="majorEastAsia" w:eastAsiaTheme="majorEastAsia"/>
          <w:color w:val="auto"/>
          <w:sz w:val="24"/>
        </w:rPr>
        <w:t>1.4.4资金支付的方式、时间和条件详见</w:t>
      </w:r>
      <w:r>
        <w:rPr>
          <w:rFonts w:hint="eastAsia" w:asciiTheme="majorEastAsia" w:hAnsiTheme="majorEastAsia" w:eastAsiaTheme="majorEastAsia"/>
          <w:b/>
          <w:i/>
          <w:color w:val="auto"/>
          <w:sz w:val="24"/>
          <w:u w:val="single"/>
        </w:rPr>
        <w:t>合同专用条款</w:t>
      </w:r>
      <w:r>
        <w:rPr>
          <w:rFonts w:hint="eastAsia" w:asciiTheme="majorEastAsia" w:hAnsiTheme="majorEastAsia" w:eastAsiaTheme="majorEastAsia"/>
          <w:color w:val="auto"/>
          <w:sz w:val="24"/>
        </w:rPr>
        <w:t>。</w:t>
      </w:r>
    </w:p>
    <w:p>
      <w:pPr>
        <w:shd w:val="clear"/>
        <w:spacing w:line="560" w:lineRule="exact"/>
        <w:ind w:firstLine="482" w:firstLineChars="200"/>
        <w:outlineLvl w:val="0"/>
        <w:rPr>
          <w:rFonts w:asciiTheme="majorEastAsia" w:hAnsiTheme="majorEastAsia" w:eastAsiaTheme="majorEastAsia"/>
          <w:b/>
          <w:color w:val="auto"/>
          <w:sz w:val="24"/>
        </w:rPr>
      </w:pPr>
      <w:r>
        <w:rPr>
          <w:rFonts w:asciiTheme="majorEastAsia" w:hAnsiTheme="majorEastAsia" w:eastAsiaTheme="majorEastAsia"/>
          <w:b/>
          <w:color w:val="auto"/>
          <w:sz w:val="24"/>
        </w:rPr>
        <w:t>1.5</w:t>
      </w:r>
      <w:bookmarkEnd w:id="90"/>
      <w:bookmarkEnd w:id="91"/>
      <w:bookmarkEnd w:id="92"/>
      <w:bookmarkStart w:id="93" w:name="_Toc21423"/>
      <w:bookmarkStart w:id="94" w:name="_Toc27250"/>
      <w:bookmarkStart w:id="95" w:name="_Toc19554"/>
      <w:r>
        <w:rPr>
          <w:rFonts w:hint="eastAsia" w:asciiTheme="majorEastAsia" w:hAnsiTheme="majorEastAsia" w:eastAsiaTheme="majorEastAsia"/>
          <w:b/>
          <w:color w:val="auto"/>
          <w:sz w:val="24"/>
        </w:rPr>
        <w:t>违约责任</w:t>
      </w:r>
      <w:bookmarkEnd w:id="93"/>
      <w:bookmarkEnd w:id="94"/>
      <w:bookmarkEnd w:id="95"/>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1.</w:t>
      </w:r>
      <w:r>
        <w:rPr>
          <w:rFonts w:hint="eastAsia" w:asciiTheme="majorEastAsia" w:hAnsiTheme="majorEastAsia" w:eastAsiaTheme="majorEastAsia"/>
          <w:color w:val="auto"/>
          <w:sz w:val="24"/>
        </w:rPr>
        <w:t>5</w:t>
      </w:r>
      <w:r>
        <w:rPr>
          <w:rFonts w:asciiTheme="majorEastAsia" w:hAnsiTheme="majorEastAsia" w:eastAsiaTheme="majorEastAsia"/>
          <w:color w:val="auto"/>
          <w:sz w:val="24"/>
        </w:rPr>
        <w:t xml:space="preserve">.1 </w:t>
      </w:r>
      <w:r>
        <w:rPr>
          <w:rFonts w:hint="eastAsia" w:asciiTheme="majorEastAsia" w:hAnsiTheme="majorEastAsia" w:eastAsiaTheme="majorEastAsia"/>
          <w:color w:val="auto"/>
          <w:sz w:val="24"/>
        </w:rPr>
        <w:t>除不可抗力外，如果乙方没有按照本合同约定的期限、地点和方式提供服务，那么甲方可要求乙方支付违约金，违约金按1000</w:t>
      </w:r>
      <w:r>
        <w:rPr>
          <w:rFonts w:asciiTheme="majorEastAsia" w:hAnsiTheme="majorEastAsia" w:eastAsiaTheme="majorEastAsia"/>
          <w:color w:val="auto"/>
          <w:sz w:val="24"/>
        </w:rPr>
        <w:t>元</w:t>
      </w:r>
      <w:r>
        <w:rPr>
          <w:rFonts w:hint="eastAsia" w:asciiTheme="majorEastAsia" w:hAnsiTheme="majorEastAsia" w:eastAsiaTheme="majorEastAsia"/>
          <w:color w:val="auto"/>
          <w:sz w:val="24"/>
        </w:rPr>
        <w:t>/次</w:t>
      </w:r>
      <w:r>
        <w:rPr>
          <w:rFonts w:asciiTheme="majorEastAsia" w:hAnsiTheme="majorEastAsia" w:eastAsiaTheme="majorEastAsia"/>
          <w:color w:val="auto"/>
          <w:sz w:val="24"/>
        </w:rPr>
        <w:t>计算，最高限额为本合同总价的</w:t>
      </w:r>
      <w:r>
        <w:rPr>
          <w:rFonts w:hint="eastAsia" w:asciiTheme="majorEastAsia" w:hAnsiTheme="majorEastAsia" w:eastAsiaTheme="majorEastAsia"/>
          <w:color w:val="auto"/>
          <w:sz w:val="24"/>
        </w:rPr>
        <w:t>5</w:t>
      </w:r>
      <w:r>
        <w:rPr>
          <w:rFonts w:asciiTheme="majorEastAsia" w:hAnsiTheme="majorEastAsia" w:eastAsiaTheme="majorEastAsia"/>
          <w:color w:val="auto"/>
          <w:sz w:val="24"/>
        </w:rPr>
        <w:t>%；未按要求提供服务的违约金计算数额达到前述最高限额之日起，甲方有权在要求乙方支付违约金的同时，书面通知乙方解除本合同；</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1.</w:t>
      </w:r>
      <w:r>
        <w:rPr>
          <w:rFonts w:hint="eastAsia" w:asciiTheme="majorEastAsia" w:hAnsiTheme="majorEastAsia" w:eastAsiaTheme="majorEastAsia"/>
          <w:color w:val="auto"/>
          <w:sz w:val="24"/>
        </w:rPr>
        <w:t>5</w:t>
      </w:r>
      <w:r>
        <w:rPr>
          <w:rFonts w:asciiTheme="majorEastAsia" w:hAnsiTheme="majorEastAsia" w:eastAsiaTheme="majorEastAsia"/>
          <w:color w:val="auto"/>
          <w:sz w:val="24"/>
        </w:rPr>
        <w:t xml:space="preserve">.2 </w:t>
      </w:r>
      <w:r>
        <w:rPr>
          <w:rFonts w:hint="eastAsia" w:asciiTheme="majorEastAsia" w:hAnsiTheme="majorEastAsia" w:eastAsiaTheme="majorEastAsia"/>
          <w:color w:val="auto"/>
          <w:sz w:val="24"/>
        </w:rPr>
        <w:t>除不可抗力外，如果甲方没有按照本合同约定的付款方式付款，那么乙方可要求甲方支付违约金，违约金按每迟延付款一日的应付而未付款的0.05</w:t>
      </w:r>
      <w:r>
        <w:rPr>
          <w:rFonts w:asciiTheme="majorEastAsia" w:hAnsiTheme="majorEastAsia" w:eastAsiaTheme="majorEastAsia"/>
          <w:color w:val="auto"/>
          <w:sz w:val="24"/>
        </w:rPr>
        <w:t>%计算，最高限额为本合同总价的</w:t>
      </w:r>
      <w:r>
        <w:rPr>
          <w:rFonts w:hint="eastAsia" w:asciiTheme="majorEastAsia" w:hAnsiTheme="majorEastAsia" w:eastAsiaTheme="majorEastAsia"/>
          <w:color w:val="auto"/>
          <w:sz w:val="24"/>
        </w:rPr>
        <w:t>5</w:t>
      </w:r>
      <w:r>
        <w:rPr>
          <w:rFonts w:asciiTheme="majorEastAsia" w:hAnsiTheme="majorEastAsia" w:eastAsiaTheme="majorEastAsia"/>
          <w:color w:val="auto"/>
          <w:sz w:val="24"/>
        </w:rPr>
        <w:t>%；迟延付款的违约金计算数额达到前述最高限额之日起，乙方有权在要求甲方支付违约金的同时，书面通知甲方解除本合同</w:t>
      </w:r>
      <w:r>
        <w:rPr>
          <w:rFonts w:hint="eastAsia" w:asciiTheme="majorEastAsia" w:hAnsiTheme="majorEastAsia" w:eastAsiaTheme="majorEastAsia"/>
          <w:color w:val="auto"/>
          <w:sz w:val="24"/>
        </w:rPr>
        <w:t>;</w:t>
      </w:r>
    </w:p>
    <w:p>
      <w:pPr>
        <w:shd w:val="clear"/>
        <w:spacing w:line="560" w:lineRule="exact"/>
        <w:rPr>
          <w:rFonts w:asciiTheme="majorEastAsia" w:hAnsiTheme="majorEastAsia" w:eastAsiaTheme="majorEastAsia"/>
          <w:color w:val="auto"/>
          <w:sz w:val="24"/>
        </w:rPr>
      </w:pPr>
      <w:r>
        <w:rPr>
          <w:rFonts w:asciiTheme="majorEastAsia" w:hAnsiTheme="majorEastAsia" w:eastAsiaTheme="majorEastAsia"/>
          <w:color w:val="auto"/>
          <w:sz w:val="24"/>
        </w:rPr>
        <w:t>1.</w:t>
      </w:r>
      <w:r>
        <w:rPr>
          <w:rFonts w:hint="eastAsia" w:asciiTheme="majorEastAsia" w:hAnsiTheme="majorEastAsia" w:eastAsiaTheme="majorEastAsia"/>
          <w:color w:val="auto"/>
          <w:sz w:val="24"/>
        </w:rPr>
        <w:t>5</w:t>
      </w:r>
      <w:r>
        <w:rPr>
          <w:rFonts w:asciiTheme="majorEastAsia" w:hAnsiTheme="majorEastAsia" w:eastAsiaTheme="majorEastAsia"/>
          <w:color w:val="auto"/>
          <w:sz w:val="24"/>
        </w:rPr>
        <w:t xml:space="preserve">.3 </w:t>
      </w:r>
      <w:r>
        <w:rPr>
          <w:rFonts w:hint="eastAsia" w:asciiTheme="majorEastAsia" w:hAnsiTheme="majorEastAsia" w:eastAsiaTheme="majorEastAsia"/>
          <w:color w:val="auto"/>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1.</w:t>
      </w:r>
      <w:r>
        <w:rPr>
          <w:rFonts w:hint="eastAsia" w:asciiTheme="majorEastAsia" w:hAnsiTheme="majorEastAsia" w:eastAsiaTheme="majorEastAsia"/>
          <w:color w:val="auto"/>
          <w:sz w:val="24"/>
        </w:rPr>
        <w:t>5</w:t>
      </w:r>
      <w:r>
        <w:rPr>
          <w:rFonts w:asciiTheme="majorEastAsia" w:hAnsiTheme="majorEastAsia" w:eastAsiaTheme="majorEastAsia"/>
          <w:color w:val="auto"/>
          <w:sz w:val="24"/>
        </w:rPr>
        <w:t xml:space="preserve">.4 </w:t>
      </w:r>
      <w:r>
        <w:rPr>
          <w:rFonts w:hint="eastAsia" w:asciiTheme="majorEastAsia" w:hAnsiTheme="majorEastAsia" w:eastAsiaTheme="majorEastAsia"/>
          <w:color w:val="auto"/>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1.</w:t>
      </w:r>
      <w:r>
        <w:rPr>
          <w:rFonts w:hint="eastAsia" w:asciiTheme="majorEastAsia" w:hAnsiTheme="majorEastAsia" w:eastAsiaTheme="majorEastAsia"/>
          <w:color w:val="auto"/>
          <w:sz w:val="24"/>
        </w:rPr>
        <w:t>5</w:t>
      </w:r>
      <w:r>
        <w:rPr>
          <w:rFonts w:asciiTheme="majorEastAsia" w:hAnsiTheme="majorEastAsia" w:eastAsiaTheme="majorEastAsia"/>
          <w:color w:val="auto"/>
          <w:sz w:val="24"/>
        </w:rPr>
        <w:t xml:space="preserve">.5 </w:t>
      </w:r>
      <w:r>
        <w:rPr>
          <w:rFonts w:hint="eastAsia" w:asciiTheme="majorEastAsia" w:hAnsiTheme="majorEastAsia" w:eastAsiaTheme="majorEastAsia"/>
          <w:color w:val="auto"/>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1.</w:t>
      </w:r>
      <w:r>
        <w:rPr>
          <w:rFonts w:hint="eastAsia" w:asciiTheme="majorEastAsia" w:hAnsiTheme="majorEastAsia" w:eastAsiaTheme="majorEastAsia"/>
          <w:color w:val="auto"/>
          <w:sz w:val="24"/>
        </w:rPr>
        <w:t>5</w:t>
      </w:r>
      <w:r>
        <w:rPr>
          <w:rFonts w:asciiTheme="majorEastAsia" w:hAnsiTheme="majorEastAsia" w:eastAsiaTheme="majorEastAsia"/>
          <w:color w:val="auto"/>
          <w:sz w:val="24"/>
        </w:rPr>
        <w:t xml:space="preserve">.6 </w:t>
      </w:r>
      <w:r>
        <w:rPr>
          <w:rFonts w:hint="eastAsia" w:asciiTheme="majorEastAsia" w:hAnsiTheme="majorEastAsia" w:eastAsiaTheme="majorEastAsia"/>
          <w:color w:val="auto"/>
          <w:sz w:val="24"/>
        </w:rPr>
        <w:t>如果出现政府采购监督管理部门在处理投诉事项期间，书面通知甲方暂停采购活动的情形，或者询问或质疑事项可能影响中标结果的，导致甲方中止履行合同的情形，均不视为甲方违约。</w:t>
      </w:r>
    </w:p>
    <w:p>
      <w:pPr>
        <w:shd w:val="clear"/>
        <w:spacing w:line="560" w:lineRule="exact"/>
        <w:ind w:left="-420" w:leftChars="-200" w:right="-420" w:rightChars="-200" w:firstLine="960" w:firstLineChars="400"/>
        <w:rPr>
          <w:rFonts w:asciiTheme="majorEastAsia" w:hAnsiTheme="majorEastAsia" w:eastAsiaTheme="majorEastAsia"/>
          <w:color w:val="auto"/>
        </w:rPr>
      </w:pPr>
      <w:r>
        <w:rPr>
          <w:rFonts w:hint="eastAsia" w:asciiTheme="majorEastAsia" w:hAnsiTheme="majorEastAsia" w:eastAsiaTheme="majorEastAsia"/>
          <w:color w:val="auto"/>
          <w:sz w:val="24"/>
        </w:rPr>
        <w:t>1.5.7违约责任</w:t>
      </w:r>
      <w:r>
        <w:rPr>
          <w:rFonts w:hint="eastAsia" w:asciiTheme="majorEastAsia" w:hAnsiTheme="majorEastAsia" w:eastAsiaTheme="majorEastAsia"/>
          <w:b/>
          <w:i/>
          <w:color w:val="auto"/>
          <w:sz w:val="24"/>
          <w:u w:val="single"/>
        </w:rPr>
        <w:t>合同专用条款</w:t>
      </w:r>
      <w:r>
        <w:rPr>
          <w:rFonts w:hint="eastAsia" w:asciiTheme="majorEastAsia" w:hAnsiTheme="majorEastAsia" w:eastAsiaTheme="majorEastAsia"/>
          <w:color w:val="auto"/>
          <w:sz w:val="24"/>
        </w:rPr>
        <w:t>另有约定的，从其约定。</w:t>
      </w:r>
    </w:p>
    <w:p>
      <w:pPr>
        <w:shd w:val="clear"/>
        <w:spacing w:line="560" w:lineRule="exact"/>
        <w:ind w:firstLine="482" w:firstLineChars="200"/>
        <w:outlineLvl w:val="0"/>
        <w:rPr>
          <w:rFonts w:asciiTheme="majorEastAsia" w:hAnsiTheme="majorEastAsia" w:eastAsiaTheme="majorEastAsia"/>
          <w:b/>
          <w:color w:val="auto"/>
          <w:sz w:val="24"/>
        </w:rPr>
      </w:pPr>
      <w:bookmarkStart w:id="96" w:name="_Toc16021"/>
      <w:bookmarkStart w:id="97" w:name="_Toc28375"/>
      <w:bookmarkStart w:id="98" w:name="_Toc15583"/>
      <w:r>
        <w:rPr>
          <w:rFonts w:asciiTheme="majorEastAsia" w:hAnsiTheme="majorEastAsia" w:eastAsiaTheme="majorEastAsia"/>
          <w:b/>
          <w:color w:val="auto"/>
          <w:sz w:val="24"/>
        </w:rPr>
        <w:t>1.</w:t>
      </w:r>
      <w:r>
        <w:rPr>
          <w:rFonts w:hint="eastAsia" w:asciiTheme="majorEastAsia" w:hAnsiTheme="majorEastAsia" w:eastAsiaTheme="majorEastAsia"/>
          <w:b/>
          <w:color w:val="auto"/>
          <w:sz w:val="24"/>
        </w:rPr>
        <w:t>6合同争议的解决</w:t>
      </w:r>
      <w:bookmarkEnd w:id="96"/>
      <w:bookmarkEnd w:id="97"/>
      <w:bookmarkEnd w:id="98"/>
    </w:p>
    <w:p>
      <w:pPr>
        <w:shd w:val="clear"/>
        <w:spacing w:line="560" w:lineRule="exact"/>
        <w:ind w:left="-61" w:leftChars="-29" w:right="-420" w:rightChars="-200" w:firstLine="240" w:firstLineChars="100"/>
        <w:rPr>
          <w:rFonts w:asciiTheme="majorEastAsia" w:hAnsiTheme="majorEastAsia" w:eastAsiaTheme="majorEastAsia"/>
          <w:color w:val="auto"/>
          <w:sz w:val="24"/>
        </w:rPr>
      </w:pPr>
      <w:r>
        <w:rPr>
          <w:rFonts w:hint="eastAsia" w:asciiTheme="majorEastAsia" w:hAnsiTheme="majorEastAsia" w:eastAsiaTheme="majorEastAsia"/>
          <w:color w:val="auto"/>
          <w:sz w:val="24"/>
        </w:rPr>
        <w:t xml:space="preserve">  本合同履行过程中发生的任何争议，双方当事人均可通过和解或者调解解决；不愿和解、调解或者和解、调解不成的，可以选择以下第</w:t>
      </w:r>
      <w:r>
        <w:rPr>
          <w:rFonts w:hint="eastAsia" w:asciiTheme="majorEastAsia" w:hAnsiTheme="majorEastAsia" w:eastAsiaTheme="majorEastAsia"/>
          <w:b/>
          <w:i/>
          <w:color w:val="auto"/>
          <w:sz w:val="24"/>
          <w:u w:val="single"/>
        </w:rPr>
        <w:t xml:space="preserve"> 合同专用条款  </w:t>
      </w:r>
      <w:r>
        <w:rPr>
          <w:rFonts w:hint="eastAsia" w:asciiTheme="majorEastAsia" w:hAnsiTheme="majorEastAsia" w:eastAsiaTheme="majorEastAsia"/>
          <w:color w:val="auto"/>
          <w:sz w:val="24"/>
        </w:rPr>
        <w:t>条款规定的1.6.1方式解决：</w:t>
      </w:r>
    </w:p>
    <w:p>
      <w:pPr>
        <w:shd w:val="clear"/>
        <w:spacing w:line="560" w:lineRule="exact"/>
        <w:ind w:left="-420" w:leftChars="-200" w:right="-420" w:rightChars="-200" w:firstLine="600" w:firstLineChars="250"/>
        <w:rPr>
          <w:rFonts w:asciiTheme="majorEastAsia" w:hAnsiTheme="majorEastAsia" w:eastAsiaTheme="majorEastAsia"/>
          <w:color w:val="auto"/>
          <w:sz w:val="24"/>
        </w:rPr>
      </w:pPr>
      <w:r>
        <w:rPr>
          <w:rFonts w:asciiTheme="majorEastAsia" w:hAnsiTheme="majorEastAsia" w:eastAsiaTheme="majorEastAsia"/>
          <w:color w:val="auto"/>
          <w:sz w:val="24"/>
        </w:rPr>
        <w:t>1.</w:t>
      </w:r>
      <w:r>
        <w:rPr>
          <w:rFonts w:hint="eastAsia" w:asciiTheme="majorEastAsia" w:hAnsiTheme="majorEastAsia" w:eastAsiaTheme="majorEastAsia"/>
          <w:color w:val="auto"/>
          <w:sz w:val="24"/>
        </w:rPr>
        <w:t>6</w:t>
      </w:r>
      <w:r>
        <w:rPr>
          <w:rFonts w:asciiTheme="majorEastAsia" w:hAnsiTheme="majorEastAsia" w:eastAsiaTheme="majorEastAsia"/>
          <w:color w:val="auto"/>
          <w:sz w:val="24"/>
        </w:rPr>
        <w:t xml:space="preserve">.1 </w:t>
      </w:r>
      <w:r>
        <w:rPr>
          <w:rFonts w:hint="eastAsia" w:asciiTheme="majorEastAsia" w:hAnsiTheme="majorEastAsia" w:eastAsiaTheme="majorEastAsia"/>
          <w:color w:val="auto"/>
          <w:sz w:val="24"/>
        </w:rPr>
        <w:t>将争议提交</w:t>
      </w:r>
      <w:r>
        <w:rPr>
          <w:rFonts w:hint="eastAsia" w:asciiTheme="majorEastAsia" w:hAnsiTheme="majorEastAsia" w:eastAsiaTheme="majorEastAsia"/>
          <w:b/>
          <w:i/>
          <w:color w:val="auto"/>
          <w:sz w:val="24"/>
          <w:u w:val="single"/>
        </w:rPr>
        <w:t>合同专用条款</w:t>
      </w:r>
      <w:r>
        <w:rPr>
          <w:rFonts w:hint="eastAsia" w:asciiTheme="majorEastAsia" w:hAnsiTheme="majorEastAsia" w:eastAsiaTheme="majorEastAsia"/>
          <w:color w:val="auto"/>
          <w:sz w:val="24"/>
        </w:rPr>
        <w:t>仲裁委员会依申请仲裁时其现行有效的仲裁规则裁决；</w:t>
      </w:r>
    </w:p>
    <w:p>
      <w:pPr>
        <w:shd w:val="clear"/>
        <w:spacing w:line="560" w:lineRule="exact"/>
        <w:ind w:left="-420" w:leftChars="-200" w:right="-420" w:rightChars="-200" w:firstLine="600" w:firstLineChars="250"/>
        <w:rPr>
          <w:rFonts w:asciiTheme="majorEastAsia" w:hAnsiTheme="majorEastAsia" w:eastAsiaTheme="majorEastAsia"/>
          <w:color w:val="auto"/>
          <w:sz w:val="24"/>
        </w:rPr>
      </w:pPr>
      <w:r>
        <w:rPr>
          <w:rFonts w:asciiTheme="majorEastAsia" w:hAnsiTheme="majorEastAsia" w:eastAsiaTheme="majorEastAsia"/>
          <w:color w:val="auto"/>
          <w:sz w:val="24"/>
        </w:rPr>
        <w:t>1.</w:t>
      </w:r>
      <w:r>
        <w:rPr>
          <w:rFonts w:hint="eastAsia" w:asciiTheme="majorEastAsia" w:hAnsiTheme="majorEastAsia" w:eastAsiaTheme="majorEastAsia"/>
          <w:color w:val="auto"/>
          <w:sz w:val="24"/>
        </w:rPr>
        <w:t>6</w:t>
      </w:r>
      <w:r>
        <w:rPr>
          <w:rFonts w:asciiTheme="majorEastAsia" w:hAnsiTheme="majorEastAsia" w:eastAsiaTheme="majorEastAsia"/>
          <w:color w:val="auto"/>
          <w:sz w:val="24"/>
        </w:rPr>
        <w:t xml:space="preserve">.2 </w:t>
      </w:r>
      <w:r>
        <w:rPr>
          <w:rFonts w:hint="eastAsia" w:asciiTheme="majorEastAsia" w:hAnsiTheme="majorEastAsia" w:eastAsiaTheme="majorEastAsia"/>
          <w:color w:val="auto"/>
          <w:sz w:val="24"/>
        </w:rPr>
        <w:t>向</w:t>
      </w:r>
      <w:r>
        <w:rPr>
          <w:rFonts w:hint="eastAsia" w:asciiTheme="majorEastAsia" w:hAnsiTheme="majorEastAsia" w:eastAsiaTheme="majorEastAsia"/>
          <w:b/>
          <w:i/>
          <w:color w:val="auto"/>
          <w:sz w:val="24"/>
          <w:u w:val="single"/>
        </w:rPr>
        <w:t>合同专用条款</w:t>
      </w:r>
      <w:r>
        <w:rPr>
          <w:rFonts w:hint="eastAsia" w:asciiTheme="majorEastAsia" w:hAnsiTheme="majorEastAsia" w:eastAsiaTheme="majorEastAsia"/>
          <w:color w:val="auto"/>
          <w:sz w:val="24"/>
        </w:rPr>
        <w:t>人民法院起诉。</w:t>
      </w:r>
    </w:p>
    <w:p>
      <w:pPr>
        <w:shd w:val="clear"/>
        <w:spacing w:line="560" w:lineRule="exact"/>
        <w:ind w:firstLine="482" w:firstLineChars="200"/>
        <w:outlineLvl w:val="0"/>
        <w:rPr>
          <w:rFonts w:asciiTheme="majorEastAsia" w:hAnsiTheme="majorEastAsia" w:eastAsiaTheme="majorEastAsia"/>
          <w:b/>
          <w:color w:val="auto"/>
          <w:sz w:val="24"/>
        </w:rPr>
      </w:pPr>
      <w:bookmarkStart w:id="99" w:name="_Toc15322"/>
      <w:bookmarkStart w:id="100" w:name="_Toc11173"/>
      <w:bookmarkStart w:id="101" w:name="_Toc7245"/>
      <w:r>
        <w:rPr>
          <w:rFonts w:asciiTheme="majorEastAsia" w:hAnsiTheme="majorEastAsia" w:eastAsiaTheme="majorEastAsia"/>
          <w:b/>
          <w:color w:val="auto"/>
          <w:sz w:val="24"/>
        </w:rPr>
        <w:t>1.</w:t>
      </w:r>
      <w:r>
        <w:rPr>
          <w:rFonts w:hint="eastAsia" w:asciiTheme="majorEastAsia" w:hAnsiTheme="majorEastAsia" w:eastAsiaTheme="majorEastAsia"/>
          <w:b/>
          <w:color w:val="auto"/>
          <w:sz w:val="24"/>
        </w:rPr>
        <w:t>7合同生效</w:t>
      </w:r>
      <w:bookmarkEnd w:id="99"/>
      <w:bookmarkEnd w:id="100"/>
      <w:bookmarkEnd w:id="101"/>
    </w:p>
    <w:p>
      <w:pPr>
        <w:shd w:val="clear"/>
        <w:spacing w:line="560" w:lineRule="exact"/>
        <w:ind w:firstLine="480" w:firstLineChars="200"/>
        <w:rPr>
          <w:rFonts w:asciiTheme="majorEastAsia" w:hAnsiTheme="majorEastAsia" w:eastAsiaTheme="majorEastAsia"/>
          <w:b/>
          <w:color w:val="auto"/>
          <w:sz w:val="24"/>
        </w:rPr>
      </w:pPr>
      <w:r>
        <w:rPr>
          <w:rFonts w:hint="eastAsia" w:asciiTheme="majorEastAsia" w:hAnsiTheme="majorEastAsia" w:eastAsiaTheme="majorEastAsia"/>
          <w:color w:val="auto"/>
          <w:sz w:val="24"/>
        </w:rPr>
        <w:t>本合同自双方当事人盖章或者签字时生效。</w:t>
      </w:r>
    </w:p>
    <w:p>
      <w:pPr>
        <w:shd w:val="clear"/>
        <w:autoSpaceDE w:val="0"/>
        <w:autoSpaceDN w:val="0"/>
        <w:spacing w:line="560" w:lineRule="exact"/>
        <w:rPr>
          <w:rFonts w:asciiTheme="majorEastAsia" w:hAnsiTheme="majorEastAsia" w:eastAsiaTheme="majorEastAsia"/>
          <w:color w:val="auto"/>
          <w:sz w:val="24"/>
          <w:lang w:val="zh-CN"/>
        </w:rPr>
      </w:pPr>
    </w:p>
    <w:p>
      <w:pPr>
        <w:shd w:val="clear"/>
        <w:autoSpaceDE w:val="0"/>
        <w:autoSpaceDN w:val="0"/>
        <w:spacing w:line="560" w:lineRule="exact"/>
        <w:rPr>
          <w:rFonts w:asciiTheme="majorEastAsia" w:hAnsiTheme="majorEastAsia" w:eastAsiaTheme="majorEastAsia"/>
          <w:color w:val="auto"/>
          <w:sz w:val="24"/>
          <w:lang w:val="zh-CN"/>
        </w:rPr>
      </w:pPr>
      <w:r>
        <w:rPr>
          <w:rFonts w:hint="eastAsia" w:asciiTheme="majorEastAsia" w:hAnsiTheme="majorEastAsia" w:eastAsiaTheme="majorEastAsia"/>
          <w:b/>
          <w:color w:val="auto"/>
          <w:sz w:val="24"/>
          <w:lang w:val="zh-CN"/>
        </w:rPr>
        <w:t>甲方</w:t>
      </w:r>
      <w:r>
        <w:rPr>
          <w:rFonts w:hint="eastAsia" w:asciiTheme="majorEastAsia" w:hAnsiTheme="majorEastAsia" w:eastAsiaTheme="majorEastAsia"/>
          <w:color w:val="auto"/>
          <w:sz w:val="24"/>
          <w:lang w:val="zh-CN"/>
        </w:rPr>
        <w:t>：</w:t>
      </w:r>
      <w:r>
        <w:rPr>
          <w:rFonts w:asciiTheme="majorEastAsia" w:hAnsiTheme="majorEastAsia" w:eastAsiaTheme="majorEastAsia"/>
          <w:b/>
          <w:color w:val="auto"/>
          <w:sz w:val="24"/>
          <w:lang w:val="zh-CN"/>
        </w:rPr>
        <w:t xml:space="preserve">      乙方</w:t>
      </w:r>
      <w:r>
        <w:rPr>
          <w:rFonts w:hint="eastAsia" w:asciiTheme="majorEastAsia" w:hAnsiTheme="majorEastAsia" w:eastAsiaTheme="majorEastAsia"/>
          <w:color w:val="auto"/>
          <w:sz w:val="24"/>
          <w:lang w:val="zh-CN"/>
        </w:rPr>
        <w:t>：</w:t>
      </w:r>
    </w:p>
    <w:p>
      <w:pPr>
        <w:shd w:val="clear"/>
        <w:autoSpaceDE w:val="0"/>
        <w:autoSpaceDN w:val="0"/>
        <w:spacing w:line="560" w:lineRule="exact"/>
        <w:rPr>
          <w:rFonts w:asciiTheme="majorEastAsia" w:hAnsiTheme="majorEastAsia" w:eastAsiaTheme="majorEastAsia"/>
          <w:color w:val="auto"/>
          <w:sz w:val="24"/>
          <w:lang w:val="zh-CN"/>
        </w:rPr>
      </w:pPr>
      <w:r>
        <w:rPr>
          <w:rFonts w:hint="eastAsia" w:asciiTheme="majorEastAsia" w:hAnsiTheme="majorEastAsia" w:eastAsiaTheme="majorEastAsia"/>
          <w:color w:val="auto"/>
          <w:sz w:val="24"/>
          <w:lang w:val="zh-CN"/>
        </w:rPr>
        <w:t>统一社会信用代码：统一社会信用代码或身份证号码：</w:t>
      </w:r>
    </w:p>
    <w:p>
      <w:pPr>
        <w:shd w:val="clear"/>
        <w:autoSpaceDE w:val="0"/>
        <w:autoSpaceDN w:val="0"/>
        <w:spacing w:line="560" w:lineRule="exact"/>
        <w:rPr>
          <w:rFonts w:asciiTheme="majorEastAsia" w:hAnsiTheme="majorEastAsia" w:eastAsiaTheme="majorEastAsia"/>
          <w:color w:val="auto"/>
          <w:sz w:val="24"/>
          <w:lang w:val="zh-CN"/>
        </w:rPr>
      </w:pPr>
    </w:p>
    <w:p>
      <w:pPr>
        <w:shd w:val="clear"/>
        <w:autoSpaceDE w:val="0"/>
        <w:autoSpaceDN w:val="0"/>
        <w:spacing w:line="560" w:lineRule="exact"/>
        <w:rPr>
          <w:rFonts w:asciiTheme="majorEastAsia" w:hAnsiTheme="majorEastAsia" w:eastAsiaTheme="majorEastAsia"/>
          <w:color w:val="auto"/>
          <w:sz w:val="24"/>
          <w:lang w:val="zh-CN"/>
        </w:rPr>
      </w:pPr>
      <w:r>
        <w:rPr>
          <w:rFonts w:hint="eastAsia" w:asciiTheme="majorEastAsia" w:hAnsiTheme="majorEastAsia" w:eastAsiaTheme="majorEastAsia"/>
          <w:color w:val="auto"/>
          <w:sz w:val="24"/>
          <w:lang w:val="zh-CN"/>
        </w:rPr>
        <w:t>住所：住所：</w:t>
      </w:r>
    </w:p>
    <w:p>
      <w:pPr>
        <w:shd w:val="clear"/>
        <w:autoSpaceDE w:val="0"/>
        <w:autoSpaceDN w:val="0"/>
        <w:spacing w:line="560" w:lineRule="exact"/>
        <w:rPr>
          <w:rFonts w:asciiTheme="majorEastAsia" w:hAnsiTheme="majorEastAsia" w:eastAsiaTheme="majorEastAsia"/>
          <w:color w:val="auto"/>
          <w:sz w:val="24"/>
          <w:lang w:val="zh-CN"/>
        </w:rPr>
      </w:pPr>
      <w:r>
        <w:rPr>
          <w:rFonts w:hint="eastAsia" w:asciiTheme="majorEastAsia" w:hAnsiTheme="majorEastAsia" w:eastAsiaTheme="majorEastAsia"/>
          <w:color w:val="auto"/>
          <w:sz w:val="24"/>
          <w:lang w:val="zh-CN"/>
        </w:rPr>
        <w:t>法定代表人或法定代表人</w:t>
      </w:r>
    </w:p>
    <w:p>
      <w:pPr>
        <w:shd w:val="clear"/>
        <w:autoSpaceDE w:val="0"/>
        <w:autoSpaceDN w:val="0"/>
        <w:spacing w:line="560" w:lineRule="exact"/>
        <w:rPr>
          <w:rFonts w:asciiTheme="majorEastAsia" w:hAnsiTheme="majorEastAsia" w:eastAsiaTheme="majorEastAsia"/>
          <w:color w:val="auto"/>
          <w:sz w:val="24"/>
          <w:lang w:val="zh-CN"/>
        </w:rPr>
      </w:pPr>
      <w:r>
        <w:rPr>
          <w:rFonts w:hint="eastAsia" w:asciiTheme="majorEastAsia" w:hAnsiTheme="majorEastAsia" w:eastAsiaTheme="majorEastAsia"/>
          <w:color w:val="auto"/>
          <w:sz w:val="24"/>
          <w:lang w:val="zh-CN"/>
        </w:rPr>
        <w:t>授权代表（签字）：</w:t>
      </w:r>
      <w:r>
        <w:rPr>
          <w:rFonts w:asciiTheme="majorEastAsia" w:hAnsiTheme="majorEastAsia" w:eastAsiaTheme="majorEastAsia"/>
          <w:color w:val="auto"/>
          <w:sz w:val="24"/>
          <w:lang w:val="zh-CN"/>
        </w:rPr>
        <w:t xml:space="preserve">                        或授权代表（签字）: </w:t>
      </w:r>
    </w:p>
    <w:p>
      <w:pPr>
        <w:shd w:val="clear"/>
        <w:autoSpaceDE w:val="0"/>
        <w:autoSpaceDN w:val="0"/>
        <w:spacing w:line="560" w:lineRule="exact"/>
        <w:rPr>
          <w:rFonts w:asciiTheme="majorEastAsia" w:hAnsiTheme="majorEastAsia" w:eastAsiaTheme="majorEastAsia"/>
          <w:color w:val="auto"/>
          <w:sz w:val="24"/>
          <w:lang w:val="zh-CN"/>
        </w:rPr>
      </w:pPr>
      <w:r>
        <w:rPr>
          <w:rFonts w:hint="eastAsia" w:asciiTheme="majorEastAsia" w:hAnsiTheme="majorEastAsia" w:eastAsiaTheme="majorEastAsia"/>
          <w:color w:val="auto"/>
          <w:sz w:val="24"/>
          <w:lang w:val="zh-CN"/>
        </w:rPr>
        <w:t>联系人：联系人：</w:t>
      </w:r>
    </w:p>
    <w:p>
      <w:pPr>
        <w:shd w:val="clear"/>
        <w:autoSpaceDE w:val="0"/>
        <w:autoSpaceDN w:val="0"/>
        <w:spacing w:line="560" w:lineRule="exact"/>
        <w:rPr>
          <w:rFonts w:asciiTheme="majorEastAsia" w:hAnsiTheme="majorEastAsia" w:eastAsiaTheme="majorEastAsia"/>
          <w:color w:val="auto"/>
          <w:sz w:val="24"/>
          <w:lang w:val="zh-CN"/>
        </w:rPr>
      </w:pPr>
      <w:r>
        <w:rPr>
          <w:rFonts w:hint="eastAsia" w:asciiTheme="majorEastAsia" w:hAnsiTheme="majorEastAsia" w:eastAsiaTheme="majorEastAsia"/>
          <w:color w:val="auto"/>
          <w:sz w:val="24"/>
          <w:lang w:val="zh-CN"/>
        </w:rPr>
        <w:t>约定送达地址：约定送达地址：</w:t>
      </w:r>
    </w:p>
    <w:p>
      <w:pPr>
        <w:shd w:val="clear"/>
        <w:autoSpaceDE w:val="0"/>
        <w:autoSpaceDN w:val="0"/>
        <w:spacing w:line="560" w:lineRule="exact"/>
        <w:rPr>
          <w:rFonts w:asciiTheme="majorEastAsia" w:hAnsiTheme="majorEastAsia" w:eastAsiaTheme="majorEastAsia"/>
          <w:color w:val="auto"/>
          <w:sz w:val="24"/>
          <w:lang w:val="zh-CN"/>
        </w:rPr>
      </w:pPr>
      <w:r>
        <w:rPr>
          <w:rFonts w:hint="eastAsia" w:asciiTheme="majorEastAsia" w:hAnsiTheme="majorEastAsia" w:eastAsiaTheme="majorEastAsia"/>
          <w:color w:val="auto"/>
          <w:sz w:val="24"/>
          <w:lang w:val="zh-CN"/>
        </w:rPr>
        <w:t>邮政编码：邮政编码：</w:t>
      </w:r>
    </w:p>
    <w:p>
      <w:pPr>
        <w:shd w:val="clear"/>
        <w:autoSpaceDE w:val="0"/>
        <w:autoSpaceDN w:val="0"/>
        <w:spacing w:line="560" w:lineRule="exact"/>
        <w:rPr>
          <w:rFonts w:asciiTheme="majorEastAsia" w:hAnsiTheme="majorEastAsia" w:eastAsiaTheme="majorEastAsia"/>
          <w:color w:val="auto"/>
          <w:sz w:val="24"/>
          <w:lang w:val="zh-CN"/>
        </w:rPr>
      </w:pPr>
      <w:r>
        <w:rPr>
          <w:rFonts w:hint="eastAsia" w:asciiTheme="majorEastAsia" w:hAnsiTheme="majorEastAsia" w:eastAsiaTheme="majorEastAsia"/>
          <w:color w:val="auto"/>
          <w:sz w:val="24"/>
          <w:lang w:val="zh-CN"/>
        </w:rPr>
        <w:t>电话</w:t>
      </w:r>
      <w:r>
        <w:rPr>
          <w:rFonts w:asciiTheme="majorEastAsia" w:hAnsiTheme="majorEastAsia" w:eastAsiaTheme="majorEastAsia"/>
          <w:color w:val="auto"/>
          <w:sz w:val="24"/>
          <w:lang w:val="zh-CN"/>
        </w:rPr>
        <w:t xml:space="preserve">:                                    电话: </w:t>
      </w:r>
    </w:p>
    <w:p>
      <w:pPr>
        <w:shd w:val="clear"/>
        <w:autoSpaceDE w:val="0"/>
        <w:autoSpaceDN w:val="0"/>
        <w:spacing w:line="560" w:lineRule="exact"/>
        <w:rPr>
          <w:rFonts w:asciiTheme="majorEastAsia" w:hAnsiTheme="majorEastAsia" w:eastAsiaTheme="majorEastAsia"/>
          <w:color w:val="auto"/>
          <w:sz w:val="24"/>
          <w:lang w:val="zh-CN"/>
        </w:rPr>
      </w:pPr>
      <w:r>
        <w:rPr>
          <w:rFonts w:hint="eastAsia" w:asciiTheme="majorEastAsia" w:hAnsiTheme="majorEastAsia" w:eastAsiaTheme="majorEastAsia"/>
          <w:color w:val="auto"/>
          <w:sz w:val="24"/>
          <w:lang w:val="zh-CN"/>
        </w:rPr>
        <w:t>传真</w:t>
      </w:r>
      <w:r>
        <w:rPr>
          <w:rFonts w:asciiTheme="majorEastAsia" w:hAnsiTheme="majorEastAsia" w:eastAsiaTheme="majorEastAsia"/>
          <w:color w:val="auto"/>
          <w:sz w:val="24"/>
          <w:lang w:val="zh-CN"/>
        </w:rPr>
        <w:t xml:space="preserve">:                                    </w:t>
      </w:r>
      <w:r>
        <w:rPr>
          <w:rFonts w:hint="eastAsia" w:asciiTheme="majorEastAsia" w:hAnsiTheme="majorEastAsia" w:eastAsiaTheme="majorEastAsia"/>
          <w:color w:val="auto"/>
          <w:sz w:val="24"/>
          <w:lang w:val="zh-CN"/>
        </w:rPr>
        <w:t>传真</w:t>
      </w:r>
      <w:r>
        <w:rPr>
          <w:rFonts w:asciiTheme="majorEastAsia" w:hAnsiTheme="majorEastAsia" w:eastAsiaTheme="majorEastAsia"/>
          <w:color w:val="auto"/>
          <w:sz w:val="24"/>
          <w:lang w:val="zh-CN"/>
        </w:rPr>
        <w:t>:</w:t>
      </w:r>
    </w:p>
    <w:p>
      <w:pPr>
        <w:shd w:val="clear"/>
        <w:autoSpaceDE w:val="0"/>
        <w:autoSpaceDN w:val="0"/>
        <w:spacing w:line="56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lang w:val="zh-CN"/>
        </w:rPr>
        <w:t>电子邮箱：电子邮箱：</w:t>
      </w:r>
    </w:p>
    <w:p>
      <w:pPr>
        <w:shd w:val="clear"/>
        <w:autoSpaceDE w:val="0"/>
        <w:autoSpaceDN w:val="0"/>
        <w:spacing w:line="56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开户银行：</w:t>
      </w:r>
      <w:r>
        <w:rPr>
          <w:rFonts w:asciiTheme="majorEastAsia" w:hAnsiTheme="majorEastAsia" w:eastAsiaTheme="majorEastAsia"/>
          <w:color w:val="auto"/>
          <w:sz w:val="24"/>
        </w:rPr>
        <w:t xml:space="preserve">                               开户银行： </w:t>
      </w:r>
    </w:p>
    <w:p>
      <w:pPr>
        <w:shd w:val="clear"/>
        <w:autoSpaceDE w:val="0"/>
        <w:autoSpaceDN w:val="0"/>
        <w:spacing w:line="56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开户名称：</w:t>
      </w:r>
      <w:r>
        <w:rPr>
          <w:rFonts w:asciiTheme="majorEastAsia" w:hAnsiTheme="majorEastAsia" w:eastAsiaTheme="majorEastAsia"/>
          <w:color w:val="auto"/>
          <w:sz w:val="24"/>
        </w:rPr>
        <w:t xml:space="preserve">                               开户名称： </w:t>
      </w:r>
    </w:p>
    <w:p>
      <w:pPr>
        <w:shd w:val="clear"/>
        <w:autoSpaceDE w:val="0"/>
        <w:autoSpaceDN w:val="0"/>
        <w:spacing w:line="56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开户账号：开户账号：</w:t>
      </w:r>
    </w:p>
    <w:p>
      <w:pPr>
        <w:shd w:val="clear"/>
        <w:rPr>
          <w:rFonts w:asciiTheme="majorEastAsia" w:hAnsiTheme="majorEastAsia" w:eastAsiaTheme="majorEastAsia"/>
          <w:color w:val="auto"/>
          <w:sz w:val="24"/>
          <w:u w:val="single"/>
        </w:rPr>
      </w:pPr>
    </w:p>
    <w:p>
      <w:pPr>
        <w:pStyle w:val="281"/>
        <w:pageBreakBefore/>
        <w:shd w:val="clear"/>
        <w:spacing w:line="560" w:lineRule="exact"/>
        <w:ind w:firstLine="723"/>
        <w:jc w:val="center"/>
        <w:rPr>
          <w:rFonts w:asciiTheme="majorEastAsia" w:hAnsiTheme="majorEastAsia" w:eastAsiaTheme="majorEastAsia"/>
          <w:b/>
          <w:color w:val="auto"/>
          <w:sz w:val="36"/>
          <w:szCs w:val="36"/>
        </w:rPr>
      </w:pPr>
      <w:bookmarkStart w:id="102" w:name="_Toc331685783"/>
      <w:r>
        <w:rPr>
          <w:rFonts w:hint="eastAsia" w:asciiTheme="majorEastAsia" w:hAnsiTheme="majorEastAsia" w:eastAsiaTheme="majorEastAsia"/>
          <w:b/>
          <w:color w:val="auto"/>
          <w:sz w:val="36"/>
          <w:szCs w:val="36"/>
        </w:rPr>
        <w:t>第二部分合同一般条款</w:t>
      </w:r>
      <w:bookmarkEnd w:id="102"/>
    </w:p>
    <w:p>
      <w:pPr>
        <w:shd w:val="clear"/>
        <w:spacing w:line="560" w:lineRule="exact"/>
        <w:ind w:firstLine="482" w:firstLineChars="200"/>
        <w:outlineLvl w:val="0"/>
        <w:rPr>
          <w:rFonts w:asciiTheme="majorEastAsia" w:hAnsiTheme="majorEastAsia" w:eastAsiaTheme="majorEastAsia"/>
          <w:b/>
          <w:color w:val="auto"/>
          <w:sz w:val="24"/>
        </w:rPr>
      </w:pPr>
      <w:bookmarkStart w:id="103" w:name="_Ref467378404"/>
      <w:bookmarkStart w:id="104" w:name="_Toc259093669"/>
      <w:bookmarkStart w:id="105" w:name="_Ref467379094"/>
      <w:bookmarkStart w:id="106" w:name="_Toc279701240"/>
      <w:bookmarkStart w:id="107" w:name="_Toc487900349"/>
      <w:bookmarkStart w:id="108" w:name="_Ref467379205"/>
      <w:bookmarkStart w:id="109" w:name="_Ref467378463"/>
      <w:bookmarkStart w:id="110" w:name="_Toc28763"/>
      <w:bookmarkStart w:id="111" w:name="_Ref467378499"/>
      <w:bookmarkStart w:id="112" w:name="_Toc16917"/>
      <w:bookmarkStart w:id="113" w:name="_Ref467379195"/>
      <w:bookmarkStart w:id="114" w:name="_Ref467379101"/>
      <w:bookmarkStart w:id="115" w:name="_Toc19614"/>
      <w:bookmarkStart w:id="116" w:name="_Ref467379225"/>
      <w:bookmarkStart w:id="117" w:name="_Ref467379109"/>
      <w:bookmarkStart w:id="118" w:name="_Ref467379214"/>
      <w:r>
        <w:rPr>
          <w:rFonts w:asciiTheme="majorEastAsia" w:hAnsiTheme="majorEastAsia" w:eastAsiaTheme="majorEastAsia"/>
          <w:b/>
          <w:color w:val="auto"/>
          <w:sz w:val="24"/>
        </w:rPr>
        <w:t xml:space="preserve">2.1 </w:t>
      </w:r>
      <w:r>
        <w:rPr>
          <w:rFonts w:hint="eastAsia" w:asciiTheme="majorEastAsia" w:hAnsiTheme="majorEastAsia" w:eastAsiaTheme="majorEastAsia"/>
          <w:b/>
          <w:color w:val="auto"/>
          <w:sz w:val="24"/>
        </w:rPr>
        <w:t>定义</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shd w:val="clear"/>
        <w:spacing w:line="56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本合同中的下列词语应按以下内容进行解释：</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2.1.1 </w:t>
      </w:r>
      <w:r>
        <w:rPr>
          <w:rFonts w:hint="eastAsia" w:asciiTheme="majorEastAsia" w:hAnsiTheme="majorEastAsia" w:eastAsiaTheme="majorEastAsia"/>
          <w:color w:val="auto"/>
          <w:sz w:val="24"/>
        </w:rPr>
        <w:t>“合同”系指采购人和中标供应商签订的载明双方当事人所达成的协议，并包括所有的附件、附录和构成合同的其他文件。</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2.1.2 </w:t>
      </w:r>
      <w:r>
        <w:rPr>
          <w:rFonts w:hint="eastAsia" w:asciiTheme="majorEastAsia" w:hAnsiTheme="majorEastAsia" w:eastAsiaTheme="majorEastAsia"/>
          <w:color w:val="auto"/>
          <w:sz w:val="24"/>
        </w:rPr>
        <w:t>“合同价”系指根据合同约定，中标供应商在完全履行合同义务后，采购人应支付给中标供应商的价格。</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2.1.3 </w:t>
      </w:r>
      <w:r>
        <w:rPr>
          <w:rFonts w:hint="eastAsia" w:asciiTheme="majorEastAsia" w:hAnsiTheme="majorEastAsia" w:eastAsiaTheme="majorEastAsia"/>
          <w:color w:val="auto"/>
          <w:sz w:val="24"/>
        </w:rPr>
        <w:t>“货物”系指中标供应商根据合同约定应向采购人交付的一切各种形态和种类的物品，包括原材料、燃料、设备、机械、仪表、备件、计算机软件、产品等，并包括工具、手册等其他相关资料。</w:t>
      </w:r>
    </w:p>
    <w:p>
      <w:pPr>
        <w:shd w:val="clear"/>
        <w:spacing w:line="560" w:lineRule="exact"/>
        <w:ind w:firstLine="480" w:firstLineChars="200"/>
        <w:rPr>
          <w:rFonts w:asciiTheme="majorEastAsia" w:hAnsiTheme="majorEastAsia" w:eastAsiaTheme="majorEastAsia"/>
          <w:color w:val="auto"/>
          <w:sz w:val="24"/>
        </w:rPr>
      </w:pPr>
      <w:bookmarkStart w:id="119" w:name="_Ref467378840"/>
      <w:r>
        <w:rPr>
          <w:rFonts w:asciiTheme="majorEastAsia" w:hAnsiTheme="majorEastAsia" w:eastAsiaTheme="majorEastAsia"/>
          <w:color w:val="auto"/>
          <w:sz w:val="24"/>
        </w:rPr>
        <w:t xml:space="preserve">2.1.4 </w:t>
      </w:r>
      <w:r>
        <w:rPr>
          <w:rFonts w:hint="eastAsia" w:asciiTheme="majorEastAsia" w:hAnsiTheme="majorEastAsia" w:eastAsiaTheme="majorEastAsia"/>
          <w:color w:val="auto"/>
          <w:sz w:val="24"/>
        </w:rPr>
        <w:t>“甲方”系指与中标供应商签署合同的采购人</w:t>
      </w:r>
      <w:bookmarkEnd w:id="119"/>
      <w:r>
        <w:rPr>
          <w:rFonts w:hint="eastAsia" w:asciiTheme="majorEastAsia" w:hAnsiTheme="majorEastAsia" w:eastAsiaTheme="majorEastAsia"/>
          <w:color w:val="auto"/>
          <w:sz w:val="24"/>
        </w:rPr>
        <w:t>。</w:t>
      </w:r>
    </w:p>
    <w:p>
      <w:pPr>
        <w:shd w:val="clear"/>
        <w:spacing w:line="560" w:lineRule="exact"/>
        <w:ind w:firstLine="480" w:firstLineChars="200"/>
        <w:rPr>
          <w:rFonts w:asciiTheme="majorEastAsia" w:hAnsiTheme="majorEastAsia" w:eastAsiaTheme="majorEastAsia"/>
          <w:color w:val="auto"/>
          <w:sz w:val="24"/>
        </w:rPr>
      </w:pPr>
      <w:bookmarkStart w:id="120" w:name="_Ref467379400"/>
      <w:r>
        <w:rPr>
          <w:rFonts w:asciiTheme="majorEastAsia" w:hAnsiTheme="majorEastAsia" w:eastAsiaTheme="majorEastAsia"/>
          <w:color w:val="auto"/>
          <w:sz w:val="24"/>
        </w:rPr>
        <w:t xml:space="preserve">2.1.5 </w:t>
      </w:r>
      <w:r>
        <w:rPr>
          <w:rFonts w:hint="eastAsia" w:asciiTheme="majorEastAsia" w:hAnsiTheme="majorEastAsia" w:eastAsiaTheme="majorEastAsia"/>
          <w:color w:val="auto"/>
          <w:sz w:val="24"/>
        </w:rPr>
        <w:t>“乙方”系指根据合同约定交付货物的中标供应商</w:t>
      </w:r>
      <w:bookmarkEnd w:id="120"/>
      <w:r>
        <w:rPr>
          <w:rFonts w:hint="eastAsia" w:asciiTheme="majorEastAsia" w:hAnsiTheme="majorEastAsia" w:eastAsiaTheme="majorEastAsia"/>
          <w:color w:val="auto"/>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hd w:val="clear"/>
        <w:spacing w:line="560" w:lineRule="exact"/>
        <w:ind w:firstLine="480" w:firstLineChars="200"/>
        <w:rPr>
          <w:rFonts w:asciiTheme="majorEastAsia" w:hAnsiTheme="majorEastAsia" w:eastAsiaTheme="majorEastAsia"/>
          <w:color w:val="auto"/>
          <w:sz w:val="24"/>
        </w:rPr>
      </w:pPr>
      <w:bookmarkStart w:id="121" w:name="_Ref467379436"/>
      <w:r>
        <w:rPr>
          <w:rFonts w:asciiTheme="majorEastAsia" w:hAnsiTheme="majorEastAsia" w:eastAsiaTheme="majorEastAsia"/>
          <w:color w:val="auto"/>
          <w:sz w:val="24"/>
        </w:rPr>
        <w:t xml:space="preserve">2.1.6 </w:t>
      </w:r>
      <w:r>
        <w:rPr>
          <w:rFonts w:hint="eastAsia" w:asciiTheme="majorEastAsia" w:hAnsiTheme="majorEastAsia" w:eastAsiaTheme="majorEastAsia"/>
          <w:color w:val="auto"/>
          <w:sz w:val="24"/>
        </w:rPr>
        <w:t>“现场”系指合同约定货物将要运至或者安装的地点。</w:t>
      </w:r>
      <w:bookmarkEnd w:id="121"/>
    </w:p>
    <w:p>
      <w:pPr>
        <w:shd w:val="clear"/>
        <w:spacing w:line="560" w:lineRule="exact"/>
        <w:ind w:firstLine="482" w:firstLineChars="200"/>
        <w:outlineLvl w:val="0"/>
        <w:rPr>
          <w:rFonts w:asciiTheme="majorEastAsia" w:hAnsiTheme="majorEastAsia" w:eastAsiaTheme="majorEastAsia"/>
          <w:b/>
          <w:color w:val="auto"/>
          <w:sz w:val="24"/>
        </w:rPr>
      </w:pPr>
      <w:bookmarkStart w:id="122" w:name="_Toc279701241"/>
      <w:bookmarkStart w:id="123" w:name="_Toc27635"/>
      <w:bookmarkStart w:id="124" w:name="_Toc13336"/>
      <w:bookmarkStart w:id="125" w:name="_Toc487900350"/>
      <w:bookmarkStart w:id="126" w:name="_Toc32504"/>
      <w:bookmarkStart w:id="127" w:name="_Toc259093670"/>
      <w:r>
        <w:rPr>
          <w:rFonts w:asciiTheme="majorEastAsia" w:hAnsiTheme="majorEastAsia" w:eastAsiaTheme="majorEastAsia"/>
          <w:b/>
          <w:color w:val="auto"/>
          <w:sz w:val="24"/>
        </w:rPr>
        <w:t xml:space="preserve">2.2 </w:t>
      </w:r>
      <w:r>
        <w:rPr>
          <w:rFonts w:hint="eastAsia" w:asciiTheme="majorEastAsia" w:hAnsiTheme="majorEastAsia" w:eastAsiaTheme="majorEastAsia"/>
          <w:b/>
          <w:color w:val="auto"/>
          <w:sz w:val="24"/>
        </w:rPr>
        <w:t>技术规范</w:t>
      </w:r>
      <w:bookmarkEnd w:id="122"/>
      <w:bookmarkEnd w:id="123"/>
      <w:bookmarkEnd w:id="124"/>
      <w:bookmarkEnd w:id="125"/>
      <w:bookmarkEnd w:id="126"/>
      <w:bookmarkEnd w:id="127"/>
    </w:p>
    <w:p>
      <w:pPr>
        <w:shd w:val="clear"/>
        <w:spacing w:line="56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货物所应遵守的技术规范应与采购文件规定的技术规范和技术规范附件</w:t>
      </w:r>
      <w:r>
        <w:rPr>
          <w:rFonts w:asciiTheme="majorEastAsia" w:hAnsiTheme="majorEastAsia" w:eastAsiaTheme="majorEastAsia"/>
          <w:color w:val="auto"/>
          <w:sz w:val="24"/>
        </w:rPr>
        <w:t>(如果有的话)及其技术规范偏差表(如果被甲方接受的话)相一致；如果采购文件中没有技术规范的相应说明，那么应以国家有关部门最新颁布的相应标准和规范为准。</w:t>
      </w:r>
    </w:p>
    <w:p>
      <w:pPr>
        <w:shd w:val="clear"/>
        <w:spacing w:line="560" w:lineRule="exact"/>
        <w:ind w:firstLine="482" w:firstLineChars="200"/>
        <w:outlineLvl w:val="0"/>
        <w:rPr>
          <w:rFonts w:asciiTheme="majorEastAsia" w:hAnsiTheme="majorEastAsia" w:eastAsiaTheme="majorEastAsia"/>
          <w:b/>
          <w:color w:val="auto"/>
          <w:sz w:val="24"/>
        </w:rPr>
      </w:pPr>
      <w:bookmarkStart w:id="128" w:name="_Toc9829"/>
      <w:bookmarkStart w:id="129" w:name="_Toc259093671"/>
      <w:bookmarkStart w:id="130" w:name="_Toc31634"/>
      <w:bookmarkStart w:id="131" w:name="_Toc487900351"/>
      <w:bookmarkStart w:id="132" w:name="_Toc27853"/>
      <w:bookmarkStart w:id="133" w:name="_Toc279701242"/>
      <w:r>
        <w:rPr>
          <w:rFonts w:asciiTheme="majorEastAsia" w:hAnsiTheme="majorEastAsia" w:eastAsiaTheme="majorEastAsia"/>
          <w:b/>
          <w:color w:val="auto"/>
          <w:sz w:val="24"/>
        </w:rPr>
        <w:t xml:space="preserve">2.3 </w:t>
      </w:r>
      <w:r>
        <w:rPr>
          <w:rFonts w:hint="eastAsia" w:asciiTheme="majorEastAsia" w:hAnsiTheme="majorEastAsia" w:eastAsiaTheme="majorEastAsia"/>
          <w:b/>
          <w:color w:val="auto"/>
          <w:sz w:val="24"/>
        </w:rPr>
        <w:t>知识产权</w:t>
      </w:r>
      <w:bookmarkEnd w:id="128"/>
      <w:bookmarkEnd w:id="129"/>
      <w:bookmarkEnd w:id="130"/>
      <w:bookmarkEnd w:id="131"/>
      <w:bookmarkEnd w:id="132"/>
      <w:bookmarkEnd w:id="133"/>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2.3.1 </w:t>
      </w:r>
      <w:r>
        <w:rPr>
          <w:rFonts w:hint="eastAsia" w:asciiTheme="majorEastAsia" w:hAnsiTheme="majorEastAsia" w:eastAsiaTheme="majorEastAsia"/>
          <w:color w:val="auto"/>
          <w:sz w:val="24"/>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2.3.2具有知识产权的计算机软件等货物的知识产权归属，详见</w:t>
      </w:r>
      <w:r>
        <w:rPr>
          <w:rFonts w:hint="eastAsia" w:asciiTheme="majorEastAsia" w:hAnsiTheme="majorEastAsia" w:eastAsiaTheme="majorEastAsia"/>
          <w:b/>
          <w:i/>
          <w:color w:val="auto"/>
          <w:sz w:val="24"/>
          <w:u w:val="single"/>
        </w:rPr>
        <w:t>合同专用条款</w:t>
      </w:r>
      <w:r>
        <w:rPr>
          <w:rFonts w:hint="eastAsia" w:asciiTheme="majorEastAsia" w:hAnsiTheme="majorEastAsia" w:eastAsiaTheme="majorEastAsia"/>
          <w:color w:val="auto"/>
          <w:sz w:val="24"/>
        </w:rPr>
        <w:t>。</w:t>
      </w:r>
    </w:p>
    <w:p>
      <w:pPr>
        <w:shd w:val="clear"/>
        <w:spacing w:line="560" w:lineRule="exact"/>
        <w:ind w:firstLine="482" w:firstLineChars="200"/>
        <w:outlineLvl w:val="0"/>
        <w:rPr>
          <w:rFonts w:asciiTheme="majorEastAsia" w:hAnsiTheme="majorEastAsia" w:eastAsiaTheme="majorEastAsia"/>
          <w:b/>
          <w:color w:val="auto"/>
          <w:sz w:val="24"/>
        </w:rPr>
      </w:pPr>
      <w:bookmarkStart w:id="134" w:name="_Toc29149"/>
      <w:bookmarkStart w:id="135" w:name="_Toc4194"/>
      <w:bookmarkStart w:id="136" w:name="_Toc11932"/>
      <w:r>
        <w:rPr>
          <w:rFonts w:asciiTheme="majorEastAsia" w:hAnsiTheme="majorEastAsia" w:eastAsiaTheme="majorEastAsia"/>
          <w:b/>
          <w:color w:val="auto"/>
          <w:sz w:val="24"/>
        </w:rPr>
        <w:t xml:space="preserve">2.4 </w:t>
      </w:r>
      <w:r>
        <w:rPr>
          <w:rFonts w:hint="eastAsia" w:asciiTheme="majorEastAsia" w:hAnsiTheme="majorEastAsia" w:eastAsiaTheme="majorEastAsia"/>
          <w:b/>
          <w:color w:val="auto"/>
          <w:sz w:val="24"/>
        </w:rPr>
        <w:t>包装和装运</w:t>
      </w:r>
      <w:bookmarkEnd w:id="134"/>
      <w:bookmarkEnd w:id="135"/>
      <w:bookmarkEnd w:id="136"/>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2.4.1除</w:t>
      </w:r>
      <w:r>
        <w:rPr>
          <w:rFonts w:hint="eastAsia" w:asciiTheme="majorEastAsia" w:hAnsiTheme="majorEastAsia" w:eastAsiaTheme="majorEastAsia"/>
          <w:b/>
          <w:i/>
          <w:color w:val="auto"/>
          <w:sz w:val="24"/>
          <w:u w:val="single"/>
        </w:rPr>
        <w:t>合同专用条款</w:t>
      </w:r>
      <w:r>
        <w:rPr>
          <w:rFonts w:hint="eastAsia" w:asciiTheme="majorEastAsia" w:hAnsiTheme="majorEastAsia" w:eastAsiaTheme="majorEastAsia"/>
          <w:color w:val="auto"/>
          <w:sz w:val="24"/>
        </w:rPr>
        <w:t>另有约定外</w:t>
      </w:r>
      <w:r>
        <w:rPr>
          <w:rFonts w:asciiTheme="majorEastAsia" w:hAnsiTheme="majorEastAsia" w:eastAsiaTheme="majorEastAsia"/>
          <w:color w:val="auto"/>
          <w:sz w:val="24"/>
        </w:rPr>
        <w:t>,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2.4.2 </w:t>
      </w:r>
      <w:r>
        <w:rPr>
          <w:rFonts w:hint="eastAsia" w:asciiTheme="majorEastAsia" w:hAnsiTheme="majorEastAsia" w:eastAsiaTheme="majorEastAsia"/>
          <w:color w:val="auto"/>
          <w:sz w:val="24"/>
        </w:rPr>
        <w:t>装运货物的要求和通知，详见</w:t>
      </w:r>
      <w:r>
        <w:rPr>
          <w:rFonts w:hint="eastAsia" w:asciiTheme="majorEastAsia" w:hAnsiTheme="majorEastAsia" w:eastAsiaTheme="majorEastAsia"/>
          <w:b/>
          <w:i/>
          <w:color w:val="auto"/>
          <w:sz w:val="24"/>
          <w:u w:val="single"/>
        </w:rPr>
        <w:t>合同专用条款</w:t>
      </w:r>
      <w:r>
        <w:rPr>
          <w:rFonts w:hint="eastAsia" w:asciiTheme="majorEastAsia" w:hAnsiTheme="majorEastAsia" w:eastAsiaTheme="majorEastAsia"/>
          <w:color w:val="auto"/>
          <w:sz w:val="24"/>
        </w:rPr>
        <w:t>。</w:t>
      </w:r>
    </w:p>
    <w:p>
      <w:pPr>
        <w:shd w:val="clear"/>
        <w:spacing w:line="560" w:lineRule="exact"/>
        <w:ind w:firstLine="482" w:firstLineChars="200"/>
        <w:outlineLvl w:val="0"/>
        <w:rPr>
          <w:rFonts w:asciiTheme="majorEastAsia" w:hAnsiTheme="majorEastAsia" w:eastAsiaTheme="majorEastAsia"/>
          <w:b/>
          <w:color w:val="auto"/>
          <w:sz w:val="24"/>
        </w:rPr>
      </w:pPr>
      <w:bookmarkStart w:id="137" w:name="_Toc279701245"/>
      <w:bookmarkStart w:id="138" w:name="_Ref467379542"/>
      <w:bookmarkStart w:id="139" w:name="_Ref467379536"/>
      <w:bookmarkStart w:id="140" w:name="_Toc259093674"/>
      <w:bookmarkStart w:id="141" w:name="_Toc487900354"/>
      <w:bookmarkStart w:id="142" w:name="_Ref467379527"/>
      <w:bookmarkStart w:id="143" w:name="_Ref467378591"/>
      <w:bookmarkStart w:id="144" w:name="_Ref467378541"/>
      <w:bookmarkStart w:id="145" w:name="_Toc19074"/>
      <w:bookmarkStart w:id="146" w:name="_Toc26182"/>
      <w:bookmarkStart w:id="147" w:name="_Toc30272"/>
      <w:r>
        <w:rPr>
          <w:rFonts w:asciiTheme="majorEastAsia" w:hAnsiTheme="majorEastAsia" w:eastAsiaTheme="majorEastAsia"/>
          <w:b/>
          <w:color w:val="auto"/>
          <w:sz w:val="24"/>
        </w:rPr>
        <w:t>2.</w:t>
      </w:r>
      <w:bookmarkEnd w:id="137"/>
      <w:bookmarkEnd w:id="138"/>
      <w:bookmarkEnd w:id="139"/>
      <w:bookmarkEnd w:id="140"/>
      <w:bookmarkEnd w:id="141"/>
      <w:bookmarkEnd w:id="142"/>
      <w:bookmarkEnd w:id="143"/>
      <w:bookmarkEnd w:id="144"/>
      <w:r>
        <w:rPr>
          <w:rFonts w:asciiTheme="majorEastAsia" w:hAnsiTheme="majorEastAsia" w:eastAsiaTheme="majorEastAsia"/>
          <w:b/>
          <w:color w:val="auto"/>
          <w:sz w:val="24"/>
        </w:rPr>
        <w:t xml:space="preserve">5 </w:t>
      </w:r>
      <w:r>
        <w:rPr>
          <w:rFonts w:hint="eastAsia" w:asciiTheme="majorEastAsia" w:hAnsiTheme="majorEastAsia" w:eastAsiaTheme="majorEastAsia"/>
          <w:b/>
          <w:color w:val="auto"/>
          <w:sz w:val="24"/>
        </w:rPr>
        <w:t>履约检查和问题反馈</w:t>
      </w:r>
      <w:bookmarkEnd w:id="145"/>
      <w:bookmarkEnd w:id="146"/>
      <w:bookmarkEnd w:id="147"/>
    </w:p>
    <w:p>
      <w:pPr>
        <w:shd w:val="clear"/>
        <w:spacing w:line="560" w:lineRule="exact"/>
        <w:ind w:firstLine="480" w:firstLineChars="200"/>
        <w:rPr>
          <w:rFonts w:asciiTheme="majorEastAsia" w:hAnsiTheme="majorEastAsia" w:eastAsiaTheme="majorEastAsia"/>
          <w:color w:val="auto"/>
          <w:sz w:val="24"/>
        </w:rPr>
      </w:pPr>
      <w:bookmarkStart w:id="148" w:name="_Ref467379657"/>
      <w:r>
        <w:rPr>
          <w:rFonts w:asciiTheme="majorEastAsia" w:hAnsiTheme="majorEastAsia" w:eastAsiaTheme="majorEastAsia"/>
          <w:color w:val="auto"/>
          <w:sz w:val="24"/>
        </w:rPr>
        <w:t>2.5.1</w:t>
      </w:r>
      <w:bookmarkEnd w:id="148"/>
      <w:bookmarkStart w:id="149" w:name="_Toc186431854"/>
      <w:bookmarkStart w:id="150" w:name="_Toc259093676"/>
      <w:bookmarkStart w:id="151" w:name="_Toc487900357"/>
      <w:bookmarkStart w:id="152" w:name="_Ref467379807"/>
      <w:bookmarkStart w:id="153" w:name="_Toc279701247"/>
      <w:bookmarkStart w:id="154" w:name="_Ref467379793"/>
      <w:r>
        <w:rPr>
          <w:rFonts w:hint="eastAsia" w:asciiTheme="majorEastAsia" w:hAnsiTheme="majorEastAsia" w:eastAsiaTheme="majorEastAsia"/>
          <w:color w:val="auto"/>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2.5.2 </w:t>
      </w:r>
      <w:r>
        <w:rPr>
          <w:rFonts w:hint="eastAsia" w:asciiTheme="majorEastAsia" w:hAnsiTheme="majorEastAsia" w:eastAsiaTheme="majorEastAsia"/>
          <w:color w:val="auto"/>
          <w:sz w:val="24"/>
        </w:rPr>
        <w:t>合同履行期间，甲方有权将履行过程中出现的问题反馈给乙方，双方当事人应以书面形式约定需要完善和改进的内容</w:t>
      </w:r>
      <w:bookmarkEnd w:id="149"/>
      <w:bookmarkStart w:id="155" w:name="_Toc186431855"/>
      <w:r>
        <w:rPr>
          <w:rFonts w:hint="eastAsia" w:asciiTheme="majorEastAsia" w:hAnsiTheme="majorEastAsia" w:eastAsiaTheme="majorEastAsia"/>
          <w:color w:val="auto"/>
          <w:sz w:val="24"/>
        </w:rPr>
        <w:t>。</w:t>
      </w:r>
    </w:p>
    <w:bookmarkEnd w:id="150"/>
    <w:bookmarkEnd w:id="151"/>
    <w:bookmarkEnd w:id="152"/>
    <w:bookmarkEnd w:id="153"/>
    <w:bookmarkEnd w:id="154"/>
    <w:bookmarkEnd w:id="155"/>
    <w:p>
      <w:pPr>
        <w:shd w:val="clear"/>
        <w:spacing w:line="560" w:lineRule="exact"/>
        <w:ind w:firstLine="482" w:firstLineChars="200"/>
        <w:outlineLvl w:val="0"/>
        <w:rPr>
          <w:rFonts w:asciiTheme="majorEastAsia" w:hAnsiTheme="majorEastAsia" w:eastAsiaTheme="majorEastAsia"/>
          <w:b/>
          <w:color w:val="auto"/>
          <w:sz w:val="24"/>
        </w:rPr>
      </w:pPr>
      <w:bookmarkStart w:id="156" w:name="_Ref467379863"/>
      <w:bookmarkStart w:id="157" w:name="_Toc487900358"/>
      <w:bookmarkStart w:id="158" w:name="_Ref467379852"/>
      <w:bookmarkStart w:id="159" w:name="_Ref467379923"/>
      <w:bookmarkStart w:id="160" w:name="_Toc259093677"/>
      <w:bookmarkStart w:id="161" w:name="_Toc279701248"/>
      <w:bookmarkStart w:id="162" w:name="_Toc3225"/>
      <w:bookmarkStart w:id="163" w:name="_Toc774"/>
      <w:bookmarkStart w:id="164" w:name="_Toc16110"/>
      <w:r>
        <w:rPr>
          <w:rFonts w:asciiTheme="majorEastAsia" w:hAnsiTheme="majorEastAsia" w:eastAsiaTheme="majorEastAsia"/>
          <w:b/>
          <w:color w:val="auto"/>
          <w:sz w:val="24"/>
        </w:rPr>
        <w:t xml:space="preserve">2.6 </w:t>
      </w:r>
      <w:r>
        <w:rPr>
          <w:rFonts w:hint="eastAsia" w:asciiTheme="majorEastAsia" w:hAnsiTheme="majorEastAsia" w:eastAsiaTheme="majorEastAsia"/>
          <w:b/>
          <w:color w:val="auto"/>
          <w:sz w:val="24"/>
        </w:rPr>
        <w:t>技术资料</w:t>
      </w:r>
      <w:bookmarkEnd w:id="156"/>
      <w:bookmarkEnd w:id="157"/>
      <w:bookmarkEnd w:id="158"/>
      <w:bookmarkEnd w:id="159"/>
      <w:bookmarkEnd w:id="160"/>
      <w:bookmarkEnd w:id="161"/>
      <w:r>
        <w:rPr>
          <w:rFonts w:hint="eastAsia" w:asciiTheme="majorEastAsia" w:hAnsiTheme="majorEastAsia" w:eastAsiaTheme="majorEastAsia"/>
          <w:b/>
          <w:color w:val="auto"/>
          <w:sz w:val="24"/>
        </w:rPr>
        <w:t>和保密义务</w:t>
      </w:r>
      <w:bookmarkEnd w:id="162"/>
      <w:bookmarkEnd w:id="163"/>
      <w:bookmarkEnd w:id="164"/>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2.6.1 </w:t>
      </w:r>
      <w:r>
        <w:rPr>
          <w:rFonts w:hint="eastAsia" w:asciiTheme="majorEastAsia" w:hAnsiTheme="majorEastAsia" w:eastAsiaTheme="majorEastAsia"/>
          <w:color w:val="auto"/>
          <w:sz w:val="24"/>
        </w:rPr>
        <w:t>乙方有权依据合同约定和项目需要，向甲方了解有关情况，调阅有关资料等，甲方应予积极配合；</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2.6.2 </w:t>
      </w:r>
      <w:r>
        <w:rPr>
          <w:rFonts w:hint="eastAsia" w:asciiTheme="majorEastAsia" w:hAnsiTheme="majorEastAsia" w:eastAsiaTheme="majorEastAsia"/>
          <w:color w:val="auto"/>
          <w:sz w:val="24"/>
        </w:rPr>
        <w:t>乙方有义务妥善保管和保护由甲方提供的前款信息和资料等；</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2.6.3 </w:t>
      </w:r>
      <w:r>
        <w:rPr>
          <w:rFonts w:hint="eastAsia" w:asciiTheme="majorEastAsia" w:hAnsiTheme="majorEastAsia" w:eastAsiaTheme="majorEastAsia"/>
          <w:color w:val="auto"/>
          <w:sz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hd w:val="clear"/>
        <w:spacing w:line="560" w:lineRule="exact"/>
        <w:ind w:firstLine="482" w:firstLineChars="200"/>
        <w:outlineLvl w:val="0"/>
        <w:rPr>
          <w:rFonts w:asciiTheme="majorEastAsia" w:hAnsiTheme="majorEastAsia" w:eastAsiaTheme="majorEastAsia"/>
          <w:b/>
          <w:color w:val="auto"/>
          <w:sz w:val="24"/>
        </w:rPr>
      </w:pPr>
      <w:bookmarkStart w:id="165" w:name="_Toc7860"/>
      <w:r>
        <w:rPr>
          <w:rFonts w:asciiTheme="majorEastAsia" w:hAnsiTheme="majorEastAsia" w:eastAsiaTheme="majorEastAsia"/>
          <w:b/>
          <w:color w:val="auto"/>
          <w:sz w:val="24"/>
        </w:rPr>
        <w:t xml:space="preserve">2.7 </w:t>
      </w:r>
      <w:r>
        <w:rPr>
          <w:rFonts w:hint="eastAsia" w:asciiTheme="majorEastAsia" w:hAnsiTheme="majorEastAsia" w:eastAsiaTheme="majorEastAsia"/>
          <w:b/>
          <w:color w:val="auto"/>
          <w:sz w:val="24"/>
        </w:rPr>
        <w:t>质量保证</w:t>
      </w:r>
      <w:bookmarkEnd w:id="165"/>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2.7.1 </w:t>
      </w:r>
      <w:r>
        <w:rPr>
          <w:rFonts w:hint="eastAsia" w:asciiTheme="majorEastAsia" w:hAnsiTheme="majorEastAsia" w:eastAsiaTheme="majorEastAsia"/>
          <w:color w:val="auto"/>
          <w:sz w:val="24"/>
        </w:rPr>
        <w:t>乙方应建立和完善履行合同的内部质量保证体系，并提供相关内部规章制度给甲方，以便甲方进行监督检查；</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2.7.2 </w:t>
      </w:r>
      <w:r>
        <w:rPr>
          <w:rFonts w:hint="eastAsia" w:asciiTheme="majorEastAsia" w:hAnsiTheme="majorEastAsia" w:eastAsiaTheme="majorEastAsia"/>
          <w:color w:val="auto"/>
          <w:sz w:val="24"/>
        </w:rPr>
        <w:t>乙方应保证履行合同的人员数量和素质、软件和硬件设备的配置、场地、环境和设施等满足全面履行合同的要求，并应接受甲方的监督检查。</w:t>
      </w:r>
    </w:p>
    <w:p>
      <w:pPr>
        <w:shd w:val="clear"/>
        <w:spacing w:line="560" w:lineRule="exact"/>
        <w:ind w:firstLine="482" w:firstLineChars="200"/>
        <w:outlineLvl w:val="0"/>
        <w:rPr>
          <w:rFonts w:asciiTheme="majorEastAsia" w:hAnsiTheme="majorEastAsia" w:eastAsiaTheme="majorEastAsia"/>
          <w:b/>
          <w:color w:val="auto"/>
          <w:sz w:val="24"/>
        </w:rPr>
      </w:pPr>
      <w:bookmarkStart w:id="166" w:name="_Toc17244"/>
      <w:bookmarkStart w:id="167" w:name="_Toc259093681"/>
      <w:bookmarkStart w:id="168" w:name="_Toc279701252"/>
      <w:bookmarkStart w:id="169" w:name="_Toc487900362"/>
      <w:r>
        <w:rPr>
          <w:rFonts w:asciiTheme="majorEastAsia" w:hAnsiTheme="majorEastAsia" w:eastAsiaTheme="majorEastAsia"/>
          <w:b/>
          <w:color w:val="auto"/>
          <w:sz w:val="24"/>
        </w:rPr>
        <w:t xml:space="preserve">2.8 </w:t>
      </w:r>
      <w:r>
        <w:rPr>
          <w:rFonts w:hint="eastAsia" w:asciiTheme="majorEastAsia" w:hAnsiTheme="majorEastAsia" w:eastAsiaTheme="majorEastAsia"/>
          <w:b/>
          <w:color w:val="auto"/>
          <w:sz w:val="24"/>
        </w:rPr>
        <w:t>货物的风险负担</w:t>
      </w:r>
      <w:bookmarkEnd w:id="166"/>
    </w:p>
    <w:p>
      <w:pPr>
        <w:shd w:val="clear"/>
        <w:spacing w:line="560" w:lineRule="exact"/>
        <w:ind w:firstLine="480" w:firstLineChars="200"/>
        <w:rPr>
          <w:rFonts w:asciiTheme="majorEastAsia" w:hAnsiTheme="majorEastAsia" w:eastAsiaTheme="majorEastAsia"/>
          <w:b/>
          <w:color w:val="auto"/>
          <w:sz w:val="24"/>
        </w:rPr>
      </w:pPr>
      <w:r>
        <w:rPr>
          <w:rFonts w:hint="eastAsia" w:asciiTheme="majorEastAsia" w:hAnsiTheme="majorEastAsia" w:eastAsiaTheme="majorEastAsia"/>
          <w:color w:val="auto"/>
          <w:sz w:val="24"/>
        </w:rPr>
        <w:t>货物或者在途货物或者交付给第一承运人后的货物毁损、灭失的风险负担详见</w:t>
      </w:r>
      <w:r>
        <w:rPr>
          <w:rFonts w:hint="eastAsia" w:asciiTheme="majorEastAsia" w:hAnsiTheme="majorEastAsia" w:eastAsiaTheme="majorEastAsia"/>
          <w:b/>
          <w:i/>
          <w:color w:val="auto"/>
          <w:sz w:val="24"/>
          <w:u w:val="single"/>
        </w:rPr>
        <w:t>合同专用条款</w:t>
      </w:r>
      <w:r>
        <w:rPr>
          <w:rFonts w:hint="eastAsia" w:asciiTheme="majorEastAsia" w:hAnsiTheme="majorEastAsia" w:eastAsiaTheme="majorEastAsia"/>
          <w:color w:val="auto"/>
          <w:sz w:val="24"/>
        </w:rPr>
        <w:t>。</w:t>
      </w:r>
    </w:p>
    <w:p>
      <w:pPr>
        <w:shd w:val="clear"/>
        <w:spacing w:line="560" w:lineRule="exact"/>
        <w:ind w:firstLine="482" w:firstLineChars="200"/>
        <w:outlineLvl w:val="0"/>
        <w:rPr>
          <w:rFonts w:asciiTheme="majorEastAsia" w:hAnsiTheme="majorEastAsia" w:eastAsiaTheme="majorEastAsia"/>
          <w:b/>
          <w:color w:val="auto"/>
          <w:sz w:val="24"/>
        </w:rPr>
      </w:pPr>
      <w:bookmarkStart w:id="170" w:name="_Toc14055"/>
      <w:r>
        <w:rPr>
          <w:rFonts w:asciiTheme="majorEastAsia" w:hAnsiTheme="majorEastAsia" w:eastAsiaTheme="majorEastAsia"/>
          <w:b/>
          <w:color w:val="auto"/>
          <w:sz w:val="24"/>
        </w:rPr>
        <w:t xml:space="preserve">2.9 </w:t>
      </w:r>
      <w:r>
        <w:rPr>
          <w:rFonts w:hint="eastAsia" w:asciiTheme="majorEastAsia" w:hAnsiTheme="majorEastAsia" w:eastAsiaTheme="majorEastAsia"/>
          <w:b/>
          <w:color w:val="auto"/>
          <w:sz w:val="24"/>
        </w:rPr>
        <w:t>延迟交货</w:t>
      </w:r>
      <w:bookmarkEnd w:id="167"/>
      <w:bookmarkEnd w:id="168"/>
      <w:bookmarkEnd w:id="169"/>
      <w:bookmarkEnd w:id="170"/>
    </w:p>
    <w:p>
      <w:pPr>
        <w:shd w:val="clear"/>
        <w:spacing w:line="56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hd w:val="clear"/>
        <w:spacing w:line="560" w:lineRule="exact"/>
        <w:ind w:firstLine="482" w:firstLineChars="200"/>
        <w:outlineLvl w:val="0"/>
        <w:rPr>
          <w:rFonts w:asciiTheme="majorEastAsia" w:hAnsiTheme="majorEastAsia" w:eastAsiaTheme="majorEastAsia"/>
          <w:b/>
          <w:color w:val="auto"/>
          <w:sz w:val="24"/>
        </w:rPr>
      </w:pPr>
      <w:bookmarkStart w:id="171" w:name="_Toc7502"/>
      <w:bookmarkStart w:id="172" w:name="_Toc259093683"/>
      <w:bookmarkStart w:id="173" w:name="_Toc279701254"/>
      <w:bookmarkStart w:id="174" w:name="_Toc487900364"/>
      <w:bookmarkStart w:id="175" w:name="_Ref467378121"/>
      <w:r>
        <w:rPr>
          <w:rFonts w:asciiTheme="majorEastAsia" w:hAnsiTheme="majorEastAsia" w:eastAsiaTheme="majorEastAsia"/>
          <w:b/>
          <w:color w:val="auto"/>
          <w:sz w:val="24"/>
        </w:rPr>
        <w:t xml:space="preserve">2.10 </w:t>
      </w:r>
      <w:r>
        <w:rPr>
          <w:rFonts w:hint="eastAsia" w:asciiTheme="majorEastAsia" w:hAnsiTheme="majorEastAsia" w:eastAsiaTheme="majorEastAsia"/>
          <w:b/>
          <w:color w:val="auto"/>
          <w:sz w:val="24"/>
        </w:rPr>
        <w:t>合同变更</w:t>
      </w:r>
      <w:bookmarkEnd w:id="171"/>
    </w:p>
    <w:p>
      <w:pPr>
        <w:shd w:val="clear"/>
        <w:spacing w:line="56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合同继续履行将损害国家利益和社会公共利益的，双方当事人应当以书面形式变更合同。有过错的一方应当承担赔偿责任，双方当事人都有过错的，各自承担相应的责任。</w:t>
      </w:r>
      <w:bookmarkStart w:id="176" w:name="_Toc487900369"/>
      <w:bookmarkStart w:id="177" w:name="_Toc279701259"/>
      <w:bookmarkStart w:id="178" w:name="_Toc259093688"/>
    </w:p>
    <w:p>
      <w:pPr>
        <w:shd w:val="clear"/>
        <w:spacing w:line="560" w:lineRule="exact"/>
        <w:ind w:firstLine="482" w:firstLineChars="200"/>
        <w:outlineLvl w:val="0"/>
        <w:rPr>
          <w:rFonts w:asciiTheme="majorEastAsia" w:hAnsiTheme="majorEastAsia" w:eastAsiaTheme="majorEastAsia"/>
          <w:b/>
          <w:color w:val="auto"/>
          <w:sz w:val="24"/>
        </w:rPr>
      </w:pPr>
      <w:bookmarkStart w:id="179" w:name="_Toc15237"/>
      <w:bookmarkStart w:id="180" w:name="_Toc10366"/>
      <w:bookmarkStart w:id="181" w:name="_Toc22955"/>
      <w:r>
        <w:rPr>
          <w:rFonts w:asciiTheme="majorEastAsia" w:hAnsiTheme="majorEastAsia" w:eastAsiaTheme="majorEastAsia"/>
          <w:b/>
          <w:color w:val="auto"/>
          <w:sz w:val="24"/>
        </w:rPr>
        <w:t xml:space="preserve">2.11 </w:t>
      </w:r>
      <w:r>
        <w:rPr>
          <w:rFonts w:hint="eastAsia" w:asciiTheme="majorEastAsia" w:hAnsiTheme="majorEastAsia" w:eastAsiaTheme="majorEastAsia"/>
          <w:b/>
          <w:color w:val="auto"/>
          <w:sz w:val="24"/>
        </w:rPr>
        <w:t>合同转让</w:t>
      </w:r>
      <w:bookmarkEnd w:id="176"/>
      <w:bookmarkEnd w:id="177"/>
      <w:bookmarkEnd w:id="178"/>
      <w:r>
        <w:rPr>
          <w:rFonts w:hint="eastAsia" w:asciiTheme="majorEastAsia" w:hAnsiTheme="majorEastAsia" w:eastAsiaTheme="majorEastAsia"/>
          <w:b/>
          <w:color w:val="auto"/>
          <w:sz w:val="24"/>
        </w:rPr>
        <w:t>和分包</w:t>
      </w:r>
      <w:bookmarkEnd w:id="179"/>
      <w:bookmarkEnd w:id="180"/>
      <w:bookmarkEnd w:id="181"/>
      <w:r>
        <w:rPr>
          <w:rFonts w:hint="eastAsia" w:asciiTheme="majorEastAsia" w:hAnsiTheme="majorEastAsia" w:eastAsiaTheme="majorEastAsia"/>
          <w:b/>
          <w:color w:val="auto"/>
          <w:sz w:val="24"/>
        </w:rPr>
        <w:t>（如有）</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2.11.2乙方采取分包方式履行合同的，甲方可直接向分包供应商支付款项。</w:t>
      </w:r>
    </w:p>
    <w:p>
      <w:pPr>
        <w:shd w:val="clear"/>
        <w:spacing w:line="560" w:lineRule="exact"/>
        <w:ind w:firstLine="482" w:firstLineChars="200"/>
        <w:outlineLvl w:val="0"/>
        <w:rPr>
          <w:rFonts w:asciiTheme="majorEastAsia" w:hAnsiTheme="majorEastAsia" w:eastAsiaTheme="majorEastAsia"/>
          <w:b/>
          <w:color w:val="auto"/>
          <w:sz w:val="24"/>
        </w:rPr>
      </w:pPr>
      <w:bookmarkStart w:id="182" w:name="_Toc14066"/>
      <w:bookmarkStart w:id="183" w:name="_Toc16508"/>
      <w:bookmarkStart w:id="184" w:name="_Toc13566"/>
      <w:r>
        <w:rPr>
          <w:rFonts w:asciiTheme="majorEastAsia" w:hAnsiTheme="majorEastAsia" w:eastAsiaTheme="majorEastAsia"/>
          <w:b/>
          <w:color w:val="auto"/>
          <w:sz w:val="24"/>
        </w:rPr>
        <w:t xml:space="preserve">2.12 </w:t>
      </w:r>
      <w:r>
        <w:rPr>
          <w:rFonts w:hint="eastAsia" w:asciiTheme="majorEastAsia" w:hAnsiTheme="majorEastAsia" w:eastAsiaTheme="majorEastAsia"/>
          <w:b/>
          <w:color w:val="auto"/>
          <w:sz w:val="24"/>
        </w:rPr>
        <w:t>不可抗力</w:t>
      </w:r>
      <w:bookmarkEnd w:id="182"/>
      <w:bookmarkEnd w:id="183"/>
      <w:bookmarkEnd w:id="184"/>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2.12.1如果任何一方遭遇法律规定的不可抗力，致使合同履行受阻时，履行合同的期限应予延长，延长的期限应相当于不可抗力所影响的时间；</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2.12.2 </w:t>
      </w:r>
      <w:r>
        <w:rPr>
          <w:rFonts w:hint="eastAsia" w:asciiTheme="majorEastAsia" w:hAnsiTheme="majorEastAsia" w:eastAsiaTheme="majorEastAsia"/>
          <w:color w:val="auto"/>
          <w:sz w:val="24"/>
        </w:rPr>
        <w:t>因不可抗力致使不能实现合同目的的，当事人可以解除合同；</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2.12.3 </w:t>
      </w:r>
      <w:r>
        <w:rPr>
          <w:rFonts w:hint="eastAsia" w:asciiTheme="majorEastAsia" w:hAnsiTheme="majorEastAsia" w:eastAsiaTheme="majorEastAsia"/>
          <w:color w:val="auto"/>
          <w:sz w:val="24"/>
        </w:rPr>
        <w:t>因不可抗力致使合同有变更必要的，双方当事人应在</w:t>
      </w:r>
      <w:r>
        <w:rPr>
          <w:rFonts w:hint="eastAsia" w:asciiTheme="majorEastAsia" w:hAnsiTheme="majorEastAsia" w:eastAsiaTheme="majorEastAsia"/>
          <w:b/>
          <w:i/>
          <w:color w:val="auto"/>
          <w:sz w:val="24"/>
          <w:u w:val="single"/>
        </w:rPr>
        <w:t>合同专用条款</w:t>
      </w:r>
      <w:r>
        <w:rPr>
          <w:rFonts w:hint="eastAsia" w:asciiTheme="majorEastAsia" w:hAnsiTheme="majorEastAsia" w:eastAsiaTheme="majorEastAsia"/>
          <w:color w:val="auto"/>
          <w:sz w:val="24"/>
        </w:rPr>
        <w:t>约定时间内以书面形式变更合同；</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2.12.4受不可抗力影响的一方在不可抗力发生后，应在</w:t>
      </w:r>
      <w:r>
        <w:rPr>
          <w:rFonts w:hint="eastAsia" w:asciiTheme="majorEastAsia" w:hAnsiTheme="majorEastAsia" w:eastAsiaTheme="majorEastAsia"/>
          <w:b/>
          <w:i/>
          <w:color w:val="auto"/>
          <w:sz w:val="24"/>
          <w:u w:val="single"/>
        </w:rPr>
        <w:t>合同专用条款</w:t>
      </w:r>
      <w:r>
        <w:rPr>
          <w:rFonts w:hint="eastAsia" w:asciiTheme="majorEastAsia" w:hAnsiTheme="majorEastAsia" w:eastAsiaTheme="majorEastAsia"/>
          <w:color w:val="auto"/>
          <w:sz w:val="24"/>
        </w:rPr>
        <w:t>约定时间内以书面形式通知对方当事人，并在</w:t>
      </w:r>
      <w:r>
        <w:rPr>
          <w:rFonts w:hint="eastAsia" w:asciiTheme="majorEastAsia" w:hAnsiTheme="majorEastAsia" w:eastAsiaTheme="majorEastAsia"/>
          <w:b/>
          <w:i/>
          <w:color w:val="auto"/>
          <w:sz w:val="24"/>
          <w:u w:val="single"/>
        </w:rPr>
        <w:t>合同专用条款</w:t>
      </w:r>
      <w:r>
        <w:rPr>
          <w:rFonts w:hint="eastAsia" w:asciiTheme="majorEastAsia" w:hAnsiTheme="majorEastAsia" w:eastAsiaTheme="majorEastAsia"/>
          <w:color w:val="auto"/>
          <w:sz w:val="24"/>
        </w:rPr>
        <w:t>约定时间内，将有关部门出具的证明文件送达对方当事人。</w:t>
      </w:r>
    </w:p>
    <w:p>
      <w:pPr>
        <w:shd w:val="clear"/>
        <w:spacing w:line="560" w:lineRule="exact"/>
        <w:ind w:firstLine="482" w:firstLineChars="200"/>
        <w:outlineLvl w:val="0"/>
        <w:rPr>
          <w:rFonts w:asciiTheme="majorEastAsia" w:hAnsiTheme="majorEastAsia" w:eastAsiaTheme="majorEastAsia"/>
          <w:b/>
          <w:color w:val="auto"/>
          <w:sz w:val="24"/>
        </w:rPr>
      </w:pPr>
      <w:bookmarkStart w:id="185" w:name="_Toc259093684"/>
      <w:bookmarkStart w:id="186" w:name="_Toc689"/>
      <w:bookmarkStart w:id="187" w:name="_Toc279701255"/>
      <w:bookmarkStart w:id="188" w:name="_Toc6969"/>
      <w:bookmarkStart w:id="189" w:name="_Toc487900365"/>
      <w:bookmarkStart w:id="190" w:name="_Toc30676"/>
      <w:r>
        <w:rPr>
          <w:rFonts w:asciiTheme="majorEastAsia" w:hAnsiTheme="majorEastAsia" w:eastAsiaTheme="majorEastAsia"/>
          <w:b/>
          <w:color w:val="auto"/>
          <w:sz w:val="24"/>
        </w:rPr>
        <w:t xml:space="preserve">2.13 </w:t>
      </w:r>
      <w:r>
        <w:rPr>
          <w:rFonts w:hint="eastAsia" w:asciiTheme="majorEastAsia" w:hAnsiTheme="majorEastAsia" w:eastAsiaTheme="majorEastAsia"/>
          <w:b/>
          <w:color w:val="auto"/>
          <w:sz w:val="24"/>
        </w:rPr>
        <w:t>税费</w:t>
      </w:r>
      <w:bookmarkEnd w:id="185"/>
      <w:bookmarkEnd w:id="186"/>
      <w:bookmarkEnd w:id="187"/>
      <w:bookmarkEnd w:id="188"/>
      <w:bookmarkEnd w:id="189"/>
      <w:bookmarkEnd w:id="190"/>
    </w:p>
    <w:p>
      <w:pPr>
        <w:shd w:val="clear"/>
        <w:spacing w:line="56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与合同有关的一切税费，均按照中华人民共和国法律的相关规定。</w:t>
      </w:r>
    </w:p>
    <w:p>
      <w:pPr>
        <w:shd w:val="clear"/>
        <w:spacing w:line="560" w:lineRule="exact"/>
        <w:ind w:firstLine="482" w:firstLineChars="200"/>
        <w:outlineLvl w:val="0"/>
        <w:rPr>
          <w:rFonts w:asciiTheme="majorEastAsia" w:hAnsiTheme="majorEastAsia" w:eastAsiaTheme="majorEastAsia"/>
          <w:b/>
          <w:color w:val="auto"/>
          <w:sz w:val="24"/>
        </w:rPr>
      </w:pPr>
      <w:bookmarkStart w:id="191" w:name="_Toc279701258"/>
      <w:bookmarkStart w:id="192" w:name="_Toc487900368"/>
      <w:bookmarkStart w:id="193" w:name="_Toc259093687"/>
      <w:bookmarkStart w:id="194" w:name="_Toc8298"/>
      <w:bookmarkStart w:id="195" w:name="_Toc7102"/>
      <w:bookmarkStart w:id="196" w:name="_Toc16959"/>
      <w:r>
        <w:rPr>
          <w:rFonts w:asciiTheme="majorEastAsia" w:hAnsiTheme="majorEastAsia" w:eastAsiaTheme="majorEastAsia"/>
          <w:b/>
          <w:color w:val="auto"/>
          <w:sz w:val="24"/>
        </w:rPr>
        <w:t>2.14乙方破产</w:t>
      </w:r>
      <w:bookmarkEnd w:id="191"/>
      <w:bookmarkEnd w:id="192"/>
      <w:bookmarkEnd w:id="193"/>
      <w:bookmarkEnd w:id="194"/>
      <w:bookmarkEnd w:id="195"/>
      <w:bookmarkEnd w:id="196"/>
    </w:p>
    <w:p>
      <w:pPr>
        <w:shd w:val="clear"/>
        <w:spacing w:line="56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hd w:val="clear"/>
        <w:spacing w:line="560" w:lineRule="exact"/>
        <w:ind w:firstLine="482" w:firstLineChars="200"/>
        <w:outlineLvl w:val="0"/>
        <w:rPr>
          <w:rFonts w:asciiTheme="majorEastAsia" w:hAnsiTheme="majorEastAsia" w:eastAsiaTheme="majorEastAsia"/>
          <w:b/>
          <w:color w:val="auto"/>
          <w:sz w:val="24"/>
        </w:rPr>
      </w:pPr>
      <w:bookmarkStart w:id="197" w:name="_Toc15387"/>
      <w:bookmarkStart w:id="198" w:name="_Toc6134"/>
      <w:bookmarkStart w:id="199" w:name="_Toc29333"/>
      <w:r>
        <w:rPr>
          <w:rFonts w:asciiTheme="majorEastAsia" w:hAnsiTheme="majorEastAsia" w:eastAsiaTheme="majorEastAsia"/>
          <w:b/>
          <w:color w:val="auto"/>
          <w:sz w:val="24"/>
        </w:rPr>
        <w:t xml:space="preserve">2.15 </w:t>
      </w:r>
      <w:r>
        <w:rPr>
          <w:rFonts w:hint="eastAsia" w:asciiTheme="majorEastAsia" w:hAnsiTheme="majorEastAsia" w:eastAsiaTheme="majorEastAsia"/>
          <w:b/>
          <w:color w:val="auto"/>
          <w:sz w:val="24"/>
        </w:rPr>
        <w:t>合同中止、终止</w:t>
      </w:r>
      <w:bookmarkEnd w:id="197"/>
      <w:bookmarkEnd w:id="198"/>
      <w:bookmarkEnd w:id="199"/>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2.15.1 </w:t>
      </w:r>
      <w:r>
        <w:rPr>
          <w:rFonts w:hint="eastAsia" w:asciiTheme="majorEastAsia" w:hAnsiTheme="majorEastAsia" w:eastAsiaTheme="majorEastAsia"/>
          <w:color w:val="auto"/>
          <w:sz w:val="24"/>
        </w:rPr>
        <w:t>双方当事人不得擅自中止或者终止合同；</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2.15.2合同继续履行将损害国家利益和社会公共利益的，双方当事人应当中止或者终止合同。有过错的一方应当承担赔偿责任，双方当事人都有过错的，各自承担相应的责任。</w:t>
      </w:r>
    </w:p>
    <w:p>
      <w:pPr>
        <w:shd w:val="clear"/>
        <w:spacing w:line="560" w:lineRule="exact"/>
        <w:ind w:firstLine="482" w:firstLineChars="200"/>
        <w:outlineLvl w:val="0"/>
        <w:rPr>
          <w:rFonts w:asciiTheme="majorEastAsia" w:hAnsiTheme="majorEastAsia" w:eastAsiaTheme="majorEastAsia"/>
          <w:b/>
          <w:color w:val="auto"/>
          <w:sz w:val="24"/>
        </w:rPr>
      </w:pPr>
      <w:bookmarkStart w:id="200" w:name="_Toc14563"/>
      <w:bookmarkStart w:id="201" w:name="_Toc1125"/>
      <w:bookmarkStart w:id="202" w:name="_Toc6596"/>
      <w:r>
        <w:rPr>
          <w:rFonts w:asciiTheme="majorEastAsia" w:hAnsiTheme="majorEastAsia" w:eastAsiaTheme="majorEastAsia"/>
          <w:b/>
          <w:color w:val="auto"/>
          <w:sz w:val="24"/>
        </w:rPr>
        <w:t>2.16检验和验收</w:t>
      </w:r>
      <w:bookmarkEnd w:id="200"/>
      <w:bookmarkEnd w:id="201"/>
      <w:bookmarkEnd w:id="202"/>
    </w:p>
    <w:p>
      <w:pPr>
        <w:shd w:val="clear"/>
        <w:tabs>
          <w:tab w:val="left" w:pos="360"/>
          <w:tab w:val="left" w:pos="540"/>
          <w:tab w:val="left" w:pos="1080"/>
        </w:tabs>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2.16.1货物交付前，乙方应对货物的质量、数量等方面进行详细、全面的检验，并向甲方出具证明货物符合合同约定的文件；货物交付时，乙方在</w:t>
      </w:r>
      <w:r>
        <w:rPr>
          <w:rFonts w:hint="eastAsia" w:asciiTheme="majorEastAsia" w:hAnsiTheme="majorEastAsia" w:eastAsiaTheme="majorEastAsia"/>
          <w:b/>
          <w:i/>
          <w:color w:val="auto"/>
          <w:sz w:val="24"/>
          <w:u w:val="single"/>
        </w:rPr>
        <w:t>合同专用条款</w:t>
      </w:r>
      <w:r>
        <w:rPr>
          <w:rFonts w:hint="eastAsia" w:asciiTheme="majorEastAsia" w:hAnsiTheme="majorEastAsia" w:eastAsiaTheme="majorEastAsia"/>
          <w:color w:val="auto"/>
          <w:sz w:val="24"/>
        </w:rPr>
        <w:t>约定时间内组织验收，并可依法邀请相关方参加，验收应出具验收书。</w:t>
      </w:r>
    </w:p>
    <w:p>
      <w:pPr>
        <w:shd w:val="clear"/>
        <w:tabs>
          <w:tab w:val="left" w:pos="360"/>
          <w:tab w:val="left" w:pos="540"/>
          <w:tab w:val="left" w:pos="1080"/>
        </w:tabs>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hd w:val="clear"/>
        <w:tabs>
          <w:tab w:val="left" w:pos="360"/>
          <w:tab w:val="left" w:pos="540"/>
          <w:tab w:val="left" w:pos="1080"/>
        </w:tabs>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2.16.3 </w:t>
      </w:r>
      <w:r>
        <w:rPr>
          <w:rFonts w:hint="eastAsia" w:asciiTheme="majorEastAsia" w:hAnsiTheme="majorEastAsia" w:eastAsiaTheme="majorEastAsia"/>
          <w:color w:val="auto"/>
          <w:sz w:val="24"/>
        </w:rPr>
        <w:t>检验和验收标准、程序等具体内容以及前述验收书的效力详见</w:t>
      </w:r>
      <w:r>
        <w:rPr>
          <w:rFonts w:hint="eastAsia" w:asciiTheme="majorEastAsia" w:hAnsiTheme="majorEastAsia" w:eastAsiaTheme="majorEastAsia"/>
          <w:b/>
          <w:i/>
          <w:color w:val="auto"/>
          <w:sz w:val="24"/>
          <w:u w:val="single"/>
        </w:rPr>
        <w:t>合同专用条款</w:t>
      </w:r>
      <w:r>
        <w:rPr>
          <w:rFonts w:hint="eastAsia" w:asciiTheme="majorEastAsia" w:hAnsiTheme="majorEastAsia" w:eastAsiaTheme="majorEastAsia"/>
          <w:i/>
          <w:color w:val="auto"/>
          <w:sz w:val="24"/>
        </w:rPr>
        <w:t>。</w:t>
      </w:r>
    </w:p>
    <w:bookmarkEnd w:id="172"/>
    <w:bookmarkEnd w:id="173"/>
    <w:bookmarkEnd w:id="174"/>
    <w:bookmarkEnd w:id="175"/>
    <w:p>
      <w:pPr>
        <w:shd w:val="clear"/>
        <w:spacing w:line="560" w:lineRule="exact"/>
        <w:ind w:firstLine="482" w:firstLineChars="200"/>
        <w:outlineLvl w:val="0"/>
        <w:rPr>
          <w:rFonts w:asciiTheme="majorEastAsia" w:hAnsiTheme="majorEastAsia" w:eastAsiaTheme="majorEastAsia"/>
          <w:b/>
          <w:color w:val="auto"/>
          <w:sz w:val="24"/>
        </w:rPr>
      </w:pPr>
      <w:bookmarkStart w:id="203" w:name="_Toc279701261"/>
      <w:bookmarkStart w:id="204" w:name="_Toc259093690"/>
      <w:bookmarkStart w:id="205" w:name="_Toc487900371"/>
      <w:bookmarkStart w:id="206" w:name="_Toc25182"/>
      <w:bookmarkStart w:id="207" w:name="_Toc11284"/>
      <w:bookmarkStart w:id="208" w:name="_Toc19604"/>
      <w:r>
        <w:rPr>
          <w:rFonts w:asciiTheme="majorEastAsia" w:hAnsiTheme="majorEastAsia" w:eastAsiaTheme="majorEastAsia"/>
          <w:b/>
          <w:color w:val="auto"/>
          <w:sz w:val="24"/>
        </w:rPr>
        <w:t xml:space="preserve">2.17 </w:t>
      </w:r>
      <w:r>
        <w:rPr>
          <w:rFonts w:hint="eastAsia" w:asciiTheme="majorEastAsia" w:hAnsiTheme="majorEastAsia" w:eastAsiaTheme="majorEastAsia"/>
          <w:b/>
          <w:color w:val="auto"/>
          <w:sz w:val="24"/>
        </w:rPr>
        <w:t>通知</w:t>
      </w:r>
      <w:bookmarkEnd w:id="203"/>
      <w:bookmarkEnd w:id="204"/>
      <w:bookmarkEnd w:id="205"/>
      <w:r>
        <w:rPr>
          <w:rFonts w:hint="eastAsia" w:asciiTheme="majorEastAsia" w:hAnsiTheme="majorEastAsia" w:eastAsiaTheme="majorEastAsia"/>
          <w:b/>
          <w:color w:val="auto"/>
          <w:sz w:val="24"/>
        </w:rPr>
        <w:t>和送达</w:t>
      </w:r>
      <w:bookmarkEnd w:id="206"/>
      <w:bookmarkEnd w:id="207"/>
      <w:bookmarkEnd w:id="208"/>
    </w:p>
    <w:p>
      <w:pPr>
        <w:shd w:val="clear"/>
        <w:spacing w:line="560" w:lineRule="exact"/>
        <w:ind w:firstLine="480" w:firstLineChars="200"/>
        <w:rPr>
          <w:rFonts w:asciiTheme="majorEastAsia" w:hAnsiTheme="majorEastAsia" w:eastAsiaTheme="majorEastAsia"/>
          <w:color w:val="auto"/>
          <w:sz w:val="24"/>
        </w:rPr>
      </w:pPr>
      <w:bookmarkStart w:id="209" w:name="_Toc3135"/>
      <w:bookmarkStart w:id="210" w:name="_Toc6698"/>
      <w:bookmarkStart w:id="211" w:name="_Toc279701262"/>
      <w:bookmarkStart w:id="212" w:name="_Toc259093691"/>
      <w:bookmarkStart w:id="213" w:name="_Toc487900372"/>
      <w:r>
        <w:rPr>
          <w:rFonts w:asciiTheme="majorEastAsia" w:hAnsiTheme="majorEastAsia" w:eastAsiaTheme="majorEastAsia"/>
          <w:color w:val="auto"/>
          <w:sz w:val="24"/>
        </w:rPr>
        <w:t>2.17.1</w:t>
      </w:r>
      <w:r>
        <w:rPr>
          <w:rFonts w:hint="eastAsia" w:asciiTheme="majorEastAsia" w:hAnsiTheme="majorEastAsia" w:eastAsiaTheme="majorEastAsia"/>
          <w:color w:val="auto"/>
          <w:sz w:val="24"/>
        </w:rPr>
        <w:t>任何一方因履行合同而以合同第一部分尾部所列明的传真或电子邮件发出的所有通知、文件、材料，均视为已向对方当事人送达；任何一方变更上述送达方式或者地址的，应于个工作日内书面通知对方当事人，在对方当事人收到有关变更通知之前，变更前的约定送达方式或者地址仍视为有效。</w:t>
      </w:r>
      <w:bookmarkEnd w:id="209"/>
      <w:bookmarkEnd w:id="210"/>
    </w:p>
    <w:p>
      <w:pPr>
        <w:shd w:val="clear"/>
        <w:spacing w:line="560" w:lineRule="exact"/>
        <w:ind w:firstLine="480" w:firstLineChars="200"/>
        <w:rPr>
          <w:rFonts w:asciiTheme="majorEastAsia" w:hAnsiTheme="majorEastAsia" w:eastAsiaTheme="majorEastAsia"/>
          <w:color w:val="auto"/>
          <w:sz w:val="24"/>
        </w:rPr>
      </w:pPr>
      <w:bookmarkStart w:id="214" w:name="_Toc23128"/>
      <w:bookmarkStart w:id="215" w:name="_Toc23294"/>
      <w:r>
        <w:rPr>
          <w:rFonts w:asciiTheme="majorEastAsia" w:hAnsiTheme="majorEastAsia" w:eastAsiaTheme="majorEastAsia"/>
          <w:color w:val="auto"/>
          <w:sz w:val="24"/>
        </w:rPr>
        <w:t>2.17.2以当面交付方式送达的，交付之时视为送达；以电子邮件方式送达的，发出电子邮件之时视为送达；以传真方式送达的，发出传真之时视为送达；以邮寄方式送达</w:t>
      </w:r>
      <w:r>
        <w:rPr>
          <w:rFonts w:hint="eastAsia" w:asciiTheme="majorEastAsia" w:hAnsiTheme="majorEastAsia" w:eastAsiaTheme="majorEastAsia"/>
          <w:color w:val="auto"/>
          <w:sz w:val="24"/>
        </w:rPr>
        <w:t>的，邮件挂号寄出或者交邮之日之次日视为送达。</w:t>
      </w:r>
      <w:bookmarkEnd w:id="214"/>
      <w:bookmarkEnd w:id="215"/>
    </w:p>
    <w:p>
      <w:pPr>
        <w:shd w:val="clear"/>
        <w:spacing w:line="560" w:lineRule="exact"/>
        <w:ind w:firstLine="482" w:firstLineChars="200"/>
        <w:outlineLvl w:val="0"/>
        <w:rPr>
          <w:rFonts w:asciiTheme="majorEastAsia" w:hAnsiTheme="majorEastAsia" w:eastAsiaTheme="majorEastAsia"/>
          <w:b/>
          <w:color w:val="auto"/>
          <w:sz w:val="24"/>
        </w:rPr>
      </w:pPr>
      <w:bookmarkStart w:id="216" w:name="_Toc18540"/>
      <w:bookmarkStart w:id="217" w:name="_Toc30599"/>
      <w:bookmarkStart w:id="218" w:name="_Toc4355"/>
      <w:r>
        <w:rPr>
          <w:rFonts w:asciiTheme="majorEastAsia" w:hAnsiTheme="majorEastAsia" w:eastAsiaTheme="majorEastAsia"/>
          <w:b/>
          <w:color w:val="auto"/>
          <w:sz w:val="24"/>
        </w:rPr>
        <w:t xml:space="preserve">2.18 </w:t>
      </w:r>
      <w:r>
        <w:rPr>
          <w:rFonts w:hint="eastAsia" w:asciiTheme="majorEastAsia" w:hAnsiTheme="majorEastAsia" w:eastAsiaTheme="majorEastAsia"/>
          <w:b/>
          <w:color w:val="auto"/>
          <w:sz w:val="24"/>
        </w:rPr>
        <w:t>计量单位</w:t>
      </w:r>
      <w:bookmarkEnd w:id="211"/>
      <w:bookmarkEnd w:id="212"/>
      <w:bookmarkEnd w:id="213"/>
      <w:bookmarkEnd w:id="216"/>
      <w:bookmarkEnd w:id="217"/>
      <w:bookmarkEnd w:id="218"/>
    </w:p>
    <w:p>
      <w:pPr>
        <w:shd w:val="clear"/>
        <w:spacing w:line="56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除技术规范中另有规定外</w:t>
      </w:r>
      <w:r>
        <w:rPr>
          <w:rFonts w:asciiTheme="majorEastAsia" w:hAnsiTheme="majorEastAsia" w:eastAsiaTheme="majorEastAsia"/>
          <w:color w:val="auto"/>
          <w:sz w:val="24"/>
        </w:rPr>
        <w:t>,合同的计量单位均使用国家法定计量单位。</w:t>
      </w:r>
    </w:p>
    <w:p>
      <w:pPr>
        <w:shd w:val="clear"/>
        <w:spacing w:line="560" w:lineRule="exact"/>
        <w:ind w:firstLine="482" w:firstLineChars="200"/>
        <w:outlineLvl w:val="0"/>
        <w:rPr>
          <w:rFonts w:asciiTheme="majorEastAsia" w:hAnsiTheme="majorEastAsia" w:eastAsiaTheme="majorEastAsia"/>
          <w:b/>
          <w:color w:val="auto"/>
          <w:sz w:val="24"/>
        </w:rPr>
      </w:pPr>
      <w:bookmarkStart w:id="219" w:name="_Toc18567"/>
      <w:bookmarkStart w:id="220" w:name="_Toc279701263"/>
      <w:bookmarkStart w:id="221" w:name="_Toc259093692"/>
      <w:bookmarkStart w:id="222" w:name="_Toc487900373"/>
      <w:bookmarkStart w:id="223" w:name="_Toc12773"/>
      <w:bookmarkStart w:id="224" w:name="_Toc10330"/>
      <w:r>
        <w:rPr>
          <w:rFonts w:asciiTheme="majorEastAsia" w:hAnsiTheme="majorEastAsia" w:eastAsiaTheme="majorEastAsia"/>
          <w:b/>
          <w:color w:val="auto"/>
          <w:sz w:val="24"/>
        </w:rPr>
        <w:t xml:space="preserve">2.19 </w:t>
      </w:r>
      <w:r>
        <w:rPr>
          <w:rFonts w:hint="eastAsia" w:asciiTheme="majorEastAsia" w:hAnsiTheme="majorEastAsia" w:eastAsiaTheme="majorEastAsia"/>
          <w:b/>
          <w:color w:val="auto"/>
          <w:sz w:val="24"/>
        </w:rPr>
        <w:t>合同使用的文字和适用的法律</w:t>
      </w:r>
      <w:bookmarkEnd w:id="219"/>
      <w:bookmarkEnd w:id="220"/>
      <w:bookmarkEnd w:id="221"/>
      <w:bookmarkEnd w:id="222"/>
      <w:bookmarkEnd w:id="223"/>
      <w:bookmarkEnd w:id="224"/>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2.19.1 </w:t>
      </w:r>
      <w:r>
        <w:rPr>
          <w:rFonts w:hint="eastAsia" w:asciiTheme="majorEastAsia" w:hAnsiTheme="majorEastAsia" w:eastAsiaTheme="majorEastAsia"/>
          <w:color w:val="auto"/>
          <w:sz w:val="24"/>
        </w:rPr>
        <w:t>合同使用汉语书就、变更和解释；</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2.19.2 </w:t>
      </w:r>
      <w:r>
        <w:rPr>
          <w:rFonts w:hint="eastAsia" w:asciiTheme="majorEastAsia" w:hAnsiTheme="majorEastAsia" w:eastAsiaTheme="majorEastAsia"/>
          <w:color w:val="auto"/>
          <w:sz w:val="24"/>
        </w:rPr>
        <w:t>合同适用中华人民共和国法律。</w:t>
      </w:r>
      <w:bookmarkStart w:id="225" w:name="_Toc259093693"/>
      <w:bookmarkStart w:id="226" w:name="_Toc3148"/>
      <w:bookmarkStart w:id="227" w:name="_Toc12004"/>
      <w:bookmarkStart w:id="228" w:name="_Toc279701264"/>
      <w:bookmarkStart w:id="229" w:name="_Toc16673"/>
      <w:bookmarkStart w:id="230" w:name="_Toc487900374"/>
    </w:p>
    <w:p>
      <w:pPr>
        <w:shd w:val="clear"/>
        <w:spacing w:line="520" w:lineRule="exact"/>
        <w:rPr>
          <w:rFonts w:asciiTheme="majorEastAsia" w:hAnsiTheme="majorEastAsia" w:eastAsiaTheme="majorEastAsia"/>
          <w:b/>
          <w:color w:val="auto"/>
          <w:sz w:val="24"/>
        </w:rPr>
      </w:pPr>
      <w:r>
        <w:rPr>
          <w:rFonts w:asciiTheme="majorEastAsia" w:hAnsiTheme="majorEastAsia" w:eastAsiaTheme="majorEastAsia"/>
          <w:b/>
          <w:color w:val="auto"/>
          <w:sz w:val="24"/>
        </w:rPr>
        <w:t xml:space="preserve">2.20 </w:t>
      </w:r>
      <w:r>
        <w:rPr>
          <w:rFonts w:hint="eastAsia" w:asciiTheme="majorEastAsia" w:hAnsiTheme="majorEastAsia" w:eastAsiaTheme="majorEastAsia"/>
          <w:b/>
          <w:color w:val="auto"/>
          <w:sz w:val="24"/>
        </w:rPr>
        <w:t>履约保证金</w:t>
      </w:r>
      <w:bookmarkEnd w:id="225"/>
      <w:bookmarkEnd w:id="226"/>
      <w:bookmarkEnd w:id="227"/>
      <w:bookmarkEnd w:id="228"/>
      <w:bookmarkEnd w:id="229"/>
    </w:p>
    <w:p>
      <w:pPr>
        <w:pStyle w:val="290"/>
        <w:shd w:val="clear"/>
        <w:spacing w:before="0" w:beforeAutospacing="0" w:after="0" w:afterAutospacing="0" w:line="360" w:lineRule="auto"/>
        <w:ind w:firstLine="420"/>
        <w:rPr>
          <w:rFonts w:asciiTheme="majorEastAsia" w:hAnsiTheme="majorEastAsia" w:eastAsiaTheme="majorEastAsia"/>
          <w:color w:val="auto"/>
        </w:rPr>
      </w:pPr>
      <w:r>
        <w:rPr>
          <w:rFonts w:asciiTheme="majorEastAsia" w:hAnsiTheme="majorEastAsia" w:eastAsiaTheme="majorEastAsia"/>
          <w:color w:val="auto"/>
        </w:rPr>
        <w:t xml:space="preserve">2.20.1 </w:t>
      </w:r>
      <w:r>
        <w:rPr>
          <w:rFonts w:hint="eastAsia" w:asciiTheme="majorEastAsia" w:hAnsiTheme="majorEastAsia" w:eastAsiaTheme="majorEastAsia"/>
          <w:color w:val="auto"/>
        </w:rPr>
        <w:t>采购文件要求乙方提交履约保证金的，乙方应按</w:t>
      </w:r>
      <w:r>
        <w:rPr>
          <w:rFonts w:hint="eastAsia" w:asciiTheme="majorEastAsia" w:hAnsiTheme="majorEastAsia" w:eastAsiaTheme="majorEastAsia"/>
          <w:b/>
          <w:i/>
          <w:color w:val="auto"/>
          <w:u w:val="single"/>
        </w:rPr>
        <w:t>合同专用条款</w:t>
      </w:r>
      <w:r>
        <w:rPr>
          <w:rFonts w:hint="eastAsia" w:asciiTheme="majorEastAsia" w:hAnsiTheme="majorEastAsia" w:eastAsiaTheme="majorEastAsia"/>
          <w:color w:val="auto"/>
        </w:rPr>
        <w:t>约定的方式，以支票、汇票、本票或者金融机构、担保机构出具的保函等非现金形式，提交不超过合同金额1</w:t>
      </w:r>
      <w:r>
        <w:rPr>
          <w:rFonts w:asciiTheme="majorEastAsia" w:hAnsiTheme="majorEastAsia" w:eastAsiaTheme="majorEastAsia"/>
          <w:color w:val="auto"/>
        </w:rPr>
        <w:t>%的履约保证金；鼓励和支持乙方以银行、保险公司出具的保函形式提供履约保证。</w:t>
      </w:r>
    </w:p>
    <w:p>
      <w:pPr>
        <w:shd w:val="clear"/>
        <w:spacing w:line="52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2.20.2  </w:t>
      </w:r>
      <w:r>
        <w:rPr>
          <w:rFonts w:hint="eastAsia" w:asciiTheme="majorEastAsia" w:hAnsiTheme="majorEastAsia" w:eastAsiaTheme="majorEastAsia"/>
          <w:color w:val="auto"/>
          <w:sz w:val="24"/>
        </w:rPr>
        <w:t>履约保证金在</w:t>
      </w:r>
      <w:r>
        <w:rPr>
          <w:rFonts w:hint="eastAsia" w:asciiTheme="majorEastAsia" w:hAnsiTheme="majorEastAsia" w:eastAsiaTheme="majorEastAsia"/>
          <w:b/>
          <w:i/>
          <w:color w:val="auto"/>
          <w:sz w:val="24"/>
          <w:u w:val="single"/>
        </w:rPr>
        <w:t>合同专用条款</w:t>
      </w:r>
      <w:r>
        <w:rPr>
          <w:rFonts w:hint="eastAsia" w:asciiTheme="majorEastAsia" w:hAnsiTheme="majorEastAsia" w:eastAsiaTheme="majorEastAsia"/>
          <w:color w:val="auto"/>
          <w:sz w:val="24"/>
        </w:rPr>
        <w:t>约定期间内不予退还。乙方在前述约定期间届满前能履行完合同约定义务事项的，甲方在前述约定期间届满之日起个工作日内，按</w:t>
      </w:r>
      <w:r>
        <w:rPr>
          <w:rFonts w:hint="eastAsia" w:asciiTheme="majorEastAsia" w:hAnsiTheme="majorEastAsia" w:eastAsiaTheme="majorEastAsia"/>
          <w:b/>
          <w:i/>
          <w:color w:val="auto"/>
          <w:sz w:val="24"/>
          <w:u w:val="single"/>
        </w:rPr>
        <w:t>合同专用条款</w:t>
      </w:r>
      <w:r>
        <w:rPr>
          <w:rFonts w:hint="eastAsia" w:asciiTheme="majorEastAsia" w:hAnsiTheme="majorEastAsia" w:eastAsiaTheme="majorEastAsia"/>
          <w:color w:val="auto"/>
          <w:sz w:val="24"/>
        </w:rPr>
        <w:t>约定的方式将履约保证金退还乙方，逾期退还的，乙方可要求甲方支付违约金，违约金按每迟延退还一日的应退还而未退还金额的</w:t>
      </w:r>
      <w:r>
        <w:rPr>
          <w:rFonts w:asciiTheme="majorEastAsia" w:hAnsiTheme="majorEastAsia" w:eastAsiaTheme="majorEastAsia"/>
          <w:color w:val="auto"/>
          <w:sz w:val="24"/>
        </w:rPr>
        <w:t xml:space="preserve">%计算，最高限额为本合同履约保证金的%； </w:t>
      </w:r>
    </w:p>
    <w:p>
      <w:pPr>
        <w:shd w:val="clear"/>
        <w:spacing w:line="52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2.20.3 </w:t>
      </w:r>
      <w:r>
        <w:rPr>
          <w:rFonts w:hint="eastAsia" w:asciiTheme="majorEastAsia" w:hAnsiTheme="majorEastAsia" w:eastAsiaTheme="majorEastAsia"/>
          <w:color w:val="auto"/>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hd w:val="clear"/>
        <w:spacing w:line="560" w:lineRule="exact"/>
        <w:ind w:firstLine="480" w:firstLineChars="200"/>
        <w:rPr>
          <w:rFonts w:asciiTheme="majorEastAsia" w:hAnsiTheme="majorEastAsia" w:eastAsiaTheme="majorEastAsia"/>
          <w:color w:val="auto"/>
        </w:rPr>
      </w:pPr>
      <w:r>
        <w:rPr>
          <w:rFonts w:asciiTheme="majorEastAsia" w:hAnsiTheme="majorEastAsia" w:eastAsiaTheme="majorEastAsia"/>
          <w:color w:val="auto"/>
          <w:sz w:val="24"/>
        </w:rPr>
        <w:t>2.2</w:t>
      </w:r>
      <w:r>
        <w:rPr>
          <w:rFonts w:hint="eastAsia" w:asciiTheme="majorEastAsia" w:hAnsiTheme="majorEastAsia" w:eastAsiaTheme="majorEastAsia"/>
          <w:color w:val="auto"/>
          <w:sz w:val="24"/>
        </w:rPr>
        <w:t>0</w:t>
      </w:r>
      <w:r>
        <w:rPr>
          <w:rFonts w:asciiTheme="majorEastAsia" w:hAnsiTheme="majorEastAsia" w:eastAsiaTheme="majorEastAsia"/>
          <w:color w:val="auto"/>
          <w:sz w:val="24"/>
        </w:rPr>
        <w:t>.4</w:t>
      </w:r>
      <w:r>
        <w:rPr>
          <w:rFonts w:hint="eastAsia" w:asciiTheme="majorEastAsia" w:hAnsiTheme="majorEastAsia" w:eastAsiaTheme="majorEastAsia"/>
          <w:color w:val="auto"/>
          <w:sz w:val="24"/>
        </w:rPr>
        <w:t>甲方</w:t>
      </w:r>
      <w:r>
        <w:rPr>
          <w:rFonts w:asciiTheme="majorEastAsia" w:hAnsiTheme="majorEastAsia" w:eastAsiaTheme="majorEastAsia"/>
          <w:color w:val="auto"/>
          <w:sz w:val="24"/>
        </w:rPr>
        <w:t>在</w:t>
      </w:r>
      <w:r>
        <w:rPr>
          <w:rFonts w:hint="eastAsia" w:asciiTheme="majorEastAsia" w:hAnsiTheme="majorEastAsia" w:eastAsiaTheme="majorEastAsia"/>
          <w:color w:val="auto"/>
          <w:sz w:val="24"/>
        </w:rPr>
        <w:t>乙方</w:t>
      </w:r>
      <w:r>
        <w:rPr>
          <w:rFonts w:asciiTheme="majorEastAsia" w:hAnsiTheme="majorEastAsia" w:eastAsiaTheme="majorEastAsia"/>
          <w:color w:val="auto"/>
          <w:sz w:val="24"/>
        </w:rPr>
        <w:t>履行完合同约定义务事项后及时退还，延迟退还的，应当按照合同约定和法律规定承担相应的赔偿责任。</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2.2</w:t>
      </w:r>
      <w:r>
        <w:rPr>
          <w:rFonts w:hint="eastAsia" w:asciiTheme="majorEastAsia" w:hAnsiTheme="majorEastAsia" w:eastAsiaTheme="majorEastAsia"/>
          <w:color w:val="auto"/>
          <w:sz w:val="24"/>
        </w:rPr>
        <w:t>1</w:t>
      </w:r>
      <w:r>
        <w:rPr>
          <w:rFonts w:asciiTheme="majorEastAsia" w:hAnsiTheme="majorEastAsia" w:eastAsiaTheme="majorEastAsia"/>
          <w:color w:val="auto"/>
          <w:sz w:val="24"/>
        </w:rPr>
        <w:t>对于因甲方原因导致变更、中止或者终止政府采购合同的，甲方应当依照合同约定对供应商受到的损失予以赔偿或者补偿。</w:t>
      </w:r>
    </w:p>
    <w:bookmarkEnd w:id="230"/>
    <w:p>
      <w:pPr>
        <w:shd w:val="clear"/>
        <w:spacing w:line="520" w:lineRule="exact"/>
        <w:ind w:firstLine="482" w:firstLineChars="200"/>
        <w:outlineLvl w:val="0"/>
        <w:rPr>
          <w:rFonts w:asciiTheme="majorEastAsia" w:hAnsiTheme="majorEastAsia" w:eastAsiaTheme="majorEastAsia"/>
          <w:b/>
          <w:color w:val="auto"/>
          <w:sz w:val="24"/>
        </w:rPr>
      </w:pPr>
      <w:bookmarkStart w:id="231" w:name="_Toc6885"/>
      <w:bookmarkStart w:id="232" w:name="_Toc14001"/>
      <w:bookmarkStart w:id="233" w:name="_Toc19890"/>
      <w:r>
        <w:rPr>
          <w:rFonts w:asciiTheme="majorEastAsia" w:hAnsiTheme="majorEastAsia" w:eastAsiaTheme="majorEastAsia"/>
          <w:b/>
          <w:color w:val="auto"/>
          <w:sz w:val="24"/>
        </w:rPr>
        <w:t>2.2</w:t>
      </w:r>
      <w:r>
        <w:rPr>
          <w:rFonts w:hint="eastAsia" w:asciiTheme="majorEastAsia" w:hAnsiTheme="majorEastAsia" w:eastAsiaTheme="majorEastAsia"/>
          <w:b/>
          <w:color w:val="auto"/>
          <w:sz w:val="24"/>
        </w:rPr>
        <w:t>2合同份数</w:t>
      </w:r>
      <w:bookmarkEnd w:id="231"/>
      <w:bookmarkEnd w:id="232"/>
      <w:bookmarkEnd w:id="233"/>
    </w:p>
    <w:p>
      <w:pPr>
        <w:shd w:val="clear"/>
        <w:spacing w:line="56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合同份数按</w:t>
      </w:r>
      <w:r>
        <w:rPr>
          <w:rFonts w:hint="eastAsia" w:asciiTheme="majorEastAsia" w:hAnsiTheme="majorEastAsia" w:eastAsiaTheme="majorEastAsia"/>
          <w:b/>
          <w:i/>
          <w:color w:val="auto"/>
          <w:sz w:val="24"/>
          <w:u w:val="single"/>
        </w:rPr>
        <w:t>合同专用条款</w:t>
      </w:r>
      <w:r>
        <w:rPr>
          <w:rFonts w:hint="eastAsia" w:asciiTheme="majorEastAsia" w:hAnsiTheme="majorEastAsia" w:eastAsiaTheme="majorEastAsia"/>
          <w:color w:val="auto"/>
          <w:sz w:val="24"/>
        </w:rPr>
        <w:t>规定，每份均具有同等法律效力。</w:t>
      </w:r>
    </w:p>
    <w:p>
      <w:pPr>
        <w:shd w:val="clear"/>
        <w:spacing w:line="56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 xml:space="preserve">2.23根据《绍兴市柴油动力移动源排气污染防治办法》第九条、第十三条的规定，乙方在合同实施过程中使用的柴油动力移动源（柴油货车、非道路移动机械）必须符合低排放要求并已向生态环境部门申领绿色编码，在进入作业现场前须如实向甲方登记报备绿色编码，未申领绿色编码的柴油动力移动源不得进入作业现场施工。在作业现场发现有未申领绿色编码的柴油动力移动源或者未如实进行绿色编码报备的，认定乙方违约，按照本合同违约条款承担相应违约责任。 </w:t>
      </w:r>
    </w:p>
    <w:p>
      <w:pPr>
        <w:pStyle w:val="281"/>
        <w:shd w:val="clear"/>
        <w:spacing w:line="560" w:lineRule="exact"/>
        <w:jc w:val="center"/>
        <w:rPr>
          <w:rFonts w:asciiTheme="majorEastAsia" w:hAnsiTheme="majorEastAsia" w:eastAsiaTheme="majorEastAsia"/>
          <w:b/>
          <w:color w:val="auto"/>
        </w:rPr>
      </w:pPr>
      <w:r>
        <w:rPr>
          <w:rFonts w:asciiTheme="majorEastAsia" w:hAnsiTheme="majorEastAsia" w:eastAsiaTheme="majorEastAsia"/>
          <w:color w:val="auto"/>
          <w:kern w:val="0"/>
        </w:rPr>
        <w:br w:type="page"/>
      </w:r>
      <w:bookmarkStart w:id="234" w:name="_Toc331685784"/>
      <w:bookmarkEnd w:id="234"/>
      <w:r>
        <w:rPr>
          <w:rFonts w:hint="eastAsia" w:asciiTheme="majorEastAsia" w:hAnsiTheme="majorEastAsia" w:eastAsiaTheme="majorEastAsia"/>
          <w:b/>
          <w:color w:val="auto"/>
        </w:rPr>
        <w:t>第三部分合同专用条款</w:t>
      </w:r>
    </w:p>
    <w:p>
      <w:pPr>
        <w:shd w:val="clear"/>
        <w:spacing w:line="560" w:lineRule="exact"/>
        <w:ind w:left="-420" w:leftChars="-200" w:right="-420" w:rightChars="-200" w:firstLine="480" w:firstLineChars="200"/>
        <w:rPr>
          <w:rFonts w:asciiTheme="majorEastAsia" w:hAnsiTheme="majorEastAsia" w:eastAsiaTheme="majorEastAsia"/>
          <w:color w:val="auto"/>
        </w:rPr>
      </w:pPr>
      <w:r>
        <w:rPr>
          <w:rFonts w:hint="eastAsia" w:asciiTheme="majorEastAsia" w:hAnsiTheme="majorEastAsia" w:eastAsiaTheme="majorEastAsia"/>
          <w:color w:val="auto"/>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90"/>
        <w:tblW w:w="833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022"/>
        <w:gridCol w:w="73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1022" w:type="dxa"/>
            <w:tcBorders>
              <w:left w:val="single" w:color="auto" w:sz="4" w:space="0"/>
            </w:tcBorders>
            <w:vAlign w:val="center"/>
          </w:tcPr>
          <w:p>
            <w:pPr>
              <w:shd w:val="clear"/>
              <w:spacing w:line="360" w:lineRule="auto"/>
              <w:jc w:val="center"/>
              <w:rPr>
                <w:rFonts w:asciiTheme="majorEastAsia" w:hAnsiTheme="majorEastAsia" w:eastAsiaTheme="majorEastAsia"/>
                <w:b/>
                <w:color w:val="auto"/>
                <w:sz w:val="24"/>
              </w:rPr>
            </w:pPr>
            <w:r>
              <w:rPr>
                <w:rFonts w:hint="eastAsia" w:asciiTheme="majorEastAsia" w:hAnsiTheme="majorEastAsia" w:eastAsiaTheme="majorEastAsia"/>
                <w:b/>
                <w:color w:val="auto"/>
                <w:sz w:val="24"/>
              </w:rPr>
              <w:t>条款号</w:t>
            </w:r>
          </w:p>
        </w:tc>
        <w:tc>
          <w:tcPr>
            <w:tcW w:w="7312" w:type="dxa"/>
            <w:vAlign w:val="center"/>
          </w:tcPr>
          <w:p>
            <w:pPr>
              <w:shd w:val="clear"/>
              <w:spacing w:line="360" w:lineRule="auto"/>
              <w:jc w:val="center"/>
              <w:rPr>
                <w:rFonts w:asciiTheme="majorEastAsia" w:hAnsiTheme="majorEastAsia" w:eastAsiaTheme="majorEastAsia"/>
                <w:b/>
                <w:color w:val="auto"/>
                <w:sz w:val="24"/>
              </w:rPr>
            </w:pPr>
            <w:r>
              <w:rPr>
                <w:rFonts w:hint="eastAsia" w:asciiTheme="majorEastAsia" w:hAnsiTheme="majorEastAsia" w:eastAsiaTheme="majorEastAsia"/>
                <w:b/>
                <w:color w:val="auto"/>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22" w:type="dxa"/>
            <w:tcBorders>
              <w:left w:val="single" w:color="auto" w:sz="4" w:space="0"/>
            </w:tcBorders>
            <w:vAlign w:val="center"/>
          </w:tcPr>
          <w:p>
            <w:pPr>
              <w:shd w:val="clear"/>
              <w:spacing w:line="360" w:lineRule="auto"/>
              <w:jc w:val="center"/>
              <w:rPr>
                <w:rFonts w:asciiTheme="majorEastAsia" w:hAnsiTheme="majorEastAsia" w:eastAsiaTheme="majorEastAsia"/>
                <w:color w:val="auto"/>
                <w:sz w:val="24"/>
              </w:rPr>
            </w:pPr>
            <w:r>
              <w:rPr>
                <w:rFonts w:asciiTheme="majorEastAsia" w:hAnsiTheme="majorEastAsia" w:eastAsiaTheme="majorEastAsia"/>
                <w:color w:val="auto"/>
                <w:sz w:val="24"/>
              </w:rPr>
              <w:t>1.4.4</w:t>
            </w:r>
          </w:p>
        </w:tc>
        <w:tc>
          <w:tcPr>
            <w:tcW w:w="7312" w:type="dxa"/>
            <w:vAlign w:val="center"/>
          </w:tcPr>
          <w:p>
            <w:pPr>
              <w:shd w:val="clear"/>
              <w:spacing w:line="360" w:lineRule="auto"/>
              <w:rPr>
                <w:rFonts w:asciiTheme="majorEastAsia" w:hAnsiTheme="majorEastAsia" w:eastAsiaTheme="majorEastAsia"/>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22" w:type="dxa"/>
            <w:tcBorders>
              <w:left w:val="single" w:color="auto" w:sz="4" w:space="0"/>
            </w:tcBorders>
            <w:vAlign w:val="center"/>
          </w:tcPr>
          <w:p>
            <w:pPr>
              <w:shd w:val="clear"/>
              <w:spacing w:line="360" w:lineRule="auto"/>
              <w:jc w:val="center"/>
              <w:rPr>
                <w:rFonts w:asciiTheme="majorEastAsia" w:hAnsiTheme="majorEastAsia" w:eastAsiaTheme="majorEastAsia"/>
                <w:color w:val="auto"/>
                <w:sz w:val="24"/>
              </w:rPr>
            </w:pPr>
            <w:r>
              <w:rPr>
                <w:rFonts w:asciiTheme="majorEastAsia" w:hAnsiTheme="majorEastAsia" w:eastAsiaTheme="majorEastAsia"/>
                <w:color w:val="auto"/>
                <w:sz w:val="24"/>
              </w:rPr>
              <w:t>1.5.</w:t>
            </w:r>
            <w:r>
              <w:rPr>
                <w:rFonts w:hint="eastAsia" w:asciiTheme="majorEastAsia" w:hAnsiTheme="majorEastAsia" w:eastAsiaTheme="majorEastAsia"/>
                <w:color w:val="auto"/>
                <w:sz w:val="24"/>
              </w:rPr>
              <w:t>7</w:t>
            </w:r>
          </w:p>
        </w:tc>
        <w:tc>
          <w:tcPr>
            <w:tcW w:w="7312" w:type="dxa"/>
            <w:vAlign w:val="center"/>
          </w:tcPr>
          <w:p>
            <w:pPr>
              <w:shd w:val="clear"/>
              <w:spacing w:line="360" w:lineRule="auto"/>
              <w:rPr>
                <w:rFonts w:asciiTheme="majorEastAsia" w:hAnsiTheme="majorEastAsia" w:eastAsiaTheme="majorEastAsia"/>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22" w:type="dxa"/>
            <w:tcBorders>
              <w:left w:val="single" w:color="auto" w:sz="4" w:space="0"/>
            </w:tcBorders>
            <w:vAlign w:val="center"/>
          </w:tcPr>
          <w:p>
            <w:pPr>
              <w:shd w:val="clear"/>
              <w:spacing w:line="360" w:lineRule="auto"/>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1.6</w:t>
            </w:r>
          </w:p>
        </w:tc>
        <w:tc>
          <w:tcPr>
            <w:tcW w:w="7312" w:type="dxa"/>
            <w:vAlign w:val="center"/>
          </w:tcPr>
          <w:p>
            <w:pPr>
              <w:shd w:val="clear"/>
              <w:spacing w:line="360" w:lineRule="auto"/>
              <w:rPr>
                <w:rFonts w:asciiTheme="majorEastAsia" w:hAnsiTheme="majorEastAsia" w:eastAsiaTheme="majorEastAsia"/>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22" w:type="dxa"/>
            <w:tcBorders>
              <w:left w:val="single" w:color="auto" w:sz="4" w:space="0"/>
            </w:tcBorders>
            <w:vAlign w:val="center"/>
          </w:tcPr>
          <w:p>
            <w:pPr>
              <w:shd w:val="clear"/>
              <w:spacing w:line="360" w:lineRule="auto"/>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1.6.1</w:t>
            </w:r>
          </w:p>
        </w:tc>
        <w:tc>
          <w:tcPr>
            <w:tcW w:w="7312" w:type="dxa"/>
            <w:vAlign w:val="center"/>
          </w:tcPr>
          <w:p>
            <w:pPr>
              <w:shd w:val="clear"/>
              <w:spacing w:line="360" w:lineRule="auto"/>
              <w:rPr>
                <w:rFonts w:asciiTheme="majorEastAsia" w:hAnsiTheme="majorEastAsia" w:eastAsiaTheme="majorEastAsia"/>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22" w:type="dxa"/>
            <w:tcBorders>
              <w:left w:val="single" w:color="auto" w:sz="4" w:space="0"/>
            </w:tcBorders>
            <w:vAlign w:val="center"/>
          </w:tcPr>
          <w:p>
            <w:pPr>
              <w:shd w:val="clear"/>
              <w:spacing w:line="360" w:lineRule="auto"/>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1.6.2</w:t>
            </w:r>
          </w:p>
        </w:tc>
        <w:tc>
          <w:tcPr>
            <w:tcW w:w="7312" w:type="dxa"/>
            <w:vAlign w:val="center"/>
          </w:tcPr>
          <w:p>
            <w:pPr>
              <w:shd w:val="clear"/>
              <w:spacing w:line="360" w:lineRule="auto"/>
              <w:rPr>
                <w:rFonts w:asciiTheme="majorEastAsia" w:hAnsiTheme="majorEastAsia" w:eastAsiaTheme="majorEastAsia"/>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22" w:type="dxa"/>
            <w:tcBorders>
              <w:left w:val="single" w:color="auto" w:sz="4" w:space="0"/>
            </w:tcBorders>
            <w:vAlign w:val="center"/>
          </w:tcPr>
          <w:p>
            <w:pPr>
              <w:shd w:val="clear"/>
              <w:spacing w:line="360" w:lineRule="auto"/>
              <w:jc w:val="center"/>
              <w:rPr>
                <w:rFonts w:asciiTheme="majorEastAsia" w:hAnsiTheme="majorEastAsia" w:eastAsiaTheme="majorEastAsia"/>
                <w:color w:val="auto"/>
                <w:sz w:val="24"/>
              </w:rPr>
            </w:pPr>
            <w:r>
              <w:rPr>
                <w:rFonts w:asciiTheme="majorEastAsia" w:hAnsiTheme="majorEastAsia" w:eastAsiaTheme="majorEastAsia"/>
                <w:color w:val="auto"/>
                <w:sz w:val="24"/>
              </w:rPr>
              <w:t>2.3.</w:t>
            </w:r>
            <w:r>
              <w:rPr>
                <w:rFonts w:hint="eastAsia" w:asciiTheme="majorEastAsia" w:hAnsiTheme="majorEastAsia" w:eastAsiaTheme="majorEastAsia"/>
                <w:color w:val="auto"/>
                <w:sz w:val="24"/>
              </w:rPr>
              <w:t>2</w:t>
            </w:r>
          </w:p>
        </w:tc>
        <w:tc>
          <w:tcPr>
            <w:tcW w:w="7312" w:type="dxa"/>
            <w:vAlign w:val="center"/>
          </w:tcPr>
          <w:p>
            <w:pPr>
              <w:shd w:val="clear"/>
              <w:spacing w:line="360" w:lineRule="auto"/>
              <w:ind w:left="-420" w:leftChars="-200" w:right="-420" w:rightChars="-200" w:firstLine="480" w:firstLineChars="200"/>
              <w:rPr>
                <w:rFonts w:asciiTheme="majorEastAsia" w:hAnsiTheme="majorEastAsia" w:eastAsiaTheme="majorEastAsia"/>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22" w:type="dxa"/>
            <w:tcBorders>
              <w:left w:val="single" w:color="auto" w:sz="4" w:space="0"/>
            </w:tcBorders>
            <w:vAlign w:val="center"/>
          </w:tcPr>
          <w:p>
            <w:pPr>
              <w:shd w:val="clear"/>
              <w:spacing w:line="360" w:lineRule="auto"/>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2.4.2</w:t>
            </w:r>
          </w:p>
        </w:tc>
        <w:tc>
          <w:tcPr>
            <w:tcW w:w="7312" w:type="dxa"/>
            <w:vAlign w:val="center"/>
          </w:tcPr>
          <w:p>
            <w:pPr>
              <w:shd w:val="clear"/>
              <w:spacing w:line="360" w:lineRule="auto"/>
              <w:ind w:left="-420" w:leftChars="-200" w:right="-420" w:rightChars="-200" w:firstLine="480" w:firstLineChars="200"/>
              <w:rPr>
                <w:rFonts w:asciiTheme="majorEastAsia" w:hAnsiTheme="majorEastAsia" w:eastAsiaTheme="majorEastAsia"/>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22" w:type="dxa"/>
            <w:tcBorders>
              <w:left w:val="single" w:color="auto" w:sz="4" w:space="0"/>
            </w:tcBorders>
            <w:vAlign w:val="center"/>
          </w:tcPr>
          <w:p>
            <w:pPr>
              <w:shd w:val="clear"/>
              <w:spacing w:line="360" w:lineRule="auto"/>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2.8</w:t>
            </w:r>
          </w:p>
        </w:tc>
        <w:tc>
          <w:tcPr>
            <w:tcW w:w="7312" w:type="dxa"/>
            <w:vAlign w:val="center"/>
          </w:tcPr>
          <w:p>
            <w:pPr>
              <w:shd w:val="clear"/>
              <w:spacing w:line="360" w:lineRule="auto"/>
              <w:ind w:left="-420" w:leftChars="-200" w:right="-420" w:rightChars="-200" w:firstLine="480" w:firstLineChars="200"/>
              <w:rPr>
                <w:rFonts w:asciiTheme="majorEastAsia" w:hAnsiTheme="majorEastAsia" w:eastAsiaTheme="majorEastAsia"/>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22" w:type="dxa"/>
            <w:tcBorders>
              <w:left w:val="single" w:color="auto" w:sz="4" w:space="0"/>
            </w:tcBorders>
            <w:vAlign w:val="center"/>
          </w:tcPr>
          <w:p>
            <w:pPr>
              <w:shd w:val="clear"/>
              <w:spacing w:line="360" w:lineRule="auto"/>
              <w:jc w:val="center"/>
              <w:rPr>
                <w:rFonts w:asciiTheme="majorEastAsia" w:hAnsiTheme="majorEastAsia" w:eastAsiaTheme="majorEastAsia"/>
                <w:color w:val="auto"/>
                <w:sz w:val="24"/>
              </w:rPr>
            </w:pPr>
            <w:r>
              <w:rPr>
                <w:rFonts w:asciiTheme="majorEastAsia" w:hAnsiTheme="majorEastAsia" w:eastAsiaTheme="majorEastAsia"/>
                <w:color w:val="auto"/>
                <w:sz w:val="24"/>
              </w:rPr>
              <w:t>2.</w:t>
            </w:r>
            <w:r>
              <w:rPr>
                <w:rFonts w:hint="eastAsia" w:asciiTheme="majorEastAsia" w:hAnsiTheme="majorEastAsia" w:eastAsiaTheme="majorEastAsia"/>
                <w:color w:val="auto"/>
                <w:sz w:val="24"/>
              </w:rPr>
              <w:t>12</w:t>
            </w:r>
            <w:r>
              <w:rPr>
                <w:rFonts w:asciiTheme="majorEastAsia" w:hAnsiTheme="majorEastAsia" w:eastAsiaTheme="majorEastAsia"/>
                <w:color w:val="auto"/>
                <w:sz w:val="24"/>
              </w:rPr>
              <w:t>.</w:t>
            </w:r>
            <w:r>
              <w:rPr>
                <w:rFonts w:hint="eastAsia" w:asciiTheme="majorEastAsia" w:hAnsiTheme="majorEastAsia" w:eastAsiaTheme="majorEastAsia"/>
                <w:color w:val="auto"/>
                <w:sz w:val="24"/>
              </w:rPr>
              <w:t>3</w:t>
            </w:r>
          </w:p>
        </w:tc>
        <w:tc>
          <w:tcPr>
            <w:tcW w:w="7312" w:type="dxa"/>
            <w:vAlign w:val="center"/>
          </w:tcPr>
          <w:p>
            <w:pPr>
              <w:shd w:val="clear"/>
              <w:spacing w:line="360" w:lineRule="auto"/>
              <w:ind w:left="-420" w:leftChars="-200" w:right="-420" w:rightChars="-200" w:firstLine="480" w:firstLineChars="200"/>
              <w:rPr>
                <w:rFonts w:asciiTheme="majorEastAsia" w:hAnsiTheme="majorEastAsia" w:eastAsiaTheme="majorEastAsia"/>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22" w:type="dxa"/>
            <w:tcBorders>
              <w:left w:val="single" w:color="auto" w:sz="4" w:space="0"/>
            </w:tcBorders>
            <w:vAlign w:val="center"/>
          </w:tcPr>
          <w:p>
            <w:pPr>
              <w:shd w:val="clear"/>
              <w:spacing w:line="360" w:lineRule="auto"/>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2.12.4</w:t>
            </w:r>
          </w:p>
        </w:tc>
        <w:tc>
          <w:tcPr>
            <w:tcW w:w="7312" w:type="dxa"/>
            <w:vAlign w:val="center"/>
          </w:tcPr>
          <w:p>
            <w:pPr>
              <w:shd w:val="clear"/>
              <w:spacing w:line="360" w:lineRule="auto"/>
              <w:rPr>
                <w:rFonts w:asciiTheme="majorEastAsia" w:hAnsiTheme="majorEastAsia" w:eastAsiaTheme="majorEastAsia"/>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22" w:type="dxa"/>
            <w:tcBorders>
              <w:left w:val="single" w:color="auto" w:sz="4" w:space="0"/>
            </w:tcBorders>
          </w:tcPr>
          <w:p>
            <w:pPr>
              <w:shd w:val="clear"/>
              <w:spacing w:line="360" w:lineRule="auto"/>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2.16.2</w:t>
            </w:r>
          </w:p>
        </w:tc>
        <w:tc>
          <w:tcPr>
            <w:tcW w:w="7312" w:type="dxa"/>
          </w:tcPr>
          <w:p>
            <w:pPr>
              <w:shd w:val="clear"/>
              <w:spacing w:line="360" w:lineRule="auto"/>
              <w:rPr>
                <w:rFonts w:asciiTheme="majorEastAsia" w:hAnsiTheme="majorEastAsia" w:eastAsiaTheme="majorEastAsia"/>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22" w:type="dxa"/>
            <w:tcBorders>
              <w:left w:val="single" w:color="auto" w:sz="4" w:space="0"/>
            </w:tcBorders>
            <w:vAlign w:val="center"/>
          </w:tcPr>
          <w:p>
            <w:pPr>
              <w:shd w:val="clear"/>
              <w:spacing w:line="360" w:lineRule="auto"/>
              <w:jc w:val="center"/>
              <w:rPr>
                <w:rFonts w:asciiTheme="majorEastAsia" w:hAnsiTheme="majorEastAsia" w:eastAsiaTheme="majorEastAsia"/>
                <w:color w:val="auto"/>
                <w:sz w:val="24"/>
              </w:rPr>
            </w:pPr>
            <w:r>
              <w:rPr>
                <w:rFonts w:asciiTheme="majorEastAsia" w:hAnsiTheme="majorEastAsia" w:eastAsiaTheme="majorEastAsia"/>
                <w:color w:val="auto"/>
                <w:sz w:val="24"/>
              </w:rPr>
              <w:t>2.</w:t>
            </w:r>
            <w:r>
              <w:rPr>
                <w:rFonts w:hint="eastAsia" w:asciiTheme="majorEastAsia" w:hAnsiTheme="majorEastAsia" w:eastAsiaTheme="majorEastAsia"/>
                <w:color w:val="auto"/>
                <w:sz w:val="24"/>
              </w:rPr>
              <w:t>20</w:t>
            </w:r>
            <w:r>
              <w:rPr>
                <w:rFonts w:asciiTheme="majorEastAsia" w:hAnsiTheme="majorEastAsia" w:eastAsiaTheme="majorEastAsia"/>
                <w:color w:val="auto"/>
                <w:sz w:val="24"/>
              </w:rPr>
              <w:t>.</w:t>
            </w:r>
            <w:r>
              <w:rPr>
                <w:rFonts w:hint="eastAsia" w:asciiTheme="majorEastAsia" w:hAnsiTheme="majorEastAsia" w:eastAsiaTheme="majorEastAsia"/>
                <w:color w:val="auto"/>
                <w:sz w:val="24"/>
              </w:rPr>
              <w:t>1</w:t>
            </w:r>
          </w:p>
        </w:tc>
        <w:tc>
          <w:tcPr>
            <w:tcW w:w="7312" w:type="dxa"/>
            <w:vAlign w:val="center"/>
          </w:tcPr>
          <w:p>
            <w:pPr>
              <w:shd w:val="clear"/>
              <w:spacing w:line="360" w:lineRule="auto"/>
              <w:rPr>
                <w:rFonts w:asciiTheme="majorEastAsia" w:hAnsiTheme="majorEastAsia" w:eastAsiaTheme="majorEastAsia"/>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22" w:type="dxa"/>
            <w:tcBorders>
              <w:left w:val="single" w:color="auto" w:sz="4" w:space="0"/>
            </w:tcBorders>
            <w:vAlign w:val="center"/>
          </w:tcPr>
          <w:p>
            <w:pPr>
              <w:shd w:val="clear"/>
              <w:spacing w:line="360" w:lineRule="auto"/>
              <w:jc w:val="center"/>
              <w:rPr>
                <w:rFonts w:asciiTheme="majorEastAsia" w:hAnsiTheme="majorEastAsia" w:eastAsiaTheme="majorEastAsia"/>
                <w:color w:val="auto"/>
                <w:sz w:val="24"/>
              </w:rPr>
            </w:pPr>
            <w:r>
              <w:rPr>
                <w:rFonts w:asciiTheme="majorEastAsia" w:hAnsiTheme="majorEastAsia" w:eastAsiaTheme="majorEastAsia"/>
                <w:color w:val="auto"/>
                <w:sz w:val="24"/>
              </w:rPr>
              <w:t>2.</w:t>
            </w:r>
            <w:r>
              <w:rPr>
                <w:rFonts w:hint="eastAsia" w:asciiTheme="majorEastAsia" w:hAnsiTheme="majorEastAsia" w:eastAsiaTheme="majorEastAsia"/>
                <w:color w:val="auto"/>
                <w:sz w:val="24"/>
              </w:rPr>
              <w:t>20</w:t>
            </w:r>
            <w:r>
              <w:rPr>
                <w:rFonts w:asciiTheme="majorEastAsia" w:hAnsiTheme="majorEastAsia" w:eastAsiaTheme="majorEastAsia"/>
                <w:color w:val="auto"/>
                <w:sz w:val="24"/>
              </w:rPr>
              <w:t>.</w:t>
            </w:r>
            <w:r>
              <w:rPr>
                <w:rFonts w:hint="eastAsia" w:asciiTheme="majorEastAsia" w:hAnsiTheme="majorEastAsia" w:eastAsiaTheme="majorEastAsia"/>
                <w:color w:val="auto"/>
                <w:sz w:val="24"/>
              </w:rPr>
              <w:t>2</w:t>
            </w:r>
          </w:p>
        </w:tc>
        <w:tc>
          <w:tcPr>
            <w:tcW w:w="7312" w:type="dxa"/>
            <w:vAlign w:val="center"/>
          </w:tcPr>
          <w:p>
            <w:pPr>
              <w:shd w:val="clear"/>
              <w:spacing w:line="360" w:lineRule="auto"/>
              <w:rPr>
                <w:rFonts w:asciiTheme="majorEastAsia" w:hAnsiTheme="majorEastAsia" w:eastAsiaTheme="majorEastAsia"/>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022" w:type="dxa"/>
            <w:tcBorders>
              <w:left w:val="single" w:color="auto" w:sz="4" w:space="0"/>
            </w:tcBorders>
            <w:vAlign w:val="center"/>
          </w:tcPr>
          <w:p>
            <w:pPr>
              <w:shd w:val="clear"/>
              <w:spacing w:line="360" w:lineRule="auto"/>
              <w:ind w:left="-420" w:leftChars="-200" w:right="-420" w:rightChars="-200" w:firstLine="480" w:firstLineChars="200"/>
              <w:jc w:val="center"/>
              <w:outlineLvl w:val="0"/>
              <w:rPr>
                <w:rFonts w:asciiTheme="majorEastAsia" w:hAnsiTheme="majorEastAsia" w:eastAsiaTheme="majorEastAsia"/>
                <w:color w:val="auto"/>
                <w:sz w:val="24"/>
              </w:rPr>
            </w:pPr>
            <w:r>
              <w:rPr>
                <w:rFonts w:asciiTheme="majorEastAsia" w:hAnsiTheme="majorEastAsia" w:eastAsiaTheme="majorEastAsia"/>
                <w:color w:val="auto"/>
                <w:sz w:val="24"/>
              </w:rPr>
              <w:t>2.2</w:t>
            </w:r>
            <w:r>
              <w:rPr>
                <w:rFonts w:hint="eastAsia" w:asciiTheme="majorEastAsia" w:hAnsiTheme="majorEastAsia" w:eastAsiaTheme="majorEastAsia"/>
                <w:color w:val="auto"/>
                <w:sz w:val="24"/>
              </w:rPr>
              <w:t>2</w:t>
            </w:r>
          </w:p>
        </w:tc>
        <w:tc>
          <w:tcPr>
            <w:tcW w:w="7312" w:type="dxa"/>
            <w:vAlign w:val="center"/>
          </w:tcPr>
          <w:p>
            <w:pPr>
              <w:shd w:val="clear"/>
              <w:spacing w:line="360" w:lineRule="auto"/>
              <w:rPr>
                <w:rFonts w:asciiTheme="majorEastAsia" w:hAnsiTheme="majorEastAsia" w:eastAsiaTheme="majorEastAsia"/>
                <w:color w:val="auto"/>
                <w:sz w:val="24"/>
              </w:rPr>
            </w:pPr>
          </w:p>
        </w:tc>
      </w:tr>
    </w:tbl>
    <w:p>
      <w:pPr>
        <w:shd w:val="clear"/>
        <w:spacing w:line="360" w:lineRule="auto"/>
        <w:ind w:left="-420" w:leftChars="-200" w:right="-420" w:rightChars="-200" w:firstLine="480" w:firstLineChars="200"/>
        <w:rPr>
          <w:rFonts w:asciiTheme="majorEastAsia" w:hAnsiTheme="majorEastAsia" w:eastAsiaTheme="majorEastAsia"/>
          <w:color w:val="auto"/>
          <w:sz w:val="24"/>
        </w:rPr>
      </w:pPr>
    </w:p>
    <w:p>
      <w:pPr>
        <w:shd w:val="clear"/>
        <w:spacing w:line="380" w:lineRule="exact"/>
        <w:ind w:left="-283" w:leftChars="-135" w:right="-651" w:rightChars="-310" w:firstLine="480" w:firstLineChars="200"/>
        <w:jc w:val="left"/>
        <w:rPr>
          <w:rFonts w:asciiTheme="majorEastAsia" w:hAnsiTheme="majorEastAsia" w:eastAsiaTheme="majorEastAsia"/>
          <w:b/>
          <w:color w:val="auto"/>
          <w:sz w:val="36"/>
          <w:szCs w:val="36"/>
        </w:rPr>
      </w:pPr>
      <w:r>
        <w:rPr>
          <w:rFonts w:hint="eastAsia" w:asciiTheme="majorEastAsia" w:hAnsiTheme="majorEastAsia" w:eastAsiaTheme="majorEastAsia"/>
          <w:color w:val="auto"/>
          <w:sz w:val="24"/>
        </w:rPr>
        <w:t>（注：在正式签约时，根据上述精神应拟就更为详尽的合同书）</w:t>
      </w:r>
    </w:p>
    <w:p>
      <w:pPr>
        <w:shd w:val="clear"/>
        <w:snapToGrid w:val="0"/>
        <w:spacing w:line="440" w:lineRule="exact"/>
        <w:ind w:left="-283" w:leftChars="-135" w:right="-651" w:rightChars="-310"/>
        <w:jc w:val="center"/>
        <w:rPr>
          <w:rFonts w:asciiTheme="majorEastAsia" w:hAnsiTheme="majorEastAsia" w:eastAsiaTheme="majorEastAsia"/>
          <w:b/>
          <w:color w:val="auto"/>
          <w:sz w:val="36"/>
          <w:szCs w:val="36"/>
        </w:rPr>
      </w:pPr>
    </w:p>
    <w:p>
      <w:pPr>
        <w:pStyle w:val="47"/>
        <w:pageBreakBefore/>
        <w:shd w:val="clear"/>
        <w:spacing w:line="800" w:lineRule="exact"/>
        <w:ind w:firstLine="726"/>
        <w:jc w:val="center"/>
        <w:rPr>
          <w:rFonts w:asciiTheme="majorEastAsia" w:hAnsiTheme="majorEastAsia" w:eastAsiaTheme="majorEastAsia"/>
          <w:b/>
          <w:color w:val="auto"/>
          <w:sz w:val="36"/>
          <w:szCs w:val="36"/>
        </w:rPr>
      </w:pPr>
      <w:r>
        <w:rPr>
          <w:rFonts w:hint="eastAsia" w:asciiTheme="majorEastAsia" w:hAnsiTheme="majorEastAsia" w:eastAsiaTheme="majorEastAsia"/>
          <w:b/>
          <w:color w:val="auto"/>
          <w:sz w:val="36"/>
          <w:szCs w:val="36"/>
        </w:rPr>
        <w:t>第五部分  磋商方法及标准</w:t>
      </w:r>
    </w:p>
    <w:p>
      <w:pPr>
        <w:shd w:val="clear"/>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1、磋商方法：</w:t>
      </w:r>
    </w:p>
    <w:p>
      <w:pPr>
        <w:shd w:val="clear"/>
        <w:spacing w:line="440" w:lineRule="exact"/>
        <w:ind w:firstLine="480" w:firstLineChars="20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1.1采用综合评分法，磋商响应文件满足磋商文件全部实质性要求且按照评审因素的量化指标评审得分最高的供应商为成交候选供应商。磋商小组根据综合评分情况，按照评审得分从高到低顺序推荐评审得分最高的为成交候选供应商。评审得分相同的，按照最后报价由低到高的顺序推荐。评审得分且最后报价相同的，按照技术指标优劣顺序推荐。</w:t>
      </w:r>
    </w:p>
    <w:p>
      <w:pPr>
        <w:shd w:val="clear"/>
        <w:spacing w:line="440" w:lineRule="exact"/>
        <w:ind w:firstLine="472" w:firstLineChars="196"/>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1.2采用综合评分法的，提供相同品牌产品且通过资格审查、符合性审查的不同磋商响应人参加同一合同项下投标的，按一家磋商响应人计算，评审后得分最高的同品牌磋商响应人获得中标人推荐资格；评审得分相同的，由采购人或者采购人委托评标委员会按照磋商文件规定的方式确定一个磋商响应人获得中标人推荐资格，磋商文件未规定的采取随机抽取方式确定，其他同品牌磋商响应人不作为中标候选人。</w:t>
      </w:r>
    </w:p>
    <w:p>
      <w:pPr>
        <w:shd w:val="clear"/>
        <w:spacing w:line="440" w:lineRule="exact"/>
        <w:ind w:firstLine="482" w:firstLineChars="200"/>
        <w:jc w:val="left"/>
        <w:rPr>
          <w:rFonts w:asciiTheme="majorEastAsia" w:hAnsiTheme="majorEastAsia" w:eastAsiaTheme="majorEastAsia"/>
          <w:color w:val="auto"/>
          <w:sz w:val="24"/>
        </w:rPr>
      </w:pPr>
      <w:r>
        <w:rPr>
          <w:rFonts w:hint="eastAsia" w:asciiTheme="majorEastAsia" w:hAnsiTheme="majorEastAsia" w:eastAsiaTheme="majorEastAsia"/>
          <w:b/>
          <w:color w:val="auto"/>
          <w:sz w:val="24"/>
        </w:rPr>
        <w:t>非单一产品采购项目，采购人应当根据采购项目技术构成、产品价格比重等合理确定核心产品，并在磋商文件中载明。多家磋商响应人提供的核心产品品牌相同的，按前款规定处理。</w:t>
      </w:r>
    </w:p>
    <w:p>
      <w:pPr>
        <w:shd w:val="clear"/>
        <w:spacing w:line="440" w:lineRule="exact"/>
        <w:rPr>
          <w:rFonts w:asciiTheme="majorEastAsia" w:hAnsiTheme="majorEastAsia" w:eastAsiaTheme="majorEastAsia"/>
          <w:color w:val="auto"/>
          <w:sz w:val="24"/>
        </w:rPr>
      </w:pPr>
      <w:r>
        <w:rPr>
          <w:rFonts w:hint="eastAsia" w:asciiTheme="majorEastAsia" w:hAnsiTheme="majorEastAsia" w:eastAsiaTheme="majorEastAsia"/>
          <w:b/>
          <w:color w:val="auto"/>
          <w:sz w:val="24"/>
        </w:rPr>
        <w:t>2.评审标准：</w:t>
      </w:r>
      <w:r>
        <w:rPr>
          <w:rFonts w:hint="eastAsia" w:asciiTheme="majorEastAsia" w:hAnsiTheme="majorEastAsia" w:eastAsiaTheme="majorEastAsia"/>
          <w:color w:val="auto"/>
          <w:sz w:val="24"/>
        </w:rPr>
        <w:t>共100分，其中商务技术分</w:t>
      </w:r>
      <w:r>
        <w:rPr>
          <w:rFonts w:hint="eastAsia" w:asciiTheme="majorEastAsia" w:hAnsiTheme="majorEastAsia" w:eastAsiaTheme="majorEastAsia"/>
          <w:color w:val="auto"/>
          <w:sz w:val="24"/>
          <w:lang w:val="en-US" w:eastAsia="zh-CN"/>
        </w:rPr>
        <w:t>70</w:t>
      </w:r>
      <w:r>
        <w:rPr>
          <w:rFonts w:hint="eastAsia" w:asciiTheme="majorEastAsia" w:hAnsiTheme="majorEastAsia" w:eastAsiaTheme="majorEastAsia"/>
          <w:color w:val="auto"/>
          <w:sz w:val="24"/>
        </w:rPr>
        <w:t>分，价格分</w:t>
      </w:r>
      <w:r>
        <w:rPr>
          <w:rFonts w:hint="eastAsia" w:asciiTheme="majorEastAsia" w:hAnsiTheme="majorEastAsia" w:eastAsiaTheme="majorEastAsia"/>
          <w:color w:val="auto"/>
          <w:sz w:val="24"/>
          <w:lang w:val="en-US" w:eastAsia="zh-CN"/>
        </w:rPr>
        <w:t>30</w:t>
      </w:r>
      <w:r>
        <w:rPr>
          <w:rFonts w:hint="eastAsia" w:asciiTheme="majorEastAsia" w:hAnsiTheme="majorEastAsia" w:eastAsiaTheme="majorEastAsia"/>
          <w:color w:val="auto"/>
          <w:sz w:val="24"/>
        </w:rPr>
        <w:t>分。评分依下述所列为评审打分依据，分值如下（计算分值时，按其算术平均值保留小数2位）。</w:t>
      </w:r>
    </w:p>
    <w:p>
      <w:pPr>
        <w:shd w:val="clear"/>
        <w:spacing w:line="300" w:lineRule="exact"/>
        <w:rPr>
          <w:rFonts w:asciiTheme="majorEastAsia" w:hAnsiTheme="majorEastAsia" w:eastAsiaTheme="majorEastAsia"/>
          <w:b/>
          <w:bCs/>
          <w:iCs/>
          <w:color w:val="auto"/>
          <w:sz w:val="24"/>
        </w:rPr>
      </w:pPr>
      <w:r>
        <w:rPr>
          <w:rFonts w:hint="eastAsia" w:asciiTheme="majorEastAsia" w:hAnsiTheme="majorEastAsia" w:eastAsiaTheme="majorEastAsia"/>
          <w:b/>
          <w:color w:val="auto"/>
          <w:sz w:val="24"/>
        </w:rPr>
        <w:t>2.1</w:t>
      </w:r>
      <w:r>
        <w:rPr>
          <w:rFonts w:hint="eastAsia" w:asciiTheme="majorEastAsia" w:hAnsiTheme="majorEastAsia" w:eastAsiaTheme="majorEastAsia"/>
          <w:b/>
          <w:bCs/>
          <w:iCs/>
          <w:color w:val="auto"/>
          <w:sz w:val="24"/>
        </w:rPr>
        <w:t>商务技术分（</w:t>
      </w:r>
      <w:r>
        <w:rPr>
          <w:rFonts w:hint="eastAsia" w:asciiTheme="majorEastAsia" w:hAnsiTheme="majorEastAsia" w:eastAsiaTheme="majorEastAsia"/>
          <w:b/>
          <w:color w:val="auto"/>
          <w:sz w:val="24"/>
          <w:lang w:val="en-US" w:eastAsia="zh-CN"/>
        </w:rPr>
        <w:t>7</w:t>
      </w:r>
      <w:r>
        <w:rPr>
          <w:rFonts w:hint="eastAsia" w:asciiTheme="majorEastAsia" w:hAnsiTheme="majorEastAsia" w:eastAsiaTheme="majorEastAsia"/>
          <w:b/>
          <w:color w:val="auto"/>
          <w:sz w:val="24"/>
        </w:rPr>
        <w:t>0分</w:t>
      </w:r>
      <w:r>
        <w:rPr>
          <w:rFonts w:hint="eastAsia" w:asciiTheme="majorEastAsia" w:hAnsiTheme="majorEastAsia" w:eastAsiaTheme="majorEastAsia"/>
          <w:b/>
          <w:bCs/>
          <w:iCs/>
          <w:color w:val="auto"/>
          <w:sz w:val="24"/>
        </w:rPr>
        <w:t>）</w:t>
      </w:r>
      <w:bookmarkEnd w:id="3"/>
      <w:bookmarkEnd w:id="4"/>
      <w:bookmarkEnd w:id="5"/>
      <w:bookmarkEnd w:id="6"/>
    </w:p>
    <w:tbl>
      <w:tblPr>
        <w:tblStyle w:val="90"/>
        <w:tblW w:w="10181" w:type="dxa"/>
        <w:tblInd w:w="-8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1170"/>
        <w:gridCol w:w="675"/>
        <w:gridCol w:w="6256"/>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141" w:type="dxa"/>
            <w:gridSpan w:val="2"/>
            <w:noWrap w:val="0"/>
            <w:vAlign w:val="center"/>
          </w:tcPr>
          <w:p>
            <w:pPr>
              <w:spacing w:line="400" w:lineRule="exact"/>
              <w:ind w:firstLine="0" w:firstLineChars="0"/>
              <w:jc w:val="center"/>
              <w:rPr>
                <w:rFonts w:hint="eastAsia" w:ascii="仿宋" w:hAnsi="仿宋" w:eastAsia="仿宋" w:cs="仿宋"/>
                <w:b/>
                <w:kern w:val="0"/>
                <w:sz w:val="22"/>
                <w:szCs w:val="22"/>
              </w:rPr>
            </w:pPr>
            <w:r>
              <w:rPr>
                <w:rFonts w:hint="eastAsia" w:ascii="仿宋" w:hAnsi="仿宋" w:eastAsia="仿宋" w:cs="仿宋"/>
                <w:b/>
                <w:color w:val="000000"/>
                <w:sz w:val="22"/>
                <w:szCs w:val="22"/>
              </w:rPr>
              <w:t>评分项目</w:t>
            </w:r>
          </w:p>
        </w:tc>
        <w:tc>
          <w:tcPr>
            <w:tcW w:w="675" w:type="dxa"/>
            <w:noWrap w:val="0"/>
            <w:vAlign w:val="center"/>
          </w:tcPr>
          <w:p>
            <w:pPr>
              <w:spacing w:line="400" w:lineRule="exact"/>
              <w:jc w:val="center"/>
              <w:rPr>
                <w:rFonts w:hint="eastAsia" w:ascii="仿宋" w:hAnsi="仿宋" w:eastAsia="仿宋" w:cs="仿宋"/>
                <w:b/>
                <w:kern w:val="0"/>
                <w:sz w:val="22"/>
                <w:szCs w:val="22"/>
              </w:rPr>
            </w:pPr>
            <w:r>
              <w:rPr>
                <w:rFonts w:hint="eastAsia" w:ascii="仿宋" w:hAnsi="仿宋" w:eastAsia="仿宋" w:cs="仿宋"/>
                <w:b/>
                <w:color w:val="000000"/>
                <w:sz w:val="22"/>
                <w:szCs w:val="22"/>
              </w:rPr>
              <w:t>分值</w:t>
            </w:r>
          </w:p>
        </w:tc>
        <w:tc>
          <w:tcPr>
            <w:tcW w:w="6256" w:type="dxa"/>
            <w:noWrap w:val="0"/>
            <w:vAlign w:val="center"/>
          </w:tcPr>
          <w:p>
            <w:pPr>
              <w:spacing w:line="400" w:lineRule="exact"/>
              <w:jc w:val="center"/>
              <w:rPr>
                <w:rFonts w:hint="eastAsia" w:ascii="仿宋" w:hAnsi="仿宋" w:eastAsia="仿宋" w:cs="仿宋"/>
                <w:b/>
                <w:kern w:val="0"/>
                <w:sz w:val="22"/>
                <w:szCs w:val="22"/>
              </w:rPr>
            </w:pPr>
            <w:r>
              <w:rPr>
                <w:rFonts w:hint="eastAsia" w:ascii="仿宋" w:hAnsi="仿宋" w:eastAsia="仿宋" w:cs="仿宋"/>
                <w:b/>
                <w:color w:val="000000"/>
                <w:sz w:val="22"/>
                <w:szCs w:val="22"/>
              </w:rPr>
              <w:t>评标要点及说明</w:t>
            </w:r>
          </w:p>
        </w:tc>
        <w:tc>
          <w:tcPr>
            <w:tcW w:w="1109" w:type="dxa"/>
            <w:noWrap w:val="0"/>
            <w:vAlign w:val="center"/>
          </w:tcPr>
          <w:p>
            <w:pPr>
              <w:spacing w:line="400" w:lineRule="exact"/>
              <w:jc w:val="center"/>
              <w:rPr>
                <w:rFonts w:hint="eastAsia" w:ascii="仿宋" w:hAnsi="仿宋" w:eastAsia="仿宋" w:cs="仿宋"/>
                <w:b/>
                <w:kern w:val="0"/>
                <w:sz w:val="22"/>
                <w:szCs w:val="22"/>
              </w:rPr>
            </w:pPr>
            <w:r>
              <w:rPr>
                <w:rFonts w:hint="eastAsia" w:ascii="仿宋" w:hAnsi="仿宋" w:eastAsia="仿宋" w:cs="仿宋"/>
                <w:b/>
                <w:color w:val="000000"/>
                <w:sz w:val="22"/>
                <w:szCs w:val="22"/>
              </w:rPr>
              <w:t>要点页码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trPr>
        <w:tc>
          <w:tcPr>
            <w:tcW w:w="971" w:type="dxa"/>
            <w:vMerge w:val="restart"/>
            <w:noWrap w:val="0"/>
            <w:vAlign w:val="center"/>
          </w:tcPr>
          <w:p>
            <w:pPr>
              <w:adjustRightInd w:val="0"/>
              <w:snapToGrid w:val="0"/>
              <w:spacing w:after="200"/>
              <w:jc w:val="center"/>
              <w:rPr>
                <w:rFonts w:hint="eastAsia" w:ascii="仿宋" w:hAnsi="仿宋" w:eastAsia="仿宋" w:cs="仿宋"/>
                <w:sz w:val="22"/>
                <w:szCs w:val="22"/>
              </w:rPr>
            </w:pPr>
            <w:r>
              <w:rPr>
                <w:rFonts w:hint="eastAsia" w:ascii="仿宋" w:hAnsi="仿宋" w:eastAsia="仿宋" w:cs="仿宋"/>
                <w:sz w:val="22"/>
                <w:szCs w:val="22"/>
              </w:rPr>
              <w:t>综合</w:t>
            </w:r>
          </w:p>
          <w:p>
            <w:pPr>
              <w:adjustRightInd w:val="0"/>
              <w:snapToGrid w:val="0"/>
              <w:spacing w:after="200"/>
              <w:jc w:val="center"/>
              <w:rPr>
                <w:rFonts w:hint="eastAsia" w:ascii="仿宋" w:hAnsi="仿宋" w:eastAsia="仿宋" w:cs="仿宋"/>
                <w:sz w:val="22"/>
                <w:szCs w:val="22"/>
                <w:lang w:eastAsia="zh-CN"/>
              </w:rPr>
            </w:pPr>
            <w:r>
              <w:rPr>
                <w:rFonts w:hint="eastAsia" w:ascii="仿宋" w:hAnsi="仿宋" w:eastAsia="仿宋" w:cs="仿宋"/>
                <w:sz w:val="22"/>
                <w:szCs w:val="22"/>
              </w:rPr>
              <w:t>实</w:t>
            </w:r>
            <w:r>
              <w:rPr>
                <w:rFonts w:hint="eastAsia" w:ascii="仿宋" w:hAnsi="仿宋" w:eastAsia="仿宋" w:cs="仿宋"/>
                <w:sz w:val="22"/>
                <w:szCs w:val="22"/>
                <w:lang w:eastAsia="zh-CN"/>
              </w:rPr>
              <w:t>力</w:t>
            </w:r>
          </w:p>
          <w:p>
            <w:pPr>
              <w:adjustRightInd w:val="0"/>
              <w:snapToGrid w:val="0"/>
              <w:spacing w:after="200"/>
              <w:jc w:val="both"/>
              <w:rPr>
                <w:rFonts w:hint="eastAsia" w:ascii="仿宋" w:hAnsi="仿宋" w:eastAsia="仿宋" w:cs="仿宋"/>
                <w:kern w:val="0"/>
                <w:sz w:val="22"/>
                <w:szCs w:val="22"/>
              </w:rPr>
            </w:pPr>
            <w:r>
              <w:rPr>
                <w:rFonts w:hint="eastAsia" w:ascii="仿宋" w:hAnsi="仿宋" w:eastAsia="仿宋" w:cs="仿宋"/>
                <w:sz w:val="22"/>
                <w:szCs w:val="22"/>
                <w:lang w:val="en-US" w:eastAsia="zh-CN"/>
              </w:rPr>
              <w:t>（7</w:t>
            </w:r>
            <w:r>
              <w:rPr>
                <w:rFonts w:hint="eastAsia" w:ascii="仿宋" w:hAnsi="仿宋" w:eastAsia="仿宋" w:cs="仿宋"/>
                <w:sz w:val="22"/>
                <w:szCs w:val="22"/>
              </w:rPr>
              <w:t>分）</w:t>
            </w:r>
          </w:p>
        </w:tc>
        <w:tc>
          <w:tcPr>
            <w:tcW w:w="1170" w:type="dxa"/>
            <w:noWrap w:val="0"/>
            <w:vAlign w:val="center"/>
          </w:tcPr>
          <w:p>
            <w:pPr>
              <w:pStyle w:val="224"/>
              <w:ind w:firstLine="0" w:firstLineChars="0"/>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企业类型</w:t>
            </w:r>
          </w:p>
          <w:p>
            <w:pPr>
              <w:pStyle w:val="224"/>
              <w:ind w:firstLine="0" w:firstLineChars="0"/>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（3分）</w:t>
            </w:r>
          </w:p>
        </w:tc>
        <w:tc>
          <w:tcPr>
            <w:tcW w:w="675" w:type="dxa"/>
            <w:noWrap w:val="0"/>
            <w:vAlign w:val="center"/>
          </w:tcPr>
          <w:p>
            <w:pPr>
              <w:widowControl/>
              <w:jc w:val="center"/>
              <w:textAlignment w:val="center"/>
              <w:rPr>
                <w:rFonts w:hint="eastAsia" w:ascii="仿宋" w:hAnsi="仿宋" w:eastAsia="仿宋" w:cs="仿宋"/>
                <w:kern w:val="0"/>
                <w:sz w:val="22"/>
                <w:szCs w:val="22"/>
              </w:rPr>
            </w:pPr>
            <w:r>
              <w:rPr>
                <w:rFonts w:hint="eastAsia" w:ascii="仿宋" w:hAnsi="仿宋" w:eastAsia="仿宋" w:cs="仿宋"/>
                <w:color w:val="000000"/>
                <w:sz w:val="22"/>
                <w:szCs w:val="22"/>
                <w:lang w:val="en-US" w:eastAsia="zh-CN"/>
              </w:rPr>
              <w:t>3</w:t>
            </w:r>
          </w:p>
        </w:tc>
        <w:tc>
          <w:tcPr>
            <w:tcW w:w="6256" w:type="dxa"/>
            <w:noWrap w:val="0"/>
            <w:vAlign w:val="center"/>
          </w:tcPr>
          <w:p>
            <w:pPr>
              <w:pStyle w:val="34"/>
              <w:rPr>
                <w:rFonts w:hint="eastAsia" w:ascii="仿宋" w:hAnsi="仿宋" w:eastAsia="仿宋" w:cs="仿宋"/>
                <w:sz w:val="22"/>
                <w:szCs w:val="22"/>
                <w:lang w:val="en-US" w:eastAsia="zh-CN"/>
              </w:rPr>
            </w:pPr>
            <w:r>
              <w:rPr>
                <w:rFonts w:hint="eastAsia" w:ascii="仿宋" w:hAnsi="仿宋" w:eastAsia="仿宋" w:cs="仿宋"/>
                <w:strike w:val="0"/>
                <w:dstrike w:val="0"/>
                <w:color w:val="auto"/>
                <w:sz w:val="22"/>
                <w:szCs w:val="22"/>
                <w:lang w:val="en-US" w:eastAsia="zh-CN"/>
              </w:rPr>
              <w:t>内资企业得3分，外资企业不得分。（提供相关股权资金证明材料，不提供不得分）</w:t>
            </w:r>
          </w:p>
        </w:tc>
        <w:tc>
          <w:tcPr>
            <w:tcW w:w="1109" w:type="dxa"/>
            <w:noWrap w:val="0"/>
            <w:vAlign w:val="center"/>
          </w:tcPr>
          <w:p>
            <w:pPr>
              <w:widowControl/>
              <w:jc w:val="left"/>
              <w:textAlignment w:val="center"/>
              <w:rPr>
                <w:rFonts w:hint="eastAsia" w:ascii="仿宋" w:hAnsi="仿宋" w:eastAsia="仿宋" w:cs="仿宋"/>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5" w:hRule="atLeast"/>
        </w:trPr>
        <w:tc>
          <w:tcPr>
            <w:tcW w:w="971" w:type="dxa"/>
            <w:vMerge w:val="continue"/>
            <w:noWrap w:val="0"/>
            <w:vAlign w:val="center"/>
          </w:tcPr>
          <w:p>
            <w:pPr>
              <w:adjustRightInd w:val="0"/>
              <w:snapToGrid w:val="0"/>
              <w:spacing w:after="200"/>
              <w:jc w:val="center"/>
              <w:rPr>
                <w:rFonts w:hint="eastAsia" w:ascii="仿宋" w:hAnsi="仿宋" w:eastAsia="仿宋" w:cs="仿宋"/>
                <w:kern w:val="0"/>
                <w:sz w:val="22"/>
                <w:szCs w:val="22"/>
              </w:rPr>
            </w:pPr>
          </w:p>
        </w:tc>
        <w:tc>
          <w:tcPr>
            <w:tcW w:w="1170" w:type="dxa"/>
            <w:noWrap w:val="0"/>
            <w:vAlign w:val="center"/>
          </w:tcPr>
          <w:p>
            <w:pPr>
              <w:pStyle w:val="224"/>
              <w:ind w:firstLine="0" w:firstLineChars="0"/>
              <w:jc w:val="center"/>
              <w:rPr>
                <w:rFonts w:hint="eastAsia" w:ascii="仿宋" w:hAnsi="仿宋" w:eastAsia="仿宋" w:cs="仿宋"/>
                <w:sz w:val="22"/>
                <w:szCs w:val="22"/>
              </w:rPr>
            </w:pPr>
            <w:r>
              <w:rPr>
                <w:rFonts w:hint="eastAsia" w:ascii="仿宋" w:hAnsi="仿宋" w:eastAsia="仿宋" w:cs="仿宋"/>
                <w:sz w:val="22"/>
                <w:szCs w:val="22"/>
                <w:lang w:eastAsia="zh-CN"/>
              </w:rPr>
              <w:t>资质证明</w:t>
            </w:r>
            <w:r>
              <w:rPr>
                <w:rFonts w:hint="eastAsia" w:ascii="仿宋" w:hAnsi="仿宋" w:eastAsia="仿宋" w:cs="仿宋"/>
                <w:sz w:val="22"/>
                <w:szCs w:val="22"/>
              </w:rPr>
              <w:t>（</w:t>
            </w:r>
            <w:r>
              <w:rPr>
                <w:rFonts w:hint="eastAsia" w:ascii="仿宋" w:hAnsi="仿宋" w:eastAsia="仿宋" w:cs="仿宋"/>
                <w:sz w:val="22"/>
                <w:szCs w:val="22"/>
                <w:lang w:val="en-US" w:eastAsia="zh-CN"/>
              </w:rPr>
              <w:t>4</w:t>
            </w:r>
            <w:r>
              <w:rPr>
                <w:rFonts w:hint="eastAsia" w:ascii="仿宋" w:hAnsi="仿宋" w:eastAsia="仿宋" w:cs="仿宋"/>
                <w:sz w:val="22"/>
                <w:szCs w:val="22"/>
              </w:rPr>
              <w:t>分）</w:t>
            </w:r>
          </w:p>
        </w:tc>
        <w:tc>
          <w:tcPr>
            <w:tcW w:w="675" w:type="dxa"/>
            <w:noWrap w:val="0"/>
            <w:vAlign w:val="center"/>
          </w:tcPr>
          <w:p>
            <w:pPr>
              <w:pStyle w:val="224"/>
              <w:ind w:firstLine="0" w:firstLineChars="0"/>
              <w:jc w:val="center"/>
              <w:rPr>
                <w:rFonts w:hint="eastAsia" w:ascii="仿宋" w:hAnsi="仿宋" w:eastAsia="仿宋" w:cs="仿宋"/>
                <w:kern w:val="0"/>
                <w:sz w:val="22"/>
                <w:szCs w:val="22"/>
                <w:lang w:val="en-US" w:eastAsia="zh-CN"/>
              </w:rPr>
            </w:pPr>
            <w:r>
              <w:rPr>
                <w:rFonts w:hint="eastAsia" w:ascii="仿宋" w:hAnsi="仿宋" w:eastAsia="仿宋" w:cs="仿宋"/>
                <w:sz w:val="22"/>
                <w:szCs w:val="22"/>
                <w:lang w:val="en-US" w:eastAsia="zh-CN"/>
              </w:rPr>
              <w:t>4</w:t>
            </w:r>
          </w:p>
        </w:tc>
        <w:tc>
          <w:tcPr>
            <w:tcW w:w="62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b w:val="0"/>
                <w:bCs w:val="0"/>
                <w:color w:val="000000"/>
                <w:sz w:val="22"/>
                <w:szCs w:val="22"/>
              </w:rPr>
            </w:pPr>
            <w:r>
              <w:rPr>
                <w:rFonts w:hint="eastAsia" w:ascii="仿宋" w:hAnsi="仿宋" w:eastAsia="仿宋" w:cs="仿宋"/>
                <w:b w:val="0"/>
                <w:bCs w:val="0"/>
                <w:color w:val="000000"/>
                <w:sz w:val="22"/>
                <w:szCs w:val="22"/>
              </w:rPr>
              <w:t>1、公司通过ISO9001 质量管理体系认证得1分；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b w:val="0"/>
                <w:bCs w:val="0"/>
                <w:color w:val="000000"/>
                <w:sz w:val="22"/>
                <w:szCs w:val="22"/>
              </w:rPr>
            </w:pPr>
            <w:r>
              <w:rPr>
                <w:rFonts w:hint="eastAsia" w:ascii="仿宋" w:hAnsi="仿宋" w:eastAsia="仿宋" w:cs="仿宋"/>
                <w:b w:val="0"/>
                <w:bCs w:val="0"/>
                <w:color w:val="000000"/>
                <w:sz w:val="22"/>
                <w:szCs w:val="22"/>
              </w:rPr>
              <w:t>2、公司通过ISO20000信息技术服务管理体系认证得1分；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b w:val="0"/>
                <w:bCs w:val="0"/>
                <w:color w:val="000000"/>
                <w:sz w:val="22"/>
                <w:szCs w:val="22"/>
              </w:rPr>
            </w:pPr>
            <w:r>
              <w:rPr>
                <w:rFonts w:hint="eastAsia" w:ascii="仿宋" w:hAnsi="仿宋" w:eastAsia="仿宋" w:cs="仿宋"/>
                <w:b w:val="0"/>
                <w:bCs w:val="0"/>
                <w:color w:val="000000"/>
                <w:sz w:val="22"/>
                <w:szCs w:val="22"/>
              </w:rPr>
              <w:t>3、公司通过ISO27001信息安全管理体系认证，得1分；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b w:val="0"/>
                <w:bCs w:val="0"/>
                <w:color w:val="000000"/>
                <w:sz w:val="22"/>
                <w:szCs w:val="22"/>
                <w:lang w:eastAsia="zh-CN"/>
              </w:rPr>
            </w:pPr>
            <w:r>
              <w:rPr>
                <w:rFonts w:hint="eastAsia" w:ascii="仿宋" w:hAnsi="仿宋" w:eastAsia="仿宋" w:cs="仿宋"/>
                <w:b w:val="0"/>
                <w:bCs w:val="0"/>
                <w:color w:val="000000"/>
                <w:sz w:val="22"/>
                <w:szCs w:val="22"/>
              </w:rPr>
              <w:t>4、公司通过CMMI体系认证;CMMI4得0.5分,CMMI5及以上得1分</w:t>
            </w:r>
            <w:r>
              <w:rPr>
                <w:rFonts w:hint="eastAsia" w:ascii="仿宋" w:hAnsi="仿宋" w:eastAsia="仿宋" w:cs="仿宋"/>
                <w:b w:val="0"/>
                <w:bCs w:val="0"/>
                <w:color w:val="000000"/>
                <w:sz w:val="22"/>
                <w:szCs w:val="22"/>
                <w:lang w:eastAsia="zh-CN"/>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b w:val="0"/>
                <w:bCs w:val="0"/>
                <w:color w:val="000000"/>
                <w:kern w:val="0"/>
                <w:sz w:val="22"/>
                <w:szCs w:val="22"/>
              </w:rPr>
            </w:pPr>
            <w:r>
              <w:rPr>
                <w:rFonts w:hint="eastAsia" w:ascii="仿宋" w:hAnsi="仿宋" w:eastAsia="仿宋" w:cs="仿宋"/>
                <w:b w:val="0"/>
                <w:bCs w:val="0"/>
                <w:color w:val="000000"/>
                <w:sz w:val="22"/>
                <w:szCs w:val="22"/>
              </w:rPr>
              <w:t>（提供认证复印件，原件备查）</w:t>
            </w:r>
          </w:p>
        </w:tc>
        <w:tc>
          <w:tcPr>
            <w:tcW w:w="1109" w:type="dxa"/>
            <w:noWrap w:val="0"/>
            <w:vAlign w:val="center"/>
          </w:tcPr>
          <w:p>
            <w:pPr>
              <w:rPr>
                <w:rFonts w:hint="eastAsia" w:ascii="仿宋" w:hAnsi="仿宋" w:eastAsia="仿宋" w:cs="仿宋"/>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5" w:hRule="atLeast"/>
        </w:trPr>
        <w:tc>
          <w:tcPr>
            <w:tcW w:w="971" w:type="dxa"/>
            <w:vMerge w:val="restart"/>
            <w:noWrap w:val="0"/>
            <w:vAlign w:val="center"/>
          </w:tcPr>
          <w:p>
            <w:pPr>
              <w:adjustRightInd w:val="0"/>
              <w:snapToGrid w:val="0"/>
              <w:spacing w:after="200"/>
              <w:jc w:val="center"/>
              <w:rPr>
                <w:rFonts w:hint="eastAsia" w:ascii="仿宋" w:hAnsi="仿宋" w:eastAsia="仿宋" w:cs="仿宋"/>
                <w:sz w:val="22"/>
                <w:szCs w:val="22"/>
              </w:rPr>
            </w:pPr>
            <w:r>
              <w:rPr>
                <w:rFonts w:hint="eastAsia" w:ascii="仿宋" w:hAnsi="仿宋" w:eastAsia="仿宋" w:cs="仿宋"/>
                <w:sz w:val="22"/>
                <w:szCs w:val="22"/>
              </w:rPr>
              <w:t>项目</w:t>
            </w:r>
          </w:p>
          <w:p>
            <w:pPr>
              <w:adjustRightInd w:val="0"/>
              <w:snapToGrid w:val="0"/>
              <w:spacing w:after="200"/>
              <w:jc w:val="center"/>
              <w:rPr>
                <w:rFonts w:hint="eastAsia" w:ascii="仿宋" w:hAnsi="仿宋" w:eastAsia="仿宋" w:cs="仿宋"/>
                <w:sz w:val="22"/>
                <w:szCs w:val="22"/>
              </w:rPr>
            </w:pPr>
            <w:r>
              <w:rPr>
                <w:rFonts w:hint="eastAsia" w:ascii="仿宋" w:hAnsi="仿宋" w:eastAsia="仿宋" w:cs="仿宋"/>
                <w:sz w:val="22"/>
                <w:szCs w:val="22"/>
              </w:rPr>
              <w:t>人员</w:t>
            </w:r>
          </w:p>
          <w:p>
            <w:pPr>
              <w:adjustRightInd w:val="0"/>
              <w:snapToGrid w:val="0"/>
              <w:spacing w:after="200"/>
              <w:jc w:val="center"/>
              <w:rPr>
                <w:rFonts w:hint="eastAsia" w:ascii="仿宋" w:hAnsi="仿宋" w:eastAsia="仿宋" w:cs="仿宋"/>
                <w:kern w:val="0"/>
                <w:sz w:val="22"/>
                <w:szCs w:val="22"/>
              </w:rPr>
            </w:pPr>
            <w:r>
              <w:rPr>
                <w:rFonts w:hint="eastAsia" w:ascii="仿宋" w:hAnsi="仿宋" w:eastAsia="仿宋" w:cs="仿宋"/>
                <w:sz w:val="22"/>
                <w:szCs w:val="22"/>
              </w:rPr>
              <w:t>（</w:t>
            </w:r>
            <w:r>
              <w:rPr>
                <w:rFonts w:hint="eastAsia" w:ascii="仿宋" w:hAnsi="仿宋" w:eastAsia="仿宋" w:cs="仿宋"/>
                <w:sz w:val="22"/>
                <w:szCs w:val="22"/>
                <w:lang w:val="en-US" w:eastAsia="zh-CN"/>
              </w:rPr>
              <w:t>24</w:t>
            </w:r>
            <w:r>
              <w:rPr>
                <w:rFonts w:hint="eastAsia" w:ascii="仿宋" w:hAnsi="仿宋" w:eastAsia="仿宋" w:cs="仿宋"/>
                <w:sz w:val="22"/>
                <w:szCs w:val="22"/>
              </w:rPr>
              <w:t>分）</w:t>
            </w:r>
          </w:p>
        </w:tc>
        <w:tc>
          <w:tcPr>
            <w:tcW w:w="1170" w:type="dxa"/>
            <w:noWrap w:val="0"/>
            <w:vAlign w:val="center"/>
          </w:tcPr>
          <w:p>
            <w:pPr>
              <w:pStyle w:val="224"/>
              <w:ind w:firstLine="0" w:firstLineChars="0"/>
              <w:jc w:val="center"/>
              <w:rPr>
                <w:rFonts w:hint="eastAsia" w:ascii="仿宋" w:hAnsi="仿宋" w:eastAsia="仿宋" w:cs="仿宋"/>
                <w:sz w:val="22"/>
                <w:szCs w:val="22"/>
              </w:rPr>
            </w:pPr>
            <w:r>
              <w:rPr>
                <w:rFonts w:hint="eastAsia" w:ascii="仿宋" w:hAnsi="仿宋" w:eastAsia="仿宋" w:cs="仿宋"/>
                <w:sz w:val="22"/>
                <w:szCs w:val="22"/>
              </w:rPr>
              <w:t>项目总监</w:t>
            </w:r>
          </w:p>
          <w:p>
            <w:pPr>
              <w:pStyle w:val="224"/>
              <w:ind w:firstLine="0" w:firstLineChars="0"/>
              <w:jc w:val="center"/>
              <w:rPr>
                <w:rFonts w:hint="eastAsia" w:ascii="仿宋" w:hAnsi="仿宋" w:eastAsia="仿宋" w:cs="仿宋"/>
                <w:sz w:val="22"/>
                <w:szCs w:val="22"/>
              </w:rPr>
            </w:pPr>
            <w:r>
              <w:rPr>
                <w:rFonts w:hint="eastAsia" w:ascii="仿宋" w:hAnsi="仿宋" w:eastAsia="仿宋" w:cs="仿宋"/>
                <w:sz w:val="22"/>
                <w:szCs w:val="22"/>
              </w:rPr>
              <w:t>（</w:t>
            </w:r>
            <w:r>
              <w:rPr>
                <w:rFonts w:hint="eastAsia" w:ascii="仿宋" w:hAnsi="仿宋" w:eastAsia="仿宋" w:cs="仿宋"/>
                <w:sz w:val="22"/>
                <w:szCs w:val="22"/>
                <w:lang w:val="en-US" w:eastAsia="zh-CN"/>
              </w:rPr>
              <w:t>6</w:t>
            </w:r>
            <w:r>
              <w:rPr>
                <w:rFonts w:hint="eastAsia" w:ascii="仿宋" w:hAnsi="仿宋" w:eastAsia="仿宋" w:cs="仿宋"/>
                <w:sz w:val="22"/>
                <w:szCs w:val="22"/>
              </w:rPr>
              <w:t>分）</w:t>
            </w:r>
          </w:p>
        </w:tc>
        <w:tc>
          <w:tcPr>
            <w:tcW w:w="675" w:type="dxa"/>
            <w:noWrap w:val="0"/>
            <w:vAlign w:val="center"/>
          </w:tcPr>
          <w:p>
            <w:pPr>
              <w:pStyle w:val="224"/>
              <w:ind w:firstLine="0" w:firstLineChars="0"/>
              <w:jc w:val="center"/>
              <w:rPr>
                <w:rFonts w:hint="default"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6</w:t>
            </w:r>
          </w:p>
        </w:tc>
        <w:tc>
          <w:tcPr>
            <w:tcW w:w="6256" w:type="dxa"/>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000000"/>
                <w:kern w:val="0"/>
                <w:sz w:val="22"/>
                <w:szCs w:val="22"/>
              </w:rPr>
            </w:pPr>
            <w:r>
              <w:rPr>
                <w:rFonts w:hint="eastAsia" w:ascii="仿宋" w:hAnsi="仿宋" w:eastAsia="仿宋" w:cs="仿宋"/>
                <w:b w:val="0"/>
                <w:bCs w:val="0"/>
                <w:color w:val="000000"/>
                <w:sz w:val="22"/>
                <w:szCs w:val="22"/>
                <w:lang w:val="en-US" w:eastAsia="zh-CN"/>
              </w:rPr>
              <w:t>2020</w:t>
            </w:r>
            <w:r>
              <w:rPr>
                <w:rFonts w:hint="eastAsia" w:ascii="仿宋" w:hAnsi="仿宋" w:eastAsia="仿宋" w:cs="仿宋"/>
                <w:b w:val="0"/>
                <w:bCs w:val="0"/>
                <w:color w:val="000000"/>
                <w:sz w:val="22"/>
                <w:szCs w:val="22"/>
              </w:rPr>
              <w:t>年1月1日至今担任新核心系统高阶需求、架构、项目群管理三合一项目总监的，每一案例得</w:t>
            </w:r>
            <w:r>
              <w:rPr>
                <w:rFonts w:hint="eastAsia" w:ascii="仿宋" w:hAnsi="仿宋" w:eastAsia="仿宋" w:cs="仿宋"/>
                <w:b w:val="0"/>
                <w:bCs w:val="0"/>
                <w:color w:val="000000"/>
                <w:sz w:val="22"/>
                <w:szCs w:val="22"/>
                <w:lang w:val="en-US" w:eastAsia="zh-CN"/>
              </w:rPr>
              <w:t>2</w:t>
            </w:r>
            <w:r>
              <w:rPr>
                <w:rFonts w:hint="eastAsia" w:ascii="仿宋" w:hAnsi="仿宋" w:eastAsia="仿宋" w:cs="仿宋"/>
                <w:b w:val="0"/>
                <w:bCs w:val="0"/>
                <w:color w:val="000000"/>
                <w:sz w:val="22"/>
                <w:szCs w:val="22"/>
              </w:rPr>
              <w:t>分，最高</w:t>
            </w:r>
            <w:r>
              <w:rPr>
                <w:rFonts w:hint="eastAsia" w:ascii="仿宋" w:hAnsi="仿宋" w:eastAsia="仿宋" w:cs="仿宋"/>
                <w:b w:val="0"/>
                <w:bCs w:val="0"/>
                <w:color w:val="000000"/>
                <w:sz w:val="22"/>
                <w:szCs w:val="22"/>
                <w:lang w:val="en-US" w:eastAsia="zh-CN"/>
              </w:rPr>
              <w:t>6</w:t>
            </w:r>
            <w:r>
              <w:rPr>
                <w:rFonts w:hint="eastAsia" w:ascii="仿宋" w:hAnsi="仿宋" w:eastAsia="仿宋" w:cs="仿宋"/>
                <w:b w:val="0"/>
                <w:bCs w:val="0"/>
                <w:color w:val="000000"/>
                <w:sz w:val="22"/>
                <w:szCs w:val="22"/>
              </w:rPr>
              <w:t>分。（提供合同复印件，上述资料须体现招标文件中所要求业绩特征，无法体现要求的，需提供</w:t>
            </w:r>
            <w:r>
              <w:rPr>
                <w:rFonts w:hint="eastAsia" w:ascii="仿宋" w:hAnsi="仿宋" w:eastAsia="仿宋" w:cs="仿宋"/>
                <w:b w:val="0"/>
                <w:bCs w:val="0"/>
                <w:color w:val="000000"/>
                <w:sz w:val="22"/>
                <w:szCs w:val="22"/>
                <w:lang w:eastAsia="zh-CN"/>
              </w:rPr>
              <w:t>招标单位</w:t>
            </w:r>
            <w:r>
              <w:rPr>
                <w:rFonts w:hint="eastAsia" w:ascii="仿宋" w:hAnsi="仿宋" w:eastAsia="仿宋" w:cs="仿宋"/>
                <w:b w:val="0"/>
                <w:bCs w:val="0"/>
                <w:color w:val="000000"/>
                <w:sz w:val="22"/>
                <w:szCs w:val="22"/>
              </w:rPr>
              <w:t>开具的证明材料（加盖</w:t>
            </w:r>
            <w:r>
              <w:rPr>
                <w:rFonts w:hint="eastAsia" w:ascii="仿宋" w:hAnsi="仿宋" w:eastAsia="仿宋" w:cs="仿宋"/>
                <w:b w:val="0"/>
                <w:bCs w:val="0"/>
                <w:color w:val="000000"/>
                <w:sz w:val="22"/>
                <w:szCs w:val="22"/>
                <w:lang w:eastAsia="zh-CN"/>
              </w:rPr>
              <w:t>招标单位的</w:t>
            </w:r>
            <w:r>
              <w:rPr>
                <w:rFonts w:hint="eastAsia" w:ascii="仿宋" w:hAnsi="仿宋" w:eastAsia="仿宋" w:cs="仿宋"/>
                <w:b w:val="0"/>
                <w:bCs w:val="0"/>
                <w:color w:val="000000"/>
                <w:sz w:val="22"/>
                <w:szCs w:val="22"/>
              </w:rPr>
              <w:t>公章））</w:t>
            </w:r>
          </w:p>
        </w:tc>
        <w:tc>
          <w:tcPr>
            <w:tcW w:w="1109" w:type="dxa"/>
            <w:noWrap w:val="0"/>
            <w:vAlign w:val="center"/>
          </w:tcPr>
          <w:p>
            <w:pPr>
              <w:rPr>
                <w:rFonts w:hint="eastAsia" w:ascii="仿宋" w:hAnsi="仿宋" w:eastAsia="仿宋" w:cs="仿宋"/>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0" w:hRule="atLeast"/>
        </w:trPr>
        <w:tc>
          <w:tcPr>
            <w:tcW w:w="971" w:type="dxa"/>
            <w:vMerge w:val="continue"/>
            <w:noWrap w:val="0"/>
            <w:vAlign w:val="center"/>
          </w:tcPr>
          <w:p>
            <w:pPr>
              <w:adjustRightInd w:val="0"/>
              <w:snapToGrid w:val="0"/>
              <w:spacing w:after="200"/>
              <w:jc w:val="center"/>
              <w:rPr>
                <w:rFonts w:hint="eastAsia" w:ascii="仿宋" w:hAnsi="仿宋" w:eastAsia="仿宋" w:cs="仿宋"/>
                <w:kern w:val="0"/>
                <w:sz w:val="22"/>
                <w:szCs w:val="22"/>
              </w:rPr>
            </w:pPr>
          </w:p>
        </w:tc>
        <w:tc>
          <w:tcPr>
            <w:tcW w:w="1170" w:type="dxa"/>
            <w:noWrap w:val="0"/>
            <w:vAlign w:val="center"/>
          </w:tcPr>
          <w:p>
            <w:pPr>
              <w:pStyle w:val="224"/>
              <w:ind w:firstLine="0" w:firstLineChars="0"/>
              <w:jc w:val="center"/>
              <w:rPr>
                <w:rFonts w:hint="eastAsia" w:ascii="仿宋" w:hAnsi="仿宋" w:eastAsia="仿宋" w:cs="仿宋"/>
                <w:sz w:val="22"/>
                <w:szCs w:val="22"/>
              </w:rPr>
            </w:pPr>
            <w:r>
              <w:rPr>
                <w:rFonts w:hint="eastAsia" w:ascii="仿宋" w:hAnsi="仿宋" w:eastAsia="仿宋" w:cs="仿宋"/>
                <w:sz w:val="22"/>
                <w:szCs w:val="22"/>
              </w:rPr>
              <w:t>项目经理</w:t>
            </w:r>
          </w:p>
          <w:p>
            <w:pPr>
              <w:pStyle w:val="224"/>
              <w:ind w:firstLine="0" w:firstLineChars="0"/>
              <w:jc w:val="center"/>
              <w:rPr>
                <w:rFonts w:hint="eastAsia" w:ascii="仿宋" w:hAnsi="仿宋" w:eastAsia="仿宋" w:cs="仿宋"/>
                <w:sz w:val="22"/>
                <w:szCs w:val="22"/>
              </w:rPr>
            </w:pPr>
            <w:r>
              <w:rPr>
                <w:rFonts w:hint="eastAsia" w:ascii="仿宋" w:hAnsi="仿宋" w:eastAsia="仿宋" w:cs="仿宋"/>
                <w:sz w:val="22"/>
                <w:szCs w:val="22"/>
              </w:rPr>
              <w:t>（</w:t>
            </w:r>
            <w:r>
              <w:rPr>
                <w:rFonts w:hint="eastAsia" w:ascii="仿宋" w:hAnsi="仿宋" w:eastAsia="仿宋" w:cs="仿宋"/>
                <w:sz w:val="22"/>
                <w:szCs w:val="22"/>
                <w:lang w:val="en-US" w:eastAsia="zh-CN"/>
              </w:rPr>
              <w:t>9</w:t>
            </w:r>
            <w:r>
              <w:rPr>
                <w:rFonts w:hint="eastAsia" w:ascii="仿宋" w:hAnsi="仿宋" w:eastAsia="仿宋" w:cs="仿宋"/>
                <w:sz w:val="22"/>
                <w:szCs w:val="22"/>
              </w:rPr>
              <w:t>分）</w:t>
            </w:r>
          </w:p>
        </w:tc>
        <w:tc>
          <w:tcPr>
            <w:tcW w:w="675" w:type="dxa"/>
            <w:noWrap w:val="0"/>
            <w:vAlign w:val="center"/>
          </w:tcPr>
          <w:p>
            <w:pPr>
              <w:pStyle w:val="224"/>
              <w:ind w:firstLine="0" w:firstLineChars="0"/>
              <w:jc w:val="center"/>
              <w:rPr>
                <w:rFonts w:hint="eastAsia" w:ascii="仿宋" w:hAnsi="仿宋" w:eastAsia="仿宋" w:cs="仿宋"/>
                <w:kern w:val="0"/>
                <w:sz w:val="22"/>
                <w:szCs w:val="22"/>
                <w:lang w:eastAsia="zh-CN"/>
              </w:rPr>
            </w:pPr>
            <w:r>
              <w:rPr>
                <w:rFonts w:hint="eastAsia" w:ascii="仿宋" w:hAnsi="仿宋" w:eastAsia="仿宋" w:cs="仿宋"/>
                <w:sz w:val="22"/>
                <w:szCs w:val="22"/>
                <w:lang w:val="en-US" w:eastAsia="zh-CN"/>
              </w:rPr>
              <w:t>9</w:t>
            </w:r>
          </w:p>
        </w:tc>
        <w:tc>
          <w:tcPr>
            <w:tcW w:w="6256" w:type="dxa"/>
            <w:noWrap w:val="0"/>
            <w:vAlign w:val="center"/>
          </w:tcPr>
          <w:p>
            <w:pPr>
              <w:keepNext w:val="0"/>
              <w:keepLines w:val="0"/>
              <w:pageBreakBefore w:val="0"/>
              <w:numPr>
                <w:ilvl w:val="0"/>
                <w:numId w:val="16"/>
              </w:numPr>
              <w:kinsoku/>
              <w:wordWrap/>
              <w:overflowPunct/>
              <w:topLinePunct w:val="0"/>
              <w:autoSpaceDE/>
              <w:autoSpaceDN/>
              <w:bidi w:val="0"/>
              <w:adjustRightInd/>
              <w:snapToGrid/>
              <w:spacing w:line="240" w:lineRule="exact"/>
              <w:rPr>
                <w:rFonts w:hint="eastAsia" w:ascii="仿宋" w:hAnsi="仿宋" w:eastAsia="仿宋" w:cs="仿宋"/>
                <w:b w:val="0"/>
                <w:bCs w:val="0"/>
                <w:color w:val="000000"/>
                <w:sz w:val="22"/>
                <w:szCs w:val="22"/>
              </w:rPr>
            </w:pPr>
            <w:r>
              <w:rPr>
                <w:rFonts w:hint="eastAsia" w:ascii="仿宋" w:hAnsi="仿宋" w:eastAsia="仿宋" w:cs="仿宋"/>
                <w:b w:val="0"/>
                <w:bCs w:val="0"/>
                <w:color w:val="000000"/>
                <w:sz w:val="22"/>
                <w:szCs w:val="22"/>
              </w:rPr>
              <w:t>三合一案例：</w:t>
            </w:r>
            <w:r>
              <w:rPr>
                <w:rFonts w:hint="eastAsia" w:ascii="仿宋" w:hAnsi="仿宋" w:eastAsia="仿宋" w:cs="仿宋"/>
                <w:b w:val="0"/>
                <w:bCs w:val="0"/>
                <w:color w:val="000000"/>
                <w:sz w:val="22"/>
                <w:szCs w:val="22"/>
                <w:lang w:val="en-US" w:eastAsia="zh-CN"/>
              </w:rPr>
              <w:t>2020</w:t>
            </w:r>
            <w:r>
              <w:rPr>
                <w:rFonts w:hint="eastAsia" w:ascii="仿宋" w:hAnsi="仿宋" w:eastAsia="仿宋" w:cs="仿宋"/>
                <w:b w:val="0"/>
                <w:bCs w:val="0"/>
                <w:color w:val="000000"/>
                <w:sz w:val="22"/>
                <w:szCs w:val="22"/>
              </w:rPr>
              <w:t>年1月1日至今担任新核心系统高阶需求、架构、项目群管理三合一项目经理A角的，每一案例得2分</w:t>
            </w:r>
            <w:r>
              <w:rPr>
                <w:rFonts w:hint="eastAsia" w:ascii="仿宋" w:hAnsi="仿宋" w:eastAsia="仿宋" w:cs="仿宋"/>
                <w:b w:val="0"/>
                <w:bCs w:val="0"/>
                <w:color w:val="000000"/>
                <w:sz w:val="22"/>
                <w:szCs w:val="22"/>
                <w:lang w:eastAsia="zh-CN"/>
              </w:rPr>
              <w:t>，</w:t>
            </w:r>
            <w:r>
              <w:rPr>
                <w:rFonts w:hint="eastAsia" w:ascii="仿宋" w:hAnsi="仿宋" w:eastAsia="仿宋" w:cs="仿宋"/>
                <w:b w:val="0"/>
                <w:bCs w:val="0"/>
                <w:color w:val="000000"/>
                <w:sz w:val="22"/>
                <w:szCs w:val="22"/>
                <w:lang w:val="en-US" w:eastAsia="zh-CN"/>
              </w:rPr>
              <w:t>最高得6分</w:t>
            </w:r>
            <w:r>
              <w:rPr>
                <w:rFonts w:hint="eastAsia" w:ascii="仿宋" w:hAnsi="仿宋" w:eastAsia="仿宋" w:cs="仿宋"/>
                <w:b w:val="0"/>
                <w:bCs w:val="0"/>
                <w:color w:val="000000"/>
                <w:sz w:val="22"/>
                <w:szCs w:val="22"/>
              </w:rPr>
              <w:t>。</w:t>
            </w:r>
          </w:p>
          <w:p>
            <w:pPr>
              <w:keepNext w:val="0"/>
              <w:keepLines w:val="0"/>
              <w:pageBreakBefore w:val="0"/>
              <w:numPr>
                <w:ilvl w:val="0"/>
                <w:numId w:val="16"/>
              </w:numPr>
              <w:kinsoku/>
              <w:wordWrap/>
              <w:overflowPunct/>
              <w:topLinePunct w:val="0"/>
              <w:autoSpaceDE/>
              <w:autoSpaceDN/>
              <w:bidi w:val="0"/>
              <w:adjustRightInd/>
              <w:snapToGrid/>
              <w:spacing w:line="240" w:lineRule="exact"/>
              <w:rPr>
                <w:rFonts w:hint="eastAsia" w:ascii="仿宋" w:hAnsi="仿宋" w:eastAsia="仿宋" w:cs="仿宋"/>
                <w:b w:val="0"/>
                <w:bCs w:val="0"/>
                <w:color w:val="000000"/>
                <w:sz w:val="22"/>
                <w:szCs w:val="22"/>
              </w:rPr>
            </w:pPr>
            <w:r>
              <w:rPr>
                <w:rFonts w:hint="eastAsia" w:ascii="仿宋" w:hAnsi="仿宋" w:eastAsia="仿宋" w:cs="仿宋"/>
                <w:b w:val="0"/>
                <w:bCs w:val="0"/>
                <w:color w:val="000000"/>
                <w:sz w:val="22"/>
                <w:szCs w:val="22"/>
              </w:rPr>
              <w:t>单一案例：三合一案例以外，</w:t>
            </w:r>
            <w:r>
              <w:rPr>
                <w:rFonts w:hint="eastAsia" w:ascii="仿宋" w:hAnsi="仿宋" w:eastAsia="仿宋" w:cs="仿宋"/>
                <w:b w:val="0"/>
                <w:bCs w:val="0"/>
                <w:color w:val="000000"/>
                <w:sz w:val="22"/>
                <w:szCs w:val="22"/>
                <w:lang w:val="en-US" w:eastAsia="zh-CN"/>
              </w:rPr>
              <w:t>2020</w:t>
            </w:r>
            <w:r>
              <w:rPr>
                <w:rFonts w:hint="eastAsia" w:ascii="仿宋" w:hAnsi="仿宋" w:eastAsia="仿宋" w:cs="仿宋"/>
                <w:b w:val="0"/>
                <w:bCs w:val="0"/>
                <w:color w:val="000000"/>
                <w:sz w:val="22"/>
                <w:szCs w:val="22"/>
              </w:rPr>
              <w:t>年1月1日至今担任新核心系统高阶需求、架构、项目群管理任一单项项目经理A角的，每一案例得</w:t>
            </w:r>
            <w:r>
              <w:rPr>
                <w:rFonts w:hint="eastAsia" w:ascii="仿宋" w:hAnsi="仿宋" w:eastAsia="仿宋" w:cs="仿宋"/>
                <w:b w:val="0"/>
                <w:bCs w:val="0"/>
                <w:color w:val="000000"/>
                <w:sz w:val="22"/>
                <w:szCs w:val="22"/>
                <w:lang w:val="en-US" w:eastAsia="zh-CN"/>
              </w:rPr>
              <w:t>1</w:t>
            </w:r>
            <w:r>
              <w:rPr>
                <w:rFonts w:hint="eastAsia" w:ascii="仿宋" w:hAnsi="仿宋" w:eastAsia="仿宋" w:cs="仿宋"/>
                <w:b w:val="0"/>
                <w:bCs w:val="0"/>
                <w:color w:val="000000"/>
                <w:sz w:val="22"/>
                <w:szCs w:val="22"/>
              </w:rPr>
              <w:t>分</w:t>
            </w:r>
            <w:r>
              <w:rPr>
                <w:rFonts w:hint="eastAsia" w:ascii="仿宋" w:hAnsi="仿宋" w:eastAsia="仿宋" w:cs="仿宋"/>
                <w:b w:val="0"/>
                <w:bCs w:val="0"/>
                <w:color w:val="000000"/>
                <w:sz w:val="22"/>
                <w:szCs w:val="22"/>
                <w:lang w:eastAsia="zh-CN"/>
              </w:rPr>
              <w:t>，</w:t>
            </w:r>
            <w:r>
              <w:rPr>
                <w:rFonts w:hint="eastAsia" w:ascii="仿宋" w:hAnsi="仿宋" w:eastAsia="仿宋" w:cs="仿宋"/>
                <w:b w:val="0"/>
                <w:bCs w:val="0"/>
                <w:color w:val="000000"/>
                <w:sz w:val="22"/>
                <w:szCs w:val="22"/>
                <w:lang w:val="en-US" w:eastAsia="zh-CN"/>
              </w:rPr>
              <w:t>最高得3分</w:t>
            </w:r>
            <w:r>
              <w:rPr>
                <w:rFonts w:hint="eastAsia" w:ascii="仿宋" w:hAnsi="仿宋" w:eastAsia="仿宋" w:cs="仿宋"/>
                <w:b w:val="0"/>
                <w:bCs w:val="0"/>
                <w:color w:val="000000"/>
                <w:sz w:val="22"/>
                <w:szCs w:val="22"/>
              </w:rPr>
              <w:t>。</w:t>
            </w:r>
          </w:p>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000000"/>
                <w:kern w:val="0"/>
                <w:sz w:val="22"/>
                <w:szCs w:val="22"/>
              </w:rPr>
            </w:pPr>
            <w:r>
              <w:rPr>
                <w:rFonts w:hint="eastAsia" w:ascii="仿宋" w:hAnsi="仿宋" w:eastAsia="仿宋" w:cs="仿宋"/>
                <w:b w:val="0"/>
                <w:bCs w:val="0"/>
                <w:color w:val="000000"/>
                <w:sz w:val="22"/>
                <w:szCs w:val="22"/>
              </w:rPr>
              <w:t>（上述两类不重复得分，合计最高</w:t>
            </w:r>
            <w:r>
              <w:rPr>
                <w:rFonts w:hint="eastAsia" w:ascii="仿宋" w:hAnsi="仿宋" w:eastAsia="仿宋" w:cs="仿宋"/>
                <w:b w:val="0"/>
                <w:bCs w:val="0"/>
                <w:color w:val="000000"/>
                <w:sz w:val="22"/>
                <w:szCs w:val="22"/>
                <w:lang w:val="en-US" w:eastAsia="zh-CN"/>
              </w:rPr>
              <w:t>9</w:t>
            </w:r>
            <w:r>
              <w:rPr>
                <w:rFonts w:hint="eastAsia" w:ascii="仿宋" w:hAnsi="仿宋" w:eastAsia="仿宋" w:cs="仿宋"/>
                <w:b w:val="0"/>
                <w:bCs w:val="0"/>
                <w:color w:val="000000"/>
                <w:sz w:val="22"/>
                <w:szCs w:val="22"/>
              </w:rPr>
              <w:t>分，提供合同关键页复印件，上述资料须体现招标文件中所要求业绩特征，无法体现要求的，需提供</w:t>
            </w:r>
            <w:r>
              <w:rPr>
                <w:rFonts w:hint="eastAsia" w:ascii="仿宋" w:hAnsi="仿宋" w:eastAsia="仿宋" w:cs="仿宋"/>
                <w:b w:val="0"/>
                <w:bCs w:val="0"/>
                <w:color w:val="000000"/>
                <w:sz w:val="22"/>
                <w:szCs w:val="22"/>
                <w:lang w:eastAsia="zh-CN"/>
              </w:rPr>
              <w:t>招标单位</w:t>
            </w:r>
            <w:r>
              <w:rPr>
                <w:rFonts w:hint="eastAsia" w:ascii="仿宋" w:hAnsi="仿宋" w:eastAsia="仿宋" w:cs="仿宋"/>
                <w:b w:val="0"/>
                <w:bCs w:val="0"/>
                <w:color w:val="000000"/>
                <w:sz w:val="22"/>
                <w:szCs w:val="22"/>
              </w:rPr>
              <w:t>开具的证明材料（加盖</w:t>
            </w:r>
            <w:r>
              <w:rPr>
                <w:rFonts w:hint="eastAsia" w:ascii="仿宋" w:hAnsi="仿宋" w:eastAsia="仿宋" w:cs="仿宋"/>
                <w:b w:val="0"/>
                <w:bCs w:val="0"/>
                <w:color w:val="000000"/>
                <w:sz w:val="22"/>
                <w:szCs w:val="22"/>
                <w:lang w:eastAsia="zh-CN"/>
              </w:rPr>
              <w:t>招标单位的</w:t>
            </w:r>
            <w:r>
              <w:rPr>
                <w:rFonts w:hint="eastAsia" w:ascii="仿宋" w:hAnsi="仿宋" w:eastAsia="仿宋" w:cs="仿宋"/>
                <w:b w:val="0"/>
                <w:bCs w:val="0"/>
                <w:color w:val="000000"/>
                <w:sz w:val="22"/>
                <w:szCs w:val="22"/>
              </w:rPr>
              <w:t>公章））</w:t>
            </w:r>
          </w:p>
        </w:tc>
        <w:tc>
          <w:tcPr>
            <w:tcW w:w="1109" w:type="dxa"/>
            <w:noWrap w:val="0"/>
            <w:vAlign w:val="center"/>
          </w:tcPr>
          <w:p>
            <w:pPr>
              <w:rPr>
                <w:rFonts w:hint="eastAsia" w:ascii="仿宋" w:hAnsi="仿宋" w:eastAsia="仿宋" w:cs="仿宋"/>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0" w:hRule="atLeast"/>
        </w:trPr>
        <w:tc>
          <w:tcPr>
            <w:tcW w:w="971" w:type="dxa"/>
            <w:vMerge w:val="continue"/>
            <w:noWrap w:val="0"/>
            <w:vAlign w:val="center"/>
          </w:tcPr>
          <w:p>
            <w:pPr>
              <w:adjustRightInd w:val="0"/>
              <w:snapToGrid w:val="0"/>
              <w:spacing w:after="200"/>
              <w:jc w:val="center"/>
              <w:rPr>
                <w:rFonts w:hint="eastAsia" w:ascii="仿宋" w:hAnsi="仿宋" w:eastAsia="仿宋" w:cs="仿宋"/>
                <w:kern w:val="0"/>
                <w:sz w:val="22"/>
                <w:szCs w:val="22"/>
              </w:rPr>
            </w:pPr>
          </w:p>
        </w:tc>
        <w:tc>
          <w:tcPr>
            <w:tcW w:w="1170" w:type="dxa"/>
            <w:noWrap w:val="0"/>
            <w:vAlign w:val="center"/>
          </w:tcPr>
          <w:p>
            <w:pPr>
              <w:pStyle w:val="224"/>
              <w:ind w:firstLine="0" w:firstLineChars="0"/>
              <w:jc w:val="center"/>
              <w:rPr>
                <w:rFonts w:hint="eastAsia" w:ascii="仿宋" w:hAnsi="仿宋" w:eastAsia="仿宋" w:cs="仿宋"/>
                <w:sz w:val="22"/>
                <w:szCs w:val="22"/>
              </w:rPr>
            </w:pPr>
            <w:r>
              <w:rPr>
                <w:rFonts w:hint="eastAsia" w:ascii="仿宋" w:hAnsi="仿宋" w:eastAsia="仿宋" w:cs="仿宋"/>
                <w:sz w:val="22"/>
                <w:szCs w:val="22"/>
              </w:rPr>
              <w:t>项目</w:t>
            </w:r>
            <w:r>
              <w:rPr>
                <w:rFonts w:hint="eastAsia" w:ascii="仿宋" w:hAnsi="仿宋" w:eastAsia="仿宋" w:cs="仿宋"/>
                <w:sz w:val="22"/>
                <w:szCs w:val="22"/>
                <w:lang w:eastAsia="zh-CN"/>
              </w:rPr>
              <w:t>组长</w:t>
            </w:r>
            <w:r>
              <w:rPr>
                <w:rFonts w:hint="eastAsia" w:ascii="仿宋" w:hAnsi="仿宋" w:eastAsia="仿宋" w:cs="仿宋"/>
                <w:sz w:val="22"/>
                <w:szCs w:val="22"/>
              </w:rPr>
              <w:br w:type="textWrapping"/>
            </w:r>
            <w:r>
              <w:rPr>
                <w:rFonts w:hint="eastAsia" w:ascii="仿宋" w:hAnsi="仿宋" w:eastAsia="仿宋" w:cs="仿宋"/>
                <w:sz w:val="22"/>
                <w:szCs w:val="22"/>
              </w:rPr>
              <w:t>（</w:t>
            </w:r>
            <w:r>
              <w:rPr>
                <w:rFonts w:hint="eastAsia" w:ascii="仿宋" w:hAnsi="仿宋" w:eastAsia="仿宋" w:cs="仿宋"/>
                <w:sz w:val="22"/>
                <w:szCs w:val="22"/>
                <w:lang w:val="en-US" w:eastAsia="zh-CN"/>
              </w:rPr>
              <w:t>9</w:t>
            </w:r>
            <w:r>
              <w:rPr>
                <w:rFonts w:hint="eastAsia" w:ascii="仿宋" w:hAnsi="仿宋" w:eastAsia="仿宋" w:cs="仿宋"/>
                <w:sz w:val="22"/>
                <w:szCs w:val="22"/>
              </w:rPr>
              <w:t>分）</w:t>
            </w:r>
          </w:p>
        </w:tc>
        <w:tc>
          <w:tcPr>
            <w:tcW w:w="675" w:type="dxa"/>
            <w:noWrap w:val="0"/>
            <w:vAlign w:val="center"/>
          </w:tcPr>
          <w:p>
            <w:pPr>
              <w:pStyle w:val="224"/>
              <w:ind w:firstLine="0" w:firstLineChars="0"/>
              <w:jc w:val="center"/>
              <w:rPr>
                <w:rFonts w:hint="eastAsia" w:ascii="仿宋" w:hAnsi="仿宋" w:eastAsia="仿宋" w:cs="仿宋"/>
                <w:kern w:val="0"/>
                <w:sz w:val="22"/>
                <w:szCs w:val="22"/>
                <w:lang w:eastAsia="zh-CN"/>
              </w:rPr>
            </w:pPr>
            <w:r>
              <w:rPr>
                <w:rFonts w:hint="eastAsia" w:ascii="仿宋" w:hAnsi="仿宋" w:eastAsia="仿宋" w:cs="仿宋"/>
                <w:sz w:val="22"/>
                <w:szCs w:val="22"/>
                <w:lang w:val="en-US" w:eastAsia="zh-CN"/>
              </w:rPr>
              <w:t>9</w:t>
            </w:r>
          </w:p>
        </w:tc>
        <w:tc>
          <w:tcPr>
            <w:tcW w:w="6256" w:type="dxa"/>
            <w:noWrap w:val="0"/>
            <w:vAlign w:val="center"/>
          </w:tcPr>
          <w:p>
            <w:pPr>
              <w:pStyle w:val="224"/>
              <w:keepNext w:val="0"/>
              <w:keepLines w:val="0"/>
              <w:pageBreakBefore w:val="0"/>
              <w:kinsoku/>
              <w:wordWrap/>
              <w:overflowPunct/>
              <w:topLinePunct w:val="0"/>
              <w:autoSpaceDE/>
              <w:autoSpaceDN/>
              <w:bidi w:val="0"/>
              <w:adjustRightInd/>
              <w:snapToGrid/>
              <w:spacing w:line="240" w:lineRule="exact"/>
              <w:ind w:firstLine="0" w:firstLineChars="0"/>
              <w:rPr>
                <w:rFonts w:hint="eastAsia" w:ascii="仿宋" w:hAnsi="仿宋" w:eastAsia="仿宋" w:cs="仿宋"/>
                <w:color w:val="000000"/>
                <w:kern w:val="0"/>
                <w:sz w:val="22"/>
                <w:szCs w:val="22"/>
              </w:rPr>
            </w:pPr>
            <w:r>
              <w:rPr>
                <w:rFonts w:hint="eastAsia" w:ascii="仿宋" w:hAnsi="仿宋" w:eastAsia="仿宋" w:cs="仿宋"/>
                <w:color w:val="000000"/>
                <w:sz w:val="22"/>
                <w:szCs w:val="22"/>
              </w:rPr>
              <w:t>投标人提供高阶需求、架构、项目群管理</w:t>
            </w:r>
            <w:r>
              <w:rPr>
                <w:rFonts w:hint="eastAsia" w:ascii="仿宋" w:hAnsi="仿宋" w:eastAsia="仿宋" w:cs="仿宋"/>
                <w:color w:val="000000"/>
                <w:sz w:val="22"/>
                <w:szCs w:val="22"/>
                <w:lang w:eastAsia="zh-CN"/>
              </w:rPr>
              <w:t>各组长</w:t>
            </w:r>
            <w:r>
              <w:rPr>
                <w:rFonts w:hint="eastAsia" w:ascii="仿宋" w:hAnsi="仿宋" w:eastAsia="仿宋" w:cs="仿宋"/>
                <w:color w:val="000000"/>
                <w:sz w:val="22"/>
                <w:szCs w:val="22"/>
              </w:rPr>
              <w:t>，且每</w:t>
            </w:r>
            <w:r>
              <w:rPr>
                <w:rFonts w:hint="eastAsia" w:ascii="仿宋" w:hAnsi="仿宋" w:eastAsia="仿宋" w:cs="仿宋"/>
                <w:color w:val="000000"/>
                <w:sz w:val="22"/>
                <w:szCs w:val="22"/>
                <w:lang w:eastAsia="zh-CN"/>
              </w:rPr>
              <w:t>个组长</w:t>
            </w:r>
            <w:r>
              <w:rPr>
                <w:rFonts w:hint="eastAsia" w:ascii="仿宋" w:hAnsi="仿宋" w:eastAsia="仿宋" w:cs="仿宋"/>
                <w:color w:val="000000"/>
                <w:sz w:val="22"/>
                <w:szCs w:val="22"/>
              </w:rPr>
              <w:t>从</w:t>
            </w:r>
            <w:r>
              <w:rPr>
                <w:rFonts w:hint="eastAsia" w:ascii="仿宋" w:hAnsi="仿宋" w:eastAsia="仿宋" w:cs="仿宋"/>
                <w:color w:val="000000"/>
                <w:sz w:val="22"/>
                <w:szCs w:val="22"/>
                <w:lang w:val="en-US" w:eastAsia="zh-CN"/>
              </w:rPr>
              <w:t>2020</w:t>
            </w:r>
            <w:r>
              <w:rPr>
                <w:rFonts w:hint="eastAsia" w:ascii="仿宋" w:hAnsi="仿宋" w:eastAsia="仿宋" w:cs="仿宋"/>
                <w:color w:val="000000"/>
                <w:sz w:val="22"/>
                <w:szCs w:val="22"/>
              </w:rPr>
              <w:t>年1月1日至今在银行核心项目高阶需求、架构、项目群管理任一单项中</w:t>
            </w:r>
            <w:r>
              <w:rPr>
                <w:rFonts w:hint="eastAsia" w:ascii="仿宋" w:hAnsi="仿宋" w:eastAsia="仿宋" w:cs="仿宋"/>
                <w:color w:val="000000"/>
                <w:sz w:val="22"/>
                <w:szCs w:val="22"/>
                <w:lang w:eastAsia="zh-CN"/>
              </w:rPr>
              <w:t>有</w:t>
            </w:r>
            <w:r>
              <w:rPr>
                <w:rFonts w:hint="eastAsia" w:ascii="仿宋" w:hAnsi="仿宋" w:eastAsia="仿宋" w:cs="仿宋"/>
                <w:color w:val="000000"/>
                <w:sz w:val="22"/>
                <w:szCs w:val="22"/>
              </w:rPr>
              <w:t>项目经验，</w:t>
            </w:r>
            <w:r>
              <w:rPr>
                <w:rFonts w:hint="eastAsia" w:ascii="仿宋" w:hAnsi="仿宋" w:eastAsia="仿宋" w:cs="仿宋"/>
                <w:color w:val="000000"/>
                <w:sz w:val="22"/>
                <w:szCs w:val="22"/>
                <w:lang w:eastAsia="zh-CN"/>
              </w:rPr>
              <w:t>每一案例得</w:t>
            </w:r>
            <w:r>
              <w:rPr>
                <w:rFonts w:hint="eastAsia" w:ascii="仿宋" w:hAnsi="仿宋" w:eastAsia="仿宋" w:cs="仿宋"/>
                <w:color w:val="000000"/>
                <w:sz w:val="22"/>
                <w:szCs w:val="22"/>
                <w:lang w:val="en-US" w:eastAsia="zh-CN"/>
              </w:rPr>
              <w:t>1分</w:t>
            </w:r>
            <w:r>
              <w:rPr>
                <w:rFonts w:hint="eastAsia" w:ascii="仿宋" w:hAnsi="仿宋" w:eastAsia="仿宋" w:cs="仿宋"/>
                <w:color w:val="000000"/>
                <w:sz w:val="22"/>
                <w:szCs w:val="22"/>
              </w:rPr>
              <w:t>，每人最高得</w:t>
            </w:r>
            <w:r>
              <w:rPr>
                <w:rFonts w:hint="eastAsia" w:ascii="仿宋" w:hAnsi="仿宋" w:eastAsia="仿宋" w:cs="仿宋"/>
                <w:color w:val="000000"/>
                <w:sz w:val="22"/>
                <w:szCs w:val="22"/>
                <w:lang w:val="en-US" w:eastAsia="zh-CN"/>
              </w:rPr>
              <w:t>3</w:t>
            </w:r>
            <w:r>
              <w:rPr>
                <w:rFonts w:hint="eastAsia" w:ascii="仿宋" w:hAnsi="仿宋" w:eastAsia="仿宋" w:cs="仿宋"/>
                <w:color w:val="000000"/>
                <w:sz w:val="22"/>
                <w:szCs w:val="22"/>
              </w:rPr>
              <w:t>分，合计最高</w:t>
            </w:r>
            <w:r>
              <w:rPr>
                <w:rFonts w:hint="eastAsia" w:ascii="仿宋" w:hAnsi="仿宋" w:eastAsia="仿宋" w:cs="仿宋"/>
                <w:color w:val="000000"/>
                <w:sz w:val="22"/>
                <w:szCs w:val="22"/>
                <w:lang w:val="en-US" w:eastAsia="zh-CN"/>
              </w:rPr>
              <w:t>9</w:t>
            </w:r>
            <w:r>
              <w:rPr>
                <w:rFonts w:hint="eastAsia" w:ascii="仿宋" w:hAnsi="仿宋" w:eastAsia="仿宋" w:cs="仿宋"/>
                <w:color w:val="000000"/>
                <w:sz w:val="22"/>
                <w:szCs w:val="22"/>
              </w:rPr>
              <w:t>分。（提供合同关键页复印件，原件备查，上述资料须体现招标文件中所要求业绩特征，无法体现要求的，需提供</w:t>
            </w:r>
            <w:r>
              <w:rPr>
                <w:rFonts w:hint="eastAsia" w:ascii="仿宋" w:hAnsi="仿宋" w:eastAsia="仿宋" w:cs="仿宋"/>
                <w:b w:val="0"/>
                <w:bCs w:val="0"/>
                <w:color w:val="000000"/>
                <w:sz w:val="22"/>
                <w:szCs w:val="22"/>
                <w:lang w:eastAsia="zh-CN"/>
              </w:rPr>
              <w:t>招标单位</w:t>
            </w:r>
            <w:r>
              <w:rPr>
                <w:rFonts w:hint="eastAsia" w:ascii="仿宋" w:hAnsi="仿宋" w:eastAsia="仿宋" w:cs="仿宋"/>
                <w:color w:val="000000"/>
                <w:sz w:val="22"/>
                <w:szCs w:val="22"/>
              </w:rPr>
              <w:t>开具的证明材料（加盖</w:t>
            </w:r>
            <w:r>
              <w:rPr>
                <w:rFonts w:hint="eastAsia" w:ascii="仿宋" w:hAnsi="仿宋" w:eastAsia="仿宋" w:cs="仿宋"/>
                <w:b w:val="0"/>
                <w:bCs w:val="0"/>
                <w:color w:val="000000"/>
                <w:sz w:val="22"/>
                <w:szCs w:val="22"/>
                <w:lang w:eastAsia="zh-CN"/>
              </w:rPr>
              <w:t>招标单位的</w:t>
            </w:r>
            <w:r>
              <w:rPr>
                <w:rFonts w:hint="eastAsia" w:ascii="仿宋" w:hAnsi="仿宋" w:eastAsia="仿宋" w:cs="仿宋"/>
                <w:color w:val="000000"/>
                <w:sz w:val="22"/>
                <w:szCs w:val="22"/>
              </w:rPr>
              <w:t>公章））</w:t>
            </w:r>
          </w:p>
        </w:tc>
        <w:tc>
          <w:tcPr>
            <w:tcW w:w="1109" w:type="dxa"/>
            <w:noWrap w:val="0"/>
            <w:vAlign w:val="center"/>
          </w:tcPr>
          <w:p>
            <w:pPr>
              <w:pStyle w:val="224"/>
              <w:ind w:firstLine="0" w:firstLineChars="0"/>
              <w:rPr>
                <w:rFonts w:hint="eastAsia" w:ascii="仿宋" w:hAnsi="仿宋" w:eastAsia="仿宋" w:cs="仿宋"/>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5" w:hRule="atLeast"/>
        </w:trPr>
        <w:tc>
          <w:tcPr>
            <w:tcW w:w="971" w:type="dxa"/>
            <w:vMerge w:val="restart"/>
            <w:noWrap w:val="0"/>
            <w:vAlign w:val="center"/>
          </w:tcPr>
          <w:p>
            <w:pPr>
              <w:adjustRightInd w:val="0"/>
              <w:snapToGrid w:val="0"/>
              <w:spacing w:after="200"/>
              <w:jc w:val="center"/>
              <w:rPr>
                <w:rFonts w:hint="eastAsia" w:ascii="仿宋" w:hAnsi="仿宋" w:eastAsia="仿宋" w:cs="仿宋"/>
                <w:sz w:val="22"/>
                <w:szCs w:val="22"/>
              </w:rPr>
            </w:pPr>
            <w:r>
              <w:rPr>
                <w:rFonts w:hint="eastAsia" w:ascii="仿宋" w:hAnsi="仿宋" w:eastAsia="仿宋" w:cs="仿宋"/>
                <w:sz w:val="22"/>
                <w:szCs w:val="22"/>
              </w:rPr>
              <w:t>项目</w:t>
            </w:r>
          </w:p>
          <w:p>
            <w:pPr>
              <w:adjustRightInd w:val="0"/>
              <w:snapToGrid w:val="0"/>
              <w:spacing w:after="200"/>
              <w:jc w:val="center"/>
              <w:rPr>
                <w:rFonts w:hint="eastAsia" w:ascii="仿宋" w:hAnsi="仿宋" w:eastAsia="仿宋" w:cs="仿宋"/>
                <w:sz w:val="22"/>
                <w:szCs w:val="22"/>
              </w:rPr>
            </w:pPr>
            <w:r>
              <w:rPr>
                <w:rFonts w:hint="eastAsia" w:ascii="仿宋" w:hAnsi="仿宋" w:eastAsia="仿宋" w:cs="仿宋"/>
                <w:sz w:val="22"/>
                <w:szCs w:val="22"/>
              </w:rPr>
              <w:t>方案</w:t>
            </w:r>
          </w:p>
          <w:p>
            <w:pPr>
              <w:adjustRightInd w:val="0"/>
              <w:snapToGrid w:val="0"/>
              <w:spacing w:after="200"/>
              <w:jc w:val="center"/>
              <w:rPr>
                <w:rFonts w:hint="eastAsia" w:ascii="仿宋" w:hAnsi="仿宋" w:eastAsia="仿宋" w:cs="仿宋"/>
                <w:kern w:val="0"/>
                <w:sz w:val="22"/>
                <w:szCs w:val="22"/>
              </w:rPr>
            </w:pPr>
            <w:r>
              <w:rPr>
                <w:rFonts w:hint="eastAsia" w:ascii="仿宋" w:hAnsi="仿宋" w:eastAsia="仿宋" w:cs="仿宋"/>
                <w:sz w:val="22"/>
                <w:szCs w:val="22"/>
              </w:rPr>
              <w:t>（</w:t>
            </w:r>
            <w:r>
              <w:rPr>
                <w:rFonts w:hint="eastAsia" w:ascii="仿宋" w:hAnsi="仿宋" w:eastAsia="仿宋" w:cs="仿宋"/>
                <w:sz w:val="22"/>
                <w:szCs w:val="22"/>
                <w:lang w:val="en-US" w:eastAsia="zh-CN"/>
              </w:rPr>
              <w:t>39</w:t>
            </w:r>
            <w:r>
              <w:rPr>
                <w:rFonts w:hint="eastAsia" w:ascii="仿宋" w:hAnsi="仿宋" w:eastAsia="仿宋" w:cs="仿宋"/>
                <w:sz w:val="22"/>
                <w:szCs w:val="22"/>
              </w:rPr>
              <w:t>分）</w:t>
            </w:r>
          </w:p>
        </w:tc>
        <w:tc>
          <w:tcPr>
            <w:tcW w:w="1170" w:type="dxa"/>
            <w:noWrap w:val="0"/>
            <w:vAlign w:val="center"/>
          </w:tcPr>
          <w:p>
            <w:pPr>
              <w:pStyle w:val="224"/>
              <w:ind w:firstLine="0" w:firstLineChars="0"/>
              <w:jc w:val="center"/>
              <w:rPr>
                <w:rFonts w:hint="eastAsia" w:ascii="仿宋" w:hAnsi="仿宋" w:eastAsia="仿宋" w:cs="仿宋"/>
                <w:sz w:val="22"/>
                <w:szCs w:val="22"/>
                <w:lang w:eastAsia="zh-CN"/>
              </w:rPr>
            </w:pPr>
            <w:r>
              <w:rPr>
                <w:rFonts w:hint="eastAsia" w:ascii="仿宋" w:hAnsi="仿宋" w:eastAsia="仿宋" w:cs="仿宋"/>
                <w:sz w:val="22"/>
                <w:szCs w:val="22"/>
              </w:rPr>
              <w:t>项目</w:t>
            </w:r>
            <w:r>
              <w:rPr>
                <w:rFonts w:hint="eastAsia" w:ascii="仿宋" w:hAnsi="仿宋" w:eastAsia="仿宋" w:cs="仿宋"/>
                <w:sz w:val="22"/>
                <w:szCs w:val="22"/>
                <w:lang w:eastAsia="zh-CN"/>
              </w:rPr>
              <w:t>方案设计</w:t>
            </w:r>
          </w:p>
          <w:p>
            <w:pPr>
              <w:pStyle w:val="224"/>
              <w:ind w:firstLine="0" w:firstLineChars="0"/>
              <w:jc w:val="center"/>
              <w:rPr>
                <w:rFonts w:hint="eastAsia" w:ascii="仿宋" w:hAnsi="仿宋" w:eastAsia="仿宋" w:cs="仿宋"/>
                <w:sz w:val="22"/>
                <w:szCs w:val="22"/>
              </w:rPr>
            </w:pPr>
            <w:r>
              <w:rPr>
                <w:rFonts w:hint="eastAsia" w:ascii="仿宋" w:hAnsi="仿宋" w:eastAsia="仿宋" w:cs="仿宋"/>
                <w:sz w:val="22"/>
                <w:szCs w:val="22"/>
              </w:rPr>
              <w:t>（</w:t>
            </w:r>
            <w:r>
              <w:rPr>
                <w:rFonts w:hint="eastAsia" w:ascii="仿宋" w:hAnsi="仿宋" w:eastAsia="仿宋" w:cs="仿宋"/>
                <w:sz w:val="22"/>
                <w:szCs w:val="22"/>
                <w:lang w:val="en-US" w:eastAsia="zh-CN"/>
              </w:rPr>
              <w:t>17</w:t>
            </w:r>
            <w:r>
              <w:rPr>
                <w:rFonts w:hint="eastAsia" w:ascii="仿宋" w:hAnsi="仿宋" w:eastAsia="仿宋" w:cs="仿宋"/>
                <w:sz w:val="22"/>
                <w:szCs w:val="22"/>
              </w:rPr>
              <w:t>分）</w:t>
            </w:r>
          </w:p>
        </w:tc>
        <w:tc>
          <w:tcPr>
            <w:tcW w:w="675" w:type="dxa"/>
            <w:noWrap w:val="0"/>
            <w:vAlign w:val="center"/>
          </w:tcPr>
          <w:p>
            <w:pPr>
              <w:pStyle w:val="224"/>
              <w:ind w:firstLine="0" w:firstLineChars="0"/>
              <w:jc w:val="center"/>
              <w:rPr>
                <w:rFonts w:hint="default" w:ascii="仿宋" w:hAnsi="仿宋" w:eastAsia="仿宋" w:cs="仿宋"/>
                <w:kern w:val="0"/>
                <w:sz w:val="22"/>
                <w:szCs w:val="22"/>
                <w:lang w:val="en-US" w:eastAsia="zh-CN"/>
              </w:rPr>
            </w:pPr>
            <w:r>
              <w:rPr>
                <w:rFonts w:hint="eastAsia" w:ascii="仿宋" w:hAnsi="仿宋" w:eastAsia="仿宋" w:cs="仿宋"/>
                <w:sz w:val="22"/>
                <w:szCs w:val="22"/>
                <w:lang w:val="en-US" w:eastAsia="zh-CN"/>
              </w:rPr>
              <w:t>17</w:t>
            </w:r>
          </w:p>
        </w:tc>
        <w:tc>
          <w:tcPr>
            <w:tcW w:w="6256" w:type="dxa"/>
            <w:noWrap w:val="0"/>
            <w:vAlign w:val="center"/>
          </w:tcPr>
          <w:p>
            <w:pPr>
              <w:pStyle w:val="89"/>
              <w:keepNext w:val="0"/>
              <w:keepLines w:val="0"/>
              <w:pageBreakBefore w:val="0"/>
              <w:kinsoku/>
              <w:wordWrap/>
              <w:overflowPunct/>
              <w:topLinePunct w:val="0"/>
              <w:autoSpaceDE/>
              <w:autoSpaceDN/>
              <w:bidi w:val="0"/>
              <w:adjustRightInd/>
              <w:snapToGrid/>
              <w:spacing w:line="240" w:lineRule="exact"/>
              <w:ind w:left="0" w:leftChars="0" w:firstLine="0" w:firstLineChars="0"/>
              <w:rPr>
                <w:rFonts w:hint="eastAsia" w:ascii="仿宋" w:hAnsi="仿宋" w:eastAsia="仿宋" w:cs="仿宋"/>
                <w:sz w:val="22"/>
                <w:szCs w:val="22"/>
              </w:rPr>
            </w:pPr>
            <w:r>
              <w:rPr>
                <w:rFonts w:hint="eastAsia" w:ascii="仿宋" w:hAnsi="仿宋" w:eastAsia="仿宋" w:cs="仿宋"/>
                <w:sz w:val="22"/>
                <w:szCs w:val="22"/>
              </w:rPr>
              <w:t>1.根据招标方当前情况，提供完整先进可扩展的新一代核心系统群现状评估方案，方案应包含访谈提纲和访谈纪要、技术能力评估、业务能力评估、差距分析报告4项，方案缺1项扣0.5分，满分2分。</w:t>
            </w:r>
          </w:p>
          <w:p>
            <w:pPr>
              <w:pStyle w:val="89"/>
              <w:keepNext w:val="0"/>
              <w:keepLines w:val="0"/>
              <w:pageBreakBefore w:val="0"/>
              <w:kinsoku/>
              <w:wordWrap/>
              <w:overflowPunct/>
              <w:topLinePunct w:val="0"/>
              <w:autoSpaceDE/>
              <w:autoSpaceDN/>
              <w:bidi w:val="0"/>
              <w:adjustRightInd/>
              <w:snapToGrid/>
              <w:spacing w:line="240" w:lineRule="exact"/>
              <w:ind w:left="0" w:leftChars="0" w:firstLine="0" w:firstLineChars="0"/>
              <w:rPr>
                <w:rFonts w:hint="eastAsia" w:ascii="仿宋" w:hAnsi="仿宋" w:eastAsia="仿宋" w:cs="仿宋"/>
                <w:sz w:val="22"/>
                <w:szCs w:val="22"/>
              </w:rPr>
            </w:pPr>
            <w:r>
              <w:rPr>
                <w:rFonts w:hint="eastAsia" w:ascii="仿宋" w:hAnsi="仿宋" w:eastAsia="仿宋" w:cs="仿宋"/>
                <w:sz w:val="22"/>
                <w:szCs w:val="22"/>
              </w:rPr>
              <w:t>2.设计核心系统群业务架构和整体功能模块，出具热点专题报告，优得2分，良得1分，差得0分。</w:t>
            </w:r>
          </w:p>
          <w:p>
            <w:pPr>
              <w:pStyle w:val="89"/>
              <w:keepNext w:val="0"/>
              <w:keepLines w:val="0"/>
              <w:pageBreakBefore w:val="0"/>
              <w:kinsoku/>
              <w:wordWrap/>
              <w:overflowPunct/>
              <w:topLinePunct w:val="0"/>
              <w:autoSpaceDE/>
              <w:autoSpaceDN/>
              <w:bidi w:val="0"/>
              <w:adjustRightInd/>
              <w:snapToGrid/>
              <w:spacing w:line="240" w:lineRule="exact"/>
              <w:ind w:left="0" w:leftChars="0" w:firstLine="0" w:firstLineChars="0"/>
              <w:rPr>
                <w:rFonts w:hint="eastAsia" w:ascii="仿宋" w:hAnsi="仿宋" w:eastAsia="仿宋" w:cs="仿宋"/>
                <w:sz w:val="22"/>
                <w:szCs w:val="22"/>
              </w:rPr>
            </w:pPr>
            <w:r>
              <w:rPr>
                <w:rFonts w:hint="eastAsia" w:ascii="仿宋" w:hAnsi="仿宋" w:eastAsia="仿宋" w:cs="仿宋"/>
                <w:sz w:val="22"/>
                <w:szCs w:val="22"/>
              </w:rPr>
              <w:t>3.明确核心系统与其他应用系统的功能范围边界、依赖关系和数据接口定义，优得2分，良得1分，差得0分。</w:t>
            </w:r>
          </w:p>
          <w:p>
            <w:pPr>
              <w:pStyle w:val="89"/>
              <w:keepNext w:val="0"/>
              <w:keepLines w:val="0"/>
              <w:pageBreakBefore w:val="0"/>
              <w:kinsoku/>
              <w:wordWrap/>
              <w:overflowPunct/>
              <w:topLinePunct w:val="0"/>
              <w:autoSpaceDE/>
              <w:autoSpaceDN/>
              <w:bidi w:val="0"/>
              <w:adjustRightInd/>
              <w:snapToGrid/>
              <w:spacing w:line="240" w:lineRule="exact"/>
              <w:ind w:left="0" w:leftChars="0" w:firstLine="0" w:firstLineChars="0"/>
              <w:rPr>
                <w:rFonts w:hint="eastAsia" w:ascii="仿宋" w:hAnsi="仿宋" w:eastAsia="仿宋" w:cs="仿宋"/>
                <w:sz w:val="22"/>
                <w:szCs w:val="22"/>
              </w:rPr>
            </w:pPr>
            <w:r>
              <w:rPr>
                <w:rFonts w:hint="eastAsia" w:ascii="仿宋" w:hAnsi="仿宋" w:eastAsia="仿宋" w:cs="仿宋"/>
                <w:sz w:val="22"/>
                <w:szCs w:val="22"/>
              </w:rPr>
              <w:t>4.提供支持业务及功能的合理的核心项目群关联系统IT应用技术架构蓝图，并明确各系统的技术指标和非功能性需求。优得2分，良得1分，差得0分。</w:t>
            </w:r>
          </w:p>
          <w:p>
            <w:pPr>
              <w:pStyle w:val="89"/>
              <w:keepNext w:val="0"/>
              <w:keepLines w:val="0"/>
              <w:pageBreakBefore w:val="0"/>
              <w:kinsoku/>
              <w:wordWrap/>
              <w:overflowPunct/>
              <w:topLinePunct w:val="0"/>
              <w:autoSpaceDE/>
              <w:autoSpaceDN/>
              <w:bidi w:val="0"/>
              <w:adjustRightInd/>
              <w:snapToGrid/>
              <w:spacing w:line="240" w:lineRule="exact"/>
              <w:ind w:left="0" w:leftChars="0" w:firstLine="0" w:firstLineChars="0"/>
              <w:rPr>
                <w:rFonts w:hint="eastAsia" w:ascii="仿宋" w:hAnsi="仿宋" w:eastAsia="仿宋" w:cs="仿宋"/>
                <w:sz w:val="22"/>
                <w:szCs w:val="22"/>
              </w:rPr>
            </w:pPr>
            <w:r>
              <w:rPr>
                <w:rFonts w:hint="eastAsia" w:ascii="仿宋" w:hAnsi="仿宋" w:eastAsia="仿宋" w:cs="仿宋"/>
                <w:sz w:val="22"/>
                <w:szCs w:val="22"/>
              </w:rPr>
              <w:t>5.完成核心系统群业务高阶需求的编写工作，需求应包含功能概貌、功能要点、主要业务流程、关键业务规则，展示高阶需求模板，优得</w:t>
            </w:r>
            <w:r>
              <w:rPr>
                <w:rFonts w:hint="eastAsia" w:ascii="仿宋" w:hAnsi="仿宋" w:eastAsia="仿宋" w:cs="仿宋"/>
                <w:sz w:val="22"/>
                <w:szCs w:val="22"/>
                <w:lang w:val="en-US" w:eastAsia="zh-CN"/>
              </w:rPr>
              <w:t>3</w:t>
            </w:r>
            <w:r>
              <w:rPr>
                <w:rFonts w:hint="eastAsia" w:ascii="仿宋" w:hAnsi="仿宋" w:eastAsia="仿宋" w:cs="仿宋"/>
                <w:sz w:val="22"/>
                <w:szCs w:val="22"/>
              </w:rPr>
              <w:t>分，良得1</w:t>
            </w:r>
            <w:r>
              <w:rPr>
                <w:rFonts w:hint="eastAsia" w:ascii="仿宋" w:hAnsi="仿宋" w:eastAsia="仿宋" w:cs="仿宋"/>
                <w:sz w:val="22"/>
                <w:szCs w:val="22"/>
                <w:lang w:val="en-US" w:eastAsia="zh-CN"/>
              </w:rPr>
              <w:t>-2</w:t>
            </w:r>
            <w:r>
              <w:rPr>
                <w:rFonts w:hint="eastAsia" w:ascii="仿宋" w:hAnsi="仿宋" w:eastAsia="仿宋" w:cs="仿宋"/>
                <w:sz w:val="22"/>
                <w:szCs w:val="22"/>
              </w:rPr>
              <w:t>分，差得0分。</w:t>
            </w:r>
          </w:p>
          <w:p>
            <w:pPr>
              <w:pStyle w:val="89"/>
              <w:keepNext w:val="0"/>
              <w:keepLines w:val="0"/>
              <w:pageBreakBefore w:val="0"/>
              <w:kinsoku/>
              <w:wordWrap/>
              <w:overflowPunct/>
              <w:topLinePunct w:val="0"/>
              <w:autoSpaceDE/>
              <w:autoSpaceDN/>
              <w:bidi w:val="0"/>
              <w:adjustRightInd/>
              <w:snapToGrid/>
              <w:spacing w:line="240" w:lineRule="exact"/>
              <w:ind w:left="0" w:leftChars="0" w:firstLine="0" w:firstLineChars="0"/>
              <w:rPr>
                <w:rFonts w:hint="eastAsia" w:ascii="仿宋" w:hAnsi="仿宋" w:eastAsia="仿宋" w:cs="仿宋"/>
                <w:sz w:val="22"/>
                <w:szCs w:val="22"/>
              </w:rPr>
            </w:pPr>
            <w:r>
              <w:rPr>
                <w:rFonts w:hint="eastAsia" w:ascii="仿宋" w:hAnsi="仿宋" w:eastAsia="仿宋" w:cs="仿宋"/>
                <w:sz w:val="22"/>
                <w:szCs w:val="22"/>
              </w:rPr>
              <w:t>6.基于选型结果进行差异分析，与产品系统对接，分析出关联系统产品需进行改造、优化或新增的功能点，并完成详细需求的编写，展示详细需求模板，优得2分，良得1分，差得0分。</w:t>
            </w:r>
          </w:p>
          <w:p>
            <w:pPr>
              <w:pStyle w:val="89"/>
              <w:keepNext w:val="0"/>
              <w:keepLines w:val="0"/>
              <w:pageBreakBefore w:val="0"/>
              <w:kinsoku/>
              <w:wordWrap/>
              <w:overflowPunct/>
              <w:topLinePunct w:val="0"/>
              <w:autoSpaceDE/>
              <w:autoSpaceDN/>
              <w:bidi w:val="0"/>
              <w:adjustRightInd/>
              <w:snapToGrid/>
              <w:spacing w:line="240" w:lineRule="exact"/>
              <w:ind w:left="0" w:leftChars="0" w:firstLine="0" w:firstLineChars="0"/>
              <w:rPr>
                <w:rFonts w:hint="eastAsia" w:ascii="仿宋" w:hAnsi="仿宋" w:eastAsia="仿宋" w:cs="仿宋"/>
                <w:sz w:val="22"/>
                <w:szCs w:val="22"/>
              </w:rPr>
            </w:pPr>
            <w:r>
              <w:rPr>
                <w:rFonts w:hint="eastAsia" w:ascii="仿宋" w:hAnsi="仿宋" w:eastAsia="仿宋" w:cs="仿宋"/>
                <w:sz w:val="22"/>
                <w:szCs w:val="22"/>
              </w:rPr>
              <w:t>7.完成核心系统实施项目群组织架构、实施路径图规划，满足得1分，不满足得0分。</w:t>
            </w:r>
          </w:p>
          <w:p>
            <w:pPr>
              <w:pStyle w:val="89"/>
              <w:keepNext w:val="0"/>
              <w:keepLines w:val="0"/>
              <w:pageBreakBefore w:val="0"/>
              <w:kinsoku/>
              <w:wordWrap/>
              <w:overflowPunct/>
              <w:topLinePunct w:val="0"/>
              <w:autoSpaceDE/>
              <w:autoSpaceDN/>
              <w:bidi w:val="0"/>
              <w:adjustRightInd/>
              <w:snapToGrid/>
              <w:spacing w:line="240" w:lineRule="exact"/>
              <w:ind w:left="0" w:leftChars="0" w:firstLine="0" w:firstLineChars="0"/>
              <w:rPr>
                <w:rFonts w:hint="eastAsia" w:ascii="仿宋" w:hAnsi="仿宋" w:eastAsia="仿宋" w:cs="仿宋"/>
                <w:sz w:val="22"/>
                <w:szCs w:val="22"/>
              </w:rPr>
            </w:pPr>
            <w:r>
              <w:rPr>
                <w:rFonts w:hint="eastAsia" w:ascii="仿宋" w:hAnsi="仿宋" w:eastAsia="仿宋" w:cs="仿宋"/>
                <w:sz w:val="22"/>
                <w:szCs w:val="22"/>
                <w:lang w:val="en-US" w:eastAsia="zh-CN"/>
              </w:rPr>
              <w:t>8.</w:t>
            </w:r>
            <w:r>
              <w:rPr>
                <w:rFonts w:hint="eastAsia" w:ascii="仿宋" w:hAnsi="仿宋" w:eastAsia="仿宋" w:cs="仿宋"/>
                <w:sz w:val="22"/>
                <w:szCs w:val="22"/>
              </w:rPr>
              <w:t>提供专门的PMO执行团队，对项目整体进行把控，解决项目进行过程中问题，及时发现风险并汇报。优得3分，良得1-2分，差得0分。</w:t>
            </w:r>
          </w:p>
          <w:p>
            <w:pPr>
              <w:pStyle w:val="89"/>
              <w:keepNext w:val="0"/>
              <w:keepLines w:val="0"/>
              <w:pageBreakBefore w:val="0"/>
              <w:kinsoku/>
              <w:wordWrap/>
              <w:overflowPunct/>
              <w:topLinePunct w:val="0"/>
              <w:autoSpaceDE/>
              <w:autoSpaceDN/>
              <w:bidi w:val="0"/>
              <w:adjustRightInd/>
              <w:snapToGrid/>
              <w:spacing w:line="240" w:lineRule="exact"/>
              <w:ind w:left="0" w:leftChars="0" w:firstLine="0" w:firstLineChars="0"/>
              <w:rPr>
                <w:rFonts w:hint="eastAsia" w:ascii="仿宋" w:hAnsi="仿宋" w:eastAsia="仿宋" w:cs="仿宋"/>
                <w:kern w:val="0"/>
                <w:sz w:val="22"/>
                <w:szCs w:val="22"/>
              </w:rPr>
            </w:pPr>
          </w:p>
        </w:tc>
        <w:tc>
          <w:tcPr>
            <w:tcW w:w="1109" w:type="dxa"/>
            <w:noWrap w:val="0"/>
            <w:vAlign w:val="center"/>
          </w:tcPr>
          <w:p>
            <w:pPr>
              <w:pStyle w:val="89"/>
              <w:ind w:left="0" w:leftChars="0" w:firstLine="0" w:firstLineChars="0"/>
              <w:rPr>
                <w:rFonts w:hint="eastAsia" w:ascii="仿宋" w:hAnsi="仿宋" w:eastAsia="仿宋" w:cs="仿宋"/>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5" w:hRule="atLeast"/>
        </w:trPr>
        <w:tc>
          <w:tcPr>
            <w:tcW w:w="971" w:type="dxa"/>
            <w:vMerge w:val="continue"/>
            <w:noWrap w:val="0"/>
            <w:vAlign w:val="center"/>
          </w:tcPr>
          <w:p>
            <w:pPr>
              <w:adjustRightInd w:val="0"/>
              <w:snapToGrid w:val="0"/>
              <w:spacing w:after="200"/>
              <w:jc w:val="center"/>
              <w:rPr>
                <w:rFonts w:hint="eastAsia" w:ascii="仿宋" w:hAnsi="仿宋" w:eastAsia="仿宋" w:cs="仿宋"/>
                <w:kern w:val="0"/>
                <w:sz w:val="22"/>
                <w:szCs w:val="22"/>
              </w:rPr>
            </w:pPr>
          </w:p>
        </w:tc>
        <w:tc>
          <w:tcPr>
            <w:tcW w:w="1170" w:type="dxa"/>
            <w:noWrap w:val="0"/>
            <w:vAlign w:val="center"/>
          </w:tcPr>
          <w:p>
            <w:pPr>
              <w:pStyle w:val="224"/>
              <w:ind w:firstLine="0" w:firstLineChars="0"/>
              <w:jc w:val="center"/>
              <w:rPr>
                <w:rFonts w:hint="eastAsia" w:ascii="仿宋" w:hAnsi="仿宋" w:eastAsia="仿宋" w:cs="仿宋"/>
                <w:sz w:val="22"/>
                <w:szCs w:val="22"/>
              </w:rPr>
            </w:pPr>
            <w:r>
              <w:rPr>
                <w:rFonts w:hint="eastAsia" w:ascii="仿宋" w:hAnsi="仿宋" w:eastAsia="仿宋" w:cs="仿宋"/>
                <w:sz w:val="22"/>
                <w:szCs w:val="22"/>
              </w:rPr>
              <w:t>项目</w:t>
            </w:r>
            <w:r>
              <w:rPr>
                <w:rFonts w:hint="eastAsia" w:ascii="仿宋" w:hAnsi="仿宋" w:eastAsia="仿宋" w:cs="仿宋"/>
                <w:sz w:val="22"/>
                <w:szCs w:val="22"/>
                <w:lang w:val="en-US" w:eastAsia="zh-CN"/>
              </w:rPr>
              <w:t>实施能力</w:t>
            </w:r>
            <w:r>
              <w:rPr>
                <w:rFonts w:hint="eastAsia" w:ascii="仿宋" w:hAnsi="仿宋" w:eastAsia="仿宋" w:cs="仿宋"/>
                <w:sz w:val="22"/>
                <w:szCs w:val="22"/>
              </w:rPr>
              <w:t xml:space="preserve"> </w:t>
            </w:r>
          </w:p>
          <w:p>
            <w:pPr>
              <w:pStyle w:val="224"/>
              <w:ind w:firstLine="0" w:firstLineChars="0"/>
              <w:jc w:val="center"/>
              <w:rPr>
                <w:rFonts w:hint="eastAsia" w:ascii="仿宋" w:hAnsi="仿宋" w:eastAsia="仿宋" w:cs="仿宋"/>
                <w:sz w:val="22"/>
                <w:szCs w:val="22"/>
              </w:rPr>
            </w:pPr>
            <w:r>
              <w:rPr>
                <w:rFonts w:hint="eastAsia" w:ascii="仿宋" w:hAnsi="仿宋" w:eastAsia="仿宋" w:cs="仿宋"/>
                <w:sz w:val="22"/>
                <w:szCs w:val="22"/>
              </w:rPr>
              <w:t>（</w:t>
            </w:r>
            <w:r>
              <w:rPr>
                <w:rFonts w:hint="eastAsia" w:ascii="仿宋" w:hAnsi="仿宋" w:eastAsia="仿宋" w:cs="仿宋"/>
                <w:sz w:val="22"/>
                <w:szCs w:val="22"/>
                <w:lang w:val="en-US" w:eastAsia="zh-CN"/>
              </w:rPr>
              <w:t>13</w:t>
            </w:r>
            <w:r>
              <w:rPr>
                <w:rFonts w:hint="eastAsia" w:ascii="仿宋" w:hAnsi="仿宋" w:eastAsia="仿宋" w:cs="仿宋"/>
                <w:sz w:val="22"/>
                <w:szCs w:val="22"/>
              </w:rPr>
              <w:t>分）</w:t>
            </w:r>
          </w:p>
        </w:tc>
        <w:tc>
          <w:tcPr>
            <w:tcW w:w="675" w:type="dxa"/>
            <w:noWrap w:val="0"/>
            <w:vAlign w:val="center"/>
          </w:tcPr>
          <w:p>
            <w:pPr>
              <w:pStyle w:val="224"/>
              <w:ind w:firstLine="0" w:firstLineChars="0"/>
              <w:jc w:val="center"/>
              <w:rPr>
                <w:rFonts w:hint="default" w:ascii="仿宋" w:hAnsi="仿宋" w:eastAsia="仿宋" w:cs="仿宋"/>
                <w:kern w:val="0"/>
                <w:sz w:val="22"/>
                <w:szCs w:val="22"/>
                <w:lang w:val="en-US" w:eastAsia="zh-CN"/>
              </w:rPr>
            </w:pPr>
            <w:r>
              <w:rPr>
                <w:rFonts w:hint="eastAsia" w:ascii="仿宋" w:hAnsi="仿宋" w:eastAsia="仿宋" w:cs="仿宋"/>
                <w:sz w:val="22"/>
                <w:szCs w:val="22"/>
                <w:lang w:val="en-US" w:eastAsia="zh-CN"/>
              </w:rPr>
              <w:t>13</w:t>
            </w:r>
          </w:p>
        </w:tc>
        <w:tc>
          <w:tcPr>
            <w:tcW w:w="6256" w:type="dxa"/>
            <w:noWrap w:val="0"/>
            <w:vAlign w:val="center"/>
          </w:tcPr>
          <w:p>
            <w:pPr>
              <w:pStyle w:val="224"/>
              <w:keepNext w:val="0"/>
              <w:keepLines w:val="0"/>
              <w:pageBreakBefore w:val="0"/>
              <w:kinsoku/>
              <w:wordWrap/>
              <w:overflowPunct/>
              <w:topLinePunct w:val="0"/>
              <w:autoSpaceDE/>
              <w:autoSpaceDN/>
              <w:bidi w:val="0"/>
              <w:adjustRightInd/>
              <w:snapToGrid/>
              <w:spacing w:line="240" w:lineRule="exact"/>
              <w:ind w:firstLine="0" w:firstLineChars="0"/>
              <w:rPr>
                <w:rFonts w:hint="eastAsia" w:ascii="仿宋" w:hAnsi="仿宋" w:eastAsia="仿宋" w:cs="仿宋"/>
                <w:color w:val="auto"/>
                <w:sz w:val="22"/>
                <w:szCs w:val="22"/>
              </w:rPr>
            </w:pPr>
            <w:r>
              <w:rPr>
                <w:rFonts w:hint="eastAsia" w:ascii="仿宋" w:hAnsi="仿宋" w:eastAsia="仿宋" w:cs="仿宋"/>
                <w:color w:val="auto"/>
                <w:sz w:val="22"/>
                <w:szCs w:val="22"/>
              </w:rPr>
              <w:t>参与本项目组成员的技术能力、从业经验、实施能力等综合素质及数量，参与实施人员的经验和项目人员实施稳定性。</w:t>
            </w:r>
          </w:p>
          <w:p>
            <w:pPr>
              <w:pStyle w:val="224"/>
              <w:keepNext w:val="0"/>
              <w:keepLines w:val="0"/>
              <w:pageBreakBefore w:val="0"/>
              <w:kinsoku/>
              <w:wordWrap/>
              <w:overflowPunct/>
              <w:topLinePunct w:val="0"/>
              <w:autoSpaceDE/>
              <w:autoSpaceDN/>
              <w:bidi w:val="0"/>
              <w:adjustRightInd/>
              <w:snapToGrid/>
              <w:spacing w:line="240" w:lineRule="exact"/>
              <w:ind w:firstLine="0" w:firstLineChars="0"/>
              <w:rPr>
                <w:rFonts w:hint="eastAsia" w:ascii="仿宋" w:hAnsi="仿宋" w:eastAsia="仿宋" w:cs="仿宋"/>
                <w:color w:val="auto"/>
                <w:sz w:val="22"/>
                <w:szCs w:val="22"/>
              </w:rPr>
            </w:pPr>
            <w:r>
              <w:rPr>
                <w:rFonts w:hint="eastAsia" w:ascii="仿宋" w:hAnsi="仿宋" w:eastAsia="仿宋" w:cs="仿宋"/>
                <w:color w:val="auto"/>
                <w:sz w:val="22"/>
                <w:szCs w:val="22"/>
              </w:rPr>
              <w:t xml:space="preserve">1.提供2名满足条件的备选项目经理人员。满足得2分。 </w:t>
            </w:r>
          </w:p>
          <w:p>
            <w:pPr>
              <w:pStyle w:val="224"/>
              <w:keepNext w:val="0"/>
              <w:keepLines w:val="0"/>
              <w:pageBreakBefore w:val="0"/>
              <w:kinsoku/>
              <w:wordWrap/>
              <w:overflowPunct/>
              <w:topLinePunct w:val="0"/>
              <w:autoSpaceDE/>
              <w:autoSpaceDN/>
              <w:bidi w:val="0"/>
              <w:adjustRightInd/>
              <w:snapToGrid/>
              <w:spacing w:line="240" w:lineRule="exact"/>
              <w:ind w:firstLine="0" w:firstLineChars="0"/>
              <w:rPr>
                <w:rFonts w:hint="eastAsia" w:ascii="仿宋" w:hAnsi="仿宋" w:eastAsia="仿宋" w:cs="仿宋"/>
                <w:color w:val="auto"/>
                <w:sz w:val="22"/>
                <w:szCs w:val="22"/>
              </w:rPr>
            </w:pPr>
            <w:r>
              <w:rPr>
                <w:rFonts w:hint="eastAsia" w:ascii="仿宋" w:hAnsi="仿宋" w:eastAsia="仿宋" w:cs="仿宋"/>
                <w:color w:val="auto"/>
                <w:sz w:val="22"/>
                <w:szCs w:val="22"/>
              </w:rPr>
              <w:t>2.横向比较各投标人提供项目经理资质情况，从行业经历、实施重大项目数量、资质情况、现场述标情况等进行综合评定。若投标人数量不超过5个（含），设优秀1名，良1名；投标人数量超过5个，设优秀2名，良2名。优秀得3</w:t>
            </w:r>
            <w:r>
              <w:rPr>
                <w:rFonts w:hint="eastAsia" w:ascii="仿宋" w:hAnsi="仿宋" w:eastAsia="仿宋" w:cs="仿宋"/>
                <w:color w:val="auto"/>
                <w:sz w:val="22"/>
                <w:szCs w:val="22"/>
                <w:lang w:val="en-US" w:eastAsia="zh-CN"/>
              </w:rPr>
              <w:t>-4</w:t>
            </w:r>
            <w:r>
              <w:rPr>
                <w:rFonts w:hint="eastAsia" w:ascii="仿宋" w:hAnsi="仿宋" w:eastAsia="仿宋" w:cs="仿宋"/>
                <w:color w:val="auto"/>
                <w:sz w:val="22"/>
                <w:szCs w:val="22"/>
              </w:rPr>
              <w:t>分，良得1-2分，其他不得分。</w:t>
            </w:r>
          </w:p>
          <w:p>
            <w:pPr>
              <w:pStyle w:val="224"/>
              <w:keepNext w:val="0"/>
              <w:keepLines w:val="0"/>
              <w:pageBreakBefore w:val="0"/>
              <w:kinsoku/>
              <w:wordWrap/>
              <w:overflowPunct/>
              <w:topLinePunct w:val="0"/>
              <w:autoSpaceDE/>
              <w:autoSpaceDN/>
              <w:bidi w:val="0"/>
              <w:adjustRightInd/>
              <w:snapToGrid/>
              <w:spacing w:line="240" w:lineRule="exact"/>
              <w:ind w:firstLine="0" w:firstLineChars="0"/>
              <w:rPr>
                <w:rFonts w:hint="eastAsia" w:ascii="仿宋" w:hAnsi="仿宋" w:eastAsia="仿宋" w:cs="仿宋"/>
                <w:sz w:val="22"/>
                <w:szCs w:val="22"/>
              </w:rPr>
            </w:pPr>
            <w:r>
              <w:rPr>
                <w:rFonts w:hint="eastAsia" w:ascii="仿宋" w:hAnsi="仿宋" w:eastAsia="仿宋" w:cs="仿宋"/>
                <w:color w:val="auto"/>
                <w:sz w:val="22"/>
                <w:szCs w:val="22"/>
              </w:rPr>
              <w:t>3. 实施团队人员需包含至少8名高级（含）以上级别人员，高级（含）以上级别人员包括专家级</w:t>
            </w:r>
            <w:r>
              <w:rPr>
                <w:rFonts w:hint="eastAsia" w:ascii="仿宋" w:hAnsi="仿宋" w:eastAsia="仿宋" w:cs="仿宋"/>
                <w:sz w:val="22"/>
                <w:szCs w:val="22"/>
              </w:rPr>
              <w:t>、资深级、高级顾问。在此基础上，每增加一名高级人员加1分，最高4分。符合招标文件中的人员资质要求，标书内提供相关证明材料。</w:t>
            </w:r>
          </w:p>
          <w:p>
            <w:pPr>
              <w:pStyle w:val="224"/>
              <w:keepNext w:val="0"/>
              <w:keepLines w:val="0"/>
              <w:pageBreakBefore w:val="0"/>
              <w:kinsoku/>
              <w:wordWrap/>
              <w:overflowPunct/>
              <w:topLinePunct w:val="0"/>
              <w:autoSpaceDE/>
              <w:autoSpaceDN/>
              <w:bidi w:val="0"/>
              <w:adjustRightInd/>
              <w:snapToGrid/>
              <w:spacing w:line="240" w:lineRule="exact"/>
              <w:ind w:firstLine="0" w:firstLineChars="0"/>
              <w:rPr>
                <w:rFonts w:hint="eastAsia" w:ascii="仿宋" w:hAnsi="仿宋" w:eastAsia="仿宋" w:cs="仿宋"/>
                <w:sz w:val="22"/>
                <w:szCs w:val="22"/>
              </w:rPr>
            </w:pPr>
            <w:r>
              <w:rPr>
                <w:rFonts w:hint="eastAsia" w:ascii="仿宋" w:hAnsi="仿宋" w:eastAsia="仿宋" w:cs="仿宋"/>
                <w:sz w:val="22"/>
                <w:szCs w:val="22"/>
              </w:rPr>
              <w:t>4.参与项目人员在项目期间同时在场人数：咨询阶段不少于4人，需求编写阶段不少于6人，实施阶段不少于</w:t>
            </w:r>
            <w:r>
              <w:rPr>
                <w:rFonts w:hint="eastAsia" w:ascii="仿宋" w:hAnsi="仿宋" w:eastAsia="仿宋" w:cs="仿宋"/>
                <w:sz w:val="22"/>
                <w:szCs w:val="22"/>
                <w:lang w:eastAsia="zh-CN"/>
              </w:rPr>
              <w:t>4</w:t>
            </w:r>
            <w:r>
              <w:rPr>
                <w:rFonts w:hint="eastAsia" w:ascii="仿宋" w:hAnsi="仿宋" w:eastAsia="仿宋" w:cs="仿宋"/>
                <w:sz w:val="22"/>
                <w:szCs w:val="22"/>
              </w:rPr>
              <w:t>人，并提供书面承诺，每有1个阶段能够满足得1分，满分3分，不提供书面承诺的不得分。</w:t>
            </w:r>
          </w:p>
          <w:p>
            <w:pPr>
              <w:pStyle w:val="224"/>
              <w:keepNext w:val="0"/>
              <w:keepLines w:val="0"/>
              <w:pageBreakBefore w:val="0"/>
              <w:kinsoku/>
              <w:wordWrap/>
              <w:overflowPunct/>
              <w:topLinePunct w:val="0"/>
              <w:autoSpaceDE/>
              <w:autoSpaceDN/>
              <w:bidi w:val="0"/>
              <w:adjustRightInd/>
              <w:snapToGrid/>
              <w:spacing w:line="240" w:lineRule="exact"/>
              <w:ind w:firstLine="0" w:firstLineChars="0"/>
              <w:rPr>
                <w:rFonts w:hint="eastAsia" w:ascii="仿宋" w:hAnsi="仿宋" w:eastAsia="仿宋" w:cs="仿宋"/>
                <w:bCs/>
                <w:kern w:val="0"/>
                <w:sz w:val="22"/>
                <w:szCs w:val="22"/>
              </w:rPr>
            </w:pPr>
          </w:p>
        </w:tc>
        <w:tc>
          <w:tcPr>
            <w:tcW w:w="1109" w:type="dxa"/>
            <w:noWrap w:val="0"/>
            <w:vAlign w:val="center"/>
          </w:tcPr>
          <w:p>
            <w:pPr>
              <w:pStyle w:val="224"/>
              <w:ind w:firstLine="0" w:firstLineChars="0"/>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971" w:type="dxa"/>
            <w:vMerge w:val="continue"/>
            <w:noWrap w:val="0"/>
            <w:vAlign w:val="center"/>
          </w:tcPr>
          <w:p>
            <w:pPr>
              <w:adjustRightInd w:val="0"/>
              <w:snapToGrid w:val="0"/>
              <w:spacing w:after="200"/>
              <w:jc w:val="center"/>
              <w:rPr>
                <w:rFonts w:hint="eastAsia" w:ascii="仿宋" w:hAnsi="仿宋" w:eastAsia="仿宋" w:cs="仿宋"/>
                <w:kern w:val="0"/>
                <w:sz w:val="22"/>
                <w:szCs w:val="22"/>
              </w:rPr>
            </w:pPr>
          </w:p>
        </w:tc>
        <w:tc>
          <w:tcPr>
            <w:tcW w:w="1170" w:type="dxa"/>
            <w:noWrap w:val="0"/>
            <w:vAlign w:val="center"/>
          </w:tcPr>
          <w:p>
            <w:pPr>
              <w:pStyle w:val="224"/>
              <w:ind w:firstLine="0" w:firstLineChars="0"/>
              <w:jc w:val="center"/>
              <w:rPr>
                <w:rFonts w:hint="eastAsia" w:ascii="仿宋" w:hAnsi="仿宋" w:eastAsia="仿宋" w:cs="仿宋"/>
                <w:sz w:val="22"/>
                <w:szCs w:val="22"/>
              </w:rPr>
            </w:pPr>
          </w:p>
          <w:p>
            <w:pPr>
              <w:pStyle w:val="224"/>
              <w:ind w:firstLine="0" w:firstLineChars="0"/>
              <w:jc w:val="center"/>
              <w:rPr>
                <w:rFonts w:hint="eastAsia" w:ascii="仿宋" w:hAnsi="仿宋" w:eastAsia="仿宋" w:cs="仿宋"/>
                <w:sz w:val="22"/>
                <w:szCs w:val="22"/>
                <w:lang w:eastAsia="zh-CN"/>
              </w:rPr>
            </w:pPr>
            <w:r>
              <w:rPr>
                <w:rFonts w:hint="eastAsia" w:ascii="仿宋" w:hAnsi="仿宋" w:eastAsia="仿宋" w:cs="仿宋"/>
                <w:sz w:val="22"/>
                <w:szCs w:val="22"/>
              </w:rPr>
              <w:t>项目</w:t>
            </w:r>
            <w:r>
              <w:rPr>
                <w:rFonts w:hint="eastAsia" w:ascii="仿宋" w:hAnsi="仿宋" w:eastAsia="仿宋" w:cs="仿宋"/>
                <w:sz w:val="22"/>
                <w:szCs w:val="22"/>
                <w:lang w:eastAsia="zh-CN"/>
              </w:rPr>
              <w:t>管理工具</w:t>
            </w:r>
          </w:p>
          <w:p>
            <w:pPr>
              <w:pStyle w:val="224"/>
              <w:ind w:firstLine="0" w:firstLineChars="0"/>
              <w:jc w:val="center"/>
              <w:rPr>
                <w:rFonts w:hint="eastAsia" w:ascii="仿宋" w:hAnsi="仿宋" w:eastAsia="仿宋" w:cs="仿宋"/>
                <w:sz w:val="22"/>
                <w:szCs w:val="22"/>
              </w:rPr>
            </w:pPr>
            <w:r>
              <w:rPr>
                <w:rFonts w:hint="eastAsia" w:ascii="仿宋" w:hAnsi="仿宋" w:eastAsia="仿宋" w:cs="仿宋"/>
                <w:sz w:val="22"/>
                <w:szCs w:val="22"/>
              </w:rPr>
              <w:t>（</w:t>
            </w:r>
            <w:r>
              <w:rPr>
                <w:rFonts w:hint="eastAsia" w:ascii="仿宋" w:hAnsi="仿宋" w:eastAsia="仿宋" w:cs="仿宋"/>
                <w:sz w:val="22"/>
                <w:szCs w:val="22"/>
                <w:lang w:val="en-US" w:eastAsia="zh-CN"/>
              </w:rPr>
              <w:t>6</w:t>
            </w:r>
            <w:r>
              <w:rPr>
                <w:rFonts w:hint="eastAsia" w:ascii="仿宋" w:hAnsi="仿宋" w:eastAsia="仿宋" w:cs="仿宋"/>
                <w:sz w:val="22"/>
                <w:szCs w:val="22"/>
              </w:rPr>
              <w:t>分）</w:t>
            </w:r>
          </w:p>
        </w:tc>
        <w:tc>
          <w:tcPr>
            <w:tcW w:w="675" w:type="dxa"/>
            <w:noWrap w:val="0"/>
            <w:vAlign w:val="center"/>
          </w:tcPr>
          <w:p>
            <w:pPr>
              <w:pStyle w:val="224"/>
              <w:ind w:firstLine="0" w:firstLineChars="0"/>
              <w:jc w:val="center"/>
              <w:rPr>
                <w:rFonts w:hint="default"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6</w:t>
            </w:r>
          </w:p>
        </w:tc>
        <w:tc>
          <w:tcPr>
            <w:tcW w:w="6256" w:type="dxa"/>
            <w:noWrap w:val="0"/>
            <w:vAlign w:val="center"/>
          </w:tcPr>
          <w:p>
            <w:pPr>
              <w:pStyle w:val="224"/>
              <w:keepNext w:val="0"/>
              <w:keepLines w:val="0"/>
              <w:pageBreakBefore w:val="0"/>
              <w:kinsoku/>
              <w:wordWrap/>
              <w:overflowPunct/>
              <w:topLinePunct w:val="0"/>
              <w:autoSpaceDE/>
              <w:autoSpaceDN/>
              <w:bidi w:val="0"/>
              <w:adjustRightInd/>
              <w:snapToGrid/>
              <w:spacing w:line="240" w:lineRule="exact"/>
              <w:ind w:firstLine="0" w:firstLineChars="0"/>
              <w:rPr>
                <w:rFonts w:hint="eastAsia" w:ascii="仿宋" w:hAnsi="仿宋" w:eastAsia="仿宋" w:cs="仿宋"/>
                <w:sz w:val="22"/>
                <w:szCs w:val="22"/>
              </w:rPr>
            </w:pPr>
            <w:r>
              <w:rPr>
                <w:rFonts w:hint="eastAsia" w:ascii="仿宋" w:hAnsi="仿宋" w:eastAsia="仿宋" w:cs="仿宋"/>
                <w:sz w:val="22"/>
                <w:szCs w:val="22"/>
              </w:rPr>
              <w:t>1.项目期间在行内部署管理工具（含架构管理、需求管理、项目管理、上线指挥），并组织操作培训，优得3分，良得1-2分，差得0分。</w:t>
            </w:r>
          </w:p>
          <w:p>
            <w:pPr>
              <w:pStyle w:val="224"/>
              <w:keepNext w:val="0"/>
              <w:keepLines w:val="0"/>
              <w:pageBreakBefore w:val="0"/>
              <w:kinsoku/>
              <w:wordWrap/>
              <w:overflowPunct/>
              <w:topLinePunct w:val="0"/>
              <w:autoSpaceDE/>
              <w:autoSpaceDN/>
              <w:bidi w:val="0"/>
              <w:adjustRightInd/>
              <w:snapToGrid/>
              <w:spacing w:line="240" w:lineRule="exact"/>
              <w:ind w:firstLine="0" w:firstLineChars="0"/>
              <w:rPr>
                <w:rFonts w:hint="eastAsia" w:ascii="仿宋" w:hAnsi="仿宋" w:eastAsia="仿宋" w:cs="仿宋"/>
                <w:sz w:val="22"/>
                <w:szCs w:val="22"/>
              </w:rPr>
            </w:pPr>
            <w:r>
              <w:rPr>
                <w:rFonts w:hint="eastAsia" w:ascii="仿宋" w:hAnsi="仿宋" w:eastAsia="仿宋" w:cs="仿宋"/>
                <w:sz w:val="22"/>
                <w:szCs w:val="22"/>
              </w:rPr>
              <w:t>2.项目管理工具在离场后可转移行内免费使用，同时可支持工具中数据的迁移，全部满足得</w:t>
            </w:r>
            <w:r>
              <w:rPr>
                <w:rFonts w:hint="eastAsia" w:ascii="仿宋" w:hAnsi="仿宋" w:eastAsia="仿宋" w:cs="仿宋"/>
                <w:sz w:val="22"/>
                <w:szCs w:val="22"/>
                <w:lang w:val="en-US" w:eastAsia="zh-CN"/>
              </w:rPr>
              <w:t>3</w:t>
            </w:r>
            <w:r>
              <w:rPr>
                <w:rFonts w:hint="eastAsia" w:ascii="仿宋" w:hAnsi="仿宋" w:eastAsia="仿宋" w:cs="仿宋"/>
                <w:sz w:val="22"/>
                <w:szCs w:val="22"/>
              </w:rPr>
              <w:t>分，部分满足得1</w:t>
            </w:r>
            <w:r>
              <w:rPr>
                <w:rFonts w:hint="eastAsia" w:ascii="仿宋" w:hAnsi="仿宋" w:eastAsia="仿宋" w:cs="仿宋"/>
                <w:sz w:val="22"/>
                <w:szCs w:val="22"/>
                <w:lang w:val="en-US" w:eastAsia="zh-CN"/>
              </w:rPr>
              <w:t>-2</w:t>
            </w:r>
            <w:r>
              <w:rPr>
                <w:rFonts w:hint="eastAsia" w:ascii="仿宋" w:hAnsi="仿宋" w:eastAsia="仿宋" w:cs="仿宋"/>
                <w:sz w:val="22"/>
                <w:szCs w:val="22"/>
              </w:rPr>
              <w:t>分，不满足得0分。</w:t>
            </w:r>
          </w:p>
          <w:p>
            <w:pPr>
              <w:pStyle w:val="224"/>
              <w:keepNext w:val="0"/>
              <w:keepLines w:val="0"/>
              <w:pageBreakBefore w:val="0"/>
              <w:kinsoku/>
              <w:wordWrap/>
              <w:overflowPunct/>
              <w:topLinePunct w:val="0"/>
              <w:autoSpaceDE/>
              <w:autoSpaceDN/>
              <w:bidi w:val="0"/>
              <w:adjustRightInd/>
              <w:snapToGrid/>
              <w:spacing w:line="240" w:lineRule="exact"/>
              <w:ind w:firstLine="0" w:firstLineChars="0"/>
              <w:rPr>
                <w:rFonts w:hint="eastAsia" w:ascii="仿宋" w:hAnsi="仿宋" w:eastAsia="仿宋" w:cs="仿宋"/>
                <w:bCs/>
                <w:kern w:val="0"/>
                <w:sz w:val="22"/>
                <w:szCs w:val="22"/>
              </w:rPr>
            </w:pPr>
          </w:p>
        </w:tc>
        <w:tc>
          <w:tcPr>
            <w:tcW w:w="1109" w:type="dxa"/>
            <w:noWrap w:val="0"/>
            <w:vAlign w:val="center"/>
          </w:tcPr>
          <w:p>
            <w:pPr>
              <w:pStyle w:val="224"/>
              <w:ind w:firstLine="0" w:firstLineChars="0"/>
              <w:rPr>
                <w:rFonts w:hint="eastAsia" w:ascii="仿宋" w:hAnsi="仿宋" w:eastAsia="仿宋" w:cs="仿宋"/>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971" w:type="dxa"/>
            <w:vMerge w:val="continue"/>
            <w:noWrap w:val="0"/>
            <w:vAlign w:val="center"/>
          </w:tcPr>
          <w:p>
            <w:pPr>
              <w:adjustRightInd w:val="0"/>
              <w:snapToGrid w:val="0"/>
              <w:spacing w:after="200"/>
              <w:jc w:val="center"/>
              <w:rPr>
                <w:rFonts w:hint="eastAsia" w:ascii="仿宋" w:hAnsi="仿宋" w:eastAsia="仿宋" w:cs="仿宋"/>
                <w:kern w:val="0"/>
                <w:sz w:val="22"/>
                <w:szCs w:val="22"/>
              </w:rPr>
            </w:pPr>
          </w:p>
        </w:tc>
        <w:tc>
          <w:tcPr>
            <w:tcW w:w="1170" w:type="dxa"/>
            <w:noWrap w:val="0"/>
            <w:vAlign w:val="center"/>
          </w:tcPr>
          <w:p>
            <w:pPr>
              <w:pStyle w:val="224"/>
              <w:ind w:firstLine="0" w:firstLineChars="0"/>
              <w:jc w:val="center"/>
              <w:rPr>
                <w:rFonts w:hint="eastAsia" w:ascii="仿宋" w:hAnsi="仿宋" w:eastAsia="仿宋" w:cs="仿宋"/>
                <w:sz w:val="22"/>
                <w:szCs w:val="22"/>
              </w:rPr>
            </w:pPr>
            <w:r>
              <w:rPr>
                <w:rFonts w:hint="eastAsia" w:ascii="仿宋" w:hAnsi="仿宋" w:eastAsia="仿宋" w:cs="仿宋"/>
                <w:sz w:val="22"/>
                <w:szCs w:val="22"/>
                <w:lang w:eastAsia="zh-CN"/>
              </w:rPr>
              <w:t>培训要求</w:t>
            </w:r>
            <w:r>
              <w:rPr>
                <w:rFonts w:hint="eastAsia" w:ascii="仿宋" w:hAnsi="仿宋" w:eastAsia="仿宋" w:cs="仿宋"/>
                <w:sz w:val="22"/>
                <w:szCs w:val="22"/>
              </w:rPr>
              <w:t>（3分）</w:t>
            </w:r>
          </w:p>
        </w:tc>
        <w:tc>
          <w:tcPr>
            <w:tcW w:w="675" w:type="dxa"/>
            <w:noWrap w:val="0"/>
            <w:vAlign w:val="center"/>
          </w:tcPr>
          <w:p>
            <w:pPr>
              <w:pStyle w:val="224"/>
              <w:ind w:firstLine="0" w:firstLineChars="0"/>
              <w:jc w:val="center"/>
              <w:rPr>
                <w:rFonts w:hint="eastAsia" w:ascii="仿宋" w:hAnsi="仿宋" w:eastAsia="仿宋" w:cs="仿宋"/>
                <w:kern w:val="0"/>
                <w:sz w:val="22"/>
                <w:szCs w:val="22"/>
              </w:rPr>
            </w:pPr>
            <w:r>
              <w:rPr>
                <w:rFonts w:hint="eastAsia" w:ascii="仿宋" w:hAnsi="仿宋" w:eastAsia="仿宋" w:cs="仿宋"/>
                <w:sz w:val="22"/>
                <w:szCs w:val="22"/>
              </w:rPr>
              <w:t>3</w:t>
            </w:r>
          </w:p>
        </w:tc>
        <w:tc>
          <w:tcPr>
            <w:tcW w:w="6256" w:type="dxa"/>
            <w:noWrap w:val="0"/>
            <w:vAlign w:val="center"/>
          </w:tcPr>
          <w:p>
            <w:pPr>
              <w:pStyle w:val="224"/>
              <w:keepNext w:val="0"/>
              <w:keepLines w:val="0"/>
              <w:pageBreakBefore w:val="0"/>
              <w:kinsoku/>
              <w:wordWrap/>
              <w:overflowPunct/>
              <w:topLinePunct w:val="0"/>
              <w:autoSpaceDE/>
              <w:autoSpaceDN/>
              <w:bidi w:val="0"/>
              <w:adjustRightInd/>
              <w:snapToGrid/>
              <w:spacing w:line="240" w:lineRule="exact"/>
              <w:ind w:firstLine="0" w:firstLineChars="0"/>
              <w:rPr>
                <w:rFonts w:hint="eastAsia" w:ascii="仿宋" w:hAnsi="仿宋" w:eastAsia="仿宋" w:cs="仿宋"/>
                <w:sz w:val="22"/>
                <w:szCs w:val="22"/>
              </w:rPr>
            </w:pPr>
            <w:r>
              <w:rPr>
                <w:rFonts w:hint="eastAsia" w:ascii="仿宋" w:hAnsi="仿宋" w:eastAsia="仿宋" w:cs="仿宋"/>
                <w:sz w:val="22"/>
                <w:szCs w:val="22"/>
              </w:rPr>
              <w:t>除满足我行招标要求内容外，能额外提供专项的业务及技术培训，并达到预期效果。横向比较各投标人提供的培训清单，优得3分，良得1-2分，差得0分。</w:t>
            </w:r>
          </w:p>
          <w:p>
            <w:pPr>
              <w:pStyle w:val="224"/>
              <w:keepNext w:val="0"/>
              <w:keepLines w:val="0"/>
              <w:pageBreakBefore w:val="0"/>
              <w:kinsoku/>
              <w:wordWrap/>
              <w:overflowPunct/>
              <w:topLinePunct w:val="0"/>
              <w:autoSpaceDE/>
              <w:autoSpaceDN/>
              <w:bidi w:val="0"/>
              <w:adjustRightInd/>
              <w:snapToGrid/>
              <w:spacing w:line="240" w:lineRule="exact"/>
              <w:ind w:firstLine="0" w:firstLineChars="0"/>
              <w:rPr>
                <w:rFonts w:hint="eastAsia" w:ascii="仿宋" w:hAnsi="仿宋" w:eastAsia="仿宋" w:cs="仿宋"/>
                <w:kern w:val="0"/>
                <w:sz w:val="22"/>
                <w:szCs w:val="22"/>
              </w:rPr>
            </w:pPr>
          </w:p>
        </w:tc>
        <w:tc>
          <w:tcPr>
            <w:tcW w:w="1109" w:type="dxa"/>
            <w:noWrap w:val="0"/>
            <w:vAlign w:val="center"/>
          </w:tcPr>
          <w:p>
            <w:pPr>
              <w:pStyle w:val="224"/>
              <w:ind w:firstLine="0" w:firstLineChars="0"/>
              <w:rPr>
                <w:rFonts w:hint="eastAsia" w:ascii="仿宋" w:hAnsi="仿宋" w:eastAsia="仿宋" w:cs="仿宋"/>
                <w:kern w:val="0"/>
                <w:sz w:val="22"/>
                <w:szCs w:val="22"/>
              </w:rPr>
            </w:pPr>
          </w:p>
        </w:tc>
      </w:tr>
    </w:tbl>
    <w:p>
      <w:pPr>
        <w:shd w:val="clear"/>
        <w:spacing w:line="420" w:lineRule="exact"/>
        <w:rPr>
          <w:rFonts w:hint="eastAsia" w:asciiTheme="majorEastAsia" w:hAnsiTheme="majorEastAsia" w:eastAsiaTheme="majorEastAsia"/>
          <w:b/>
          <w:bCs/>
          <w:iCs/>
          <w:color w:val="auto"/>
          <w:sz w:val="24"/>
        </w:rPr>
      </w:pPr>
    </w:p>
    <w:p>
      <w:pPr>
        <w:shd w:val="clear"/>
        <w:spacing w:line="420" w:lineRule="exact"/>
        <w:rPr>
          <w:rFonts w:asciiTheme="majorEastAsia" w:hAnsiTheme="majorEastAsia" w:eastAsiaTheme="majorEastAsia"/>
          <w:b/>
          <w:bCs/>
          <w:iCs/>
          <w:color w:val="auto"/>
          <w:sz w:val="24"/>
        </w:rPr>
      </w:pPr>
      <w:r>
        <w:rPr>
          <w:rFonts w:hint="eastAsia" w:asciiTheme="majorEastAsia" w:hAnsiTheme="majorEastAsia" w:eastAsiaTheme="majorEastAsia"/>
          <w:b/>
          <w:bCs/>
          <w:iCs/>
          <w:color w:val="auto"/>
          <w:sz w:val="24"/>
        </w:rPr>
        <w:t>注：证书均在有效期内。对省级以上主管部门认定的首台套产品，自纳入《省推广应用指导目录》起三年内参加政府采购活动，视同已具备相应销售业绩，业绩分为满分。</w:t>
      </w:r>
    </w:p>
    <w:p>
      <w:pPr>
        <w:shd w:val="clear"/>
        <w:spacing w:line="440" w:lineRule="exact"/>
        <w:rPr>
          <w:rFonts w:asciiTheme="majorEastAsia" w:hAnsiTheme="majorEastAsia" w:eastAsiaTheme="majorEastAsia"/>
          <w:b/>
          <w:bCs/>
          <w:iCs/>
          <w:color w:val="auto"/>
          <w:sz w:val="24"/>
        </w:rPr>
      </w:pPr>
      <w:r>
        <w:rPr>
          <w:rFonts w:hint="eastAsia" w:asciiTheme="majorEastAsia" w:hAnsiTheme="majorEastAsia" w:eastAsiaTheme="majorEastAsia"/>
          <w:b/>
          <w:bCs/>
          <w:iCs/>
          <w:color w:val="auto"/>
          <w:sz w:val="24"/>
        </w:rPr>
        <w:t>2.2价格分</w:t>
      </w:r>
      <w:r>
        <w:rPr>
          <w:rFonts w:hint="eastAsia" w:asciiTheme="majorEastAsia" w:hAnsiTheme="majorEastAsia" w:eastAsiaTheme="majorEastAsia"/>
          <w:b/>
          <w:bCs/>
          <w:iCs/>
          <w:color w:val="auto"/>
          <w:sz w:val="24"/>
          <w:lang w:val="en-US" w:eastAsia="zh-CN"/>
        </w:rPr>
        <w:t>30</w:t>
      </w:r>
      <w:r>
        <w:rPr>
          <w:rFonts w:hint="eastAsia" w:asciiTheme="majorEastAsia" w:hAnsiTheme="majorEastAsia" w:eastAsiaTheme="majorEastAsia"/>
          <w:b/>
          <w:bCs/>
          <w:iCs/>
          <w:color w:val="auto"/>
          <w:sz w:val="24"/>
        </w:rPr>
        <w:t>分</w:t>
      </w:r>
    </w:p>
    <w:p>
      <w:pPr>
        <w:shd w:val="clear"/>
        <w:spacing w:line="440" w:lineRule="exact"/>
        <w:rPr>
          <w:rFonts w:asciiTheme="majorEastAsia" w:hAnsiTheme="majorEastAsia" w:eastAsiaTheme="majorEastAsia"/>
          <w:bCs/>
          <w:iCs/>
          <w:color w:val="auto"/>
          <w:sz w:val="24"/>
        </w:rPr>
      </w:pPr>
      <w:r>
        <w:rPr>
          <w:rFonts w:hint="eastAsia" w:asciiTheme="majorEastAsia" w:hAnsiTheme="majorEastAsia" w:eastAsiaTheme="majorEastAsia"/>
          <w:bCs/>
          <w:iCs/>
          <w:color w:val="auto"/>
          <w:sz w:val="24"/>
        </w:rPr>
        <w:t>2.2.1磋商基准价：即满足磋商文件要求且最终投标单价最低的供应商的价格为磋商基准价，其价格分为满分。</w:t>
      </w:r>
    </w:p>
    <w:p>
      <w:pPr>
        <w:shd w:val="clear"/>
        <w:spacing w:line="440" w:lineRule="exact"/>
        <w:rPr>
          <w:rFonts w:asciiTheme="majorEastAsia" w:hAnsiTheme="majorEastAsia" w:eastAsiaTheme="majorEastAsia"/>
          <w:bCs/>
          <w:iCs/>
          <w:color w:val="auto"/>
          <w:sz w:val="24"/>
        </w:rPr>
      </w:pPr>
      <w:r>
        <w:rPr>
          <w:rFonts w:hint="eastAsia" w:asciiTheme="majorEastAsia" w:hAnsiTheme="majorEastAsia" w:eastAsiaTheme="majorEastAsia"/>
          <w:bCs/>
          <w:iCs/>
          <w:color w:val="auto"/>
          <w:sz w:val="24"/>
        </w:rPr>
        <w:t>2.2.2其他供应商的价格分统一按照下列公式计算：</w:t>
      </w:r>
    </w:p>
    <w:p>
      <w:pPr>
        <w:shd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heme="majorEastAsia" w:hAnsiTheme="majorEastAsia" w:eastAsiaTheme="majorEastAsia"/>
          <w:bCs/>
          <w:iCs/>
          <w:color w:val="auto"/>
          <w:sz w:val="24"/>
        </w:rPr>
      </w:pPr>
      <w:r>
        <w:rPr>
          <w:rFonts w:hint="eastAsia" w:asciiTheme="majorEastAsia" w:hAnsiTheme="majorEastAsia" w:eastAsiaTheme="majorEastAsia"/>
          <w:bCs/>
          <w:iCs/>
          <w:color w:val="auto"/>
          <w:sz w:val="24"/>
        </w:rPr>
        <w:t>磋商报价得分=(磋商基准价／最后磋商报价)×价格权值×100</w:t>
      </w:r>
    </w:p>
    <w:p>
      <w:pPr>
        <w:pageBreakBefore/>
        <w:shd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cs="仿宋_GB2312" w:asciiTheme="majorEastAsia" w:hAnsiTheme="majorEastAsia" w:eastAsiaTheme="majorEastAsia"/>
          <w:b/>
          <w:color w:val="auto"/>
          <w:sz w:val="36"/>
          <w:szCs w:val="20"/>
        </w:rPr>
      </w:pPr>
      <w:r>
        <w:rPr>
          <w:rFonts w:hint="eastAsia" w:cs="仿宋_GB2312" w:asciiTheme="majorEastAsia" w:hAnsiTheme="majorEastAsia" w:eastAsiaTheme="majorEastAsia"/>
          <w:b/>
          <w:color w:val="auto"/>
          <w:sz w:val="36"/>
          <w:szCs w:val="20"/>
        </w:rPr>
        <w:t>第六部分</w:t>
      </w:r>
      <w:r>
        <w:rPr>
          <w:rFonts w:hint="eastAsia" w:cs="仿宋_GB2312" w:asciiTheme="majorEastAsia" w:hAnsiTheme="majorEastAsia" w:eastAsiaTheme="majorEastAsia"/>
          <w:b/>
          <w:color w:val="auto"/>
          <w:sz w:val="36"/>
          <w:szCs w:val="20"/>
          <w:lang w:val="en-US" w:eastAsia="zh-CN"/>
        </w:rPr>
        <w:t xml:space="preserve">  </w:t>
      </w:r>
      <w:r>
        <w:rPr>
          <w:rFonts w:hint="eastAsia" w:asciiTheme="majorEastAsia" w:hAnsiTheme="majorEastAsia" w:eastAsiaTheme="majorEastAsia"/>
          <w:b/>
          <w:color w:val="auto"/>
          <w:sz w:val="36"/>
          <w:szCs w:val="36"/>
        </w:rPr>
        <w:t>磋商响应文件</w:t>
      </w:r>
      <w:r>
        <w:rPr>
          <w:rFonts w:hint="eastAsia" w:cs="仿宋_GB2312" w:asciiTheme="majorEastAsia" w:hAnsiTheme="majorEastAsia" w:eastAsiaTheme="majorEastAsia"/>
          <w:b/>
          <w:color w:val="auto"/>
          <w:sz w:val="36"/>
          <w:szCs w:val="20"/>
        </w:rPr>
        <w:t>应提交的有关格式范例</w:t>
      </w:r>
    </w:p>
    <w:p>
      <w:pPr>
        <w:shd w:val="clear"/>
        <w:spacing w:line="360" w:lineRule="auto"/>
        <w:ind w:firstLine="480" w:firstLineChars="200"/>
        <w:outlineLvl w:val="0"/>
        <w:rPr>
          <w:rFonts w:cs="仿宋_GB2312" w:asciiTheme="majorEastAsia" w:hAnsiTheme="majorEastAsia" w:eastAsiaTheme="majorEastAsia"/>
          <w:color w:val="auto"/>
          <w:sz w:val="24"/>
        </w:rPr>
      </w:pPr>
    </w:p>
    <w:p>
      <w:pPr>
        <w:shd w:val="clear"/>
        <w:spacing w:line="360" w:lineRule="auto"/>
        <w:ind w:firstLine="480" w:firstLineChars="200"/>
        <w:outlineLvl w:val="0"/>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供应商按照以下格式编制磋商响应文件，并将报价文件、商务技术（资信）文件分别编制成册。</w:t>
      </w:r>
    </w:p>
    <w:p>
      <w:pPr>
        <w:shd w:val="clear"/>
        <w:spacing w:line="360" w:lineRule="auto"/>
        <w:ind w:firstLine="480" w:firstLineChars="200"/>
        <w:outlineLvl w:val="0"/>
        <w:rPr>
          <w:rFonts w:cs="仿宋_GB2312" w:asciiTheme="majorEastAsia" w:hAnsiTheme="majorEastAsia" w:eastAsiaTheme="majorEastAsia"/>
          <w:color w:val="auto"/>
          <w:sz w:val="24"/>
        </w:rPr>
      </w:pPr>
    </w:p>
    <w:p>
      <w:pPr>
        <w:shd w:val="clear"/>
        <w:spacing w:line="360" w:lineRule="auto"/>
        <w:ind w:firstLine="480" w:firstLineChars="200"/>
        <w:outlineLvl w:val="0"/>
        <w:rPr>
          <w:rFonts w:cs="仿宋_GB2312" w:asciiTheme="majorEastAsia" w:hAnsiTheme="majorEastAsia" w:eastAsiaTheme="majorEastAsia"/>
          <w:color w:val="auto"/>
          <w:sz w:val="24"/>
        </w:rPr>
      </w:pPr>
    </w:p>
    <w:p>
      <w:pPr>
        <w:shd w:val="clear"/>
        <w:spacing w:line="360" w:lineRule="auto"/>
        <w:ind w:firstLine="480" w:firstLineChars="200"/>
        <w:outlineLvl w:val="0"/>
        <w:rPr>
          <w:rFonts w:cs="仿宋_GB2312" w:asciiTheme="majorEastAsia" w:hAnsiTheme="majorEastAsia" w:eastAsiaTheme="majorEastAsia"/>
          <w:color w:val="auto"/>
          <w:sz w:val="24"/>
        </w:rPr>
      </w:pPr>
    </w:p>
    <w:p>
      <w:pPr>
        <w:shd w:val="clear"/>
        <w:spacing w:line="360" w:lineRule="auto"/>
        <w:ind w:firstLine="480" w:firstLineChars="200"/>
        <w:outlineLvl w:val="0"/>
        <w:rPr>
          <w:rFonts w:cs="仿宋_GB2312" w:asciiTheme="majorEastAsia" w:hAnsiTheme="majorEastAsia" w:eastAsiaTheme="majorEastAsia"/>
          <w:color w:val="auto"/>
          <w:sz w:val="24"/>
        </w:rPr>
      </w:pPr>
    </w:p>
    <w:p>
      <w:pPr>
        <w:shd w:val="clear"/>
        <w:spacing w:line="360" w:lineRule="auto"/>
        <w:ind w:firstLine="480" w:firstLineChars="200"/>
        <w:outlineLvl w:val="0"/>
        <w:rPr>
          <w:rFonts w:cs="仿宋_GB2312" w:asciiTheme="majorEastAsia" w:hAnsiTheme="majorEastAsia" w:eastAsiaTheme="majorEastAsia"/>
          <w:color w:val="auto"/>
          <w:sz w:val="24"/>
        </w:rPr>
      </w:pPr>
    </w:p>
    <w:p>
      <w:pPr>
        <w:shd w:val="clear"/>
        <w:snapToGrid w:val="0"/>
        <w:spacing w:line="360" w:lineRule="auto"/>
        <w:jc w:val="center"/>
        <w:rPr>
          <w:rFonts w:cs="仿宋_GB2312" w:asciiTheme="majorEastAsia" w:hAnsiTheme="majorEastAsia" w:eastAsiaTheme="majorEastAsia"/>
          <w:b/>
          <w:color w:val="auto"/>
          <w:kern w:val="0"/>
          <w:sz w:val="36"/>
          <w:szCs w:val="36"/>
        </w:rPr>
      </w:pPr>
      <w:r>
        <w:rPr>
          <w:rFonts w:hint="eastAsia" w:cs="仿宋_GB2312" w:asciiTheme="majorEastAsia" w:hAnsiTheme="majorEastAsia" w:eastAsiaTheme="majorEastAsia"/>
          <w:b/>
          <w:color w:val="auto"/>
          <w:kern w:val="0"/>
          <w:sz w:val="36"/>
          <w:szCs w:val="36"/>
        </w:rPr>
        <w:t>报价文件部分</w:t>
      </w:r>
    </w:p>
    <w:p>
      <w:pPr>
        <w:shd w:val="clear"/>
        <w:spacing w:line="360" w:lineRule="auto"/>
        <w:jc w:val="center"/>
        <w:outlineLvl w:val="0"/>
        <w:rPr>
          <w:rFonts w:cs="仿宋_GB2312" w:asciiTheme="majorEastAsia" w:hAnsiTheme="majorEastAsia" w:eastAsiaTheme="majorEastAsia"/>
          <w:b/>
          <w:color w:val="auto"/>
          <w:kern w:val="0"/>
          <w:sz w:val="24"/>
        </w:rPr>
      </w:pPr>
    </w:p>
    <w:p>
      <w:pPr>
        <w:shd w:val="clear"/>
        <w:spacing w:line="360" w:lineRule="auto"/>
        <w:jc w:val="center"/>
        <w:outlineLvl w:val="0"/>
        <w:rPr>
          <w:rFonts w:cs="仿宋_GB2312" w:asciiTheme="majorEastAsia" w:hAnsiTheme="majorEastAsia" w:eastAsiaTheme="majorEastAsia"/>
          <w:b/>
          <w:color w:val="auto"/>
          <w:kern w:val="0"/>
          <w:sz w:val="36"/>
          <w:szCs w:val="36"/>
        </w:rPr>
      </w:pPr>
      <w:r>
        <w:rPr>
          <w:rFonts w:hint="eastAsia" w:cs="仿宋_GB2312" w:asciiTheme="majorEastAsia" w:hAnsiTheme="majorEastAsia" w:eastAsiaTheme="majorEastAsia"/>
          <w:b/>
          <w:color w:val="auto"/>
          <w:kern w:val="0"/>
          <w:sz w:val="36"/>
          <w:szCs w:val="36"/>
        </w:rPr>
        <w:t>目录</w:t>
      </w:r>
    </w:p>
    <w:p>
      <w:pPr>
        <w:shd w:val="clear"/>
        <w:spacing w:line="360" w:lineRule="auto"/>
        <w:outlineLvl w:val="0"/>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rPr>
        <w:t>（1）磋商响应函……………………………………………………（页码）</w:t>
      </w:r>
    </w:p>
    <w:p>
      <w:pPr>
        <w:shd w:val="clear"/>
        <w:spacing w:line="360" w:lineRule="auto"/>
        <w:outlineLvl w:val="0"/>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rPr>
        <w:t>（2）报价一览表……………………………………………………（页码）</w:t>
      </w:r>
    </w:p>
    <w:p>
      <w:pPr>
        <w:shd w:val="clear"/>
        <w:spacing w:line="360" w:lineRule="auto"/>
        <w:outlineLvl w:val="0"/>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rPr>
        <w:t>（3）中小企业声明函………………………………………………（页码）</w:t>
      </w:r>
    </w:p>
    <w:p>
      <w:pPr>
        <w:shd w:val="clear"/>
        <w:spacing w:line="360" w:lineRule="auto"/>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（4）残疾人福利性单位声明函</w:t>
      </w:r>
      <w:r>
        <w:rPr>
          <w:rFonts w:hint="eastAsia" w:cs="仿宋_GB2312" w:asciiTheme="majorEastAsia" w:hAnsiTheme="majorEastAsia" w:eastAsiaTheme="majorEastAsia"/>
          <w:color w:val="auto"/>
          <w:kern w:val="0"/>
          <w:sz w:val="24"/>
        </w:rPr>
        <w:t>……………………………………（页码）</w:t>
      </w:r>
    </w:p>
    <w:p>
      <w:pPr>
        <w:shd w:val="clear"/>
        <w:spacing w:line="360" w:lineRule="auto"/>
        <w:ind w:left="2" w:firstLine="480" w:firstLineChars="200"/>
        <w:rPr>
          <w:rFonts w:cs="仿宋_GB2312" w:asciiTheme="majorEastAsia" w:hAnsiTheme="majorEastAsia" w:eastAsiaTheme="majorEastAsia"/>
          <w:color w:val="auto"/>
          <w:sz w:val="24"/>
        </w:rPr>
      </w:pPr>
    </w:p>
    <w:p>
      <w:pPr>
        <w:pStyle w:val="37"/>
        <w:shd w:val="clear"/>
        <w:spacing w:line="800" w:lineRule="atLeast"/>
        <w:ind w:left="0" w:leftChars="0"/>
        <w:rPr>
          <w:rFonts w:asciiTheme="majorEastAsia" w:hAnsiTheme="majorEastAsia" w:eastAsiaTheme="majorEastAsia"/>
          <w:b/>
          <w:color w:val="auto"/>
          <w:sz w:val="36"/>
          <w:szCs w:val="36"/>
        </w:rPr>
      </w:pPr>
    </w:p>
    <w:p>
      <w:pPr>
        <w:pStyle w:val="37"/>
        <w:shd w:val="clear"/>
        <w:spacing w:line="800" w:lineRule="atLeast"/>
        <w:ind w:left="0" w:leftChars="0"/>
        <w:rPr>
          <w:rFonts w:asciiTheme="majorEastAsia" w:hAnsiTheme="majorEastAsia" w:eastAsiaTheme="majorEastAsia"/>
          <w:b/>
          <w:color w:val="auto"/>
          <w:sz w:val="36"/>
          <w:szCs w:val="36"/>
        </w:rPr>
      </w:pPr>
    </w:p>
    <w:p>
      <w:pPr>
        <w:pStyle w:val="37"/>
        <w:shd w:val="clear"/>
        <w:spacing w:line="800" w:lineRule="atLeast"/>
        <w:ind w:left="0" w:leftChars="0"/>
        <w:rPr>
          <w:rFonts w:asciiTheme="majorEastAsia" w:hAnsiTheme="majorEastAsia" w:eastAsiaTheme="majorEastAsia"/>
          <w:b/>
          <w:color w:val="auto"/>
          <w:sz w:val="36"/>
          <w:szCs w:val="36"/>
        </w:rPr>
      </w:pPr>
    </w:p>
    <w:p>
      <w:pPr>
        <w:pStyle w:val="37"/>
        <w:shd w:val="clear"/>
        <w:spacing w:line="800" w:lineRule="atLeast"/>
        <w:ind w:left="0" w:leftChars="0"/>
        <w:rPr>
          <w:rFonts w:asciiTheme="majorEastAsia" w:hAnsiTheme="majorEastAsia" w:eastAsiaTheme="majorEastAsia"/>
          <w:b/>
          <w:color w:val="auto"/>
          <w:sz w:val="36"/>
          <w:szCs w:val="36"/>
        </w:rPr>
      </w:pPr>
    </w:p>
    <w:p>
      <w:pPr>
        <w:pStyle w:val="37"/>
        <w:shd w:val="clear"/>
        <w:spacing w:line="800" w:lineRule="atLeast"/>
        <w:ind w:left="0" w:leftChars="0"/>
        <w:rPr>
          <w:rFonts w:asciiTheme="majorEastAsia" w:hAnsiTheme="majorEastAsia" w:eastAsiaTheme="majorEastAsia"/>
          <w:b/>
          <w:color w:val="auto"/>
          <w:sz w:val="36"/>
          <w:szCs w:val="36"/>
        </w:rPr>
      </w:pPr>
    </w:p>
    <w:p>
      <w:pPr>
        <w:pageBreakBefore/>
        <w:shd w:val="clear"/>
        <w:rPr>
          <w:rFonts w:asciiTheme="majorEastAsia" w:hAnsiTheme="majorEastAsia" w:eastAsiaTheme="majorEastAsia"/>
          <w:b/>
          <w:color w:val="auto"/>
          <w:sz w:val="30"/>
          <w:szCs w:val="30"/>
        </w:rPr>
      </w:pPr>
      <w:r>
        <w:rPr>
          <w:rFonts w:hint="eastAsia" w:asciiTheme="majorEastAsia" w:hAnsiTheme="majorEastAsia" w:eastAsiaTheme="majorEastAsia"/>
          <w:b/>
          <w:color w:val="auto"/>
          <w:sz w:val="30"/>
          <w:szCs w:val="30"/>
        </w:rPr>
        <w:t>1、磋商响应函（格式）</w:t>
      </w:r>
    </w:p>
    <w:p>
      <w:pPr>
        <w:pStyle w:val="155"/>
        <w:shd w:val="clear"/>
        <w:spacing w:afterLines="0" w:line="400" w:lineRule="exact"/>
        <w:ind w:firstLine="0" w:firstLineChars="0"/>
        <w:rPr>
          <w:rFonts w:asciiTheme="majorEastAsia" w:hAnsiTheme="majorEastAsia" w:eastAsiaTheme="majorEastAsia"/>
          <w:color w:val="auto"/>
          <w:szCs w:val="24"/>
        </w:rPr>
      </w:pPr>
      <w:r>
        <w:rPr>
          <w:rFonts w:hint="eastAsia" w:asciiTheme="majorEastAsia" w:hAnsiTheme="majorEastAsia" w:eastAsiaTheme="majorEastAsia"/>
          <w:color w:val="auto"/>
          <w:szCs w:val="24"/>
        </w:rPr>
        <w:t>致：</w:t>
      </w:r>
      <w:r>
        <w:rPr>
          <w:rFonts w:hint="eastAsia" w:asciiTheme="majorEastAsia" w:hAnsiTheme="majorEastAsia" w:eastAsiaTheme="majorEastAsia"/>
          <w:color w:val="auto"/>
          <w:szCs w:val="24"/>
          <w:u w:val="single"/>
          <w:lang w:eastAsia="zh-CN"/>
        </w:rPr>
        <w:t>绍兴银行股份有限公司</w:t>
      </w:r>
      <w:r>
        <w:rPr>
          <w:rFonts w:hint="eastAsia" w:asciiTheme="majorEastAsia" w:hAnsiTheme="majorEastAsia" w:eastAsiaTheme="majorEastAsia"/>
          <w:color w:val="auto"/>
          <w:szCs w:val="24"/>
          <w:u w:val="single"/>
        </w:rPr>
        <w:t>、</w:t>
      </w:r>
      <w:r>
        <w:rPr>
          <w:rFonts w:hint="eastAsia" w:asciiTheme="majorEastAsia" w:hAnsiTheme="majorEastAsia" w:eastAsiaTheme="majorEastAsia"/>
          <w:color w:val="auto"/>
          <w:szCs w:val="24"/>
          <w:u w:val="single"/>
          <w:lang w:eastAsia="zh-CN"/>
        </w:rPr>
        <w:t>浙江华元工程咨询有限公司</w:t>
      </w:r>
      <w:r>
        <w:rPr>
          <w:rFonts w:hint="eastAsia" w:asciiTheme="majorEastAsia" w:hAnsiTheme="majorEastAsia" w:eastAsiaTheme="majorEastAsia"/>
          <w:color w:val="auto"/>
          <w:szCs w:val="24"/>
          <w:u w:val="single"/>
        </w:rPr>
        <w:t xml:space="preserve"> </w:t>
      </w:r>
    </w:p>
    <w:p>
      <w:pPr>
        <w:pStyle w:val="155"/>
        <w:shd w:val="clear"/>
        <w:spacing w:afterLines="0" w:line="40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根据贵方磋商文件（</w:t>
      </w:r>
      <w:r>
        <w:rPr>
          <w:rFonts w:hint="eastAsia" w:asciiTheme="majorEastAsia" w:hAnsiTheme="majorEastAsia" w:eastAsiaTheme="majorEastAsia"/>
          <w:b/>
          <w:color w:val="auto"/>
          <w:szCs w:val="24"/>
          <w:u w:val="single"/>
        </w:rPr>
        <w:t>填写磋商编号：</w:t>
      </w:r>
      <w:r>
        <w:rPr>
          <w:rFonts w:hint="eastAsia" w:asciiTheme="majorEastAsia" w:hAnsiTheme="majorEastAsia" w:eastAsiaTheme="majorEastAsia"/>
          <w:color w:val="auto"/>
          <w:szCs w:val="24"/>
        </w:rPr>
        <w:t>）的要求，正式授权</w:t>
      </w:r>
      <w:r>
        <w:rPr>
          <w:rFonts w:hint="eastAsia" w:asciiTheme="majorEastAsia" w:hAnsiTheme="majorEastAsia" w:eastAsiaTheme="majorEastAsia"/>
          <w:b/>
          <w:color w:val="auto"/>
          <w:szCs w:val="24"/>
          <w:u w:val="single"/>
        </w:rPr>
        <w:t>（全权代表姓名    、单位    、职务   ）</w:t>
      </w:r>
      <w:r>
        <w:rPr>
          <w:rFonts w:hint="eastAsia" w:asciiTheme="majorEastAsia" w:hAnsiTheme="majorEastAsia" w:eastAsiaTheme="majorEastAsia"/>
          <w:color w:val="auto"/>
          <w:szCs w:val="24"/>
        </w:rPr>
        <w:t>代表供应商</w:t>
      </w:r>
      <w:r>
        <w:rPr>
          <w:rFonts w:hint="eastAsia" w:asciiTheme="majorEastAsia" w:hAnsiTheme="majorEastAsia" w:eastAsiaTheme="majorEastAsia"/>
          <w:color w:val="auto"/>
          <w:szCs w:val="24"/>
          <w:u w:val="single"/>
        </w:rPr>
        <w:t>（</w:t>
      </w:r>
      <w:r>
        <w:rPr>
          <w:rFonts w:hint="eastAsia" w:asciiTheme="majorEastAsia" w:hAnsiTheme="majorEastAsia" w:eastAsiaTheme="majorEastAsia"/>
          <w:b/>
          <w:color w:val="auto"/>
          <w:szCs w:val="24"/>
          <w:u w:val="single"/>
        </w:rPr>
        <w:t xml:space="preserve">填写单位    、地址   </w:t>
      </w:r>
      <w:r>
        <w:rPr>
          <w:rFonts w:hint="eastAsia" w:asciiTheme="majorEastAsia" w:hAnsiTheme="majorEastAsia" w:eastAsiaTheme="majorEastAsia"/>
          <w:color w:val="auto"/>
          <w:szCs w:val="24"/>
          <w:u w:val="single"/>
        </w:rPr>
        <w:t>）</w:t>
      </w:r>
      <w:r>
        <w:rPr>
          <w:rFonts w:hint="eastAsia" w:asciiTheme="majorEastAsia" w:hAnsiTheme="majorEastAsia" w:eastAsiaTheme="majorEastAsia"/>
          <w:color w:val="auto"/>
          <w:szCs w:val="24"/>
        </w:rPr>
        <w:t>提交磋商响应文件。</w:t>
      </w:r>
    </w:p>
    <w:p>
      <w:pPr>
        <w:pStyle w:val="155"/>
        <w:shd w:val="clear"/>
        <w:spacing w:afterLines="0" w:line="40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我方已完全明白磋商文件的所有条款要求，兹声明同意如下：</w:t>
      </w:r>
    </w:p>
    <w:p>
      <w:pPr>
        <w:pStyle w:val="15"/>
        <w:shd w:val="clear"/>
        <w:tabs>
          <w:tab w:val="clear" w:pos="1697"/>
        </w:tabs>
        <w:spacing w:afterLines="0" w:line="400" w:lineRule="exact"/>
        <w:ind w:left="0" w:firstLine="480" w:firstLineChars="200"/>
        <w:rPr>
          <w:rFonts w:asciiTheme="majorEastAsia" w:hAnsiTheme="majorEastAsia" w:eastAsiaTheme="majorEastAsia"/>
          <w:color w:val="auto"/>
          <w:szCs w:val="24"/>
        </w:rPr>
      </w:pPr>
      <w:r>
        <w:rPr>
          <w:rFonts w:hint="eastAsia" w:asciiTheme="majorEastAsia" w:hAnsiTheme="majorEastAsia" w:eastAsiaTheme="majorEastAsia"/>
          <w:color w:val="auto"/>
          <w:szCs w:val="24"/>
        </w:rPr>
        <w:t>1.</w:t>
      </w:r>
      <w:r>
        <w:rPr>
          <w:rFonts w:hint="eastAsia" w:cs="仿宋_GB2312" w:asciiTheme="majorEastAsia" w:hAnsiTheme="majorEastAsia" w:eastAsiaTheme="majorEastAsia"/>
          <w:color w:val="auto"/>
        </w:rPr>
        <w:t xml:space="preserve"> 我方同意在供应商</w:t>
      </w:r>
      <w:r>
        <w:rPr>
          <w:rFonts w:hint="eastAsia" w:cs="仿宋_GB2312" w:asciiTheme="majorEastAsia" w:hAnsiTheme="majorEastAsia" w:eastAsiaTheme="majorEastAsia"/>
          <w:color w:val="auto"/>
          <w:kern w:val="44"/>
        </w:rPr>
        <w:t>须知</w:t>
      </w:r>
      <w:r>
        <w:rPr>
          <w:rFonts w:hint="eastAsia" w:cs="仿宋_GB2312" w:asciiTheme="majorEastAsia" w:hAnsiTheme="majorEastAsia" w:eastAsiaTheme="majorEastAsia"/>
          <w:color w:val="auto"/>
        </w:rPr>
        <w:t>规定的响应日期起遵守本磋商响应文件中的承诺且在响应有效期满之前均具有约束力</w:t>
      </w:r>
      <w:r>
        <w:rPr>
          <w:rFonts w:hint="eastAsia" w:asciiTheme="majorEastAsia" w:hAnsiTheme="majorEastAsia" w:eastAsiaTheme="majorEastAsia"/>
          <w:color w:val="auto"/>
          <w:szCs w:val="24"/>
        </w:rPr>
        <w:t>。</w:t>
      </w:r>
    </w:p>
    <w:p>
      <w:pPr>
        <w:pStyle w:val="155"/>
        <w:shd w:val="clear"/>
        <w:spacing w:afterLines="0" w:line="40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2.我方承诺已经具备《中华人民共和国政府采购法》中规定的参加政府采购活动的供应商应当具备的条件。</w:t>
      </w:r>
    </w:p>
    <w:p>
      <w:pPr>
        <w:pStyle w:val="155"/>
        <w:shd w:val="clear"/>
        <w:spacing w:afterLines="0" w:line="40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3.</w:t>
      </w:r>
      <w:r>
        <w:rPr>
          <w:rFonts w:hint="eastAsia" w:asciiTheme="majorEastAsia" w:hAnsiTheme="majorEastAsia" w:eastAsiaTheme="majorEastAsia"/>
          <w:color w:val="auto"/>
        </w:rPr>
        <w:t>本公司磋商响应文件中填列的技术参数、配置、服务、数量等相关内容都是真实、准确的。保证在本次项目中所提供的资料全部真实和合法。</w:t>
      </w:r>
      <w:r>
        <w:rPr>
          <w:rFonts w:hint="eastAsia" w:asciiTheme="majorEastAsia" w:hAnsiTheme="majorEastAsia" w:eastAsiaTheme="majorEastAsia"/>
          <w:color w:val="auto"/>
          <w:szCs w:val="24"/>
        </w:rPr>
        <w:t>同意向</w:t>
      </w:r>
      <w:r>
        <w:rPr>
          <w:rFonts w:hint="eastAsia" w:asciiTheme="majorEastAsia" w:hAnsiTheme="majorEastAsia" w:eastAsiaTheme="majorEastAsia"/>
          <w:color w:val="auto"/>
          <w:szCs w:val="24"/>
          <w:lang w:eastAsia="zh-CN"/>
        </w:rPr>
        <w:t>浙江华元工程咨询有限公司</w:t>
      </w:r>
      <w:r>
        <w:rPr>
          <w:rFonts w:hint="eastAsia" w:asciiTheme="majorEastAsia" w:hAnsiTheme="majorEastAsia" w:eastAsiaTheme="majorEastAsia"/>
          <w:color w:val="auto"/>
          <w:szCs w:val="24"/>
        </w:rPr>
        <w:t>提供可能另外要求的与磋商有关的任何数据或资料；</w:t>
      </w:r>
    </w:p>
    <w:p>
      <w:pPr>
        <w:pStyle w:val="155"/>
        <w:shd w:val="clear"/>
        <w:spacing w:afterLines="0" w:line="40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4.我方理解贵方将不受你们所收到的最低报价的约束。</w:t>
      </w:r>
    </w:p>
    <w:p>
      <w:pPr>
        <w:pStyle w:val="15"/>
        <w:shd w:val="clear"/>
        <w:tabs>
          <w:tab w:val="clear" w:pos="1697"/>
        </w:tabs>
        <w:spacing w:afterLines="0" w:line="400" w:lineRule="exact"/>
        <w:ind w:left="0" w:firstLine="480" w:firstLineChars="200"/>
        <w:rPr>
          <w:rFonts w:asciiTheme="majorEastAsia" w:hAnsiTheme="majorEastAsia" w:eastAsiaTheme="majorEastAsia"/>
          <w:color w:val="auto"/>
          <w:szCs w:val="24"/>
        </w:rPr>
      </w:pPr>
      <w:r>
        <w:rPr>
          <w:rFonts w:hint="eastAsia" w:asciiTheme="majorEastAsia" w:hAnsiTheme="majorEastAsia" w:eastAsiaTheme="majorEastAsia"/>
          <w:color w:val="auto"/>
        </w:rPr>
        <w:t>5.</w:t>
      </w:r>
      <w:r>
        <w:rPr>
          <w:rFonts w:hint="eastAsia" w:cs="仿宋_GB2312" w:asciiTheme="majorEastAsia" w:hAnsiTheme="majorEastAsia" w:eastAsiaTheme="majorEastAsia"/>
          <w:color w:val="auto"/>
        </w:rPr>
        <w:t>磋商有效期为从提交磋商响应文件的截止之日起90天。</w:t>
      </w:r>
    </w:p>
    <w:p>
      <w:pPr>
        <w:shd w:val="clear"/>
        <w:snapToGrid w:val="0"/>
        <w:spacing w:line="400" w:lineRule="exact"/>
        <w:ind w:firstLine="480" w:firstLineChars="200"/>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6.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snapToGrid w:val="0"/>
        <w:spacing w:line="400" w:lineRule="exact"/>
        <w:ind w:firstLine="480" w:firstLineChars="200"/>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a)提供虚假材料谋取中标、成交的；</w:t>
      </w:r>
    </w:p>
    <w:p>
      <w:pPr>
        <w:shd w:val="clear"/>
        <w:snapToGrid w:val="0"/>
        <w:spacing w:line="400" w:lineRule="exact"/>
        <w:ind w:firstLine="480" w:firstLineChars="200"/>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b)采取不正当手段诋毁、排挤其他供应商的；</w:t>
      </w:r>
    </w:p>
    <w:p>
      <w:pPr>
        <w:shd w:val="clear"/>
        <w:snapToGrid w:val="0"/>
        <w:spacing w:line="400" w:lineRule="exact"/>
        <w:ind w:firstLine="480" w:firstLineChars="200"/>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c)与采购人、其它供应商或者采购代理机构恶意串通的；</w:t>
      </w:r>
    </w:p>
    <w:p>
      <w:pPr>
        <w:shd w:val="clear"/>
        <w:snapToGrid w:val="0"/>
        <w:spacing w:line="400" w:lineRule="exact"/>
        <w:ind w:firstLine="480" w:firstLineChars="200"/>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d)向采购人、采购代理机构行贿或者提供其他不正当利益的；</w:t>
      </w:r>
    </w:p>
    <w:p>
      <w:pPr>
        <w:shd w:val="clear"/>
        <w:snapToGrid w:val="0"/>
        <w:spacing w:line="400" w:lineRule="exact"/>
        <w:ind w:firstLine="480" w:firstLineChars="200"/>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e)在采购采购过程中与采购人进行协商谈判的；</w:t>
      </w:r>
    </w:p>
    <w:p>
      <w:pPr>
        <w:shd w:val="clear"/>
        <w:snapToGrid w:val="0"/>
        <w:spacing w:line="400" w:lineRule="exact"/>
        <w:ind w:firstLine="480" w:firstLineChars="200"/>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f)拒绝有关部门监督检查或提供虚假情况的。</w:t>
      </w:r>
    </w:p>
    <w:p>
      <w:pPr>
        <w:shd w:val="clear"/>
        <w:snapToGrid w:val="0"/>
        <w:spacing w:line="400" w:lineRule="exact"/>
        <w:ind w:firstLine="480" w:firstLineChars="200"/>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供应商有前款第a)至e)项情形之一的，中标、成交无效。</w:t>
      </w:r>
    </w:p>
    <w:p>
      <w:pPr>
        <w:pStyle w:val="155"/>
        <w:shd w:val="clear"/>
        <w:spacing w:afterLines="0" w:line="40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地址：　　　　　　　　　　　　　　　邮政编码：</w:t>
      </w:r>
    </w:p>
    <w:p>
      <w:pPr>
        <w:pStyle w:val="155"/>
        <w:shd w:val="clear"/>
        <w:spacing w:afterLines="0" w:line="40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电话：                              传真：</w:t>
      </w:r>
    </w:p>
    <w:p>
      <w:pPr>
        <w:pStyle w:val="155"/>
        <w:shd w:val="clear"/>
        <w:spacing w:afterLines="0" w:line="40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开户银行：                          帐号：</w:t>
      </w:r>
    </w:p>
    <w:p>
      <w:pPr>
        <w:pStyle w:val="155"/>
        <w:shd w:val="clear"/>
        <w:spacing w:afterLines="0" w:line="400" w:lineRule="exact"/>
        <w:ind w:firstLine="480"/>
        <w:rPr>
          <w:rFonts w:asciiTheme="majorEastAsia" w:hAnsiTheme="majorEastAsia" w:eastAsiaTheme="majorEastAsia"/>
          <w:color w:val="auto"/>
          <w:szCs w:val="24"/>
        </w:rPr>
      </w:pPr>
    </w:p>
    <w:p>
      <w:pPr>
        <w:pStyle w:val="155"/>
        <w:shd w:val="clear"/>
        <w:spacing w:afterLines="0" w:line="40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法定代表人或其授权代表(签字或签章)：</w:t>
      </w:r>
    </w:p>
    <w:p>
      <w:pPr>
        <w:pStyle w:val="155"/>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rPr>
        <w:t>磋商响应人</w:t>
      </w:r>
      <w:r>
        <w:rPr>
          <w:rFonts w:hint="eastAsia" w:asciiTheme="majorEastAsia" w:hAnsiTheme="majorEastAsia" w:eastAsiaTheme="majorEastAsia"/>
          <w:color w:val="auto"/>
          <w:szCs w:val="24"/>
        </w:rPr>
        <w:t xml:space="preserve">(盖公章)：　　　　　　　　　　　日期：     </w:t>
      </w:r>
    </w:p>
    <w:p>
      <w:pPr>
        <w:pageBreakBefore/>
        <w:shd w:val="clear"/>
        <w:spacing w:line="800" w:lineRule="exact"/>
        <w:rPr>
          <w:rFonts w:asciiTheme="majorEastAsia" w:hAnsiTheme="majorEastAsia" w:eastAsiaTheme="majorEastAsia"/>
          <w:b/>
          <w:color w:val="auto"/>
          <w:sz w:val="30"/>
          <w:szCs w:val="30"/>
        </w:rPr>
      </w:pPr>
      <w:r>
        <w:rPr>
          <w:rFonts w:hint="eastAsia" w:asciiTheme="majorEastAsia" w:hAnsiTheme="majorEastAsia" w:eastAsiaTheme="majorEastAsia"/>
          <w:b/>
          <w:color w:val="auto"/>
          <w:sz w:val="30"/>
          <w:szCs w:val="30"/>
        </w:rPr>
        <w:t>2、报价一览表（格式）</w:t>
      </w:r>
    </w:p>
    <w:p>
      <w:pPr>
        <w:shd w:val="clear"/>
        <w:spacing w:line="40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项目名称：</w:t>
      </w:r>
    </w:p>
    <w:p>
      <w:pPr>
        <w:shd w:val="clear"/>
        <w:snapToGrid w:val="0"/>
        <w:spacing w:line="400" w:lineRule="exact"/>
        <w:rPr>
          <w:rFonts w:asciiTheme="majorEastAsia" w:hAnsiTheme="majorEastAsia" w:eastAsiaTheme="majorEastAsia"/>
          <w:color w:val="auto"/>
          <w:sz w:val="24"/>
          <w:u w:val="single"/>
        </w:rPr>
      </w:pPr>
      <w:r>
        <w:rPr>
          <w:rFonts w:hint="eastAsia" w:asciiTheme="majorEastAsia" w:hAnsiTheme="majorEastAsia" w:eastAsiaTheme="majorEastAsia"/>
          <w:color w:val="auto"/>
          <w:sz w:val="24"/>
        </w:rPr>
        <w:t>磋商编号：</w:t>
      </w:r>
    </w:p>
    <w:p>
      <w:pPr>
        <w:shd w:val="clear"/>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 xml:space="preserve">                                                      单位：元</w:t>
      </w:r>
    </w:p>
    <w:tbl>
      <w:tblPr>
        <w:tblStyle w:val="90"/>
        <w:tblW w:w="8926"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7"/>
        <w:gridCol w:w="1080"/>
        <w:gridCol w:w="1261"/>
        <w:gridCol w:w="900"/>
        <w:gridCol w:w="720"/>
        <w:gridCol w:w="1440"/>
        <w:gridCol w:w="540"/>
        <w:gridCol w:w="540"/>
        <w:gridCol w:w="720"/>
        <w:gridCol w:w="107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647" w:type="dxa"/>
            <w:vAlign w:val="center"/>
          </w:tcPr>
          <w:p>
            <w:pPr>
              <w:tabs>
                <w:tab w:val="left" w:pos="540"/>
              </w:tabs>
              <w:adjustRightInd w:val="0"/>
              <w:snapToGrid w:val="0"/>
              <w:jc w:val="center"/>
              <w:rPr>
                <w:rFonts w:hint="eastAsia" w:asciiTheme="majorEastAsia" w:hAnsiTheme="majorEastAsia" w:eastAsiaTheme="majorEastAsia" w:cstheme="majorEastAsia"/>
                <w:spacing w:val="20"/>
                <w:sz w:val="24"/>
                <w:szCs w:val="24"/>
              </w:rPr>
            </w:pPr>
            <w:r>
              <w:rPr>
                <w:rFonts w:hint="eastAsia" w:asciiTheme="majorEastAsia" w:hAnsiTheme="majorEastAsia" w:eastAsiaTheme="majorEastAsia" w:cstheme="majorEastAsia"/>
                <w:spacing w:val="20"/>
                <w:sz w:val="24"/>
                <w:szCs w:val="24"/>
              </w:rPr>
              <w:t>序号</w:t>
            </w:r>
          </w:p>
        </w:tc>
        <w:tc>
          <w:tcPr>
            <w:tcW w:w="1080" w:type="dxa"/>
            <w:tcBorders>
              <w:right w:val="single" w:color="auto" w:sz="4" w:space="0"/>
            </w:tcBorders>
            <w:vAlign w:val="center"/>
          </w:tcPr>
          <w:p>
            <w:pPr>
              <w:adjustRightInd w:val="0"/>
              <w:snapToGrid w:val="0"/>
              <w:ind w:left="-107" w:leftChars="-51" w:right="-107" w:rightChars="-51" w:firstLine="2"/>
              <w:jc w:val="center"/>
              <w:rPr>
                <w:rFonts w:hint="eastAsia" w:asciiTheme="majorEastAsia" w:hAnsiTheme="majorEastAsia" w:eastAsiaTheme="majorEastAsia" w:cstheme="majorEastAsia"/>
                <w:spacing w:val="20"/>
                <w:sz w:val="24"/>
                <w:szCs w:val="24"/>
              </w:rPr>
            </w:pPr>
            <w:r>
              <w:rPr>
                <w:rFonts w:hint="eastAsia" w:asciiTheme="majorEastAsia" w:hAnsiTheme="majorEastAsia" w:eastAsiaTheme="majorEastAsia" w:cstheme="majorEastAsia"/>
                <w:spacing w:val="20"/>
                <w:sz w:val="24"/>
                <w:szCs w:val="24"/>
              </w:rPr>
              <w:t>名称</w:t>
            </w:r>
          </w:p>
        </w:tc>
        <w:tc>
          <w:tcPr>
            <w:tcW w:w="1261" w:type="dxa"/>
            <w:tcBorders>
              <w:left w:val="single" w:color="auto" w:sz="4" w:space="0"/>
            </w:tcBorders>
            <w:vAlign w:val="center"/>
          </w:tcPr>
          <w:p>
            <w:pPr>
              <w:adjustRightInd w:val="0"/>
              <w:snapToGrid w:val="0"/>
              <w:ind w:left="-107" w:leftChars="-51" w:right="-107" w:rightChars="-51"/>
              <w:rPr>
                <w:rFonts w:hint="eastAsia" w:asciiTheme="majorEastAsia" w:hAnsiTheme="majorEastAsia" w:eastAsiaTheme="majorEastAsia" w:cstheme="majorEastAsia"/>
                <w:spacing w:val="20"/>
                <w:sz w:val="24"/>
                <w:szCs w:val="24"/>
              </w:rPr>
            </w:pPr>
            <w:r>
              <w:rPr>
                <w:rFonts w:hint="eastAsia" w:asciiTheme="majorEastAsia" w:hAnsiTheme="majorEastAsia" w:eastAsiaTheme="majorEastAsia" w:cstheme="majorEastAsia"/>
                <w:spacing w:val="20"/>
                <w:sz w:val="24"/>
                <w:szCs w:val="24"/>
              </w:rPr>
              <w:t>货物的制造商或服务的提供商</w:t>
            </w:r>
          </w:p>
        </w:tc>
        <w:tc>
          <w:tcPr>
            <w:tcW w:w="900" w:type="dxa"/>
            <w:vAlign w:val="center"/>
          </w:tcPr>
          <w:p>
            <w:pPr>
              <w:adjustRightInd w:val="0"/>
              <w:snapToGrid w:val="0"/>
              <w:ind w:left="-107" w:leftChars="-51" w:right="-107" w:rightChars="-51" w:firstLine="1"/>
              <w:rPr>
                <w:rFonts w:hint="eastAsia" w:asciiTheme="majorEastAsia" w:hAnsiTheme="majorEastAsia" w:eastAsiaTheme="majorEastAsia" w:cstheme="majorEastAsia"/>
                <w:spacing w:val="20"/>
                <w:sz w:val="24"/>
                <w:szCs w:val="24"/>
              </w:rPr>
            </w:pPr>
            <w:r>
              <w:rPr>
                <w:rFonts w:hint="eastAsia" w:asciiTheme="majorEastAsia" w:hAnsiTheme="majorEastAsia" w:eastAsiaTheme="majorEastAsia" w:cstheme="majorEastAsia"/>
                <w:spacing w:val="20"/>
                <w:sz w:val="24"/>
                <w:szCs w:val="24"/>
              </w:rPr>
              <w:t>品牌（如有）</w:t>
            </w:r>
          </w:p>
        </w:tc>
        <w:tc>
          <w:tcPr>
            <w:tcW w:w="720" w:type="dxa"/>
            <w:vAlign w:val="center"/>
          </w:tcPr>
          <w:p>
            <w:pPr>
              <w:adjustRightInd w:val="0"/>
              <w:snapToGrid w:val="0"/>
              <w:ind w:left="-107" w:leftChars="-51" w:right="-107" w:rightChars="-51"/>
              <w:jc w:val="center"/>
              <w:rPr>
                <w:rFonts w:hint="eastAsia" w:asciiTheme="majorEastAsia" w:hAnsiTheme="majorEastAsia" w:eastAsiaTheme="majorEastAsia" w:cstheme="majorEastAsia"/>
                <w:spacing w:val="20"/>
                <w:sz w:val="24"/>
                <w:szCs w:val="24"/>
              </w:rPr>
            </w:pPr>
            <w:r>
              <w:rPr>
                <w:rFonts w:hint="eastAsia" w:asciiTheme="majorEastAsia" w:hAnsiTheme="majorEastAsia" w:eastAsiaTheme="majorEastAsia" w:cstheme="majorEastAsia"/>
                <w:spacing w:val="20"/>
                <w:sz w:val="24"/>
                <w:szCs w:val="24"/>
              </w:rPr>
              <w:t>数量</w:t>
            </w:r>
          </w:p>
        </w:tc>
        <w:tc>
          <w:tcPr>
            <w:tcW w:w="1440" w:type="dxa"/>
            <w:vAlign w:val="center"/>
          </w:tcPr>
          <w:p>
            <w:pPr>
              <w:adjustRightInd w:val="0"/>
              <w:snapToGrid w:val="0"/>
              <w:ind w:left="-107" w:leftChars="-51" w:right="-107" w:rightChars="-51" w:firstLine="1"/>
              <w:jc w:val="center"/>
              <w:rPr>
                <w:rFonts w:hint="eastAsia" w:asciiTheme="majorEastAsia" w:hAnsiTheme="majorEastAsia" w:eastAsiaTheme="majorEastAsia" w:cstheme="majorEastAsia"/>
                <w:spacing w:val="20"/>
                <w:sz w:val="24"/>
                <w:szCs w:val="24"/>
              </w:rPr>
            </w:pPr>
            <w:r>
              <w:rPr>
                <w:rFonts w:hint="eastAsia" w:asciiTheme="majorEastAsia" w:hAnsiTheme="majorEastAsia" w:eastAsiaTheme="majorEastAsia" w:cstheme="majorEastAsia"/>
                <w:spacing w:val="20"/>
                <w:sz w:val="24"/>
                <w:szCs w:val="24"/>
              </w:rPr>
              <w:t>型号和规格</w:t>
            </w:r>
            <w:r>
              <w:rPr>
                <w:rFonts w:hint="eastAsia" w:asciiTheme="majorEastAsia" w:hAnsiTheme="majorEastAsia" w:eastAsiaTheme="majorEastAsia" w:cstheme="majorEastAsia"/>
                <w:b/>
                <w:sz w:val="24"/>
                <w:szCs w:val="24"/>
              </w:rPr>
              <w:t>（或具体服务）</w:t>
            </w:r>
          </w:p>
        </w:tc>
        <w:tc>
          <w:tcPr>
            <w:tcW w:w="540" w:type="dxa"/>
            <w:tcBorders>
              <w:right w:val="single" w:color="auto" w:sz="4" w:space="0"/>
            </w:tcBorders>
            <w:vAlign w:val="center"/>
          </w:tcPr>
          <w:p>
            <w:pPr>
              <w:adjustRightInd w:val="0"/>
              <w:snapToGrid w:val="0"/>
              <w:ind w:left="-107" w:leftChars="-51" w:right="-107" w:rightChars="-51" w:firstLine="1"/>
              <w:jc w:val="center"/>
              <w:rPr>
                <w:rFonts w:hint="eastAsia" w:asciiTheme="majorEastAsia" w:hAnsiTheme="majorEastAsia" w:eastAsiaTheme="majorEastAsia" w:cstheme="majorEastAsia"/>
                <w:spacing w:val="20"/>
                <w:sz w:val="24"/>
                <w:szCs w:val="24"/>
              </w:rPr>
            </w:pPr>
            <w:r>
              <w:rPr>
                <w:rFonts w:hint="eastAsia" w:asciiTheme="majorEastAsia" w:hAnsiTheme="majorEastAsia" w:eastAsiaTheme="majorEastAsia" w:cstheme="majorEastAsia"/>
                <w:spacing w:val="20"/>
                <w:sz w:val="24"/>
                <w:szCs w:val="24"/>
              </w:rPr>
              <w:t>单价</w:t>
            </w:r>
          </w:p>
        </w:tc>
        <w:tc>
          <w:tcPr>
            <w:tcW w:w="540" w:type="dxa"/>
            <w:tcBorders>
              <w:left w:val="single" w:color="auto" w:sz="4" w:space="0"/>
            </w:tcBorders>
            <w:vAlign w:val="center"/>
          </w:tcPr>
          <w:p>
            <w:pPr>
              <w:adjustRightInd w:val="0"/>
              <w:snapToGrid w:val="0"/>
              <w:ind w:left="-107" w:leftChars="-51" w:right="-107" w:rightChars="-51" w:firstLine="1"/>
              <w:jc w:val="center"/>
              <w:rPr>
                <w:rFonts w:hint="eastAsia" w:asciiTheme="majorEastAsia" w:hAnsiTheme="majorEastAsia" w:eastAsiaTheme="majorEastAsia" w:cstheme="majorEastAsia"/>
                <w:spacing w:val="20"/>
                <w:sz w:val="24"/>
                <w:szCs w:val="24"/>
              </w:rPr>
            </w:pPr>
            <w:r>
              <w:rPr>
                <w:rFonts w:hint="eastAsia" w:asciiTheme="majorEastAsia" w:hAnsiTheme="majorEastAsia" w:eastAsiaTheme="majorEastAsia" w:cstheme="majorEastAsia"/>
                <w:spacing w:val="20"/>
                <w:sz w:val="24"/>
                <w:szCs w:val="24"/>
              </w:rPr>
              <w:t>总价</w:t>
            </w:r>
          </w:p>
        </w:tc>
        <w:tc>
          <w:tcPr>
            <w:tcW w:w="720" w:type="dxa"/>
            <w:vAlign w:val="center"/>
          </w:tcPr>
          <w:p>
            <w:pPr>
              <w:adjustRightInd w:val="0"/>
              <w:snapToGrid w:val="0"/>
              <w:ind w:left="30" w:leftChars="-51" w:right="-107" w:rightChars="-51" w:hanging="137" w:hangingChars="49"/>
              <w:jc w:val="center"/>
              <w:rPr>
                <w:rFonts w:hint="eastAsia" w:asciiTheme="majorEastAsia" w:hAnsiTheme="majorEastAsia" w:eastAsiaTheme="majorEastAsia" w:cstheme="majorEastAsia"/>
                <w:spacing w:val="20"/>
                <w:sz w:val="24"/>
                <w:szCs w:val="24"/>
              </w:rPr>
            </w:pPr>
            <w:r>
              <w:rPr>
                <w:rFonts w:hint="eastAsia" w:asciiTheme="majorEastAsia" w:hAnsiTheme="majorEastAsia" w:eastAsiaTheme="majorEastAsia" w:cstheme="majorEastAsia"/>
                <w:spacing w:val="20"/>
                <w:sz w:val="24"/>
                <w:szCs w:val="24"/>
              </w:rPr>
              <w:t>交货期</w:t>
            </w:r>
          </w:p>
        </w:tc>
        <w:tc>
          <w:tcPr>
            <w:tcW w:w="1078" w:type="dxa"/>
            <w:vAlign w:val="center"/>
          </w:tcPr>
          <w:p>
            <w:pPr>
              <w:tabs>
                <w:tab w:val="left" w:pos="1224"/>
              </w:tabs>
              <w:adjustRightInd w:val="0"/>
              <w:snapToGrid w:val="0"/>
              <w:ind w:right="-107" w:rightChars="-51"/>
              <w:rPr>
                <w:rFonts w:hint="eastAsia" w:asciiTheme="majorEastAsia" w:hAnsiTheme="majorEastAsia" w:eastAsiaTheme="majorEastAsia" w:cstheme="majorEastAsia"/>
                <w:spacing w:val="20"/>
                <w:sz w:val="24"/>
                <w:szCs w:val="24"/>
              </w:rPr>
            </w:pPr>
            <w:r>
              <w:rPr>
                <w:rFonts w:hint="eastAsia" w:asciiTheme="majorEastAsia" w:hAnsiTheme="majorEastAsia" w:eastAsiaTheme="majorEastAsia" w:cstheme="majorEastAsia"/>
                <w:spacing w:val="20"/>
                <w:sz w:val="24"/>
                <w:szCs w:val="24"/>
              </w:rPr>
              <w:t>质保期/服务要求（年限）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647" w:type="dxa"/>
            <w:vAlign w:val="center"/>
          </w:tcPr>
          <w:p>
            <w:pPr>
              <w:adjustRightInd w:val="0"/>
              <w:snapToGrid w:val="0"/>
              <w:ind w:right="-134" w:rightChars="-64"/>
              <w:jc w:val="center"/>
              <w:rPr>
                <w:rFonts w:hint="eastAsia" w:asciiTheme="majorEastAsia" w:hAnsiTheme="majorEastAsia" w:eastAsiaTheme="majorEastAsia" w:cstheme="majorEastAsia"/>
                <w:spacing w:val="20"/>
                <w:sz w:val="24"/>
                <w:szCs w:val="24"/>
              </w:rPr>
            </w:pPr>
            <w:r>
              <w:rPr>
                <w:rFonts w:hint="eastAsia" w:asciiTheme="majorEastAsia" w:hAnsiTheme="majorEastAsia" w:eastAsiaTheme="majorEastAsia" w:cstheme="majorEastAsia"/>
                <w:spacing w:val="20"/>
                <w:sz w:val="24"/>
                <w:szCs w:val="24"/>
              </w:rPr>
              <w:t>1</w:t>
            </w:r>
          </w:p>
        </w:tc>
        <w:tc>
          <w:tcPr>
            <w:tcW w:w="1080" w:type="dxa"/>
            <w:tcBorders>
              <w:right w:val="single" w:color="auto" w:sz="4" w:space="0"/>
            </w:tcBorders>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1261" w:type="dxa"/>
            <w:tcBorders>
              <w:left w:val="single" w:color="auto" w:sz="4" w:space="0"/>
            </w:tcBorders>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900" w:type="dxa"/>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720" w:type="dxa"/>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1440" w:type="dxa"/>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540" w:type="dxa"/>
            <w:tcBorders>
              <w:right w:val="single" w:color="auto" w:sz="4" w:space="0"/>
            </w:tcBorders>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540" w:type="dxa"/>
            <w:tcBorders>
              <w:left w:val="single" w:color="auto" w:sz="4" w:space="0"/>
            </w:tcBorders>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720" w:type="dxa"/>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1078" w:type="dxa"/>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647" w:type="dxa"/>
            <w:vAlign w:val="center"/>
          </w:tcPr>
          <w:p>
            <w:pPr>
              <w:adjustRightInd w:val="0"/>
              <w:snapToGrid w:val="0"/>
              <w:ind w:right="-134" w:rightChars="-64"/>
              <w:jc w:val="center"/>
              <w:rPr>
                <w:rFonts w:hint="eastAsia" w:asciiTheme="majorEastAsia" w:hAnsiTheme="majorEastAsia" w:eastAsiaTheme="majorEastAsia" w:cstheme="majorEastAsia"/>
                <w:spacing w:val="20"/>
                <w:sz w:val="24"/>
                <w:szCs w:val="24"/>
              </w:rPr>
            </w:pPr>
            <w:r>
              <w:rPr>
                <w:rFonts w:hint="eastAsia" w:asciiTheme="majorEastAsia" w:hAnsiTheme="majorEastAsia" w:eastAsiaTheme="majorEastAsia" w:cstheme="majorEastAsia"/>
                <w:spacing w:val="20"/>
                <w:sz w:val="24"/>
                <w:szCs w:val="24"/>
              </w:rPr>
              <w:t>2</w:t>
            </w:r>
          </w:p>
        </w:tc>
        <w:tc>
          <w:tcPr>
            <w:tcW w:w="1080" w:type="dxa"/>
            <w:tcBorders>
              <w:right w:val="single" w:color="auto" w:sz="4" w:space="0"/>
            </w:tcBorders>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1261" w:type="dxa"/>
            <w:tcBorders>
              <w:left w:val="single" w:color="auto" w:sz="4" w:space="0"/>
            </w:tcBorders>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900" w:type="dxa"/>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720" w:type="dxa"/>
            <w:tcBorders>
              <w:right w:val="single" w:color="auto" w:sz="4" w:space="0"/>
            </w:tcBorders>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1440" w:type="dxa"/>
            <w:tcBorders>
              <w:left w:val="single" w:color="auto" w:sz="4" w:space="0"/>
            </w:tcBorders>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540" w:type="dxa"/>
            <w:tcBorders>
              <w:right w:val="single" w:color="auto" w:sz="4" w:space="0"/>
            </w:tcBorders>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540" w:type="dxa"/>
            <w:tcBorders>
              <w:left w:val="single" w:color="auto" w:sz="4" w:space="0"/>
            </w:tcBorders>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720" w:type="dxa"/>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1078" w:type="dxa"/>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647" w:type="dxa"/>
            <w:vAlign w:val="center"/>
          </w:tcPr>
          <w:p>
            <w:pPr>
              <w:adjustRightInd w:val="0"/>
              <w:snapToGrid w:val="0"/>
              <w:ind w:right="-134" w:rightChars="-64"/>
              <w:jc w:val="center"/>
              <w:rPr>
                <w:rFonts w:hint="eastAsia" w:asciiTheme="majorEastAsia" w:hAnsiTheme="majorEastAsia" w:eastAsiaTheme="majorEastAsia" w:cstheme="majorEastAsia"/>
                <w:spacing w:val="20"/>
                <w:sz w:val="24"/>
                <w:szCs w:val="24"/>
              </w:rPr>
            </w:pPr>
            <w:r>
              <w:rPr>
                <w:rFonts w:hint="eastAsia" w:asciiTheme="majorEastAsia" w:hAnsiTheme="majorEastAsia" w:eastAsiaTheme="majorEastAsia" w:cstheme="majorEastAsia"/>
                <w:spacing w:val="20"/>
                <w:sz w:val="24"/>
                <w:szCs w:val="24"/>
              </w:rPr>
              <w:t>3</w:t>
            </w:r>
          </w:p>
        </w:tc>
        <w:tc>
          <w:tcPr>
            <w:tcW w:w="1080" w:type="dxa"/>
            <w:tcBorders>
              <w:right w:val="single" w:color="auto" w:sz="4" w:space="0"/>
            </w:tcBorders>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1261" w:type="dxa"/>
            <w:tcBorders>
              <w:left w:val="single" w:color="auto" w:sz="4" w:space="0"/>
            </w:tcBorders>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900" w:type="dxa"/>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720" w:type="dxa"/>
            <w:tcBorders>
              <w:right w:val="single" w:color="auto" w:sz="4" w:space="0"/>
            </w:tcBorders>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1440" w:type="dxa"/>
            <w:tcBorders>
              <w:left w:val="single" w:color="auto" w:sz="4" w:space="0"/>
            </w:tcBorders>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540" w:type="dxa"/>
            <w:tcBorders>
              <w:right w:val="single" w:color="auto" w:sz="4" w:space="0"/>
            </w:tcBorders>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540" w:type="dxa"/>
            <w:tcBorders>
              <w:left w:val="single" w:color="auto" w:sz="4" w:space="0"/>
            </w:tcBorders>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720" w:type="dxa"/>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1078" w:type="dxa"/>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647" w:type="dxa"/>
            <w:vAlign w:val="center"/>
          </w:tcPr>
          <w:p>
            <w:pPr>
              <w:adjustRightInd w:val="0"/>
              <w:snapToGrid w:val="0"/>
              <w:ind w:right="-134" w:rightChars="-64"/>
              <w:jc w:val="center"/>
              <w:rPr>
                <w:rFonts w:hint="eastAsia" w:asciiTheme="majorEastAsia" w:hAnsiTheme="majorEastAsia" w:eastAsiaTheme="majorEastAsia" w:cstheme="majorEastAsia"/>
                <w:spacing w:val="20"/>
                <w:sz w:val="24"/>
                <w:szCs w:val="24"/>
              </w:rPr>
            </w:pPr>
            <w:r>
              <w:rPr>
                <w:rFonts w:hint="eastAsia" w:asciiTheme="majorEastAsia" w:hAnsiTheme="majorEastAsia" w:eastAsiaTheme="majorEastAsia" w:cstheme="majorEastAsia"/>
                <w:spacing w:val="20"/>
                <w:sz w:val="24"/>
                <w:szCs w:val="24"/>
              </w:rPr>
              <w:t>4</w:t>
            </w:r>
          </w:p>
        </w:tc>
        <w:tc>
          <w:tcPr>
            <w:tcW w:w="1080" w:type="dxa"/>
            <w:tcBorders>
              <w:right w:val="single" w:color="auto" w:sz="4" w:space="0"/>
            </w:tcBorders>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1261" w:type="dxa"/>
            <w:tcBorders>
              <w:left w:val="single" w:color="auto" w:sz="4" w:space="0"/>
            </w:tcBorders>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900" w:type="dxa"/>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720" w:type="dxa"/>
            <w:tcBorders>
              <w:right w:val="single" w:color="auto" w:sz="4" w:space="0"/>
            </w:tcBorders>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1440" w:type="dxa"/>
            <w:tcBorders>
              <w:left w:val="single" w:color="auto" w:sz="4" w:space="0"/>
            </w:tcBorders>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540" w:type="dxa"/>
            <w:tcBorders>
              <w:right w:val="single" w:color="auto" w:sz="4" w:space="0"/>
            </w:tcBorders>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540" w:type="dxa"/>
            <w:tcBorders>
              <w:left w:val="single" w:color="auto" w:sz="4" w:space="0"/>
            </w:tcBorders>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720" w:type="dxa"/>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1078" w:type="dxa"/>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0" w:hRule="atLeast"/>
        </w:trPr>
        <w:tc>
          <w:tcPr>
            <w:tcW w:w="1727" w:type="dxa"/>
            <w:gridSpan w:val="2"/>
            <w:vMerge w:val="restart"/>
            <w:tcBorders>
              <w:right w:val="single" w:color="auto" w:sz="4" w:space="0"/>
            </w:tcBorders>
            <w:vAlign w:val="center"/>
          </w:tcPr>
          <w:p>
            <w:pPr>
              <w:adjustRightInd w:val="0"/>
              <w:snapToGrid w:val="0"/>
              <w:ind w:right="172" w:rightChars="82" w:firstLine="565" w:firstLineChars="202"/>
              <w:jc w:val="center"/>
              <w:rPr>
                <w:rFonts w:hint="eastAsia" w:asciiTheme="majorEastAsia" w:hAnsiTheme="majorEastAsia" w:eastAsiaTheme="majorEastAsia" w:cstheme="majorEastAsia"/>
                <w:spacing w:val="20"/>
                <w:sz w:val="24"/>
                <w:szCs w:val="24"/>
              </w:rPr>
            </w:pPr>
            <w:r>
              <w:rPr>
                <w:rFonts w:hint="eastAsia" w:asciiTheme="majorEastAsia" w:hAnsiTheme="majorEastAsia" w:eastAsiaTheme="majorEastAsia" w:cstheme="majorEastAsia"/>
                <w:spacing w:val="20"/>
                <w:sz w:val="24"/>
                <w:szCs w:val="24"/>
              </w:rPr>
              <w:t>投标总价</w:t>
            </w:r>
          </w:p>
        </w:tc>
        <w:tc>
          <w:tcPr>
            <w:tcW w:w="7199" w:type="dxa"/>
            <w:gridSpan w:val="8"/>
            <w:tcBorders>
              <w:left w:val="single" w:color="auto" w:sz="4" w:space="0"/>
              <w:bottom w:val="single" w:color="auto" w:sz="4" w:space="0"/>
            </w:tcBorders>
            <w:vAlign w:val="center"/>
          </w:tcPr>
          <w:p>
            <w:pPr>
              <w:adjustRightInd w:val="0"/>
              <w:snapToGrid w:val="0"/>
              <w:ind w:right="172" w:rightChars="82"/>
              <w:rPr>
                <w:rFonts w:hint="eastAsia" w:asciiTheme="majorEastAsia" w:hAnsiTheme="majorEastAsia" w:eastAsiaTheme="majorEastAsia" w:cstheme="majorEastAsia"/>
                <w:spacing w:val="20"/>
                <w:sz w:val="24"/>
                <w:szCs w:val="24"/>
              </w:rPr>
            </w:pPr>
            <w:r>
              <w:rPr>
                <w:rFonts w:hint="eastAsia" w:asciiTheme="majorEastAsia" w:hAnsiTheme="majorEastAsia" w:eastAsiaTheme="majorEastAsia" w:cstheme="majorEastAsia"/>
                <w:spacing w:val="20"/>
                <w:sz w:val="24"/>
                <w:szCs w:val="24"/>
              </w:rPr>
              <w:t>小写：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7" w:hRule="atLeast"/>
        </w:trPr>
        <w:tc>
          <w:tcPr>
            <w:tcW w:w="1727" w:type="dxa"/>
            <w:gridSpan w:val="2"/>
            <w:vMerge w:val="continue"/>
            <w:tcBorders>
              <w:right w:val="single" w:color="auto" w:sz="4" w:space="0"/>
            </w:tcBorders>
            <w:vAlign w:val="center"/>
          </w:tcPr>
          <w:p>
            <w:pPr>
              <w:adjustRightInd w:val="0"/>
              <w:snapToGrid w:val="0"/>
              <w:ind w:right="172" w:rightChars="82" w:firstLine="565" w:firstLineChars="202"/>
              <w:jc w:val="center"/>
              <w:rPr>
                <w:rFonts w:hint="eastAsia" w:asciiTheme="majorEastAsia" w:hAnsiTheme="majorEastAsia" w:eastAsiaTheme="majorEastAsia" w:cstheme="majorEastAsia"/>
                <w:spacing w:val="20"/>
                <w:sz w:val="24"/>
                <w:szCs w:val="24"/>
              </w:rPr>
            </w:pPr>
          </w:p>
        </w:tc>
        <w:tc>
          <w:tcPr>
            <w:tcW w:w="7199" w:type="dxa"/>
            <w:gridSpan w:val="8"/>
            <w:tcBorders>
              <w:top w:val="single" w:color="auto" w:sz="4" w:space="0"/>
              <w:left w:val="single" w:color="auto" w:sz="4" w:space="0"/>
            </w:tcBorders>
            <w:vAlign w:val="center"/>
          </w:tcPr>
          <w:p>
            <w:pPr>
              <w:adjustRightInd w:val="0"/>
              <w:snapToGrid w:val="0"/>
              <w:ind w:right="172" w:rightChars="82"/>
              <w:rPr>
                <w:rFonts w:hint="eastAsia" w:asciiTheme="majorEastAsia" w:hAnsiTheme="majorEastAsia" w:eastAsiaTheme="majorEastAsia" w:cstheme="majorEastAsia"/>
                <w:spacing w:val="20"/>
                <w:sz w:val="24"/>
                <w:szCs w:val="24"/>
              </w:rPr>
            </w:pPr>
            <w:r>
              <w:rPr>
                <w:rFonts w:hint="eastAsia" w:asciiTheme="majorEastAsia" w:hAnsiTheme="majorEastAsia" w:eastAsiaTheme="majorEastAsia" w:cstheme="majorEastAsia"/>
                <w:spacing w:val="20"/>
                <w:sz w:val="24"/>
                <w:szCs w:val="24"/>
              </w:rPr>
              <w:t>大写：</w:t>
            </w:r>
          </w:p>
        </w:tc>
      </w:tr>
    </w:tbl>
    <w:p>
      <w:pPr>
        <w:shd w:val="clear"/>
        <w:snapToGrid w:val="0"/>
        <w:jc w:val="left"/>
        <w:rPr>
          <w:rFonts w:hint="eastAsia" w:asciiTheme="majorEastAsia" w:hAnsiTheme="majorEastAsia" w:eastAsiaTheme="majorEastAsia" w:cstheme="majorEastAsia"/>
          <w:color w:val="auto"/>
          <w:sz w:val="24"/>
          <w:szCs w:val="24"/>
        </w:rPr>
      </w:pPr>
    </w:p>
    <w:p>
      <w:pPr>
        <w:spacing w:line="360" w:lineRule="auto"/>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注: 1.报价一经涂改，应在涂改处加盖单位公章或者由法定代表人或其授权代表签字或盖章，否则其投标作无效投标处理。</w:t>
      </w:r>
    </w:p>
    <w:p>
      <w:pPr>
        <w:spacing w:line="360" w:lineRule="auto"/>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2.采购人不接受某一标项中有2个(含)以上的报价或方案，若供应商在此表中有2个（含）以上的报价或方案，其投标作无效投标处理。</w:t>
      </w: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3.供应商需按本表格式填写，如无对应内容，则填写：“无或/”。</w:t>
      </w:r>
    </w:p>
    <w:p>
      <w:pPr>
        <w:spacing w:line="360" w:lineRule="auto"/>
        <w:ind w:firstLine="480" w:firstLineChars="200"/>
        <w:rPr>
          <w:rFonts w:hint="eastAsia" w:asciiTheme="majorEastAsia" w:hAnsiTheme="majorEastAsia" w:eastAsiaTheme="majorEastAsia" w:cstheme="majorEastAsia"/>
          <w:kern w:val="0"/>
          <w:sz w:val="24"/>
          <w:szCs w:val="24"/>
          <w:lang w:val="zh-CN"/>
        </w:rPr>
      </w:pPr>
      <w:r>
        <w:rPr>
          <w:rFonts w:hint="eastAsia" w:asciiTheme="majorEastAsia" w:hAnsiTheme="majorEastAsia" w:eastAsiaTheme="majorEastAsia" w:cstheme="majorEastAsia"/>
          <w:sz w:val="24"/>
          <w:szCs w:val="24"/>
        </w:rPr>
        <w:t>4.有关本项目实施所涉及的一切费用均计入报价。</w:t>
      </w:r>
    </w:p>
    <w:p>
      <w:pPr>
        <w:spacing w:line="360" w:lineRule="auto"/>
        <w:ind w:firstLine="480" w:firstLineChars="200"/>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sz w:val="24"/>
          <w:szCs w:val="24"/>
          <w:lang w:val="zh-CN"/>
        </w:rPr>
        <w:t>5.以上表格要求细分项目及报价，</w:t>
      </w:r>
      <w:r>
        <w:rPr>
          <w:rFonts w:hint="eastAsia" w:asciiTheme="majorEastAsia" w:hAnsiTheme="majorEastAsia" w:eastAsiaTheme="majorEastAsia" w:cstheme="majorEastAsia"/>
          <w:b/>
          <w:kern w:val="0"/>
          <w:sz w:val="24"/>
          <w:szCs w:val="24"/>
        </w:rPr>
        <w:t>在“规格型号（或具体服务）”一栏中，货物类项目填写规格型号，服务类项目填写具体服务。</w:t>
      </w:r>
      <w:r>
        <w:rPr>
          <w:rFonts w:hint="eastAsia" w:asciiTheme="majorEastAsia" w:hAnsiTheme="majorEastAsia" w:eastAsiaTheme="majorEastAsia" w:cstheme="majorEastAsia"/>
          <w:b/>
          <w:sz w:val="24"/>
          <w:szCs w:val="24"/>
        </w:rPr>
        <w:t>服务包含但不仅限于：服务方案、次数或人数、服务年限等，产品包含但不仅限于:名称、品牌、型号、生产厂商、数量、质保期等。</w:t>
      </w:r>
    </w:p>
    <w:p>
      <w:pPr>
        <w:spacing w:line="360" w:lineRule="auto"/>
        <w:ind w:firstLine="482" w:firstLineChars="200"/>
        <w:rPr>
          <w:rFonts w:hint="eastAsia" w:asciiTheme="majorEastAsia" w:hAnsiTheme="majorEastAsia" w:eastAsiaTheme="majorEastAsia" w:cstheme="majorEastAsia"/>
          <w:b/>
          <w:kern w:val="0"/>
          <w:sz w:val="24"/>
          <w:szCs w:val="24"/>
          <w:lang w:val="zh-CN"/>
        </w:rPr>
      </w:pPr>
      <w:r>
        <w:rPr>
          <w:rFonts w:hint="eastAsia" w:asciiTheme="majorEastAsia" w:hAnsiTheme="majorEastAsia" w:eastAsiaTheme="majorEastAsia" w:cstheme="majorEastAsia"/>
          <w:b/>
          <w:sz w:val="24"/>
          <w:szCs w:val="24"/>
        </w:rPr>
        <w:t>6</w:t>
      </w:r>
      <w:r>
        <w:rPr>
          <w:rFonts w:hint="eastAsia" w:asciiTheme="majorEastAsia" w:hAnsiTheme="majorEastAsia" w:eastAsiaTheme="majorEastAsia" w:cstheme="majorEastAsia"/>
          <w:b/>
          <w:kern w:val="0"/>
          <w:sz w:val="24"/>
          <w:szCs w:val="24"/>
          <w:lang w:val="zh-CN"/>
        </w:rPr>
        <w:t>.特别提示：采购机构将对</w:t>
      </w:r>
      <w:r>
        <w:rPr>
          <w:rFonts w:hint="eastAsia" w:asciiTheme="majorEastAsia" w:hAnsiTheme="majorEastAsia" w:eastAsiaTheme="majorEastAsia" w:cstheme="majorEastAsia"/>
          <w:b/>
          <w:kern w:val="0"/>
          <w:sz w:val="24"/>
          <w:szCs w:val="24"/>
        </w:rPr>
        <w:t>项目名称和项目编号，中标供应商名称、地址和中标金额，主要中标标的的名称、规格型号、数量、单价、服务要求等</w:t>
      </w:r>
      <w:r>
        <w:rPr>
          <w:rFonts w:hint="eastAsia" w:asciiTheme="majorEastAsia" w:hAnsiTheme="majorEastAsia" w:eastAsiaTheme="majorEastAsia" w:cstheme="majorEastAsia"/>
          <w:b/>
          <w:kern w:val="0"/>
          <w:sz w:val="24"/>
          <w:szCs w:val="24"/>
          <w:lang w:val="zh-CN"/>
        </w:rPr>
        <w:t>予以公示。请把上述涉及的内容完整填写在开标一览表中。</w:t>
      </w:r>
    </w:p>
    <w:p>
      <w:pPr>
        <w:shd w:val="clear"/>
        <w:spacing w:line="360" w:lineRule="auto"/>
        <w:ind w:left="-3" w:leftChars="-72" w:right="-817" w:rightChars="-389" w:hanging="148" w:hangingChars="62"/>
        <w:rPr>
          <w:rFonts w:asciiTheme="majorEastAsia" w:hAnsiTheme="majorEastAsia" w:eastAsiaTheme="majorEastAsia"/>
          <w:color w:val="auto"/>
          <w:sz w:val="24"/>
        </w:rPr>
      </w:pPr>
    </w:p>
    <w:p>
      <w:pPr>
        <w:shd w:val="clear"/>
        <w:spacing w:line="360" w:lineRule="auto"/>
        <w:ind w:left="-4" w:leftChars="-2" w:right="-817" w:rightChars="-389" w:firstLine="2"/>
        <w:rPr>
          <w:rFonts w:asciiTheme="majorEastAsia" w:hAnsiTheme="majorEastAsia" w:eastAsiaTheme="majorEastAsia"/>
          <w:color w:val="auto"/>
          <w:sz w:val="24"/>
        </w:rPr>
      </w:pPr>
      <w:r>
        <w:rPr>
          <w:rFonts w:hint="eastAsia" w:asciiTheme="majorEastAsia" w:hAnsiTheme="majorEastAsia" w:eastAsiaTheme="majorEastAsia"/>
          <w:color w:val="auto"/>
          <w:sz w:val="24"/>
        </w:rPr>
        <w:t>磋商响应人（盖公章）：</w:t>
      </w:r>
    </w:p>
    <w:p>
      <w:pPr>
        <w:shd w:val="clear"/>
        <w:spacing w:line="360" w:lineRule="auto"/>
        <w:outlineLvl w:val="0"/>
        <w:rPr>
          <w:rFonts w:asciiTheme="majorEastAsia" w:hAnsiTheme="majorEastAsia" w:eastAsiaTheme="majorEastAsia"/>
          <w:color w:val="auto"/>
          <w:sz w:val="24"/>
        </w:rPr>
      </w:pPr>
      <w:r>
        <w:rPr>
          <w:rFonts w:hint="eastAsia" w:asciiTheme="majorEastAsia" w:hAnsiTheme="majorEastAsia" w:eastAsiaTheme="majorEastAsia"/>
          <w:color w:val="auto"/>
          <w:sz w:val="24"/>
        </w:rPr>
        <w:t>法定代表人或其授权代表（签字或盖章）：            日期：    年   月   日</w:t>
      </w:r>
    </w:p>
    <w:p>
      <w:pPr>
        <w:shd w:val="clear"/>
        <w:spacing w:line="360" w:lineRule="auto"/>
        <w:jc w:val="center"/>
        <w:outlineLvl w:val="0"/>
        <w:rPr>
          <w:rFonts w:asciiTheme="majorEastAsia" w:hAnsiTheme="majorEastAsia" w:eastAsiaTheme="majorEastAsia"/>
          <w:color w:val="auto"/>
          <w:sz w:val="24"/>
        </w:rPr>
      </w:pPr>
    </w:p>
    <w:p>
      <w:pPr>
        <w:shd w:val="clear"/>
        <w:spacing w:line="360" w:lineRule="auto"/>
        <w:jc w:val="center"/>
        <w:outlineLvl w:val="0"/>
        <w:rPr>
          <w:rFonts w:asciiTheme="majorEastAsia" w:hAnsiTheme="majorEastAsia" w:eastAsiaTheme="majorEastAsia"/>
          <w:color w:val="auto"/>
          <w:sz w:val="24"/>
        </w:rPr>
      </w:pPr>
    </w:p>
    <w:p>
      <w:pPr>
        <w:shd w:val="clear"/>
        <w:spacing w:line="360" w:lineRule="auto"/>
        <w:jc w:val="center"/>
        <w:outlineLvl w:val="0"/>
        <w:rPr>
          <w:rFonts w:asciiTheme="majorEastAsia" w:hAnsiTheme="majorEastAsia" w:eastAsiaTheme="majorEastAsia"/>
          <w:color w:val="auto"/>
          <w:sz w:val="24"/>
        </w:rPr>
      </w:pPr>
    </w:p>
    <w:p>
      <w:pPr>
        <w:shd w:val="clear"/>
        <w:spacing w:line="360" w:lineRule="auto"/>
        <w:jc w:val="center"/>
        <w:outlineLvl w:val="0"/>
        <w:rPr>
          <w:rFonts w:asciiTheme="majorEastAsia" w:hAnsiTheme="majorEastAsia" w:eastAsiaTheme="majorEastAsia"/>
          <w:color w:val="auto"/>
          <w:sz w:val="24"/>
        </w:rPr>
      </w:pPr>
    </w:p>
    <w:p>
      <w:pPr>
        <w:pageBreakBefore/>
        <w:shd w:val="clear"/>
        <w:spacing w:line="360" w:lineRule="auto"/>
        <w:jc w:val="center"/>
        <w:outlineLvl w:val="0"/>
        <w:rPr>
          <w:rFonts w:cs="仿宋_GB2312" w:asciiTheme="majorEastAsia" w:hAnsiTheme="majorEastAsia" w:eastAsiaTheme="majorEastAsia"/>
          <w:b/>
          <w:color w:val="auto"/>
          <w:kern w:val="0"/>
          <w:sz w:val="36"/>
          <w:szCs w:val="36"/>
        </w:rPr>
      </w:pPr>
      <w:r>
        <w:rPr>
          <w:rFonts w:hint="eastAsia" w:cs="仿宋_GB2312" w:asciiTheme="majorEastAsia" w:hAnsiTheme="majorEastAsia" w:eastAsiaTheme="majorEastAsia"/>
          <w:b/>
          <w:color w:val="auto"/>
          <w:kern w:val="0"/>
          <w:sz w:val="36"/>
          <w:szCs w:val="36"/>
        </w:rPr>
        <w:t>商务技术（资信）文件部分</w:t>
      </w:r>
    </w:p>
    <w:p>
      <w:pPr>
        <w:shd w:val="clear"/>
        <w:spacing w:line="360" w:lineRule="auto"/>
        <w:jc w:val="center"/>
        <w:outlineLvl w:val="0"/>
        <w:rPr>
          <w:rFonts w:cs="仿宋_GB2312" w:asciiTheme="majorEastAsia" w:hAnsiTheme="majorEastAsia" w:eastAsiaTheme="majorEastAsia"/>
          <w:b/>
          <w:color w:val="auto"/>
          <w:kern w:val="0"/>
          <w:sz w:val="24"/>
        </w:rPr>
      </w:pPr>
    </w:p>
    <w:p>
      <w:pPr>
        <w:shd w:val="clear"/>
        <w:spacing w:line="360" w:lineRule="auto"/>
        <w:jc w:val="center"/>
        <w:outlineLvl w:val="0"/>
        <w:rPr>
          <w:rFonts w:cs="仿宋_GB2312" w:asciiTheme="majorEastAsia" w:hAnsiTheme="majorEastAsia" w:eastAsiaTheme="majorEastAsia"/>
          <w:b/>
          <w:color w:val="auto"/>
          <w:kern w:val="0"/>
          <w:sz w:val="28"/>
          <w:szCs w:val="28"/>
        </w:rPr>
      </w:pPr>
      <w:r>
        <w:rPr>
          <w:rFonts w:hint="eastAsia" w:cs="仿宋_GB2312" w:asciiTheme="majorEastAsia" w:hAnsiTheme="majorEastAsia" w:eastAsiaTheme="majorEastAsia"/>
          <w:b/>
          <w:color w:val="auto"/>
          <w:kern w:val="0"/>
          <w:sz w:val="28"/>
          <w:szCs w:val="28"/>
        </w:rPr>
        <w:t>目录</w:t>
      </w:r>
    </w:p>
    <w:p>
      <w:pPr>
        <w:pStyle w:val="227"/>
        <w:shd w:val="clear"/>
        <w:spacing w:line="360" w:lineRule="auto"/>
        <w:ind w:left="0" w:right="-510" w:rightChars="-243" w:firstLine="0" w:firstLineChars="0"/>
        <w:rPr>
          <w:rFonts w:cs="仿宋_GB2312" w:asciiTheme="majorEastAsia" w:hAnsiTheme="majorEastAsia" w:eastAsiaTheme="majorEastAsia"/>
          <w:color w:val="auto"/>
        </w:rPr>
      </w:pPr>
      <w:r>
        <w:rPr>
          <w:rFonts w:hint="eastAsia" w:cs="仿宋_GB2312" w:asciiTheme="majorEastAsia" w:hAnsiTheme="majorEastAsia" w:eastAsiaTheme="majorEastAsia"/>
          <w:color w:val="auto"/>
        </w:rPr>
        <w:t>（1）法定代表人授权委托书……………………………………………………（页码）</w:t>
      </w:r>
    </w:p>
    <w:p>
      <w:pPr>
        <w:pStyle w:val="227"/>
        <w:shd w:val="clear"/>
        <w:spacing w:line="360" w:lineRule="auto"/>
        <w:ind w:left="0" w:right="-510" w:rightChars="-243" w:firstLine="0" w:firstLineChars="0"/>
        <w:rPr>
          <w:rFonts w:cs="仿宋_GB2312" w:asciiTheme="majorEastAsia" w:hAnsiTheme="majorEastAsia" w:eastAsiaTheme="majorEastAsia"/>
          <w:color w:val="auto"/>
        </w:rPr>
      </w:pPr>
      <w:r>
        <w:rPr>
          <w:rFonts w:hint="eastAsia" w:cs="仿宋_GB2312" w:asciiTheme="majorEastAsia" w:hAnsiTheme="majorEastAsia" w:eastAsiaTheme="majorEastAsia"/>
          <w:color w:val="auto"/>
        </w:rPr>
        <w:t>（2）授权代表社保证明（复印件）………………………………………………（页码）</w:t>
      </w:r>
    </w:p>
    <w:p>
      <w:pPr>
        <w:pStyle w:val="227"/>
        <w:shd w:val="clear"/>
        <w:spacing w:line="360" w:lineRule="auto"/>
        <w:ind w:left="0" w:right="-510" w:rightChars="-243" w:firstLine="0" w:firstLineChars="0"/>
        <w:rPr>
          <w:rFonts w:cs="仿宋_GB2312" w:asciiTheme="majorEastAsia" w:hAnsiTheme="majorEastAsia" w:eastAsiaTheme="majorEastAsia"/>
          <w:color w:val="auto"/>
        </w:rPr>
      </w:pPr>
      <w:r>
        <w:rPr>
          <w:rFonts w:hint="eastAsia" w:cs="仿宋_GB2312" w:asciiTheme="majorEastAsia" w:hAnsiTheme="majorEastAsia" w:eastAsiaTheme="majorEastAsia"/>
          <w:color w:val="auto"/>
        </w:rPr>
        <w:t>（3）法定代表人及其授权代表的身份证（复印件）……………………………（页码）（4）法定代表人身份证明书………………………………………………………（页码）</w:t>
      </w:r>
    </w:p>
    <w:p>
      <w:pPr>
        <w:shd w:val="clear"/>
        <w:spacing w:line="360" w:lineRule="auto"/>
        <w:ind w:right="-368" w:rightChars="-175"/>
        <w:outlineLvl w:val="0"/>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（5）资格审查有关的书面承诺函</w:t>
      </w:r>
      <w:r>
        <w:rPr>
          <w:rFonts w:hint="eastAsia" w:cs="仿宋_GB2312" w:asciiTheme="majorEastAsia" w:hAnsiTheme="majorEastAsia" w:eastAsiaTheme="majorEastAsia"/>
          <w:color w:val="auto"/>
          <w:lang w:val="zh-CN"/>
        </w:rPr>
        <w:t>……………………………………………</w:t>
      </w:r>
      <w:r>
        <w:rPr>
          <w:rFonts w:hint="eastAsia" w:cs="仿宋_GB2312" w:asciiTheme="majorEastAsia" w:hAnsiTheme="majorEastAsia" w:eastAsiaTheme="majorEastAsia"/>
          <w:color w:val="auto"/>
        </w:rPr>
        <w:t>…………</w:t>
      </w:r>
      <w:r>
        <w:rPr>
          <w:rFonts w:hint="eastAsia" w:cs="仿宋_GB2312" w:asciiTheme="majorEastAsia" w:hAnsiTheme="majorEastAsia" w:eastAsiaTheme="majorEastAsia"/>
          <w:color w:val="auto"/>
          <w:kern w:val="0"/>
          <w:sz w:val="24"/>
        </w:rPr>
        <w:t>（页码）</w:t>
      </w:r>
    </w:p>
    <w:p>
      <w:pPr>
        <w:shd w:val="clear"/>
        <w:adjustRightInd w:val="0"/>
        <w:spacing w:line="360" w:lineRule="auto"/>
        <w:ind w:left="2" w:right="-510" w:rightChars="-243"/>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（6）符合特定资格条件（如果项目要求）的有关证明材料（复印件）………（页码）</w:t>
      </w:r>
    </w:p>
    <w:p>
      <w:pPr>
        <w:shd w:val="clear"/>
        <w:adjustRightInd w:val="0"/>
        <w:spacing w:line="360" w:lineRule="auto"/>
        <w:ind w:left="2" w:right="-510" w:rightChars="-243"/>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（7）供应商售后服务证明材料……………………………………………………（页码）</w:t>
      </w:r>
    </w:p>
    <w:p>
      <w:pPr>
        <w:shd w:val="clear"/>
        <w:adjustRightInd w:val="0"/>
        <w:spacing w:line="360" w:lineRule="auto"/>
        <w:ind w:right="-510" w:rightChars="-243"/>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（8）</w:t>
      </w:r>
      <w:r>
        <w:rPr>
          <w:rFonts w:hint="eastAsia" w:cs="仿宋_GB2312" w:asciiTheme="majorEastAsia" w:hAnsiTheme="majorEastAsia" w:eastAsiaTheme="majorEastAsia"/>
          <w:color w:val="auto"/>
          <w:sz w:val="24"/>
          <w:lang w:val="zh-CN"/>
        </w:rPr>
        <w:t>主要业绩证明…………………………………………………</w:t>
      </w:r>
      <w:r>
        <w:rPr>
          <w:rFonts w:hint="eastAsia" w:cs="仿宋_GB2312" w:asciiTheme="majorEastAsia" w:hAnsiTheme="majorEastAsia" w:eastAsiaTheme="majorEastAsia"/>
          <w:color w:val="auto"/>
          <w:sz w:val="24"/>
        </w:rPr>
        <w:t>…………</w:t>
      </w:r>
      <w:r>
        <w:rPr>
          <w:rFonts w:hint="eastAsia" w:cs="仿宋_GB2312" w:asciiTheme="majorEastAsia" w:hAnsiTheme="majorEastAsia" w:eastAsiaTheme="majorEastAsia"/>
          <w:color w:val="auto"/>
          <w:sz w:val="24"/>
          <w:lang w:val="zh-CN"/>
        </w:rPr>
        <w:t>…</w:t>
      </w:r>
      <w:r>
        <w:rPr>
          <w:rFonts w:hint="eastAsia" w:cs="仿宋_GB2312" w:asciiTheme="majorEastAsia" w:hAnsiTheme="majorEastAsia" w:eastAsiaTheme="majorEastAsia"/>
          <w:color w:val="auto"/>
          <w:sz w:val="24"/>
        </w:rPr>
        <w:t>（页码）</w:t>
      </w:r>
    </w:p>
    <w:p>
      <w:pPr>
        <w:shd w:val="clear"/>
        <w:adjustRightInd w:val="0"/>
        <w:spacing w:line="360" w:lineRule="auto"/>
        <w:ind w:right="-510" w:rightChars="-243"/>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（9）廉政承诺书 …………………………………………………………………（页码）</w:t>
      </w:r>
    </w:p>
    <w:p>
      <w:pPr>
        <w:shd w:val="clear"/>
        <w:spacing w:line="360" w:lineRule="auto"/>
        <w:ind w:right="-510" w:rightChars="-243"/>
        <w:outlineLvl w:val="0"/>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rPr>
        <w:t>（10）技术解决方案…………………………………………………</w:t>
      </w:r>
      <w:r>
        <w:rPr>
          <w:rFonts w:hint="eastAsia" w:cs="仿宋_GB2312" w:asciiTheme="majorEastAsia" w:hAnsiTheme="majorEastAsia" w:eastAsiaTheme="majorEastAsia"/>
          <w:color w:val="auto"/>
        </w:rPr>
        <w:t>…………</w:t>
      </w:r>
      <w:r>
        <w:rPr>
          <w:rFonts w:hint="eastAsia" w:cs="仿宋_GB2312" w:asciiTheme="majorEastAsia" w:hAnsiTheme="majorEastAsia" w:eastAsiaTheme="majorEastAsia"/>
          <w:color w:val="auto"/>
          <w:kern w:val="0"/>
          <w:sz w:val="24"/>
        </w:rPr>
        <w:t>…（页码）</w:t>
      </w:r>
    </w:p>
    <w:p>
      <w:pPr>
        <w:shd w:val="clear"/>
        <w:spacing w:line="360" w:lineRule="auto"/>
        <w:ind w:right="-510" w:rightChars="-243"/>
        <w:outlineLvl w:val="0"/>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rPr>
        <w:t>（11）技术偏离说明表………………………………………………</w:t>
      </w:r>
      <w:r>
        <w:rPr>
          <w:rFonts w:hint="eastAsia" w:cs="仿宋_GB2312" w:asciiTheme="majorEastAsia" w:hAnsiTheme="majorEastAsia" w:eastAsiaTheme="majorEastAsia"/>
          <w:color w:val="auto"/>
        </w:rPr>
        <w:t>…………</w:t>
      </w:r>
      <w:r>
        <w:rPr>
          <w:rFonts w:hint="eastAsia" w:cs="仿宋_GB2312" w:asciiTheme="majorEastAsia" w:hAnsiTheme="majorEastAsia" w:eastAsiaTheme="majorEastAsia"/>
          <w:color w:val="auto"/>
          <w:kern w:val="0"/>
          <w:sz w:val="24"/>
        </w:rPr>
        <w:t>…（页码）</w:t>
      </w:r>
    </w:p>
    <w:p>
      <w:pPr>
        <w:shd w:val="clear"/>
        <w:spacing w:line="360" w:lineRule="auto"/>
        <w:ind w:right="-510" w:rightChars="-243"/>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rPr>
        <w:t>（12）项目小组人员名单………………………………………</w:t>
      </w:r>
      <w:r>
        <w:rPr>
          <w:rFonts w:hint="eastAsia" w:cs="仿宋_GB2312" w:asciiTheme="majorEastAsia" w:hAnsiTheme="majorEastAsia" w:eastAsiaTheme="majorEastAsia"/>
          <w:color w:val="auto"/>
        </w:rPr>
        <w:t>…………</w:t>
      </w:r>
      <w:r>
        <w:rPr>
          <w:rFonts w:hint="eastAsia" w:cs="仿宋_GB2312" w:asciiTheme="majorEastAsia" w:hAnsiTheme="majorEastAsia" w:eastAsiaTheme="majorEastAsia"/>
          <w:color w:val="auto"/>
          <w:kern w:val="0"/>
          <w:sz w:val="24"/>
        </w:rPr>
        <w:t>………（页码）</w:t>
      </w:r>
    </w:p>
    <w:p>
      <w:pPr>
        <w:shd w:val="clear"/>
        <w:spacing w:line="360" w:lineRule="auto"/>
        <w:ind w:right="-510" w:rightChars="-243"/>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rPr>
        <w:t>（13）</w:t>
      </w:r>
      <w:r>
        <w:rPr>
          <w:rFonts w:hint="eastAsia" w:cs="仿宋_GB2312" w:asciiTheme="majorEastAsia" w:hAnsiTheme="majorEastAsia" w:eastAsiaTheme="majorEastAsia"/>
          <w:color w:val="auto"/>
          <w:kern w:val="0"/>
          <w:sz w:val="24"/>
          <w:lang w:val="zh-CN"/>
        </w:rPr>
        <w:t>优惠条件及特殊承诺……………………………………</w:t>
      </w:r>
      <w:r>
        <w:rPr>
          <w:rFonts w:hint="eastAsia" w:cs="仿宋_GB2312" w:asciiTheme="majorEastAsia" w:hAnsiTheme="majorEastAsia" w:eastAsiaTheme="majorEastAsia"/>
          <w:color w:val="auto"/>
        </w:rPr>
        <w:t>…………</w:t>
      </w:r>
      <w:r>
        <w:rPr>
          <w:rFonts w:hint="eastAsia" w:cs="仿宋_GB2312" w:asciiTheme="majorEastAsia" w:hAnsiTheme="majorEastAsia" w:eastAsiaTheme="majorEastAsia"/>
          <w:color w:val="auto"/>
          <w:kern w:val="0"/>
          <w:sz w:val="24"/>
          <w:lang w:val="zh-CN"/>
        </w:rPr>
        <w:t>………</w:t>
      </w:r>
      <w:r>
        <w:rPr>
          <w:rFonts w:hint="eastAsia" w:cs="仿宋_GB2312" w:asciiTheme="majorEastAsia" w:hAnsiTheme="majorEastAsia" w:eastAsiaTheme="majorEastAsia"/>
          <w:color w:val="auto"/>
          <w:kern w:val="0"/>
          <w:sz w:val="24"/>
        </w:rPr>
        <w:t>（页码）</w:t>
      </w:r>
    </w:p>
    <w:p>
      <w:pPr>
        <w:shd w:val="clear"/>
        <w:spacing w:line="360" w:lineRule="auto"/>
        <w:ind w:right="-510" w:rightChars="-243"/>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rPr>
        <w:t>（14）</w:t>
      </w:r>
      <w:r>
        <w:rPr>
          <w:rFonts w:hint="eastAsia" w:cs="仿宋_GB2312" w:asciiTheme="majorEastAsia" w:hAnsiTheme="majorEastAsia" w:eastAsiaTheme="majorEastAsia"/>
          <w:color w:val="auto"/>
          <w:kern w:val="0"/>
          <w:sz w:val="24"/>
          <w:lang w:val="zh-CN"/>
        </w:rPr>
        <w:t>验收方案…………………………………………………………</w:t>
      </w:r>
      <w:r>
        <w:rPr>
          <w:rFonts w:hint="eastAsia" w:cs="仿宋_GB2312" w:asciiTheme="majorEastAsia" w:hAnsiTheme="majorEastAsia" w:eastAsiaTheme="majorEastAsia"/>
          <w:color w:val="auto"/>
        </w:rPr>
        <w:t>…………</w:t>
      </w:r>
      <w:r>
        <w:rPr>
          <w:rFonts w:hint="eastAsia" w:cs="仿宋_GB2312" w:asciiTheme="majorEastAsia" w:hAnsiTheme="majorEastAsia" w:eastAsiaTheme="majorEastAsia"/>
          <w:color w:val="auto"/>
          <w:kern w:val="0"/>
          <w:sz w:val="24"/>
        </w:rPr>
        <w:t>（页码）</w:t>
      </w:r>
    </w:p>
    <w:p>
      <w:pPr>
        <w:shd w:val="clear"/>
        <w:spacing w:line="360" w:lineRule="auto"/>
        <w:ind w:right="-368" w:rightChars="-175"/>
        <w:rPr>
          <w:rFonts w:cs="仿宋_GB2312" w:asciiTheme="majorEastAsia" w:hAnsiTheme="majorEastAsia" w:eastAsiaTheme="majorEastAsia"/>
          <w:b/>
          <w:bCs/>
          <w:color w:val="auto"/>
          <w:sz w:val="24"/>
        </w:rPr>
      </w:pPr>
      <w:r>
        <w:rPr>
          <w:rFonts w:hint="eastAsia" w:cs="仿宋_GB2312" w:asciiTheme="majorEastAsia" w:hAnsiTheme="majorEastAsia" w:eastAsiaTheme="majorEastAsia"/>
          <w:color w:val="auto"/>
          <w:kern w:val="0"/>
          <w:sz w:val="24"/>
        </w:rPr>
        <w:t>（15）</w:t>
      </w:r>
      <w:r>
        <w:rPr>
          <w:rFonts w:hint="eastAsia" w:cs="仿宋_GB2312" w:asciiTheme="majorEastAsia" w:hAnsiTheme="majorEastAsia" w:eastAsiaTheme="majorEastAsia"/>
          <w:color w:val="auto"/>
          <w:kern w:val="0"/>
          <w:sz w:val="24"/>
          <w:lang w:val="zh-CN"/>
        </w:rPr>
        <w:t>认为需要的其他商务技术（资信）文件或说明…………</w:t>
      </w:r>
      <w:r>
        <w:rPr>
          <w:rFonts w:hint="eastAsia" w:cs="仿宋_GB2312" w:asciiTheme="majorEastAsia" w:hAnsiTheme="majorEastAsia" w:eastAsiaTheme="majorEastAsia"/>
          <w:color w:val="auto"/>
        </w:rPr>
        <w:t>…</w:t>
      </w:r>
      <w:r>
        <w:rPr>
          <w:rFonts w:hint="eastAsia" w:cs="仿宋_GB2312" w:asciiTheme="majorEastAsia" w:hAnsiTheme="majorEastAsia" w:eastAsiaTheme="majorEastAsia"/>
          <w:color w:val="auto"/>
          <w:kern w:val="0"/>
          <w:sz w:val="24"/>
          <w:lang w:val="zh-CN"/>
        </w:rPr>
        <w:t>…</w:t>
      </w:r>
      <w:r>
        <w:rPr>
          <w:rFonts w:hint="eastAsia" w:cs="仿宋_GB2312" w:asciiTheme="majorEastAsia" w:hAnsiTheme="majorEastAsia" w:eastAsiaTheme="majorEastAsia"/>
          <w:color w:val="auto"/>
        </w:rPr>
        <w:t>………</w:t>
      </w:r>
      <w:r>
        <w:rPr>
          <w:rFonts w:hint="eastAsia" w:cs="仿宋_GB2312" w:asciiTheme="majorEastAsia" w:hAnsiTheme="majorEastAsia" w:eastAsiaTheme="majorEastAsia"/>
          <w:color w:val="auto"/>
          <w:kern w:val="0"/>
          <w:sz w:val="24"/>
          <w:lang w:val="zh-CN"/>
        </w:rPr>
        <w:t>…</w:t>
      </w:r>
      <w:r>
        <w:rPr>
          <w:rFonts w:hint="eastAsia" w:cs="仿宋_GB2312" w:asciiTheme="majorEastAsia" w:hAnsiTheme="majorEastAsia" w:eastAsiaTheme="majorEastAsia"/>
          <w:color w:val="auto"/>
          <w:kern w:val="0"/>
          <w:sz w:val="24"/>
        </w:rPr>
        <w:t>（页码）</w:t>
      </w:r>
    </w:p>
    <w:p>
      <w:pPr>
        <w:shd w:val="clear"/>
        <w:spacing w:line="360" w:lineRule="auto"/>
        <w:ind w:right="-368" w:rightChars="-175"/>
        <w:rPr>
          <w:rFonts w:cs="仿宋_GB2312" w:asciiTheme="majorEastAsia" w:hAnsiTheme="majorEastAsia" w:eastAsiaTheme="majorEastAsia"/>
          <w:b/>
          <w:bCs/>
          <w:color w:val="auto"/>
          <w:sz w:val="24"/>
        </w:rPr>
      </w:pPr>
      <w:r>
        <w:rPr>
          <w:rFonts w:hint="eastAsia" w:cs="仿宋_GB2312" w:asciiTheme="majorEastAsia" w:hAnsiTheme="majorEastAsia" w:eastAsiaTheme="majorEastAsia"/>
          <w:color w:val="auto"/>
          <w:kern w:val="0"/>
          <w:sz w:val="24"/>
        </w:rPr>
        <w:t>（16）</w:t>
      </w:r>
      <w:r>
        <w:rPr>
          <w:rFonts w:hint="eastAsia" w:cs="仿宋_GB2312" w:asciiTheme="majorEastAsia" w:hAnsiTheme="majorEastAsia" w:eastAsiaTheme="majorEastAsia"/>
          <w:color w:val="auto"/>
          <w:kern w:val="0"/>
          <w:sz w:val="24"/>
          <w:lang w:val="zh-CN"/>
        </w:rPr>
        <w:t>联合协议（如有）…………………………………………………</w:t>
      </w:r>
      <w:r>
        <w:rPr>
          <w:rFonts w:hint="eastAsia" w:cs="仿宋_GB2312" w:asciiTheme="majorEastAsia" w:hAnsiTheme="majorEastAsia" w:eastAsiaTheme="majorEastAsia"/>
          <w:color w:val="auto"/>
        </w:rPr>
        <w:t>………</w:t>
      </w:r>
      <w:r>
        <w:rPr>
          <w:rFonts w:hint="eastAsia" w:cs="仿宋_GB2312" w:asciiTheme="majorEastAsia" w:hAnsiTheme="majorEastAsia" w:eastAsiaTheme="majorEastAsia"/>
          <w:color w:val="auto"/>
          <w:kern w:val="0"/>
          <w:sz w:val="24"/>
        </w:rPr>
        <w:t>（页码）</w:t>
      </w:r>
    </w:p>
    <w:p>
      <w:pPr>
        <w:shd w:val="clear"/>
        <w:spacing w:line="360" w:lineRule="auto"/>
        <w:ind w:right="-368" w:rightChars="-175"/>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rPr>
        <w:t>（17）</w:t>
      </w:r>
      <w:r>
        <w:rPr>
          <w:rFonts w:hint="eastAsia" w:cs="仿宋_GB2312" w:asciiTheme="majorEastAsia" w:hAnsiTheme="majorEastAsia" w:eastAsiaTheme="majorEastAsia"/>
          <w:color w:val="auto"/>
          <w:kern w:val="0"/>
          <w:sz w:val="24"/>
          <w:lang w:val="zh-CN"/>
        </w:rPr>
        <w:t>分包意向协议（如有）……………………………………</w:t>
      </w:r>
      <w:r>
        <w:rPr>
          <w:rFonts w:hint="eastAsia" w:cs="仿宋_GB2312" w:asciiTheme="majorEastAsia" w:hAnsiTheme="majorEastAsia" w:eastAsiaTheme="majorEastAsia"/>
          <w:color w:val="auto"/>
        </w:rPr>
        <w:t>……</w:t>
      </w:r>
      <w:r>
        <w:rPr>
          <w:rFonts w:hint="eastAsia" w:cs="仿宋_GB2312" w:asciiTheme="majorEastAsia" w:hAnsiTheme="majorEastAsia" w:eastAsiaTheme="majorEastAsia"/>
          <w:color w:val="auto"/>
          <w:kern w:val="0"/>
          <w:sz w:val="24"/>
          <w:lang w:val="zh-CN"/>
        </w:rPr>
        <w:t>…</w:t>
      </w:r>
      <w:r>
        <w:rPr>
          <w:rFonts w:hint="eastAsia" w:cs="仿宋_GB2312" w:asciiTheme="majorEastAsia" w:hAnsiTheme="majorEastAsia" w:eastAsiaTheme="majorEastAsia"/>
          <w:color w:val="auto"/>
        </w:rPr>
        <w:t>………</w:t>
      </w:r>
      <w:r>
        <w:rPr>
          <w:rFonts w:hint="eastAsia" w:cs="仿宋_GB2312" w:asciiTheme="majorEastAsia" w:hAnsiTheme="majorEastAsia" w:eastAsiaTheme="majorEastAsia"/>
          <w:color w:val="auto"/>
          <w:kern w:val="0"/>
          <w:sz w:val="24"/>
        </w:rPr>
        <w:t>（页码）</w:t>
      </w:r>
    </w:p>
    <w:p>
      <w:pPr>
        <w:shd w:val="clear"/>
        <w:spacing w:line="360" w:lineRule="auto"/>
        <w:rPr>
          <w:rFonts w:cs="仿宋_GB2312" w:asciiTheme="majorEastAsia" w:hAnsiTheme="majorEastAsia" w:eastAsiaTheme="majorEastAsia"/>
          <w:b/>
          <w:bCs/>
          <w:color w:val="auto"/>
          <w:sz w:val="24"/>
        </w:rPr>
      </w:pPr>
      <w:r>
        <w:rPr>
          <w:rFonts w:hint="eastAsia" w:cs="仿宋_GB2312" w:asciiTheme="majorEastAsia" w:hAnsiTheme="majorEastAsia" w:eastAsiaTheme="majorEastAsia"/>
          <w:color w:val="auto"/>
          <w:kern w:val="0"/>
          <w:sz w:val="24"/>
        </w:rPr>
        <w:t>（18）中小企业声明函</w:t>
      </w:r>
      <w:r>
        <w:rPr>
          <w:rFonts w:hint="eastAsia" w:cs="仿宋_GB2312" w:asciiTheme="majorEastAsia" w:hAnsiTheme="majorEastAsia" w:eastAsiaTheme="majorEastAsia"/>
          <w:color w:val="auto"/>
          <w:kern w:val="0"/>
          <w:sz w:val="24"/>
          <w:lang w:val="zh-CN"/>
        </w:rPr>
        <w:t>（如有）</w:t>
      </w:r>
      <w:r>
        <w:rPr>
          <w:rFonts w:hint="eastAsia" w:cs="仿宋_GB2312" w:asciiTheme="majorEastAsia" w:hAnsiTheme="majorEastAsia" w:eastAsiaTheme="majorEastAsia"/>
          <w:color w:val="auto"/>
          <w:kern w:val="0"/>
          <w:sz w:val="24"/>
        </w:rPr>
        <w:t>……………………………………………（页码）</w:t>
      </w:r>
    </w:p>
    <w:p>
      <w:pPr>
        <w:shd w:val="clear"/>
        <w:spacing w:line="360" w:lineRule="auto"/>
        <w:ind w:right="-510" w:rightChars="-243"/>
        <w:rPr>
          <w:rFonts w:cs="仿宋_GB2312" w:asciiTheme="majorEastAsia" w:hAnsiTheme="majorEastAsia" w:eastAsiaTheme="majorEastAsia"/>
          <w:b/>
          <w:bCs/>
          <w:color w:val="auto"/>
          <w:sz w:val="24"/>
        </w:rPr>
      </w:pPr>
      <w:r>
        <w:rPr>
          <w:rFonts w:hint="eastAsia" w:cs="仿宋_GB2312" w:asciiTheme="majorEastAsia" w:hAnsiTheme="majorEastAsia" w:eastAsiaTheme="majorEastAsia"/>
          <w:b/>
          <w:bCs/>
          <w:color w:val="auto"/>
          <w:sz w:val="24"/>
        </w:rPr>
        <w:t>注：以上目录是基本格式要求，各供应商可根据自身情况和评分标准进一步细化。</w:t>
      </w:r>
    </w:p>
    <w:p>
      <w:pPr>
        <w:pageBreakBefore/>
        <w:shd w:val="clear"/>
        <w:spacing w:line="800" w:lineRule="exact"/>
        <w:rPr>
          <w:rFonts w:asciiTheme="majorEastAsia" w:hAnsiTheme="majorEastAsia" w:eastAsiaTheme="majorEastAsia"/>
          <w:b/>
          <w:color w:val="auto"/>
          <w:sz w:val="30"/>
          <w:szCs w:val="30"/>
        </w:rPr>
      </w:pPr>
      <w:r>
        <w:rPr>
          <w:rFonts w:hint="eastAsia" w:asciiTheme="majorEastAsia" w:hAnsiTheme="majorEastAsia" w:eastAsiaTheme="majorEastAsia"/>
          <w:b/>
          <w:color w:val="auto"/>
          <w:sz w:val="30"/>
          <w:szCs w:val="30"/>
        </w:rPr>
        <w:t xml:space="preserve">1、法定代表人授权委托书（格式） </w:t>
      </w:r>
      <w:r>
        <w:rPr>
          <w:rFonts w:hint="eastAsia" w:cs="仿宋_GB2312" w:asciiTheme="majorEastAsia" w:hAnsiTheme="majorEastAsia" w:eastAsiaTheme="majorEastAsia"/>
          <w:b/>
          <w:color w:val="auto"/>
          <w:kern w:val="0"/>
          <w:sz w:val="32"/>
          <w:szCs w:val="32"/>
          <w:lang w:val="zh-CN"/>
        </w:rPr>
        <w:t>（适用于非联合体投标）</w:t>
      </w:r>
    </w:p>
    <w:p>
      <w:pPr>
        <w:shd w:val="clear"/>
        <w:jc w:val="center"/>
        <w:rPr>
          <w:rFonts w:asciiTheme="majorEastAsia" w:hAnsiTheme="majorEastAsia" w:eastAsiaTheme="majorEastAsia"/>
          <w:b/>
          <w:color w:val="auto"/>
          <w:sz w:val="24"/>
        </w:rPr>
      </w:pPr>
    </w:p>
    <w:p>
      <w:pPr>
        <w:shd w:val="clear"/>
        <w:snapToGrid w:val="0"/>
        <w:spacing w:line="56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本授权委托书声明：我</w:t>
      </w:r>
      <w:r>
        <w:rPr>
          <w:rFonts w:hint="eastAsia" w:asciiTheme="majorEastAsia" w:hAnsiTheme="majorEastAsia" w:eastAsiaTheme="majorEastAsia"/>
          <w:color w:val="auto"/>
          <w:sz w:val="24"/>
          <w:u w:val="single"/>
        </w:rPr>
        <w:t xml:space="preserve">         (填写姓名)</w:t>
      </w:r>
      <w:r>
        <w:rPr>
          <w:rFonts w:hint="eastAsia" w:asciiTheme="majorEastAsia" w:hAnsiTheme="majorEastAsia" w:eastAsiaTheme="majorEastAsia"/>
          <w:color w:val="auto"/>
          <w:sz w:val="24"/>
        </w:rPr>
        <w:t>系</w:t>
      </w:r>
      <w:r>
        <w:rPr>
          <w:rFonts w:hint="eastAsia" w:asciiTheme="majorEastAsia" w:hAnsiTheme="majorEastAsia" w:eastAsiaTheme="majorEastAsia"/>
          <w:color w:val="auto"/>
          <w:sz w:val="24"/>
          <w:u w:val="single"/>
        </w:rPr>
        <w:t xml:space="preserve">                   （填写供应商单位全称）</w:t>
      </w:r>
      <w:r>
        <w:rPr>
          <w:rFonts w:hint="eastAsia" w:asciiTheme="majorEastAsia" w:hAnsiTheme="majorEastAsia" w:eastAsiaTheme="majorEastAsia"/>
          <w:color w:val="auto"/>
          <w:sz w:val="24"/>
        </w:rPr>
        <w:t>的法定代表人，现授权委托</w:t>
      </w:r>
      <w:r>
        <w:rPr>
          <w:rFonts w:hint="eastAsia" w:asciiTheme="majorEastAsia" w:hAnsiTheme="majorEastAsia" w:eastAsiaTheme="majorEastAsia"/>
          <w:color w:val="auto"/>
          <w:sz w:val="24"/>
          <w:u w:val="single"/>
        </w:rPr>
        <w:t xml:space="preserve">                  （填写单位全称）</w:t>
      </w:r>
      <w:r>
        <w:rPr>
          <w:rFonts w:hint="eastAsia" w:asciiTheme="majorEastAsia" w:hAnsiTheme="majorEastAsia" w:eastAsiaTheme="majorEastAsia"/>
          <w:color w:val="auto"/>
          <w:sz w:val="24"/>
        </w:rPr>
        <w:t>的（填写姓名）为我公司授权代表，</w:t>
      </w:r>
      <w:r>
        <w:rPr>
          <w:rFonts w:hint="eastAsia" w:asciiTheme="majorEastAsia" w:hAnsiTheme="majorEastAsia" w:eastAsiaTheme="majorEastAsia"/>
          <w:color w:val="auto"/>
          <w:sz w:val="24"/>
          <w:u w:val="single"/>
        </w:rPr>
        <w:t>（填写身份证号码：                       ）</w:t>
      </w:r>
      <w:r>
        <w:rPr>
          <w:rFonts w:hint="eastAsia" w:asciiTheme="majorEastAsia" w:hAnsiTheme="majorEastAsia" w:eastAsiaTheme="majorEastAsia"/>
          <w:color w:val="auto"/>
          <w:sz w:val="24"/>
        </w:rPr>
        <w:t>。以本公司的名义参加</w:t>
      </w:r>
      <w:r>
        <w:rPr>
          <w:rFonts w:hint="eastAsia" w:asciiTheme="majorEastAsia" w:hAnsiTheme="majorEastAsia" w:eastAsiaTheme="majorEastAsia"/>
          <w:color w:val="auto"/>
          <w:sz w:val="24"/>
          <w:u w:val="single"/>
        </w:rPr>
        <w:t xml:space="preserve">                         </w:t>
      </w:r>
      <w:r>
        <w:rPr>
          <w:rFonts w:hint="eastAsia" w:asciiTheme="majorEastAsia" w:hAnsiTheme="majorEastAsia" w:eastAsiaTheme="majorEastAsia"/>
          <w:color w:val="auto"/>
          <w:sz w:val="24"/>
          <w:u w:val="single"/>
          <w:lang w:eastAsia="zh-CN"/>
        </w:rPr>
        <w:t>绍兴银行股份有限公司</w:t>
      </w:r>
      <w:r>
        <w:rPr>
          <w:rFonts w:hint="eastAsia" w:asciiTheme="majorEastAsia" w:hAnsiTheme="majorEastAsia" w:eastAsiaTheme="majorEastAsia"/>
          <w:color w:val="auto"/>
          <w:sz w:val="24"/>
          <w:u w:val="single"/>
        </w:rPr>
        <w:t>、</w:t>
      </w:r>
      <w:r>
        <w:rPr>
          <w:rFonts w:hint="eastAsia" w:asciiTheme="majorEastAsia" w:hAnsiTheme="majorEastAsia" w:eastAsiaTheme="majorEastAsia"/>
          <w:color w:val="auto"/>
          <w:sz w:val="24"/>
          <w:u w:val="single"/>
          <w:lang w:eastAsia="zh-CN"/>
        </w:rPr>
        <w:t>浙江华元工程咨询有限公司</w:t>
      </w:r>
      <w:r>
        <w:rPr>
          <w:rFonts w:hint="eastAsia" w:asciiTheme="majorEastAsia" w:hAnsiTheme="majorEastAsia" w:eastAsiaTheme="majorEastAsia"/>
          <w:color w:val="auto"/>
          <w:sz w:val="24"/>
        </w:rPr>
        <w:t>组织的</w:t>
      </w:r>
      <w:r>
        <w:rPr>
          <w:rFonts w:hint="eastAsia" w:asciiTheme="majorEastAsia" w:hAnsiTheme="majorEastAsia" w:eastAsiaTheme="majorEastAsia"/>
          <w:color w:val="auto"/>
          <w:sz w:val="24"/>
          <w:u w:val="single"/>
          <w:lang w:eastAsia="zh-CN"/>
        </w:rPr>
        <w:t>绍兴银行“数智绍芯”工程咨询服务项目</w:t>
      </w:r>
      <w:r>
        <w:rPr>
          <w:rFonts w:hint="eastAsia" w:asciiTheme="majorEastAsia" w:hAnsiTheme="majorEastAsia" w:eastAsiaTheme="majorEastAsia"/>
          <w:color w:val="auto"/>
          <w:sz w:val="24"/>
        </w:rPr>
        <w:t>磋商活动。授权代表在磋商、合同签订过程中所签署的一切文件和处理与之有关的一切事务，我均予以承认。</w:t>
      </w:r>
    </w:p>
    <w:p>
      <w:pPr>
        <w:shd w:val="clear"/>
        <w:snapToGrid w:val="0"/>
        <w:spacing w:line="560" w:lineRule="exact"/>
        <w:ind w:firstLine="480" w:firstLineChars="20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在撤销授权的书面通知以前，本授权书一直有效。全权代表在授权书有效期内签署的所有文件不因授权的撤销而失效。</w:t>
      </w:r>
    </w:p>
    <w:p>
      <w:pPr>
        <w:shd w:val="clear"/>
        <w:spacing w:line="56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授权代表无转委托权。特此委托。</w:t>
      </w:r>
    </w:p>
    <w:p>
      <w:pPr>
        <w:shd w:val="clear"/>
        <w:snapToGrid w:val="0"/>
        <w:spacing w:line="600" w:lineRule="exact"/>
        <w:jc w:val="left"/>
        <w:rPr>
          <w:rFonts w:asciiTheme="majorEastAsia" w:hAnsiTheme="majorEastAsia" w:eastAsiaTheme="majorEastAsia"/>
          <w:color w:val="auto"/>
          <w:sz w:val="24"/>
        </w:rPr>
      </w:pPr>
    </w:p>
    <w:p>
      <w:pPr>
        <w:shd w:val="clear"/>
        <w:spacing w:line="36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授权代表姓名：              性别：               年龄：</w:t>
      </w:r>
    </w:p>
    <w:p>
      <w:pPr>
        <w:shd w:val="clear"/>
        <w:spacing w:line="360" w:lineRule="exact"/>
        <w:rPr>
          <w:rFonts w:asciiTheme="majorEastAsia" w:hAnsiTheme="majorEastAsia" w:eastAsiaTheme="majorEastAsia"/>
          <w:color w:val="auto"/>
          <w:sz w:val="24"/>
        </w:rPr>
      </w:pPr>
    </w:p>
    <w:p>
      <w:pPr>
        <w:shd w:val="clear"/>
        <w:spacing w:line="36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单位：                      部门：               职务：</w:t>
      </w:r>
    </w:p>
    <w:p>
      <w:pPr>
        <w:shd w:val="clear"/>
        <w:spacing w:line="360" w:lineRule="exact"/>
        <w:rPr>
          <w:rFonts w:asciiTheme="majorEastAsia" w:hAnsiTheme="majorEastAsia" w:eastAsiaTheme="majorEastAsia"/>
          <w:color w:val="auto"/>
          <w:sz w:val="24"/>
        </w:rPr>
      </w:pPr>
    </w:p>
    <w:p>
      <w:pPr>
        <w:widowControl/>
        <w:shd w:val="clear"/>
        <w:snapToGrid w:val="0"/>
        <w:spacing w:line="440" w:lineRule="exact"/>
        <w:rPr>
          <w:rFonts w:asciiTheme="majorEastAsia" w:hAnsiTheme="majorEastAsia" w:eastAsiaTheme="majorEastAsia"/>
          <w:color w:val="auto"/>
          <w:sz w:val="24"/>
        </w:rPr>
      </w:pPr>
      <w:r>
        <w:rPr>
          <w:rFonts w:hint="eastAsia" w:asciiTheme="majorEastAsia" w:hAnsiTheme="majorEastAsia" w:eastAsiaTheme="majorEastAsia"/>
          <w:color w:val="auto"/>
          <w:kern w:val="0"/>
          <w:sz w:val="24"/>
        </w:rPr>
        <w:t>办公地址：                  联系电话：           传真：</w:t>
      </w:r>
    </w:p>
    <w:p>
      <w:pPr>
        <w:shd w:val="clear"/>
        <w:spacing w:line="360" w:lineRule="exact"/>
        <w:rPr>
          <w:rFonts w:asciiTheme="majorEastAsia" w:hAnsiTheme="majorEastAsia" w:eastAsiaTheme="majorEastAsia"/>
          <w:color w:val="auto"/>
          <w:sz w:val="24"/>
        </w:rPr>
      </w:pPr>
    </w:p>
    <w:p>
      <w:pPr>
        <w:shd w:val="clear"/>
        <w:spacing w:line="360" w:lineRule="exact"/>
        <w:rPr>
          <w:rFonts w:asciiTheme="majorEastAsia" w:hAnsiTheme="majorEastAsia" w:eastAsiaTheme="majorEastAsia"/>
          <w:color w:val="auto"/>
          <w:sz w:val="24"/>
        </w:rPr>
      </w:pPr>
    </w:p>
    <w:p>
      <w:pPr>
        <w:shd w:val="clear"/>
        <w:spacing w:line="36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磋商响应人（盖公章）：</w:t>
      </w:r>
    </w:p>
    <w:p>
      <w:pPr>
        <w:shd w:val="clear"/>
        <w:spacing w:line="360" w:lineRule="exact"/>
        <w:rPr>
          <w:rFonts w:asciiTheme="majorEastAsia" w:hAnsiTheme="majorEastAsia" w:eastAsiaTheme="majorEastAsia"/>
          <w:color w:val="auto"/>
          <w:sz w:val="24"/>
        </w:rPr>
      </w:pPr>
    </w:p>
    <w:p>
      <w:pPr>
        <w:shd w:val="clear"/>
        <w:spacing w:line="360" w:lineRule="exact"/>
        <w:rPr>
          <w:rFonts w:asciiTheme="majorEastAsia" w:hAnsiTheme="majorEastAsia" w:eastAsiaTheme="majorEastAsia"/>
          <w:color w:val="auto"/>
          <w:sz w:val="24"/>
        </w:rPr>
      </w:pPr>
    </w:p>
    <w:p>
      <w:pPr>
        <w:shd w:val="clear"/>
        <w:spacing w:line="36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法定代表人（签字或盖章）：</w:t>
      </w:r>
    </w:p>
    <w:p>
      <w:pPr>
        <w:shd w:val="clear"/>
        <w:spacing w:line="360" w:lineRule="exact"/>
        <w:rPr>
          <w:rFonts w:asciiTheme="majorEastAsia" w:hAnsiTheme="majorEastAsia" w:eastAsiaTheme="majorEastAsia"/>
          <w:color w:val="auto"/>
          <w:sz w:val="24"/>
        </w:rPr>
      </w:pPr>
    </w:p>
    <w:p>
      <w:pPr>
        <w:shd w:val="clear"/>
        <w:spacing w:line="360" w:lineRule="exact"/>
        <w:rPr>
          <w:rFonts w:asciiTheme="majorEastAsia" w:hAnsiTheme="majorEastAsia" w:eastAsiaTheme="majorEastAsia"/>
          <w:color w:val="auto"/>
          <w:sz w:val="24"/>
        </w:rPr>
      </w:pPr>
    </w:p>
    <w:p>
      <w:pPr>
        <w:shd w:val="clear"/>
        <w:ind w:firstLine="5280" w:firstLineChars="220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日期：    年   月   日</w:t>
      </w:r>
    </w:p>
    <w:p>
      <w:pPr>
        <w:shd w:val="clear"/>
        <w:ind w:firstLine="4920" w:firstLineChars="2050"/>
        <w:jc w:val="left"/>
        <w:rPr>
          <w:rFonts w:asciiTheme="majorEastAsia" w:hAnsiTheme="majorEastAsia" w:eastAsiaTheme="majorEastAsia"/>
          <w:color w:val="auto"/>
          <w:sz w:val="24"/>
        </w:rPr>
      </w:pPr>
    </w:p>
    <w:p>
      <w:pPr>
        <w:pageBreakBefore/>
        <w:shd w:val="clear"/>
        <w:spacing w:line="800" w:lineRule="exact"/>
        <w:rPr>
          <w:rFonts w:asciiTheme="majorEastAsia" w:hAnsiTheme="majorEastAsia" w:eastAsiaTheme="majorEastAsia"/>
          <w:b/>
          <w:color w:val="auto"/>
          <w:sz w:val="30"/>
          <w:szCs w:val="30"/>
        </w:rPr>
      </w:pPr>
      <w:r>
        <w:rPr>
          <w:rFonts w:hint="eastAsia" w:asciiTheme="majorEastAsia" w:hAnsiTheme="majorEastAsia" w:eastAsiaTheme="majorEastAsia"/>
          <w:b/>
          <w:color w:val="auto"/>
          <w:sz w:val="30"/>
          <w:szCs w:val="30"/>
        </w:rPr>
        <w:t xml:space="preserve">法定代表人授权委托书（格式） </w:t>
      </w:r>
      <w:r>
        <w:rPr>
          <w:rFonts w:hint="eastAsia" w:cs="仿宋_GB2312" w:asciiTheme="majorEastAsia" w:hAnsiTheme="majorEastAsia" w:eastAsiaTheme="majorEastAsia"/>
          <w:b/>
          <w:color w:val="auto"/>
          <w:kern w:val="0"/>
          <w:sz w:val="32"/>
          <w:szCs w:val="32"/>
          <w:lang w:val="zh-CN"/>
        </w:rPr>
        <w:t>（适用于联合体投标）</w:t>
      </w:r>
    </w:p>
    <w:p>
      <w:pPr>
        <w:shd w:val="clear"/>
        <w:jc w:val="center"/>
        <w:rPr>
          <w:rFonts w:asciiTheme="majorEastAsia" w:hAnsiTheme="majorEastAsia" w:eastAsiaTheme="majorEastAsia"/>
          <w:b/>
          <w:color w:val="auto"/>
          <w:sz w:val="24"/>
        </w:rPr>
      </w:pPr>
    </w:p>
    <w:p>
      <w:pPr>
        <w:shd w:val="clear"/>
        <w:snapToGrid w:val="0"/>
        <w:spacing w:line="56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本授权委托书声明：</w:t>
      </w:r>
    </w:p>
    <w:p>
      <w:pPr>
        <w:shd w:val="clear"/>
        <w:snapToGrid w:val="0"/>
        <w:spacing w:line="56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现授权委托</w:t>
      </w:r>
      <w:r>
        <w:rPr>
          <w:rFonts w:hint="eastAsia" w:asciiTheme="majorEastAsia" w:hAnsiTheme="majorEastAsia" w:eastAsiaTheme="majorEastAsia"/>
          <w:color w:val="auto"/>
          <w:sz w:val="24"/>
          <w:u w:val="single"/>
        </w:rPr>
        <w:t xml:space="preserve">                  （填写单位全称）</w:t>
      </w:r>
      <w:r>
        <w:rPr>
          <w:rFonts w:hint="eastAsia" w:asciiTheme="majorEastAsia" w:hAnsiTheme="majorEastAsia" w:eastAsiaTheme="majorEastAsia"/>
          <w:color w:val="auto"/>
          <w:sz w:val="24"/>
        </w:rPr>
        <w:t>的</w:t>
      </w:r>
      <w:r>
        <w:rPr>
          <w:rFonts w:hint="eastAsia" w:asciiTheme="majorEastAsia" w:hAnsiTheme="majorEastAsia" w:eastAsiaTheme="majorEastAsia"/>
          <w:color w:val="auto"/>
          <w:sz w:val="24"/>
          <w:u w:val="single"/>
        </w:rPr>
        <w:t xml:space="preserve">  （填写姓名）</w:t>
      </w:r>
      <w:r>
        <w:rPr>
          <w:rFonts w:hint="eastAsia" w:asciiTheme="majorEastAsia" w:hAnsiTheme="majorEastAsia" w:eastAsiaTheme="majorEastAsia"/>
          <w:color w:val="auto"/>
          <w:sz w:val="24"/>
        </w:rPr>
        <w:t>为我方授权代表，</w:t>
      </w:r>
      <w:r>
        <w:rPr>
          <w:rFonts w:hint="eastAsia" w:asciiTheme="majorEastAsia" w:hAnsiTheme="majorEastAsia" w:eastAsiaTheme="majorEastAsia"/>
          <w:color w:val="auto"/>
          <w:sz w:val="24"/>
          <w:u w:val="single"/>
        </w:rPr>
        <w:t>（填写身份证号码：                       ）</w:t>
      </w:r>
      <w:r>
        <w:rPr>
          <w:rFonts w:hint="eastAsia" w:asciiTheme="majorEastAsia" w:hAnsiTheme="majorEastAsia" w:eastAsiaTheme="majorEastAsia"/>
          <w:color w:val="auto"/>
          <w:sz w:val="24"/>
        </w:rPr>
        <w:t>。以我方的名义参加</w:t>
      </w:r>
      <w:r>
        <w:rPr>
          <w:rFonts w:hint="eastAsia" w:asciiTheme="majorEastAsia" w:hAnsiTheme="majorEastAsia" w:eastAsiaTheme="majorEastAsia"/>
          <w:color w:val="auto"/>
          <w:sz w:val="24"/>
          <w:u w:val="single"/>
        </w:rPr>
        <w:t xml:space="preserve">  </w:t>
      </w:r>
      <w:r>
        <w:rPr>
          <w:rFonts w:hint="eastAsia" w:asciiTheme="majorEastAsia" w:hAnsiTheme="majorEastAsia" w:eastAsiaTheme="majorEastAsia"/>
          <w:color w:val="auto"/>
          <w:sz w:val="24"/>
          <w:u w:val="single"/>
          <w:lang w:eastAsia="zh-CN"/>
        </w:rPr>
        <w:t>绍兴银行股份有限公司</w:t>
      </w:r>
      <w:r>
        <w:rPr>
          <w:rFonts w:hint="eastAsia" w:asciiTheme="majorEastAsia" w:hAnsiTheme="majorEastAsia" w:eastAsiaTheme="majorEastAsia"/>
          <w:color w:val="auto"/>
          <w:sz w:val="24"/>
          <w:u w:val="single"/>
        </w:rPr>
        <w:t>、</w:t>
      </w:r>
      <w:r>
        <w:rPr>
          <w:rFonts w:hint="eastAsia" w:asciiTheme="majorEastAsia" w:hAnsiTheme="majorEastAsia" w:eastAsiaTheme="majorEastAsia"/>
          <w:color w:val="auto"/>
          <w:sz w:val="24"/>
          <w:u w:val="single"/>
          <w:lang w:eastAsia="zh-CN"/>
        </w:rPr>
        <w:t>浙江华元工程咨询有限公司</w:t>
      </w:r>
      <w:r>
        <w:rPr>
          <w:rFonts w:hint="eastAsia" w:asciiTheme="majorEastAsia" w:hAnsiTheme="majorEastAsia" w:eastAsiaTheme="majorEastAsia"/>
          <w:color w:val="auto"/>
          <w:sz w:val="24"/>
        </w:rPr>
        <w:t>组织的</w:t>
      </w:r>
      <w:r>
        <w:rPr>
          <w:rFonts w:hint="eastAsia" w:asciiTheme="majorEastAsia" w:hAnsiTheme="majorEastAsia" w:eastAsiaTheme="majorEastAsia"/>
          <w:color w:val="auto"/>
          <w:sz w:val="24"/>
          <w:u w:val="single"/>
          <w:lang w:eastAsia="zh-CN"/>
        </w:rPr>
        <w:t>绍兴银行“数智绍芯”工程咨询服务项目</w:t>
      </w:r>
      <w:r>
        <w:rPr>
          <w:rFonts w:hint="eastAsia" w:asciiTheme="majorEastAsia" w:hAnsiTheme="majorEastAsia" w:eastAsiaTheme="majorEastAsia"/>
          <w:color w:val="auto"/>
          <w:sz w:val="24"/>
        </w:rPr>
        <w:t>磋商活动。授权代表在磋商、合同签订过程中所签署的一切文件和处理与之有关的一切事务，我方均予以承认。</w:t>
      </w:r>
    </w:p>
    <w:p>
      <w:pPr>
        <w:shd w:val="clear"/>
        <w:snapToGrid w:val="0"/>
        <w:spacing w:line="560" w:lineRule="exact"/>
        <w:ind w:firstLine="480" w:firstLineChars="20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在撤销授权的书面通知以前，本授权书一直有效。全权代表在授权书有效期内签署的所有文件不因授权的撤销而失效。</w:t>
      </w:r>
    </w:p>
    <w:p>
      <w:pPr>
        <w:shd w:val="clear"/>
        <w:spacing w:line="56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授权代表无转委托权。特此委托。</w:t>
      </w:r>
    </w:p>
    <w:p>
      <w:pPr>
        <w:shd w:val="clear"/>
        <w:snapToGrid w:val="0"/>
        <w:spacing w:line="600" w:lineRule="exact"/>
        <w:jc w:val="left"/>
        <w:rPr>
          <w:rFonts w:asciiTheme="majorEastAsia" w:hAnsiTheme="majorEastAsia" w:eastAsiaTheme="majorEastAsia"/>
          <w:color w:val="auto"/>
          <w:sz w:val="24"/>
        </w:rPr>
      </w:pPr>
    </w:p>
    <w:p>
      <w:pPr>
        <w:shd w:val="clear"/>
        <w:spacing w:line="36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授权代表姓名：              性别：               年龄：</w:t>
      </w:r>
    </w:p>
    <w:p>
      <w:pPr>
        <w:shd w:val="clear"/>
        <w:spacing w:line="360" w:lineRule="exact"/>
        <w:rPr>
          <w:rFonts w:asciiTheme="majorEastAsia" w:hAnsiTheme="majorEastAsia" w:eastAsiaTheme="majorEastAsia"/>
          <w:color w:val="auto"/>
          <w:sz w:val="24"/>
        </w:rPr>
      </w:pPr>
    </w:p>
    <w:p>
      <w:pPr>
        <w:shd w:val="clear"/>
        <w:spacing w:line="36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单位：                      部门：               职务：</w:t>
      </w:r>
    </w:p>
    <w:p>
      <w:pPr>
        <w:shd w:val="clear"/>
        <w:spacing w:line="360" w:lineRule="exact"/>
        <w:rPr>
          <w:rFonts w:asciiTheme="majorEastAsia" w:hAnsiTheme="majorEastAsia" w:eastAsiaTheme="majorEastAsia"/>
          <w:color w:val="auto"/>
          <w:sz w:val="24"/>
        </w:rPr>
      </w:pPr>
    </w:p>
    <w:p>
      <w:pPr>
        <w:widowControl/>
        <w:shd w:val="clear"/>
        <w:snapToGrid w:val="0"/>
        <w:spacing w:line="440" w:lineRule="exact"/>
        <w:rPr>
          <w:rFonts w:asciiTheme="majorEastAsia" w:hAnsiTheme="majorEastAsia" w:eastAsiaTheme="majorEastAsia"/>
          <w:color w:val="auto"/>
          <w:sz w:val="24"/>
        </w:rPr>
      </w:pPr>
      <w:r>
        <w:rPr>
          <w:rFonts w:hint="eastAsia" w:asciiTheme="majorEastAsia" w:hAnsiTheme="majorEastAsia" w:eastAsiaTheme="majorEastAsia"/>
          <w:color w:val="auto"/>
          <w:kern w:val="0"/>
          <w:sz w:val="24"/>
        </w:rPr>
        <w:t>办公地址：                  联系电话：           传真：</w:t>
      </w:r>
    </w:p>
    <w:p>
      <w:pPr>
        <w:shd w:val="clear"/>
        <w:spacing w:line="360" w:lineRule="exact"/>
        <w:rPr>
          <w:rFonts w:asciiTheme="majorEastAsia" w:hAnsiTheme="majorEastAsia" w:eastAsiaTheme="majorEastAsia"/>
          <w:color w:val="auto"/>
          <w:sz w:val="24"/>
        </w:rPr>
      </w:pPr>
    </w:p>
    <w:p>
      <w:pPr>
        <w:shd w:val="clear"/>
        <w:spacing w:line="360" w:lineRule="exact"/>
        <w:rPr>
          <w:rFonts w:asciiTheme="majorEastAsia" w:hAnsiTheme="majorEastAsia" w:eastAsiaTheme="majorEastAsia"/>
          <w:color w:val="auto"/>
          <w:sz w:val="24"/>
        </w:rPr>
      </w:pPr>
    </w:p>
    <w:p>
      <w:pPr>
        <w:shd w:val="clear"/>
        <w:jc w:val="right"/>
        <w:rPr>
          <w:rFonts w:asciiTheme="majorEastAsia" w:hAnsiTheme="majorEastAsia" w:eastAsiaTheme="majorEastAsia"/>
          <w:color w:val="auto"/>
        </w:rPr>
      </w:pPr>
    </w:p>
    <w:p>
      <w:pPr>
        <w:shd w:val="clear"/>
        <w:snapToGrid w:val="0"/>
        <w:spacing w:line="360" w:lineRule="auto"/>
        <w:jc w:val="right"/>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联合体成员名称</w:t>
      </w:r>
      <w:r>
        <w:rPr>
          <w:rFonts w:cs="仿宋_GB2312" w:asciiTheme="majorEastAsia" w:hAnsiTheme="majorEastAsia" w:eastAsiaTheme="majorEastAsia"/>
          <w:color w:val="auto"/>
          <w:kern w:val="0"/>
          <w:sz w:val="24"/>
          <w:lang w:val="zh-CN"/>
        </w:rPr>
        <w:t>(</w:t>
      </w:r>
      <w:r>
        <w:rPr>
          <w:rFonts w:hint="eastAsia" w:cs="仿宋_GB2312" w:asciiTheme="majorEastAsia" w:hAnsiTheme="majorEastAsia" w:eastAsiaTheme="majorEastAsia"/>
          <w:color w:val="auto"/>
          <w:kern w:val="0"/>
          <w:sz w:val="24"/>
          <w:lang w:val="zh-CN"/>
        </w:rPr>
        <w:t>盖</w:t>
      </w:r>
      <w:r>
        <w:rPr>
          <w:rFonts w:cs="仿宋_GB2312" w:asciiTheme="majorEastAsia" w:hAnsiTheme="majorEastAsia" w:eastAsiaTheme="majorEastAsia"/>
          <w:color w:val="auto"/>
          <w:kern w:val="0"/>
          <w:sz w:val="24"/>
          <w:lang w:val="zh-CN"/>
        </w:rPr>
        <w:t>公章)：</w:t>
      </w:r>
    </w:p>
    <w:p>
      <w:pPr>
        <w:shd w:val="clear"/>
        <w:snapToGrid w:val="0"/>
        <w:spacing w:line="360" w:lineRule="auto"/>
        <w:jc w:val="right"/>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联合体成员名称</w:t>
      </w:r>
      <w:r>
        <w:rPr>
          <w:rFonts w:cs="仿宋_GB2312" w:asciiTheme="majorEastAsia" w:hAnsiTheme="majorEastAsia" w:eastAsiaTheme="majorEastAsia"/>
          <w:color w:val="auto"/>
          <w:kern w:val="0"/>
          <w:sz w:val="24"/>
          <w:lang w:val="zh-CN"/>
        </w:rPr>
        <w:t>(</w:t>
      </w:r>
      <w:r>
        <w:rPr>
          <w:rFonts w:hint="eastAsia" w:cs="仿宋_GB2312" w:asciiTheme="majorEastAsia" w:hAnsiTheme="majorEastAsia" w:eastAsiaTheme="majorEastAsia"/>
          <w:color w:val="auto"/>
          <w:kern w:val="0"/>
          <w:sz w:val="24"/>
          <w:lang w:val="zh-CN"/>
        </w:rPr>
        <w:t>盖</w:t>
      </w:r>
      <w:r>
        <w:rPr>
          <w:rFonts w:cs="仿宋_GB2312" w:asciiTheme="majorEastAsia" w:hAnsiTheme="majorEastAsia" w:eastAsiaTheme="majorEastAsia"/>
          <w:color w:val="auto"/>
          <w:kern w:val="0"/>
          <w:sz w:val="24"/>
          <w:lang w:val="zh-CN"/>
        </w:rPr>
        <w:t>公章)：</w:t>
      </w:r>
    </w:p>
    <w:p>
      <w:pPr>
        <w:shd w:val="clear"/>
        <w:snapToGrid w:val="0"/>
        <w:spacing w:line="360" w:lineRule="auto"/>
        <w:ind w:firstLine="5760" w:firstLineChars="2400"/>
        <w:rPr>
          <w:rFonts w:asciiTheme="majorEastAsia" w:hAnsiTheme="majorEastAsia" w:eastAsiaTheme="majorEastAsia"/>
          <w:color w:val="auto"/>
        </w:rPr>
      </w:pPr>
      <w:r>
        <w:rPr>
          <w:rFonts w:hint="eastAsia" w:cs="仿宋_GB2312" w:asciiTheme="majorEastAsia" w:hAnsiTheme="majorEastAsia" w:eastAsiaTheme="majorEastAsia"/>
          <w:color w:val="auto"/>
          <w:kern w:val="0"/>
          <w:sz w:val="24"/>
          <w:lang w:val="zh-CN"/>
        </w:rPr>
        <w:t>……</w:t>
      </w:r>
    </w:p>
    <w:p>
      <w:pPr>
        <w:shd w:val="clear"/>
        <w:snapToGrid w:val="0"/>
        <w:spacing w:line="360" w:lineRule="auto"/>
        <w:rPr>
          <w:rFonts w:cs="仿宋_GB2312" w:asciiTheme="majorEastAsia" w:hAnsiTheme="majorEastAsia" w:eastAsiaTheme="majorEastAsia"/>
          <w:color w:val="auto"/>
          <w:kern w:val="0"/>
          <w:sz w:val="24"/>
          <w:lang w:val="zh-CN"/>
        </w:rPr>
      </w:pPr>
      <w:r>
        <w:rPr>
          <w:rFonts w:cs="仿宋_GB2312" w:asciiTheme="majorEastAsia" w:hAnsiTheme="majorEastAsia" w:eastAsiaTheme="majorEastAsia"/>
          <w:color w:val="auto"/>
          <w:kern w:val="0"/>
          <w:sz w:val="24"/>
          <w:lang w:val="zh-CN"/>
        </w:rPr>
        <w:t xml:space="preserve">                                        日期：  年  月   日</w:t>
      </w:r>
    </w:p>
    <w:p>
      <w:pPr>
        <w:pageBreakBefore/>
        <w:shd w:val="clear"/>
        <w:spacing w:line="800" w:lineRule="exact"/>
        <w:rPr>
          <w:rFonts w:asciiTheme="majorEastAsia" w:hAnsiTheme="majorEastAsia" w:eastAsiaTheme="majorEastAsia"/>
          <w:b/>
          <w:color w:val="auto"/>
          <w:sz w:val="30"/>
          <w:szCs w:val="30"/>
        </w:rPr>
      </w:pPr>
      <w:r>
        <w:rPr>
          <w:rFonts w:hint="eastAsia" w:asciiTheme="majorEastAsia" w:hAnsiTheme="majorEastAsia" w:eastAsiaTheme="majorEastAsia"/>
          <w:b/>
          <w:color w:val="auto"/>
          <w:sz w:val="30"/>
          <w:szCs w:val="30"/>
        </w:rPr>
        <w:t>2、授权代表社保证明（复印件）</w:t>
      </w:r>
    </w:p>
    <w:p>
      <w:pPr>
        <w:shd w:val="clear"/>
        <w:spacing w:line="800" w:lineRule="exact"/>
        <w:ind w:firstLine="480" w:firstLineChars="200"/>
        <w:rPr>
          <w:rFonts w:asciiTheme="majorEastAsia" w:hAnsiTheme="majorEastAsia" w:eastAsiaTheme="majorEastAsia"/>
          <w:color w:val="auto"/>
          <w:sz w:val="24"/>
          <w:u w:val="wave"/>
        </w:rPr>
      </w:pPr>
      <w:r>
        <w:rPr>
          <w:rFonts w:hint="eastAsia" w:asciiTheme="majorEastAsia" w:hAnsiTheme="majorEastAsia" w:eastAsiaTheme="majorEastAsia"/>
          <w:color w:val="auto"/>
          <w:sz w:val="24"/>
          <w:u w:val="wave"/>
        </w:rPr>
        <w:t>出具距磋商响应截止时间一个月以内的社保机构盖公章的授权代表社保缴纳证明（如授权代表为离退休返聘人员的，磋商响应文件技术部分内需提供退休证明及单位聘用证明；如由第三方代理社保事项的，则需提供加盖供应商公章的委托代理协议复印件），格式自拟。</w:t>
      </w:r>
      <w:r>
        <w:rPr>
          <w:rFonts w:hint="eastAsia" w:asciiTheme="majorEastAsia" w:hAnsiTheme="majorEastAsia" w:eastAsiaTheme="majorEastAsia"/>
          <w:b/>
          <w:color w:val="auto"/>
          <w:sz w:val="24"/>
        </w:rPr>
        <w:t>未提供上述证明的磋商做无效标处理。</w:t>
      </w:r>
    </w:p>
    <w:p>
      <w:pPr>
        <w:shd w:val="clear"/>
        <w:spacing w:line="800" w:lineRule="exact"/>
        <w:ind w:firstLine="4320" w:firstLineChars="1800"/>
        <w:rPr>
          <w:rFonts w:asciiTheme="majorEastAsia" w:hAnsiTheme="majorEastAsia" w:eastAsiaTheme="majorEastAsia"/>
          <w:color w:val="auto"/>
          <w:sz w:val="24"/>
        </w:rPr>
      </w:pPr>
    </w:p>
    <w:p>
      <w:pPr>
        <w:shd w:val="clear"/>
        <w:spacing w:line="800" w:lineRule="exact"/>
        <w:ind w:firstLine="4337" w:firstLineChars="1800"/>
        <w:rPr>
          <w:rFonts w:asciiTheme="majorEastAsia" w:hAnsiTheme="majorEastAsia" w:eastAsiaTheme="majorEastAsia"/>
          <w:b/>
          <w:color w:val="auto"/>
          <w:sz w:val="24"/>
        </w:rPr>
      </w:pPr>
    </w:p>
    <w:p>
      <w:pPr>
        <w:shd w:val="clear"/>
        <w:spacing w:line="800" w:lineRule="exact"/>
        <w:rPr>
          <w:rFonts w:asciiTheme="majorEastAsia" w:hAnsiTheme="majorEastAsia" w:eastAsiaTheme="majorEastAsia"/>
          <w:b/>
          <w:color w:val="auto"/>
          <w:sz w:val="30"/>
          <w:szCs w:val="30"/>
        </w:rPr>
      </w:pPr>
      <w:r>
        <w:rPr>
          <w:rFonts w:hint="eastAsia" w:asciiTheme="majorEastAsia" w:hAnsiTheme="majorEastAsia" w:eastAsiaTheme="majorEastAsia"/>
          <w:b/>
          <w:color w:val="auto"/>
          <w:sz w:val="30"/>
          <w:szCs w:val="30"/>
        </w:rPr>
        <w:t>3、法定代表人及其授权代表身份证复印件（正反面）</w:t>
      </w:r>
    </w:p>
    <w:p>
      <w:pPr>
        <w:shd w:val="clear"/>
        <w:spacing w:line="800" w:lineRule="exact"/>
        <w:rPr>
          <w:rFonts w:asciiTheme="majorEastAsia" w:hAnsiTheme="majorEastAsia" w:eastAsiaTheme="majorEastAsia"/>
          <w:b/>
          <w:color w:val="auto"/>
          <w:sz w:val="24"/>
        </w:rPr>
      </w:pPr>
    </w:p>
    <w:p>
      <w:pPr>
        <w:shd w:val="clear"/>
        <w:spacing w:line="800" w:lineRule="exact"/>
        <w:rPr>
          <w:rFonts w:asciiTheme="majorEastAsia" w:hAnsiTheme="majorEastAsia" w:eastAsiaTheme="majorEastAsia"/>
          <w:b/>
          <w:color w:val="auto"/>
          <w:sz w:val="30"/>
          <w:szCs w:val="30"/>
        </w:rPr>
      </w:pPr>
      <w:r>
        <w:rPr>
          <w:rFonts w:hint="eastAsia" w:asciiTheme="majorEastAsia" w:hAnsiTheme="majorEastAsia" w:eastAsiaTheme="majorEastAsia"/>
          <w:b/>
          <w:color w:val="auto"/>
          <w:sz w:val="30"/>
          <w:szCs w:val="30"/>
        </w:rPr>
        <w:t>4、法定代表人身份证明书(格式)</w:t>
      </w:r>
    </w:p>
    <w:p>
      <w:pPr>
        <w:shd w:val="clear"/>
        <w:spacing w:line="44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投 标 人：</w:t>
      </w:r>
    </w:p>
    <w:p>
      <w:pPr>
        <w:shd w:val="clear"/>
        <w:spacing w:line="440" w:lineRule="exact"/>
        <w:rPr>
          <w:rFonts w:asciiTheme="majorEastAsia" w:hAnsiTheme="majorEastAsia" w:eastAsiaTheme="majorEastAsia"/>
          <w:color w:val="auto"/>
          <w:sz w:val="24"/>
          <w:u w:val="single"/>
        </w:rPr>
      </w:pPr>
      <w:r>
        <w:rPr>
          <w:rFonts w:hint="eastAsia" w:asciiTheme="majorEastAsia" w:hAnsiTheme="majorEastAsia" w:eastAsiaTheme="majorEastAsia"/>
          <w:color w:val="auto"/>
          <w:sz w:val="24"/>
        </w:rPr>
        <w:t>地    址：</w:t>
      </w:r>
    </w:p>
    <w:p>
      <w:pPr>
        <w:shd w:val="clear"/>
        <w:spacing w:line="440" w:lineRule="exact"/>
        <w:ind w:right="281" w:rightChars="134"/>
        <w:rPr>
          <w:rFonts w:asciiTheme="majorEastAsia" w:hAnsiTheme="majorEastAsia" w:eastAsiaTheme="majorEastAsia"/>
          <w:color w:val="auto"/>
          <w:sz w:val="24"/>
          <w:u w:val="single"/>
        </w:rPr>
      </w:pPr>
      <w:r>
        <w:rPr>
          <w:rFonts w:hint="eastAsia" w:asciiTheme="majorEastAsia" w:hAnsiTheme="majorEastAsia" w:eastAsiaTheme="majorEastAsia"/>
          <w:color w:val="auto"/>
          <w:sz w:val="24"/>
        </w:rPr>
        <w:t>姓    名：</w:t>
      </w:r>
    </w:p>
    <w:p>
      <w:pPr>
        <w:shd w:val="clear"/>
        <w:spacing w:line="440" w:lineRule="exact"/>
        <w:ind w:right="281" w:rightChars="134"/>
        <w:rPr>
          <w:rFonts w:asciiTheme="majorEastAsia" w:hAnsiTheme="majorEastAsia" w:eastAsiaTheme="majorEastAsia"/>
          <w:color w:val="auto"/>
          <w:sz w:val="24"/>
          <w:u w:val="single"/>
        </w:rPr>
      </w:pPr>
      <w:r>
        <w:rPr>
          <w:rFonts w:hint="eastAsia" w:asciiTheme="majorEastAsia" w:hAnsiTheme="majorEastAsia" w:eastAsiaTheme="majorEastAsia"/>
          <w:color w:val="auto"/>
          <w:sz w:val="24"/>
        </w:rPr>
        <w:t>身份证号码：</w:t>
      </w:r>
    </w:p>
    <w:p>
      <w:pPr>
        <w:shd w:val="clear"/>
        <w:spacing w:line="440" w:lineRule="exact"/>
        <w:ind w:right="281" w:rightChars="134"/>
        <w:rPr>
          <w:rFonts w:asciiTheme="majorEastAsia" w:hAnsiTheme="majorEastAsia" w:eastAsiaTheme="majorEastAsia"/>
          <w:color w:val="auto"/>
          <w:sz w:val="24"/>
        </w:rPr>
      </w:pPr>
      <w:r>
        <w:rPr>
          <w:rFonts w:hint="eastAsia" w:asciiTheme="majorEastAsia" w:hAnsiTheme="majorEastAsia" w:eastAsiaTheme="majorEastAsia"/>
          <w:color w:val="auto"/>
          <w:sz w:val="24"/>
        </w:rPr>
        <w:t>职   务：</w:t>
      </w:r>
    </w:p>
    <w:p>
      <w:pPr>
        <w:shd w:val="clear"/>
        <w:spacing w:line="44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系</w:t>
      </w:r>
      <w:r>
        <w:rPr>
          <w:rFonts w:hint="eastAsia" w:asciiTheme="majorEastAsia" w:hAnsiTheme="majorEastAsia" w:eastAsiaTheme="majorEastAsia"/>
          <w:color w:val="auto"/>
          <w:sz w:val="24"/>
          <w:u w:val="single"/>
        </w:rPr>
        <w:t xml:space="preserve">                        （填写供应商名称）</w:t>
      </w:r>
      <w:r>
        <w:rPr>
          <w:rFonts w:hint="eastAsia" w:asciiTheme="majorEastAsia" w:hAnsiTheme="majorEastAsia" w:eastAsiaTheme="majorEastAsia"/>
          <w:color w:val="auto"/>
          <w:sz w:val="24"/>
        </w:rPr>
        <w:t>的法定代表人。</w:t>
      </w:r>
    </w:p>
    <w:p>
      <w:pPr>
        <w:shd w:val="clear"/>
        <w:spacing w:line="44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特此证明。</w:t>
      </w:r>
    </w:p>
    <w:p>
      <w:pPr>
        <w:shd w:val="clear"/>
        <w:spacing w:line="440" w:lineRule="exact"/>
        <w:rPr>
          <w:rFonts w:asciiTheme="majorEastAsia" w:hAnsiTheme="majorEastAsia" w:eastAsiaTheme="majorEastAsia"/>
          <w:color w:val="auto"/>
          <w:sz w:val="24"/>
        </w:rPr>
      </w:pPr>
    </w:p>
    <w:p>
      <w:pPr>
        <w:shd w:val="clear"/>
        <w:spacing w:line="44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供应商：                             （盖公章）</w:t>
      </w:r>
    </w:p>
    <w:p>
      <w:pPr>
        <w:shd w:val="clear"/>
        <w:spacing w:line="440" w:lineRule="exact"/>
        <w:ind w:right="480"/>
        <w:rPr>
          <w:rFonts w:asciiTheme="majorEastAsia" w:hAnsiTheme="majorEastAsia" w:eastAsiaTheme="majorEastAsia"/>
          <w:color w:val="auto"/>
          <w:sz w:val="24"/>
        </w:rPr>
      </w:pPr>
    </w:p>
    <w:p>
      <w:pPr>
        <w:shd w:val="clear"/>
        <w:spacing w:line="440" w:lineRule="exact"/>
        <w:ind w:right="720"/>
        <w:jc w:val="right"/>
        <w:rPr>
          <w:rFonts w:asciiTheme="majorEastAsia" w:hAnsiTheme="majorEastAsia" w:eastAsiaTheme="majorEastAsia"/>
          <w:color w:val="auto"/>
          <w:sz w:val="24"/>
        </w:rPr>
      </w:pPr>
      <w:r>
        <w:rPr>
          <w:rFonts w:hint="eastAsia" w:asciiTheme="majorEastAsia" w:hAnsiTheme="majorEastAsia" w:eastAsiaTheme="majorEastAsia"/>
          <w:color w:val="auto"/>
          <w:sz w:val="24"/>
        </w:rPr>
        <w:t>年    月    日</w:t>
      </w:r>
    </w:p>
    <w:p>
      <w:pPr>
        <w:shd w:val="clear"/>
        <w:spacing w:line="360" w:lineRule="auto"/>
        <w:jc w:val="center"/>
        <w:rPr>
          <w:rFonts w:asciiTheme="majorEastAsia" w:hAnsiTheme="majorEastAsia" w:eastAsiaTheme="majorEastAsia"/>
          <w:b/>
          <w:color w:val="auto"/>
          <w:sz w:val="30"/>
          <w:szCs w:val="30"/>
        </w:rPr>
      </w:pPr>
    </w:p>
    <w:p>
      <w:pPr>
        <w:shd w:val="clear"/>
        <w:snapToGrid w:val="0"/>
        <w:spacing w:line="360" w:lineRule="auto"/>
        <w:rPr>
          <w:rFonts w:asciiTheme="majorEastAsia" w:hAnsiTheme="majorEastAsia" w:eastAsiaTheme="majorEastAsia"/>
          <w:b/>
          <w:color w:val="auto"/>
          <w:sz w:val="30"/>
          <w:szCs w:val="30"/>
        </w:rPr>
      </w:pPr>
    </w:p>
    <w:p>
      <w:pPr>
        <w:shd w:val="clear"/>
        <w:snapToGrid w:val="0"/>
        <w:spacing w:line="360" w:lineRule="auto"/>
        <w:rPr>
          <w:rFonts w:asciiTheme="majorEastAsia" w:hAnsiTheme="majorEastAsia" w:eastAsiaTheme="majorEastAsia"/>
          <w:b/>
          <w:color w:val="auto"/>
          <w:sz w:val="30"/>
          <w:szCs w:val="30"/>
        </w:rPr>
      </w:pPr>
      <w:r>
        <w:rPr>
          <w:rFonts w:hint="eastAsia" w:asciiTheme="majorEastAsia" w:hAnsiTheme="majorEastAsia" w:eastAsiaTheme="majorEastAsia"/>
          <w:b/>
          <w:color w:val="auto"/>
          <w:sz w:val="30"/>
          <w:szCs w:val="30"/>
        </w:rPr>
        <w:t>5</w:t>
      </w:r>
      <w:r>
        <w:rPr>
          <w:rFonts w:hint="eastAsia" w:cs="仿宋_GB2312" w:asciiTheme="majorEastAsia" w:hAnsiTheme="majorEastAsia" w:eastAsiaTheme="majorEastAsia"/>
          <w:b/>
          <w:color w:val="auto"/>
          <w:kern w:val="0"/>
          <w:sz w:val="30"/>
          <w:szCs w:val="30"/>
          <w:lang w:val="zh-CN"/>
        </w:rPr>
        <w:t>、</w:t>
      </w:r>
      <w:r>
        <w:rPr>
          <w:rFonts w:hint="eastAsia" w:asciiTheme="majorEastAsia" w:hAnsiTheme="majorEastAsia" w:eastAsiaTheme="majorEastAsia"/>
          <w:b/>
          <w:color w:val="auto"/>
          <w:sz w:val="30"/>
          <w:szCs w:val="30"/>
        </w:rPr>
        <w:t>资格审查有关的书面承诺函</w:t>
      </w:r>
    </w:p>
    <w:p>
      <w:pPr>
        <w:shd w:val="clear"/>
        <w:snapToGrid w:val="0"/>
        <w:spacing w:beforeLines="50" w:line="360" w:lineRule="auto"/>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lang w:eastAsia="zh-CN"/>
        </w:rPr>
        <w:t>绍兴银行股份有限公司</w:t>
      </w:r>
      <w:r>
        <w:rPr>
          <w:rFonts w:hint="eastAsia" w:cs="仿宋_GB2312" w:asciiTheme="majorEastAsia" w:hAnsiTheme="majorEastAsia" w:eastAsiaTheme="majorEastAsia"/>
          <w:color w:val="auto"/>
          <w:sz w:val="24"/>
        </w:rPr>
        <w:t>、</w:t>
      </w:r>
      <w:r>
        <w:rPr>
          <w:rFonts w:hint="eastAsia" w:cs="仿宋_GB2312" w:asciiTheme="majorEastAsia" w:hAnsiTheme="majorEastAsia" w:eastAsiaTheme="majorEastAsia"/>
          <w:color w:val="auto"/>
          <w:sz w:val="24"/>
          <w:lang w:eastAsia="zh-CN"/>
        </w:rPr>
        <w:t>浙江华元工程咨询有限公司</w:t>
      </w:r>
      <w:r>
        <w:rPr>
          <w:rFonts w:hint="eastAsia" w:cs="仿宋_GB2312" w:asciiTheme="majorEastAsia" w:hAnsiTheme="majorEastAsia" w:eastAsiaTheme="majorEastAsia"/>
          <w:color w:val="auto"/>
          <w:kern w:val="0"/>
          <w:sz w:val="24"/>
          <w:lang w:val="zh-CN"/>
        </w:rPr>
        <w:t>：</w:t>
      </w:r>
    </w:p>
    <w:p>
      <w:pPr>
        <w:shd w:val="clear"/>
        <w:snapToGrid w:val="0"/>
        <w:spacing w:line="360" w:lineRule="auto"/>
        <w:ind w:firstLine="480" w:firstLineChars="200"/>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我方郑重承诺，已具有</w:t>
      </w:r>
      <w:r>
        <w:rPr>
          <w:rFonts w:hint="eastAsia" w:cs="仿宋_GB2312" w:asciiTheme="majorEastAsia" w:hAnsiTheme="majorEastAsia" w:eastAsiaTheme="majorEastAsia"/>
          <w:color w:val="auto"/>
          <w:sz w:val="24"/>
          <w:lang w:eastAsia="zh-CN"/>
        </w:rPr>
        <w:t>绍兴银行“数智绍芯”工程咨询服务项目</w:t>
      </w:r>
      <w:r>
        <w:rPr>
          <w:rFonts w:hint="eastAsia" w:cs="仿宋_GB2312" w:asciiTheme="majorEastAsia" w:hAnsiTheme="majorEastAsia" w:eastAsiaTheme="majorEastAsia"/>
          <w:color w:val="auto"/>
          <w:sz w:val="24"/>
        </w:rPr>
        <w:t>（磋商编号:CGSHZJ-2023-N000823）磋商文件中关于申请人资格要求的下列条件：</w:t>
      </w:r>
    </w:p>
    <w:p>
      <w:pPr>
        <w:pStyle w:val="155"/>
        <w:shd w:val="clear"/>
        <w:spacing w:after="156" w:line="440" w:lineRule="exact"/>
        <w:ind w:firstLine="480"/>
        <w:jc w:val="left"/>
        <w:rPr>
          <w:rFonts w:cs="仿宋_GB2312" w:asciiTheme="majorEastAsia" w:hAnsiTheme="majorEastAsia" w:eastAsiaTheme="majorEastAsia"/>
          <w:color w:val="auto"/>
        </w:rPr>
      </w:pPr>
      <w:r>
        <w:rPr>
          <w:rFonts w:hint="eastAsia" w:cs="仿宋_GB2312" w:asciiTheme="majorEastAsia" w:hAnsiTheme="majorEastAsia" w:eastAsiaTheme="majorEastAsia"/>
          <w:color w:val="auto"/>
        </w:rPr>
        <w:t>1、</w:t>
      </w:r>
      <w:r>
        <w:rPr>
          <w:rFonts w:hint="eastAsia" w:asciiTheme="majorEastAsia" w:hAnsiTheme="majorEastAsia" w:eastAsiaTheme="majorEastAsia"/>
          <w:color w:val="auto"/>
          <w:szCs w:val="24"/>
        </w:rPr>
        <w:t>符合《中华人民共和国政府采购法》第二十二条的规定：</w:t>
      </w:r>
    </w:p>
    <w:p>
      <w:pPr>
        <w:shd w:val="clear"/>
        <w:snapToGrid w:val="0"/>
        <w:spacing w:line="360" w:lineRule="auto"/>
        <w:ind w:firstLine="480" w:firstLineChars="200"/>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(一）具有独立承担民事责任的能力（</w:t>
      </w:r>
      <w:r>
        <w:rPr>
          <w:rFonts w:hint="eastAsia" w:asciiTheme="majorEastAsia" w:hAnsiTheme="majorEastAsia" w:eastAsiaTheme="majorEastAsia"/>
          <w:color w:val="auto"/>
          <w:sz w:val="24"/>
        </w:rPr>
        <w:t>如磋商响应人为</w:t>
      </w:r>
      <w:r>
        <w:rPr>
          <w:rFonts w:hint="eastAsia" w:cs="仿宋_GB2312" w:asciiTheme="majorEastAsia" w:hAnsiTheme="majorEastAsia" w:eastAsiaTheme="majorEastAsia"/>
          <w:color w:val="auto"/>
          <w:sz w:val="24"/>
        </w:rPr>
        <w:t>金融、保险、通讯等特定行业的全国性企业所设立的区域性分支机构，以及个体工商户、个人独资企业、合伙企业，已经依法办理了工商、税务和社保登记手续，并且获得总公司（总机构）授权或能够提供房产权证或其他有效财产资料，承诺具备实际承担责任的能力和法定的缔结合同能力，可以独立参加政府采购活动）；</w:t>
      </w:r>
    </w:p>
    <w:p>
      <w:pPr>
        <w:shd w:val="clear"/>
        <w:snapToGrid w:val="0"/>
        <w:spacing w:line="360" w:lineRule="auto"/>
        <w:ind w:firstLine="480" w:firstLineChars="200"/>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(二）具有良好的商业信誉和健全的财务会计制度;</w:t>
      </w:r>
    </w:p>
    <w:p>
      <w:pPr>
        <w:shd w:val="clear"/>
        <w:snapToGrid w:val="0"/>
        <w:spacing w:line="360" w:lineRule="auto"/>
        <w:ind w:firstLine="480" w:firstLineChars="200"/>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(三）具有履行合同所必需的设备和专业技术能力;</w:t>
      </w:r>
    </w:p>
    <w:p>
      <w:pPr>
        <w:shd w:val="clear"/>
        <w:snapToGrid w:val="0"/>
        <w:spacing w:line="360" w:lineRule="auto"/>
        <w:ind w:firstLine="480" w:firstLineChars="200"/>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(四）有依法缴纳税收和社会保障资金的良好记录;</w:t>
      </w:r>
    </w:p>
    <w:p>
      <w:pPr>
        <w:shd w:val="clear"/>
        <w:snapToGrid w:val="0"/>
        <w:spacing w:line="360" w:lineRule="auto"/>
        <w:ind w:firstLine="480" w:firstLineChars="200"/>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sz w:val="24"/>
        </w:rPr>
        <w:t>(五）参加政府采购活动前三年内，在经营活动中没有重大违法记录。</w:t>
      </w:r>
    </w:p>
    <w:p>
      <w:pPr>
        <w:shd w:val="clear"/>
        <w:spacing w:line="360" w:lineRule="auto"/>
        <w:ind w:firstLine="480" w:firstLineChars="200"/>
        <w:rPr>
          <w:rFonts w:cs="仿宋_GB2312" w:asciiTheme="majorEastAsia" w:hAnsiTheme="majorEastAsia" w:eastAsiaTheme="majorEastAsia"/>
          <w:color w:val="auto"/>
          <w:sz w:val="24"/>
          <w:szCs w:val="20"/>
        </w:rPr>
      </w:pPr>
      <w:r>
        <w:rPr>
          <w:rFonts w:hint="eastAsia" w:cs="仿宋_GB2312" w:asciiTheme="majorEastAsia" w:hAnsiTheme="majorEastAsia" w:eastAsiaTheme="majorEastAsia"/>
          <w:color w:val="auto"/>
          <w:kern w:val="0"/>
          <w:sz w:val="24"/>
        </w:rPr>
        <w:t>2、</w:t>
      </w:r>
      <w:r>
        <w:rPr>
          <w:rFonts w:hint="eastAsia" w:cs="仿宋_GB2312" w:asciiTheme="majorEastAsia" w:hAnsiTheme="majorEastAsia" w:eastAsiaTheme="majorEastAsia"/>
          <w:color w:val="auto"/>
          <w:kern w:val="0"/>
          <w:sz w:val="24"/>
          <w:lang w:val="zh-CN"/>
        </w:rPr>
        <w:t>我公司</w:t>
      </w:r>
      <w:r>
        <w:rPr>
          <w:rFonts w:hint="eastAsia" w:cs="仿宋_GB2312" w:asciiTheme="majorEastAsia" w:hAnsiTheme="majorEastAsia" w:eastAsiaTheme="majorEastAsia"/>
          <w:color w:val="auto"/>
          <w:sz w:val="24"/>
        </w:rPr>
        <w:t>声明参加本次政府采购活动前三年内未</w:t>
      </w:r>
      <w:r>
        <w:rPr>
          <w:rFonts w:hint="eastAsia" w:cs="仿宋_GB2312" w:asciiTheme="majorEastAsia" w:hAnsiTheme="majorEastAsia" w:eastAsiaTheme="majorEastAsia"/>
          <w:color w:val="auto"/>
          <w:sz w:val="24"/>
          <w:szCs w:val="20"/>
        </w:rPr>
        <w:t>被列入“黑名单”</w:t>
      </w:r>
      <w:r>
        <w:rPr>
          <w:rFonts w:hint="eastAsia" w:cs="仿宋_GB2312" w:asciiTheme="majorEastAsia" w:hAnsiTheme="majorEastAsia" w:eastAsiaTheme="majorEastAsia"/>
          <w:color w:val="auto"/>
          <w:sz w:val="24"/>
        </w:rPr>
        <w:t>，</w:t>
      </w:r>
      <w:r>
        <w:rPr>
          <w:rFonts w:hint="eastAsia" w:cs="仿宋_GB2312" w:asciiTheme="majorEastAsia" w:hAnsiTheme="majorEastAsia" w:eastAsiaTheme="majorEastAsia"/>
          <w:color w:val="auto"/>
          <w:sz w:val="24"/>
          <w:szCs w:val="20"/>
        </w:rPr>
        <w:t>我方通过“信用中国”网站（www.creditchina.gov.cn）、中国政府采购网（www.ccgp.gov.cn）查询，未被列入失信被执行人、重大税收违法案件当事人名单、政府采购严重违法失信行为记录名单。</w:t>
      </w:r>
    </w:p>
    <w:p>
      <w:pPr>
        <w:shd w:val="clear"/>
        <w:spacing w:line="360" w:lineRule="auto"/>
        <w:ind w:firstLine="480" w:firstLineChars="200"/>
        <w:rPr>
          <w:rFonts w:cs="仿宋_GB2312" w:asciiTheme="majorEastAsia" w:hAnsiTheme="majorEastAsia" w:eastAsiaTheme="majorEastAsia"/>
          <w:color w:val="auto"/>
          <w:sz w:val="24"/>
          <w:szCs w:val="20"/>
        </w:rPr>
      </w:pPr>
    </w:p>
    <w:p>
      <w:pPr>
        <w:shd w:val="clear"/>
        <w:spacing w:line="360" w:lineRule="auto"/>
        <w:ind w:firstLine="480" w:firstLineChars="200"/>
        <w:rPr>
          <w:rFonts w:cs="仿宋_GB2312" w:asciiTheme="majorEastAsia" w:hAnsiTheme="majorEastAsia" w:eastAsiaTheme="majorEastAsia"/>
          <w:color w:val="auto"/>
          <w:sz w:val="24"/>
          <w:szCs w:val="20"/>
        </w:rPr>
      </w:pPr>
    </w:p>
    <w:p>
      <w:pPr>
        <w:shd w:val="clear"/>
        <w:spacing w:line="360" w:lineRule="auto"/>
        <w:ind w:firstLine="480" w:firstLineChars="200"/>
        <w:rPr>
          <w:rFonts w:cs="仿宋_GB2312" w:asciiTheme="majorEastAsia" w:hAnsiTheme="majorEastAsia" w:eastAsiaTheme="majorEastAsia"/>
          <w:color w:val="auto"/>
          <w:sz w:val="24"/>
          <w:szCs w:val="20"/>
        </w:rPr>
      </w:pPr>
    </w:p>
    <w:p>
      <w:pPr>
        <w:shd w:val="clear"/>
        <w:snapToGrid w:val="0"/>
        <w:spacing w:line="360" w:lineRule="auto"/>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磋商响应人(盖公章)：</w:t>
      </w:r>
    </w:p>
    <w:p>
      <w:pPr>
        <w:shd w:val="clear"/>
        <w:snapToGrid w:val="0"/>
        <w:spacing w:line="360" w:lineRule="auto"/>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lang w:val="zh-CN"/>
        </w:rPr>
        <w:t xml:space="preserve">                           法定代表人或其授权代表(签字或盖章)：</w:t>
      </w:r>
    </w:p>
    <w:p>
      <w:pPr>
        <w:shd w:val="clear"/>
        <w:snapToGrid w:val="0"/>
        <w:spacing w:line="360" w:lineRule="auto"/>
        <w:ind w:firstLine="5160" w:firstLineChars="2150"/>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日期</w:t>
      </w:r>
      <w:r>
        <w:rPr>
          <w:rFonts w:hint="eastAsia" w:cs="仿宋_GB2312" w:asciiTheme="majorEastAsia" w:hAnsiTheme="majorEastAsia" w:eastAsiaTheme="majorEastAsia"/>
          <w:color w:val="auto"/>
          <w:kern w:val="0"/>
          <w:sz w:val="24"/>
        </w:rPr>
        <w:t xml:space="preserve">：  年  </w:t>
      </w:r>
      <w:r>
        <w:rPr>
          <w:rFonts w:hint="eastAsia" w:cs="仿宋_GB2312" w:asciiTheme="majorEastAsia" w:hAnsiTheme="majorEastAsia" w:eastAsiaTheme="majorEastAsia"/>
          <w:color w:val="auto"/>
          <w:kern w:val="0"/>
          <w:sz w:val="24"/>
          <w:lang w:val="zh-CN"/>
        </w:rPr>
        <w:t>月   日</w:t>
      </w:r>
    </w:p>
    <w:p>
      <w:pPr>
        <w:shd w:val="clear"/>
        <w:rPr>
          <w:rFonts w:cs="仿宋_GB2312" w:asciiTheme="majorEastAsia" w:hAnsiTheme="majorEastAsia" w:eastAsiaTheme="majorEastAsia"/>
          <w:b/>
          <w:color w:val="auto"/>
          <w:sz w:val="30"/>
          <w:szCs w:val="30"/>
        </w:rPr>
      </w:pPr>
    </w:p>
    <w:p>
      <w:pPr>
        <w:shd w:val="clear"/>
        <w:spacing w:line="360" w:lineRule="auto"/>
        <w:rPr>
          <w:rFonts w:cs="仿宋_GB2312" w:asciiTheme="majorEastAsia" w:hAnsiTheme="majorEastAsia" w:eastAsiaTheme="majorEastAsia"/>
          <w:b/>
          <w:color w:val="auto"/>
          <w:sz w:val="30"/>
          <w:szCs w:val="30"/>
        </w:rPr>
      </w:pPr>
    </w:p>
    <w:p>
      <w:pPr>
        <w:shd w:val="clear"/>
        <w:spacing w:line="360" w:lineRule="auto"/>
        <w:rPr>
          <w:rFonts w:cs="仿宋_GB2312" w:asciiTheme="majorEastAsia" w:hAnsiTheme="majorEastAsia" w:eastAsiaTheme="majorEastAsia"/>
          <w:b/>
          <w:color w:val="auto"/>
          <w:sz w:val="30"/>
          <w:szCs w:val="30"/>
        </w:rPr>
      </w:pPr>
    </w:p>
    <w:p>
      <w:pPr>
        <w:shd w:val="clear"/>
        <w:spacing w:line="360" w:lineRule="auto"/>
        <w:rPr>
          <w:rFonts w:cs="仿宋_GB2312" w:asciiTheme="majorEastAsia" w:hAnsiTheme="majorEastAsia" w:eastAsiaTheme="majorEastAsia"/>
          <w:b/>
          <w:color w:val="auto"/>
          <w:sz w:val="32"/>
          <w:szCs w:val="32"/>
        </w:rPr>
      </w:pPr>
      <w:r>
        <w:rPr>
          <w:rFonts w:hint="eastAsia" w:cs="仿宋_GB2312" w:asciiTheme="majorEastAsia" w:hAnsiTheme="majorEastAsia" w:eastAsiaTheme="majorEastAsia"/>
          <w:b/>
          <w:color w:val="auto"/>
          <w:sz w:val="32"/>
          <w:szCs w:val="32"/>
        </w:rPr>
        <w:t>6、特定资格条件要求的资质文件（复印件）</w:t>
      </w:r>
    </w:p>
    <w:p>
      <w:pPr>
        <w:widowControl/>
        <w:shd w:val="clear"/>
        <w:spacing w:line="360" w:lineRule="auto"/>
        <w:ind w:firstLine="480" w:firstLineChars="200"/>
        <w:jc w:val="left"/>
        <w:rPr>
          <w:rFonts w:cs="仿宋_GB2312" w:asciiTheme="majorEastAsia" w:hAnsiTheme="majorEastAsia" w:eastAsiaTheme="majorEastAsia"/>
          <w:b/>
          <w:bCs/>
          <w:color w:val="auto"/>
          <w:sz w:val="32"/>
          <w:szCs w:val="32"/>
        </w:rPr>
      </w:pPr>
      <w:r>
        <w:rPr>
          <w:rFonts w:hint="eastAsia" w:cs="仿宋_GB2312" w:asciiTheme="majorEastAsia" w:hAnsiTheme="majorEastAsia" w:eastAsiaTheme="majorEastAsia"/>
          <w:color w:val="auto"/>
          <w:sz w:val="24"/>
        </w:rPr>
        <w:t>（由磋商响应人根据磋商公告中合格的磋商响应人应具备的特定资格要求编制）</w:t>
      </w:r>
    </w:p>
    <w:p>
      <w:pPr>
        <w:shd w:val="clear"/>
        <w:spacing w:line="360" w:lineRule="auto"/>
        <w:rPr>
          <w:rFonts w:cs="仿宋_GB2312" w:asciiTheme="majorEastAsia" w:hAnsiTheme="majorEastAsia" w:eastAsiaTheme="majorEastAsia"/>
          <w:b/>
          <w:color w:val="auto"/>
          <w:sz w:val="30"/>
          <w:szCs w:val="30"/>
        </w:rPr>
      </w:pPr>
    </w:p>
    <w:p>
      <w:pPr>
        <w:shd w:val="clear"/>
        <w:spacing w:line="360" w:lineRule="auto"/>
        <w:rPr>
          <w:rFonts w:cs="仿宋_GB2312" w:asciiTheme="majorEastAsia" w:hAnsiTheme="majorEastAsia" w:eastAsiaTheme="majorEastAsia"/>
          <w:b/>
          <w:color w:val="auto"/>
          <w:sz w:val="30"/>
          <w:szCs w:val="30"/>
        </w:rPr>
      </w:pPr>
    </w:p>
    <w:p>
      <w:pPr>
        <w:shd w:val="clear"/>
        <w:spacing w:line="360" w:lineRule="auto"/>
        <w:rPr>
          <w:rFonts w:cs="仿宋_GB2312" w:asciiTheme="majorEastAsia" w:hAnsiTheme="majorEastAsia" w:eastAsiaTheme="majorEastAsia"/>
          <w:b/>
          <w:color w:val="auto"/>
          <w:sz w:val="30"/>
          <w:szCs w:val="30"/>
        </w:rPr>
      </w:pPr>
    </w:p>
    <w:p>
      <w:pPr>
        <w:shd w:val="clear"/>
        <w:spacing w:line="360" w:lineRule="auto"/>
        <w:rPr>
          <w:rFonts w:cs="仿宋_GB2312" w:asciiTheme="majorEastAsia" w:hAnsiTheme="majorEastAsia" w:eastAsiaTheme="majorEastAsia"/>
          <w:b/>
          <w:color w:val="auto"/>
          <w:sz w:val="30"/>
          <w:szCs w:val="30"/>
        </w:rPr>
      </w:pPr>
      <w:r>
        <w:rPr>
          <w:rFonts w:hint="eastAsia" w:cs="仿宋_GB2312" w:asciiTheme="majorEastAsia" w:hAnsiTheme="majorEastAsia" w:eastAsiaTheme="majorEastAsia"/>
          <w:b/>
          <w:color w:val="auto"/>
          <w:sz w:val="30"/>
          <w:szCs w:val="30"/>
        </w:rPr>
        <w:t>7、磋商响应人售后服务能力证明材料</w:t>
      </w:r>
    </w:p>
    <w:p>
      <w:pPr>
        <w:shd w:val="clear"/>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（由磋商响应人根据采购需求及磋商文件要求编制）</w:t>
      </w:r>
    </w:p>
    <w:p>
      <w:pPr>
        <w:shd w:val="clear"/>
        <w:spacing w:line="360" w:lineRule="auto"/>
        <w:jc w:val="center"/>
        <w:rPr>
          <w:rFonts w:cs="仿宋_GB2312" w:asciiTheme="majorEastAsia" w:hAnsiTheme="majorEastAsia" w:eastAsiaTheme="majorEastAsia"/>
          <w:b/>
          <w:color w:val="auto"/>
          <w:sz w:val="32"/>
          <w:szCs w:val="32"/>
        </w:rPr>
      </w:pPr>
    </w:p>
    <w:p>
      <w:pPr>
        <w:shd w:val="clear"/>
        <w:spacing w:line="360" w:lineRule="auto"/>
        <w:jc w:val="center"/>
        <w:rPr>
          <w:rFonts w:cs="仿宋_GB2312" w:asciiTheme="majorEastAsia" w:hAnsiTheme="majorEastAsia" w:eastAsiaTheme="majorEastAsia"/>
          <w:b/>
          <w:color w:val="auto"/>
          <w:sz w:val="32"/>
          <w:szCs w:val="32"/>
        </w:rPr>
      </w:pPr>
    </w:p>
    <w:p>
      <w:pPr>
        <w:shd w:val="clear"/>
        <w:spacing w:line="360" w:lineRule="auto"/>
        <w:rPr>
          <w:rFonts w:cs="仿宋_GB2312" w:asciiTheme="majorEastAsia" w:hAnsiTheme="majorEastAsia" w:eastAsiaTheme="majorEastAsia"/>
          <w:b/>
          <w:bCs/>
          <w:color w:val="auto"/>
          <w:sz w:val="32"/>
          <w:szCs w:val="32"/>
        </w:rPr>
      </w:pPr>
      <w:r>
        <w:rPr>
          <w:rFonts w:hint="eastAsia" w:cs="仿宋_GB2312" w:asciiTheme="majorEastAsia" w:hAnsiTheme="majorEastAsia" w:eastAsiaTheme="majorEastAsia"/>
          <w:b/>
          <w:color w:val="auto"/>
          <w:sz w:val="32"/>
          <w:szCs w:val="32"/>
        </w:rPr>
        <w:t>8、</w:t>
      </w:r>
      <w:r>
        <w:rPr>
          <w:rFonts w:hint="eastAsia" w:cs="仿宋_GB2312" w:asciiTheme="majorEastAsia" w:hAnsiTheme="majorEastAsia" w:eastAsiaTheme="majorEastAsia"/>
          <w:b/>
          <w:color w:val="auto"/>
          <w:kern w:val="0"/>
          <w:sz w:val="32"/>
          <w:szCs w:val="32"/>
          <w:lang w:val="zh-CN"/>
        </w:rPr>
        <w:t>主要业绩证明</w:t>
      </w:r>
    </w:p>
    <w:p>
      <w:pPr>
        <w:shd w:val="clear"/>
        <w:autoSpaceDE w:val="0"/>
        <w:autoSpaceDN w:val="0"/>
        <w:spacing w:line="360" w:lineRule="auto"/>
        <w:ind w:firstLine="120"/>
        <w:rPr>
          <w:rFonts w:cs="仿宋_GB2312" w:asciiTheme="majorEastAsia" w:hAnsiTheme="majorEastAsia" w:eastAsiaTheme="majorEastAsia"/>
          <w:b/>
          <w:color w:val="auto"/>
          <w:sz w:val="24"/>
        </w:rPr>
      </w:pPr>
      <w:r>
        <w:rPr>
          <w:rFonts w:hint="eastAsia" w:cs="仿宋_GB2312" w:asciiTheme="majorEastAsia" w:hAnsiTheme="majorEastAsia" w:eastAsiaTheme="majorEastAsia"/>
          <w:b/>
          <w:color w:val="auto"/>
          <w:sz w:val="24"/>
        </w:rPr>
        <w:t>附表 :相关项目建设业绩一览表</w:t>
      </w:r>
    </w:p>
    <w:tbl>
      <w:tblPr>
        <w:tblStyle w:val="90"/>
        <w:tblW w:w="9135" w:type="dxa"/>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项目</w:t>
            </w:r>
          </w:p>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合同</w:t>
            </w:r>
          </w:p>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金额</w:t>
            </w:r>
          </w:p>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开竣工日期</w:t>
            </w:r>
          </w:p>
        </w:tc>
        <w:tc>
          <w:tcPr>
            <w:tcW w:w="1515"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项目地址与采购单位联系电话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所在页码</w:t>
            </w:r>
          </w:p>
        </w:tc>
      </w:tr>
      <w:tr>
        <w:tblPrEx>
          <w:tblCellMar>
            <w:top w:w="0" w:type="dxa"/>
            <w:left w:w="108" w:type="dxa"/>
            <w:bottom w:w="0" w:type="dxa"/>
            <w:right w:w="108" w:type="dxa"/>
          </w:tblCellMar>
        </w:tblPrEx>
        <w:trPr>
          <w:trHeight w:val="659" w:hRule="atLeast"/>
        </w:trPr>
        <w:tc>
          <w:tcPr>
            <w:tcW w:w="180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951"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356"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143"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15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51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21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r>
      <w:tr>
        <w:tblPrEx>
          <w:tblCellMar>
            <w:top w:w="0" w:type="dxa"/>
            <w:left w:w="108" w:type="dxa"/>
            <w:bottom w:w="0" w:type="dxa"/>
            <w:right w:w="108" w:type="dxa"/>
          </w:tblCellMar>
        </w:tblPrEx>
        <w:trPr>
          <w:trHeight w:val="697" w:hRule="atLeast"/>
        </w:trPr>
        <w:tc>
          <w:tcPr>
            <w:tcW w:w="180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951"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356"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143"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15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51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21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r>
      <w:tr>
        <w:tblPrEx>
          <w:tblCellMar>
            <w:top w:w="0" w:type="dxa"/>
            <w:left w:w="108" w:type="dxa"/>
            <w:bottom w:w="0" w:type="dxa"/>
            <w:right w:w="108" w:type="dxa"/>
          </w:tblCellMar>
        </w:tblPrEx>
        <w:trPr>
          <w:trHeight w:val="693" w:hRule="atLeast"/>
        </w:trPr>
        <w:tc>
          <w:tcPr>
            <w:tcW w:w="180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951"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356"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143"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15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51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21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r>
    </w:tbl>
    <w:p>
      <w:pPr>
        <w:shd w:val="clear"/>
        <w:autoSpaceDE w:val="0"/>
        <w:autoSpaceDN w:val="0"/>
        <w:spacing w:line="360" w:lineRule="auto"/>
        <w:rPr>
          <w:rFonts w:cs="仿宋_GB2312" w:asciiTheme="majorEastAsia" w:hAnsiTheme="majorEastAsia" w:eastAsiaTheme="majorEastAsia"/>
          <w:b/>
          <w:color w:val="auto"/>
          <w:sz w:val="24"/>
        </w:rPr>
      </w:pPr>
      <w:r>
        <w:rPr>
          <w:rFonts w:hint="eastAsia" w:cs="仿宋_GB2312" w:asciiTheme="majorEastAsia" w:hAnsiTheme="majorEastAsia" w:eastAsiaTheme="majorEastAsia"/>
          <w:b/>
          <w:color w:val="auto"/>
          <w:sz w:val="24"/>
        </w:rPr>
        <w:t>注：磋商响应人可按上述的格式自行编制，须随表提交相应的合同复印件并注明页码。</w:t>
      </w:r>
    </w:p>
    <w:p>
      <w:pPr>
        <w:shd w:val="clear"/>
        <w:autoSpaceDE w:val="0"/>
        <w:autoSpaceDN w:val="0"/>
        <w:spacing w:line="360" w:lineRule="auto"/>
        <w:rPr>
          <w:rFonts w:cs="仿宋_GB2312" w:asciiTheme="majorEastAsia" w:hAnsiTheme="majorEastAsia" w:eastAsiaTheme="majorEastAsia"/>
          <w:b/>
          <w:color w:val="auto"/>
          <w:sz w:val="24"/>
        </w:rPr>
      </w:pPr>
    </w:p>
    <w:p>
      <w:pPr>
        <w:shd w:val="clear"/>
        <w:autoSpaceDE w:val="0"/>
        <w:autoSpaceDN w:val="0"/>
        <w:spacing w:line="360" w:lineRule="auto"/>
        <w:rPr>
          <w:rFonts w:cs="仿宋_GB2312" w:asciiTheme="majorEastAsia" w:hAnsiTheme="majorEastAsia" w:eastAsiaTheme="majorEastAsia"/>
          <w:color w:val="auto"/>
          <w:sz w:val="24"/>
        </w:rPr>
      </w:pPr>
    </w:p>
    <w:p>
      <w:pPr>
        <w:shd w:val="clear"/>
        <w:snapToGrid w:val="0"/>
        <w:spacing w:line="360" w:lineRule="auto"/>
        <w:ind w:right="960"/>
        <w:jc w:val="right"/>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lang w:val="zh-CN"/>
        </w:rPr>
        <w:t>磋商响应人（盖公章）：</w:t>
      </w:r>
    </w:p>
    <w:p>
      <w:pPr>
        <w:shd w:val="clear"/>
        <w:autoSpaceDE w:val="0"/>
        <w:autoSpaceDN w:val="0"/>
        <w:spacing w:line="360" w:lineRule="auto"/>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lang w:val="zh-CN"/>
        </w:rPr>
        <w:t xml:space="preserve">                                法定代表人或其授权代表(签字或盖章)：</w:t>
      </w:r>
    </w:p>
    <w:p>
      <w:pPr>
        <w:shd w:val="clear"/>
        <w:spacing w:line="360" w:lineRule="auto"/>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rPr>
        <w:t xml:space="preserve">                                             日期：  年  月   日</w:t>
      </w:r>
    </w:p>
    <w:p>
      <w:pPr>
        <w:pStyle w:val="238"/>
        <w:pageBreakBefore/>
        <w:shd w:val="clear"/>
        <w:ind w:firstLine="0"/>
        <w:jc w:val="both"/>
        <w:rPr>
          <w:rFonts w:cs="仿宋_GB2312" w:asciiTheme="majorEastAsia" w:hAnsiTheme="majorEastAsia" w:eastAsiaTheme="majorEastAsia"/>
          <w:color w:val="auto"/>
        </w:rPr>
      </w:pPr>
      <w:r>
        <w:rPr>
          <w:rFonts w:hint="eastAsia" w:cs="仿宋_GB2312" w:asciiTheme="majorEastAsia" w:hAnsiTheme="majorEastAsia" w:eastAsiaTheme="majorEastAsia"/>
          <w:color w:val="auto"/>
        </w:rPr>
        <w:t>9、廉政承诺书</w:t>
      </w:r>
    </w:p>
    <w:p>
      <w:pPr>
        <w:shd w:val="clear"/>
        <w:autoSpaceDE w:val="0"/>
        <w:autoSpaceDN w:val="0"/>
        <w:spacing w:line="360" w:lineRule="auto"/>
        <w:ind w:left="2"/>
        <w:jc w:val="left"/>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sz w:val="24"/>
          <w:lang w:eastAsia="zh-CN"/>
        </w:rPr>
        <w:t>绍兴银行股份有限公司</w:t>
      </w:r>
      <w:r>
        <w:rPr>
          <w:rFonts w:hint="eastAsia" w:cs="仿宋_GB2312" w:asciiTheme="majorEastAsia" w:hAnsiTheme="majorEastAsia" w:eastAsiaTheme="majorEastAsia"/>
          <w:color w:val="auto"/>
          <w:kern w:val="0"/>
          <w:sz w:val="24"/>
          <w:lang w:val="zh-CN"/>
        </w:rPr>
        <w:t xml:space="preserve">：    </w:t>
      </w:r>
    </w:p>
    <w:p>
      <w:pPr>
        <w:shd w:val="clear"/>
        <w:autoSpaceDE w:val="0"/>
        <w:autoSpaceDN w:val="0"/>
        <w:spacing w:line="360" w:lineRule="auto"/>
        <w:ind w:left="2" w:leftChars="1" w:firstLine="480" w:firstLineChars="200"/>
        <w:jc w:val="left"/>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我单位响应你</w:t>
      </w:r>
      <w:r>
        <w:rPr>
          <w:rFonts w:hint="eastAsia" w:cs="仿宋_GB2312" w:asciiTheme="majorEastAsia" w:hAnsiTheme="majorEastAsia" w:eastAsiaTheme="majorEastAsia"/>
          <w:color w:val="auto"/>
          <w:sz w:val="24"/>
        </w:rPr>
        <w:t>单位</w:t>
      </w:r>
      <w:r>
        <w:rPr>
          <w:rFonts w:hint="eastAsia" w:cs="仿宋_GB2312" w:asciiTheme="majorEastAsia" w:hAnsiTheme="majorEastAsia" w:eastAsiaTheme="majorEastAsia"/>
          <w:color w:val="auto"/>
          <w:kern w:val="0"/>
          <w:sz w:val="24"/>
          <w:lang w:val="zh-CN"/>
        </w:rPr>
        <w:t xml:space="preserve">项目竞争性磋商要求参加磋商。在这次磋商过程中和成交后，我们将严格遵守国家法律法规要求，并郑重承诺：    </w:t>
      </w:r>
    </w:p>
    <w:p>
      <w:pPr>
        <w:shd w:val="clear"/>
        <w:autoSpaceDE w:val="0"/>
        <w:autoSpaceDN w:val="0"/>
        <w:spacing w:line="360" w:lineRule="auto"/>
        <w:ind w:left="2" w:leftChars="1" w:firstLine="480" w:firstLineChars="200"/>
        <w:jc w:val="left"/>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 xml:space="preserve">一、不向项目有关人员及部门赠送礼金礼物、有价证券、回扣以及中介费、介绍费、咨询费等好处费；    </w:t>
      </w:r>
    </w:p>
    <w:p>
      <w:pPr>
        <w:shd w:val="clear"/>
        <w:autoSpaceDE w:val="0"/>
        <w:autoSpaceDN w:val="0"/>
        <w:spacing w:line="360" w:lineRule="auto"/>
        <w:ind w:left="2" w:leftChars="1" w:firstLine="480" w:firstLineChars="200"/>
        <w:jc w:val="left"/>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 xml:space="preserve">二、不为项目有关人员及部门报销应由你方单位或个人支付的费用；    </w:t>
      </w:r>
    </w:p>
    <w:p>
      <w:pPr>
        <w:shd w:val="clear"/>
        <w:autoSpaceDE w:val="0"/>
        <w:autoSpaceDN w:val="0"/>
        <w:spacing w:line="360" w:lineRule="auto"/>
        <w:ind w:left="2" w:leftChars="1" w:firstLine="480" w:firstLineChars="200"/>
        <w:jc w:val="left"/>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 xml:space="preserve">三、不向项目有关人员及部门提供有可能影响公正的宴请和健身娱乐等活动；    </w:t>
      </w:r>
    </w:p>
    <w:p>
      <w:pPr>
        <w:shd w:val="clear"/>
        <w:autoSpaceDE w:val="0"/>
        <w:autoSpaceDN w:val="0"/>
        <w:spacing w:line="360" w:lineRule="auto"/>
        <w:ind w:left="2" w:leftChars="1" w:firstLine="480" w:firstLineChars="200"/>
        <w:jc w:val="left"/>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 xml:space="preserve">四、不为项目有关人员及部门出国（境）、旅游等提供方便；    </w:t>
      </w:r>
    </w:p>
    <w:p>
      <w:pPr>
        <w:shd w:val="clear"/>
        <w:autoSpaceDE w:val="0"/>
        <w:autoSpaceDN w:val="0"/>
        <w:spacing w:line="360" w:lineRule="auto"/>
        <w:ind w:firstLine="480" w:firstLineChars="200"/>
        <w:jc w:val="left"/>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 xml:space="preserve">五、不为项目有关人员个人装修住房、婚丧嫁娶、配偶子女工作安排等提供好处；    </w:t>
      </w:r>
    </w:p>
    <w:p>
      <w:pPr>
        <w:shd w:val="clear"/>
        <w:autoSpaceDE w:val="0"/>
        <w:autoSpaceDN w:val="0"/>
        <w:spacing w:line="360" w:lineRule="auto"/>
        <w:ind w:firstLine="480" w:firstLineChars="200"/>
        <w:jc w:val="left"/>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 xml:space="preserve">六、严格遵守政府采购法等法律法规，诚实守信，合法经营，坚决抵制各种违法违纪行为。    </w:t>
      </w:r>
    </w:p>
    <w:p>
      <w:pPr>
        <w:shd w:val="clear"/>
        <w:autoSpaceDE w:val="0"/>
        <w:autoSpaceDN w:val="0"/>
        <w:spacing w:line="360" w:lineRule="auto"/>
        <w:ind w:firstLine="480" w:firstLineChars="200"/>
        <w:jc w:val="left"/>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如违反上述承诺，你</w:t>
      </w:r>
      <w:r>
        <w:rPr>
          <w:rFonts w:hint="eastAsia" w:cs="仿宋_GB2312" w:asciiTheme="majorEastAsia" w:hAnsiTheme="majorEastAsia" w:eastAsiaTheme="majorEastAsia"/>
          <w:color w:val="auto"/>
          <w:sz w:val="24"/>
        </w:rPr>
        <w:t>单位</w:t>
      </w:r>
      <w:r>
        <w:rPr>
          <w:rFonts w:hint="eastAsia" w:cs="仿宋_GB2312" w:asciiTheme="majorEastAsia" w:hAnsiTheme="majorEastAsia" w:eastAsiaTheme="majorEastAsia"/>
          <w:color w:val="auto"/>
          <w:kern w:val="0"/>
          <w:sz w:val="24"/>
          <w:lang w:val="zh-CN"/>
        </w:rPr>
        <w:t>有权立即取消我单位磋商、成交或在建项目的建设资格，有权拒绝我单位在一定时期内进入你</w:t>
      </w:r>
      <w:r>
        <w:rPr>
          <w:rFonts w:hint="eastAsia" w:cs="仿宋_GB2312" w:asciiTheme="majorEastAsia" w:hAnsiTheme="majorEastAsia" w:eastAsiaTheme="majorEastAsia"/>
          <w:color w:val="auto"/>
          <w:sz w:val="24"/>
        </w:rPr>
        <w:t>单位</w:t>
      </w:r>
      <w:r>
        <w:rPr>
          <w:rFonts w:hint="eastAsia" w:cs="仿宋_GB2312" w:asciiTheme="majorEastAsia" w:hAnsiTheme="majorEastAsia" w:eastAsiaTheme="majorEastAsia"/>
          <w:color w:val="auto"/>
          <w:kern w:val="0"/>
          <w:sz w:val="24"/>
          <w:lang w:val="zh-CN"/>
        </w:rPr>
        <w:t>进行项目建设或其他经营活动，并通报市财政局。由此引起的相应损失均由我单位承担。</w:t>
      </w:r>
    </w:p>
    <w:p>
      <w:pPr>
        <w:shd w:val="clear"/>
        <w:autoSpaceDE w:val="0"/>
        <w:autoSpaceDN w:val="0"/>
        <w:spacing w:line="360" w:lineRule="auto"/>
        <w:ind w:left="2"/>
        <w:jc w:val="left"/>
        <w:rPr>
          <w:rFonts w:cs="仿宋_GB2312" w:asciiTheme="majorEastAsia" w:hAnsiTheme="majorEastAsia" w:eastAsiaTheme="majorEastAsia"/>
          <w:color w:val="auto"/>
          <w:kern w:val="0"/>
          <w:sz w:val="24"/>
          <w:lang w:val="zh-CN"/>
        </w:rPr>
      </w:pPr>
    </w:p>
    <w:p>
      <w:pPr>
        <w:shd w:val="clear"/>
        <w:autoSpaceDE w:val="0"/>
        <w:autoSpaceDN w:val="0"/>
        <w:spacing w:line="360" w:lineRule="auto"/>
        <w:ind w:left="2"/>
        <w:jc w:val="left"/>
        <w:rPr>
          <w:rFonts w:cs="仿宋_GB2312" w:asciiTheme="majorEastAsia" w:hAnsiTheme="majorEastAsia" w:eastAsiaTheme="majorEastAsia"/>
          <w:color w:val="auto"/>
          <w:kern w:val="0"/>
          <w:sz w:val="24"/>
          <w:lang w:val="zh-CN"/>
        </w:rPr>
      </w:pPr>
    </w:p>
    <w:p>
      <w:pPr>
        <w:shd w:val="clear"/>
        <w:autoSpaceDE w:val="0"/>
        <w:autoSpaceDN w:val="0"/>
        <w:spacing w:line="360" w:lineRule="auto"/>
        <w:ind w:left="2"/>
        <w:jc w:val="left"/>
        <w:rPr>
          <w:rFonts w:cs="仿宋_GB2312" w:asciiTheme="majorEastAsia" w:hAnsiTheme="majorEastAsia" w:eastAsiaTheme="majorEastAsia"/>
          <w:color w:val="auto"/>
          <w:kern w:val="0"/>
          <w:sz w:val="24"/>
          <w:lang w:val="zh-CN"/>
        </w:rPr>
      </w:pPr>
    </w:p>
    <w:p>
      <w:pPr>
        <w:shd w:val="clear"/>
        <w:snapToGrid w:val="0"/>
        <w:spacing w:line="360" w:lineRule="auto"/>
        <w:ind w:right="960"/>
        <w:jc w:val="right"/>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lang w:val="zh-CN"/>
        </w:rPr>
        <w:t>磋商响应人（盖公章）：</w:t>
      </w:r>
    </w:p>
    <w:p>
      <w:pPr>
        <w:shd w:val="clear"/>
        <w:autoSpaceDE w:val="0"/>
        <w:autoSpaceDN w:val="0"/>
        <w:spacing w:line="360" w:lineRule="auto"/>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lang w:val="zh-CN"/>
        </w:rPr>
        <w:t xml:space="preserve">                                 法定代表人或其授权代表(签字或盖章)：</w:t>
      </w:r>
    </w:p>
    <w:p>
      <w:pPr>
        <w:shd w:val="clear"/>
        <w:spacing w:line="360" w:lineRule="auto"/>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rPr>
        <w:t xml:space="preserve">                                             日期：  年  月   日</w:t>
      </w:r>
    </w:p>
    <w:p>
      <w:pPr>
        <w:shd w:val="clear"/>
        <w:spacing w:line="360" w:lineRule="auto"/>
        <w:jc w:val="center"/>
        <w:rPr>
          <w:rFonts w:cs="仿宋_GB2312" w:asciiTheme="majorEastAsia" w:hAnsiTheme="majorEastAsia" w:eastAsiaTheme="majorEastAsia"/>
          <w:b/>
          <w:bCs/>
          <w:color w:val="auto"/>
          <w:sz w:val="32"/>
          <w:szCs w:val="32"/>
        </w:rPr>
      </w:pPr>
    </w:p>
    <w:p>
      <w:pPr>
        <w:shd w:val="clear"/>
        <w:spacing w:line="360" w:lineRule="auto"/>
        <w:jc w:val="center"/>
        <w:rPr>
          <w:rFonts w:cs="仿宋_GB2312" w:asciiTheme="majorEastAsia" w:hAnsiTheme="majorEastAsia" w:eastAsiaTheme="majorEastAsia"/>
          <w:b/>
          <w:bCs/>
          <w:color w:val="auto"/>
          <w:sz w:val="32"/>
          <w:szCs w:val="32"/>
        </w:rPr>
      </w:pPr>
    </w:p>
    <w:p>
      <w:pPr>
        <w:shd w:val="clear"/>
        <w:spacing w:line="360" w:lineRule="auto"/>
        <w:jc w:val="center"/>
        <w:rPr>
          <w:rFonts w:cs="仿宋_GB2312" w:asciiTheme="majorEastAsia" w:hAnsiTheme="majorEastAsia" w:eastAsiaTheme="majorEastAsia"/>
          <w:b/>
          <w:bCs/>
          <w:color w:val="auto"/>
          <w:sz w:val="32"/>
          <w:szCs w:val="32"/>
        </w:rPr>
      </w:pPr>
    </w:p>
    <w:p>
      <w:pPr>
        <w:shd w:val="clear"/>
        <w:spacing w:line="360" w:lineRule="auto"/>
        <w:jc w:val="center"/>
        <w:rPr>
          <w:rFonts w:cs="仿宋_GB2312" w:asciiTheme="majorEastAsia" w:hAnsiTheme="majorEastAsia" w:eastAsiaTheme="majorEastAsia"/>
          <w:b/>
          <w:bCs/>
          <w:color w:val="auto"/>
          <w:sz w:val="32"/>
          <w:szCs w:val="32"/>
        </w:rPr>
      </w:pPr>
    </w:p>
    <w:p>
      <w:pPr>
        <w:pageBreakBefore/>
        <w:shd w:val="clear"/>
        <w:spacing w:line="360" w:lineRule="auto"/>
        <w:rPr>
          <w:rFonts w:cs="仿宋_GB2312" w:asciiTheme="majorEastAsia" w:hAnsiTheme="majorEastAsia" w:eastAsiaTheme="majorEastAsia"/>
          <w:b/>
          <w:bCs/>
          <w:color w:val="auto"/>
          <w:sz w:val="32"/>
          <w:szCs w:val="32"/>
        </w:rPr>
      </w:pPr>
      <w:r>
        <w:rPr>
          <w:rFonts w:hint="eastAsia" w:cs="仿宋_GB2312" w:asciiTheme="majorEastAsia" w:hAnsiTheme="majorEastAsia" w:eastAsiaTheme="majorEastAsia"/>
          <w:b/>
          <w:bCs/>
          <w:color w:val="auto"/>
          <w:sz w:val="32"/>
          <w:szCs w:val="32"/>
        </w:rPr>
        <w:t>10、技术解决方案</w:t>
      </w:r>
    </w:p>
    <w:p>
      <w:pPr>
        <w:shd w:val="clear"/>
        <w:spacing w:line="360" w:lineRule="auto"/>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（由磋商响应人根据采购需求及磋商文件要求编制）</w:t>
      </w:r>
    </w:p>
    <w:p>
      <w:pPr>
        <w:shd w:val="clear"/>
        <w:spacing w:line="360" w:lineRule="auto"/>
        <w:jc w:val="center"/>
        <w:rPr>
          <w:rFonts w:cs="仿宋_GB2312" w:asciiTheme="majorEastAsia" w:hAnsiTheme="majorEastAsia" w:eastAsiaTheme="majorEastAsia"/>
          <w:color w:val="auto"/>
          <w:sz w:val="24"/>
        </w:rPr>
      </w:pPr>
    </w:p>
    <w:p>
      <w:pPr>
        <w:shd w:val="clear"/>
        <w:autoSpaceDE w:val="0"/>
        <w:autoSpaceDN w:val="0"/>
        <w:spacing w:line="360" w:lineRule="auto"/>
        <w:ind w:firstLine="4806" w:firstLineChars="1900"/>
        <w:rPr>
          <w:rFonts w:asciiTheme="majorEastAsia" w:hAnsiTheme="majorEastAsia" w:eastAsiaTheme="majorEastAsia"/>
          <w:b/>
          <w:color w:val="auto"/>
          <w:spacing w:val="6"/>
          <w:sz w:val="24"/>
        </w:rPr>
      </w:pPr>
    </w:p>
    <w:p>
      <w:pPr>
        <w:pStyle w:val="34"/>
        <w:shd w:val="clear"/>
        <w:rPr>
          <w:rFonts w:asciiTheme="majorEastAsia" w:hAnsiTheme="majorEastAsia" w:eastAsiaTheme="majorEastAsia"/>
          <w:color w:val="auto"/>
        </w:rPr>
      </w:pPr>
    </w:p>
    <w:p>
      <w:pPr>
        <w:pStyle w:val="88"/>
        <w:shd w:val="clear"/>
        <w:ind w:firstLine="210"/>
        <w:rPr>
          <w:rFonts w:asciiTheme="majorEastAsia" w:hAnsiTheme="majorEastAsia" w:eastAsiaTheme="majorEastAsia"/>
          <w:color w:val="auto"/>
        </w:rPr>
      </w:pPr>
    </w:p>
    <w:p>
      <w:pPr>
        <w:pStyle w:val="88"/>
        <w:shd w:val="clear"/>
        <w:ind w:firstLine="210"/>
        <w:rPr>
          <w:rFonts w:asciiTheme="majorEastAsia" w:hAnsiTheme="majorEastAsia" w:eastAsiaTheme="majorEastAsia"/>
          <w:color w:val="auto"/>
        </w:rPr>
      </w:pPr>
    </w:p>
    <w:p>
      <w:pPr>
        <w:pStyle w:val="88"/>
        <w:shd w:val="clear"/>
        <w:ind w:firstLine="210"/>
        <w:rPr>
          <w:rFonts w:asciiTheme="majorEastAsia" w:hAnsiTheme="majorEastAsia" w:eastAsiaTheme="majorEastAsia"/>
          <w:color w:val="auto"/>
        </w:rPr>
      </w:pPr>
    </w:p>
    <w:p>
      <w:pPr>
        <w:pStyle w:val="88"/>
        <w:shd w:val="clear"/>
        <w:ind w:firstLine="210"/>
        <w:rPr>
          <w:rFonts w:asciiTheme="majorEastAsia" w:hAnsiTheme="majorEastAsia" w:eastAsiaTheme="majorEastAsia"/>
          <w:color w:val="auto"/>
        </w:rPr>
      </w:pPr>
    </w:p>
    <w:p>
      <w:pPr>
        <w:pStyle w:val="88"/>
        <w:shd w:val="clear"/>
        <w:ind w:firstLine="210"/>
        <w:rPr>
          <w:rFonts w:asciiTheme="majorEastAsia" w:hAnsiTheme="majorEastAsia" w:eastAsiaTheme="majorEastAsia"/>
          <w:color w:val="auto"/>
        </w:rPr>
      </w:pPr>
    </w:p>
    <w:p>
      <w:pPr>
        <w:pStyle w:val="88"/>
        <w:shd w:val="clear"/>
        <w:ind w:firstLine="210"/>
        <w:rPr>
          <w:rFonts w:asciiTheme="majorEastAsia" w:hAnsiTheme="majorEastAsia" w:eastAsiaTheme="majorEastAsia"/>
          <w:color w:val="auto"/>
        </w:rPr>
      </w:pPr>
    </w:p>
    <w:p>
      <w:pPr>
        <w:pStyle w:val="88"/>
        <w:shd w:val="clear"/>
        <w:ind w:firstLine="210"/>
        <w:rPr>
          <w:rFonts w:asciiTheme="majorEastAsia" w:hAnsiTheme="majorEastAsia" w:eastAsiaTheme="majorEastAsia"/>
          <w:color w:val="auto"/>
        </w:rPr>
      </w:pPr>
    </w:p>
    <w:p>
      <w:pPr>
        <w:pStyle w:val="88"/>
        <w:shd w:val="clear"/>
        <w:ind w:firstLine="210"/>
        <w:rPr>
          <w:rFonts w:asciiTheme="majorEastAsia" w:hAnsiTheme="majorEastAsia" w:eastAsiaTheme="majorEastAsia"/>
          <w:color w:val="auto"/>
        </w:rPr>
      </w:pPr>
    </w:p>
    <w:p>
      <w:pPr>
        <w:pStyle w:val="88"/>
        <w:shd w:val="clear"/>
        <w:ind w:firstLine="210"/>
        <w:rPr>
          <w:rFonts w:asciiTheme="majorEastAsia" w:hAnsiTheme="majorEastAsia" w:eastAsiaTheme="majorEastAsia"/>
          <w:color w:val="auto"/>
        </w:rPr>
      </w:pPr>
    </w:p>
    <w:p>
      <w:pPr>
        <w:pStyle w:val="88"/>
        <w:shd w:val="clear"/>
        <w:ind w:firstLine="210"/>
        <w:rPr>
          <w:rFonts w:asciiTheme="majorEastAsia" w:hAnsiTheme="majorEastAsia" w:eastAsiaTheme="majorEastAsia"/>
          <w:color w:val="auto"/>
        </w:rPr>
      </w:pPr>
    </w:p>
    <w:p>
      <w:pPr>
        <w:shd w:val="clear"/>
        <w:snapToGrid w:val="0"/>
        <w:spacing w:line="360" w:lineRule="auto"/>
        <w:ind w:right="960"/>
        <w:jc w:val="right"/>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lang w:val="zh-CN"/>
        </w:rPr>
        <w:t>磋商响应人（盖公章）：</w:t>
      </w:r>
    </w:p>
    <w:p>
      <w:pPr>
        <w:shd w:val="clear"/>
        <w:autoSpaceDE w:val="0"/>
        <w:autoSpaceDN w:val="0"/>
        <w:spacing w:line="360" w:lineRule="auto"/>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lang w:val="zh-CN"/>
        </w:rPr>
        <w:t xml:space="preserve">                                 法定代表人或其授权代表(签字或盖章)：</w:t>
      </w:r>
    </w:p>
    <w:p>
      <w:pPr>
        <w:shd w:val="clear"/>
        <w:spacing w:line="360" w:lineRule="auto"/>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rPr>
        <w:t xml:space="preserve">                                             日期：  年  月   日</w:t>
      </w:r>
    </w:p>
    <w:p>
      <w:pPr>
        <w:shd w:val="clear"/>
        <w:tabs>
          <w:tab w:val="left" w:pos="2790"/>
          <w:tab w:val="center" w:pos="3835"/>
          <w:tab w:val="left" w:pos="4230"/>
          <w:tab w:val="left" w:pos="4695"/>
        </w:tabs>
        <w:autoSpaceDE w:val="0"/>
        <w:autoSpaceDN w:val="0"/>
        <w:spacing w:line="360" w:lineRule="auto"/>
        <w:ind w:right="1400"/>
        <w:jc w:val="left"/>
        <w:outlineLvl w:val="1"/>
        <w:rPr>
          <w:rFonts w:cs="仿宋_GB2312" w:asciiTheme="majorEastAsia" w:hAnsiTheme="majorEastAsia" w:eastAsiaTheme="majorEastAsia"/>
          <w:b/>
          <w:bCs/>
          <w:color w:val="auto"/>
          <w:kern w:val="0"/>
          <w:sz w:val="24"/>
          <w:lang w:val="zh-CN"/>
        </w:rPr>
      </w:pPr>
      <w:r>
        <w:rPr>
          <w:rFonts w:hint="eastAsia" w:cs="仿宋_GB2312" w:asciiTheme="majorEastAsia" w:hAnsiTheme="majorEastAsia" w:eastAsiaTheme="majorEastAsia"/>
          <w:b/>
          <w:bCs/>
          <w:color w:val="auto"/>
          <w:kern w:val="0"/>
          <w:sz w:val="24"/>
          <w:lang w:val="zh-CN"/>
        </w:rPr>
        <w:tab/>
      </w:r>
      <w:r>
        <w:rPr>
          <w:rFonts w:hint="eastAsia" w:cs="仿宋_GB2312" w:asciiTheme="majorEastAsia" w:hAnsiTheme="majorEastAsia" w:eastAsiaTheme="majorEastAsia"/>
          <w:b/>
          <w:bCs/>
          <w:color w:val="auto"/>
          <w:kern w:val="0"/>
          <w:sz w:val="24"/>
          <w:lang w:val="zh-CN"/>
        </w:rPr>
        <w:tab/>
      </w:r>
    </w:p>
    <w:p>
      <w:pPr>
        <w:pageBreakBefore/>
        <w:shd w:val="clear"/>
        <w:spacing w:line="360" w:lineRule="auto"/>
        <w:rPr>
          <w:rFonts w:cs="仿宋_GB2312" w:asciiTheme="majorEastAsia" w:hAnsiTheme="majorEastAsia" w:eastAsiaTheme="majorEastAsia"/>
          <w:b/>
          <w:bCs/>
          <w:color w:val="auto"/>
          <w:sz w:val="32"/>
          <w:szCs w:val="32"/>
        </w:rPr>
      </w:pPr>
      <w:r>
        <w:rPr>
          <w:rFonts w:hint="eastAsia" w:cs="仿宋_GB2312" w:asciiTheme="majorEastAsia" w:hAnsiTheme="majorEastAsia" w:eastAsiaTheme="majorEastAsia"/>
          <w:b/>
          <w:bCs/>
          <w:color w:val="auto"/>
          <w:sz w:val="32"/>
          <w:szCs w:val="32"/>
        </w:rPr>
        <w:t>11、技术偏离说明表</w:t>
      </w:r>
    </w:p>
    <w:p>
      <w:pPr>
        <w:shd w:val="clear"/>
        <w:spacing w:line="360" w:lineRule="auto"/>
        <w:rPr>
          <w:rFonts w:cs="仿宋_GB2312" w:asciiTheme="majorEastAsia" w:hAnsiTheme="majorEastAsia" w:eastAsiaTheme="majorEastAsia"/>
          <w:b/>
          <w:bCs/>
          <w:color w:val="auto"/>
          <w:sz w:val="32"/>
          <w:szCs w:val="32"/>
        </w:rPr>
      </w:pPr>
      <w:r>
        <w:rPr>
          <w:rFonts w:hint="eastAsia" w:cs="仿宋_GB2312" w:asciiTheme="majorEastAsia" w:hAnsiTheme="majorEastAsia" w:eastAsiaTheme="majorEastAsia"/>
          <w:color w:val="auto"/>
          <w:sz w:val="24"/>
        </w:rPr>
        <w:t>（由磋商响应人根据采购需求及磋商文件要求编制）</w:t>
      </w:r>
    </w:p>
    <w:tbl>
      <w:tblPr>
        <w:tblStyle w:val="90"/>
        <w:tblW w:w="8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087"/>
        <w:gridCol w:w="3818"/>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13" w:type="dxa"/>
            <w:tcBorders>
              <w:top w:val="single" w:color="auto" w:sz="4" w:space="0"/>
              <w:left w:val="single" w:color="auto" w:sz="4" w:space="0"/>
              <w:bottom w:val="single" w:color="auto" w:sz="4" w:space="0"/>
              <w:right w:val="single" w:color="auto" w:sz="4" w:space="0"/>
            </w:tcBorders>
          </w:tcPr>
          <w:p>
            <w:pPr>
              <w:shd w:val="clear"/>
              <w:tabs>
                <w:tab w:val="left" w:pos="4905"/>
              </w:tabs>
              <w:spacing w:line="40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序号</w:t>
            </w:r>
          </w:p>
        </w:tc>
        <w:tc>
          <w:tcPr>
            <w:tcW w:w="3087" w:type="dxa"/>
            <w:tcBorders>
              <w:top w:val="single" w:color="auto" w:sz="4" w:space="0"/>
              <w:left w:val="single" w:color="auto" w:sz="4" w:space="0"/>
              <w:bottom w:val="single" w:color="auto" w:sz="4" w:space="0"/>
              <w:right w:val="single" w:color="auto" w:sz="4" w:space="0"/>
            </w:tcBorders>
          </w:tcPr>
          <w:p>
            <w:pPr>
              <w:shd w:val="clear"/>
              <w:tabs>
                <w:tab w:val="left" w:pos="4905"/>
              </w:tabs>
              <w:spacing w:line="40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磋商文件要求</w:t>
            </w:r>
          </w:p>
        </w:tc>
        <w:tc>
          <w:tcPr>
            <w:tcW w:w="3818" w:type="dxa"/>
            <w:tcBorders>
              <w:top w:val="single" w:color="auto" w:sz="4" w:space="0"/>
              <w:left w:val="single" w:color="auto" w:sz="4" w:space="0"/>
              <w:bottom w:val="single" w:color="auto" w:sz="4" w:space="0"/>
              <w:right w:val="single" w:color="auto" w:sz="4" w:space="0"/>
            </w:tcBorders>
          </w:tcPr>
          <w:p>
            <w:pPr>
              <w:shd w:val="clear"/>
              <w:tabs>
                <w:tab w:val="left" w:pos="4905"/>
              </w:tabs>
              <w:spacing w:line="40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磋商响应</w:t>
            </w:r>
          </w:p>
        </w:tc>
        <w:tc>
          <w:tcPr>
            <w:tcW w:w="1201" w:type="dxa"/>
            <w:tcBorders>
              <w:top w:val="single" w:color="auto" w:sz="4" w:space="0"/>
              <w:left w:val="single" w:color="auto" w:sz="4" w:space="0"/>
              <w:bottom w:val="single" w:color="auto" w:sz="4" w:space="0"/>
              <w:right w:val="single" w:color="auto" w:sz="4" w:space="0"/>
            </w:tcBorders>
          </w:tcPr>
          <w:p>
            <w:pPr>
              <w:shd w:val="clear"/>
              <w:tabs>
                <w:tab w:val="left" w:pos="4905"/>
              </w:tabs>
              <w:spacing w:line="40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1</w:t>
            </w:r>
          </w:p>
        </w:tc>
        <w:tc>
          <w:tcPr>
            <w:tcW w:w="3087"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磋商文件技术要求</w:t>
            </w:r>
          </w:p>
          <w:p>
            <w:pPr>
              <w:shd w:val="clear"/>
              <w:tabs>
                <w:tab w:val="left" w:pos="4905"/>
              </w:tabs>
              <w:spacing w:line="40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(根据标内要求复制)</w:t>
            </w:r>
          </w:p>
        </w:tc>
        <w:tc>
          <w:tcPr>
            <w:tcW w:w="3818"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请填写磋商产品技术指标对应详细描述</w:t>
            </w:r>
          </w:p>
        </w:tc>
        <w:tc>
          <w:tcPr>
            <w:tcW w:w="1201"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jc w:val="center"/>
              <w:rPr>
                <w:rFonts w:asciiTheme="majorEastAsia" w:hAnsiTheme="majorEastAsia" w:eastAsia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jc w:val="center"/>
              <w:rPr>
                <w:rFonts w:asciiTheme="majorEastAsia" w:hAnsiTheme="majorEastAsia" w:eastAsiaTheme="majorEastAsia"/>
                <w:color w:val="auto"/>
                <w:sz w:val="24"/>
              </w:rPr>
            </w:pPr>
          </w:p>
        </w:tc>
        <w:tc>
          <w:tcPr>
            <w:tcW w:w="3087"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w:t>
            </w:r>
          </w:p>
        </w:tc>
        <w:tc>
          <w:tcPr>
            <w:tcW w:w="3818"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可自行添加行</w:t>
            </w:r>
          </w:p>
        </w:tc>
        <w:tc>
          <w:tcPr>
            <w:tcW w:w="1201"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jc w:val="center"/>
              <w:rPr>
                <w:rFonts w:asciiTheme="majorEastAsia" w:hAnsiTheme="majorEastAsia" w:eastAsia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jc w:val="center"/>
              <w:rPr>
                <w:rFonts w:asciiTheme="majorEastAsia" w:hAnsiTheme="majorEastAsia" w:eastAsiaTheme="majorEastAsia"/>
                <w:color w:val="auto"/>
                <w:sz w:val="24"/>
              </w:rPr>
            </w:pPr>
          </w:p>
        </w:tc>
        <w:tc>
          <w:tcPr>
            <w:tcW w:w="3087"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详细参数可自行加行</w:t>
            </w:r>
          </w:p>
        </w:tc>
        <w:tc>
          <w:tcPr>
            <w:tcW w:w="3818"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rPr>
                <w:rFonts w:asciiTheme="majorEastAsia" w:hAnsiTheme="majorEastAsia" w:eastAsiaTheme="majorEastAsia"/>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jc w:val="center"/>
              <w:rPr>
                <w:rFonts w:asciiTheme="majorEastAsia" w:hAnsiTheme="majorEastAsia" w:eastAsia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2</w:t>
            </w:r>
          </w:p>
        </w:tc>
        <w:tc>
          <w:tcPr>
            <w:tcW w:w="3087"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请填写售后服务要求</w:t>
            </w:r>
          </w:p>
        </w:tc>
        <w:tc>
          <w:tcPr>
            <w:tcW w:w="3818"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rPr>
                <w:rFonts w:asciiTheme="majorEastAsia" w:hAnsiTheme="majorEastAsia" w:eastAsiaTheme="majorEastAsia"/>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jc w:val="center"/>
              <w:rPr>
                <w:rFonts w:asciiTheme="majorEastAsia" w:hAnsiTheme="majorEastAsia" w:eastAsia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3</w:t>
            </w:r>
          </w:p>
        </w:tc>
        <w:tc>
          <w:tcPr>
            <w:tcW w:w="3087"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请填写保修期要求</w:t>
            </w:r>
          </w:p>
        </w:tc>
        <w:tc>
          <w:tcPr>
            <w:tcW w:w="3818"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rPr>
                <w:rFonts w:asciiTheme="majorEastAsia" w:hAnsiTheme="majorEastAsia" w:eastAsiaTheme="majorEastAsia"/>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jc w:val="center"/>
              <w:rPr>
                <w:rFonts w:asciiTheme="majorEastAsia" w:hAnsiTheme="majorEastAsia" w:eastAsia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4</w:t>
            </w:r>
          </w:p>
        </w:tc>
        <w:tc>
          <w:tcPr>
            <w:tcW w:w="3087"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请填写安装要求(如有)</w:t>
            </w:r>
          </w:p>
        </w:tc>
        <w:tc>
          <w:tcPr>
            <w:tcW w:w="3818"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rPr>
                <w:rFonts w:asciiTheme="majorEastAsia" w:hAnsiTheme="majorEastAsia" w:eastAsiaTheme="majorEastAsia"/>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jc w:val="center"/>
              <w:rPr>
                <w:rFonts w:asciiTheme="majorEastAsia" w:hAnsiTheme="majorEastAsia" w:eastAsia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5</w:t>
            </w:r>
          </w:p>
        </w:tc>
        <w:tc>
          <w:tcPr>
            <w:tcW w:w="3087"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请填写验收方式要求(如有)</w:t>
            </w:r>
          </w:p>
        </w:tc>
        <w:tc>
          <w:tcPr>
            <w:tcW w:w="3818"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rPr>
                <w:rFonts w:asciiTheme="majorEastAsia" w:hAnsiTheme="majorEastAsia" w:eastAsiaTheme="majorEastAsia"/>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jc w:val="center"/>
              <w:rPr>
                <w:rFonts w:asciiTheme="majorEastAsia" w:hAnsiTheme="majorEastAsia" w:eastAsia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6</w:t>
            </w:r>
          </w:p>
        </w:tc>
        <w:tc>
          <w:tcPr>
            <w:tcW w:w="3087"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请填写付款方式要求</w:t>
            </w:r>
          </w:p>
        </w:tc>
        <w:tc>
          <w:tcPr>
            <w:tcW w:w="3818"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rPr>
                <w:rFonts w:asciiTheme="majorEastAsia" w:hAnsiTheme="majorEastAsia" w:eastAsiaTheme="majorEastAsia"/>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jc w:val="center"/>
              <w:rPr>
                <w:rFonts w:asciiTheme="majorEastAsia" w:hAnsiTheme="majorEastAsia" w:eastAsia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7</w:t>
            </w:r>
          </w:p>
        </w:tc>
        <w:tc>
          <w:tcPr>
            <w:tcW w:w="3087"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请填写服务期要求</w:t>
            </w:r>
          </w:p>
        </w:tc>
        <w:tc>
          <w:tcPr>
            <w:tcW w:w="3818"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rPr>
                <w:rFonts w:asciiTheme="majorEastAsia" w:hAnsiTheme="majorEastAsia" w:eastAsiaTheme="majorEastAsia"/>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jc w:val="center"/>
              <w:rPr>
                <w:rFonts w:asciiTheme="majorEastAsia" w:hAnsiTheme="majorEastAsia" w:eastAsia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8</w:t>
            </w:r>
          </w:p>
        </w:tc>
        <w:tc>
          <w:tcPr>
            <w:tcW w:w="3087"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w:t>
            </w:r>
          </w:p>
        </w:tc>
        <w:tc>
          <w:tcPr>
            <w:tcW w:w="3818"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rPr>
                <w:rFonts w:asciiTheme="majorEastAsia" w:hAnsiTheme="majorEastAsia" w:eastAsiaTheme="majorEastAsia"/>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jc w:val="center"/>
              <w:rPr>
                <w:rFonts w:asciiTheme="majorEastAsia" w:hAnsiTheme="majorEastAsia" w:eastAsia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9</w:t>
            </w:r>
          </w:p>
        </w:tc>
        <w:tc>
          <w:tcPr>
            <w:tcW w:w="3087"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w:t>
            </w:r>
          </w:p>
        </w:tc>
        <w:tc>
          <w:tcPr>
            <w:tcW w:w="3818"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rPr>
                <w:rFonts w:asciiTheme="majorEastAsia" w:hAnsiTheme="majorEastAsia" w:eastAsiaTheme="majorEastAsia"/>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jc w:val="center"/>
              <w:rPr>
                <w:rFonts w:asciiTheme="majorEastAsia" w:hAnsiTheme="majorEastAsia" w:eastAsiaTheme="majorEastAsia"/>
                <w:color w:val="auto"/>
                <w:sz w:val="24"/>
              </w:rPr>
            </w:pPr>
          </w:p>
        </w:tc>
      </w:tr>
    </w:tbl>
    <w:p>
      <w:pPr>
        <w:shd w:val="clear"/>
        <w:tabs>
          <w:tab w:val="left" w:pos="570"/>
        </w:tabs>
        <w:spacing w:line="440" w:lineRule="exact"/>
        <w:ind w:firstLine="120" w:firstLineChars="5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注：1.此表须与</w:t>
      </w:r>
      <w:r>
        <w:rPr>
          <w:rFonts w:hint="eastAsia" w:asciiTheme="majorEastAsia" w:hAnsiTheme="majorEastAsia" w:eastAsiaTheme="majorEastAsia"/>
          <w:color w:val="auto"/>
          <w:kern w:val="0"/>
          <w:sz w:val="24"/>
        </w:rPr>
        <w:t>磋商文件“</w:t>
      </w:r>
      <w:r>
        <w:rPr>
          <w:rFonts w:hint="eastAsia" w:asciiTheme="majorEastAsia" w:hAnsiTheme="majorEastAsia" w:eastAsiaTheme="majorEastAsia"/>
          <w:color w:val="auto"/>
          <w:sz w:val="24"/>
        </w:rPr>
        <w:t>磋商项目说明及要求</w:t>
      </w:r>
      <w:r>
        <w:rPr>
          <w:rFonts w:hint="eastAsia" w:asciiTheme="majorEastAsia" w:hAnsiTheme="majorEastAsia" w:eastAsiaTheme="majorEastAsia"/>
          <w:color w:val="auto"/>
          <w:kern w:val="0"/>
          <w:sz w:val="24"/>
        </w:rPr>
        <w:t>”</w:t>
      </w:r>
      <w:r>
        <w:rPr>
          <w:rFonts w:hint="eastAsia" w:asciiTheme="majorEastAsia" w:hAnsiTheme="majorEastAsia" w:eastAsiaTheme="majorEastAsia"/>
          <w:color w:val="auto"/>
          <w:sz w:val="24"/>
        </w:rPr>
        <w:t>相应标项内的所有技术规格相比较且一一对应</w:t>
      </w:r>
      <w:r>
        <w:rPr>
          <w:rFonts w:hint="eastAsia" w:cs="宋体" w:asciiTheme="majorEastAsia" w:hAnsiTheme="majorEastAsia" w:eastAsiaTheme="majorEastAsia"/>
          <w:color w:val="auto"/>
          <w:sz w:val="24"/>
        </w:rPr>
        <w:t>真实逐条</w:t>
      </w:r>
      <w:r>
        <w:rPr>
          <w:rFonts w:hint="eastAsia" w:asciiTheme="majorEastAsia" w:hAnsiTheme="majorEastAsia" w:eastAsiaTheme="majorEastAsia"/>
          <w:color w:val="auto"/>
          <w:sz w:val="24"/>
        </w:rPr>
        <w:t>填列。</w:t>
      </w:r>
    </w:p>
    <w:p>
      <w:pPr>
        <w:shd w:val="clear"/>
        <w:tabs>
          <w:tab w:val="left" w:pos="570"/>
        </w:tabs>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w:t>
      </w:r>
      <w:r>
        <w:rPr>
          <w:rFonts w:hint="eastAsia" w:cs="宋体" w:asciiTheme="majorEastAsia" w:hAnsiTheme="majorEastAsia" w:eastAsiaTheme="majorEastAsia"/>
          <w:color w:val="auto"/>
          <w:sz w:val="24"/>
        </w:rPr>
        <w:t>磋商响应人递交的技术规格书中必须真实逐条列明，否则由磋商响应人自行承担相关风险。</w:t>
      </w:r>
    </w:p>
    <w:p>
      <w:pPr>
        <w:shd w:val="clear"/>
        <w:autoSpaceDE w:val="0"/>
        <w:autoSpaceDN w:val="0"/>
        <w:spacing w:line="360" w:lineRule="auto"/>
        <w:ind w:firstLine="5040" w:firstLineChars="2100"/>
        <w:rPr>
          <w:rFonts w:cs="仿宋_GB2312" w:asciiTheme="majorEastAsia" w:hAnsiTheme="majorEastAsia" w:eastAsiaTheme="majorEastAsia"/>
          <w:color w:val="auto"/>
          <w:kern w:val="0"/>
          <w:sz w:val="24"/>
          <w:lang w:val="zh-CN"/>
        </w:rPr>
      </w:pPr>
    </w:p>
    <w:p>
      <w:pPr>
        <w:shd w:val="clear"/>
        <w:snapToGrid w:val="0"/>
        <w:spacing w:line="360" w:lineRule="auto"/>
        <w:ind w:right="960"/>
        <w:jc w:val="right"/>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lang w:val="zh-CN"/>
        </w:rPr>
        <w:t>磋商响应人（盖公章）：</w:t>
      </w:r>
    </w:p>
    <w:p>
      <w:pPr>
        <w:shd w:val="clear"/>
        <w:autoSpaceDE w:val="0"/>
        <w:autoSpaceDN w:val="0"/>
        <w:spacing w:line="360" w:lineRule="auto"/>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lang w:val="zh-CN"/>
        </w:rPr>
        <w:t xml:space="preserve">                                 法定代表人或其授权代表(签字或盖章)：</w:t>
      </w:r>
    </w:p>
    <w:p>
      <w:pPr>
        <w:shd w:val="clear"/>
        <w:spacing w:line="360" w:lineRule="auto"/>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rPr>
        <w:t xml:space="preserve">                                             日期：  年  月   日</w:t>
      </w:r>
    </w:p>
    <w:p>
      <w:pPr>
        <w:shd w:val="clear"/>
        <w:tabs>
          <w:tab w:val="left" w:pos="2790"/>
          <w:tab w:val="left" w:pos="4230"/>
        </w:tabs>
        <w:autoSpaceDE w:val="0"/>
        <w:autoSpaceDN w:val="0"/>
        <w:spacing w:line="360" w:lineRule="auto"/>
        <w:ind w:right="1400"/>
        <w:jc w:val="center"/>
        <w:outlineLvl w:val="1"/>
        <w:rPr>
          <w:rFonts w:cs="仿宋_GB2312" w:asciiTheme="majorEastAsia" w:hAnsiTheme="majorEastAsia" w:eastAsiaTheme="majorEastAsia"/>
          <w:b/>
          <w:bCs/>
          <w:color w:val="auto"/>
          <w:kern w:val="0"/>
          <w:sz w:val="36"/>
          <w:szCs w:val="36"/>
          <w:lang w:val="zh-CN"/>
        </w:rPr>
      </w:pPr>
    </w:p>
    <w:p>
      <w:pPr>
        <w:shd w:val="clear"/>
        <w:tabs>
          <w:tab w:val="left" w:pos="2790"/>
          <w:tab w:val="left" w:pos="4230"/>
        </w:tabs>
        <w:autoSpaceDE w:val="0"/>
        <w:autoSpaceDN w:val="0"/>
        <w:spacing w:line="360" w:lineRule="auto"/>
        <w:ind w:right="1400"/>
        <w:jc w:val="center"/>
        <w:outlineLvl w:val="1"/>
        <w:rPr>
          <w:rFonts w:cs="仿宋_GB2312" w:asciiTheme="majorEastAsia" w:hAnsiTheme="majorEastAsia" w:eastAsiaTheme="majorEastAsia"/>
          <w:b/>
          <w:bCs/>
          <w:color w:val="auto"/>
          <w:kern w:val="0"/>
          <w:sz w:val="36"/>
          <w:szCs w:val="36"/>
          <w:lang w:val="zh-CN"/>
        </w:rPr>
      </w:pPr>
    </w:p>
    <w:p>
      <w:pPr>
        <w:shd w:val="clear"/>
        <w:tabs>
          <w:tab w:val="left" w:pos="2790"/>
          <w:tab w:val="left" w:pos="4230"/>
        </w:tabs>
        <w:autoSpaceDE w:val="0"/>
        <w:autoSpaceDN w:val="0"/>
        <w:spacing w:line="360" w:lineRule="auto"/>
        <w:ind w:right="1400"/>
        <w:jc w:val="center"/>
        <w:outlineLvl w:val="1"/>
        <w:rPr>
          <w:rFonts w:cs="仿宋_GB2312" w:asciiTheme="majorEastAsia" w:hAnsiTheme="majorEastAsia" w:eastAsiaTheme="majorEastAsia"/>
          <w:b/>
          <w:bCs/>
          <w:color w:val="auto"/>
          <w:kern w:val="0"/>
          <w:sz w:val="36"/>
          <w:szCs w:val="36"/>
          <w:lang w:val="zh-CN"/>
        </w:rPr>
      </w:pPr>
    </w:p>
    <w:p>
      <w:pPr>
        <w:shd w:val="clear"/>
        <w:tabs>
          <w:tab w:val="left" w:pos="2790"/>
          <w:tab w:val="left" w:pos="4230"/>
        </w:tabs>
        <w:autoSpaceDE w:val="0"/>
        <w:autoSpaceDN w:val="0"/>
        <w:spacing w:line="360" w:lineRule="auto"/>
        <w:ind w:right="1400"/>
        <w:jc w:val="center"/>
        <w:outlineLvl w:val="1"/>
        <w:rPr>
          <w:rFonts w:cs="仿宋_GB2312" w:asciiTheme="majorEastAsia" w:hAnsiTheme="majorEastAsia" w:eastAsiaTheme="majorEastAsia"/>
          <w:b/>
          <w:bCs/>
          <w:color w:val="auto"/>
          <w:kern w:val="0"/>
          <w:sz w:val="36"/>
          <w:szCs w:val="36"/>
          <w:lang w:val="zh-CN"/>
        </w:rPr>
      </w:pPr>
    </w:p>
    <w:p>
      <w:pPr>
        <w:pageBreakBefore/>
        <w:shd w:val="clear"/>
        <w:spacing w:line="360" w:lineRule="auto"/>
        <w:rPr>
          <w:rFonts w:cs="仿宋_GB2312" w:asciiTheme="majorEastAsia" w:hAnsiTheme="majorEastAsia" w:eastAsiaTheme="majorEastAsia"/>
          <w:b/>
          <w:bCs/>
          <w:color w:val="auto"/>
          <w:sz w:val="32"/>
          <w:szCs w:val="32"/>
        </w:rPr>
      </w:pPr>
      <w:r>
        <w:rPr>
          <w:rFonts w:hint="eastAsia" w:cs="仿宋_GB2312" w:asciiTheme="majorEastAsia" w:hAnsiTheme="majorEastAsia" w:eastAsiaTheme="majorEastAsia"/>
          <w:b/>
          <w:bCs/>
          <w:color w:val="auto"/>
          <w:sz w:val="32"/>
          <w:szCs w:val="32"/>
        </w:rPr>
        <w:t>12、项目小组人员名单</w:t>
      </w:r>
    </w:p>
    <w:p>
      <w:pPr>
        <w:shd w:val="clear"/>
        <w:spacing w:line="360" w:lineRule="auto"/>
        <w:rPr>
          <w:rFonts w:cs="仿宋_GB2312" w:asciiTheme="majorEastAsia" w:hAnsiTheme="majorEastAsia" w:eastAsiaTheme="majorEastAsia"/>
          <w:b/>
          <w:bCs/>
          <w:color w:val="auto"/>
          <w:sz w:val="24"/>
        </w:rPr>
      </w:pPr>
      <w:r>
        <w:rPr>
          <w:rFonts w:hint="eastAsia" w:cs="仿宋_GB2312" w:asciiTheme="majorEastAsia" w:hAnsiTheme="majorEastAsia" w:eastAsiaTheme="majorEastAsia"/>
          <w:color w:val="auto"/>
          <w:sz w:val="24"/>
        </w:rPr>
        <w:t>（由磋商响应人根据采购需求及磋商文件要求编制）</w:t>
      </w:r>
    </w:p>
    <w:p>
      <w:pPr>
        <w:keepNext/>
        <w:shd w:val="clear"/>
        <w:autoSpaceDE w:val="0"/>
        <w:autoSpaceDN w:val="0"/>
        <w:spacing w:line="360" w:lineRule="auto"/>
        <w:ind w:firstLine="477"/>
        <w:rPr>
          <w:rFonts w:cs="仿宋_GB2312" w:asciiTheme="majorEastAsia" w:hAnsiTheme="majorEastAsia" w:eastAsiaTheme="majorEastAsia"/>
          <w:b/>
          <w:color w:val="auto"/>
          <w:sz w:val="24"/>
        </w:rPr>
      </w:pPr>
      <w:r>
        <w:rPr>
          <w:rFonts w:hint="eastAsia" w:cs="仿宋_GB2312" w:asciiTheme="majorEastAsia" w:hAnsiTheme="majorEastAsia" w:eastAsiaTheme="majorEastAsia"/>
          <w:b/>
          <w:color w:val="auto"/>
          <w:sz w:val="24"/>
        </w:rPr>
        <w:t>附表A:本项目的项目经理情况表</w:t>
      </w:r>
    </w:p>
    <w:tbl>
      <w:tblPr>
        <w:tblStyle w:val="90"/>
        <w:tblW w:w="8755" w:type="dxa"/>
        <w:tblInd w:w="0" w:type="dxa"/>
        <w:tblLayout w:type="fixed"/>
        <w:tblCellMar>
          <w:top w:w="0" w:type="dxa"/>
          <w:left w:w="108" w:type="dxa"/>
          <w:bottom w:w="0" w:type="dxa"/>
          <w:right w:w="108" w:type="dxa"/>
        </w:tblCellMar>
      </w:tblPr>
      <w:tblGrid>
        <w:gridCol w:w="2061"/>
        <w:gridCol w:w="1287"/>
        <w:gridCol w:w="1260"/>
        <w:gridCol w:w="4147"/>
      </w:tblGrid>
      <w:tr>
        <w:tblPrEx>
          <w:tblCellMar>
            <w:top w:w="0" w:type="dxa"/>
            <w:left w:w="108" w:type="dxa"/>
            <w:bottom w:w="0" w:type="dxa"/>
            <w:right w:w="108" w:type="dxa"/>
          </w:tblCellMar>
        </w:tblPrEx>
        <w:trPr>
          <w:trHeight w:val="604"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姓名</w:t>
            </w:r>
          </w:p>
        </w:tc>
        <w:tc>
          <w:tcPr>
            <w:tcW w:w="1287" w:type="dxa"/>
            <w:tcBorders>
              <w:top w:val="single" w:color="auto" w:sz="6" w:space="0"/>
              <w:left w:val="single" w:color="auto" w:sz="6" w:space="0"/>
              <w:bottom w:val="single" w:color="auto" w:sz="6" w:space="0"/>
              <w:right w:val="single" w:color="auto" w:sz="4" w:space="0"/>
            </w:tcBorders>
            <w:shd w:val="clear" w:color="auto" w:fill="B3B3B3"/>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页码</w:t>
            </w:r>
          </w:p>
        </w:tc>
        <w:tc>
          <w:tcPr>
            <w:tcW w:w="4147"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截止磋商时间近3年业绩及承担的主要工作情况，曾担任项目经理的项目应列明细</w:t>
            </w: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性别</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c>
          <w:tcPr>
            <w:tcW w:w="4147" w:type="dxa"/>
            <w:vMerge w:val="restart"/>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r>
      <w:tr>
        <w:tblPrEx>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年龄</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职称</w:t>
            </w:r>
          </w:p>
        </w:tc>
        <w:tc>
          <w:tcPr>
            <w:tcW w:w="1287" w:type="dxa"/>
            <w:tcBorders>
              <w:top w:val="single" w:color="auto" w:sz="6" w:space="0"/>
              <w:left w:val="single" w:color="auto" w:sz="6" w:space="0"/>
              <w:bottom w:val="single" w:color="auto" w:sz="6" w:space="0"/>
              <w:right w:val="single" w:color="auto" w:sz="4"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毕业时间</w:t>
            </w:r>
          </w:p>
        </w:tc>
        <w:tc>
          <w:tcPr>
            <w:tcW w:w="1287" w:type="dxa"/>
            <w:tcBorders>
              <w:top w:val="single" w:color="auto" w:sz="6" w:space="0"/>
              <w:left w:val="single" w:color="auto" w:sz="6" w:space="0"/>
              <w:bottom w:val="single" w:color="auto" w:sz="6" w:space="0"/>
              <w:right w:val="single" w:color="auto" w:sz="4"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r>
      <w:tr>
        <w:tblPrEx>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所学专业</w:t>
            </w:r>
          </w:p>
        </w:tc>
        <w:tc>
          <w:tcPr>
            <w:tcW w:w="1287" w:type="dxa"/>
            <w:tcBorders>
              <w:top w:val="single" w:color="auto" w:sz="6" w:space="0"/>
              <w:left w:val="single" w:color="auto" w:sz="6" w:space="0"/>
              <w:bottom w:val="single" w:color="auto" w:sz="6" w:space="0"/>
              <w:right w:val="single" w:color="auto" w:sz="4"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r>
      <w:tr>
        <w:tblPrEx>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学历</w:t>
            </w:r>
          </w:p>
        </w:tc>
        <w:tc>
          <w:tcPr>
            <w:tcW w:w="1287" w:type="dxa"/>
            <w:tcBorders>
              <w:top w:val="single" w:color="auto" w:sz="6" w:space="0"/>
              <w:left w:val="single" w:color="auto" w:sz="6" w:space="0"/>
              <w:bottom w:val="single" w:color="auto" w:sz="6" w:space="0"/>
              <w:right w:val="single" w:color="auto" w:sz="4"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r>
      <w:tr>
        <w:tblPrEx>
          <w:tblCellMar>
            <w:top w:w="0" w:type="dxa"/>
            <w:left w:w="108" w:type="dxa"/>
            <w:bottom w:w="0" w:type="dxa"/>
            <w:right w:w="108" w:type="dxa"/>
          </w:tblCellMar>
        </w:tblPrEx>
        <w:trPr>
          <w:cantSplit/>
          <w:trHeight w:val="356" w:hRule="atLeast"/>
        </w:trPr>
        <w:tc>
          <w:tcPr>
            <w:tcW w:w="2061"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资质证书编号</w:t>
            </w:r>
          </w:p>
        </w:tc>
        <w:tc>
          <w:tcPr>
            <w:tcW w:w="1287" w:type="dxa"/>
            <w:tcBorders>
              <w:top w:val="single" w:color="auto" w:sz="6" w:space="0"/>
              <w:left w:val="single" w:color="auto" w:sz="6" w:space="0"/>
              <w:bottom w:val="single" w:color="auto" w:sz="6" w:space="0"/>
              <w:right w:val="single" w:color="auto" w:sz="4"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r>
      <w:tr>
        <w:tblPrEx>
          <w:tblCellMar>
            <w:top w:w="0" w:type="dxa"/>
            <w:left w:w="108" w:type="dxa"/>
            <w:bottom w:w="0" w:type="dxa"/>
            <w:right w:w="108" w:type="dxa"/>
          </w:tblCellMar>
        </w:tblPrEx>
        <w:trPr>
          <w:cantSplit/>
          <w:trHeight w:val="177" w:hRule="atLeast"/>
        </w:trPr>
        <w:tc>
          <w:tcPr>
            <w:tcW w:w="2061"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其他资质情况</w:t>
            </w:r>
          </w:p>
        </w:tc>
        <w:tc>
          <w:tcPr>
            <w:tcW w:w="1287" w:type="dxa"/>
            <w:tcBorders>
              <w:top w:val="single" w:color="auto" w:sz="6" w:space="0"/>
              <w:left w:val="single" w:color="auto" w:sz="6" w:space="0"/>
              <w:bottom w:val="single" w:color="auto" w:sz="6" w:space="0"/>
              <w:right w:val="single" w:color="auto" w:sz="4"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r>
      <w:tr>
        <w:tblPrEx>
          <w:tblCellMar>
            <w:top w:w="0" w:type="dxa"/>
            <w:left w:w="108" w:type="dxa"/>
            <w:bottom w:w="0" w:type="dxa"/>
            <w:right w:w="108" w:type="dxa"/>
          </w:tblCellMar>
        </w:tblPrEx>
        <w:trPr>
          <w:cantSplit/>
          <w:trHeight w:val="169"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联系电话</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r>
    </w:tbl>
    <w:p>
      <w:pPr>
        <w:shd w:val="clear"/>
        <w:autoSpaceDE w:val="0"/>
        <w:autoSpaceDN w:val="0"/>
        <w:spacing w:line="360" w:lineRule="auto"/>
        <w:rPr>
          <w:rFonts w:cs="仿宋_GB2312" w:asciiTheme="majorEastAsia" w:hAnsiTheme="majorEastAsia" w:eastAsiaTheme="majorEastAsia"/>
          <w:b/>
          <w:color w:val="auto"/>
          <w:sz w:val="24"/>
        </w:rPr>
      </w:pPr>
      <w:r>
        <w:rPr>
          <w:rFonts w:hint="eastAsia" w:cs="仿宋_GB2312" w:asciiTheme="majorEastAsia" w:hAnsiTheme="majorEastAsia" w:eastAsiaTheme="majorEastAsia"/>
          <w:b/>
          <w:color w:val="auto"/>
          <w:sz w:val="24"/>
        </w:rPr>
        <w:t>注：须随表提交相应的证书复印件并注明所在磋商商务技术（资信）文件页码。</w:t>
      </w:r>
    </w:p>
    <w:p>
      <w:pPr>
        <w:shd w:val="clear"/>
        <w:autoSpaceDE w:val="0"/>
        <w:autoSpaceDN w:val="0"/>
        <w:spacing w:line="360" w:lineRule="auto"/>
        <w:rPr>
          <w:rFonts w:cs="仿宋_GB2312" w:asciiTheme="majorEastAsia" w:hAnsiTheme="majorEastAsia" w:eastAsiaTheme="majorEastAsia"/>
          <w:b/>
          <w:color w:val="auto"/>
          <w:sz w:val="24"/>
        </w:rPr>
      </w:pPr>
      <w:r>
        <w:rPr>
          <w:rFonts w:hint="eastAsia" w:cs="仿宋_GB2312" w:asciiTheme="majorEastAsia" w:hAnsiTheme="majorEastAsia" w:eastAsiaTheme="majorEastAsia"/>
          <w:b/>
          <w:color w:val="auto"/>
          <w:sz w:val="24"/>
        </w:rPr>
        <w:t>附表B:本项目的项目小组人员情况表</w:t>
      </w:r>
      <w:r>
        <w:rPr>
          <w:rFonts w:hint="eastAsia" w:cs="仿宋_GB2312" w:asciiTheme="majorEastAsia" w:hAnsiTheme="majorEastAsia" w:eastAsiaTheme="majorEastAsia"/>
          <w:color w:val="auto"/>
          <w:sz w:val="24"/>
        </w:rPr>
        <w:t>（按此格式自制）</w:t>
      </w:r>
    </w:p>
    <w:tbl>
      <w:tblPr>
        <w:tblStyle w:val="90"/>
        <w:tblW w:w="9030" w:type="dxa"/>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c>
          <w:tcPr>
            <w:tcW w:w="420"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序号</w:t>
            </w:r>
          </w:p>
        </w:tc>
        <w:tc>
          <w:tcPr>
            <w:tcW w:w="787"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姓名</w:t>
            </w:r>
          </w:p>
        </w:tc>
        <w:tc>
          <w:tcPr>
            <w:tcW w:w="412"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性别</w:t>
            </w:r>
          </w:p>
        </w:tc>
        <w:tc>
          <w:tcPr>
            <w:tcW w:w="586"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学历</w:t>
            </w:r>
          </w:p>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专业</w:t>
            </w:r>
          </w:p>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职称</w:t>
            </w:r>
          </w:p>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参与本项目的到位情况</w:t>
            </w:r>
          </w:p>
        </w:tc>
      </w:tr>
      <w:tr>
        <w:trPr>
          <w:trHeight w:val="479" w:hRule="atLeast"/>
        </w:trPr>
        <w:tc>
          <w:tcPr>
            <w:tcW w:w="42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jc w:val="center"/>
              <w:rPr>
                <w:rFonts w:cs="仿宋_GB2312" w:asciiTheme="majorEastAsia" w:hAnsiTheme="majorEastAsia" w:eastAsiaTheme="majorEastAsia"/>
                <w:color w:val="auto"/>
                <w:sz w:val="24"/>
              </w:rPr>
            </w:pPr>
          </w:p>
        </w:tc>
        <w:tc>
          <w:tcPr>
            <w:tcW w:w="787"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412"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586"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03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08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08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26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90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47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r>
      <w:tr>
        <w:trPr>
          <w:trHeight w:val="473" w:hRule="atLeast"/>
        </w:trPr>
        <w:tc>
          <w:tcPr>
            <w:tcW w:w="42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jc w:val="center"/>
              <w:rPr>
                <w:rFonts w:cs="仿宋_GB2312" w:asciiTheme="majorEastAsia" w:hAnsiTheme="majorEastAsia" w:eastAsiaTheme="majorEastAsia"/>
                <w:color w:val="auto"/>
                <w:sz w:val="24"/>
              </w:rPr>
            </w:pPr>
          </w:p>
        </w:tc>
        <w:tc>
          <w:tcPr>
            <w:tcW w:w="787"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412"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586"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03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08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08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26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90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47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r>
    </w:tbl>
    <w:p>
      <w:pPr>
        <w:shd w:val="clear"/>
        <w:spacing w:line="360" w:lineRule="auto"/>
        <w:rPr>
          <w:rFonts w:cs="仿宋_GB2312" w:asciiTheme="majorEastAsia" w:hAnsiTheme="majorEastAsia" w:eastAsiaTheme="majorEastAsia"/>
          <w:b/>
          <w:bCs/>
          <w:color w:val="auto"/>
          <w:sz w:val="24"/>
        </w:rPr>
      </w:pPr>
      <w:r>
        <w:rPr>
          <w:rFonts w:hint="eastAsia" w:cs="仿宋_GB2312" w:asciiTheme="majorEastAsia" w:hAnsiTheme="majorEastAsia" w:eastAsiaTheme="majorEastAsia"/>
          <w:b/>
          <w:color w:val="auto"/>
          <w:sz w:val="24"/>
        </w:rPr>
        <w:t>注：磋商响应人可按上述的格式自行编制，须随表提交相应的证书复印件并注明所在磋商响应商务技术（资信）文件页码。</w:t>
      </w:r>
    </w:p>
    <w:p>
      <w:pPr>
        <w:shd w:val="clear"/>
        <w:spacing w:line="360" w:lineRule="auto"/>
        <w:rPr>
          <w:rFonts w:cs="仿宋_GB2312" w:asciiTheme="majorEastAsia" w:hAnsiTheme="majorEastAsia" w:eastAsiaTheme="majorEastAsia"/>
          <w:b/>
          <w:bCs/>
          <w:color w:val="auto"/>
          <w:sz w:val="24"/>
        </w:rPr>
      </w:pPr>
      <w:r>
        <w:rPr>
          <w:rFonts w:hint="eastAsia" w:cs="仿宋_GB2312" w:asciiTheme="majorEastAsia" w:hAnsiTheme="majorEastAsia" w:eastAsiaTheme="majorEastAsia"/>
          <w:b/>
          <w:color w:val="auto"/>
          <w:sz w:val="24"/>
        </w:rPr>
        <w:t>附表C:本项目的项目经理和小组人员提供交纳社保记录情况表</w:t>
      </w:r>
      <w:r>
        <w:rPr>
          <w:rFonts w:hint="eastAsia" w:cs="仿宋_GB2312" w:asciiTheme="majorEastAsia" w:hAnsiTheme="majorEastAsia" w:eastAsiaTheme="majorEastAsia"/>
          <w:color w:val="auto"/>
          <w:sz w:val="24"/>
        </w:rPr>
        <w:t>（以社保局缴纳凭证作附件）</w:t>
      </w:r>
    </w:p>
    <w:p>
      <w:pPr>
        <w:shd w:val="clear"/>
        <w:snapToGrid w:val="0"/>
        <w:spacing w:line="360" w:lineRule="auto"/>
        <w:ind w:right="960"/>
        <w:jc w:val="right"/>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lang w:val="zh-CN"/>
        </w:rPr>
        <w:t>磋商响应人（盖公章）：</w:t>
      </w:r>
    </w:p>
    <w:p>
      <w:pPr>
        <w:shd w:val="clear"/>
        <w:autoSpaceDE w:val="0"/>
        <w:autoSpaceDN w:val="0"/>
        <w:spacing w:line="360" w:lineRule="auto"/>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lang w:val="zh-CN"/>
        </w:rPr>
        <w:t xml:space="preserve">                               法定代表人或其授权代表(签字或盖章)：</w:t>
      </w:r>
    </w:p>
    <w:p>
      <w:pPr>
        <w:shd w:val="clear"/>
        <w:spacing w:line="360" w:lineRule="auto"/>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rPr>
        <w:t xml:space="preserve">                                             日期：  年  月   日</w:t>
      </w:r>
    </w:p>
    <w:p>
      <w:pPr>
        <w:pageBreakBefore/>
        <w:shd w:val="clear"/>
        <w:spacing w:line="360" w:lineRule="auto"/>
        <w:rPr>
          <w:rFonts w:cs="仿宋_GB2312" w:asciiTheme="majorEastAsia" w:hAnsiTheme="majorEastAsia" w:eastAsiaTheme="majorEastAsia"/>
          <w:b/>
          <w:color w:val="auto"/>
          <w:kern w:val="0"/>
          <w:sz w:val="32"/>
          <w:szCs w:val="32"/>
          <w:lang w:val="zh-CN"/>
        </w:rPr>
      </w:pPr>
      <w:r>
        <w:rPr>
          <w:rFonts w:hint="eastAsia" w:cs="仿宋_GB2312" w:asciiTheme="majorEastAsia" w:hAnsiTheme="majorEastAsia" w:eastAsiaTheme="majorEastAsia"/>
          <w:b/>
          <w:bCs/>
          <w:color w:val="auto"/>
          <w:sz w:val="32"/>
          <w:szCs w:val="32"/>
        </w:rPr>
        <w:t>13、</w:t>
      </w:r>
      <w:r>
        <w:rPr>
          <w:rFonts w:hint="eastAsia" w:cs="仿宋_GB2312" w:asciiTheme="majorEastAsia" w:hAnsiTheme="majorEastAsia" w:eastAsiaTheme="majorEastAsia"/>
          <w:b/>
          <w:color w:val="auto"/>
          <w:kern w:val="0"/>
          <w:sz w:val="32"/>
          <w:szCs w:val="32"/>
          <w:lang w:val="zh-CN"/>
        </w:rPr>
        <w:t>优惠条件及特殊承诺</w:t>
      </w:r>
    </w:p>
    <w:p>
      <w:pPr>
        <w:shd w:val="clear"/>
        <w:spacing w:line="360" w:lineRule="auto"/>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（由磋商响应人根据采购需求自行编制）</w:t>
      </w:r>
    </w:p>
    <w:p>
      <w:pPr>
        <w:shd w:val="clear"/>
        <w:spacing w:line="360" w:lineRule="auto"/>
        <w:rPr>
          <w:rFonts w:cs="仿宋_GB2312" w:asciiTheme="majorEastAsia" w:hAnsiTheme="majorEastAsia" w:eastAsiaTheme="majorEastAsia"/>
          <w:color w:val="auto"/>
          <w:sz w:val="18"/>
          <w:szCs w:val="18"/>
        </w:rPr>
      </w:pPr>
    </w:p>
    <w:p>
      <w:pPr>
        <w:shd w:val="clear"/>
        <w:snapToGrid w:val="0"/>
        <w:spacing w:line="360" w:lineRule="auto"/>
        <w:ind w:right="960"/>
        <w:jc w:val="right"/>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lang w:val="zh-CN"/>
        </w:rPr>
        <w:t>磋商响应人（盖公章）：</w:t>
      </w:r>
    </w:p>
    <w:p>
      <w:pPr>
        <w:shd w:val="clear"/>
        <w:autoSpaceDE w:val="0"/>
        <w:autoSpaceDN w:val="0"/>
        <w:spacing w:line="360" w:lineRule="auto"/>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lang w:val="zh-CN"/>
        </w:rPr>
        <w:t xml:space="preserve">                                 法定代表人或其授权代表(签字或盖章)：</w:t>
      </w:r>
    </w:p>
    <w:p>
      <w:pPr>
        <w:shd w:val="clear"/>
        <w:spacing w:line="360" w:lineRule="auto"/>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rPr>
        <w:t xml:space="preserve">                                             日期：  年  月   日</w:t>
      </w:r>
    </w:p>
    <w:p>
      <w:pPr>
        <w:shd w:val="clear"/>
        <w:spacing w:line="360" w:lineRule="auto"/>
        <w:rPr>
          <w:rFonts w:cs="仿宋_GB2312" w:asciiTheme="majorEastAsia" w:hAnsiTheme="majorEastAsia" w:eastAsiaTheme="majorEastAsia"/>
          <w:b/>
          <w:bCs/>
          <w:color w:val="auto"/>
          <w:sz w:val="18"/>
          <w:szCs w:val="18"/>
        </w:rPr>
      </w:pPr>
    </w:p>
    <w:p>
      <w:pPr>
        <w:shd w:val="clear"/>
        <w:spacing w:line="360" w:lineRule="auto"/>
        <w:rPr>
          <w:rFonts w:cs="仿宋_GB2312" w:asciiTheme="majorEastAsia" w:hAnsiTheme="majorEastAsia" w:eastAsiaTheme="majorEastAsia"/>
          <w:b/>
          <w:bCs/>
          <w:color w:val="auto"/>
          <w:sz w:val="32"/>
          <w:szCs w:val="32"/>
        </w:rPr>
      </w:pPr>
    </w:p>
    <w:p>
      <w:pPr>
        <w:pageBreakBefore/>
        <w:shd w:val="clear"/>
        <w:spacing w:line="360" w:lineRule="auto"/>
        <w:rPr>
          <w:rFonts w:cs="仿宋_GB2312" w:asciiTheme="majorEastAsia" w:hAnsiTheme="majorEastAsia" w:eastAsiaTheme="majorEastAsia"/>
          <w:b/>
          <w:bCs/>
          <w:color w:val="auto"/>
          <w:sz w:val="32"/>
          <w:szCs w:val="32"/>
        </w:rPr>
      </w:pPr>
      <w:r>
        <w:rPr>
          <w:rFonts w:hint="eastAsia" w:cs="仿宋_GB2312" w:asciiTheme="majorEastAsia" w:hAnsiTheme="majorEastAsia" w:eastAsiaTheme="majorEastAsia"/>
          <w:b/>
          <w:bCs/>
          <w:color w:val="auto"/>
          <w:sz w:val="32"/>
          <w:szCs w:val="32"/>
        </w:rPr>
        <w:t>14、验收方案</w:t>
      </w:r>
    </w:p>
    <w:p>
      <w:pPr>
        <w:shd w:val="clear"/>
        <w:spacing w:line="360" w:lineRule="auto"/>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（由磋商响应人根据采购需求自行编制）</w:t>
      </w:r>
    </w:p>
    <w:p>
      <w:pPr>
        <w:shd w:val="clear"/>
        <w:spacing w:line="360" w:lineRule="auto"/>
        <w:jc w:val="center"/>
        <w:rPr>
          <w:rFonts w:cs="仿宋_GB2312" w:asciiTheme="majorEastAsia" w:hAnsiTheme="majorEastAsia" w:eastAsiaTheme="majorEastAsia"/>
          <w:color w:val="auto"/>
          <w:sz w:val="24"/>
        </w:rPr>
      </w:pPr>
    </w:p>
    <w:p>
      <w:pPr>
        <w:shd w:val="clear"/>
        <w:snapToGrid w:val="0"/>
        <w:spacing w:line="360" w:lineRule="auto"/>
        <w:ind w:right="960"/>
        <w:jc w:val="right"/>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lang w:val="zh-CN"/>
        </w:rPr>
        <w:t>磋商响应人（盖公章）：</w:t>
      </w:r>
    </w:p>
    <w:p>
      <w:pPr>
        <w:shd w:val="clear"/>
        <w:autoSpaceDE w:val="0"/>
        <w:autoSpaceDN w:val="0"/>
        <w:spacing w:line="360" w:lineRule="auto"/>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lang w:val="zh-CN"/>
        </w:rPr>
        <w:t xml:space="preserve">                        法定代表人或其授权代表(签字或盖章)：</w:t>
      </w:r>
    </w:p>
    <w:p>
      <w:pPr>
        <w:shd w:val="clear"/>
        <w:spacing w:line="360" w:lineRule="auto"/>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rPr>
        <w:t xml:space="preserve">                                             日期：  年  月   日</w:t>
      </w:r>
    </w:p>
    <w:p>
      <w:pPr>
        <w:shd w:val="clear"/>
        <w:spacing w:line="360" w:lineRule="auto"/>
        <w:jc w:val="center"/>
        <w:rPr>
          <w:rFonts w:cs="仿宋_GB2312" w:asciiTheme="majorEastAsia" w:hAnsiTheme="majorEastAsia" w:eastAsiaTheme="majorEastAsia"/>
          <w:b/>
          <w:bCs/>
          <w:color w:val="auto"/>
          <w:sz w:val="30"/>
          <w:szCs w:val="30"/>
        </w:rPr>
      </w:pPr>
    </w:p>
    <w:p>
      <w:pPr>
        <w:shd w:val="clear"/>
        <w:spacing w:line="360" w:lineRule="auto"/>
        <w:jc w:val="center"/>
        <w:rPr>
          <w:rFonts w:cs="仿宋_GB2312" w:asciiTheme="majorEastAsia" w:hAnsiTheme="majorEastAsia" w:eastAsiaTheme="majorEastAsia"/>
          <w:b/>
          <w:bCs/>
          <w:color w:val="auto"/>
          <w:sz w:val="30"/>
          <w:szCs w:val="30"/>
        </w:rPr>
      </w:pPr>
    </w:p>
    <w:p>
      <w:pPr>
        <w:shd w:val="clear"/>
        <w:spacing w:line="360" w:lineRule="auto"/>
        <w:jc w:val="center"/>
        <w:rPr>
          <w:rFonts w:cs="仿宋_GB2312" w:asciiTheme="majorEastAsia" w:hAnsiTheme="majorEastAsia" w:eastAsiaTheme="majorEastAsia"/>
          <w:b/>
          <w:bCs/>
          <w:color w:val="auto"/>
          <w:sz w:val="24"/>
        </w:rPr>
      </w:pPr>
    </w:p>
    <w:p>
      <w:pPr>
        <w:shd w:val="clear"/>
        <w:spacing w:line="360" w:lineRule="auto"/>
        <w:jc w:val="center"/>
        <w:rPr>
          <w:rFonts w:cs="仿宋_GB2312" w:asciiTheme="majorEastAsia" w:hAnsiTheme="majorEastAsia" w:eastAsiaTheme="majorEastAsia"/>
          <w:b/>
          <w:bCs/>
          <w:color w:val="auto"/>
          <w:sz w:val="24"/>
        </w:rPr>
      </w:pPr>
    </w:p>
    <w:p>
      <w:pPr>
        <w:shd w:val="clear"/>
        <w:spacing w:line="360" w:lineRule="auto"/>
        <w:rPr>
          <w:rFonts w:cs="仿宋_GB2312" w:asciiTheme="majorEastAsia" w:hAnsiTheme="majorEastAsia" w:eastAsiaTheme="majorEastAsia"/>
          <w:b/>
          <w:color w:val="auto"/>
          <w:kern w:val="0"/>
          <w:sz w:val="32"/>
          <w:szCs w:val="32"/>
          <w:lang w:val="zh-CN"/>
        </w:rPr>
      </w:pPr>
      <w:r>
        <w:rPr>
          <w:rFonts w:hint="eastAsia" w:cs="仿宋_GB2312" w:asciiTheme="majorEastAsia" w:hAnsiTheme="majorEastAsia" w:eastAsiaTheme="majorEastAsia"/>
          <w:b/>
          <w:bCs/>
          <w:color w:val="auto"/>
          <w:sz w:val="32"/>
          <w:szCs w:val="32"/>
        </w:rPr>
        <w:t>15、认为需要的</w:t>
      </w:r>
      <w:r>
        <w:rPr>
          <w:rFonts w:hint="eastAsia" w:cs="仿宋_GB2312" w:asciiTheme="majorEastAsia" w:hAnsiTheme="majorEastAsia" w:eastAsiaTheme="majorEastAsia"/>
          <w:b/>
          <w:color w:val="auto"/>
          <w:kern w:val="0"/>
          <w:sz w:val="32"/>
          <w:szCs w:val="32"/>
          <w:lang w:val="zh-CN"/>
        </w:rPr>
        <w:t>其他商务技术（资信）文件或说明</w:t>
      </w:r>
    </w:p>
    <w:p>
      <w:pPr>
        <w:shd w:val="clear"/>
        <w:spacing w:line="360" w:lineRule="auto"/>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（由磋商响应人根据采购需求自行编制）</w:t>
      </w:r>
    </w:p>
    <w:p>
      <w:pPr>
        <w:shd w:val="clear"/>
        <w:spacing w:line="360" w:lineRule="auto"/>
        <w:rPr>
          <w:rFonts w:cs="仿宋_GB2312" w:asciiTheme="majorEastAsia" w:hAnsiTheme="majorEastAsia" w:eastAsiaTheme="majorEastAsia"/>
          <w:color w:val="auto"/>
          <w:sz w:val="24"/>
        </w:rPr>
      </w:pPr>
    </w:p>
    <w:p>
      <w:pPr>
        <w:shd w:val="clear"/>
        <w:snapToGrid w:val="0"/>
        <w:spacing w:line="360" w:lineRule="auto"/>
        <w:ind w:right="960"/>
        <w:jc w:val="right"/>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lang w:val="zh-CN"/>
        </w:rPr>
        <w:t>磋商响应人（盖公章）：</w:t>
      </w:r>
    </w:p>
    <w:p>
      <w:pPr>
        <w:shd w:val="clear"/>
        <w:autoSpaceDE w:val="0"/>
        <w:autoSpaceDN w:val="0"/>
        <w:spacing w:line="360" w:lineRule="auto"/>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lang w:val="zh-CN"/>
        </w:rPr>
        <w:t xml:space="preserve">                              法定代表人或其授权代表(签字或盖章)：</w:t>
      </w:r>
    </w:p>
    <w:p>
      <w:pPr>
        <w:shd w:val="clear"/>
        <w:spacing w:line="360" w:lineRule="auto"/>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rPr>
        <w:t xml:space="preserve">                                             日期：  年  月   日</w:t>
      </w:r>
    </w:p>
    <w:p>
      <w:pPr>
        <w:shd w:val="clear"/>
        <w:spacing w:line="360" w:lineRule="auto"/>
        <w:rPr>
          <w:rFonts w:cs="仿宋_GB2312" w:asciiTheme="majorEastAsia" w:hAnsiTheme="majorEastAsia" w:eastAsiaTheme="majorEastAsia"/>
          <w:color w:val="auto"/>
          <w:kern w:val="0"/>
          <w:sz w:val="24"/>
          <w:lang w:val="zh-CN"/>
        </w:rPr>
      </w:pPr>
    </w:p>
    <w:p>
      <w:pPr>
        <w:shd w:val="clear"/>
        <w:spacing w:line="360" w:lineRule="auto"/>
        <w:rPr>
          <w:rFonts w:cs="仿宋_GB2312" w:asciiTheme="majorEastAsia" w:hAnsiTheme="majorEastAsia" w:eastAsiaTheme="majorEastAsia"/>
          <w:color w:val="auto"/>
          <w:kern w:val="0"/>
          <w:sz w:val="24"/>
          <w:lang w:val="zh-CN"/>
        </w:rPr>
      </w:pPr>
    </w:p>
    <w:p>
      <w:pPr>
        <w:shd w:val="clear"/>
        <w:spacing w:line="360" w:lineRule="auto"/>
        <w:rPr>
          <w:rFonts w:cs="仿宋_GB2312" w:asciiTheme="majorEastAsia" w:hAnsiTheme="majorEastAsia" w:eastAsiaTheme="majorEastAsia"/>
          <w:color w:val="auto"/>
          <w:kern w:val="0"/>
          <w:sz w:val="24"/>
          <w:lang w:val="zh-CN"/>
        </w:rPr>
      </w:pPr>
    </w:p>
    <w:p>
      <w:pPr>
        <w:shd w:val="clear"/>
        <w:spacing w:line="360" w:lineRule="auto"/>
        <w:rPr>
          <w:rFonts w:cs="仿宋_GB2312" w:asciiTheme="majorEastAsia" w:hAnsiTheme="majorEastAsia" w:eastAsiaTheme="majorEastAsia"/>
          <w:color w:val="auto"/>
          <w:kern w:val="0"/>
          <w:sz w:val="24"/>
          <w:lang w:val="zh-CN"/>
        </w:rPr>
      </w:pPr>
    </w:p>
    <w:p>
      <w:pPr>
        <w:shd w:val="clear"/>
        <w:spacing w:line="360" w:lineRule="auto"/>
        <w:rPr>
          <w:rFonts w:cs="仿宋_GB2312" w:asciiTheme="majorEastAsia" w:hAnsiTheme="majorEastAsia" w:eastAsiaTheme="majorEastAsia"/>
          <w:color w:val="auto"/>
          <w:kern w:val="0"/>
          <w:sz w:val="24"/>
          <w:lang w:val="zh-CN"/>
        </w:rPr>
      </w:pPr>
    </w:p>
    <w:p>
      <w:pPr>
        <w:shd w:val="clear"/>
        <w:spacing w:line="360" w:lineRule="auto"/>
        <w:rPr>
          <w:rFonts w:cs="仿宋_GB2312" w:asciiTheme="majorEastAsia" w:hAnsiTheme="majorEastAsia" w:eastAsiaTheme="majorEastAsia"/>
          <w:color w:val="auto"/>
          <w:kern w:val="0"/>
          <w:sz w:val="24"/>
          <w:lang w:val="zh-CN"/>
        </w:rPr>
      </w:pPr>
    </w:p>
    <w:p>
      <w:pPr>
        <w:shd w:val="clear"/>
        <w:spacing w:line="360" w:lineRule="auto"/>
        <w:rPr>
          <w:rFonts w:cs="仿宋_GB2312" w:asciiTheme="majorEastAsia" w:hAnsiTheme="majorEastAsia" w:eastAsiaTheme="majorEastAsia"/>
          <w:color w:val="auto"/>
          <w:kern w:val="0"/>
          <w:sz w:val="24"/>
        </w:rPr>
      </w:pPr>
    </w:p>
    <w:p>
      <w:pPr>
        <w:shd w:val="clear"/>
        <w:spacing w:line="360" w:lineRule="auto"/>
        <w:rPr>
          <w:rFonts w:cs="仿宋_GB2312" w:asciiTheme="majorEastAsia" w:hAnsiTheme="majorEastAsia" w:eastAsiaTheme="majorEastAsia"/>
          <w:color w:val="auto"/>
          <w:kern w:val="0"/>
          <w:sz w:val="24"/>
          <w:lang w:val="zh-CN"/>
        </w:rPr>
      </w:pPr>
    </w:p>
    <w:p>
      <w:pPr>
        <w:shd w:val="clear"/>
        <w:spacing w:line="360" w:lineRule="auto"/>
        <w:rPr>
          <w:rFonts w:cs="仿宋_GB2312" w:asciiTheme="majorEastAsia" w:hAnsiTheme="majorEastAsia" w:eastAsiaTheme="majorEastAsia"/>
          <w:color w:val="auto"/>
          <w:kern w:val="0"/>
          <w:sz w:val="24"/>
          <w:lang w:val="zh-CN"/>
        </w:rPr>
      </w:pPr>
    </w:p>
    <w:p>
      <w:pPr>
        <w:shd w:val="clear"/>
        <w:spacing w:line="360" w:lineRule="auto"/>
        <w:rPr>
          <w:rFonts w:cs="仿宋_GB2312" w:asciiTheme="majorEastAsia" w:hAnsiTheme="majorEastAsia" w:eastAsiaTheme="majorEastAsia"/>
          <w:color w:val="auto"/>
          <w:kern w:val="0"/>
          <w:sz w:val="24"/>
          <w:lang w:val="zh-CN"/>
        </w:rPr>
      </w:pPr>
    </w:p>
    <w:p>
      <w:pPr>
        <w:shd w:val="clear"/>
        <w:spacing w:line="360" w:lineRule="auto"/>
        <w:rPr>
          <w:rFonts w:cs="仿宋_GB2312" w:asciiTheme="majorEastAsia" w:hAnsiTheme="majorEastAsia" w:eastAsiaTheme="majorEastAsia"/>
          <w:color w:val="auto"/>
          <w:kern w:val="0"/>
          <w:sz w:val="24"/>
          <w:lang w:val="zh-CN"/>
        </w:rPr>
      </w:pPr>
    </w:p>
    <w:p>
      <w:pPr>
        <w:shd w:val="clear"/>
        <w:spacing w:line="360" w:lineRule="auto"/>
        <w:rPr>
          <w:rFonts w:cs="仿宋_GB2312" w:asciiTheme="majorEastAsia" w:hAnsiTheme="majorEastAsia" w:eastAsiaTheme="majorEastAsia"/>
          <w:color w:val="auto"/>
          <w:kern w:val="0"/>
          <w:sz w:val="24"/>
          <w:lang w:val="zh-CN"/>
        </w:rPr>
      </w:pPr>
    </w:p>
    <w:p>
      <w:pPr>
        <w:shd w:val="clear"/>
        <w:spacing w:line="360" w:lineRule="auto"/>
        <w:rPr>
          <w:rFonts w:cs="仿宋_GB2312" w:asciiTheme="majorEastAsia" w:hAnsiTheme="majorEastAsia" w:eastAsiaTheme="majorEastAsia"/>
          <w:b/>
          <w:color w:val="auto"/>
          <w:kern w:val="0"/>
          <w:sz w:val="32"/>
          <w:szCs w:val="32"/>
          <w:lang w:val="zh-CN"/>
        </w:rPr>
      </w:pPr>
      <w:r>
        <w:rPr>
          <w:rFonts w:hint="eastAsia" w:cs="仿宋_GB2312" w:asciiTheme="majorEastAsia" w:hAnsiTheme="majorEastAsia" w:eastAsiaTheme="majorEastAsia"/>
          <w:b/>
          <w:color w:val="auto"/>
          <w:kern w:val="0"/>
          <w:sz w:val="32"/>
          <w:szCs w:val="32"/>
          <w:lang w:val="zh-CN"/>
        </w:rPr>
        <w:t>16、联合协议</w:t>
      </w:r>
    </w:p>
    <w:p>
      <w:pPr>
        <w:widowControl/>
        <w:shd w:val="clear"/>
        <w:spacing w:line="360" w:lineRule="auto"/>
        <w:ind w:firstLine="482" w:firstLineChars="200"/>
        <w:jc w:val="left"/>
        <w:rPr>
          <w:rFonts w:cs="仿宋_GB2312" w:asciiTheme="majorEastAsia" w:hAnsiTheme="majorEastAsia" w:eastAsiaTheme="majorEastAsia"/>
          <w:b/>
          <w:color w:val="auto"/>
          <w:sz w:val="24"/>
        </w:rPr>
      </w:pPr>
      <w:r>
        <w:rPr>
          <w:rFonts w:hint="eastAsia" w:cs="仿宋_GB2312" w:asciiTheme="majorEastAsia" w:hAnsiTheme="majorEastAsia" w:eastAsiaTheme="majorEastAsia"/>
          <w:b/>
          <w:color w:val="auto"/>
          <w:sz w:val="24"/>
        </w:rPr>
        <w:t>（以联合体形式响应磋商的，提供联合协议；本项目不接受联合体磋商或者磋商响应人不以联合体形式响应磋商的，则不需要提供）</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u w:val="single"/>
        </w:rPr>
        <w:t>（联合体所有成员名称）</w:t>
      </w:r>
      <w:r>
        <w:rPr>
          <w:rFonts w:hint="eastAsia" w:cs="仿宋_GB2312" w:asciiTheme="majorEastAsia" w:hAnsiTheme="majorEastAsia" w:eastAsiaTheme="majorEastAsia"/>
          <w:color w:val="auto"/>
          <w:kern w:val="0"/>
          <w:sz w:val="24"/>
        </w:rPr>
        <w:t>自愿</w:t>
      </w:r>
      <w:r>
        <w:rPr>
          <w:rFonts w:hint="eastAsia" w:cs="仿宋_GB2312" w:asciiTheme="majorEastAsia" w:hAnsiTheme="majorEastAsia" w:eastAsiaTheme="majorEastAsia"/>
          <w:color w:val="auto"/>
          <w:kern w:val="0"/>
          <w:sz w:val="24"/>
          <w:lang w:val="zh-CN"/>
        </w:rPr>
        <w:t>组成一个联合体，以一个磋商响应人的身份</w:t>
      </w:r>
      <w:r>
        <w:rPr>
          <w:rFonts w:hint="eastAsia" w:cs="仿宋_GB2312" w:asciiTheme="majorEastAsia" w:hAnsiTheme="majorEastAsia" w:eastAsiaTheme="majorEastAsia"/>
          <w:color w:val="auto"/>
          <w:kern w:val="0"/>
          <w:sz w:val="24"/>
        </w:rPr>
        <w:t>响应</w:t>
      </w:r>
      <w:r>
        <w:rPr>
          <w:rFonts w:hint="eastAsia" w:cs="仿宋_GB2312" w:asciiTheme="majorEastAsia" w:hAnsiTheme="majorEastAsia" w:eastAsiaTheme="majorEastAsia"/>
          <w:color w:val="auto"/>
          <w:sz w:val="24"/>
        </w:rPr>
        <w:t>（项目名称）【磋商编号：</w:t>
      </w:r>
      <w:r>
        <w:rPr>
          <w:rFonts w:hint="eastAsia" w:asciiTheme="majorEastAsia" w:hAnsiTheme="majorEastAsia" w:eastAsiaTheme="majorEastAsia"/>
          <w:color w:val="auto"/>
          <w:sz w:val="24"/>
        </w:rPr>
        <w:t>（采购编号）</w:t>
      </w:r>
      <w:r>
        <w:rPr>
          <w:rFonts w:hint="eastAsia" w:cs="仿宋_GB2312" w:asciiTheme="majorEastAsia" w:hAnsiTheme="majorEastAsia" w:eastAsiaTheme="majorEastAsia"/>
          <w:color w:val="auto"/>
          <w:sz w:val="24"/>
        </w:rPr>
        <w:t>】</w:t>
      </w:r>
      <w:r>
        <w:rPr>
          <w:rFonts w:hint="eastAsia" w:cs="仿宋_GB2312" w:asciiTheme="majorEastAsia" w:hAnsiTheme="majorEastAsia" w:eastAsiaTheme="majorEastAsia"/>
          <w:color w:val="auto"/>
          <w:kern w:val="0"/>
          <w:sz w:val="24"/>
          <w:lang w:val="zh-CN"/>
        </w:rPr>
        <w:t>磋商。</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一、各方一致决定，</w:t>
      </w:r>
      <w:r>
        <w:rPr>
          <w:rFonts w:hint="eastAsia" w:cs="仿宋_GB2312" w:asciiTheme="majorEastAsia" w:hAnsiTheme="majorEastAsia" w:eastAsiaTheme="majorEastAsia"/>
          <w:color w:val="auto"/>
          <w:kern w:val="0"/>
          <w:sz w:val="24"/>
          <w:u w:val="single"/>
        </w:rPr>
        <w:t>（某联合体成员名称）</w:t>
      </w:r>
      <w:r>
        <w:rPr>
          <w:rFonts w:hint="eastAsia" w:cs="仿宋_GB2312" w:asciiTheme="majorEastAsia" w:hAnsiTheme="majorEastAsia" w:eastAsiaTheme="majorEastAsia"/>
          <w:color w:val="auto"/>
          <w:kern w:val="0"/>
          <w:sz w:val="24"/>
        </w:rPr>
        <w:t>为联合体</w:t>
      </w:r>
      <w:r>
        <w:rPr>
          <w:rFonts w:hint="eastAsia" w:cs="仿宋_GB2312" w:asciiTheme="majorEastAsia" w:hAnsiTheme="majorEastAsia" w:eastAsiaTheme="majorEastAsia"/>
          <w:color w:val="auto"/>
          <w:kern w:val="0"/>
          <w:sz w:val="24"/>
          <w:lang w:val="zh-CN"/>
        </w:rPr>
        <w:t>牵头人</w:t>
      </w:r>
      <w:r>
        <w:rPr>
          <w:rFonts w:hint="eastAsia" w:cs="Arial" w:asciiTheme="majorEastAsia" w:hAnsiTheme="majorEastAsia" w:eastAsiaTheme="majorEastAsia"/>
          <w:color w:val="auto"/>
          <w:sz w:val="24"/>
        </w:rPr>
        <w:t>，代表所有联合体成员负责磋商和合同实施阶段的主办、协调工作</w:t>
      </w:r>
      <w:r>
        <w:rPr>
          <w:rFonts w:hint="eastAsia" w:cs="仿宋_GB2312" w:asciiTheme="majorEastAsia" w:hAnsiTheme="majorEastAsia" w:eastAsiaTheme="majorEastAsia"/>
          <w:color w:val="auto"/>
          <w:kern w:val="0"/>
          <w:sz w:val="24"/>
          <w:lang w:val="zh-CN"/>
        </w:rPr>
        <w:t>。</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二、</w:t>
      </w:r>
      <w:r>
        <w:rPr>
          <w:rFonts w:hint="eastAsia" w:cs="Arial" w:asciiTheme="majorEastAsia" w:hAnsiTheme="majorEastAsia" w:eastAsiaTheme="majorEastAsia"/>
          <w:color w:val="auto"/>
          <w:sz w:val="24"/>
        </w:rPr>
        <w:t>所有联合体成员各方签署授权书，授权书载明的</w:t>
      </w:r>
      <w:r>
        <w:rPr>
          <w:rFonts w:hint="eastAsia" w:cs="仿宋_GB2312" w:asciiTheme="majorEastAsia" w:hAnsiTheme="majorEastAsia" w:eastAsiaTheme="majorEastAsia"/>
          <w:color w:val="auto"/>
          <w:kern w:val="0"/>
          <w:sz w:val="24"/>
          <w:lang w:val="zh-CN"/>
        </w:rPr>
        <w:t>授权代表根据磋商文件规定及磋商响应内容而对采购人、采购机构所作的任何合法承诺，包括书面澄清及相应等均对联合投标各方产生约束力。</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三、本次联合磋商中，分工如下：</w:t>
      </w:r>
      <w:r>
        <w:rPr>
          <w:rFonts w:hint="eastAsia" w:cs="仿宋_GB2312" w:asciiTheme="majorEastAsia" w:hAnsiTheme="majorEastAsia" w:eastAsiaTheme="majorEastAsia"/>
          <w:color w:val="auto"/>
          <w:kern w:val="0"/>
          <w:sz w:val="24"/>
          <w:u w:val="single"/>
        </w:rPr>
        <w:t>（联合体其中一方成员名称）</w:t>
      </w:r>
      <w:r>
        <w:rPr>
          <w:rFonts w:hint="eastAsia" w:cs="仿宋_GB2312" w:asciiTheme="majorEastAsia" w:hAnsiTheme="majorEastAsia" w:eastAsiaTheme="majorEastAsia"/>
          <w:color w:val="auto"/>
          <w:kern w:val="0"/>
          <w:sz w:val="24"/>
          <w:lang w:val="zh-CN"/>
        </w:rPr>
        <w:t>承担的工作和义务为：；</w:t>
      </w:r>
      <w:r>
        <w:rPr>
          <w:rFonts w:cs="仿宋_GB2312" w:asciiTheme="majorEastAsia" w:hAnsiTheme="majorEastAsia" w:eastAsiaTheme="majorEastAsia"/>
          <w:color w:val="auto"/>
          <w:kern w:val="0"/>
          <w:sz w:val="24"/>
          <w:lang w:val="zh-CN"/>
        </w:rPr>
        <w:t>……。</w:t>
      </w:r>
    </w:p>
    <w:p>
      <w:pPr>
        <w:shd w:val="clear"/>
        <w:snapToGrid w:val="0"/>
        <w:spacing w:line="360" w:lineRule="auto"/>
        <w:ind w:firstLine="576"/>
        <w:rPr>
          <w:rFonts w:cs="仿宋_GB2312" w:asciiTheme="majorEastAsia" w:hAnsiTheme="majorEastAsia" w:eastAsiaTheme="majorEastAsia"/>
          <w:b/>
          <w:color w:val="auto"/>
          <w:kern w:val="0"/>
          <w:sz w:val="24"/>
          <w:lang w:val="zh-CN"/>
        </w:rPr>
      </w:pPr>
      <w:r>
        <w:rPr>
          <w:rFonts w:hint="eastAsia" w:cs="仿宋_GB2312" w:asciiTheme="majorEastAsia" w:hAnsiTheme="majorEastAsia" w:eastAsiaTheme="majorEastAsia"/>
          <w:color w:val="auto"/>
          <w:kern w:val="0"/>
          <w:sz w:val="24"/>
          <w:lang w:val="zh-CN"/>
        </w:rPr>
        <w:t>四、</w:t>
      </w:r>
      <w:r>
        <w:rPr>
          <w:rFonts w:hint="eastAsia" w:cs="仿宋_GB2312" w:asciiTheme="majorEastAsia" w:hAnsiTheme="majorEastAsia" w:eastAsiaTheme="majorEastAsia"/>
          <w:color w:val="auto"/>
          <w:kern w:val="0"/>
          <w:sz w:val="24"/>
          <w:u w:val="single"/>
        </w:rPr>
        <w:t>（联合体其中一方成员名称）</w:t>
      </w:r>
      <w:r>
        <w:rPr>
          <w:rFonts w:hint="eastAsia" w:cs="仿宋_GB2312" w:asciiTheme="majorEastAsia" w:hAnsiTheme="majorEastAsia" w:eastAsiaTheme="majorEastAsia"/>
          <w:color w:val="auto"/>
          <w:kern w:val="0"/>
          <w:sz w:val="24"/>
        </w:rPr>
        <w:t>提供的全部货物由小微企业制造，其合同份额占到合同总金额</w:t>
      </w:r>
      <w:r>
        <w:rPr>
          <w:rFonts w:cs="仿宋_GB2312" w:asciiTheme="majorEastAsia" w:hAnsiTheme="majorEastAsia" w:eastAsiaTheme="majorEastAsia"/>
          <w:color w:val="auto"/>
          <w:kern w:val="0"/>
          <w:sz w:val="24"/>
        </w:rPr>
        <w:t>%以上；</w:t>
      </w:r>
      <w:r>
        <w:rPr>
          <w:rFonts w:hint="eastAsia" w:cs="仿宋_GB2312" w:asciiTheme="majorEastAsia" w:hAnsiTheme="majorEastAsia" w:eastAsiaTheme="majorEastAsia"/>
          <w:color w:val="auto"/>
          <w:kern w:val="0"/>
          <w:sz w:val="24"/>
          <w:lang w:val="zh-CN"/>
        </w:rPr>
        <w:t>……。</w:t>
      </w:r>
      <w:r>
        <w:rPr>
          <w:rFonts w:hint="eastAsia" w:cs="仿宋_GB2312" w:asciiTheme="majorEastAsia" w:hAnsiTheme="majorEastAsia" w:eastAsiaTheme="majorEastAsia"/>
          <w:b/>
          <w:color w:val="auto"/>
          <w:kern w:val="0"/>
          <w:sz w:val="24"/>
          <w:lang w:val="zh-CN"/>
        </w:rPr>
        <w:t>（未预留份额专门面向中小企业采购的的采购项目，以及预留份额中的非预留部分采购包，接受联合体磋商的，联合体其中一方提供的货物全部由小微企业制造，且其合同份额占到合同总金额</w:t>
      </w:r>
      <w:r>
        <w:rPr>
          <w:rFonts w:cs="仿宋_GB2312" w:asciiTheme="majorEastAsia" w:hAnsiTheme="majorEastAsia" w:eastAsiaTheme="majorEastAsia"/>
          <w:b/>
          <w:color w:val="auto"/>
          <w:kern w:val="0"/>
          <w:sz w:val="24"/>
          <w:lang w:val="zh-CN"/>
        </w:rPr>
        <w:t xml:space="preserve"> 30%以上</w:t>
      </w:r>
      <w:r>
        <w:rPr>
          <w:rFonts w:hint="eastAsia" w:cs="仿宋_GB2312" w:asciiTheme="majorEastAsia" w:hAnsiTheme="majorEastAsia" w:eastAsiaTheme="majorEastAsia"/>
          <w:b/>
          <w:color w:val="auto"/>
          <w:kern w:val="0"/>
          <w:sz w:val="24"/>
          <w:lang w:val="zh-CN"/>
        </w:rPr>
        <w:t>，对联合体报价给予6</w:t>
      </w:r>
      <w:r>
        <w:rPr>
          <w:rFonts w:cs="仿宋_GB2312" w:asciiTheme="majorEastAsia" w:hAnsiTheme="majorEastAsia" w:eastAsiaTheme="majorEastAsia"/>
          <w:b/>
          <w:color w:val="auto"/>
          <w:kern w:val="0"/>
          <w:sz w:val="24"/>
          <w:lang w:val="zh-CN"/>
        </w:rPr>
        <w:t>%的扣除</w:t>
      </w:r>
      <w:r>
        <w:rPr>
          <w:rFonts w:hint="eastAsia" w:cs="仿宋_GB2312" w:asciiTheme="majorEastAsia" w:hAnsiTheme="majorEastAsia" w:eastAsiaTheme="majorEastAsia"/>
          <w:b/>
          <w:color w:val="auto"/>
          <w:kern w:val="0"/>
          <w:sz w:val="24"/>
          <w:lang w:val="zh-CN"/>
        </w:rPr>
        <w:t>，</w:t>
      </w:r>
      <w:r>
        <w:rPr>
          <w:rFonts w:cs="仿宋_GB2312" w:asciiTheme="majorEastAsia" w:hAnsiTheme="majorEastAsia" w:eastAsiaTheme="majorEastAsia"/>
          <w:b/>
          <w:color w:val="auto"/>
          <w:kern w:val="0"/>
          <w:sz w:val="24"/>
          <w:lang w:val="zh-CN"/>
        </w:rPr>
        <w:t>须提供</w:t>
      </w:r>
      <w:r>
        <w:rPr>
          <w:rFonts w:hint="eastAsia" w:cs="仿宋_GB2312" w:asciiTheme="majorEastAsia" w:hAnsiTheme="majorEastAsia" w:eastAsiaTheme="majorEastAsia"/>
          <w:b/>
          <w:color w:val="auto"/>
          <w:kern w:val="0"/>
          <w:sz w:val="24"/>
          <w:lang w:val="zh-CN"/>
        </w:rPr>
        <w:t>《</w:t>
      </w:r>
      <w:r>
        <w:rPr>
          <w:rFonts w:cs="仿宋_GB2312" w:asciiTheme="majorEastAsia" w:hAnsiTheme="majorEastAsia" w:eastAsiaTheme="majorEastAsia"/>
          <w:b/>
          <w:color w:val="auto"/>
          <w:kern w:val="0"/>
          <w:sz w:val="24"/>
          <w:lang w:val="zh-CN"/>
        </w:rPr>
        <w:t>中小企业声明函</w:t>
      </w:r>
      <w:r>
        <w:rPr>
          <w:rFonts w:hint="eastAsia" w:cs="仿宋_GB2312" w:asciiTheme="majorEastAsia" w:hAnsiTheme="majorEastAsia" w:eastAsiaTheme="majorEastAsia"/>
          <w:b/>
          <w:color w:val="auto"/>
          <w:kern w:val="0"/>
          <w:sz w:val="24"/>
          <w:lang w:val="zh-CN"/>
        </w:rPr>
        <w:t>》。）</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五、如果成交，</w:t>
      </w:r>
      <w:r>
        <w:rPr>
          <w:rFonts w:hint="eastAsia" w:asciiTheme="majorEastAsia" w:hAnsiTheme="majorEastAsia" w:eastAsiaTheme="majorEastAsia"/>
          <w:color w:val="auto"/>
          <w:sz w:val="24"/>
        </w:rPr>
        <w:t>联合体各成员方共同与采购人签订合同，并就采购合同约定的事项对采购人承担连带责任。</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六、有关本次联合磋商的其他事宜：</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cs="仿宋_GB2312" w:asciiTheme="majorEastAsia" w:hAnsiTheme="majorEastAsia" w:eastAsiaTheme="majorEastAsia"/>
          <w:color w:val="auto"/>
          <w:kern w:val="0"/>
          <w:sz w:val="24"/>
          <w:lang w:val="zh-CN"/>
        </w:rPr>
        <w:t>1、联合体各方不再单独参加或者与其</w:t>
      </w:r>
      <w:r>
        <w:rPr>
          <w:rFonts w:hint="eastAsia" w:cs="仿宋_GB2312" w:asciiTheme="majorEastAsia" w:hAnsiTheme="majorEastAsia" w:eastAsiaTheme="majorEastAsia"/>
          <w:color w:val="auto"/>
          <w:kern w:val="0"/>
          <w:sz w:val="24"/>
          <w:lang w:val="zh-CN"/>
        </w:rPr>
        <w:t>他磋商响应人另外组成联合体参加同一合同项下的政府采购活动。</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cs="仿宋_GB2312" w:asciiTheme="majorEastAsia" w:hAnsiTheme="majorEastAsia" w:eastAsiaTheme="majorEastAsia"/>
          <w:color w:val="auto"/>
          <w:kern w:val="0"/>
          <w:sz w:val="24"/>
          <w:lang w:val="zh-CN"/>
        </w:rPr>
        <w:t>2、联合体中有同类资质的各方按照联合体分工承担相同工作的，按照资质等级较低的磋商响应人确定资质等级。</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cs="仿宋_GB2312" w:asciiTheme="majorEastAsia" w:hAnsiTheme="majorEastAsia" w:eastAsiaTheme="majorEastAsia"/>
          <w:color w:val="auto"/>
          <w:kern w:val="0"/>
          <w:sz w:val="24"/>
          <w:lang w:val="zh-CN"/>
        </w:rPr>
        <w:t>3、本协议提交采购人、采购机构后，联合体各方不得以任何形式对上述内容进行修改或撤销。</w:t>
      </w:r>
    </w:p>
    <w:p>
      <w:pPr>
        <w:shd w:val="clear"/>
        <w:snapToGrid w:val="0"/>
        <w:spacing w:line="360" w:lineRule="auto"/>
        <w:jc w:val="right"/>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联合体成员名称</w:t>
      </w:r>
      <w:r>
        <w:rPr>
          <w:rFonts w:cs="仿宋_GB2312" w:asciiTheme="majorEastAsia" w:hAnsiTheme="majorEastAsia" w:eastAsiaTheme="majorEastAsia"/>
          <w:color w:val="auto"/>
          <w:kern w:val="0"/>
          <w:sz w:val="24"/>
          <w:lang w:val="zh-CN"/>
        </w:rPr>
        <w:t>(</w:t>
      </w:r>
      <w:r>
        <w:rPr>
          <w:rFonts w:hint="eastAsia" w:cs="仿宋_GB2312" w:asciiTheme="majorEastAsia" w:hAnsiTheme="majorEastAsia" w:eastAsiaTheme="majorEastAsia"/>
          <w:color w:val="auto"/>
          <w:kern w:val="0"/>
          <w:sz w:val="24"/>
          <w:lang w:val="zh-CN"/>
        </w:rPr>
        <w:t>盖公章</w:t>
      </w:r>
      <w:r>
        <w:rPr>
          <w:rFonts w:cs="仿宋_GB2312" w:asciiTheme="majorEastAsia" w:hAnsiTheme="majorEastAsia" w:eastAsiaTheme="majorEastAsia"/>
          <w:color w:val="auto"/>
          <w:kern w:val="0"/>
          <w:sz w:val="24"/>
          <w:lang w:val="zh-CN"/>
        </w:rPr>
        <w:t>/公章)：</w:t>
      </w:r>
    </w:p>
    <w:p>
      <w:pPr>
        <w:shd w:val="clear"/>
        <w:snapToGrid w:val="0"/>
        <w:spacing w:line="360" w:lineRule="auto"/>
        <w:ind w:firstLine="5760" w:firstLineChars="2400"/>
        <w:rPr>
          <w:rFonts w:asciiTheme="majorEastAsia" w:hAnsiTheme="majorEastAsia" w:eastAsiaTheme="majorEastAsia"/>
          <w:color w:val="auto"/>
        </w:rPr>
      </w:pPr>
      <w:r>
        <w:rPr>
          <w:rFonts w:hint="eastAsia" w:cs="仿宋_GB2312" w:asciiTheme="majorEastAsia" w:hAnsiTheme="majorEastAsia" w:eastAsiaTheme="majorEastAsia"/>
          <w:color w:val="auto"/>
          <w:kern w:val="0"/>
          <w:sz w:val="24"/>
          <w:lang w:val="zh-CN"/>
        </w:rPr>
        <w:t>……</w:t>
      </w:r>
    </w:p>
    <w:p>
      <w:pPr>
        <w:shd w:val="clear"/>
        <w:snapToGrid w:val="0"/>
        <w:spacing w:line="360" w:lineRule="auto"/>
        <w:rPr>
          <w:rFonts w:cs="仿宋_GB2312" w:asciiTheme="majorEastAsia" w:hAnsiTheme="majorEastAsia" w:eastAsiaTheme="majorEastAsia"/>
          <w:color w:val="auto"/>
          <w:kern w:val="0"/>
          <w:sz w:val="24"/>
          <w:lang w:val="zh-CN"/>
        </w:rPr>
      </w:pPr>
      <w:r>
        <w:rPr>
          <w:rFonts w:cs="仿宋_GB2312" w:asciiTheme="majorEastAsia" w:hAnsiTheme="majorEastAsia" w:eastAsiaTheme="majorEastAsia"/>
          <w:color w:val="auto"/>
          <w:kern w:val="0"/>
          <w:sz w:val="24"/>
          <w:lang w:val="zh-CN"/>
        </w:rPr>
        <w:t xml:space="preserve">                                               日期：  年  月   日</w:t>
      </w:r>
    </w:p>
    <w:p>
      <w:pPr>
        <w:shd w:val="clear"/>
        <w:spacing w:line="360" w:lineRule="auto"/>
        <w:rPr>
          <w:rFonts w:cs="仿宋_GB2312" w:asciiTheme="majorEastAsia" w:hAnsiTheme="majorEastAsia" w:eastAsiaTheme="majorEastAsia"/>
          <w:b/>
          <w:color w:val="auto"/>
          <w:kern w:val="0"/>
          <w:sz w:val="32"/>
          <w:szCs w:val="32"/>
          <w:lang w:val="zh-CN"/>
        </w:rPr>
      </w:pPr>
      <w:r>
        <w:rPr>
          <w:rFonts w:hint="eastAsia" w:cs="仿宋_GB2312" w:asciiTheme="majorEastAsia" w:hAnsiTheme="majorEastAsia" w:eastAsiaTheme="majorEastAsia"/>
          <w:b/>
          <w:color w:val="auto"/>
          <w:kern w:val="0"/>
          <w:sz w:val="32"/>
          <w:szCs w:val="32"/>
          <w:lang w:val="zh-CN"/>
        </w:rPr>
        <w:t>17、分包意向协议</w:t>
      </w:r>
    </w:p>
    <w:p>
      <w:pPr>
        <w:widowControl/>
        <w:shd w:val="clear"/>
        <w:spacing w:line="360" w:lineRule="auto"/>
        <w:ind w:firstLine="120" w:firstLineChars="50"/>
        <w:jc w:val="left"/>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w:t>
      </w:r>
      <w:r>
        <w:rPr>
          <w:rFonts w:hint="eastAsia" w:cs="仿宋_GB2312" w:asciiTheme="majorEastAsia" w:hAnsiTheme="majorEastAsia" w:eastAsiaTheme="majorEastAsia"/>
          <w:b/>
          <w:color w:val="auto"/>
          <w:sz w:val="24"/>
        </w:rPr>
        <w:t>成交后以分包方式履行合同的，提供分包意向协议；采购人不同意分包或者磋商响应人成交后不以分包方式履行合同的，则不需要提供。</w:t>
      </w:r>
      <w:r>
        <w:rPr>
          <w:rFonts w:hint="eastAsia" w:cs="仿宋_GB2312" w:asciiTheme="majorEastAsia" w:hAnsiTheme="majorEastAsia" w:eastAsiaTheme="majorEastAsia"/>
          <w:color w:val="auto"/>
          <w:sz w:val="24"/>
        </w:rPr>
        <w:t>）</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u w:val="single"/>
        </w:rPr>
        <w:t>（磋商响应人名称）</w:t>
      </w:r>
      <w:r>
        <w:rPr>
          <w:rFonts w:hint="eastAsia" w:cs="仿宋_GB2312" w:asciiTheme="majorEastAsia" w:hAnsiTheme="majorEastAsia" w:eastAsiaTheme="majorEastAsia"/>
          <w:color w:val="auto"/>
          <w:kern w:val="0"/>
          <w:sz w:val="24"/>
          <w:lang w:val="zh-CN"/>
        </w:rPr>
        <w:t>若成为</w:t>
      </w:r>
      <w:r>
        <w:rPr>
          <w:rFonts w:hint="eastAsia" w:cs="仿宋_GB2312" w:asciiTheme="majorEastAsia" w:hAnsiTheme="majorEastAsia" w:eastAsiaTheme="majorEastAsia"/>
          <w:color w:val="auto"/>
          <w:sz w:val="24"/>
        </w:rPr>
        <w:t>（项目名称）【磋商编号：</w:t>
      </w:r>
      <w:r>
        <w:rPr>
          <w:rFonts w:hint="eastAsia" w:asciiTheme="majorEastAsia" w:hAnsiTheme="majorEastAsia" w:eastAsiaTheme="majorEastAsia"/>
          <w:color w:val="auto"/>
          <w:sz w:val="24"/>
        </w:rPr>
        <w:t>（采购编号）</w:t>
      </w:r>
      <w:r>
        <w:rPr>
          <w:rFonts w:hint="eastAsia" w:cs="仿宋_GB2312" w:asciiTheme="majorEastAsia" w:hAnsiTheme="majorEastAsia" w:eastAsiaTheme="majorEastAsia"/>
          <w:color w:val="auto"/>
          <w:sz w:val="24"/>
        </w:rPr>
        <w:t>】</w:t>
      </w:r>
      <w:r>
        <w:rPr>
          <w:rFonts w:hint="eastAsia" w:cs="仿宋_GB2312" w:asciiTheme="majorEastAsia" w:hAnsiTheme="majorEastAsia" w:eastAsiaTheme="majorEastAsia"/>
          <w:color w:val="auto"/>
          <w:kern w:val="0"/>
          <w:sz w:val="24"/>
          <w:lang w:val="zh-CN"/>
        </w:rPr>
        <w:t>的成交供应商，将依法采取分包方式履行合同。</w:t>
      </w:r>
      <w:r>
        <w:rPr>
          <w:rFonts w:hint="eastAsia" w:cs="仿宋_GB2312" w:asciiTheme="majorEastAsia" w:hAnsiTheme="majorEastAsia" w:eastAsiaTheme="majorEastAsia"/>
          <w:color w:val="auto"/>
          <w:kern w:val="0"/>
          <w:sz w:val="24"/>
          <w:u w:val="single"/>
        </w:rPr>
        <w:t>（磋商响应人名称）</w:t>
      </w:r>
      <w:r>
        <w:rPr>
          <w:rFonts w:hint="eastAsia" w:cs="仿宋_GB2312" w:asciiTheme="majorEastAsia" w:hAnsiTheme="majorEastAsia" w:eastAsiaTheme="majorEastAsia"/>
          <w:color w:val="auto"/>
          <w:kern w:val="0"/>
          <w:sz w:val="24"/>
        </w:rPr>
        <w:t>与</w:t>
      </w:r>
      <w:r>
        <w:rPr>
          <w:rFonts w:hint="eastAsia" w:cs="仿宋_GB2312" w:asciiTheme="majorEastAsia" w:hAnsiTheme="majorEastAsia" w:eastAsiaTheme="majorEastAsia"/>
          <w:color w:val="auto"/>
          <w:kern w:val="0"/>
          <w:sz w:val="24"/>
          <w:u w:val="single"/>
        </w:rPr>
        <w:t>（所有分包磋商响应人名称）</w:t>
      </w:r>
      <w:r>
        <w:rPr>
          <w:rFonts w:hint="eastAsia" w:cs="仿宋_GB2312" w:asciiTheme="majorEastAsia" w:hAnsiTheme="majorEastAsia" w:eastAsiaTheme="majorEastAsia"/>
          <w:color w:val="auto"/>
          <w:kern w:val="0"/>
          <w:sz w:val="24"/>
        </w:rPr>
        <w:t>达成分包意向协议</w:t>
      </w:r>
      <w:r>
        <w:rPr>
          <w:rFonts w:hint="eastAsia" w:cs="仿宋_GB2312" w:asciiTheme="majorEastAsia" w:hAnsiTheme="majorEastAsia" w:eastAsiaTheme="majorEastAsia"/>
          <w:color w:val="auto"/>
          <w:kern w:val="0"/>
          <w:sz w:val="24"/>
          <w:lang w:val="zh-CN"/>
        </w:rPr>
        <w:t>。</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一、分包标的及数量</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u w:val="single"/>
        </w:rPr>
        <w:t>（磋商响应人名称）</w:t>
      </w:r>
      <w:r>
        <w:rPr>
          <w:rFonts w:hint="eastAsia" w:cs="仿宋_GB2312" w:asciiTheme="majorEastAsia" w:hAnsiTheme="majorEastAsia" w:eastAsiaTheme="majorEastAsia"/>
          <w:color w:val="auto"/>
          <w:kern w:val="0"/>
          <w:sz w:val="24"/>
          <w:lang w:val="zh-CN"/>
        </w:rPr>
        <w:t>将</w:t>
      </w:r>
      <w:r>
        <w:rPr>
          <w:rFonts w:asciiTheme="majorEastAsia" w:hAnsiTheme="majorEastAsia" w:eastAsiaTheme="majorEastAsia"/>
          <w:color w:val="auto"/>
          <w:u w:val="single"/>
        </w:rPr>
        <w:t xml:space="preserve">   XX工作内容   </w:t>
      </w:r>
      <w:r>
        <w:rPr>
          <w:rFonts w:hint="eastAsia" w:cs="Arial" w:asciiTheme="majorEastAsia" w:hAnsiTheme="majorEastAsia" w:eastAsiaTheme="majorEastAsia"/>
          <w:color w:val="auto"/>
          <w:sz w:val="24"/>
        </w:rPr>
        <w:t>分包给</w:t>
      </w:r>
      <w:r>
        <w:rPr>
          <w:rFonts w:hint="eastAsia" w:cs="仿宋_GB2312" w:asciiTheme="majorEastAsia" w:hAnsiTheme="majorEastAsia" w:eastAsiaTheme="majorEastAsia"/>
          <w:color w:val="auto"/>
          <w:kern w:val="0"/>
          <w:sz w:val="24"/>
          <w:u w:val="single"/>
        </w:rPr>
        <w:t>（某分包磋商响应人名称）</w:t>
      </w:r>
      <w:r>
        <w:rPr>
          <w:rFonts w:hint="eastAsia" w:cs="仿宋_GB2312" w:asciiTheme="majorEastAsia" w:hAnsiTheme="majorEastAsia" w:eastAsiaTheme="majorEastAsia"/>
          <w:color w:val="auto"/>
          <w:kern w:val="0"/>
          <w:sz w:val="24"/>
          <w:lang w:val="zh-CN"/>
        </w:rPr>
        <w:t>，</w:t>
      </w:r>
      <w:r>
        <w:rPr>
          <w:rFonts w:hint="eastAsia" w:cs="仿宋_GB2312" w:asciiTheme="majorEastAsia" w:hAnsiTheme="majorEastAsia" w:eastAsiaTheme="majorEastAsia"/>
          <w:color w:val="auto"/>
          <w:kern w:val="0"/>
          <w:sz w:val="24"/>
          <w:u w:val="single"/>
        </w:rPr>
        <w:t>（某分包磋商响应人名称），</w:t>
      </w:r>
      <w:r>
        <w:rPr>
          <w:rFonts w:hint="eastAsia" w:cs="仿宋_GB2312" w:asciiTheme="majorEastAsia" w:hAnsiTheme="majorEastAsia" w:eastAsiaTheme="majorEastAsia"/>
          <w:color w:val="auto"/>
          <w:kern w:val="0"/>
          <w:sz w:val="24"/>
          <w:lang w:val="zh-CN"/>
        </w:rPr>
        <w:t>具备承</w:t>
      </w:r>
      <w:r>
        <w:rPr>
          <w:rFonts w:hint="eastAsia" w:cs="仿宋_GB2312" w:asciiTheme="majorEastAsia" w:hAnsiTheme="majorEastAsia" w:eastAsiaTheme="majorEastAsia"/>
          <w:color w:val="auto"/>
          <w:kern w:val="0"/>
          <w:sz w:val="24"/>
        </w:rPr>
        <w:t>担</w:t>
      </w:r>
      <w:r>
        <w:rPr>
          <w:rFonts w:cs="仿宋_GB2312" w:asciiTheme="majorEastAsia" w:hAnsiTheme="majorEastAsia" w:eastAsiaTheme="majorEastAsia"/>
          <w:color w:val="auto"/>
          <w:kern w:val="0"/>
          <w:sz w:val="24"/>
          <w:u w:val="single"/>
          <w:lang w:val="zh-CN"/>
        </w:rPr>
        <w:t>XX工作内容</w:t>
      </w:r>
      <w:r>
        <w:rPr>
          <w:rFonts w:hint="eastAsia" w:cs="仿宋_GB2312" w:asciiTheme="majorEastAsia" w:hAnsiTheme="majorEastAsia" w:eastAsiaTheme="majorEastAsia"/>
          <w:color w:val="auto"/>
          <w:kern w:val="0"/>
          <w:sz w:val="24"/>
          <w:lang w:val="zh-CN"/>
        </w:rPr>
        <w:t>相应资质条件且不得再次分包；</w:t>
      </w:r>
    </w:p>
    <w:p>
      <w:pPr>
        <w:shd w:val="clear"/>
        <w:snapToGrid w:val="0"/>
        <w:spacing w:line="360" w:lineRule="auto"/>
        <w:ind w:firstLine="576"/>
        <w:rPr>
          <w:rFonts w:asciiTheme="majorEastAsia" w:hAnsiTheme="majorEastAsia" w:eastAsiaTheme="majorEastAsia"/>
          <w:color w:val="auto"/>
        </w:rPr>
      </w:pPr>
      <w:r>
        <w:rPr>
          <w:rFonts w:hint="eastAsia" w:cs="仿宋_GB2312" w:asciiTheme="majorEastAsia" w:hAnsiTheme="majorEastAsia" w:eastAsiaTheme="majorEastAsia"/>
          <w:color w:val="auto"/>
          <w:kern w:val="0"/>
          <w:sz w:val="24"/>
        </w:rPr>
        <w:t>……</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二、分包工作履行期限、地点、方式</w:t>
      </w:r>
    </w:p>
    <w:p>
      <w:pPr>
        <w:shd w:val="clear"/>
        <w:snapToGrid w:val="0"/>
        <w:spacing w:line="360" w:lineRule="auto"/>
        <w:ind w:firstLine="576"/>
        <w:rPr>
          <w:rFonts w:asciiTheme="majorEastAsia" w:hAnsiTheme="majorEastAsia" w:eastAsiaTheme="majorEastAsia"/>
          <w:color w:val="auto"/>
          <w:u w:val="single"/>
        </w:rPr>
      </w:pP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三、质量</w:t>
      </w:r>
    </w:p>
    <w:p>
      <w:pPr>
        <w:shd w:val="clear"/>
        <w:snapToGrid w:val="0"/>
        <w:spacing w:line="360" w:lineRule="auto"/>
        <w:ind w:firstLine="576"/>
        <w:rPr>
          <w:rFonts w:cs="仿宋_GB2312" w:asciiTheme="majorEastAsia" w:hAnsiTheme="majorEastAsia" w:eastAsiaTheme="majorEastAsia"/>
          <w:color w:val="auto"/>
          <w:kern w:val="0"/>
          <w:sz w:val="24"/>
          <w:lang w:val="zh-CN"/>
        </w:rPr>
      </w:pP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四、价款或者报酬</w:t>
      </w:r>
    </w:p>
    <w:p>
      <w:pPr>
        <w:shd w:val="clear"/>
        <w:snapToGrid w:val="0"/>
        <w:spacing w:line="360" w:lineRule="auto"/>
        <w:ind w:left="573" w:leftChars="273"/>
        <w:rPr>
          <w:rFonts w:cs="仿宋_GB2312" w:asciiTheme="majorEastAsia" w:hAnsiTheme="majorEastAsia" w:eastAsiaTheme="majorEastAsia"/>
          <w:color w:val="auto"/>
          <w:kern w:val="0"/>
          <w:sz w:val="24"/>
          <w:lang w:val="zh-CN"/>
        </w:rPr>
      </w:pPr>
    </w:p>
    <w:p>
      <w:pPr>
        <w:shd w:val="clear"/>
        <w:snapToGrid w:val="0"/>
        <w:spacing w:line="360" w:lineRule="auto"/>
        <w:ind w:left="573" w:leftChars="273"/>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五、违约责任</w:t>
      </w:r>
    </w:p>
    <w:p>
      <w:pPr>
        <w:shd w:val="clear"/>
        <w:snapToGrid w:val="0"/>
        <w:spacing w:line="360" w:lineRule="auto"/>
        <w:ind w:firstLine="576"/>
        <w:rPr>
          <w:rFonts w:cs="仿宋_GB2312" w:asciiTheme="majorEastAsia" w:hAnsiTheme="majorEastAsia" w:eastAsiaTheme="majorEastAsia"/>
          <w:color w:val="auto"/>
          <w:kern w:val="0"/>
          <w:sz w:val="24"/>
          <w:lang w:val="zh-CN"/>
        </w:rPr>
      </w:pP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六、争议解决的办法</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七、其他</w:t>
      </w:r>
    </w:p>
    <w:p>
      <w:pPr>
        <w:shd w:val="clear"/>
        <w:snapToGrid w:val="0"/>
        <w:spacing w:line="360" w:lineRule="auto"/>
        <w:ind w:firstLine="576"/>
        <w:rPr>
          <w:rFonts w:cs="仿宋_GB2312" w:asciiTheme="majorEastAsia" w:hAnsiTheme="majorEastAsia" w:eastAsiaTheme="majorEastAsia"/>
          <w:b/>
          <w:color w:val="auto"/>
          <w:kern w:val="0"/>
          <w:sz w:val="24"/>
          <w:lang w:val="zh-CN"/>
        </w:rPr>
      </w:pPr>
      <w:r>
        <w:rPr>
          <w:rFonts w:hint="eastAsia" w:cs="仿宋_GB2312" w:asciiTheme="majorEastAsia" w:hAnsiTheme="majorEastAsia" w:eastAsiaTheme="majorEastAsia"/>
          <w:color w:val="auto"/>
          <w:kern w:val="0"/>
          <w:sz w:val="24"/>
          <w:u w:val="single"/>
        </w:rPr>
        <w:t>（分包磋商响应人名称）提供的货物全部由小微企业制造，</w:t>
      </w:r>
      <w:r>
        <w:rPr>
          <w:rFonts w:hint="eastAsia" w:cs="仿宋_GB2312" w:asciiTheme="majorEastAsia" w:hAnsiTheme="majorEastAsia" w:eastAsiaTheme="majorEastAsia"/>
          <w:color w:val="auto"/>
          <w:kern w:val="0"/>
          <w:sz w:val="24"/>
        </w:rPr>
        <w:t>其合同份额占到合同总金额</w:t>
      </w:r>
      <w:r>
        <w:rPr>
          <w:rFonts w:cs="仿宋_GB2312" w:asciiTheme="majorEastAsia" w:hAnsiTheme="majorEastAsia" w:eastAsiaTheme="majorEastAsia"/>
          <w:color w:val="auto"/>
          <w:kern w:val="0"/>
          <w:sz w:val="24"/>
        </w:rPr>
        <w:t>%以上</w:t>
      </w:r>
      <w:r>
        <w:rPr>
          <w:rFonts w:hint="eastAsia" w:asciiTheme="majorEastAsia" w:hAnsiTheme="majorEastAsia" w:eastAsiaTheme="majorEastAsia"/>
          <w:color w:val="auto"/>
        </w:rPr>
        <w:t>。</w:t>
      </w:r>
      <w:r>
        <w:rPr>
          <w:rFonts w:hint="eastAsia" w:cs="仿宋_GB2312" w:asciiTheme="majorEastAsia" w:hAnsiTheme="majorEastAsia" w:eastAsiaTheme="majorEastAsia"/>
          <w:b/>
          <w:color w:val="auto"/>
          <w:kern w:val="0"/>
          <w:sz w:val="24"/>
          <w:lang w:val="zh-CN"/>
        </w:rPr>
        <w:t>（未预留份额专门面向中小企业采购的的采购项目，以及预留份额中的非预留部分采购包，允许分包的，分包磋商响应人提供的货物全部由小微企业制造，且其合同份额占到合同总金额</w:t>
      </w:r>
      <w:r>
        <w:rPr>
          <w:rFonts w:cs="仿宋_GB2312" w:asciiTheme="majorEastAsia" w:hAnsiTheme="majorEastAsia" w:eastAsiaTheme="majorEastAsia"/>
          <w:b/>
          <w:color w:val="auto"/>
          <w:kern w:val="0"/>
          <w:sz w:val="24"/>
          <w:lang w:val="zh-CN"/>
        </w:rPr>
        <w:t xml:space="preserve"> 30%以上</w:t>
      </w:r>
      <w:r>
        <w:rPr>
          <w:rFonts w:hint="eastAsia" w:cs="仿宋_GB2312" w:asciiTheme="majorEastAsia" w:hAnsiTheme="majorEastAsia" w:eastAsiaTheme="majorEastAsia"/>
          <w:b/>
          <w:color w:val="auto"/>
          <w:kern w:val="0"/>
          <w:sz w:val="24"/>
          <w:lang w:val="zh-CN"/>
        </w:rPr>
        <w:t>的，对大中型企业的报价给予6</w:t>
      </w:r>
      <w:r>
        <w:rPr>
          <w:rFonts w:cs="仿宋_GB2312" w:asciiTheme="majorEastAsia" w:hAnsiTheme="majorEastAsia" w:eastAsiaTheme="majorEastAsia"/>
          <w:b/>
          <w:color w:val="auto"/>
          <w:kern w:val="0"/>
          <w:sz w:val="24"/>
          <w:lang w:val="zh-CN"/>
        </w:rPr>
        <w:t>%的扣除</w:t>
      </w:r>
      <w:r>
        <w:rPr>
          <w:rFonts w:hint="eastAsia" w:cs="仿宋_GB2312" w:asciiTheme="majorEastAsia" w:hAnsiTheme="majorEastAsia" w:eastAsiaTheme="majorEastAsia"/>
          <w:b/>
          <w:color w:val="auto"/>
          <w:kern w:val="0"/>
          <w:sz w:val="24"/>
          <w:lang w:val="zh-CN"/>
        </w:rPr>
        <w:t>）</w:t>
      </w:r>
    </w:p>
    <w:p>
      <w:pPr>
        <w:shd w:val="clear"/>
        <w:snapToGrid w:val="0"/>
        <w:spacing w:line="360" w:lineRule="auto"/>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磋商响应人</w:t>
      </w:r>
      <w:r>
        <w:rPr>
          <w:rFonts w:cs="仿宋_GB2312" w:asciiTheme="majorEastAsia" w:hAnsiTheme="majorEastAsia" w:eastAsiaTheme="majorEastAsia"/>
          <w:color w:val="auto"/>
          <w:kern w:val="0"/>
          <w:sz w:val="24"/>
          <w:lang w:val="zh-CN"/>
        </w:rPr>
        <w:t>名称(</w:t>
      </w:r>
      <w:r>
        <w:rPr>
          <w:rFonts w:hint="eastAsia" w:cs="仿宋_GB2312" w:asciiTheme="majorEastAsia" w:hAnsiTheme="majorEastAsia" w:eastAsiaTheme="majorEastAsia"/>
          <w:color w:val="auto"/>
          <w:kern w:val="0"/>
          <w:sz w:val="24"/>
          <w:lang w:val="zh-CN"/>
        </w:rPr>
        <w:t>盖公章</w:t>
      </w:r>
      <w:r>
        <w:rPr>
          <w:rFonts w:cs="仿宋_GB2312" w:asciiTheme="majorEastAsia" w:hAnsiTheme="majorEastAsia" w:eastAsiaTheme="majorEastAsia"/>
          <w:color w:val="auto"/>
          <w:kern w:val="0"/>
          <w:sz w:val="24"/>
          <w:lang w:val="zh-CN"/>
        </w:rPr>
        <w:t>)：</w:t>
      </w:r>
    </w:p>
    <w:p>
      <w:pPr>
        <w:shd w:val="clear"/>
        <w:snapToGrid w:val="0"/>
        <w:spacing w:line="360" w:lineRule="auto"/>
        <w:ind w:firstLine="5640" w:firstLineChars="2350"/>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分包磋商响应人名称：</w:t>
      </w:r>
    </w:p>
    <w:p>
      <w:pPr>
        <w:shd w:val="clear"/>
        <w:snapToGrid w:val="0"/>
        <w:spacing w:line="360" w:lineRule="auto"/>
        <w:rPr>
          <w:rFonts w:cs="仿宋_GB2312" w:asciiTheme="majorEastAsia" w:hAnsiTheme="majorEastAsia" w:eastAsiaTheme="majorEastAsia"/>
          <w:color w:val="auto"/>
          <w:kern w:val="0"/>
          <w:sz w:val="24"/>
          <w:lang w:val="zh-CN"/>
        </w:rPr>
      </w:pPr>
      <w:r>
        <w:rPr>
          <w:rFonts w:cs="仿宋_GB2312" w:asciiTheme="majorEastAsia" w:hAnsiTheme="majorEastAsia" w:eastAsiaTheme="majorEastAsia"/>
          <w:color w:val="auto"/>
          <w:kern w:val="0"/>
          <w:sz w:val="24"/>
          <w:lang w:val="zh-CN"/>
        </w:rPr>
        <w:t xml:space="preserve">                                               日期：  年  月   日</w:t>
      </w:r>
    </w:p>
    <w:p>
      <w:pPr>
        <w:pageBreakBefore/>
        <w:shd w:val="clear"/>
        <w:spacing w:line="360" w:lineRule="auto"/>
        <w:rPr>
          <w:rFonts w:cs="仿宋_GB2312" w:asciiTheme="majorEastAsia" w:hAnsiTheme="majorEastAsia" w:eastAsiaTheme="majorEastAsia"/>
          <w:b/>
          <w:color w:val="auto"/>
          <w:kern w:val="0"/>
          <w:sz w:val="32"/>
          <w:szCs w:val="32"/>
          <w:lang w:val="zh-CN"/>
        </w:rPr>
      </w:pPr>
      <w:r>
        <w:rPr>
          <w:rFonts w:hint="eastAsia" w:cs="仿宋_GB2312" w:asciiTheme="majorEastAsia" w:hAnsiTheme="majorEastAsia" w:eastAsiaTheme="majorEastAsia"/>
          <w:b/>
          <w:color w:val="auto"/>
          <w:kern w:val="0"/>
          <w:sz w:val="32"/>
          <w:szCs w:val="32"/>
          <w:lang w:val="zh-CN"/>
        </w:rPr>
        <w:t>18、落实政府采购政策需满足的资格要求</w:t>
      </w:r>
    </w:p>
    <w:p>
      <w:pPr>
        <w:shd w:val="clear"/>
        <w:spacing w:line="440" w:lineRule="exact"/>
        <w:rPr>
          <w:rFonts w:asciiTheme="majorEastAsia" w:hAnsiTheme="majorEastAsia" w:eastAsiaTheme="majorEastAsia"/>
          <w:b/>
          <w:color w:val="auto"/>
          <w:sz w:val="24"/>
        </w:rPr>
      </w:pPr>
      <w:r>
        <w:rPr>
          <w:rFonts w:hint="eastAsia" w:cs="仿宋_GB2312" w:asciiTheme="majorEastAsia" w:hAnsiTheme="majorEastAsia" w:eastAsiaTheme="majorEastAsia"/>
          <w:b/>
          <w:color w:val="auto"/>
          <w:sz w:val="24"/>
        </w:rPr>
        <w:t>（根据磋商公告</w:t>
      </w:r>
      <w:r>
        <w:rPr>
          <w:rFonts w:hint="eastAsia" w:asciiTheme="majorEastAsia" w:hAnsiTheme="majorEastAsia" w:eastAsiaTheme="majorEastAsia"/>
          <w:b/>
          <w:color w:val="auto"/>
          <w:sz w:val="24"/>
        </w:rPr>
        <w:t>落实政府采购政策需满足的资格要求选择提供相应的材料；未要求的，无需提供</w:t>
      </w:r>
      <w:r>
        <w:rPr>
          <w:rFonts w:hint="eastAsia" w:cs="仿宋_GB2312" w:asciiTheme="majorEastAsia" w:hAnsiTheme="majorEastAsia" w:eastAsiaTheme="majorEastAsia"/>
          <w:b/>
          <w:color w:val="auto"/>
          <w:sz w:val="24"/>
        </w:rPr>
        <w:t>）</w:t>
      </w:r>
    </w:p>
    <w:p>
      <w:pPr>
        <w:shd w:val="clear"/>
        <w:snapToGrid w:val="0"/>
        <w:spacing w:line="440" w:lineRule="exact"/>
        <w:ind w:firstLine="472" w:firstLineChars="196"/>
        <w:jc w:val="left"/>
        <w:rPr>
          <w:rFonts w:cs="仿宋_GB2312" w:asciiTheme="majorEastAsia" w:hAnsiTheme="majorEastAsia" w:eastAsiaTheme="majorEastAsia"/>
          <w:color w:val="auto"/>
          <w:sz w:val="24"/>
        </w:rPr>
      </w:pPr>
      <w:r>
        <w:rPr>
          <w:rFonts w:cs="仿宋_GB2312" w:asciiTheme="majorEastAsia" w:hAnsiTheme="majorEastAsia" w:eastAsiaTheme="majorEastAsia"/>
          <w:b/>
          <w:color w:val="auto"/>
          <w:sz w:val="24"/>
        </w:rPr>
        <w:t>A</w:t>
      </w:r>
      <w:r>
        <w:rPr>
          <w:rFonts w:cs="仿宋_GB2312" w:asciiTheme="majorEastAsia" w:hAnsiTheme="majorEastAsia" w:eastAsiaTheme="majorEastAsia"/>
          <w:color w:val="auto"/>
          <w:sz w:val="24"/>
        </w:rPr>
        <w:t>.</w:t>
      </w:r>
      <w:r>
        <w:rPr>
          <w:rFonts w:hint="eastAsia" w:cs="仿宋_GB2312" w:asciiTheme="majorEastAsia" w:hAnsiTheme="majorEastAsia" w:eastAsiaTheme="majorEastAsia"/>
          <w:color w:val="auto"/>
          <w:sz w:val="24"/>
        </w:rPr>
        <w:t>专门面向中小企业，货物全部由符合政策要求的中小企业（或小微企业）制造或者服务全部由符合政策要求的中小企业（或小微企业）承接的，提供相应的</w:t>
      </w:r>
      <w:r>
        <w:rPr>
          <w:rFonts w:hint="eastAsia" w:cs="仿宋_GB2312" w:asciiTheme="majorEastAsia" w:hAnsiTheme="majorEastAsia" w:eastAsiaTheme="majorEastAsia"/>
          <w:b/>
          <w:color w:val="auto"/>
          <w:sz w:val="24"/>
        </w:rPr>
        <w:t>中小企业声明函</w:t>
      </w:r>
      <w:r>
        <w:rPr>
          <w:rFonts w:hint="eastAsia" w:cs="仿宋_GB2312" w:asciiTheme="majorEastAsia" w:hAnsiTheme="majorEastAsia" w:eastAsiaTheme="majorEastAsia"/>
          <w:color w:val="auto"/>
          <w:sz w:val="24"/>
        </w:rPr>
        <w:t>（附件）。</w:t>
      </w:r>
    </w:p>
    <w:p>
      <w:pPr>
        <w:widowControl/>
        <w:shd w:val="clear"/>
        <w:spacing w:line="440" w:lineRule="exact"/>
        <w:ind w:firstLine="472" w:firstLineChars="196"/>
        <w:jc w:val="left"/>
        <w:rPr>
          <w:rFonts w:cs="仿宋_GB2312" w:asciiTheme="majorEastAsia" w:hAnsiTheme="majorEastAsia" w:eastAsiaTheme="majorEastAsia"/>
          <w:color w:val="auto"/>
          <w:sz w:val="24"/>
        </w:rPr>
      </w:pPr>
      <w:r>
        <w:rPr>
          <w:rFonts w:cs="仿宋_GB2312" w:asciiTheme="majorEastAsia" w:hAnsiTheme="majorEastAsia" w:eastAsiaTheme="majorEastAsia"/>
          <w:b/>
          <w:color w:val="auto"/>
          <w:sz w:val="24"/>
        </w:rPr>
        <w:t>B.</w:t>
      </w:r>
      <w:r>
        <w:rPr>
          <w:rFonts w:hint="eastAsia" w:cs="仿宋_GB2312" w:asciiTheme="majorEastAsia" w:hAnsiTheme="majorEastAsia" w:eastAsiaTheme="majorEastAsia"/>
          <w:color w:val="auto"/>
          <w:sz w:val="24"/>
        </w:rPr>
        <w:t>要求以联合体形式参加的，提供联合协议和</w:t>
      </w:r>
      <w:r>
        <w:rPr>
          <w:rFonts w:hint="eastAsia" w:cs="仿宋_GB2312" w:asciiTheme="majorEastAsia" w:hAnsiTheme="majorEastAsia" w:eastAsiaTheme="majorEastAsia"/>
          <w:b/>
          <w:color w:val="auto"/>
          <w:sz w:val="24"/>
        </w:rPr>
        <w:t>中小企业声明函</w:t>
      </w:r>
      <w:r>
        <w:rPr>
          <w:rFonts w:hint="eastAsia" w:cs="仿宋_GB2312" w:asciiTheme="majorEastAsia" w:hAnsiTheme="majorEastAsia" w:eastAsiaTheme="majorEastAsia"/>
          <w:color w:val="auto"/>
          <w:sz w:val="24"/>
        </w:rPr>
        <w:t>（附件），联合协议中中小企业合同金额应当达到磋商公告载明的比例；如果磋商响应人本身提供所有标的均由中小企业制造或承接的，视同符合了资格条件，无需再与其他中小企业组成联合体参加政府采购活动，无需提供联合协议。</w:t>
      </w:r>
    </w:p>
    <w:p>
      <w:pPr>
        <w:shd w:val="clear"/>
        <w:adjustRightInd w:val="0"/>
        <w:snapToGrid w:val="0"/>
        <w:spacing w:before="50" w:after="50" w:line="360" w:lineRule="auto"/>
        <w:jc w:val="center"/>
        <w:rPr>
          <w:rFonts w:cs="仿宋_GB2312" w:asciiTheme="majorEastAsia" w:hAnsiTheme="majorEastAsia" w:eastAsiaTheme="majorEastAsia"/>
          <w:b/>
          <w:color w:val="auto"/>
          <w:kern w:val="0"/>
          <w:sz w:val="32"/>
          <w:szCs w:val="32"/>
          <w:lang w:val="zh-CN"/>
        </w:rPr>
      </w:pPr>
    </w:p>
    <w:p>
      <w:pPr>
        <w:shd w:val="clear"/>
        <w:adjustRightInd w:val="0"/>
        <w:snapToGrid w:val="0"/>
        <w:spacing w:before="50" w:after="50" w:line="360" w:lineRule="auto"/>
        <w:jc w:val="center"/>
        <w:rPr>
          <w:rFonts w:cs="仿宋_GB2312" w:asciiTheme="majorEastAsia" w:hAnsiTheme="majorEastAsia" w:eastAsiaTheme="majorEastAsia"/>
          <w:b/>
          <w:color w:val="auto"/>
          <w:kern w:val="0"/>
          <w:sz w:val="32"/>
          <w:szCs w:val="32"/>
          <w:lang w:val="zh-CN"/>
        </w:rPr>
      </w:pPr>
      <w:r>
        <w:rPr>
          <w:rFonts w:hint="eastAsia" w:cs="仿宋_GB2312" w:asciiTheme="majorEastAsia" w:hAnsiTheme="majorEastAsia" w:eastAsiaTheme="majorEastAsia"/>
          <w:b/>
          <w:color w:val="auto"/>
          <w:kern w:val="0"/>
          <w:sz w:val="32"/>
          <w:szCs w:val="32"/>
          <w:lang w:val="zh-CN"/>
        </w:rPr>
        <w:t>联合协议</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u w:val="single"/>
        </w:rPr>
        <w:t>（联合体所有成员名称）</w:t>
      </w:r>
      <w:r>
        <w:rPr>
          <w:rFonts w:hint="eastAsia" w:cs="仿宋_GB2312" w:asciiTheme="majorEastAsia" w:hAnsiTheme="majorEastAsia" w:eastAsiaTheme="majorEastAsia"/>
          <w:color w:val="auto"/>
          <w:kern w:val="0"/>
          <w:sz w:val="24"/>
        </w:rPr>
        <w:t>自愿</w:t>
      </w:r>
      <w:r>
        <w:rPr>
          <w:rFonts w:hint="eastAsia" w:cs="仿宋_GB2312" w:asciiTheme="majorEastAsia" w:hAnsiTheme="majorEastAsia" w:eastAsiaTheme="majorEastAsia"/>
          <w:color w:val="auto"/>
          <w:kern w:val="0"/>
          <w:sz w:val="24"/>
          <w:lang w:val="zh-CN"/>
        </w:rPr>
        <w:t>组成一个联合体，以一个磋商响应人的身份</w:t>
      </w:r>
      <w:r>
        <w:rPr>
          <w:rFonts w:hint="eastAsia" w:cs="仿宋_GB2312" w:asciiTheme="majorEastAsia" w:hAnsiTheme="majorEastAsia" w:eastAsiaTheme="majorEastAsia"/>
          <w:color w:val="auto"/>
          <w:kern w:val="0"/>
          <w:sz w:val="24"/>
        </w:rPr>
        <w:t>参加</w:t>
      </w:r>
      <w:r>
        <w:rPr>
          <w:rFonts w:hint="eastAsia" w:cs="仿宋_GB2312" w:asciiTheme="majorEastAsia" w:hAnsiTheme="majorEastAsia" w:eastAsiaTheme="majorEastAsia"/>
          <w:color w:val="auto"/>
          <w:sz w:val="24"/>
        </w:rPr>
        <w:t>（项目名称）【磋商编号：</w:t>
      </w:r>
      <w:r>
        <w:rPr>
          <w:rFonts w:hint="eastAsia" w:asciiTheme="majorEastAsia" w:hAnsiTheme="majorEastAsia" w:eastAsiaTheme="majorEastAsia"/>
          <w:color w:val="auto"/>
          <w:sz w:val="24"/>
        </w:rPr>
        <w:t>（采购编号）</w:t>
      </w:r>
      <w:r>
        <w:rPr>
          <w:rFonts w:hint="eastAsia" w:cs="仿宋_GB2312" w:asciiTheme="majorEastAsia" w:hAnsiTheme="majorEastAsia" w:eastAsiaTheme="majorEastAsia"/>
          <w:color w:val="auto"/>
          <w:sz w:val="24"/>
        </w:rPr>
        <w:t>】</w:t>
      </w:r>
      <w:r>
        <w:rPr>
          <w:rFonts w:hint="eastAsia" w:cs="仿宋_GB2312" w:asciiTheme="majorEastAsia" w:hAnsiTheme="majorEastAsia" w:eastAsiaTheme="majorEastAsia"/>
          <w:color w:val="auto"/>
          <w:kern w:val="0"/>
          <w:sz w:val="24"/>
          <w:lang w:val="zh-CN"/>
        </w:rPr>
        <w:t>磋商。</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一、各方一致决定，</w:t>
      </w:r>
      <w:r>
        <w:rPr>
          <w:rFonts w:hint="eastAsia" w:cs="仿宋_GB2312" w:asciiTheme="majorEastAsia" w:hAnsiTheme="majorEastAsia" w:eastAsiaTheme="majorEastAsia"/>
          <w:color w:val="auto"/>
          <w:kern w:val="0"/>
          <w:sz w:val="24"/>
          <w:u w:val="single"/>
        </w:rPr>
        <w:t>（某联合体成员名称）</w:t>
      </w:r>
      <w:r>
        <w:rPr>
          <w:rFonts w:hint="eastAsia" w:cs="仿宋_GB2312" w:asciiTheme="majorEastAsia" w:hAnsiTheme="majorEastAsia" w:eastAsiaTheme="majorEastAsia"/>
          <w:color w:val="auto"/>
          <w:kern w:val="0"/>
          <w:sz w:val="24"/>
        </w:rPr>
        <w:t>为联合体</w:t>
      </w:r>
      <w:r>
        <w:rPr>
          <w:rFonts w:hint="eastAsia" w:cs="仿宋_GB2312" w:asciiTheme="majorEastAsia" w:hAnsiTheme="majorEastAsia" w:eastAsiaTheme="majorEastAsia"/>
          <w:color w:val="auto"/>
          <w:kern w:val="0"/>
          <w:sz w:val="24"/>
          <w:lang w:val="zh-CN"/>
        </w:rPr>
        <w:t>牵头人</w:t>
      </w:r>
      <w:r>
        <w:rPr>
          <w:rFonts w:hint="eastAsia" w:cs="Arial" w:asciiTheme="majorEastAsia" w:hAnsiTheme="majorEastAsia" w:eastAsiaTheme="majorEastAsia"/>
          <w:color w:val="auto"/>
          <w:sz w:val="24"/>
        </w:rPr>
        <w:t>，代表所有联合体成员负责磋商响应和合同实施阶段的主办、协调工作</w:t>
      </w:r>
      <w:r>
        <w:rPr>
          <w:rFonts w:hint="eastAsia" w:cs="仿宋_GB2312" w:asciiTheme="majorEastAsia" w:hAnsiTheme="majorEastAsia" w:eastAsiaTheme="majorEastAsia"/>
          <w:color w:val="auto"/>
          <w:kern w:val="0"/>
          <w:sz w:val="24"/>
          <w:lang w:val="zh-CN"/>
        </w:rPr>
        <w:t>。</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二、</w:t>
      </w:r>
      <w:r>
        <w:rPr>
          <w:rFonts w:hint="eastAsia" w:cs="Arial" w:asciiTheme="majorEastAsia" w:hAnsiTheme="majorEastAsia" w:eastAsiaTheme="majorEastAsia"/>
          <w:color w:val="auto"/>
          <w:sz w:val="24"/>
        </w:rPr>
        <w:t>所有联合体成员各方签署授权书，授权书载明的</w:t>
      </w:r>
      <w:r>
        <w:rPr>
          <w:rFonts w:hint="eastAsia" w:cs="仿宋_GB2312" w:asciiTheme="majorEastAsia" w:hAnsiTheme="majorEastAsia" w:eastAsiaTheme="majorEastAsia"/>
          <w:color w:val="auto"/>
          <w:kern w:val="0"/>
          <w:sz w:val="24"/>
          <w:lang w:val="zh-CN"/>
        </w:rPr>
        <w:t>授权代表根据磋商文件规定及磋商响应内容而对采购人、采购机构所作的任何合法承诺，包括书面澄清及相应等均对联合磋商各方产生约束力。</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三、本次联合磋商中，分工如下：</w:t>
      </w:r>
      <w:r>
        <w:rPr>
          <w:rFonts w:hint="eastAsia" w:cs="仿宋_GB2312" w:asciiTheme="majorEastAsia" w:hAnsiTheme="majorEastAsia" w:eastAsiaTheme="majorEastAsia"/>
          <w:color w:val="auto"/>
          <w:kern w:val="0"/>
          <w:sz w:val="24"/>
          <w:u w:val="single"/>
        </w:rPr>
        <w:t>（联合体其中一方成员名称）</w:t>
      </w:r>
      <w:r>
        <w:rPr>
          <w:rFonts w:hint="eastAsia" w:cs="仿宋_GB2312" w:asciiTheme="majorEastAsia" w:hAnsiTheme="majorEastAsia" w:eastAsiaTheme="majorEastAsia"/>
          <w:color w:val="auto"/>
          <w:kern w:val="0"/>
          <w:sz w:val="24"/>
          <w:lang w:val="zh-CN"/>
        </w:rPr>
        <w:t>承担的工作和义务为：；</w:t>
      </w:r>
      <w:r>
        <w:rPr>
          <w:rFonts w:hint="eastAsia" w:cs="仿宋_GB2312" w:asciiTheme="majorEastAsia" w:hAnsiTheme="majorEastAsia" w:eastAsiaTheme="majorEastAsia"/>
          <w:color w:val="auto"/>
          <w:kern w:val="0"/>
          <w:sz w:val="24"/>
          <w:u w:val="single"/>
        </w:rPr>
        <w:t>（联合体其中一方成员名称）</w:t>
      </w:r>
      <w:r>
        <w:rPr>
          <w:rFonts w:hint="eastAsia" w:cs="仿宋_GB2312" w:asciiTheme="majorEastAsia" w:hAnsiTheme="majorEastAsia" w:eastAsiaTheme="majorEastAsia"/>
          <w:color w:val="auto"/>
          <w:kern w:val="0"/>
          <w:sz w:val="24"/>
          <w:lang w:val="zh-CN"/>
        </w:rPr>
        <w:t>承担的工作和义务为：</w:t>
      </w:r>
      <w:r>
        <w:rPr>
          <w:rFonts w:cs="仿宋_GB2312" w:asciiTheme="majorEastAsia" w:hAnsiTheme="majorEastAsia" w:eastAsiaTheme="majorEastAsia"/>
          <w:color w:val="auto"/>
          <w:kern w:val="0"/>
          <w:sz w:val="24"/>
          <w:lang w:val="zh-CN"/>
        </w:rPr>
        <w:t xml:space="preserve"> ；……。</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四、</w:t>
      </w:r>
      <w:r>
        <w:rPr>
          <w:rFonts w:hint="eastAsia" w:asciiTheme="majorEastAsia" w:hAnsiTheme="majorEastAsia" w:eastAsiaTheme="majorEastAsia"/>
          <w:color w:val="auto"/>
          <w:sz w:val="24"/>
        </w:rPr>
        <w:t>中小企业合同金额达到</w:t>
      </w:r>
      <w:r>
        <w:rPr>
          <w:rFonts w:asciiTheme="majorEastAsia" w:hAnsiTheme="majorEastAsia" w:eastAsiaTheme="majorEastAsia"/>
          <w:color w:val="auto"/>
          <w:sz w:val="24"/>
        </w:rPr>
        <w:t>%，小</w:t>
      </w:r>
      <w:r>
        <w:rPr>
          <w:rFonts w:hint="eastAsia" w:asciiTheme="majorEastAsia" w:hAnsiTheme="majorEastAsia" w:eastAsiaTheme="majorEastAsia"/>
          <w:color w:val="auto"/>
          <w:sz w:val="24"/>
        </w:rPr>
        <w:t>微企业合同金额达到</w:t>
      </w:r>
      <w:r>
        <w:rPr>
          <w:rFonts w:asciiTheme="majorEastAsia" w:hAnsiTheme="majorEastAsia" w:eastAsiaTheme="majorEastAsia"/>
          <w:color w:val="auto"/>
          <w:sz w:val="24"/>
        </w:rPr>
        <w:t>%</w:t>
      </w:r>
      <w:r>
        <w:rPr>
          <w:rFonts w:hint="eastAsia" w:cs="仿宋_GB2312" w:asciiTheme="majorEastAsia" w:hAnsiTheme="majorEastAsia" w:eastAsiaTheme="majorEastAsia"/>
          <w:color w:val="auto"/>
          <w:kern w:val="0"/>
          <w:sz w:val="24"/>
          <w:lang w:val="zh-CN"/>
        </w:rPr>
        <w:t>。</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五、如果成交，</w:t>
      </w:r>
      <w:r>
        <w:rPr>
          <w:rFonts w:hint="eastAsia" w:asciiTheme="majorEastAsia" w:hAnsiTheme="majorEastAsia" w:eastAsiaTheme="majorEastAsia"/>
          <w:color w:val="auto"/>
          <w:sz w:val="24"/>
        </w:rPr>
        <w:t>联合体各成员方共同与采购人签订合同，并就采购合同约定的事项对采购人承担连带责任。</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六、有关本次联合磋商的其他事宜：</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cs="仿宋_GB2312" w:asciiTheme="majorEastAsia" w:hAnsiTheme="majorEastAsia" w:eastAsiaTheme="majorEastAsia"/>
          <w:color w:val="auto"/>
          <w:kern w:val="0"/>
          <w:sz w:val="24"/>
          <w:lang w:val="zh-CN"/>
        </w:rPr>
        <w:t>1、联合体各方不再单独参加或者与其</w:t>
      </w:r>
      <w:r>
        <w:rPr>
          <w:rFonts w:hint="eastAsia" w:cs="仿宋_GB2312" w:asciiTheme="majorEastAsia" w:hAnsiTheme="majorEastAsia" w:eastAsiaTheme="majorEastAsia"/>
          <w:color w:val="auto"/>
          <w:kern w:val="0"/>
          <w:sz w:val="24"/>
          <w:lang w:val="zh-CN"/>
        </w:rPr>
        <w:t>他磋商响应人另外组成联合体参加同一合同项下的政府采购活动。</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cs="仿宋_GB2312" w:asciiTheme="majorEastAsia" w:hAnsiTheme="majorEastAsia" w:eastAsiaTheme="majorEastAsia"/>
          <w:color w:val="auto"/>
          <w:kern w:val="0"/>
          <w:sz w:val="24"/>
          <w:lang w:val="zh-CN"/>
        </w:rPr>
        <w:t>2、联合体中有同类资质的各方按照联合体分工承担相同工作的，按照资质等级较低的磋商响应人确定资质等级。</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cs="仿宋_GB2312" w:asciiTheme="majorEastAsia" w:hAnsiTheme="majorEastAsia" w:eastAsiaTheme="majorEastAsia"/>
          <w:color w:val="auto"/>
          <w:kern w:val="0"/>
          <w:sz w:val="24"/>
          <w:lang w:val="zh-CN"/>
        </w:rPr>
        <w:t>3、本协议提交采购人、采购机构后，联合体各方不得以任何形式对上述内容进行修改或撤销。</w:t>
      </w:r>
    </w:p>
    <w:p>
      <w:pPr>
        <w:shd w:val="clear"/>
        <w:snapToGrid w:val="0"/>
        <w:spacing w:line="360" w:lineRule="auto"/>
        <w:jc w:val="right"/>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联合体成员名称</w:t>
      </w:r>
      <w:r>
        <w:rPr>
          <w:rFonts w:cs="仿宋_GB2312" w:asciiTheme="majorEastAsia" w:hAnsiTheme="majorEastAsia" w:eastAsiaTheme="majorEastAsia"/>
          <w:color w:val="auto"/>
          <w:kern w:val="0"/>
          <w:sz w:val="24"/>
          <w:lang w:val="zh-CN"/>
        </w:rPr>
        <w:t>(</w:t>
      </w:r>
      <w:r>
        <w:rPr>
          <w:rFonts w:hint="eastAsia" w:cs="仿宋_GB2312" w:asciiTheme="majorEastAsia" w:hAnsiTheme="majorEastAsia" w:eastAsiaTheme="majorEastAsia"/>
          <w:color w:val="auto"/>
          <w:kern w:val="0"/>
          <w:sz w:val="24"/>
          <w:lang w:val="zh-CN"/>
        </w:rPr>
        <w:t>盖</w:t>
      </w:r>
      <w:r>
        <w:rPr>
          <w:rFonts w:cs="仿宋_GB2312" w:asciiTheme="majorEastAsia" w:hAnsiTheme="majorEastAsia" w:eastAsiaTheme="majorEastAsia"/>
          <w:color w:val="auto"/>
          <w:kern w:val="0"/>
          <w:sz w:val="24"/>
          <w:lang w:val="zh-CN"/>
        </w:rPr>
        <w:t>公章)：</w:t>
      </w:r>
    </w:p>
    <w:p>
      <w:pPr>
        <w:shd w:val="clear"/>
        <w:snapToGrid w:val="0"/>
        <w:spacing w:line="360" w:lineRule="auto"/>
        <w:jc w:val="right"/>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联合体成员名称</w:t>
      </w:r>
      <w:r>
        <w:rPr>
          <w:rFonts w:cs="仿宋_GB2312" w:asciiTheme="majorEastAsia" w:hAnsiTheme="majorEastAsia" w:eastAsiaTheme="majorEastAsia"/>
          <w:color w:val="auto"/>
          <w:kern w:val="0"/>
          <w:sz w:val="24"/>
          <w:lang w:val="zh-CN"/>
        </w:rPr>
        <w:t>(</w:t>
      </w:r>
      <w:r>
        <w:rPr>
          <w:rFonts w:hint="eastAsia" w:cs="仿宋_GB2312" w:asciiTheme="majorEastAsia" w:hAnsiTheme="majorEastAsia" w:eastAsiaTheme="majorEastAsia"/>
          <w:color w:val="auto"/>
          <w:kern w:val="0"/>
          <w:sz w:val="24"/>
          <w:lang w:val="zh-CN"/>
        </w:rPr>
        <w:t>盖</w:t>
      </w:r>
      <w:r>
        <w:rPr>
          <w:rFonts w:cs="仿宋_GB2312" w:asciiTheme="majorEastAsia" w:hAnsiTheme="majorEastAsia" w:eastAsiaTheme="majorEastAsia"/>
          <w:color w:val="auto"/>
          <w:kern w:val="0"/>
          <w:sz w:val="24"/>
          <w:lang w:val="zh-CN"/>
        </w:rPr>
        <w:t>公章)：</w:t>
      </w:r>
    </w:p>
    <w:p>
      <w:pPr>
        <w:shd w:val="clear"/>
        <w:snapToGrid w:val="0"/>
        <w:spacing w:line="360" w:lineRule="auto"/>
        <w:ind w:right="960" w:firstLine="5760" w:firstLineChars="2400"/>
        <w:jc w:val="right"/>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w:t>
      </w:r>
      <w:r>
        <w:rPr>
          <w:rFonts w:cs="仿宋_GB2312" w:asciiTheme="majorEastAsia" w:hAnsiTheme="majorEastAsia" w:eastAsiaTheme="majorEastAsia"/>
          <w:color w:val="auto"/>
          <w:kern w:val="0"/>
          <w:sz w:val="24"/>
          <w:lang w:val="zh-CN"/>
        </w:rPr>
        <w:t>日期：  年  月   日</w:t>
      </w:r>
    </w:p>
    <w:p>
      <w:pPr>
        <w:pageBreakBefore/>
        <w:shd w:val="clear"/>
        <w:spacing w:line="360" w:lineRule="auto"/>
        <w:ind w:firstLine="482" w:firstLineChars="200"/>
        <w:rPr>
          <w:rFonts w:cs="仿宋_GB2312" w:asciiTheme="majorEastAsia" w:hAnsiTheme="majorEastAsia" w:eastAsiaTheme="majorEastAsia"/>
          <w:b/>
          <w:color w:val="auto"/>
          <w:kern w:val="0"/>
          <w:sz w:val="32"/>
          <w:szCs w:val="32"/>
        </w:rPr>
      </w:pPr>
      <w:r>
        <w:rPr>
          <w:rFonts w:cs="仿宋_GB2312" w:asciiTheme="majorEastAsia" w:hAnsiTheme="majorEastAsia" w:eastAsiaTheme="majorEastAsia"/>
          <w:b/>
          <w:color w:val="auto"/>
          <w:sz w:val="24"/>
        </w:rPr>
        <w:t>C、</w:t>
      </w:r>
      <w:r>
        <w:rPr>
          <w:rFonts w:hint="eastAsia" w:cs="仿宋_GB2312" w:asciiTheme="majorEastAsia" w:hAnsiTheme="majorEastAsia" w:eastAsiaTheme="majorEastAsia"/>
          <w:color w:val="auto"/>
          <w:sz w:val="24"/>
        </w:rPr>
        <w:t>要求合同分包的，提供分包意向协议和</w:t>
      </w:r>
      <w:r>
        <w:rPr>
          <w:rFonts w:hint="eastAsia" w:cs="仿宋_GB2312" w:asciiTheme="majorEastAsia" w:hAnsiTheme="majorEastAsia" w:eastAsiaTheme="majorEastAsia"/>
          <w:b/>
          <w:color w:val="auto"/>
          <w:sz w:val="24"/>
        </w:rPr>
        <w:t>中小企业声明函（附件）</w:t>
      </w:r>
      <w:r>
        <w:rPr>
          <w:rFonts w:hint="eastAsia" w:cs="仿宋_GB2312" w:asciiTheme="majorEastAsia" w:hAnsiTheme="majorEastAsia" w:eastAsiaTheme="majorEastAsia"/>
          <w:color w:val="auto"/>
          <w:sz w:val="24"/>
        </w:rPr>
        <w:t>，分包意向协议中中小企业合同金额应当达到磋商公告载明的比例；如果磋商响应人本身提供所有标的均由中小企业制造或承接，视同符合了资格条件，无需再向中小企业分包，无需提供分包意向协议。</w:t>
      </w:r>
    </w:p>
    <w:p>
      <w:pPr>
        <w:shd w:val="clear"/>
        <w:snapToGrid w:val="0"/>
        <w:spacing w:line="360" w:lineRule="auto"/>
        <w:ind w:firstLine="3534" w:firstLineChars="1100"/>
        <w:rPr>
          <w:rFonts w:cs="仿宋_GB2312" w:asciiTheme="majorEastAsia" w:hAnsiTheme="majorEastAsia" w:eastAsiaTheme="majorEastAsia"/>
          <w:b/>
          <w:color w:val="auto"/>
          <w:kern w:val="0"/>
          <w:sz w:val="32"/>
          <w:szCs w:val="32"/>
        </w:rPr>
      </w:pPr>
      <w:r>
        <w:rPr>
          <w:rFonts w:hint="eastAsia" w:cs="仿宋_GB2312" w:asciiTheme="majorEastAsia" w:hAnsiTheme="majorEastAsia" w:eastAsiaTheme="majorEastAsia"/>
          <w:b/>
          <w:color w:val="auto"/>
          <w:kern w:val="0"/>
          <w:sz w:val="32"/>
          <w:szCs w:val="32"/>
        </w:rPr>
        <w:t>分包意向协议</w:t>
      </w:r>
    </w:p>
    <w:p>
      <w:pPr>
        <w:widowControl/>
        <w:shd w:val="clear"/>
        <w:spacing w:line="360" w:lineRule="auto"/>
        <w:ind w:firstLine="120" w:firstLineChars="50"/>
        <w:jc w:val="left"/>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w:t>
      </w:r>
      <w:r>
        <w:rPr>
          <w:rFonts w:hint="eastAsia" w:cs="仿宋_GB2312" w:asciiTheme="majorEastAsia" w:hAnsiTheme="majorEastAsia" w:eastAsiaTheme="majorEastAsia"/>
          <w:b/>
          <w:color w:val="auto"/>
          <w:sz w:val="24"/>
        </w:rPr>
        <w:t>成交后以分包方式履行合同的，提供分包意向协议；采购人不同意分包或者磋商响应人成交后不以分包方式履行合同的，则不需要提供。</w:t>
      </w:r>
      <w:r>
        <w:rPr>
          <w:rFonts w:hint="eastAsia" w:cs="仿宋_GB2312" w:asciiTheme="majorEastAsia" w:hAnsiTheme="majorEastAsia" w:eastAsiaTheme="majorEastAsia"/>
          <w:color w:val="auto"/>
          <w:sz w:val="24"/>
        </w:rPr>
        <w:t>）</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u w:val="single"/>
        </w:rPr>
        <w:t>（磋商响应人名称）</w:t>
      </w:r>
      <w:r>
        <w:rPr>
          <w:rFonts w:hint="eastAsia" w:cs="仿宋_GB2312" w:asciiTheme="majorEastAsia" w:hAnsiTheme="majorEastAsia" w:eastAsiaTheme="majorEastAsia"/>
          <w:color w:val="auto"/>
          <w:kern w:val="0"/>
          <w:sz w:val="24"/>
          <w:lang w:val="zh-CN"/>
        </w:rPr>
        <w:t>若成为</w:t>
      </w:r>
      <w:r>
        <w:rPr>
          <w:rFonts w:hint="eastAsia" w:cs="仿宋_GB2312" w:asciiTheme="majorEastAsia" w:hAnsiTheme="majorEastAsia" w:eastAsiaTheme="majorEastAsia"/>
          <w:color w:val="auto"/>
          <w:sz w:val="24"/>
        </w:rPr>
        <w:t>（项目名称）【磋商编号：</w:t>
      </w:r>
      <w:r>
        <w:rPr>
          <w:rFonts w:hint="eastAsia" w:asciiTheme="majorEastAsia" w:hAnsiTheme="majorEastAsia" w:eastAsiaTheme="majorEastAsia"/>
          <w:color w:val="auto"/>
          <w:sz w:val="24"/>
        </w:rPr>
        <w:t>（采购编号）</w:t>
      </w:r>
      <w:r>
        <w:rPr>
          <w:rFonts w:hint="eastAsia" w:cs="仿宋_GB2312" w:asciiTheme="majorEastAsia" w:hAnsiTheme="majorEastAsia" w:eastAsiaTheme="majorEastAsia"/>
          <w:color w:val="auto"/>
          <w:sz w:val="24"/>
        </w:rPr>
        <w:t>】</w:t>
      </w:r>
      <w:r>
        <w:rPr>
          <w:rFonts w:hint="eastAsia" w:cs="仿宋_GB2312" w:asciiTheme="majorEastAsia" w:hAnsiTheme="majorEastAsia" w:eastAsiaTheme="majorEastAsia"/>
          <w:color w:val="auto"/>
          <w:kern w:val="0"/>
          <w:sz w:val="24"/>
          <w:lang w:val="zh-CN"/>
        </w:rPr>
        <w:t>的成交供应商，将依法采取分包方式履行合同。</w:t>
      </w:r>
      <w:r>
        <w:rPr>
          <w:rFonts w:hint="eastAsia" w:cs="仿宋_GB2312" w:asciiTheme="majorEastAsia" w:hAnsiTheme="majorEastAsia" w:eastAsiaTheme="majorEastAsia"/>
          <w:color w:val="auto"/>
          <w:kern w:val="0"/>
          <w:sz w:val="24"/>
          <w:u w:val="single"/>
        </w:rPr>
        <w:t>（磋商响应人名称）</w:t>
      </w:r>
      <w:r>
        <w:rPr>
          <w:rFonts w:hint="eastAsia" w:cs="仿宋_GB2312" w:asciiTheme="majorEastAsia" w:hAnsiTheme="majorEastAsia" w:eastAsiaTheme="majorEastAsia"/>
          <w:color w:val="auto"/>
          <w:kern w:val="0"/>
          <w:sz w:val="24"/>
        </w:rPr>
        <w:t>与</w:t>
      </w:r>
      <w:r>
        <w:rPr>
          <w:rFonts w:hint="eastAsia" w:cs="仿宋_GB2312" w:asciiTheme="majorEastAsia" w:hAnsiTheme="majorEastAsia" w:eastAsiaTheme="majorEastAsia"/>
          <w:color w:val="auto"/>
          <w:kern w:val="0"/>
          <w:sz w:val="24"/>
          <w:u w:val="single"/>
        </w:rPr>
        <w:t>（所有分包磋商响应人名称）</w:t>
      </w:r>
      <w:r>
        <w:rPr>
          <w:rFonts w:hint="eastAsia" w:cs="仿宋_GB2312" w:asciiTheme="majorEastAsia" w:hAnsiTheme="majorEastAsia" w:eastAsiaTheme="majorEastAsia"/>
          <w:color w:val="auto"/>
          <w:kern w:val="0"/>
          <w:sz w:val="24"/>
        </w:rPr>
        <w:t>达成分包意向协议</w:t>
      </w:r>
      <w:r>
        <w:rPr>
          <w:rFonts w:hint="eastAsia" w:cs="仿宋_GB2312" w:asciiTheme="majorEastAsia" w:hAnsiTheme="majorEastAsia" w:eastAsiaTheme="majorEastAsia"/>
          <w:color w:val="auto"/>
          <w:kern w:val="0"/>
          <w:sz w:val="24"/>
          <w:lang w:val="zh-CN"/>
        </w:rPr>
        <w:t>。</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一、分包标的及数量</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u w:val="single"/>
        </w:rPr>
        <w:t>（磋商响应人名称）</w:t>
      </w:r>
      <w:r>
        <w:rPr>
          <w:rFonts w:hint="eastAsia" w:cs="仿宋_GB2312" w:asciiTheme="majorEastAsia" w:hAnsiTheme="majorEastAsia" w:eastAsiaTheme="majorEastAsia"/>
          <w:color w:val="auto"/>
          <w:kern w:val="0"/>
          <w:sz w:val="24"/>
          <w:lang w:val="zh-CN"/>
        </w:rPr>
        <w:t>将</w:t>
      </w:r>
      <w:r>
        <w:rPr>
          <w:rFonts w:asciiTheme="majorEastAsia" w:hAnsiTheme="majorEastAsia" w:eastAsiaTheme="majorEastAsia"/>
          <w:color w:val="auto"/>
          <w:u w:val="single"/>
        </w:rPr>
        <w:t xml:space="preserve">   XX工作内容   </w:t>
      </w:r>
      <w:r>
        <w:rPr>
          <w:rFonts w:hint="eastAsia" w:cs="Arial" w:asciiTheme="majorEastAsia" w:hAnsiTheme="majorEastAsia" w:eastAsiaTheme="majorEastAsia"/>
          <w:color w:val="auto"/>
          <w:sz w:val="24"/>
        </w:rPr>
        <w:t>分包给</w:t>
      </w:r>
      <w:r>
        <w:rPr>
          <w:rFonts w:hint="eastAsia" w:cs="仿宋_GB2312" w:asciiTheme="majorEastAsia" w:hAnsiTheme="majorEastAsia" w:eastAsiaTheme="majorEastAsia"/>
          <w:color w:val="auto"/>
          <w:kern w:val="0"/>
          <w:sz w:val="24"/>
          <w:u w:val="single"/>
        </w:rPr>
        <w:t>（某分包磋商响应人名称）</w:t>
      </w:r>
      <w:r>
        <w:rPr>
          <w:rFonts w:hint="eastAsia" w:cs="仿宋_GB2312" w:asciiTheme="majorEastAsia" w:hAnsiTheme="majorEastAsia" w:eastAsiaTheme="majorEastAsia"/>
          <w:color w:val="auto"/>
          <w:kern w:val="0"/>
          <w:sz w:val="24"/>
          <w:lang w:val="zh-CN"/>
        </w:rPr>
        <w:t>，</w:t>
      </w:r>
      <w:r>
        <w:rPr>
          <w:rFonts w:hint="eastAsia" w:cs="仿宋_GB2312" w:asciiTheme="majorEastAsia" w:hAnsiTheme="majorEastAsia" w:eastAsiaTheme="majorEastAsia"/>
          <w:color w:val="auto"/>
          <w:kern w:val="0"/>
          <w:sz w:val="24"/>
          <w:u w:val="single"/>
        </w:rPr>
        <w:t>（某分包磋商响应人</w:t>
      </w:r>
      <w:r>
        <w:rPr>
          <w:rFonts w:hint="eastAsia" w:cs="仿宋_GB2312" w:asciiTheme="majorEastAsia" w:hAnsiTheme="majorEastAsia" w:eastAsiaTheme="majorEastAsia"/>
          <w:color w:val="auto"/>
          <w:kern w:val="0"/>
          <w:sz w:val="24"/>
          <w:lang w:val="zh-CN"/>
        </w:rPr>
        <w:t>名称），具备承担</w:t>
      </w:r>
      <w:r>
        <w:rPr>
          <w:rFonts w:cs="仿宋_GB2312" w:asciiTheme="majorEastAsia" w:hAnsiTheme="majorEastAsia" w:eastAsiaTheme="majorEastAsia"/>
          <w:color w:val="auto"/>
          <w:kern w:val="0"/>
          <w:sz w:val="24"/>
          <w:lang w:val="zh-CN"/>
        </w:rPr>
        <w:t>XX工作内容</w:t>
      </w:r>
      <w:r>
        <w:rPr>
          <w:rFonts w:hint="eastAsia" w:cs="仿宋_GB2312" w:asciiTheme="majorEastAsia" w:hAnsiTheme="majorEastAsia" w:eastAsiaTheme="majorEastAsia"/>
          <w:color w:val="auto"/>
          <w:kern w:val="0"/>
          <w:sz w:val="24"/>
          <w:lang w:val="zh-CN"/>
        </w:rPr>
        <w:t>相应资质条件且不得再次分包；</w:t>
      </w:r>
    </w:p>
    <w:p>
      <w:pPr>
        <w:shd w:val="clear"/>
        <w:snapToGrid w:val="0"/>
        <w:spacing w:line="360" w:lineRule="auto"/>
        <w:ind w:firstLine="964" w:firstLineChars="400"/>
        <w:jc w:val="left"/>
        <w:rPr>
          <w:rFonts w:cs="仿宋_GB2312" w:asciiTheme="majorEastAsia" w:hAnsiTheme="majorEastAsia" w:eastAsiaTheme="majorEastAsia"/>
          <w:b/>
          <w:color w:val="auto"/>
          <w:kern w:val="0"/>
          <w:sz w:val="24"/>
          <w:lang w:val="zh-CN"/>
        </w:rPr>
      </w:pPr>
      <w:r>
        <w:rPr>
          <w:rFonts w:hint="eastAsia" w:cs="仿宋_GB2312" w:asciiTheme="majorEastAsia" w:hAnsiTheme="majorEastAsia" w:eastAsiaTheme="majorEastAsia"/>
          <w:b/>
          <w:color w:val="auto"/>
          <w:kern w:val="0"/>
          <w:sz w:val="24"/>
          <w:lang w:val="zh-CN"/>
        </w:rPr>
        <w:t>……</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二、分包工作履行期限、地点、方式</w:t>
      </w:r>
    </w:p>
    <w:p>
      <w:pPr>
        <w:shd w:val="clear"/>
        <w:snapToGrid w:val="0"/>
        <w:spacing w:line="360" w:lineRule="auto"/>
        <w:ind w:firstLine="576"/>
        <w:rPr>
          <w:rFonts w:asciiTheme="majorEastAsia" w:hAnsiTheme="majorEastAsia" w:eastAsiaTheme="majorEastAsia"/>
          <w:color w:val="auto"/>
          <w:u w:val="single"/>
        </w:rPr>
      </w:pP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三、质量</w:t>
      </w:r>
    </w:p>
    <w:p>
      <w:pPr>
        <w:shd w:val="clear"/>
        <w:snapToGrid w:val="0"/>
        <w:spacing w:line="360" w:lineRule="auto"/>
        <w:ind w:firstLine="576"/>
        <w:rPr>
          <w:rFonts w:cs="仿宋_GB2312" w:asciiTheme="majorEastAsia" w:hAnsiTheme="majorEastAsia" w:eastAsiaTheme="majorEastAsia"/>
          <w:color w:val="auto"/>
          <w:kern w:val="0"/>
          <w:sz w:val="24"/>
          <w:lang w:val="zh-CN"/>
        </w:rPr>
      </w:pP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四、价款或者报酬</w:t>
      </w:r>
    </w:p>
    <w:p>
      <w:pPr>
        <w:shd w:val="clear"/>
        <w:snapToGrid w:val="0"/>
        <w:spacing w:line="360" w:lineRule="auto"/>
        <w:ind w:left="573" w:leftChars="273"/>
        <w:rPr>
          <w:rFonts w:cs="仿宋_GB2312" w:asciiTheme="majorEastAsia" w:hAnsiTheme="majorEastAsia" w:eastAsiaTheme="majorEastAsia"/>
          <w:color w:val="auto"/>
          <w:kern w:val="0"/>
          <w:sz w:val="24"/>
          <w:lang w:val="zh-CN"/>
        </w:rPr>
      </w:pPr>
    </w:p>
    <w:p>
      <w:pPr>
        <w:shd w:val="clear"/>
        <w:snapToGrid w:val="0"/>
        <w:spacing w:line="360" w:lineRule="auto"/>
        <w:ind w:left="573" w:leftChars="273"/>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五、违约责任</w:t>
      </w:r>
    </w:p>
    <w:p>
      <w:pPr>
        <w:shd w:val="clear"/>
        <w:snapToGrid w:val="0"/>
        <w:spacing w:line="360" w:lineRule="auto"/>
        <w:ind w:firstLine="576"/>
        <w:rPr>
          <w:rFonts w:cs="仿宋_GB2312" w:asciiTheme="majorEastAsia" w:hAnsiTheme="majorEastAsia" w:eastAsiaTheme="majorEastAsia"/>
          <w:color w:val="auto"/>
          <w:kern w:val="0"/>
          <w:sz w:val="24"/>
          <w:lang w:val="zh-CN"/>
        </w:rPr>
      </w:pP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六、争议解决的办法</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七、其他</w:t>
      </w:r>
    </w:p>
    <w:p>
      <w:pPr>
        <w:shd w:val="clear"/>
        <w:snapToGrid w:val="0"/>
        <w:spacing w:line="360" w:lineRule="auto"/>
        <w:ind w:left="5758" w:leftChars="342" w:hanging="5040" w:hangingChars="2100"/>
        <w:jc w:val="left"/>
        <w:rPr>
          <w:rFonts w:cs="仿宋_GB2312" w:asciiTheme="majorEastAsia" w:hAnsiTheme="majorEastAsia" w:eastAsiaTheme="majorEastAsia"/>
          <w:color w:val="auto"/>
          <w:kern w:val="0"/>
          <w:sz w:val="24"/>
          <w:lang w:val="zh-CN"/>
        </w:rPr>
      </w:pPr>
      <w:r>
        <w:rPr>
          <w:rFonts w:hint="eastAsia" w:asciiTheme="majorEastAsia" w:hAnsiTheme="majorEastAsia" w:eastAsiaTheme="majorEastAsia"/>
          <w:color w:val="auto"/>
          <w:sz w:val="24"/>
        </w:rPr>
        <w:t>中小企业合同金额达到</w:t>
      </w:r>
      <w:r>
        <w:rPr>
          <w:rFonts w:asciiTheme="majorEastAsia" w:hAnsiTheme="majorEastAsia" w:eastAsiaTheme="majorEastAsia"/>
          <w:color w:val="auto"/>
          <w:sz w:val="24"/>
        </w:rPr>
        <w:t>%，小</w:t>
      </w:r>
      <w:r>
        <w:rPr>
          <w:rFonts w:hint="eastAsia" w:asciiTheme="majorEastAsia" w:hAnsiTheme="majorEastAsia" w:eastAsiaTheme="majorEastAsia"/>
          <w:color w:val="auto"/>
          <w:sz w:val="24"/>
        </w:rPr>
        <w:t>微企业合同金额达到</w:t>
      </w:r>
      <w:r>
        <w:rPr>
          <w:rFonts w:asciiTheme="majorEastAsia" w:hAnsiTheme="majorEastAsia" w:eastAsiaTheme="majorEastAsia"/>
          <w:color w:val="auto"/>
          <w:sz w:val="24"/>
        </w:rPr>
        <w:t>%</w:t>
      </w:r>
      <w:r>
        <w:rPr>
          <w:rFonts w:cs="仿宋_GB2312" w:asciiTheme="majorEastAsia" w:hAnsiTheme="majorEastAsia" w:eastAsiaTheme="majorEastAsia"/>
          <w:color w:val="auto"/>
          <w:kern w:val="0"/>
          <w:sz w:val="24"/>
          <w:lang w:val="zh-CN"/>
        </w:rPr>
        <w:t xml:space="preserve">  。</w:t>
      </w:r>
    </w:p>
    <w:p>
      <w:pPr>
        <w:shd w:val="clear"/>
        <w:snapToGrid w:val="0"/>
        <w:ind w:left="5758" w:leftChars="342" w:hanging="5040" w:hangingChars="2100"/>
        <w:jc w:val="right"/>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磋商响应人</w:t>
      </w:r>
      <w:r>
        <w:rPr>
          <w:rFonts w:cs="仿宋_GB2312" w:asciiTheme="majorEastAsia" w:hAnsiTheme="majorEastAsia" w:eastAsiaTheme="majorEastAsia"/>
          <w:color w:val="auto"/>
          <w:kern w:val="0"/>
          <w:sz w:val="24"/>
          <w:lang w:val="zh-CN"/>
        </w:rPr>
        <w:t>名称(</w:t>
      </w:r>
      <w:r>
        <w:rPr>
          <w:rFonts w:hint="eastAsia" w:cs="仿宋_GB2312" w:asciiTheme="majorEastAsia" w:hAnsiTheme="majorEastAsia" w:eastAsiaTheme="majorEastAsia"/>
          <w:color w:val="auto"/>
          <w:kern w:val="0"/>
          <w:sz w:val="24"/>
          <w:lang w:val="zh-CN"/>
        </w:rPr>
        <w:t>盖公章</w:t>
      </w:r>
      <w:r>
        <w:rPr>
          <w:rFonts w:cs="仿宋_GB2312" w:asciiTheme="majorEastAsia" w:hAnsiTheme="majorEastAsia" w:eastAsiaTheme="majorEastAsia"/>
          <w:color w:val="auto"/>
          <w:kern w:val="0"/>
          <w:sz w:val="24"/>
          <w:lang w:val="zh-CN"/>
        </w:rPr>
        <w:t>)：</w:t>
      </w:r>
    </w:p>
    <w:p>
      <w:pPr>
        <w:shd w:val="clear"/>
        <w:snapToGrid w:val="0"/>
        <w:jc w:val="right"/>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分包磋商响应人名称：</w:t>
      </w:r>
    </w:p>
    <w:p>
      <w:pPr>
        <w:shd w:val="clear"/>
        <w:snapToGrid w:val="0"/>
        <w:ind w:firstLine="6000" w:firstLineChars="2500"/>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w:t>
      </w:r>
    </w:p>
    <w:p>
      <w:pPr>
        <w:shd w:val="clear"/>
        <w:snapToGrid w:val="0"/>
        <w:jc w:val="right"/>
        <w:rPr>
          <w:rFonts w:cs="仿宋_GB2312" w:asciiTheme="majorEastAsia" w:hAnsiTheme="majorEastAsia" w:eastAsiaTheme="majorEastAsia"/>
          <w:color w:val="auto"/>
          <w:kern w:val="0"/>
          <w:sz w:val="24"/>
          <w:lang w:val="zh-CN"/>
        </w:rPr>
      </w:pPr>
      <w:r>
        <w:rPr>
          <w:rFonts w:cs="仿宋_GB2312" w:asciiTheme="majorEastAsia" w:hAnsiTheme="majorEastAsia" w:eastAsiaTheme="majorEastAsia"/>
          <w:color w:val="auto"/>
          <w:kern w:val="0"/>
          <w:sz w:val="24"/>
          <w:lang w:val="zh-CN"/>
        </w:rPr>
        <w:t xml:space="preserve">  日期：  年  月   日</w:t>
      </w:r>
    </w:p>
    <w:p>
      <w:pPr>
        <w:pageBreakBefore/>
        <w:shd w:val="clear"/>
        <w:jc w:val="center"/>
        <w:rPr>
          <w:rFonts w:cs="仿宋" w:asciiTheme="majorEastAsia" w:hAnsiTheme="majorEastAsia" w:eastAsiaTheme="majorEastAsia"/>
          <w:b/>
          <w:bCs/>
          <w:color w:val="auto"/>
          <w:sz w:val="44"/>
          <w:szCs w:val="44"/>
        </w:rPr>
      </w:pPr>
      <w:r>
        <w:rPr>
          <w:rFonts w:hint="eastAsia" w:cs="仿宋" w:asciiTheme="majorEastAsia" w:hAnsiTheme="majorEastAsia" w:eastAsiaTheme="majorEastAsia"/>
          <w:b/>
          <w:bCs/>
          <w:color w:val="auto"/>
          <w:sz w:val="44"/>
          <w:szCs w:val="44"/>
        </w:rPr>
        <w:t>业务专用章使用说明函</w:t>
      </w:r>
    </w:p>
    <w:p>
      <w:pPr>
        <w:shd w:val="clear"/>
        <w:spacing w:line="360" w:lineRule="auto"/>
        <w:rPr>
          <w:rFonts w:cs="仿宋_GB2312" w:asciiTheme="majorEastAsia" w:hAnsiTheme="majorEastAsia" w:eastAsiaTheme="majorEastAsia"/>
          <w:color w:val="auto"/>
          <w:sz w:val="24"/>
          <w:u w:val="single"/>
        </w:rPr>
      </w:pPr>
    </w:p>
    <w:p>
      <w:pPr>
        <w:shd w:val="clear"/>
        <w:spacing w:line="360" w:lineRule="auto"/>
        <w:rPr>
          <w:rFonts w:asciiTheme="majorEastAsia" w:hAnsiTheme="majorEastAsia" w:eastAsiaTheme="majorEastAsia"/>
          <w:color w:val="auto"/>
          <w:sz w:val="24"/>
        </w:rPr>
      </w:pPr>
      <w:r>
        <w:rPr>
          <w:rFonts w:hint="eastAsia" w:cs="仿宋_GB2312" w:asciiTheme="majorEastAsia" w:hAnsiTheme="majorEastAsia" w:eastAsiaTheme="majorEastAsia"/>
          <w:color w:val="auto"/>
          <w:sz w:val="24"/>
          <w:u w:val="single"/>
        </w:rPr>
        <w:t>（采购人）、（采购代理机构）</w:t>
      </w:r>
    </w:p>
    <w:p>
      <w:pPr>
        <w:shd w:val="clear"/>
        <w:spacing w:line="360" w:lineRule="auto"/>
        <w:ind w:firstLine="480" w:firstLineChars="200"/>
        <w:rPr>
          <w:rFonts w:cs="宋体" w:asciiTheme="majorEastAsia" w:hAnsiTheme="majorEastAsia" w:eastAsiaTheme="majorEastAsia"/>
          <w:color w:val="auto"/>
          <w:sz w:val="24"/>
        </w:rPr>
      </w:pPr>
      <w:r>
        <w:rPr>
          <w:rFonts w:hint="eastAsia" w:cs="仿宋_GB2312" w:asciiTheme="majorEastAsia" w:hAnsiTheme="majorEastAsia" w:eastAsiaTheme="majorEastAsia"/>
          <w:color w:val="auto"/>
          <w:kern w:val="0"/>
          <w:sz w:val="24"/>
          <w:lang w:val="zh-CN"/>
        </w:rPr>
        <w:t>我方</w:t>
      </w:r>
      <w:r>
        <w:rPr>
          <w:rFonts w:cs="仿宋_GB2312" w:asciiTheme="majorEastAsia" w:hAnsiTheme="majorEastAsia" w:eastAsiaTheme="majorEastAsia"/>
          <w:color w:val="auto"/>
          <w:sz w:val="24"/>
        </w:rPr>
        <w:t>(</w:t>
      </w:r>
      <w:r>
        <w:rPr>
          <w:rFonts w:hint="eastAsia" w:cs="仿宋_GB2312" w:asciiTheme="majorEastAsia" w:hAnsiTheme="majorEastAsia" w:eastAsiaTheme="majorEastAsia"/>
          <w:color w:val="auto"/>
          <w:sz w:val="24"/>
        </w:rPr>
        <w:t>磋商响应人</w:t>
      </w:r>
      <w:r>
        <w:rPr>
          <w:rFonts w:cs="仿宋_GB2312" w:asciiTheme="majorEastAsia" w:hAnsiTheme="majorEastAsia" w:eastAsiaTheme="majorEastAsia"/>
          <w:color w:val="auto"/>
          <w:sz w:val="24"/>
        </w:rPr>
        <w:t>全称)</w:t>
      </w:r>
      <w:r>
        <w:rPr>
          <w:rFonts w:hint="eastAsia" w:asciiTheme="majorEastAsia" w:hAnsiTheme="majorEastAsia" w:eastAsiaTheme="majorEastAsia"/>
          <w:color w:val="auto"/>
          <w:sz w:val="24"/>
        </w:rPr>
        <w:t>是中华人民共和国依法登记注册的合法企业，</w:t>
      </w:r>
      <w:r>
        <w:rPr>
          <w:rFonts w:hint="eastAsia" w:cs="宋体" w:asciiTheme="majorEastAsia" w:hAnsiTheme="majorEastAsia" w:eastAsiaTheme="majorEastAsia"/>
          <w:bCs/>
          <w:color w:val="auto"/>
          <w:sz w:val="24"/>
        </w:rPr>
        <w:t>在参加</w:t>
      </w:r>
      <w:r>
        <w:rPr>
          <w:rFonts w:hint="eastAsia" w:cs="仿宋_GB2312" w:asciiTheme="majorEastAsia" w:hAnsiTheme="majorEastAsia" w:eastAsiaTheme="majorEastAsia"/>
          <w:color w:val="auto"/>
          <w:sz w:val="24"/>
        </w:rPr>
        <w:t>你方组织的（项目名称）项目【磋商编号：（采购编号）</w:t>
      </w:r>
      <w:r>
        <w:rPr>
          <w:rFonts w:cs="仿宋_GB2312" w:asciiTheme="majorEastAsia" w:hAnsiTheme="majorEastAsia" w:eastAsiaTheme="majorEastAsia"/>
          <w:color w:val="auto"/>
          <w:sz w:val="24"/>
        </w:rPr>
        <w:t>】</w:t>
      </w:r>
      <w:r>
        <w:rPr>
          <w:rFonts w:hint="eastAsia" w:cs="宋体" w:asciiTheme="majorEastAsia" w:hAnsiTheme="majorEastAsia" w:eastAsiaTheme="majorEastAsia"/>
          <w:bCs/>
          <w:color w:val="auto"/>
          <w:sz w:val="24"/>
        </w:rPr>
        <w:t>采购活动中作如下说明：</w:t>
      </w:r>
      <w:r>
        <w:rPr>
          <w:rFonts w:hint="eastAsia" w:cs="宋体" w:asciiTheme="majorEastAsia" w:hAnsiTheme="majorEastAsia" w:eastAsiaTheme="majorEastAsia"/>
          <w:color w:val="auto"/>
          <w:sz w:val="24"/>
        </w:rPr>
        <w:t>我方所使用的“</w:t>
      </w:r>
      <w:r>
        <w:rPr>
          <w:rFonts w:cs="仿宋_GB2312" w:asciiTheme="majorEastAsia" w:hAnsiTheme="majorEastAsia" w:eastAsiaTheme="majorEastAsia"/>
          <w:color w:val="auto"/>
          <w:sz w:val="24"/>
        </w:rPr>
        <w:t>XX</w:t>
      </w:r>
      <w:r>
        <w:rPr>
          <w:rFonts w:hint="eastAsia" w:cs="宋体" w:asciiTheme="majorEastAsia" w:hAnsiTheme="majorEastAsia" w:eastAsiaTheme="majorEastAsia"/>
          <w:color w:val="auto"/>
          <w:sz w:val="24"/>
        </w:rPr>
        <w:t>专用章”与法定名称章具有同等的法律效力，对使用“</w:t>
      </w:r>
      <w:r>
        <w:rPr>
          <w:rFonts w:cs="仿宋_GB2312" w:asciiTheme="majorEastAsia" w:hAnsiTheme="majorEastAsia" w:eastAsiaTheme="majorEastAsia"/>
          <w:color w:val="auto"/>
          <w:sz w:val="24"/>
        </w:rPr>
        <w:t>XX</w:t>
      </w:r>
      <w:r>
        <w:rPr>
          <w:rFonts w:hint="eastAsia" w:cs="宋体" w:asciiTheme="majorEastAsia" w:hAnsiTheme="majorEastAsia" w:eastAsiaTheme="majorEastAsia"/>
          <w:color w:val="auto"/>
          <w:sz w:val="24"/>
        </w:rPr>
        <w:t>专用章”的行为予以完全承认，并愿意承担相应责任。</w:t>
      </w:r>
    </w:p>
    <w:p>
      <w:pPr>
        <w:shd w:val="clear"/>
        <w:spacing w:line="360" w:lineRule="auto"/>
        <w:ind w:firstLine="480" w:firstLineChars="200"/>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特此说明。</w:t>
      </w:r>
    </w:p>
    <w:p>
      <w:pPr>
        <w:shd w:val="clear"/>
        <w:spacing w:line="360" w:lineRule="auto"/>
        <w:ind w:firstLine="494"/>
        <w:rPr>
          <w:rFonts w:cs="宋体" w:asciiTheme="majorEastAsia" w:hAnsiTheme="majorEastAsia" w:eastAsiaTheme="majorEastAsia"/>
          <w:color w:val="auto"/>
          <w:sz w:val="24"/>
        </w:rPr>
      </w:pPr>
    </w:p>
    <w:p>
      <w:pPr>
        <w:shd w:val="clear"/>
        <w:spacing w:line="360" w:lineRule="auto"/>
        <w:ind w:firstLine="494"/>
        <w:rPr>
          <w:rFonts w:cs="宋体" w:asciiTheme="majorEastAsia" w:hAnsiTheme="majorEastAsia" w:eastAsiaTheme="majorEastAsia"/>
          <w:color w:val="auto"/>
          <w:sz w:val="24"/>
        </w:rPr>
      </w:pPr>
    </w:p>
    <w:p>
      <w:pPr>
        <w:shd w:val="clear"/>
        <w:spacing w:line="360" w:lineRule="auto"/>
        <w:ind w:firstLine="494"/>
        <w:rPr>
          <w:rFonts w:cs="宋体" w:asciiTheme="majorEastAsia" w:hAnsiTheme="majorEastAsia" w:eastAsiaTheme="majorEastAsia"/>
          <w:color w:val="auto"/>
          <w:sz w:val="24"/>
        </w:rPr>
      </w:pPr>
    </w:p>
    <w:p>
      <w:pPr>
        <w:shd w:val="clear"/>
        <w:spacing w:line="360" w:lineRule="auto"/>
        <w:ind w:firstLine="494"/>
        <w:rPr>
          <w:rFonts w:cs="宋体" w:asciiTheme="majorEastAsia" w:hAnsiTheme="majorEastAsia" w:eastAsiaTheme="majorEastAsia"/>
          <w:color w:val="auto"/>
          <w:sz w:val="24"/>
        </w:rPr>
      </w:pPr>
    </w:p>
    <w:p>
      <w:pPr>
        <w:shd w:val="clear"/>
        <w:spacing w:line="360" w:lineRule="auto"/>
        <w:ind w:right="480" w:firstLine="4080" w:firstLineChars="1700"/>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磋商响应人（法定名称章）：</w:t>
      </w:r>
    </w:p>
    <w:p>
      <w:pPr>
        <w:shd w:val="clear"/>
        <w:ind w:right="907" w:firstLine="494"/>
        <w:jc w:val="center"/>
        <w:rPr>
          <w:rFonts w:cs="宋体" w:asciiTheme="majorEastAsia" w:hAnsiTheme="majorEastAsia" w:eastAsiaTheme="majorEastAsia"/>
          <w:color w:val="auto"/>
          <w:sz w:val="24"/>
        </w:rPr>
      </w:pPr>
      <w:r>
        <w:rPr>
          <w:rFonts w:cs="宋体" w:asciiTheme="majorEastAsia" w:hAnsiTheme="majorEastAsia" w:eastAsiaTheme="majorEastAsia"/>
          <w:color w:val="auto"/>
          <w:sz w:val="24"/>
        </w:rPr>
        <w:t xml:space="preserve">                          日期：      年     月  日</w:t>
      </w:r>
    </w:p>
    <w:p>
      <w:pPr>
        <w:shd w:val="clear"/>
        <w:rPr>
          <w:rFonts w:cs="宋体" w:asciiTheme="majorEastAsia" w:hAnsiTheme="majorEastAsia" w:eastAsiaTheme="majorEastAsia"/>
          <w:color w:val="auto"/>
          <w:sz w:val="24"/>
        </w:rPr>
      </w:pPr>
      <w:r>
        <w:rPr>
          <w:rFonts w:hint="eastAsia" w:cs="宋体" w:asciiTheme="majorEastAsia" w:hAnsiTheme="majorEastAsia" w:eastAsiaTheme="majorEastAsia"/>
          <w:b/>
          <w:bCs/>
          <w:color w:val="auto"/>
          <w:sz w:val="24"/>
        </w:rPr>
        <w:t>附：</w:t>
      </w:r>
    </w:p>
    <w:p>
      <w:pPr>
        <w:shd w:val="clear"/>
        <w:spacing w:line="360" w:lineRule="auto"/>
        <w:rPr>
          <w:rFonts w:asciiTheme="majorEastAsia" w:hAnsiTheme="majorEastAsia" w:eastAsiaTheme="majorEastAsia"/>
          <w:bCs/>
          <w:color w:val="auto"/>
          <w:sz w:val="24"/>
        </w:rPr>
      </w:pPr>
      <w:r>
        <w:rPr>
          <w:rFonts w:asciiTheme="majorEastAsia" w:hAnsiTheme="majorEastAsia" w:eastAsiaTheme="majorEastAsia"/>
          <w:b/>
          <w:bCs/>
          <w:color w:val="auto"/>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8415" b="12700"/>
                <wp:wrapNone/>
                <wp:docPr id="2"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XeSRhLwIAAIIEAAAOAAAAAAAAAAEAIAAAACcBAABkcnMvZTJvRG9jLnht&#10;bFBLBQYAAAAABgAGAFkBAADIBQAAAAA=&#10;">
                <v:fill on="t" focussize="0,0"/>
                <v:stroke color="#000000" miterlimit="2" joinstyle="miter"/>
                <v:imagedata o:title=""/>
                <o:lock v:ext="edit" aspectratio="f"/>
              </v:rect>
            </w:pict>
          </mc:Fallback>
        </mc:AlternateContent>
      </w:r>
      <w:r>
        <w:rPr>
          <w:rFonts w:asciiTheme="majorEastAsia" w:hAnsiTheme="majorEastAsia" w:eastAsiaTheme="majorEastAsia"/>
          <w:b/>
          <w:bCs/>
          <w:color w:val="auto"/>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12700"/>
                <wp:wrapNone/>
                <wp:docPr id="1"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6HB/2y4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GYxHptgAAAAKAQAADwAAAAAAAAABACAAAAAiAAAAZHJzL2Rvd25yZXYueG1sUEsB&#10;AhQAFAAAAAgAh07iQOhwf9suAgAAggQAAA4AAAAAAAAAAQAgAAAAJwEAAGRycy9lMm9Eb2MueG1s&#10;UEsFBgAAAAAGAAYAWQEAAMcFAAAAAA==&#10;">
                <v:fill on="t" focussize="0,0"/>
                <v:stroke color="#000000" miterlimit="2" joinstyle="miter"/>
                <v:imagedata o:title=""/>
                <o:lock v:ext="edit" aspectratio="f"/>
              </v:rect>
            </w:pict>
          </mc:Fallback>
        </mc:AlternateContent>
      </w:r>
      <w:r>
        <w:rPr>
          <w:rFonts w:hint="eastAsia" w:cs="宋体" w:asciiTheme="majorEastAsia" w:hAnsiTheme="majorEastAsia" w:eastAsiaTheme="majorEastAsia"/>
          <w:color w:val="auto"/>
          <w:sz w:val="24"/>
        </w:rPr>
        <w:t>供应法定名称章（印模）磋商响应人“</w:t>
      </w:r>
      <w:r>
        <w:rPr>
          <w:rFonts w:cs="仿宋_GB2312" w:asciiTheme="majorEastAsia" w:hAnsiTheme="majorEastAsia" w:eastAsiaTheme="majorEastAsia"/>
          <w:color w:val="auto"/>
          <w:sz w:val="24"/>
        </w:rPr>
        <w:t>XX</w:t>
      </w:r>
      <w:r>
        <w:rPr>
          <w:rFonts w:hint="eastAsia" w:cs="宋体" w:asciiTheme="majorEastAsia" w:hAnsiTheme="majorEastAsia" w:eastAsiaTheme="majorEastAsia"/>
          <w:color w:val="auto"/>
          <w:sz w:val="24"/>
        </w:rPr>
        <w:t>专用章”（印模）</w:t>
      </w:r>
    </w:p>
    <w:p>
      <w:pPr>
        <w:shd w:val="clear"/>
        <w:jc w:val="center"/>
        <w:rPr>
          <w:rFonts w:cs="仿宋" w:asciiTheme="majorEastAsia" w:hAnsiTheme="majorEastAsia" w:eastAsiaTheme="majorEastAsia"/>
          <w:b/>
          <w:bCs/>
          <w:color w:val="auto"/>
          <w:sz w:val="44"/>
          <w:szCs w:val="44"/>
        </w:rPr>
      </w:pPr>
    </w:p>
    <w:p>
      <w:pPr>
        <w:shd w:val="clear"/>
        <w:jc w:val="center"/>
        <w:rPr>
          <w:rFonts w:cs="仿宋" w:asciiTheme="majorEastAsia" w:hAnsiTheme="majorEastAsia" w:eastAsiaTheme="majorEastAsia"/>
          <w:b/>
          <w:bCs/>
          <w:color w:val="auto"/>
          <w:sz w:val="44"/>
          <w:szCs w:val="44"/>
        </w:rPr>
      </w:pPr>
    </w:p>
    <w:p>
      <w:pPr>
        <w:shd w:val="clear"/>
        <w:jc w:val="center"/>
        <w:rPr>
          <w:rFonts w:cs="仿宋" w:asciiTheme="majorEastAsia" w:hAnsiTheme="majorEastAsia" w:eastAsiaTheme="majorEastAsia"/>
          <w:b/>
          <w:bCs/>
          <w:color w:val="auto"/>
          <w:sz w:val="44"/>
          <w:szCs w:val="44"/>
        </w:rPr>
      </w:pPr>
    </w:p>
    <w:p>
      <w:pPr>
        <w:shd w:val="clear"/>
        <w:jc w:val="center"/>
        <w:rPr>
          <w:rFonts w:cs="仿宋" w:asciiTheme="majorEastAsia" w:hAnsiTheme="majorEastAsia" w:eastAsiaTheme="majorEastAsia"/>
          <w:b/>
          <w:bCs/>
          <w:color w:val="auto"/>
          <w:sz w:val="44"/>
          <w:szCs w:val="44"/>
        </w:rPr>
      </w:pPr>
    </w:p>
    <w:p>
      <w:pPr>
        <w:shd w:val="clear"/>
        <w:jc w:val="center"/>
        <w:rPr>
          <w:rFonts w:cs="仿宋" w:asciiTheme="majorEastAsia" w:hAnsiTheme="majorEastAsia" w:eastAsiaTheme="majorEastAsia"/>
          <w:b/>
          <w:bCs/>
          <w:color w:val="auto"/>
          <w:sz w:val="44"/>
          <w:szCs w:val="44"/>
        </w:rPr>
      </w:pPr>
    </w:p>
    <w:p>
      <w:pPr>
        <w:shd w:val="clear"/>
        <w:jc w:val="center"/>
        <w:rPr>
          <w:rFonts w:cs="仿宋" w:asciiTheme="majorEastAsia" w:hAnsiTheme="majorEastAsia" w:eastAsiaTheme="majorEastAsia"/>
          <w:b/>
          <w:bCs/>
          <w:color w:val="auto"/>
          <w:sz w:val="44"/>
          <w:szCs w:val="44"/>
        </w:rPr>
      </w:pPr>
    </w:p>
    <w:p>
      <w:pPr>
        <w:shd w:val="clear"/>
        <w:jc w:val="center"/>
        <w:rPr>
          <w:rFonts w:cs="仿宋" w:asciiTheme="majorEastAsia" w:hAnsiTheme="majorEastAsia" w:eastAsiaTheme="majorEastAsia"/>
          <w:b/>
          <w:bCs/>
          <w:color w:val="auto"/>
          <w:sz w:val="44"/>
          <w:szCs w:val="44"/>
        </w:rPr>
      </w:pPr>
    </w:p>
    <w:p>
      <w:pPr>
        <w:pageBreakBefore/>
        <w:shd w:val="clear"/>
        <w:rPr>
          <w:rFonts w:asciiTheme="majorEastAsia" w:hAnsiTheme="majorEastAsia" w:eastAsiaTheme="majorEastAsia"/>
          <w:b/>
          <w:color w:val="auto"/>
          <w:sz w:val="32"/>
          <w:szCs w:val="32"/>
        </w:rPr>
      </w:pPr>
      <w:r>
        <w:rPr>
          <w:rFonts w:hint="eastAsia" w:asciiTheme="majorEastAsia" w:hAnsiTheme="majorEastAsia" w:eastAsiaTheme="majorEastAsia"/>
          <w:b/>
          <w:color w:val="auto"/>
          <w:sz w:val="32"/>
          <w:szCs w:val="32"/>
        </w:rPr>
        <w:t>中小企业声明函</w:t>
      </w:r>
    </w:p>
    <w:p>
      <w:pPr>
        <w:shd w:val="clear"/>
        <w:rPr>
          <w:rFonts w:asciiTheme="majorEastAsia" w:hAnsiTheme="majorEastAsia" w:eastAsiaTheme="majorEastAsia"/>
          <w:b/>
          <w:color w:val="auto"/>
          <w:sz w:val="32"/>
          <w:szCs w:val="32"/>
        </w:rPr>
      </w:pPr>
      <w:r>
        <w:rPr>
          <w:rFonts w:hint="eastAsia" w:cs="仿宋_GB2312" w:asciiTheme="majorEastAsia" w:hAnsiTheme="majorEastAsia" w:eastAsiaTheme="majorEastAsia"/>
          <w:b/>
          <w:color w:val="auto"/>
          <w:sz w:val="24"/>
        </w:rPr>
        <w:t xml:space="preserve"> [为落实政府采购政策，符合《政府采购促进中小企业发展管理办法》和《浙江省财政厅关于进一步发挥政府采购政策功能全力推动经济稳进提质的通知》规定的中小微企业拟享受扶持政策的，需提供中小企业声明函</w:t>
      </w:r>
      <w:r>
        <w:rPr>
          <w:rFonts w:cs="仿宋_GB2312" w:asciiTheme="majorEastAsia" w:hAnsiTheme="majorEastAsia" w:eastAsiaTheme="majorEastAsia"/>
          <w:b/>
          <w:color w:val="auto"/>
          <w:sz w:val="24"/>
        </w:rPr>
        <w:t>。</w:t>
      </w:r>
      <w:r>
        <w:rPr>
          <w:rFonts w:hint="eastAsia" w:cs="仿宋_GB2312" w:asciiTheme="majorEastAsia" w:hAnsiTheme="majorEastAsia" w:eastAsiaTheme="majorEastAsia"/>
          <w:b/>
          <w:color w:val="auto"/>
          <w:sz w:val="24"/>
        </w:rPr>
        <w:t>]</w:t>
      </w: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jc w:val="center"/>
        <w:rPr>
          <w:rFonts w:cs="仿宋_GB2312" w:asciiTheme="majorEastAsia" w:hAnsiTheme="majorEastAsia" w:eastAsiaTheme="majorEastAsia"/>
          <w:b/>
          <w:color w:val="auto"/>
          <w:sz w:val="32"/>
        </w:rPr>
      </w:pPr>
      <w:r>
        <w:rPr>
          <w:rFonts w:hint="eastAsia" w:cs="仿宋_GB2312" w:asciiTheme="majorEastAsia" w:hAnsiTheme="majorEastAsia" w:eastAsiaTheme="majorEastAsia"/>
          <w:b/>
          <w:color w:val="auto"/>
          <w:sz w:val="32"/>
        </w:rPr>
        <w:t>中小企业声明函（货物）</w:t>
      </w:r>
    </w:p>
    <w:p>
      <w:pPr>
        <w:shd w:val="clear"/>
        <w:spacing w:line="340" w:lineRule="exact"/>
        <w:ind w:firstLine="480" w:firstLineChars="200"/>
        <w:jc w:val="left"/>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本公司（联合体）郑重声明，根据《政府采购促进中小企业发展管理办法》 （财库</w:t>
      </w:r>
      <w:r>
        <w:rPr>
          <w:rFonts w:hint="eastAsia" w:cs="宋体" w:asciiTheme="majorEastAsia" w:hAnsiTheme="majorEastAsia" w:eastAsiaTheme="majorEastAsia"/>
          <w:color w:val="auto"/>
          <w:sz w:val="24"/>
        </w:rPr>
        <w:t>﹝</w:t>
      </w:r>
      <w:r>
        <w:rPr>
          <w:rFonts w:hint="eastAsia" w:cs="仿宋_GB2312" w:asciiTheme="majorEastAsia" w:hAnsiTheme="majorEastAsia" w:eastAsiaTheme="majorEastAsia"/>
          <w:color w:val="auto"/>
          <w:sz w:val="24"/>
        </w:rPr>
        <w:t>2020</w:t>
      </w:r>
      <w:r>
        <w:rPr>
          <w:rFonts w:hint="eastAsia" w:cs="宋体" w:asciiTheme="majorEastAsia" w:hAnsiTheme="majorEastAsia" w:eastAsiaTheme="majorEastAsia"/>
          <w:color w:val="auto"/>
          <w:sz w:val="24"/>
        </w:rPr>
        <w:t>﹞</w:t>
      </w:r>
      <w:r>
        <w:rPr>
          <w:rFonts w:hint="eastAsia" w:cs="仿宋_GB2312" w:asciiTheme="majorEastAsia" w:hAnsiTheme="majorEastAsia" w:eastAsiaTheme="majorEastAsia"/>
          <w:color w:val="auto"/>
          <w:sz w:val="24"/>
        </w:rPr>
        <w:t>46 号）的规定，本公司（联合体）参加</w:t>
      </w:r>
      <w:r>
        <w:rPr>
          <w:rFonts w:hint="eastAsia" w:cs="仿宋_GB2312" w:asciiTheme="majorEastAsia" w:hAnsiTheme="majorEastAsia" w:eastAsiaTheme="majorEastAsia"/>
          <w:color w:val="auto"/>
          <w:sz w:val="24"/>
          <w:u w:val="single"/>
        </w:rPr>
        <w:t xml:space="preserve"> xxx </w:t>
      </w:r>
      <w:r>
        <w:rPr>
          <w:rFonts w:hint="eastAsia" w:cs="仿宋_GB2312" w:asciiTheme="majorEastAsia" w:hAnsiTheme="majorEastAsia" w:eastAsiaTheme="majorEastAsia"/>
          <w:color w:val="auto"/>
          <w:sz w:val="24"/>
        </w:rPr>
        <w:t>的</w:t>
      </w:r>
      <w:r>
        <w:rPr>
          <w:rFonts w:hint="eastAsia" w:cs="仿宋_GB2312" w:asciiTheme="majorEastAsia" w:hAnsiTheme="majorEastAsia" w:eastAsiaTheme="majorEastAsia"/>
          <w:color w:val="auto"/>
          <w:sz w:val="24"/>
          <w:u w:val="single"/>
        </w:rPr>
        <w:t>xxx项目</w:t>
      </w:r>
      <w:r>
        <w:rPr>
          <w:rFonts w:hint="eastAsia" w:cs="仿宋_GB2312" w:asciiTheme="majorEastAsia" w:hAnsiTheme="majorEastAsia" w:eastAsiaTheme="majorEastAsia"/>
          <w:color w:val="auto"/>
          <w:sz w:val="24"/>
        </w:rPr>
        <w:t>采购活动，提供的货物全部由符合政策要求的中小企业制造。相关企业（含联合体中的中小企业、签订分包意向协议的中小企业）的具体情况如下：</w:t>
      </w:r>
    </w:p>
    <w:p>
      <w:pPr>
        <w:shd w:val="clear"/>
        <w:spacing w:line="340" w:lineRule="exact"/>
        <w:ind w:firstLine="480" w:firstLineChars="200"/>
        <w:jc w:val="left"/>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1.</w:t>
      </w:r>
      <w:r>
        <w:rPr>
          <w:rFonts w:hint="eastAsia" w:cs="仿宋_GB2312" w:asciiTheme="majorEastAsia" w:hAnsiTheme="majorEastAsia" w:eastAsiaTheme="majorEastAsia"/>
          <w:color w:val="auto"/>
          <w:sz w:val="24"/>
          <w:u w:val="single"/>
        </w:rPr>
        <w:t xml:space="preserve">        （标的名称）</w:t>
      </w:r>
      <w:r>
        <w:rPr>
          <w:rFonts w:hint="eastAsia" w:cs="仿宋_GB2312" w:asciiTheme="majorEastAsia" w:hAnsiTheme="majorEastAsia" w:eastAsiaTheme="majorEastAsia"/>
          <w:color w:val="auto"/>
          <w:sz w:val="24"/>
        </w:rPr>
        <w:t>，属于</w:t>
      </w:r>
      <w:r>
        <w:rPr>
          <w:rFonts w:hint="eastAsia" w:cs="仿宋_GB2312" w:asciiTheme="majorEastAsia" w:hAnsiTheme="majorEastAsia" w:eastAsiaTheme="majorEastAsia"/>
          <w:color w:val="auto"/>
          <w:sz w:val="24"/>
          <w:u w:val="single"/>
        </w:rPr>
        <w:t>（采购文件中明确的所属行业）</w:t>
      </w:r>
      <w:r>
        <w:rPr>
          <w:rFonts w:hint="eastAsia" w:cs="仿宋_GB2312" w:asciiTheme="majorEastAsia" w:hAnsiTheme="majorEastAsia" w:eastAsiaTheme="majorEastAsia"/>
          <w:color w:val="auto"/>
          <w:sz w:val="24"/>
        </w:rPr>
        <w:t>行业 ；制造商为</w:t>
      </w:r>
      <w:r>
        <w:rPr>
          <w:rFonts w:hint="eastAsia" w:cs="仿宋_GB2312" w:asciiTheme="majorEastAsia" w:hAnsiTheme="majorEastAsia" w:eastAsiaTheme="majorEastAsia"/>
          <w:color w:val="auto"/>
          <w:sz w:val="24"/>
          <w:u w:val="single"/>
        </w:rPr>
        <w:t xml:space="preserve">           （企业名称） </w:t>
      </w:r>
      <w:r>
        <w:rPr>
          <w:rFonts w:hint="eastAsia" w:cs="仿宋_GB2312" w:asciiTheme="majorEastAsia" w:hAnsiTheme="majorEastAsia" w:eastAsiaTheme="majorEastAsia"/>
          <w:color w:val="auto"/>
          <w:sz w:val="24"/>
        </w:rPr>
        <w:t>，从业人员人，营业收入为万元，资产总额为万元，属于</w:t>
      </w:r>
      <w:r>
        <w:rPr>
          <w:rFonts w:hint="eastAsia" w:cs="仿宋_GB2312" w:asciiTheme="majorEastAsia" w:hAnsiTheme="majorEastAsia" w:eastAsiaTheme="majorEastAsia"/>
          <w:color w:val="auto"/>
          <w:sz w:val="24"/>
          <w:u w:val="single"/>
        </w:rPr>
        <w:t xml:space="preserve">     （中型企业、小型企业、微型企业）</w:t>
      </w:r>
      <w:r>
        <w:rPr>
          <w:rFonts w:hint="eastAsia" w:cs="仿宋_GB2312" w:asciiTheme="majorEastAsia" w:hAnsiTheme="majorEastAsia" w:eastAsiaTheme="majorEastAsia"/>
          <w:color w:val="auto"/>
          <w:sz w:val="24"/>
        </w:rPr>
        <w:t xml:space="preserve"> ；</w:t>
      </w:r>
    </w:p>
    <w:p>
      <w:pPr>
        <w:shd w:val="clear"/>
        <w:spacing w:line="340" w:lineRule="exact"/>
        <w:ind w:firstLine="480" w:firstLineChars="200"/>
        <w:jc w:val="left"/>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2.</w:t>
      </w:r>
      <w:r>
        <w:rPr>
          <w:rFonts w:hint="eastAsia" w:cs="仿宋_GB2312" w:asciiTheme="majorEastAsia" w:hAnsiTheme="majorEastAsia" w:eastAsiaTheme="majorEastAsia"/>
          <w:color w:val="auto"/>
          <w:sz w:val="24"/>
          <w:u w:val="single"/>
        </w:rPr>
        <w:t xml:space="preserve">        （标的名称）</w:t>
      </w:r>
      <w:r>
        <w:rPr>
          <w:rFonts w:hint="eastAsia" w:cs="仿宋_GB2312" w:asciiTheme="majorEastAsia" w:hAnsiTheme="majorEastAsia" w:eastAsiaTheme="majorEastAsia"/>
          <w:color w:val="auto"/>
          <w:sz w:val="24"/>
        </w:rPr>
        <w:t>，属于</w:t>
      </w:r>
      <w:r>
        <w:rPr>
          <w:rFonts w:hint="eastAsia" w:cs="仿宋_GB2312" w:asciiTheme="majorEastAsia" w:hAnsiTheme="majorEastAsia" w:eastAsiaTheme="majorEastAsia"/>
          <w:color w:val="auto"/>
          <w:sz w:val="24"/>
          <w:u w:val="single"/>
        </w:rPr>
        <w:t>（采购文件中明确的所属行业）</w:t>
      </w:r>
      <w:r>
        <w:rPr>
          <w:rFonts w:hint="eastAsia" w:cs="仿宋_GB2312" w:asciiTheme="majorEastAsia" w:hAnsiTheme="majorEastAsia" w:eastAsiaTheme="majorEastAsia"/>
          <w:color w:val="auto"/>
          <w:sz w:val="24"/>
        </w:rPr>
        <w:t>行业 ；制造商为</w:t>
      </w:r>
      <w:r>
        <w:rPr>
          <w:rFonts w:hint="eastAsia" w:cs="仿宋_GB2312" w:asciiTheme="majorEastAsia" w:hAnsiTheme="majorEastAsia" w:eastAsiaTheme="majorEastAsia"/>
          <w:color w:val="auto"/>
          <w:sz w:val="24"/>
          <w:u w:val="single"/>
        </w:rPr>
        <w:t xml:space="preserve">           （企业名称） </w:t>
      </w:r>
      <w:r>
        <w:rPr>
          <w:rFonts w:hint="eastAsia" w:cs="仿宋_GB2312" w:asciiTheme="majorEastAsia" w:hAnsiTheme="majorEastAsia" w:eastAsiaTheme="majorEastAsia"/>
          <w:color w:val="auto"/>
          <w:sz w:val="24"/>
        </w:rPr>
        <w:t>，从业人员人，营业收入为万元，资产总额为万元，属于</w:t>
      </w:r>
      <w:r>
        <w:rPr>
          <w:rFonts w:hint="eastAsia" w:cs="仿宋_GB2312" w:asciiTheme="majorEastAsia" w:hAnsiTheme="majorEastAsia" w:eastAsiaTheme="majorEastAsia"/>
          <w:color w:val="auto"/>
          <w:sz w:val="24"/>
          <w:u w:val="single"/>
        </w:rPr>
        <w:t xml:space="preserve">     （中型企业、小型企业、微型企业）</w:t>
      </w:r>
      <w:r>
        <w:rPr>
          <w:rFonts w:hint="eastAsia" w:cs="仿宋_GB2312" w:asciiTheme="majorEastAsia" w:hAnsiTheme="majorEastAsia" w:eastAsiaTheme="majorEastAsia"/>
          <w:color w:val="auto"/>
          <w:sz w:val="24"/>
        </w:rPr>
        <w:t xml:space="preserve"> ；</w:t>
      </w:r>
    </w:p>
    <w:p>
      <w:pPr>
        <w:shd w:val="clear"/>
        <w:spacing w:line="340" w:lineRule="exact"/>
        <w:ind w:firstLine="480" w:firstLineChars="200"/>
        <w:jc w:val="left"/>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w:t>
      </w:r>
    </w:p>
    <w:p>
      <w:pPr>
        <w:shd w:val="clear"/>
        <w:spacing w:line="340" w:lineRule="exact"/>
        <w:ind w:firstLine="480" w:firstLineChars="200"/>
        <w:jc w:val="left"/>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以上企业，不属于大企业的分支机构，不存在控股股东为大企业的情形，也不存在与大企业的负责人为同一人的情形。</w:t>
      </w:r>
    </w:p>
    <w:p>
      <w:pPr>
        <w:shd w:val="clear"/>
        <w:spacing w:line="340" w:lineRule="exact"/>
        <w:ind w:firstLine="480" w:firstLineChars="200"/>
        <w:jc w:val="left"/>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本企业对上述声明内容的真实性负责。如有虚假，将依法承担相应责任。</w:t>
      </w:r>
    </w:p>
    <w:p>
      <w:pPr>
        <w:shd w:val="clear"/>
        <w:ind w:right="420" w:firstLine="5880" w:firstLineChars="2450"/>
        <w:jc w:val="left"/>
        <w:rPr>
          <w:rFonts w:cs="仿宋_GB2312" w:asciiTheme="majorEastAsia" w:hAnsiTheme="majorEastAsia" w:eastAsiaTheme="majorEastAsia"/>
          <w:color w:val="auto"/>
          <w:sz w:val="24"/>
        </w:rPr>
      </w:pPr>
    </w:p>
    <w:p>
      <w:pPr>
        <w:shd w:val="clear"/>
        <w:ind w:right="420" w:firstLine="5880" w:firstLineChars="2450"/>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 xml:space="preserve">企业名称（盖章）： </w:t>
      </w:r>
    </w:p>
    <w:p>
      <w:pPr>
        <w:shd w:val="clear"/>
        <w:ind w:right="420"/>
        <w:jc w:val="right"/>
        <w:rPr>
          <w:rFonts w:asciiTheme="majorEastAsia" w:hAnsiTheme="majorEastAsia" w:eastAsiaTheme="majorEastAsia"/>
          <w:color w:val="auto"/>
        </w:rPr>
      </w:pPr>
      <w:r>
        <w:rPr>
          <w:rFonts w:hint="eastAsia" w:cs="仿宋_GB2312" w:asciiTheme="majorEastAsia" w:hAnsiTheme="majorEastAsia" w:eastAsiaTheme="majorEastAsia"/>
          <w:color w:val="auto"/>
          <w:sz w:val="24"/>
        </w:rPr>
        <w:t xml:space="preserve">日期：   年   月 </w:t>
      </w:r>
      <w:r>
        <w:rPr>
          <w:rFonts w:hint="eastAsia" w:asciiTheme="majorEastAsia" w:hAnsiTheme="majorEastAsia" w:eastAsiaTheme="majorEastAsia"/>
          <w:color w:val="auto"/>
        </w:rPr>
        <w:t xml:space="preserve">  日</w:t>
      </w:r>
    </w:p>
    <w:p>
      <w:pPr>
        <w:shd w:val="clear"/>
        <w:jc w:val="center"/>
        <w:rPr>
          <w:rFonts w:cs="仿宋_GB2312" w:asciiTheme="majorEastAsia" w:hAnsiTheme="majorEastAsia" w:eastAsiaTheme="majorEastAsia"/>
          <w:b/>
          <w:color w:val="auto"/>
          <w:sz w:val="18"/>
        </w:rPr>
      </w:pPr>
    </w:p>
    <w:p>
      <w:pPr>
        <w:shd w:val="clear"/>
        <w:jc w:val="center"/>
        <w:rPr>
          <w:rFonts w:cs="仿宋_GB2312" w:asciiTheme="majorEastAsia" w:hAnsiTheme="majorEastAsia" w:eastAsiaTheme="majorEastAsia"/>
          <w:b/>
          <w:color w:val="auto"/>
          <w:sz w:val="32"/>
        </w:rPr>
      </w:pPr>
    </w:p>
    <w:p>
      <w:pPr>
        <w:shd w:val="clear"/>
        <w:jc w:val="center"/>
        <w:rPr>
          <w:rFonts w:cs="仿宋_GB2312" w:asciiTheme="majorEastAsia" w:hAnsiTheme="majorEastAsia" w:eastAsiaTheme="majorEastAsia"/>
          <w:b/>
          <w:color w:val="auto"/>
          <w:sz w:val="32"/>
        </w:rPr>
      </w:pPr>
    </w:p>
    <w:p>
      <w:pPr>
        <w:shd w:val="clear"/>
        <w:rPr>
          <w:rFonts w:cs="仿宋_GB2312" w:asciiTheme="majorEastAsia" w:hAnsiTheme="majorEastAsia" w:eastAsiaTheme="majorEastAsia"/>
          <w:b/>
          <w:color w:val="auto"/>
          <w:sz w:val="24"/>
        </w:rPr>
      </w:pPr>
      <w:r>
        <w:rPr>
          <w:rFonts w:hint="eastAsia" w:cs="仿宋_GB2312" w:asciiTheme="majorEastAsia" w:hAnsiTheme="majorEastAsia" w:eastAsiaTheme="majorEastAsia"/>
          <w:b/>
          <w:color w:val="auto"/>
          <w:sz w:val="24"/>
        </w:rPr>
        <w:t>注：</w:t>
      </w:r>
    </w:p>
    <w:p>
      <w:pPr>
        <w:shd w:val="clear"/>
        <w:rPr>
          <w:rFonts w:asciiTheme="majorEastAsia" w:hAnsiTheme="majorEastAsia" w:eastAsiaTheme="majorEastAsia"/>
          <w:b/>
          <w:color w:val="auto"/>
          <w:sz w:val="24"/>
        </w:rPr>
      </w:pPr>
      <w:r>
        <w:rPr>
          <w:rFonts w:hint="eastAsia" w:asciiTheme="majorEastAsia" w:hAnsiTheme="majorEastAsia" w:eastAsiaTheme="majorEastAsia"/>
          <w:b/>
          <w:color w:val="auto"/>
          <w:sz w:val="24"/>
        </w:rPr>
        <w:t>1.填写要求：①“标的名称”、“采购文件中明确的所属行业”依据磋商文件第二部分磋商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和《国家统计局关于印发〈统计上大中小微型企业划分办法（2017）〉的通知》和《中国人民银行中国银行业监督管理委员会中国证券监督管理委员会中国保险监督管理委员会国家统计局关于印发〈金融业企业划型标准规定〉的通知》（详见文末）中的企业划型标准进行填报（</w:t>
      </w:r>
      <w:r>
        <w:rPr>
          <w:rFonts w:hint="eastAsia" w:cs="仿宋_GB2312" w:asciiTheme="majorEastAsia" w:hAnsiTheme="majorEastAsia" w:eastAsiaTheme="majorEastAsia"/>
          <w:color w:val="auto"/>
          <w:sz w:val="24"/>
        </w:rPr>
        <w:t>如国家颁布新的企业划型标准，则按最新标准执行。</w:t>
      </w:r>
      <w:r>
        <w:rPr>
          <w:rFonts w:hint="eastAsia" w:asciiTheme="majorEastAsia" w:hAnsiTheme="majorEastAsia" w:eastAsiaTheme="majorEastAsia"/>
          <w:b/>
          <w:color w:val="auto"/>
          <w:sz w:val="24"/>
        </w:rPr>
        <w:t>）；④磋商响应人提供的《中小企业声明函》与实际情况不符的或者未按以上要求填写的，中小企业声明函无效，不享受中小企业扶持政策。声明内容不实的，属于提供虚假材料谋取中标、成交的，依法承担法律责任。</w:t>
      </w:r>
    </w:p>
    <w:p>
      <w:pPr>
        <w:shd w:val="clear"/>
        <w:rPr>
          <w:rFonts w:cs="仿宋_GB2312" w:asciiTheme="majorEastAsia" w:hAnsiTheme="majorEastAsia" w:eastAsiaTheme="majorEastAsia"/>
          <w:color w:val="auto"/>
          <w:sz w:val="24"/>
        </w:rPr>
      </w:pPr>
      <w:r>
        <w:rPr>
          <w:rFonts w:hint="eastAsia" w:asciiTheme="majorEastAsia" w:hAnsiTheme="majorEastAsia" w:eastAsiaTheme="majorEastAsia"/>
          <w:color w:val="auto"/>
          <w:sz w:val="24"/>
        </w:rPr>
        <w:t>2.根据《政府采购促进中小企业发展管理办法》的通知（财库〔2020〕46号）规定，</w:t>
      </w:r>
      <w:r>
        <w:rPr>
          <w:rFonts w:hint="eastAsia" w:cs="仿宋_GB2312" w:asciiTheme="majorEastAsia" w:hAnsiTheme="majorEastAsia" w:eastAsiaTheme="majorEastAsia"/>
          <w:color w:val="auto"/>
          <w:sz w:val="24"/>
        </w:rPr>
        <w:t>中标、成交供应商享受中小企业扶持政策的，采购代理机构将随中标、成交结果公开中标、成交供应商的《中小企业声明函》。</w:t>
      </w:r>
    </w:p>
    <w:p>
      <w:pPr>
        <w:pageBreakBefore/>
        <w:shd w:val="clear"/>
        <w:jc w:val="center"/>
        <w:rPr>
          <w:rFonts w:cs="仿宋_GB2312" w:asciiTheme="majorEastAsia" w:hAnsiTheme="majorEastAsia" w:eastAsiaTheme="majorEastAsia"/>
          <w:b/>
          <w:color w:val="auto"/>
          <w:sz w:val="32"/>
        </w:rPr>
      </w:pPr>
      <w:r>
        <w:rPr>
          <w:rFonts w:hint="eastAsia" w:cs="仿宋_GB2312" w:asciiTheme="majorEastAsia" w:hAnsiTheme="majorEastAsia" w:eastAsiaTheme="majorEastAsia"/>
          <w:b/>
          <w:color w:val="auto"/>
          <w:sz w:val="32"/>
        </w:rPr>
        <w:t>中小企业声明函（工程、服务）</w:t>
      </w:r>
    </w:p>
    <w:p>
      <w:pPr>
        <w:shd w:val="clear"/>
        <w:spacing w:line="340" w:lineRule="exact"/>
        <w:ind w:firstLine="480" w:firstLineChars="200"/>
        <w:jc w:val="left"/>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本公司（联合体）郑重声明，根据《政府采购促进中小企业发展管理办法》 （财库</w:t>
      </w:r>
      <w:r>
        <w:rPr>
          <w:rFonts w:hint="eastAsia" w:cs="宋体" w:asciiTheme="majorEastAsia" w:hAnsiTheme="majorEastAsia" w:eastAsiaTheme="majorEastAsia"/>
          <w:color w:val="auto"/>
          <w:sz w:val="24"/>
        </w:rPr>
        <w:t>﹝</w:t>
      </w:r>
      <w:r>
        <w:rPr>
          <w:rFonts w:hint="eastAsia" w:cs="仿宋_GB2312" w:asciiTheme="majorEastAsia" w:hAnsiTheme="majorEastAsia" w:eastAsiaTheme="majorEastAsia"/>
          <w:color w:val="auto"/>
          <w:sz w:val="24"/>
        </w:rPr>
        <w:t>2020</w:t>
      </w:r>
      <w:r>
        <w:rPr>
          <w:rFonts w:hint="eastAsia" w:cs="宋体" w:asciiTheme="majorEastAsia" w:hAnsiTheme="majorEastAsia" w:eastAsiaTheme="majorEastAsia"/>
          <w:color w:val="auto"/>
          <w:sz w:val="24"/>
        </w:rPr>
        <w:t>﹞</w:t>
      </w:r>
      <w:r>
        <w:rPr>
          <w:rFonts w:hint="eastAsia" w:cs="仿宋_GB2312" w:asciiTheme="majorEastAsia" w:hAnsiTheme="majorEastAsia" w:eastAsiaTheme="majorEastAsia"/>
          <w:color w:val="auto"/>
          <w:sz w:val="24"/>
        </w:rPr>
        <w:t>46 号）的规定，本公司（联合体）参加</w:t>
      </w:r>
      <w:r>
        <w:rPr>
          <w:rFonts w:hint="eastAsia" w:cs="仿宋_GB2312" w:asciiTheme="majorEastAsia" w:hAnsiTheme="majorEastAsia" w:eastAsiaTheme="majorEastAsia"/>
          <w:color w:val="auto"/>
          <w:sz w:val="24"/>
          <w:u w:val="single"/>
        </w:rPr>
        <w:t xml:space="preserve"> xxx </w:t>
      </w:r>
      <w:r>
        <w:rPr>
          <w:rFonts w:hint="eastAsia" w:cs="仿宋_GB2312" w:asciiTheme="majorEastAsia" w:hAnsiTheme="majorEastAsia" w:eastAsiaTheme="majorEastAsia"/>
          <w:color w:val="auto"/>
          <w:sz w:val="24"/>
        </w:rPr>
        <w:t>的</w:t>
      </w:r>
      <w:r>
        <w:rPr>
          <w:rFonts w:hint="eastAsia" w:cs="仿宋_GB2312" w:asciiTheme="majorEastAsia" w:hAnsiTheme="majorEastAsia" w:eastAsiaTheme="majorEastAsia"/>
          <w:color w:val="auto"/>
          <w:sz w:val="24"/>
          <w:u w:val="single"/>
        </w:rPr>
        <w:t>xxx项目</w:t>
      </w:r>
      <w:r>
        <w:rPr>
          <w:rFonts w:hint="eastAsia" w:cs="仿宋_GB2312" w:asciiTheme="majorEastAsia" w:hAnsiTheme="majorEastAsia" w:eastAsiaTheme="majorEastAsia"/>
          <w:color w:val="auto"/>
          <w:sz w:val="24"/>
        </w:rPr>
        <w:t>采购活动，工程的施工单位全部为符合政策要求的中小企业（或者：服务全部由符合政策要求的中小企业承接） 。相关企业（含联合体中的中小企业、签订分包意向协议的中小企业）的具体情况如下：</w:t>
      </w:r>
    </w:p>
    <w:p>
      <w:pPr>
        <w:shd w:val="clear"/>
        <w:spacing w:line="340" w:lineRule="exact"/>
        <w:ind w:firstLine="480" w:firstLineChars="200"/>
        <w:jc w:val="left"/>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1.</w:t>
      </w:r>
      <w:r>
        <w:rPr>
          <w:rFonts w:hint="eastAsia" w:cs="仿宋_GB2312" w:asciiTheme="majorEastAsia" w:hAnsiTheme="majorEastAsia" w:eastAsiaTheme="majorEastAsia"/>
          <w:color w:val="auto"/>
          <w:sz w:val="24"/>
          <w:u w:val="single"/>
        </w:rPr>
        <w:t xml:space="preserve">        （标的名称）</w:t>
      </w:r>
      <w:r>
        <w:rPr>
          <w:rFonts w:hint="eastAsia" w:cs="仿宋_GB2312" w:asciiTheme="majorEastAsia" w:hAnsiTheme="majorEastAsia" w:eastAsiaTheme="majorEastAsia"/>
          <w:color w:val="auto"/>
          <w:sz w:val="24"/>
        </w:rPr>
        <w:t>，属于</w:t>
      </w:r>
      <w:r>
        <w:rPr>
          <w:rFonts w:hint="eastAsia" w:cs="仿宋_GB2312" w:asciiTheme="majorEastAsia" w:hAnsiTheme="majorEastAsia" w:eastAsiaTheme="majorEastAsia"/>
          <w:color w:val="auto"/>
          <w:sz w:val="24"/>
          <w:u w:val="single"/>
        </w:rPr>
        <w:t>（采购文件中明确的所属行业）行业</w:t>
      </w:r>
      <w:r>
        <w:rPr>
          <w:rFonts w:hint="eastAsia" w:cs="仿宋_GB2312" w:asciiTheme="majorEastAsia" w:hAnsiTheme="majorEastAsia" w:eastAsiaTheme="majorEastAsia"/>
          <w:color w:val="auto"/>
          <w:sz w:val="24"/>
        </w:rPr>
        <w:t>；承建（承接）企业为</w:t>
      </w:r>
      <w:r>
        <w:rPr>
          <w:rFonts w:hint="eastAsia" w:cs="仿宋_GB2312" w:asciiTheme="majorEastAsia" w:hAnsiTheme="majorEastAsia" w:eastAsiaTheme="majorEastAsia"/>
          <w:color w:val="auto"/>
          <w:sz w:val="24"/>
          <w:u w:val="single"/>
        </w:rPr>
        <w:t xml:space="preserve">           （企业名称） </w:t>
      </w:r>
      <w:r>
        <w:rPr>
          <w:rFonts w:hint="eastAsia" w:cs="仿宋_GB2312" w:asciiTheme="majorEastAsia" w:hAnsiTheme="majorEastAsia" w:eastAsiaTheme="majorEastAsia"/>
          <w:color w:val="auto"/>
          <w:sz w:val="24"/>
        </w:rPr>
        <w:t>，从业人员人，营业收入为万元，资产总额为万元，属于</w:t>
      </w:r>
      <w:r>
        <w:rPr>
          <w:rFonts w:hint="eastAsia" w:cs="仿宋_GB2312" w:asciiTheme="majorEastAsia" w:hAnsiTheme="majorEastAsia" w:eastAsiaTheme="majorEastAsia"/>
          <w:color w:val="auto"/>
          <w:sz w:val="24"/>
          <w:u w:val="single"/>
        </w:rPr>
        <w:t xml:space="preserve">          （中型企业、小型企业、微型企业）</w:t>
      </w:r>
      <w:r>
        <w:rPr>
          <w:rFonts w:hint="eastAsia" w:cs="仿宋_GB2312" w:asciiTheme="majorEastAsia" w:hAnsiTheme="majorEastAsia" w:eastAsiaTheme="majorEastAsia"/>
          <w:color w:val="auto"/>
          <w:sz w:val="24"/>
        </w:rPr>
        <w:t xml:space="preserve"> ；</w:t>
      </w:r>
    </w:p>
    <w:p>
      <w:pPr>
        <w:shd w:val="clear"/>
        <w:spacing w:line="340" w:lineRule="exact"/>
        <w:ind w:firstLine="480" w:firstLineChars="200"/>
        <w:jc w:val="left"/>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2.</w:t>
      </w:r>
      <w:r>
        <w:rPr>
          <w:rFonts w:hint="eastAsia" w:cs="仿宋_GB2312" w:asciiTheme="majorEastAsia" w:hAnsiTheme="majorEastAsia" w:eastAsiaTheme="majorEastAsia"/>
          <w:color w:val="auto"/>
          <w:sz w:val="24"/>
          <w:u w:val="single"/>
        </w:rPr>
        <w:t xml:space="preserve">        （标的名称）</w:t>
      </w:r>
      <w:r>
        <w:rPr>
          <w:rFonts w:hint="eastAsia" w:cs="仿宋_GB2312" w:asciiTheme="majorEastAsia" w:hAnsiTheme="majorEastAsia" w:eastAsiaTheme="majorEastAsia"/>
          <w:color w:val="auto"/>
          <w:sz w:val="24"/>
        </w:rPr>
        <w:t>，属于</w:t>
      </w:r>
      <w:r>
        <w:rPr>
          <w:rFonts w:hint="eastAsia" w:cs="仿宋_GB2312" w:asciiTheme="majorEastAsia" w:hAnsiTheme="majorEastAsia" w:eastAsiaTheme="majorEastAsia"/>
          <w:color w:val="auto"/>
          <w:sz w:val="24"/>
          <w:u w:val="single"/>
        </w:rPr>
        <w:t>（采购文件中明确的所属行业）行业</w:t>
      </w:r>
      <w:r>
        <w:rPr>
          <w:rFonts w:hint="eastAsia" w:cs="仿宋_GB2312" w:asciiTheme="majorEastAsia" w:hAnsiTheme="majorEastAsia" w:eastAsiaTheme="majorEastAsia"/>
          <w:color w:val="auto"/>
          <w:sz w:val="24"/>
        </w:rPr>
        <w:t>；承建（承接）企业为</w:t>
      </w:r>
      <w:r>
        <w:rPr>
          <w:rFonts w:hint="eastAsia" w:cs="仿宋_GB2312" w:asciiTheme="majorEastAsia" w:hAnsiTheme="majorEastAsia" w:eastAsiaTheme="majorEastAsia"/>
          <w:color w:val="auto"/>
          <w:sz w:val="24"/>
          <w:u w:val="single"/>
        </w:rPr>
        <w:t xml:space="preserve">           （企业名称） </w:t>
      </w:r>
      <w:r>
        <w:rPr>
          <w:rFonts w:hint="eastAsia" w:cs="仿宋_GB2312" w:asciiTheme="majorEastAsia" w:hAnsiTheme="majorEastAsia" w:eastAsiaTheme="majorEastAsia"/>
          <w:color w:val="auto"/>
          <w:sz w:val="24"/>
        </w:rPr>
        <w:t>，从业人员人，营业收入为万元，资产总额为万元 ，属于</w:t>
      </w:r>
      <w:r>
        <w:rPr>
          <w:rFonts w:hint="eastAsia" w:cs="仿宋_GB2312" w:asciiTheme="majorEastAsia" w:hAnsiTheme="majorEastAsia" w:eastAsiaTheme="majorEastAsia"/>
          <w:color w:val="auto"/>
          <w:sz w:val="24"/>
          <w:u w:val="single"/>
        </w:rPr>
        <w:t xml:space="preserve">       （中型企业、小型企业、微型企业）</w:t>
      </w:r>
      <w:r>
        <w:rPr>
          <w:rFonts w:hint="eastAsia" w:cs="仿宋_GB2312" w:asciiTheme="majorEastAsia" w:hAnsiTheme="majorEastAsia" w:eastAsiaTheme="majorEastAsia"/>
          <w:color w:val="auto"/>
          <w:sz w:val="24"/>
        </w:rPr>
        <w:t xml:space="preserve"> ；</w:t>
      </w:r>
    </w:p>
    <w:p>
      <w:pPr>
        <w:shd w:val="clear"/>
        <w:spacing w:line="340" w:lineRule="exact"/>
        <w:ind w:firstLine="480" w:firstLineChars="200"/>
        <w:jc w:val="left"/>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w:t>
      </w:r>
    </w:p>
    <w:p>
      <w:pPr>
        <w:shd w:val="clear"/>
        <w:spacing w:line="340" w:lineRule="exact"/>
        <w:ind w:firstLine="480" w:firstLineChars="200"/>
        <w:jc w:val="left"/>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以上企业，不属于大企业的分支机构，不存在控股股东为大企业的情形，也不存在与大企业的负责人为同一人的情形。</w:t>
      </w:r>
    </w:p>
    <w:p>
      <w:pPr>
        <w:shd w:val="clear"/>
        <w:spacing w:line="340" w:lineRule="exact"/>
        <w:ind w:firstLine="480" w:firstLineChars="200"/>
        <w:jc w:val="left"/>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本企业对上述声明内容的真实性负责。如有虚假，将依法承担相应责任。</w:t>
      </w:r>
    </w:p>
    <w:p>
      <w:pPr>
        <w:shd w:val="clear"/>
        <w:ind w:right="420" w:firstLine="5880" w:firstLineChars="2450"/>
        <w:jc w:val="left"/>
        <w:rPr>
          <w:rFonts w:cs="仿宋_GB2312" w:asciiTheme="majorEastAsia" w:hAnsiTheme="majorEastAsia" w:eastAsiaTheme="majorEastAsia"/>
          <w:color w:val="auto"/>
          <w:sz w:val="24"/>
        </w:rPr>
      </w:pPr>
    </w:p>
    <w:p>
      <w:pPr>
        <w:shd w:val="clear"/>
        <w:ind w:right="420" w:firstLine="5880" w:firstLineChars="2450"/>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 xml:space="preserve">企业名称（盖章）： </w:t>
      </w:r>
    </w:p>
    <w:p>
      <w:pPr>
        <w:shd w:val="clear"/>
        <w:ind w:right="420"/>
        <w:jc w:val="right"/>
        <w:rPr>
          <w:rFonts w:asciiTheme="majorEastAsia" w:hAnsiTheme="majorEastAsia" w:eastAsiaTheme="majorEastAsia"/>
          <w:color w:val="auto"/>
        </w:rPr>
      </w:pPr>
      <w:r>
        <w:rPr>
          <w:rFonts w:hint="eastAsia" w:cs="仿宋_GB2312" w:asciiTheme="majorEastAsia" w:hAnsiTheme="majorEastAsia" w:eastAsiaTheme="majorEastAsia"/>
          <w:color w:val="auto"/>
          <w:sz w:val="24"/>
        </w:rPr>
        <w:t xml:space="preserve">日期：   年   月 </w:t>
      </w:r>
      <w:r>
        <w:rPr>
          <w:rFonts w:hint="eastAsia" w:asciiTheme="majorEastAsia" w:hAnsiTheme="majorEastAsia" w:eastAsiaTheme="majorEastAsia"/>
          <w:color w:val="auto"/>
        </w:rPr>
        <w:t xml:space="preserve">  日</w:t>
      </w:r>
    </w:p>
    <w:p>
      <w:pPr>
        <w:shd w:val="clear"/>
        <w:jc w:val="right"/>
        <w:rPr>
          <w:rFonts w:cs="仿宋_GB2312" w:asciiTheme="majorEastAsia" w:hAnsiTheme="majorEastAsia" w:eastAsiaTheme="majorEastAsia"/>
          <w:color w:val="auto"/>
          <w:sz w:val="24"/>
        </w:rPr>
      </w:pPr>
    </w:p>
    <w:p>
      <w:pPr>
        <w:shd w:val="clear"/>
        <w:rPr>
          <w:rFonts w:cs="仿宋_GB2312" w:asciiTheme="majorEastAsia" w:hAnsiTheme="majorEastAsia" w:eastAsiaTheme="majorEastAsia"/>
          <w:color w:val="auto"/>
          <w:sz w:val="24"/>
        </w:rPr>
      </w:pPr>
    </w:p>
    <w:p>
      <w:pPr>
        <w:shd w:val="clear"/>
        <w:rPr>
          <w:rFonts w:cs="仿宋_GB2312" w:asciiTheme="majorEastAsia" w:hAnsiTheme="majorEastAsia" w:eastAsiaTheme="majorEastAsia"/>
          <w:color w:val="auto"/>
          <w:sz w:val="24"/>
        </w:rPr>
      </w:pPr>
    </w:p>
    <w:p>
      <w:pPr>
        <w:shd w:val="clear"/>
        <w:rPr>
          <w:rFonts w:cs="仿宋_GB2312" w:asciiTheme="majorEastAsia" w:hAnsiTheme="majorEastAsia" w:eastAsiaTheme="majorEastAsia"/>
          <w:color w:val="auto"/>
          <w:sz w:val="24"/>
        </w:rPr>
      </w:pPr>
    </w:p>
    <w:p>
      <w:pPr>
        <w:shd w:val="clear"/>
        <w:rPr>
          <w:rFonts w:cs="仿宋_GB2312" w:asciiTheme="majorEastAsia" w:hAnsiTheme="majorEastAsia" w:eastAsiaTheme="majorEastAsia"/>
          <w:color w:val="auto"/>
          <w:sz w:val="24"/>
        </w:rPr>
      </w:pPr>
    </w:p>
    <w:p>
      <w:pPr>
        <w:shd w:val="clear"/>
        <w:rPr>
          <w:rFonts w:cs="仿宋_GB2312" w:asciiTheme="majorEastAsia" w:hAnsiTheme="majorEastAsia" w:eastAsiaTheme="majorEastAsia"/>
          <w:color w:val="auto"/>
          <w:sz w:val="24"/>
        </w:rPr>
      </w:pPr>
    </w:p>
    <w:p>
      <w:pPr>
        <w:shd w:val="clear"/>
        <w:rPr>
          <w:rFonts w:cs="仿宋_GB2312" w:asciiTheme="majorEastAsia" w:hAnsiTheme="majorEastAsia" w:eastAsiaTheme="majorEastAsia"/>
          <w:b/>
          <w:color w:val="auto"/>
          <w:sz w:val="24"/>
        </w:rPr>
      </w:pPr>
      <w:r>
        <w:rPr>
          <w:rFonts w:hint="eastAsia" w:cs="仿宋_GB2312" w:asciiTheme="majorEastAsia" w:hAnsiTheme="majorEastAsia" w:eastAsiaTheme="majorEastAsia"/>
          <w:b/>
          <w:color w:val="auto"/>
          <w:sz w:val="24"/>
        </w:rPr>
        <w:t>注：</w:t>
      </w:r>
    </w:p>
    <w:p>
      <w:pPr>
        <w:shd w:val="clear"/>
        <w:rPr>
          <w:rFonts w:asciiTheme="majorEastAsia" w:hAnsiTheme="majorEastAsia" w:eastAsiaTheme="majorEastAsia"/>
          <w:b/>
          <w:color w:val="auto"/>
          <w:sz w:val="24"/>
        </w:rPr>
      </w:pPr>
      <w:r>
        <w:rPr>
          <w:rFonts w:hint="eastAsia" w:asciiTheme="majorEastAsia" w:hAnsiTheme="majorEastAsia" w:eastAsiaTheme="majorEastAsia"/>
          <w:b/>
          <w:color w:val="auto"/>
          <w:sz w:val="24"/>
        </w:rPr>
        <w:t>1.填写要求：①“标的名称”、“采购文件中明确的所属行业”依据磋商文件第二部分磋商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和《国家统计局关于印发〈统计上大中小微型企业划分办法（2017）〉的通知》和《中国人民银行中国银行业监督管理委员会中国证券监督管理委员会中国保险监督管理委员会国家统计局关于印发〈金融业企业划型标准规定〉的通知》（详见文末）中的企业划型标准进行填报（</w:t>
      </w:r>
      <w:r>
        <w:rPr>
          <w:rFonts w:hint="eastAsia" w:cs="仿宋_GB2312" w:asciiTheme="majorEastAsia" w:hAnsiTheme="majorEastAsia" w:eastAsiaTheme="majorEastAsia"/>
          <w:color w:val="auto"/>
          <w:sz w:val="24"/>
        </w:rPr>
        <w:t>如国家颁布新的企业划型标准，则按最新标准执行。</w:t>
      </w:r>
      <w:r>
        <w:rPr>
          <w:rFonts w:hint="eastAsia" w:asciiTheme="majorEastAsia" w:hAnsiTheme="majorEastAsia" w:eastAsiaTheme="majorEastAsia"/>
          <w:b/>
          <w:color w:val="auto"/>
          <w:sz w:val="24"/>
        </w:rPr>
        <w:t>）；④磋商响应人提供的《中小企业声明函》与实际情况不符的或者未按以上要求填写的，中小企业声明函无效，不享受中小企业扶持政策。声明内容不实的，属于提供虚假材料谋取中标、成交的，依法承担法律责任。</w:t>
      </w:r>
    </w:p>
    <w:p>
      <w:pPr>
        <w:shd w:val="clear"/>
        <w:rPr>
          <w:rFonts w:cs="仿宋_GB2312" w:asciiTheme="majorEastAsia" w:hAnsiTheme="majorEastAsia" w:eastAsiaTheme="majorEastAsia"/>
          <w:color w:val="auto"/>
          <w:sz w:val="24"/>
        </w:rPr>
      </w:pPr>
      <w:r>
        <w:rPr>
          <w:rFonts w:hint="eastAsia" w:asciiTheme="majorEastAsia" w:hAnsiTheme="majorEastAsia" w:eastAsiaTheme="majorEastAsia"/>
          <w:color w:val="auto"/>
          <w:sz w:val="24"/>
        </w:rPr>
        <w:t>2.根据《政府采购促进中小企业发展管理办法》的通知（财库〔2020〕46号）规定，</w:t>
      </w:r>
      <w:r>
        <w:rPr>
          <w:rFonts w:hint="eastAsia" w:cs="仿宋_GB2312" w:asciiTheme="majorEastAsia" w:hAnsiTheme="majorEastAsia" w:eastAsiaTheme="majorEastAsia"/>
          <w:color w:val="auto"/>
          <w:sz w:val="24"/>
        </w:rPr>
        <w:t>中标、成交供应商享受中小企业扶持政策的，采购代理机构将随中标、成交结果公开中标、成交供应商的《中小企业声明函》。</w:t>
      </w:r>
    </w:p>
    <w:p>
      <w:pPr>
        <w:pageBreakBefore/>
        <w:shd w:val="clear"/>
        <w:spacing w:line="588" w:lineRule="exact"/>
        <w:jc w:val="center"/>
        <w:rPr>
          <w:rFonts w:asciiTheme="majorEastAsia" w:hAnsiTheme="majorEastAsia" w:eastAsiaTheme="majorEastAsia"/>
          <w:b/>
          <w:color w:val="auto"/>
          <w:spacing w:val="6"/>
          <w:sz w:val="32"/>
          <w:szCs w:val="32"/>
        </w:rPr>
      </w:pPr>
      <w:r>
        <w:rPr>
          <w:rFonts w:hint="eastAsia" w:asciiTheme="majorEastAsia" w:hAnsiTheme="majorEastAsia" w:eastAsiaTheme="majorEastAsia"/>
          <w:b/>
          <w:color w:val="auto"/>
          <w:spacing w:val="6"/>
          <w:sz w:val="32"/>
          <w:szCs w:val="32"/>
        </w:rPr>
        <w:t>残疾人福利性单位声明函</w:t>
      </w:r>
    </w:p>
    <w:p>
      <w:pPr>
        <w:shd w:val="clear"/>
        <w:spacing w:line="588" w:lineRule="exact"/>
        <w:rPr>
          <w:rFonts w:asciiTheme="majorEastAsia" w:hAnsiTheme="majorEastAsia" w:eastAsiaTheme="majorEastAsia"/>
          <w:b/>
          <w:color w:val="auto"/>
          <w:spacing w:val="6"/>
          <w:sz w:val="30"/>
          <w:szCs w:val="30"/>
        </w:rPr>
      </w:pPr>
    </w:p>
    <w:p>
      <w:pPr>
        <w:shd w:val="clear"/>
        <w:spacing w:line="588" w:lineRule="exact"/>
        <w:ind w:firstLine="480" w:firstLineChars="200"/>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本单位郑重声明，根据《财政部 民政部 中国残疾人联合会关于促进残疾人就业政府采购政策的通知》（财库〔2017〕 141号）的规定，本单位为符合条件的残疾人福利性单位，且本单位参加的</w:t>
      </w:r>
      <w:r>
        <w:rPr>
          <w:rFonts w:hint="eastAsia" w:cs="仿宋_GB2312" w:asciiTheme="majorEastAsia" w:hAnsiTheme="majorEastAsia" w:eastAsiaTheme="majorEastAsia"/>
          <w:color w:val="auto"/>
          <w:sz w:val="24"/>
          <w:u w:val="single"/>
        </w:rPr>
        <w:t xml:space="preserve">                 项目</w:t>
      </w:r>
      <w:r>
        <w:rPr>
          <w:rFonts w:hint="eastAsia" w:cs="仿宋_GB2312" w:asciiTheme="majorEastAsia" w:hAnsiTheme="majorEastAsia" w:eastAsiaTheme="majorEastAsia"/>
          <w:color w:val="auto"/>
          <w:sz w:val="24"/>
        </w:rPr>
        <w:t>采购活动提供本单位制造的货物（由本单位承担工程/提供服务），或者提供其他残疾人福利性单位制造的货物（不包括使用非残疾人福利性单位注册商标的货物）。</w:t>
      </w:r>
    </w:p>
    <w:p>
      <w:pPr>
        <w:shd w:val="clear"/>
        <w:spacing w:line="588" w:lineRule="exact"/>
        <w:ind w:firstLine="480" w:firstLineChars="200"/>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本单位对上述声明的真实性负责。如有虚假，将依法承担相应责任。</w:t>
      </w:r>
    </w:p>
    <w:p>
      <w:pPr>
        <w:shd w:val="clear"/>
        <w:spacing w:line="588" w:lineRule="exact"/>
        <w:ind w:firstLine="480" w:firstLineChars="200"/>
        <w:rPr>
          <w:rFonts w:cs="仿宋_GB2312" w:asciiTheme="majorEastAsia" w:hAnsiTheme="majorEastAsia" w:eastAsiaTheme="majorEastAsia"/>
          <w:color w:val="auto"/>
          <w:sz w:val="24"/>
        </w:rPr>
      </w:pPr>
    </w:p>
    <w:p>
      <w:pPr>
        <w:shd w:val="clear"/>
        <w:spacing w:line="588" w:lineRule="exact"/>
        <w:ind w:firstLine="480" w:firstLineChars="200"/>
        <w:rPr>
          <w:rFonts w:cs="仿宋_GB2312" w:asciiTheme="majorEastAsia" w:hAnsiTheme="majorEastAsia" w:eastAsiaTheme="majorEastAsia"/>
          <w:color w:val="auto"/>
          <w:sz w:val="24"/>
        </w:rPr>
      </w:pPr>
    </w:p>
    <w:p>
      <w:pPr>
        <w:shd w:val="clear"/>
        <w:ind w:right="420" w:firstLine="5880" w:firstLineChars="2450"/>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 xml:space="preserve">声明单位（盖章）： </w:t>
      </w:r>
    </w:p>
    <w:p>
      <w:pPr>
        <w:shd w:val="clear"/>
        <w:ind w:right="420"/>
        <w:jc w:val="right"/>
        <w:rPr>
          <w:rFonts w:asciiTheme="majorEastAsia" w:hAnsiTheme="majorEastAsia" w:eastAsiaTheme="majorEastAsia"/>
          <w:color w:val="auto"/>
        </w:rPr>
      </w:pPr>
      <w:r>
        <w:rPr>
          <w:rFonts w:hint="eastAsia" w:cs="仿宋_GB2312" w:asciiTheme="majorEastAsia" w:hAnsiTheme="majorEastAsia" w:eastAsiaTheme="majorEastAsia"/>
          <w:color w:val="auto"/>
          <w:sz w:val="24"/>
        </w:rPr>
        <w:t xml:space="preserve">日期：   年     月 </w:t>
      </w:r>
      <w:r>
        <w:rPr>
          <w:rFonts w:hint="eastAsia" w:asciiTheme="majorEastAsia" w:hAnsiTheme="majorEastAsia" w:eastAsiaTheme="majorEastAsia"/>
          <w:color w:val="auto"/>
        </w:rPr>
        <w:t xml:space="preserve">    日</w:t>
      </w:r>
    </w:p>
    <w:p>
      <w:pPr>
        <w:shd w:val="clear"/>
        <w:rPr>
          <w:rFonts w:cs="仿宋_GB2312" w:asciiTheme="majorEastAsia" w:hAnsiTheme="majorEastAsia" w:eastAsiaTheme="majorEastAsia"/>
          <w:color w:val="auto"/>
          <w:sz w:val="24"/>
        </w:rPr>
      </w:pPr>
    </w:p>
    <w:p>
      <w:pPr>
        <w:shd w:val="clea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注：</w:t>
      </w:r>
      <w:r>
        <w:rPr>
          <w:rFonts w:hint="eastAsia" w:asciiTheme="majorEastAsia" w:hAnsiTheme="majorEastAsia" w:eastAsiaTheme="majorEastAsia"/>
          <w:color w:val="auto"/>
          <w:sz w:val="24"/>
        </w:rPr>
        <w:t>根据《财政部 民政部 中国残疾人联合会关于促进残疾人就业政府采购政策的通知》（财库〔2017〕141号）规定填报。</w:t>
      </w:r>
    </w:p>
    <w:p>
      <w:pPr>
        <w:shd w:val="clear"/>
        <w:rPr>
          <w:rFonts w:asciiTheme="majorEastAsia" w:hAnsiTheme="majorEastAsia" w:eastAsiaTheme="majorEastAsia"/>
          <w:color w:val="auto"/>
        </w:rPr>
      </w:pPr>
    </w:p>
    <w:p>
      <w:pPr>
        <w:shd w:val="clear"/>
        <w:tabs>
          <w:tab w:val="left" w:pos="4860"/>
        </w:tabs>
        <w:ind w:right="1559" w:firstLine="480" w:firstLineChars="200"/>
        <w:jc w:val="left"/>
        <w:rPr>
          <w:rFonts w:cs="仿宋_GB2312" w:asciiTheme="majorEastAsia" w:hAnsiTheme="majorEastAsia" w:eastAsiaTheme="majorEastAsia"/>
          <w:color w:val="auto"/>
          <w:sz w:val="24"/>
        </w:rPr>
      </w:pPr>
      <w:r>
        <w:rPr>
          <w:rFonts w:cs="仿宋_GB2312" w:asciiTheme="majorEastAsia" w:hAnsiTheme="majorEastAsia" w:eastAsiaTheme="majorEastAsia"/>
          <w:color w:val="auto"/>
          <w:sz w:val="24"/>
        </w:rPr>
        <w:object>
          <v:shape id="_x0000_i1025" o:spt="75" type="#_x0000_t75" style="height:42pt;width:390pt;" o:ole="t" filled="f" o:preferrelative="t" stroked="f" coordsize="21600,21600">
            <v:path/>
            <v:fill on="f" focussize="0,0"/>
            <v:stroke on="f" joinstyle="miter"/>
            <v:imagedata r:id="rId8" o:title=""/>
            <o:lock v:ext="edit" aspectratio="t"/>
            <w10:wrap type="none"/>
            <w10:anchorlock/>
          </v:shape>
          <o:OLEObject Type="Embed" ProgID="Package" ShapeID="_x0000_i1025" DrawAspect="Content" ObjectID="_1468075725" r:id="rId7">
            <o:LockedField>false</o:LockedField>
          </o:OLEObject>
        </w:object>
      </w:r>
    </w:p>
    <w:p>
      <w:pPr>
        <w:shd w:val="clear"/>
        <w:ind w:firstLine="420" w:firstLineChars="200"/>
        <w:rPr>
          <w:rFonts w:asciiTheme="majorEastAsia" w:hAnsiTheme="majorEastAsia" w:eastAsiaTheme="majorEastAsia"/>
          <w:color w:val="auto"/>
        </w:rPr>
      </w:pPr>
    </w:p>
    <w:p>
      <w:pPr>
        <w:shd w:val="clear"/>
        <w:ind w:firstLine="420" w:firstLineChars="200"/>
        <w:rPr>
          <w:rFonts w:asciiTheme="majorEastAsia" w:hAnsiTheme="majorEastAsia" w:eastAsiaTheme="majorEastAsia"/>
          <w:color w:val="auto"/>
        </w:rPr>
      </w:pPr>
    </w:p>
    <w:p>
      <w:pPr>
        <w:shd w:val="clear"/>
        <w:ind w:firstLine="420" w:firstLineChars="200"/>
        <w:rPr>
          <w:rFonts w:asciiTheme="majorEastAsia" w:hAnsiTheme="majorEastAsia" w:eastAsiaTheme="majorEastAsia"/>
          <w:color w:val="auto"/>
        </w:rPr>
      </w:pPr>
    </w:p>
    <w:p>
      <w:pPr>
        <w:shd w:val="clear"/>
        <w:rPr>
          <w:rFonts w:cs="仿宋_GB2312" w:asciiTheme="majorEastAsia" w:hAnsiTheme="majorEastAsia" w:eastAsiaTheme="majorEastAsia"/>
          <w:b/>
          <w:color w:val="auto"/>
          <w:sz w:val="24"/>
        </w:rPr>
      </w:pPr>
    </w:p>
    <w:p>
      <w:pPr>
        <w:shd w:val="clear"/>
        <w:spacing w:line="400" w:lineRule="exact"/>
        <w:rPr>
          <w:rFonts w:asciiTheme="majorEastAsia" w:hAnsiTheme="majorEastAsia" w:eastAsiaTheme="majorEastAsia"/>
          <w:b/>
          <w:color w:val="auto"/>
          <w:sz w:val="24"/>
        </w:rPr>
      </w:pPr>
      <w:r>
        <w:rPr>
          <w:rFonts w:asciiTheme="majorEastAsia" w:hAnsiTheme="majorEastAsia" w:eastAsiaTheme="majorEastAsia"/>
          <w:b/>
          <w:color w:val="auto"/>
          <w:sz w:val="24"/>
        </w:rPr>
        <w:t>注</w:t>
      </w:r>
      <w:r>
        <w:rPr>
          <w:rFonts w:hint="eastAsia" w:asciiTheme="majorEastAsia" w:hAnsiTheme="majorEastAsia" w:eastAsiaTheme="majorEastAsia"/>
          <w:b/>
          <w:color w:val="auto"/>
          <w:sz w:val="24"/>
        </w:rPr>
        <w:t>：</w:t>
      </w:r>
      <w:r>
        <w:rPr>
          <w:rFonts w:hint="eastAsia" w:cs="仿宋_GB2312" w:asciiTheme="majorEastAsia" w:hAnsiTheme="majorEastAsia" w:eastAsiaTheme="majorEastAsia"/>
          <w:color w:val="auto"/>
          <w:sz w:val="24"/>
        </w:rPr>
        <w:t>符合《关于促进残疾人就业政府采购政策的通知》（财库〔2017〕141号）规定的条件并提供提供《残疾人福利性单位声明函》（附件4）的残疾人福利性单位视同小微企业；根据《关于政府采购支持监狱企业发展有关问题的通知》（财库[2014]68号）的规定，磋商响应人提供由省级以上监狱管理局、戒毒管理局（含新疆生产建设兵团）出具的属于监狱企业证明文件的，视同为小微企业。</w:t>
      </w:r>
    </w:p>
    <w:p>
      <w:pPr>
        <w:shd w:val="clear"/>
        <w:spacing w:line="360" w:lineRule="auto"/>
        <w:rPr>
          <w:rFonts w:cs="仿宋_GB2312" w:asciiTheme="majorEastAsia" w:hAnsiTheme="majorEastAsia" w:eastAsiaTheme="majorEastAsia"/>
          <w:color w:val="auto"/>
          <w:kern w:val="0"/>
          <w:sz w:val="24"/>
          <w:lang w:val="zh-CN"/>
        </w:rPr>
      </w:pPr>
    </w:p>
    <w:p>
      <w:pPr>
        <w:shd w:val="clear"/>
        <w:jc w:val="center"/>
        <w:rPr>
          <w:rFonts w:cs="仿宋" w:asciiTheme="majorEastAsia" w:hAnsiTheme="majorEastAsia" w:eastAsiaTheme="majorEastAsia"/>
          <w:b/>
          <w:bCs/>
          <w:color w:val="auto"/>
          <w:sz w:val="44"/>
          <w:szCs w:val="44"/>
        </w:rPr>
      </w:pPr>
    </w:p>
    <w:p>
      <w:pPr>
        <w:shd w:val="clear"/>
        <w:jc w:val="center"/>
        <w:rPr>
          <w:rFonts w:cs="仿宋" w:asciiTheme="majorEastAsia" w:hAnsiTheme="majorEastAsia" w:eastAsiaTheme="majorEastAsia"/>
          <w:b/>
          <w:bCs/>
          <w:color w:val="auto"/>
          <w:sz w:val="44"/>
          <w:szCs w:val="44"/>
        </w:rPr>
      </w:pPr>
      <w:r>
        <w:rPr>
          <w:rFonts w:hint="eastAsia" w:cs="仿宋" w:asciiTheme="majorEastAsia" w:hAnsiTheme="majorEastAsia" w:eastAsiaTheme="majorEastAsia"/>
          <w:b/>
          <w:bCs/>
          <w:color w:val="auto"/>
          <w:sz w:val="44"/>
          <w:szCs w:val="44"/>
        </w:rPr>
        <w:t>质疑函范本</w:t>
      </w:r>
    </w:p>
    <w:p>
      <w:pPr>
        <w:shd w:val="clear"/>
        <w:adjustRightInd w:val="0"/>
        <w:snapToGrid w:val="0"/>
        <w:spacing w:beforeLines="100" w:line="360" w:lineRule="auto"/>
        <w:rPr>
          <w:rFonts w:cs="仿宋" w:asciiTheme="majorEastAsia" w:hAnsiTheme="majorEastAsia" w:eastAsiaTheme="majorEastAsia"/>
          <w:bCs/>
          <w:color w:val="auto"/>
          <w:sz w:val="24"/>
        </w:rPr>
      </w:pPr>
      <w:r>
        <w:rPr>
          <w:rFonts w:hint="eastAsia" w:cs="仿宋" w:asciiTheme="majorEastAsia" w:hAnsiTheme="majorEastAsia" w:eastAsiaTheme="majorEastAsia"/>
          <w:bCs/>
          <w:color w:val="auto"/>
          <w:sz w:val="24"/>
        </w:rPr>
        <w:t>一、质疑供应商基本信息</w:t>
      </w:r>
    </w:p>
    <w:p>
      <w:pPr>
        <w:shd w:val="clear"/>
        <w:adjustRightInd w:val="0"/>
        <w:snapToGrid w:val="0"/>
        <w:spacing w:line="360" w:lineRule="auto"/>
        <w:rPr>
          <w:rFonts w:cs="仿宋" w:asciiTheme="majorEastAsia" w:hAnsiTheme="majorEastAsia" w:eastAsiaTheme="majorEastAsia"/>
          <w:color w:val="auto"/>
          <w:sz w:val="24"/>
          <w:u w:val="dotted"/>
        </w:rPr>
      </w:pPr>
      <w:r>
        <w:rPr>
          <w:rFonts w:hint="eastAsia" w:cs="仿宋" w:asciiTheme="majorEastAsia" w:hAnsiTheme="majorEastAsia" w:eastAsiaTheme="majorEastAsia"/>
          <w:color w:val="auto"/>
          <w:sz w:val="24"/>
        </w:rPr>
        <w:t>质疑供应商：</w:t>
      </w:r>
    </w:p>
    <w:p>
      <w:pPr>
        <w:shd w:val="clear"/>
        <w:adjustRightInd w:val="0"/>
        <w:snapToGrid w:val="0"/>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地址：邮编：</w:t>
      </w:r>
    </w:p>
    <w:p>
      <w:pPr>
        <w:shd w:val="clear"/>
        <w:adjustRightInd w:val="0"/>
        <w:snapToGrid w:val="0"/>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联系人：联系电话：</w:t>
      </w:r>
    </w:p>
    <w:p>
      <w:pPr>
        <w:shd w:val="clear"/>
        <w:adjustRightInd w:val="0"/>
        <w:snapToGrid w:val="0"/>
        <w:spacing w:line="360" w:lineRule="auto"/>
        <w:rPr>
          <w:rFonts w:cs="仿宋" w:asciiTheme="majorEastAsia" w:hAnsiTheme="majorEastAsia" w:eastAsiaTheme="majorEastAsia"/>
          <w:color w:val="auto"/>
          <w:sz w:val="24"/>
          <w:u w:val="dotted"/>
        </w:rPr>
      </w:pPr>
      <w:r>
        <w:rPr>
          <w:rFonts w:hint="eastAsia" w:cs="仿宋" w:asciiTheme="majorEastAsia" w:hAnsiTheme="majorEastAsia" w:eastAsiaTheme="majorEastAsia"/>
          <w:color w:val="auto"/>
          <w:sz w:val="24"/>
        </w:rPr>
        <w:t>授权代表：</w:t>
      </w:r>
    </w:p>
    <w:p>
      <w:pPr>
        <w:shd w:val="clear"/>
        <w:adjustRightInd w:val="0"/>
        <w:snapToGrid w:val="0"/>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联系电话：</w:t>
      </w:r>
    </w:p>
    <w:p>
      <w:pPr>
        <w:shd w:val="clear"/>
        <w:adjustRightInd w:val="0"/>
        <w:snapToGrid w:val="0"/>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地址： 邮编：</w:t>
      </w:r>
    </w:p>
    <w:p>
      <w:pPr>
        <w:shd w:val="clear"/>
        <w:adjustRightInd w:val="0"/>
        <w:snapToGrid w:val="0"/>
        <w:spacing w:line="360" w:lineRule="auto"/>
        <w:rPr>
          <w:rFonts w:cs="仿宋" w:asciiTheme="majorEastAsia" w:hAnsiTheme="majorEastAsia" w:eastAsiaTheme="majorEastAsia"/>
          <w:bCs/>
          <w:color w:val="auto"/>
          <w:sz w:val="24"/>
        </w:rPr>
      </w:pPr>
      <w:r>
        <w:rPr>
          <w:rFonts w:hint="eastAsia" w:cs="仿宋" w:asciiTheme="majorEastAsia" w:hAnsiTheme="majorEastAsia" w:eastAsiaTheme="majorEastAsia"/>
          <w:bCs/>
          <w:color w:val="auto"/>
          <w:sz w:val="24"/>
        </w:rPr>
        <w:t>二、质疑项目基本情况</w:t>
      </w:r>
    </w:p>
    <w:p>
      <w:pPr>
        <w:shd w:val="clear"/>
        <w:adjustRightInd w:val="0"/>
        <w:snapToGrid w:val="0"/>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质疑项目的名称：</w:t>
      </w:r>
    </w:p>
    <w:p>
      <w:pPr>
        <w:shd w:val="clear"/>
        <w:adjustRightInd w:val="0"/>
        <w:snapToGrid w:val="0"/>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质疑项目的编号：包号：</w:t>
      </w:r>
    </w:p>
    <w:p>
      <w:pPr>
        <w:shd w:val="clear"/>
        <w:adjustRightInd w:val="0"/>
        <w:snapToGrid w:val="0"/>
        <w:spacing w:line="360" w:lineRule="auto"/>
        <w:rPr>
          <w:rFonts w:cs="仿宋" w:asciiTheme="majorEastAsia" w:hAnsiTheme="majorEastAsia" w:eastAsiaTheme="majorEastAsia"/>
          <w:color w:val="auto"/>
          <w:sz w:val="24"/>
          <w:u w:val="dotted"/>
        </w:rPr>
      </w:pPr>
      <w:r>
        <w:rPr>
          <w:rFonts w:hint="eastAsia" w:cs="仿宋" w:asciiTheme="majorEastAsia" w:hAnsiTheme="majorEastAsia" w:eastAsiaTheme="majorEastAsia"/>
          <w:color w:val="auto"/>
          <w:sz w:val="24"/>
        </w:rPr>
        <w:t>采购人名称：</w:t>
      </w:r>
    </w:p>
    <w:p>
      <w:pPr>
        <w:shd w:val="clear"/>
        <w:adjustRightInd w:val="0"/>
        <w:snapToGrid w:val="0"/>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采购文件获取日期：</w:t>
      </w:r>
    </w:p>
    <w:p>
      <w:pPr>
        <w:shd w:val="clear"/>
        <w:adjustRightInd w:val="0"/>
        <w:snapToGrid w:val="0"/>
        <w:spacing w:line="360" w:lineRule="auto"/>
        <w:rPr>
          <w:rFonts w:cs="仿宋" w:asciiTheme="majorEastAsia" w:hAnsiTheme="majorEastAsia" w:eastAsiaTheme="majorEastAsia"/>
          <w:bCs/>
          <w:color w:val="auto"/>
          <w:sz w:val="24"/>
        </w:rPr>
      </w:pPr>
      <w:r>
        <w:rPr>
          <w:rFonts w:hint="eastAsia" w:cs="仿宋" w:asciiTheme="majorEastAsia" w:hAnsiTheme="majorEastAsia" w:eastAsiaTheme="majorEastAsia"/>
          <w:bCs/>
          <w:color w:val="auto"/>
          <w:sz w:val="24"/>
        </w:rPr>
        <w:t>三、质疑事项具体内容</w:t>
      </w:r>
    </w:p>
    <w:p>
      <w:pPr>
        <w:shd w:val="clear"/>
        <w:adjustRightInd w:val="0"/>
        <w:snapToGrid w:val="0"/>
        <w:spacing w:line="360" w:lineRule="auto"/>
        <w:rPr>
          <w:rFonts w:cs="仿宋" w:asciiTheme="majorEastAsia" w:hAnsiTheme="majorEastAsia" w:eastAsiaTheme="majorEastAsia"/>
          <w:color w:val="auto"/>
          <w:sz w:val="24"/>
          <w:u w:val="dotted"/>
        </w:rPr>
      </w:pPr>
      <w:r>
        <w:rPr>
          <w:rFonts w:hint="eastAsia" w:cs="仿宋" w:asciiTheme="majorEastAsia" w:hAnsiTheme="majorEastAsia" w:eastAsiaTheme="majorEastAsia"/>
          <w:color w:val="auto"/>
          <w:sz w:val="24"/>
        </w:rPr>
        <w:t>质疑事项1：</w:t>
      </w:r>
    </w:p>
    <w:p>
      <w:pPr>
        <w:shd w:val="clear"/>
        <w:adjustRightInd w:val="0"/>
        <w:snapToGrid w:val="0"/>
        <w:spacing w:line="360" w:lineRule="auto"/>
        <w:rPr>
          <w:rFonts w:cs="仿宋" w:asciiTheme="majorEastAsia" w:hAnsiTheme="majorEastAsia" w:eastAsiaTheme="majorEastAsia"/>
          <w:color w:val="auto"/>
          <w:sz w:val="24"/>
          <w:u w:val="dotted"/>
        </w:rPr>
      </w:pPr>
      <w:r>
        <w:rPr>
          <w:rFonts w:hint="eastAsia" w:cs="仿宋" w:asciiTheme="majorEastAsia" w:hAnsiTheme="majorEastAsia" w:eastAsiaTheme="majorEastAsia"/>
          <w:color w:val="auto"/>
          <w:sz w:val="24"/>
        </w:rPr>
        <w:t>事实依据：</w:t>
      </w:r>
    </w:p>
    <w:p>
      <w:pPr>
        <w:shd w:val="clear"/>
        <w:adjustRightInd w:val="0"/>
        <w:snapToGrid w:val="0"/>
        <w:spacing w:line="360" w:lineRule="auto"/>
        <w:rPr>
          <w:rFonts w:cs="仿宋" w:asciiTheme="majorEastAsia" w:hAnsiTheme="majorEastAsia" w:eastAsiaTheme="majorEastAsia"/>
          <w:color w:val="auto"/>
          <w:sz w:val="24"/>
        </w:rPr>
      </w:pPr>
    </w:p>
    <w:p>
      <w:pPr>
        <w:shd w:val="clear"/>
        <w:adjustRightInd w:val="0"/>
        <w:snapToGrid w:val="0"/>
        <w:spacing w:line="360" w:lineRule="auto"/>
        <w:rPr>
          <w:rFonts w:cs="仿宋" w:asciiTheme="majorEastAsia" w:hAnsiTheme="majorEastAsia" w:eastAsiaTheme="majorEastAsia"/>
          <w:color w:val="auto"/>
          <w:sz w:val="24"/>
          <w:u w:val="dotted"/>
        </w:rPr>
      </w:pPr>
      <w:r>
        <w:rPr>
          <w:rFonts w:hint="eastAsia" w:cs="仿宋" w:asciiTheme="majorEastAsia" w:hAnsiTheme="majorEastAsia" w:eastAsiaTheme="majorEastAsia"/>
          <w:color w:val="auto"/>
          <w:sz w:val="24"/>
        </w:rPr>
        <w:t>法律依据：</w:t>
      </w:r>
    </w:p>
    <w:p>
      <w:pPr>
        <w:shd w:val="clear"/>
        <w:adjustRightInd w:val="0"/>
        <w:snapToGrid w:val="0"/>
        <w:spacing w:line="360" w:lineRule="auto"/>
        <w:rPr>
          <w:rFonts w:cs="仿宋" w:asciiTheme="majorEastAsia" w:hAnsiTheme="majorEastAsia" w:eastAsiaTheme="majorEastAsia"/>
          <w:color w:val="auto"/>
          <w:sz w:val="24"/>
          <w:u w:val="dotted"/>
        </w:rPr>
      </w:pPr>
    </w:p>
    <w:p>
      <w:pPr>
        <w:shd w:val="clear"/>
        <w:adjustRightInd w:val="0"/>
        <w:snapToGrid w:val="0"/>
        <w:spacing w:line="360" w:lineRule="auto"/>
        <w:rPr>
          <w:rFonts w:cs="仿宋" w:asciiTheme="majorEastAsia" w:hAnsiTheme="majorEastAsia" w:eastAsiaTheme="majorEastAsia"/>
          <w:color w:val="auto"/>
          <w:sz w:val="24"/>
          <w:u w:val="dotted"/>
        </w:rPr>
      </w:pPr>
      <w:r>
        <w:rPr>
          <w:rFonts w:hint="eastAsia" w:cs="仿宋" w:asciiTheme="majorEastAsia" w:hAnsiTheme="majorEastAsia" w:eastAsiaTheme="majorEastAsia"/>
          <w:color w:val="auto"/>
          <w:sz w:val="24"/>
        </w:rPr>
        <w:t>质疑事项2</w:t>
      </w:r>
    </w:p>
    <w:p>
      <w:pPr>
        <w:shd w:val="clear"/>
        <w:adjustRightInd w:val="0"/>
        <w:snapToGrid w:val="0"/>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w:t>
      </w:r>
    </w:p>
    <w:p>
      <w:pPr>
        <w:shd w:val="clear"/>
        <w:adjustRightInd w:val="0"/>
        <w:snapToGrid w:val="0"/>
        <w:spacing w:line="360" w:lineRule="auto"/>
        <w:rPr>
          <w:rFonts w:cs="仿宋" w:asciiTheme="majorEastAsia" w:hAnsiTheme="majorEastAsia" w:eastAsiaTheme="majorEastAsia"/>
          <w:bCs/>
          <w:color w:val="auto"/>
          <w:sz w:val="24"/>
        </w:rPr>
      </w:pPr>
      <w:r>
        <w:rPr>
          <w:rFonts w:hint="eastAsia" w:cs="仿宋" w:asciiTheme="majorEastAsia" w:hAnsiTheme="majorEastAsia" w:eastAsiaTheme="majorEastAsia"/>
          <w:bCs/>
          <w:color w:val="auto"/>
          <w:sz w:val="24"/>
        </w:rPr>
        <w:t>四、与质疑事项相关的质疑请求</w:t>
      </w:r>
    </w:p>
    <w:p>
      <w:pPr>
        <w:shd w:val="clear"/>
        <w:adjustRightInd w:val="0"/>
        <w:snapToGrid w:val="0"/>
        <w:spacing w:line="360" w:lineRule="auto"/>
        <w:rPr>
          <w:rFonts w:cs="仿宋" w:asciiTheme="majorEastAsia" w:hAnsiTheme="majorEastAsia" w:eastAsiaTheme="majorEastAsia"/>
          <w:color w:val="auto"/>
          <w:sz w:val="24"/>
          <w:u w:val="dotted"/>
        </w:rPr>
      </w:pPr>
      <w:r>
        <w:rPr>
          <w:rFonts w:hint="eastAsia" w:cs="仿宋" w:asciiTheme="majorEastAsia" w:hAnsiTheme="majorEastAsia" w:eastAsiaTheme="majorEastAsia"/>
          <w:color w:val="auto"/>
          <w:sz w:val="24"/>
        </w:rPr>
        <w:t>请求：</w:t>
      </w:r>
    </w:p>
    <w:p>
      <w:pPr>
        <w:shd w:val="clear"/>
        <w:rPr>
          <w:rFonts w:asciiTheme="majorEastAsia" w:hAnsiTheme="majorEastAsia" w:eastAsiaTheme="majorEastAsia"/>
          <w:color w:val="auto"/>
          <w:sz w:val="24"/>
        </w:rPr>
      </w:pPr>
      <w:r>
        <w:rPr>
          <w:rFonts w:hint="eastAsia" w:asciiTheme="majorEastAsia" w:hAnsiTheme="majorEastAsia" w:eastAsiaTheme="majorEastAsia"/>
          <w:color w:val="auto"/>
          <w:sz w:val="24"/>
        </w:rPr>
        <w:t xml:space="preserve">签字(签章)：                   公章：                      </w:t>
      </w:r>
    </w:p>
    <w:p>
      <w:pPr>
        <w:shd w:val="clear"/>
        <w:rPr>
          <w:rFonts w:asciiTheme="majorEastAsia" w:hAnsiTheme="majorEastAsia" w:eastAsiaTheme="majorEastAsia"/>
          <w:color w:val="auto"/>
          <w:sz w:val="24"/>
        </w:rPr>
      </w:pPr>
      <w:r>
        <w:rPr>
          <w:rFonts w:hint="eastAsia" w:asciiTheme="majorEastAsia" w:hAnsiTheme="majorEastAsia" w:eastAsiaTheme="majorEastAsia"/>
          <w:color w:val="auto"/>
          <w:sz w:val="24"/>
        </w:rPr>
        <w:t xml:space="preserve">日期：    </w:t>
      </w:r>
    </w:p>
    <w:p>
      <w:pPr>
        <w:shd w:val="clear"/>
        <w:adjustRightInd w:val="0"/>
        <w:snapToGrid w:val="0"/>
        <w:spacing w:line="360" w:lineRule="auto"/>
        <w:rPr>
          <w:rFonts w:cs="仿宋" w:asciiTheme="majorEastAsia" w:hAnsiTheme="majorEastAsia" w:eastAsiaTheme="majorEastAsia"/>
          <w:color w:val="auto"/>
          <w:sz w:val="32"/>
          <w:szCs w:val="32"/>
        </w:rPr>
      </w:pPr>
    </w:p>
    <w:p>
      <w:pPr>
        <w:shd w:val="clear"/>
        <w:adjustRightInd w:val="0"/>
        <w:snapToGrid w:val="0"/>
        <w:spacing w:line="360" w:lineRule="auto"/>
        <w:rPr>
          <w:rFonts w:cs="仿宋" w:asciiTheme="majorEastAsia" w:hAnsiTheme="majorEastAsia" w:eastAsiaTheme="majorEastAsia"/>
          <w:color w:val="auto"/>
          <w:sz w:val="32"/>
          <w:szCs w:val="32"/>
        </w:rPr>
      </w:pPr>
    </w:p>
    <w:p>
      <w:pPr>
        <w:shd w:val="clear"/>
        <w:jc w:val="center"/>
        <w:rPr>
          <w:rFonts w:cs="仿宋" w:asciiTheme="majorEastAsia" w:hAnsiTheme="majorEastAsia" w:eastAsiaTheme="majorEastAsia"/>
          <w:b/>
          <w:bCs/>
          <w:color w:val="auto"/>
          <w:sz w:val="32"/>
          <w:szCs w:val="32"/>
        </w:rPr>
      </w:pPr>
    </w:p>
    <w:p>
      <w:pPr>
        <w:shd w:val="clear"/>
        <w:rPr>
          <w:rFonts w:asciiTheme="majorEastAsia" w:hAnsiTheme="majorEastAsia" w:eastAsiaTheme="majorEastAsia"/>
          <w:b/>
          <w:color w:val="auto"/>
          <w:sz w:val="28"/>
          <w:szCs w:val="28"/>
        </w:rPr>
      </w:pPr>
      <w:r>
        <w:rPr>
          <w:rFonts w:hint="eastAsia" w:asciiTheme="majorEastAsia" w:hAnsiTheme="majorEastAsia" w:eastAsiaTheme="majorEastAsia"/>
          <w:b/>
          <w:color w:val="auto"/>
          <w:sz w:val="28"/>
          <w:szCs w:val="28"/>
        </w:rPr>
        <w:t>质疑函制作说明：</w:t>
      </w:r>
    </w:p>
    <w:p>
      <w:pPr>
        <w:widowControl/>
        <w:shd w:val="clear"/>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1.供应商提出质疑时，应提交质疑函和必要的证明材料。</w:t>
      </w:r>
    </w:p>
    <w:p>
      <w:pPr>
        <w:widowControl/>
        <w:shd w:val="clear"/>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2.质疑供应商若委托代理人进行质疑的，质疑函应按要求列明“授权代表”的有关内容，并在附件中提交由质疑</w:t>
      </w:r>
      <w:r>
        <w:rPr>
          <w:rFonts w:hint="eastAsia" w:cs="宋体" w:asciiTheme="majorEastAsia" w:hAnsiTheme="majorEastAsia" w:eastAsiaTheme="majorEastAsia"/>
          <w:color w:val="auto"/>
          <w:kern w:val="0"/>
          <w:sz w:val="24"/>
        </w:rPr>
        <w:t>供应商签署的授权委托书。授权委托书应载明代理人的姓名或者名称、代理事项、具体权限、期限和相关事项。</w:t>
      </w:r>
    </w:p>
    <w:p>
      <w:pPr>
        <w:widowControl/>
        <w:shd w:val="clear"/>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3.质疑供应商若对项目的某一分包进行质疑，质疑函中应列明具体分包号。</w:t>
      </w:r>
    </w:p>
    <w:p>
      <w:pPr>
        <w:widowControl/>
        <w:shd w:val="clear"/>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4.质疑函的质疑事项应具体、明确，并有必要的事实依据和法律依据。</w:t>
      </w:r>
    </w:p>
    <w:p>
      <w:pPr>
        <w:widowControl/>
        <w:shd w:val="clear"/>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5.质疑函的质疑请求应与质疑事项相关。</w:t>
      </w:r>
    </w:p>
    <w:p>
      <w:pPr>
        <w:widowControl/>
        <w:shd w:val="clear"/>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6.质疑供应商为自然人的，质疑函应由本人签字；质疑供应商为法人或者其他组织的，质疑函应由法定代表人、主要负责人，或者其授权代表签字或者盖章，并加盖公章。</w:t>
      </w:r>
    </w:p>
    <w:p>
      <w:pPr>
        <w:widowControl/>
        <w:shd w:val="clear" w:color="auto"/>
        <w:spacing w:line="600" w:lineRule="atLeast"/>
        <w:jc w:val="center"/>
        <w:textAlignment w:val="baseline"/>
        <w:rPr>
          <w:rFonts w:cs="宋体" w:asciiTheme="majorEastAsia" w:hAnsiTheme="majorEastAsia" w:eastAsiaTheme="majorEastAsia"/>
          <w:b/>
          <w:bCs/>
          <w:color w:val="auto"/>
          <w:kern w:val="0"/>
          <w:sz w:val="36"/>
          <w:szCs w:val="36"/>
        </w:rPr>
      </w:pPr>
    </w:p>
    <w:p>
      <w:pPr>
        <w:widowControl/>
        <w:shd w:val="clear" w:color="auto"/>
        <w:spacing w:line="600" w:lineRule="atLeast"/>
        <w:jc w:val="center"/>
        <w:textAlignment w:val="baseline"/>
        <w:rPr>
          <w:rFonts w:cs="宋体" w:asciiTheme="majorEastAsia" w:hAnsiTheme="majorEastAsia" w:eastAsiaTheme="majorEastAsia"/>
          <w:b/>
          <w:bCs/>
          <w:color w:val="auto"/>
          <w:kern w:val="0"/>
          <w:sz w:val="36"/>
          <w:szCs w:val="36"/>
        </w:rPr>
      </w:pPr>
    </w:p>
    <w:p>
      <w:pPr>
        <w:widowControl/>
        <w:shd w:val="clear" w:color="auto"/>
        <w:spacing w:line="600" w:lineRule="atLeast"/>
        <w:jc w:val="center"/>
        <w:textAlignment w:val="baseline"/>
        <w:rPr>
          <w:rFonts w:cs="宋体" w:asciiTheme="majorEastAsia" w:hAnsiTheme="majorEastAsia" w:eastAsiaTheme="majorEastAsia"/>
          <w:b/>
          <w:bCs/>
          <w:color w:val="auto"/>
          <w:kern w:val="0"/>
          <w:sz w:val="36"/>
          <w:szCs w:val="36"/>
        </w:rPr>
      </w:pPr>
    </w:p>
    <w:p>
      <w:pPr>
        <w:widowControl/>
        <w:shd w:val="clear" w:color="auto"/>
        <w:spacing w:line="600" w:lineRule="atLeast"/>
        <w:jc w:val="center"/>
        <w:textAlignment w:val="baseline"/>
        <w:rPr>
          <w:rFonts w:cs="宋体" w:asciiTheme="majorEastAsia" w:hAnsiTheme="majorEastAsia" w:eastAsiaTheme="majorEastAsia"/>
          <w:b/>
          <w:bCs/>
          <w:color w:val="auto"/>
          <w:kern w:val="0"/>
          <w:sz w:val="36"/>
          <w:szCs w:val="36"/>
        </w:rPr>
      </w:pPr>
      <w:r>
        <w:rPr>
          <w:rFonts w:hint="eastAsia" w:cs="宋体" w:asciiTheme="majorEastAsia" w:hAnsiTheme="majorEastAsia" w:eastAsiaTheme="majorEastAsia"/>
          <w:b/>
          <w:bCs/>
          <w:color w:val="auto"/>
          <w:kern w:val="0"/>
          <w:sz w:val="36"/>
          <w:szCs w:val="36"/>
        </w:rPr>
        <w:t>国家统计局关于印发《统计上</w:t>
      </w:r>
    </w:p>
    <w:p>
      <w:pPr>
        <w:widowControl/>
        <w:shd w:val="clear" w:color="auto"/>
        <w:spacing w:line="600" w:lineRule="atLeast"/>
        <w:jc w:val="center"/>
        <w:textAlignment w:val="baseline"/>
        <w:rPr>
          <w:rFonts w:cs="宋体" w:asciiTheme="majorEastAsia" w:hAnsiTheme="majorEastAsia" w:eastAsiaTheme="majorEastAsia"/>
          <w:b/>
          <w:bCs/>
          <w:color w:val="auto"/>
          <w:kern w:val="0"/>
          <w:sz w:val="36"/>
          <w:szCs w:val="36"/>
        </w:rPr>
      </w:pPr>
      <w:r>
        <w:rPr>
          <w:rFonts w:hint="eastAsia" w:cs="宋体" w:asciiTheme="majorEastAsia" w:hAnsiTheme="majorEastAsia" w:eastAsiaTheme="majorEastAsia"/>
          <w:b/>
          <w:bCs/>
          <w:color w:val="auto"/>
          <w:kern w:val="0"/>
          <w:sz w:val="36"/>
          <w:szCs w:val="36"/>
        </w:rPr>
        <w:t>大中小微型企业划分办法（2017）》的通知</w:t>
      </w:r>
    </w:p>
    <w:p>
      <w:pPr>
        <w:widowControl/>
        <w:shd w:val="clear" w:color="auto"/>
        <w:spacing w:before="150"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各省、自治区、直辖市统计局，新疆生产建设兵团统计局，国务院各有关部门，国家统计局各调查总队：</w:t>
      </w:r>
    </w:p>
    <w:p>
      <w:pPr>
        <w:widowControl/>
        <w:shd w:val="clear" w:color="auto"/>
        <w:spacing w:before="150"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hd w:val="clear"/>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附件：《统计上大中小微型企业划分办法（2017）》修订说明</w:t>
      </w:r>
    </w:p>
    <w:p>
      <w:pPr>
        <w:widowControl/>
        <w:shd w:val="clear" w:color="auto"/>
        <w:spacing w:before="150" w:line="420" w:lineRule="atLeast"/>
        <w:ind w:right="825"/>
        <w:jc w:val="righ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国家统计局  </w:t>
      </w:r>
    </w:p>
    <w:p>
      <w:pPr>
        <w:widowControl/>
        <w:shd w:val="clear" w:color="auto"/>
        <w:spacing w:before="150" w:line="420" w:lineRule="atLeast"/>
        <w:ind w:right="825"/>
        <w:jc w:val="righ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2017年12月28日</w:t>
      </w:r>
    </w:p>
    <w:p>
      <w:pPr>
        <w:widowControl/>
        <w:shd w:val="clear" w:color="auto"/>
        <w:spacing w:before="150"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w:t>
      </w:r>
    </w:p>
    <w:p>
      <w:pPr>
        <w:widowControl/>
        <w:shd w:val="clear" w:color="auto"/>
        <w:spacing w:before="150" w:line="600" w:lineRule="atLeast"/>
        <w:jc w:val="center"/>
        <w:textAlignment w:val="baseline"/>
        <w:rPr>
          <w:rFonts w:cs="宋体" w:asciiTheme="majorEastAsia" w:hAnsiTheme="majorEastAsia" w:eastAsiaTheme="majorEastAsia"/>
          <w:b/>
          <w:bCs/>
          <w:color w:val="auto"/>
          <w:kern w:val="0"/>
          <w:sz w:val="36"/>
          <w:szCs w:val="36"/>
        </w:rPr>
      </w:pPr>
    </w:p>
    <w:p>
      <w:pPr>
        <w:widowControl/>
        <w:shd w:val="clear" w:color="auto"/>
        <w:spacing w:before="150" w:line="600" w:lineRule="atLeast"/>
        <w:jc w:val="center"/>
        <w:textAlignment w:val="baseline"/>
        <w:rPr>
          <w:rFonts w:cs="宋体" w:asciiTheme="majorEastAsia" w:hAnsiTheme="majorEastAsia" w:eastAsiaTheme="majorEastAsia"/>
          <w:b/>
          <w:bCs/>
          <w:color w:val="auto"/>
          <w:kern w:val="0"/>
          <w:sz w:val="36"/>
          <w:szCs w:val="36"/>
        </w:rPr>
      </w:pPr>
      <w:r>
        <w:rPr>
          <w:rFonts w:hint="eastAsia" w:cs="宋体" w:asciiTheme="majorEastAsia" w:hAnsiTheme="majorEastAsia" w:eastAsiaTheme="majorEastAsia"/>
          <w:b/>
          <w:bCs/>
          <w:color w:val="auto"/>
          <w:kern w:val="0"/>
          <w:sz w:val="36"/>
          <w:szCs w:val="36"/>
        </w:rPr>
        <w:t>统计上大中小微型企业划分办法（2017）</w:t>
      </w:r>
    </w:p>
    <w:p>
      <w:pPr>
        <w:widowControl/>
        <w:shd w:val="clear" w:color="auto"/>
        <w:spacing w:before="150"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hd w:val="clear" w:color="auto"/>
        <w:spacing w:before="150"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二、本办法适用对象为在中华人民共和国境内依法设立的各种组织形式的法人企业或单位。个体工商户参照本办法进行划分。</w:t>
      </w:r>
    </w:p>
    <w:p>
      <w:pPr>
        <w:widowControl/>
        <w:shd w:val="clear" w:color="auto"/>
        <w:spacing w:before="150"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hd w:val="clear" w:color="auto"/>
        <w:spacing w:before="150"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hd w:val="clear" w:color="auto"/>
        <w:spacing w:before="150"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五、企业划分由政府综合统计部门根据统计年报每年确定一次，定报统计原则上不进行调整。</w:t>
      </w:r>
    </w:p>
    <w:p>
      <w:pPr>
        <w:widowControl/>
        <w:shd w:val="clear" w:color="auto"/>
        <w:spacing w:before="150"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六、本办法自印发之日起执行，国家统计局2011年印发的《统计上大中小微型企业划分办法》（国统字〔2011〕75号）同时废止。</w:t>
      </w:r>
    </w:p>
    <w:p>
      <w:pPr>
        <w:widowControl/>
        <w:shd w:val="clear" w:color="auto"/>
        <w:spacing w:before="150"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附表：统计上大中小微型企业划分标准</w:t>
      </w:r>
    </w:p>
    <w:p>
      <w:pPr>
        <w:widowControl/>
        <w:shd w:val="clear"/>
        <w:jc w:val="left"/>
        <w:rPr>
          <w:rFonts w:cs="宋体" w:asciiTheme="majorEastAsia" w:hAnsiTheme="majorEastAsia" w:eastAsiaTheme="majorEastAsia"/>
          <w:color w:val="auto"/>
          <w:kern w:val="0"/>
          <w:sz w:val="24"/>
        </w:rPr>
      </w:pPr>
    </w:p>
    <w:p>
      <w:pPr>
        <w:pStyle w:val="34"/>
        <w:shd w:val="clear"/>
        <w:rPr>
          <w:color w:val="auto"/>
        </w:rPr>
      </w:pPr>
    </w:p>
    <w:p>
      <w:pPr>
        <w:widowControl/>
        <w:shd w:val="clear" w:color="auto"/>
        <w:spacing w:before="150" w:line="600" w:lineRule="atLeast"/>
        <w:jc w:val="center"/>
        <w:textAlignment w:val="baseline"/>
        <w:rPr>
          <w:rFonts w:cs="宋体" w:asciiTheme="majorEastAsia" w:hAnsiTheme="majorEastAsia" w:eastAsiaTheme="majorEastAsia"/>
          <w:b/>
          <w:bCs/>
          <w:color w:val="auto"/>
          <w:kern w:val="0"/>
          <w:sz w:val="36"/>
          <w:szCs w:val="36"/>
        </w:rPr>
      </w:pPr>
    </w:p>
    <w:p>
      <w:pPr>
        <w:widowControl/>
        <w:shd w:val="clear" w:color="auto"/>
        <w:spacing w:before="150" w:line="600" w:lineRule="atLeast"/>
        <w:jc w:val="center"/>
        <w:textAlignment w:val="baseline"/>
        <w:rPr>
          <w:rFonts w:cs="宋体" w:asciiTheme="majorEastAsia" w:hAnsiTheme="majorEastAsia" w:eastAsiaTheme="majorEastAsia"/>
          <w:b/>
          <w:bCs/>
          <w:color w:val="auto"/>
          <w:kern w:val="0"/>
          <w:sz w:val="36"/>
          <w:szCs w:val="36"/>
        </w:rPr>
      </w:pPr>
    </w:p>
    <w:p>
      <w:pPr>
        <w:widowControl/>
        <w:shd w:val="clear" w:color="auto"/>
        <w:spacing w:before="150" w:line="600" w:lineRule="atLeast"/>
        <w:jc w:val="center"/>
        <w:textAlignment w:val="baseline"/>
        <w:rPr>
          <w:rFonts w:cs="宋体" w:asciiTheme="majorEastAsia" w:hAnsiTheme="majorEastAsia" w:eastAsiaTheme="majorEastAsia"/>
          <w:b/>
          <w:bCs/>
          <w:color w:val="auto"/>
          <w:kern w:val="0"/>
          <w:sz w:val="36"/>
          <w:szCs w:val="36"/>
        </w:rPr>
      </w:pPr>
    </w:p>
    <w:p>
      <w:pPr>
        <w:widowControl/>
        <w:shd w:val="clear" w:color="auto"/>
        <w:spacing w:before="150" w:line="600" w:lineRule="atLeast"/>
        <w:jc w:val="center"/>
        <w:textAlignment w:val="baseline"/>
        <w:rPr>
          <w:rFonts w:cs="宋体" w:asciiTheme="majorEastAsia" w:hAnsiTheme="majorEastAsia" w:eastAsiaTheme="majorEastAsia"/>
          <w:b/>
          <w:bCs/>
          <w:color w:val="auto"/>
          <w:kern w:val="0"/>
          <w:sz w:val="36"/>
          <w:szCs w:val="36"/>
        </w:rPr>
      </w:pPr>
    </w:p>
    <w:p>
      <w:pPr>
        <w:widowControl/>
        <w:shd w:val="clear" w:color="auto"/>
        <w:spacing w:before="150" w:line="600" w:lineRule="atLeast"/>
        <w:jc w:val="center"/>
        <w:textAlignment w:val="baseline"/>
        <w:rPr>
          <w:rFonts w:cs="宋体" w:asciiTheme="majorEastAsia" w:hAnsiTheme="majorEastAsia" w:eastAsiaTheme="majorEastAsia"/>
          <w:b/>
          <w:bCs/>
          <w:color w:val="auto"/>
          <w:kern w:val="0"/>
          <w:sz w:val="36"/>
          <w:szCs w:val="36"/>
        </w:rPr>
      </w:pPr>
      <w:r>
        <w:rPr>
          <w:rFonts w:hint="eastAsia" w:cs="宋体" w:asciiTheme="majorEastAsia" w:hAnsiTheme="majorEastAsia" w:eastAsiaTheme="majorEastAsia"/>
          <w:b/>
          <w:bCs/>
          <w:color w:val="auto"/>
          <w:kern w:val="0"/>
          <w:sz w:val="36"/>
          <w:szCs w:val="36"/>
        </w:rPr>
        <w:t>统计上大中小微型企业划分标准</w:t>
      </w:r>
    </w:p>
    <w:tbl>
      <w:tblPr>
        <w:tblStyle w:val="90"/>
        <w:tblW w:w="9743" w:type="dxa"/>
        <w:jc w:val="center"/>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0" w:type="dxa"/>
          <w:bottom w:w="0" w:type="dxa"/>
          <w:right w:w="0" w:type="dxa"/>
        </w:tblCellMar>
      </w:tblPr>
      <w:tblGrid>
        <w:gridCol w:w="1457"/>
        <w:gridCol w:w="1560"/>
        <w:gridCol w:w="671"/>
        <w:gridCol w:w="1231"/>
        <w:gridCol w:w="1891"/>
        <w:gridCol w:w="1730"/>
        <w:gridCol w:w="1203"/>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tcMar>
              <w:top w:w="75" w:type="dxa"/>
              <w:left w:w="75" w:type="dxa"/>
              <w:bottom w:w="75" w:type="dxa"/>
              <w:right w:w="75" w:type="dxa"/>
            </w:tcMar>
            <w:vAlign w:val="bottom"/>
          </w:tcPr>
          <w:p>
            <w:pPr>
              <w:widowControl/>
              <w:shd w:val="clear"/>
              <w:jc w:val="center"/>
              <w:rPr>
                <w:rFonts w:cs="宋体" w:asciiTheme="majorEastAsia" w:hAnsiTheme="majorEastAsia" w:eastAsiaTheme="majorEastAsia"/>
                <w:b/>
                <w:bCs/>
                <w:color w:val="auto"/>
                <w:kern w:val="0"/>
                <w:szCs w:val="21"/>
              </w:rPr>
            </w:pPr>
            <w:r>
              <w:rPr>
                <w:rFonts w:hint="eastAsia" w:cs="宋体" w:asciiTheme="majorEastAsia" w:hAnsiTheme="majorEastAsia" w:eastAsiaTheme="majorEastAsia"/>
                <w:b/>
                <w:bCs/>
                <w:color w:val="auto"/>
                <w:kern w:val="0"/>
                <w:szCs w:val="21"/>
              </w:rPr>
              <w:t>行业名称</w:t>
            </w:r>
          </w:p>
        </w:tc>
        <w:tc>
          <w:tcPr>
            <w:tcW w:w="1560" w:type="dxa"/>
            <w:tcMar>
              <w:top w:w="75" w:type="dxa"/>
              <w:left w:w="75" w:type="dxa"/>
              <w:bottom w:w="75" w:type="dxa"/>
              <w:right w:w="75" w:type="dxa"/>
            </w:tcMar>
            <w:vAlign w:val="bottom"/>
          </w:tcPr>
          <w:p>
            <w:pPr>
              <w:widowControl/>
              <w:shd w:val="clear"/>
              <w:jc w:val="center"/>
              <w:rPr>
                <w:rFonts w:cs="宋体" w:asciiTheme="majorEastAsia" w:hAnsiTheme="majorEastAsia" w:eastAsiaTheme="majorEastAsia"/>
                <w:b/>
                <w:bCs/>
                <w:color w:val="auto"/>
                <w:kern w:val="0"/>
                <w:szCs w:val="21"/>
              </w:rPr>
            </w:pPr>
            <w:r>
              <w:rPr>
                <w:rFonts w:hint="eastAsia" w:cs="宋体" w:asciiTheme="majorEastAsia" w:hAnsiTheme="majorEastAsia" w:eastAsiaTheme="majorEastAsia"/>
                <w:b/>
                <w:bCs/>
                <w:color w:val="auto"/>
                <w:kern w:val="0"/>
                <w:szCs w:val="21"/>
              </w:rPr>
              <w:t>指标名称</w:t>
            </w:r>
          </w:p>
        </w:tc>
        <w:tc>
          <w:tcPr>
            <w:tcW w:w="671" w:type="dxa"/>
            <w:tcMar>
              <w:top w:w="75" w:type="dxa"/>
              <w:left w:w="75" w:type="dxa"/>
              <w:bottom w:w="75" w:type="dxa"/>
              <w:right w:w="75" w:type="dxa"/>
            </w:tcMar>
            <w:vAlign w:val="bottom"/>
          </w:tcPr>
          <w:p>
            <w:pPr>
              <w:widowControl/>
              <w:shd w:val="clear"/>
              <w:jc w:val="center"/>
              <w:rPr>
                <w:rFonts w:cs="宋体" w:asciiTheme="majorEastAsia" w:hAnsiTheme="majorEastAsia" w:eastAsiaTheme="majorEastAsia"/>
                <w:b/>
                <w:bCs/>
                <w:color w:val="auto"/>
                <w:kern w:val="0"/>
                <w:szCs w:val="21"/>
              </w:rPr>
            </w:pPr>
            <w:r>
              <w:rPr>
                <w:rFonts w:hint="eastAsia" w:cs="宋体" w:asciiTheme="majorEastAsia" w:hAnsiTheme="majorEastAsia" w:eastAsiaTheme="majorEastAsia"/>
                <w:b/>
                <w:bCs/>
                <w:color w:val="auto"/>
                <w:kern w:val="0"/>
                <w:szCs w:val="21"/>
              </w:rPr>
              <w:t>计量单位</w:t>
            </w:r>
          </w:p>
        </w:tc>
        <w:tc>
          <w:tcPr>
            <w:tcW w:w="1231" w:type="dxa"/>
            <w:tcMar>
              <w:top w:w="75" w:type="dxa"/>
              <w:left w:w="75" w:type="dxa"/>
              <w:bottom w:w="75" w:type="dxa"/>
              <w:right w:w="75" w:type="dxa"/>
            </w:tcMar>
            <w:vAlign w:val="bottom"/>
          </w:tcPr>
          <w:p>
            <w:pPr>
              <w:widowControl/>
              <w:shd w:val="clear"/>
              <w:jc w:val="center"/>
              <w:rPr>
                <w:rFonts w:cs="宋体" w:asciiTheme="majorEastAsia" w:hAnsiTheme="majorEastAsia" w:eastAsiaTheme="majorEastAsia"/>
                <w:b/>
                <w:bCs/>
                <w:color w:val="auto"/>
                <w:kern w:val="0"/>
                <w:szCs w:val="21"/>
              </w:rPr>
            </w:pPr>
            <w:r>
              <w:rPr>
                <w:rFonts w:hint="eastAsia" w:cs="宋体" w:asciiTheme="majorEastAsia" w:hAnsiTheme="majorEastAsia" w:eastAsiaTheme="majorEastAsia"/>
                <w:b/>
                <w:bCs/>
                <w:color w:val="auto"/>
                <w:kern w:val="0"/>
                <w:szCs w:val="21"/>
              </w:rPr>
              <w:t>大型</w:t>
            </w:r>
          </w:p>
        </w:tc>
        <w:tc>
          <w:tcPr>
            <w:tcW w:w="1891" w:type="dxa"/>
            <w:tcMar>
              <w:top w:w="75" w:type="dxa"/>
              <w:left w:w="75" w:type="dxa"/>
              <w:bottom w:w="75" w:type="dxa"/>
              <w:right w:w="75" w:type="dxa"/>
            </w:tcMar>
            <w:vAlign w:val="bottom"/>
          </w:tcPr>
          <w:p>
            <w:pPr>
              <w:widowControl/>
              <w:shd w:val="clear"/>
              <w:jc w:val="center"/>
              <w:rPr>
                <w:rFonts w:cs="宋体" w:asciiTheme="majorEastAsia" w:hAnsiTheme="majorEastAsia" w:eastAsiaTheme="majorEastAsia"/>
                <w:b/>
                <w:bCs/>
                <w:color w:val="auto"/>
                <w:kern w:val="0"/>
                <w:szCs w:val="21"/>
              </w:rPr>
            </w:pPr>
            <w:r>
              <w:rPr>
                <w:rFonts w:hint="eastAsia" w:cs="宋体" w:asciiTheme="majorEastAsia" w:hAnsiTheme="majorEastAsia" w:eastAsiaTheme="majorEastAsia"/>
                <w:b/>
                <w:bCs/>
                <w:color w:val="auto"/>
                <w:kern w:val="0"/>
                <w:szCs w:val="21"/>
              </w:rPr>
              <w:t>中型</w:t>
            </w:r>
          </w:p>
        </w:tc>
        <w:tc>
          <w:tcPr>
            <w:tcW w:w="1730" w:type="dxa"/>
            <w:tcMar>
              <w:top w:w="75" w:type="dxa"/>
              <w:left w:w="75" w:type="dxa"/>
              <w:bottom w:w="75" w:type="dxa"/>
              <w:right w:w="75" w:type="dxa"/>
            </w:tcMar>
            <w:vAlign w:val="bottom"/>
          </w:tcPr>
          <w:p>
            <w:pPr>
              <w:widowControl/>
              <w:shd w:val="clear"/>
              <w:jc w:val="center"/>
              <w:rPr>
                <w:rFonts w:cs="宋体" w:asciiTheme="majorEastAsia" w:hAnsiTheme="majorEastAsia" w:eastAsiaTheme="majorEastAsia"/>
                <w:b/>
                <w:bCs/>
                <w:color w:val="auto"/>
                <w:kern w:val="0"/>
                <w:szCs w:val="21"/>
              </w:rPr>
            </w:pPr>
            <w:r>
              <w:rPr>
                <w:rFonts w:hint="eastAsia" w:cs="宋体" w:asciiTheme="majorEastAsia" w:hAnsiTheme="majorEastAsia" w:eastAsiaTheme="majorEastAsia"/>
                <w:b/>
                <w:bCs/>
                <w:color w:val="auto"/>
                <w:kern w:val="0"/>
                <w:szCs w:val="21"/>
              </w:rPr>
              <w:t>小型</w:t>
            </w:r>
          </w:p>
        </w:tc>
        <w:tc>
          <w:tcPr>
            <w:tcW w:w="1203" w:type="dxa"/>
            <w:tcMar>
              <w:top w:w="75" w:type="dxa"/>
              <w:left w:w="75" w:type="dxa"/>
              <w:bottom w:w="75" w:type="dxa"/>
              <w:right w:w="75" w:type="dxa"/>
            </w:tcMar>
            <w:vAlign w:val="bottom"/>
          </w:tcPr>
          <w:p>
            <w:pPr>
              <w:widowControl/>
              <w:shd w:val="clear"/>
              <w:jc w:val="center"/>
              <w:rPr>
                <w:rFonts w:cs="宋体" w:asciiTheme="majorEastAsia" w:hAnsiTheme="majorEastAsia" w:eastAsiaTheme="majorEastAsia"/>
                <w:b/>
                <w:bCs/>
                <w:color w:val="auto"/>
                <w:kern w:val="0"/>
                <w:szCs w:val="21"/>
              </w:rPr>
            </w:pPr>
            <w:r>
              <w:rPr>
                <w:rFonts w:hint="eastAsia" w:cs="宋体" w:asciiTheme="majorEastAsia" w:hAnsiTheme="majorEastAsia" w:eastAsiaTheme="majorEastAsia"/>
                <w:b/>
                <w:bCs/>
                <w:color w:val="auto"/>
                <w:kern w:val="0"/>
                <w:szCs w:val="21"/>
              </w:rPr>
              <w:t>微型</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农、林、牧、渔业</w:t>
            </w: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营业收入(Y)</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万元</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Y≥20000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500≤Y＜20000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50≤Y＜500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Y＜50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工业 *</w:t>
            </w: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从业人员(X)</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人</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X≥1000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300≤X＜1000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20≤X＜300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X＜20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PrEx>
        <w:trPr>
          <w:jc w:val="center"/>
        </w:trPr>
        <w:tc>
          <w:tcPr>
            <w:tcW w:w="1457"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营业收入(Y)</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万元</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Y≥40000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2000≤Y＜40000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300≤Y＜2000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Y＜300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建筑业</w:t>
            </w: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营业收入(Y)</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万元</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Y≥80000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6000≤Y＜80000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300≤Y＜6000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Y＜300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资产总额(Z)</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万元</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Z≥80000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5000≤Z＜80000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300≤Z＜5000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Z＜300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批发业</w:t>
            </w: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从业人员(X)</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人</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X≥200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20≤X＜200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5≤X＜20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X＜5</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PrEx>
        <w:trPr>
          <w:jc w:val="center"/>
        </w:trPr>
        <w:tc>
          <w:tcPr>
            <w:tcW w:w="1457"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营业收入(Y)</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万元</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Y≥40000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5000≤Y＜40000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1000≤Y＜5000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Y＜1000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零售业</w:t>
            </w: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从业人员(X)</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人</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X≥300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50≤X＜300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10≤X＜50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X＜10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营业收入(Y)</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万元</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Y≥20000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500≤Y＜20000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100≤Y＜500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Y＜100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交通运输业 *</w:t>
            </w: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从业人员(X)</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人</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X≥1000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300≤X＜1000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20≤X＜300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X＜20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PrEx>
        <w:trPr>
          <w:jc w:val="center"/>
        </w:trPr>
        <w:tc>
          <w:tcPr>
            <w:tcW w:w="1457"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营业收入(Y)</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万元</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Y≥30000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3000≤Y＜30000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200≤Y＜3000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Y＜200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仓储业*</w:t>
            </w: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从业人员(X)</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人</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X≥200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100≤X＜200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20≤X＜100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X＜20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营业收入(Y)</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万元</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Y≥30000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1000≤Y＜30000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100≤Y＜1000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Y＜100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邮政业</w:t>
            </w: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从业人员(X)</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人</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X≥1000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300≤X＜1000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20≤X＜300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X＜20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PrEx>
        <w:trPr>
          <w:jc w:val="center"/>
        </w:trPr>
        <w:tc>
          <w:tcPr>
            <w:tcW w:w="1457"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营业收入(Y)</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万元</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Y≥30000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2000≤Y＜30000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100≤Y＜2000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Y＜100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住宿业</w:t>
            </w: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从业人员(X)</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人</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X≥300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100≤X＜300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10≤X＜100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X＜10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营业收入(Y)</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万元</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Y≥10000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2000≤Y＜10000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100≤Y＜2000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Y＜100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餐饮业</w:t>
            </w: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从业人员(X)</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人</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X≥300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100≤X＜300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10≤X＜100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X＜10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PrEx>
        <w:trPr>
          <w:jc w:val="center"/>
        </w:trPr>
        <w:tc>
          <w:tcPr>
            <w:tcW w:w="1457"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营业收入(Y)</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万元</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Y≥10000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2000≤Y＜10000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100≤Y＜2000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Y＜100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信息传输业 *</w:t>
            </w: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从业人员(X)</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人</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X≥2000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100≤X＜2000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10≤X＜100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X＜10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营业收入(Y)</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万元</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Y≥100000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1000≤Y＜100000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100≤Y＜1000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Y＜100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软件和信息技术服务业</w:t>
            </w: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从业人员(X)</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人</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X≥300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100≤X＜300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10≤X＜100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X＜10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PrEx>
        <w:trPr>
          <w:jc w:val="center"/>
        </w:trPr>
        <w:tc>
          <w:tcPr>
            <w:tcW w:w="1457"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营业收入(Y)</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万元</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Y≥10000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1000≤Y＜10000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50≤Y＜1000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Y＜50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房地产开发经营</w:t>
            </w: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营业收入(Y)</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万元</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Y≥200000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1000≤Y＜200000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100≤Y＜1000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Y＜100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资产总额(Z)</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万元</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Z≥10000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5000≤Z＜10000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2000≤Z＜5000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Z＜2000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物业管理</w:t>
            </w: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从业人员(X)</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人</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X≥1000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300≤X＜1000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100≤X＜300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X＜100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PrEx>
        <w:trPr>
          <w:jc w:val="center"/>
        </w:trPr>
        <w:tc>
          <w:tcPr>
            <w:tcW w:w="1457"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营业收入(Y)</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万元</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Y≥5000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1000≤Y＜5000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500≤Y＜1000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Y＜500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租赁和商务服务业</w:t>
            </w: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从业人员(X)</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人</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X≥300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100≤X＜300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10≤X＜100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X＜10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资产总额(Z)</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万元</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Z≥120000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8000≤Z＜120000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100≤Z＜8000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Z＜100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其他未列明行业 *</w:t>
            </w: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从业人员(X)</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人</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X≥300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100≤X＜300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10≤X＜100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X＜10</w:t>
            </w:r>
          </w:p>
        </w:tc>
      </w:tr>
    </w:tbl>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说明： 　　</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1.大型、中型和小型企业须同时满足所列指标的下限，否则下划一档；微型企业只须满足所列指标中的一项即可。 　　</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 　　</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3.企业划分指标以现行统计制度为准。</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（1）从业人员，是指期末从业人员数，没有期末从业人员数的，采用全年平均人员数代替。</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（3）资产总额，采用资产总计代替。</w:t>
      </w:r>
    </w:p>
    <w:p>
      <w:pPr>
        <w:widowControl/>
        <w:shd w:val="clear"/>
        <w:jc w:val="left"/>
        <w:rPr>
          <w:rFonts w:cs="宋体" w:asciiTheme="majorEastAsia" w:hAnsiTheme="majorEastAsia" w:eastAsiaTheme="majorEastAsia"/>
          <w:color w:val="auto"/>
          <w:kern w:val="0"/>
          <w:sz w:val="24"/>
        </w:rPr>
      </w:pPr>
    </w:p>
    <w:p>
      <w:pPr>
        <w:pStyle w:val="34"/>
        <w:shd w:val="clear"/>
        <w:rPr>
          <w:color w:val="auto"/>
        </w:rPr>
      </w:pPr>
    </w:p>
    <w:p>
      <w:pPr>
        <w:widowControl/>
        <w:shd w:val="clear" w:color="auto"/>
        <w:spacing w:before="150" w:line="600" w:lineRule="atLeast"/>
        <w:ind w:left="-424" w:leftChars="-202"/>
        <w:jc w:val="center"/>
        <w:textAlignment w:val="baseline"/>
        <w:rPr>
          <w:rFonts w:cs="宋体" w:asciiTheme="majorEastAsia" w:hAnsiTheme="majorEastAsia" w:eastAsiaTheme="majorEastAsia"/>
          <w:b/>
          <w:bCs/>
          <w:color w:val="auto"/>
          <w:kern w:val="0"/>
          <w:sz w:val="36"/>
          <w:szCs w:val="36"/>
        </w:rPr>
      </w:pPr>
    </w:p>
    <w:p>
      <w:pPr>
        <w:widowControl/>
        <w:shd w:val="clear" w:color="auto"/>
        <w:spacing w:before="150" w:line="600" w:lineRule="atLeast"/>
        <w:ind w:left="-424" w:leftChars="-202"/>
        <w:jc w:val="center"/>
        <w:textAlignment w:val="baseline"/>
        <w:rPr>
          <w:rFonts w:cs="宋体" w:asciiTheme="majorEastAsia" w:hAnsiTheme="majorEastAsia" w:eastAsiaTheme="majorEastAsia"/>
          <w:b/>
          <w:bCs/>
          <w:color w:val="auto"/>
          <w:kern w:val="0"/>
          <w:sz w:val="36"/>
          <w:szCs w:val="36"/>
        </w:rPr>
      </w:pPr>
    </w:p>
    <w:p>
      <w:pPr>
        <w:widowControl/>
        <w:shd w:val="clear" w:color="auto"/>
        <w:spacing w:before="150" w:line="600" w:lineRule="atLeast"/>
        <w:ind w:left="-424" w:leftChars="-202"/>
        <w:jc w:val="center"/>
        <w:textAlignment w:val="baseline"/>
        <w:rPr>
          <w:rFonts w:cs="宋体" w:asciiTheme="majorEastAsia" w:hAnsiTheme="majorEastAsia" w:eastAsiaTheme="majorEastAsia"/>
          <w:b/>
          <w:bCs/>
          <w:color w:val="auto"/>
          <w:kern w:val="0"/>
          <w:sz w:val="36"/>
          <w:szCs w:val="36"/>
        </w:rPr>
      </w:pPr>
    </w:p>
    <w:p>
      <w:pPr>
        <w:widowControl/>
        <w:shd w:val="clear" w:color="auto"/>
        <w:spacing w:before="150" w:line="600" w:lineRule="atLeast"/>
        <w:ind w:left="-424" w:leftChars="-202"/>
        <w:jc w:val="center"/>
        <w:textAlignment w:val="baseline"/>
        <w:rPr>
          <w:rFonts w:cs="宋体" w:asciiTheme="majorEastAsia" w:hAnsiTheme="majorEastAsia" w:eastAsiaTheme="majorEastAsia"/>
          <w:b/>
          <w:bCs/>
          <w:color w:val="auto"/>
          <w:kern w:val="0"/>
          <w:sz w:val="36"/>
          <w:szCs w:val="36"/>
        </w:rPr>
      </w:pPr>
    </w:p>
    <w:p>
      <w:pPr>
        <w:widowControl/>
        <w:shd w:val="clear" w:color="auto"/>
        <w:spacing w:before="150" w:line="600" w:lineRule="atLeast"/>
        <w:ind w:left="-424" w:leftChars="-202"/>
        <w:jc w:val="center"/>
        <w:textAlignment w:val="baseline"/>
        <w:rPr>
          <w:rFonts w:cs="宋体" w:asciiTheme="majorEastAsia" w:hAnsiTheme="majorEastAsia" w:eastAsiaTheme="majorEastAsia"/>
          <w:b/>
          <w:bCs/>
          <w:color w:val="auto"/>
          <w:kern w:val="0"/>
          <w:sz w:val="36"/>
          <w:szCs w:val="36"/>
        </w:rPr>
      </w:pPr>
    </w:p>
    <w:p>
      <w:pPr>
        <w:widowControl/>
        <w:shd w:val="clear" w:color="auto"/>
        <w:spacing w:before="150" w:line="600" w:lineRule="atLeast"/>
        <w:ind w:left="-424" w:leftChars="-202"/>
        <w:jc w:val="center"/>
        <w:textAlignment w:val="baseline"/>
        <w:rPr>
          <w:rFonts w:cs="宋体" w:asciiTheme="majorEastAsia" w:hAnsiTheme="majorEastAsia" w:eastAsiaTheme="majorEastAsia"/>
          <w:b/>
          <w:bCs/>
          <w:color w:val="auto"/>
          <w:kern w:val="0"/>
          <w:sz w:val="36"/>
          <w:szCs w:val="36"/>
        </w:rPr>
      </w:pPr>
    </w:p>
    <w:p>
      <w:pPr>
        <w:widowControl/>
        <w:shd w:val="clear" w:color="auto"/>
        <w:spacing w:before="150" w:line="600" w:lineRule="atLeast"/>
        <w:ind w:left="-424" w:leftChars="-202"/>
        <w:jc w:val="center"/>
        <w:textAlignment w:val="baseline"/>
        <w:rPr>
          <w:rFonts w:cs="宋体" w:asciiTheme="majorEastAsia" w:hAnsiTheme="majorEastAsia" w:eastAsiaTheme="majorEastAsia"/>
          <w:b/>
          <w:bCs/>
          <w:color w:val="auto"/>
          <w:kern w:val="0"/>
          <w:sz w:val="36"/>
          <w:szCs w:val="36"/>
        </w:rPr>
      </w:pPr>
    </w:p>
    <w:p>
      <w:pPr>
        <w:widowControl/>
        <w:shd w:val="clear" w:color="auto"/>
        <w:spacing w:before="150" w:line="600" w:lineRule="atLeast"/>
        <w:ind w:left="-424" w:leftChars="-202"/>
        <w:jc w:val="center"/>
        <w:textAlignment w:val="baseline"/>
        <w:rPr>
          <w:rFonts w:cs="宋体" w:asciiTheme="majorEastAsia" w:hAnsiTheme="majorEastAsia" w:eastAsiaTheme="majorEastAsia"/>
          <w:b/>
          <w:bCs/>
          <w:color w:val="auto"/>
          <w:kern w:val="0"/>
          <w:sz w:val="36"/>
          <w:szCs w:val="36"/>
        </w:rPr>
      </w:pPr>
    </w:p>
    <w:p>
      <w:pPr>
        <w:widowControl/>
        <w:shd w:val="clear" w:color="auto"/>
        <w:spacing w:before="150" w:line="600" w:lineRule="atLeast"/>
        <w:ind w:left="-424" w:leftChars="-202"/>
        <w:jc w:val="center"/>
        <w:textAlignment w:val="baseline"/>
        <w:rPr>
          <w:rFonts w:cs="宋体" w:asciiTheme="majorEastAsia" w:hAnsiTheme="majorEastAsia" w:eastAsiaTheme="majorEastAsia"/>
          <w:b/>
          <w:bCs/>
          <w:color w:val="auto"/>
          <w:kern w:val="0"/>
          <w:sz w:val="36"/>
          <w:szCs w:val="36"/>
        </w:rPr>
      </w:pPr>
      <w:r>
        <w:rPr>
          <w:rFonts w:hint="eastAsia" w:cs="宋体" w:asciiTheme="majorEastAsia" w:hAnsiTheme="majorEastAsia" w:eastAsiaTheme="majorEastAsia"/>
          <w:b/>
          <w:bCs/>
          <w:color w:val="auto"/>
          <w:kern w:val="0"/>
          <w:sz w:val="36"/>
          <w:szCs w:val="36"/>
        </w:rPr>
        <w:t>《统计上大中小微型企业划分办法（2017）》修订说明</w:t>
      </w:r>
    </w:p>
    <w:p>
      <w:pPr>
        <w:widowControl/>
        <w:shd w:val="clear" w:color="auto"/>
        <w:spacing w:before="150" w:line="540" w:lineRule="atLeast"/>
        <w:jc w:val="left"/>
        <w:textAlignment w:val="baseline"/>
        <w:rPr>
          <w:rFonts w:cs="宋体" w:asciiTheme="majorEastAsia" w:hAnsiTheme="majorEastAsia" w:eastAsiaTheme="majorEastAsia"/>
          <w:b/>
          <w:bCs/>
          <w:color w:val="auto"/>
          <w:kern w:val="0"/>
          <w:sz w:val="27"/>
          <w:szCs w:val="27"/>
        </w:rPr>
      </w:pPr>
      <w:r>
        <w:rPr>
          <w:rFonts w:hint="eastAsia" w:cs="宋体" w:asciiTheme="majorEastAsia" w:hAnsiTheme="majorEastAsia" w:eastAsiaTheme="majorEastAsia"/>
          <w:b/>
          <w:bCs/>
          <w:color w:val="auto"/>
          <w:kern w:val="0"/>
          <w:sz w:val="27"/>
          <w:szCs w:val="27"/>
        </w:rPr>
        <w:t>一、修订背景</w:t>
      </w:r>
    </w:p>
    <w:p>
      <w:pPr>
        <w:widowControl/>
        <w:shd w:val="clear" w:color="auto"/>
        <w:spacing w:before="150"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目前执行的《统计上大中小微型企业划分办法》是2011年国家统计局根据工业和信息化部、国家统计局、国家发展改革委、财政部《关于印发中小企业划型标准规定的通知》（工信部联企业〔2011〕300号），同时依据《国民经济行业分类》（GB/T4754—2011），制定并颁布的。</w:t>
      </w:r>
    </w:p>
    <w:p>
      <w:pPr>
        <w:widowControl/>
        <w:shd w:val="clear" w:color="auto"/>
        <w:spacing w:before="150"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2017年6月30日，《国民经济行业分类》（GB/T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hd w:val="clear" w:color="auto"/>
        <w:spacing w:before="150" w:line="540" w:lineRule="atLeast"/>
        <w:jc w:val="left"/>
        <w:textAlignment w:val="baseline"/>
        <w:rPr>
          <w:rFonts w:cs="宋体" w:asciiTheme="majorEastAsia" w:hAnsiTheme="majorEastAsia" w:eastAsiaTheme="majorEastAsia"/>
          <w:b/>
          <w:bCs/>
          <w:color w:val="auto"/>
          <w:kern w:val="0"/>
          <w:sz w:val="27"/>
          <w:szCs w:val="27"/>
        </w:rPr>
      </w:pPr>
      <w:r>
        <w:rPr>
          <w:rFonts w:hint="eastAsia" w:cs="宋体" w:asciiTheme="majorEastAsia" w:hAnsiTheme="majorEastAsia" w:eastAsiaTheme="majorEastAsia"/>
          <w:b/>
          <w:bCs/>
          <w:color w:val="auto"/>
          <w:kern w:val="0"/>
          <w:sz w:val="27"/>
          <w:szCs w:val="27"/>
        </w:rPr>
        <w:t>二、修订主要内容</w:t>
      </w:r>
    </w:p>
    <w:p>
      <w:pPr>
        <w:widowControl/>
        <w:shd w:val="clear" w:color="auto"/>
        <w:spacing w:before="150"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本次修订是在2011年《统计上大中小微型企业划分办法》基础上进行的，修订延续原有的分类原则、方法和结构框架，在保持适用范围不变的情况下,依据标准由《国民经济行业分类》（GB/T4754—2011）修改为《国民经济行业分类》（GB/T4754—2017），并根据新旧国民经济行业的对应关系，进行了行业所包含类别的对应调整。</w:t>
      </w:r>
    </w:p>
    <w:p>
      <w:pPr>
        <w:widowControl/>
        <w:shd w:val="clear" w:color="auto"/>
        <w:spacing w:before="150"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将交通运输业中包括的“装卸搬运和运输代理业”修改为“多式联运和运输代理业、装卸搬运”。</w:t>
      </w:r>
    </w:p>
    <w:p>
      <w:pPr>
        <w:widowControl/>
        <w:shd w:val="clear" w:color="auto"/>
        <w:spacing w:before="150"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仓储业所包括的行业中类，根据《国民经济行业分类》（GB/T4754—2017）调整为“通用仓储，低温仓储，危险品仓储，谷物、棉花等农产品仓储，中药材仓储和其他仓储业”。</w:t>
      </w:r>
    </w:p>
    <w:p>
      <w:pPr>
        <w:widowControl/>
        <w:shd w:val="clear"/>
        <w:jc w:val="left"/>
        <w:rPr>
          <w:rFonts w:cs="宋体" w:asciiTheme="majorEastAsia" w:hAnsiTheme="majorEastAsia" w:eastAsiaTheme="majorEastAsia"/>
          <w:color w:val="auto"/>
          <w:kern w:val="0"/>
          <w:sz w:val="18"/>
          <w:szCs w:val="18"/>
        </w:rPr>
      </w:pPr>
    </w:p>
    <w:p>
      <w:pPr>
        <w:pStyle w:val="34"/>
        <w:shd w:val="clear"/>
        <w:rPr>
          <w:color w:val="auto"/>
        </w:rPr>
      </w:pPr>
    </w:p>
    <w:p>
      <w:pPr>
        <w:pStyle w:val="34"/>
        <w:shd w:val="clear"/>
        <w:rPr>
          <w:color w:val="auto"/>
        </w:rPr>
      </w:pPr>
    </w:p>
    <w:p>
      <w:pPr>
        <w:widowControl/>
        <w:shd w:val="clear" w:color="auto"/>
        <w:spacing w:line="600" w:lineRule="atLeast"/>
        <w:jc w:val="center"/>
        <w:textAlignment w:val="baseline"/>
        <w:rPr>
          <w:rFonts w:cs="宋体" w:asciiTheme="majorEastAsia" w:hAnsiTheme="majorEastAsia" w:eastAsiaTheme="majorEastAsia"/>
          <w:b/>
          <w:bCs/>
          <w:color w:val="auto"/>
          <w:kern w:val="0"/>
          <w:sz w:val="36"/>
          <w:szCs w:val="36"/>
        </w:rPr>
      </w:pPr>
    </w:p>
    <w:p>
      <w:pPr>
        <w:widowControl/>
        <w:shd w:val="clear" w:color="auto"/>
        <w:spacing w:line="600" w:lineRule="atLeast"/>
        <w:jc w:val="center"/>
        <w:textAlignment w:val="baseline"/>
        <w:rPr>
          <w:rFonts w:cs="宋体" w:asciiTheme="majorEastAsia" w:hAnsiTheme="majorEastAsia" w:eastAsiaTheme="majorEastAsia"/>
          <w:b/>
          <w:bCs/>
          <w:color w:val="auto"/>
          <w:kern w:val="0"/>
          <w:sz w:val="36"/>
          <w:szCs w:val="36"/>
        </w:rPr>
      </w:pPr>
    </w:p>
    <w:p>
      <w:pPr>
        <w:widowControl/>
        <w:shd w:val="clear" w:color="auto"/>
        <w:spacing w:line="600" w:lineRule="atLeast"/>
        <w:jc w:val="center"/>
        <w:textAlignment w:val="baseline"/>
        <w:rPr>
          <w:rFonts w:cs="宋体" w:asciiTheme="majorEastAsia" w:hAnsiTheme="majorEastAsia" w:eastAsiaTheme="majorEastAsia"/>
          <w:b/>
          <w:bCs/>
          <w:color w:val="auto"/>
          <w:kern w:val="0"/>
          <w:sz w:val="36"/>
          <w:szCs w:val="36"/>
        </w:rPr>
      </w:pPr>
      <w:r>
        <w:rPr>
          <w:rFonts w:hint="eastAsia" w:cs="宋体" w:asciiTheme="majorEastAsia" w:hAnsiTheme="majorEastAsia" w:eastAsiaTheme="majorEastAsia"/>
          <w:b/>
          <w:bCs/>
          <w:color w:val="auto"/>
          <w:kern w:val="0"/>
          <w:sz w:val="36"/>
          <w:szCs w:val="36"/>
        </w:rPr>
        <w:t>中国人民银行中国银行业监督管理委员会</w:t>
      </w:r>
    </w:p>
    <w:p>
      <w:pPr>
        <w:widowControl/>
        <w:shd w:val="clear" w:color="auto"/>
        <w:spacing w:line="600" w:lineRule="atLeast"/>
        <w:jc w:val="center"/>
        <w:textAlignment w:val="baseline"/>
        <w:rPr>
          <w:rFonts w:cs="宋体" w:asciiTheme="majorEastAsia" w:hAnsiTheme="majorEastAsia" w:eastAsiaTheme="majorEastAsia"/>
          <w:b/>
          <w:bCs/>
          <w:color w:val="auto"/>
          <w:kern w:val="0"/>
          <w:sz w:val="36"/>
          <w:szCs w:val="36"/>
        </w:rPr>
      </w:pPr>
      <w:r>
        <w:rPr>
          <w:rFonts w:hint="eastAsia" w:cs="宋体" w:asciiTheme="majorEastAsia" w:hAnsiTheme="majorEastAsia" w:eastAsiaTheme="majorEastAsia"/>
          <w:b/>
          <w:bCs/>
          <w:color w:val="auto"/>
          <w:kern w:val="0"/>
          <w:sz w:val="36"/>
          <w:szCs w:val="36"/>
        </w:rPr>
        <w:t>中国证券监督管理委员会中国保险监督管理委员会</w:t>
      </w:r>
    </w:p>
    <w:p>
      <w:pPr>
        <w:widowControl/>
        <w:shd w:val="clear" w:color="auto"/>
        <w:spacing w:line="600" w:lineRule="atLeast"/>
        <w:jc w:val="center"/>
        <w:textAlignment w:val="baseline"/>
        <w:rPr>
          <w:rFonts w:cs="宋体" w:asciiTheme="majorEastAsia" w:hAnsiTheme="majorEastAsia" w:eastAsiaTheme="majorEastAsia"/>
          <w:b/>
          <w:bCs/>
          <w:color w:val="auto"/>
          <w:kern w:val="0"/>
          <w:sz w:val="36"/>
          <w:szCs w:val="36"/>
        </w:rPr>
      </w:pPr>
      <w:r>
        <w:rPr>
          <w:rFonts w:hint="eastAsia" w:cs="宋体" w:asciiTheme="majorEastAsia" w:hAnsiTheme="majorEastAsia" w:eastAsiaTheme="majorEastAsia"/>
          <w:b/>
          <w:bCs/>
          <w:color w:val="auto"/>
          <w:kern w:val="0"/>
          <w:sz w:val="36"/>
          <w:szCs w:val="36"/>
        </w:rPr>
        <w:t>国家统计局关于印发《金融业企业划型标准规定》的通知</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为进一步贯彻落实《中华人民共和国中小企业促进法》、《国务院关于进一步促进中小企业发展的若干意见》（国发〔2009〕36号）、《国务院办公厅关于金融支持小微企业发展的实施意见》（国办发〔2013〕87号），推动中小金融机构健康发展，加大金融对实体经济的支持，人民银行会同银监会、证监会、保监会和国家统计局联合研究制定了《金融业企业划型标准规定》（见附件）。 经国务院同意，现印发给你们，请遵照执行。</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请人民银行上海总部，各分行、营业管理部、省会（首府）城市中心支行、副省级城市中心支行会同所在省（区、市）银监局、证监局、保监局、统计局将本通知联合转发至辖内相关机构。</w:t>
      </w:r>
    </w:p>
    <w:p>
      <w:pPr>
        <w:widowControl/>
        <w:shd w:val="clear" w:color="auto"/>
        <w:spacing w:before="150"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附件：金融业企业划型标准规定</w:t>
      </w:r>
    </w:p>
    <w:p>
      <w:pPr>
        <w:widowControl/>
        <w:shd w:val="clear" w:color="auto"/>
        <w:spacing w:before="150" w:line="600" w:lineRule="atLeast"/>
        <w:jc w:val="center"/>
        <w:textAlignment w:val="baseline"/>
        <w:rPr>
          <w:rFonts w:cs="宋体" w:asciiTheme="majorEastAsia" w:hAnsiTheme="majorEastAsia" w:eastAsiaTheme="majorEastAsia"/>
          <w:b/>
          <w:bCs/>
          <w:color w:val="auto"/>
          <w:kern w:val="0"/>
          <w:sz w:val="36"/>
          <w:szCs w:val="36"/>
        </w:rPr>
      </w:pPr>
      <w:r>
        <w:rPr>
          <w:rFonts w:hint="eastAsia" w:cs="宋体" w:asciiTheme="majorEastAsia" w:hAnsiTheme="majorEastAsia" w:eastAsiaTheme="majorEastAsia"/>
          <w:b/>
          <w:bCs/>
          <w:color w:val="auto"/>
          <w:kern w:val="0"/>
          <w:sz w:val="36"/>
          <w:szCs w:val="36"/>
        </w:rPr>
        <w:t>金融业企业划型标准规定</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一、 根据《中华人民共和国中小企业促进法》、《国务院关于进一步促进中小企业发展的若干意见》（国发〔2009〕36号）和《国务院办公厅关于金融支持小微企业发展的实施意见》（国办发〔2013〕87号），制定本规定。</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二、 适用范围。本规定适用于从事《国民经济行业分类》(GB/T4754-2011)中J门类（金融业）活动的企业。</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三、 行业分类。采用复合分类方法对金融业企业进行分类。首先，按《国民经济行业分类》将金融业企业分为货币金融服务、资本市场服务、保险业、其他金融业四大类。其次，将货币金融服务分为货币银行服务和非货币银行服务两类，将其他金融业分为金融信托与管理服务、控股公司服务和其他未包括的金融业三类。最后，按经济性质将货币银行服务类金融业企业划为银行业存款类金融机构；将非货币银行服务类金融业企业分为银行业非存款类金融机构，贷款公司、小额贷款公司及典当行；将资本市场服务类金融业企业划为证券业金融机构；将保险业金融企业划为保险业金融机构；将其他金融业企业分为信托公司，金融控股公司和除贷款公司、小额贷款公司、典当行以外的其他金融机构。</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四、划型标准指标。采用一个完整会计年度中四个季度末法人并表口径的资产总额（信托公司为信托资产）平均值作为划型指标，该指标以监管部门数据为准。</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五、指标标准值。依据指标标准值，将各类金融业企业划分为大、中、小、微四个规模类型，中型企业标准上限及以上的为大型企业。</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(一) 银行业存款类金融机构。资产总额40000亿元以下的为中小微型企业。其中，资产总额5000亿元及以上的为中型企业，资产总额50亿元及以上的为小型企业，资产总额50亿元以下的为微型企业。</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(二) 银行业非存款类金融机构。资产总额1000亿元以下的为中小微型企业。其中，资产总额200亿元及以上的为中型企业，资产总额50亿元及以上的为小型企业，资产总额50亿元以下的为微型企业。</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(三) 贷款公司、小额贷款公司及典当行。资产总额1000亿元以下的为中小微型企业。其中，资产总额200亿元及以上的为中型企业，资产总额50亿元及以上的为小型企业，资产总额50亿元以下的为微型企业。</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(四) 证券业金融机构。资产总额1000亿元以下的为中小微型企业。其中，资产总额100亿元及以上的为中型企业，资产总额10亿元及以上的为小型企业，资产总额10亿元以下的为微型企业。</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(五) 保险业金融机构。资产总额5000亿元以下的为中小微型企业。其中，资产总额400亿元及以上的为中型企业，资产总额20亿元及以上的为小型企业，资产总额20亿元以下的为微型企业。</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(六) 信托公司。信托资产1000亿元以下的为中小微型企业。其中，信托资产400亿元及以上的为中型企业，信托资产20亿元及以上的为小型企业，信托资产20亿元以下的为微型企业。</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(七) 金融控股公司。资产总额40000亿元以下的为中小微型企业。其中，资产总额5000亿元及以上的为中型企业，资产总额50亿元及以上的为小型企业，资产总额50亿元以下的为微型企业。</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(八) 除贷款公司、小额贷款公司，典当行以外的其他金融机构。资产总额1000亿元以下的为中小微型企业。其中，资产总额200亿元及以上的为中型企业，资产总额50亿元及以上的为小型企业，资产总额50亿元以下的为微型企业。</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六、 组织实施。由人民银行会同银监会、证监会、保监会和统计局联合组成金融业企业划型标准工作组，负责金融业企业划型标准的实施、后期评估和调整工作，按年组织金融业企业规模认定，并在人民银行建立的《金融业机构信息管理系统》中增相应的字段模块。经过认定的金融业企业在系统中进行规模登记，方便政府部门和社会各界查询使用。</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七、 标准值的评估和调整。金融业企业划型标准工作组毎五年对划型标准值受经济发展与通货膨胀等因素的响程度进行评估和调整。</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八、 本规定的中型金融业企业标准上限即为大型金融业企业下限。国务院有关部门据此进行相关数据的统计分析，不得制定与本规定不一致的金融业企业划型标准。</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九、 融资担保公司参照本规定中“除贷款公司、小额贷款公司、典当行以外的其他金融机构”标准划型。</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十、本规定由人民银行会同银监会，证监会、保监会和统计局负责解释。</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十一、本规定自发布之日起实施。</w:t>
      </w:r>
    </w:p>
    <w:p>
      <w:pPr>
        <w:widowControl/>
        <w:shd w:val="clear" w:color="auto"/>
        <w:spacing w:before="150" w:line="420" w:lineRule="atLeast"/>
        <w:jc w:val="left"/>
        <w:textAlignment w:val="baseline"/>
        <w:rPr>
          <w:rFonts w:cs="宋体" w:asciiTheme="majorEastAsia" w:hAnsiTheme="majorEastAsia" w:eastAsiaTheme="majorEastAsia"/>
          <w:b/>
          <w:bCs/>
          <w:color w:val="auto"/>
          <w:kern w:val="0"/>
          <w:sz w:val="36"/>
          <w:szCs w:val="36"/>
        </w:rPr>
      </w:pPr>
      <w:r>
        <w:rPr>
          <w:rFonts w:hint="eastAsia" w:cs="宋体" w:asciiTheme="majorEastAsia" w:hAnsiTheme="majorEastAsia" w:eastAsiaTheme="majorEastAsia"/>
          <w:color w:val="auto"/>
          <w:kern w:val="0"/>
          <w:szCs w:val="21"/>
        </w:rPr>
        <w:t>附：金融业企业划型标准</w:t>
      </w:r>
    </w:p>
    <w:p>
      <w:pPr>
        <w:widowControl/>
        <w:shd w:val="clear" w:color="auto"/>
        <w:spacing w:before="150" w:line="600" w:lineRule="atLeast"/>
        <w:jc w:val="center"/>
        <w:textAlignment w:val="baseline"/>
        <w:rPr>
          <w:rFonts w:cs="宋体" w:asciiTheme="majorEastAsia" w:hAnsiTheme="majorEastAsia" w:eastAsiaTheme="majorEastAsia"/>
          <w:b/>
          <w:bCs/>
          <w:color w:val="auto"/>
          <w:kern w:val="0"/>
          <w:sz w:val="36"/>
          <w:szCs w:val="36"/>
        </w:rPr>
      </w:pPr>
      <w:r>
        <w:rPr>
          <w:rFonts w:hint="eastAsia" w:cs="宋体" w:asciiTheme="majorEastAsia" w:hAnsiTheme="majorEastAsia" w:eastAsiaTheme="majorEastAsia"/>
          <w:b/>
          <w:bCs/>
          <w:color w:val="auto"/>
          <w:kern w:val="0"/>
          <w:sz w:val="36"/>
          <w:szCs w:val="36"/>
        </w:rPr>
        <w:t>金融业企业划型标准</w:t>
      </w:r>
    </w:p>
    <w:tbl>
      <w:tblPr>
        <w:tblStyle w:val="90"/>
        <w:tblW w:w="852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
      <w:tblGrid>
        <w:gridCol w:w="735"/>
        <w:gridCol w:w="1025"/>
        <w:gridCol w:w="2836"/>
        <w:gridCol w:w="606"/>
        <w:gridCol w:w="33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1760" w:type="dxa"/>
            <w:gridSpan w:val="2"/>
            <w:tcMar>
              <w:top w:w="75" w:type="dxa"/>
              <w:left w:w="75" w:type="dxa"/>
              <w:bottom w:w="75" w:type="dxa"/>
              <w:right w:w="75" w:type="dxa"/>
            </w:tcMar>
            <w:vAlign w:val="bottom"/>
          </w:tcPr>
          <w:p>
            <w:pPr>
              <w:widowControl/>
              <w:shd w:val="clear"/>
              <w:jc w:val="center"/>
              <w:rPr>
                <w:rFonts w:cs="宋体" w:asciiTheme="majorEastAsia" w:hAnsiTheme="majorEastAsia" w:eastAsiaTheme="majorEastAsia"/>
                <w:b/>
                <w:bCs/>
                <w:color w:val="auto"/>
                <w:kern w:val="0"/>
                <w:szCs w:val="21"/>
              </w:rPr>
            </w:pPr>
            <w:r>
              <w:rPr>
                <w:rFonts w:hint="eastAsia" w:cs="宋体" w:asciiTheme="majorEastAsia" w:hAnsiTheme="majorEastAsia" w:eastAsiaTheme="majorEastAsia"/>
                <w:b/>
                <w:bCs/>
                <w:color w:val="auto"/>
                <w:kern w:val="0"/>
                <w:szCs w:val="21"/>
              </w:rPr>
              <w:t>行业</w:t>
            </w:r>
          </w:p>
        </w:tc>
        <w:tc>
          <w:tcPr>
            <w:tcW w:w="2836" w:type="dxa"/>
            <w:tcMar>
              <w:top w:w="75" w:type="dxa"/>
              <w:left w:w="75" w:type="dxa"/>
              <w:bottom w:w="75" w:type="dxa"/>
              <w:right w:w="75" w:type="dxa"/>
            </w:tcMar>
            <w:vAlign w:val="bottom"/>
          </w:tcPr>
          <w:p>
            <w:pPr>
              <w:widowControl/>
              <w:shd w:val="clear"/>
              <w:jc w:val="center"/>
              <w:rPr>
                <w:rFonts w:cs="宋体" w:asciiTheme="majorEastAsia" w:hAnsiTheme="majorEastAsia" w:eastAsiaTheme="majorEastAsia"/>
                <w:b/>
                <w:bCs/>
                <w:color w:val="auto"/>
                <w:kern w:val="0"/>
                <w:szCs w:val="21"/>
              </w:rPr>
            </w:pPr>
            <w:r>
              <w:rPr>
                <w:rFonts w:hint="eastAsia" w:cs="宋体" w:asciiTheme="majorEastAsia" w:hAnsiTheme="majorEastAsia" w:eastAsiaTheme="majorEastAsia"/>
                <w:b/>
                <w:bCs/>
                <w:color w:val="auto"/>
                <w:kern w:val="0"/>
                <w:szCs w:val="21"/>
              </w:rPr>
              <w:t>类别</w:t>
            </w:r>
          </w:p>
        </w:tc>
        <w:tc>
          <w:tcPr>
            <w:tcW w:w="606" w:type="dxa"/>
            <w:tcMar>
              <w:top w:w="75" w:type="dxa"/>
              <w:left w:w="75" w:type="dxa"/>
              <w:bottom w:w="75" w:type="dxa"/>
              <w:right w:w="75" w:type="dxa"/>
            </w:tcMar>
            <w:vAlign w:val="bottom"/>
          </w:tcPr>
          <w:p>
            <w:pPr>
              <w:widowControl/>
              <w:shd w:val="clear"/>
              <w:jc w:val="center"/>
              <w:rPr>
                <w:rFonts w:cs="宋体" w:asciiTheme="majorEastAsia" w:hAnsiTheme="majorEastAsia" w:eastAsiaTheme="majorEastAsia"/>
                <w:b/>
                <w:bCs/>
                <w:color w:val="auto"/>
                <w:kern w:val="0"/>
                <w:szCs w:val="21"/>
              </w:rPr>
            </w:pPr>
            <w:r>
              <w:rPr>
                <w:rFonts w:hint="eastAsia" w:cs="宋体" w:asciiTheme="majorEastAsia" w:hAnsiTheme="majorEastAsia" w:eastAsiaTheme="majorEastAsia"/>
                <w:b/>
                <w:bCs/>
                <w:color w:val="auto"/>
                <w:kern w:val="0"/>
                <w:szCs w:val="21"/>
              </w:rPr>
              <w:t>类型</w:t>
            </w:r>
          </w:p>
        </w:tc>
        <w:tc>
          <w:tcPr>
            <w:tcW w:w="3326" w:type="dxa"/>
            <w:tcMar>
              <w:top w:w="75" w:type="dxa"/>
              <w:left w:w="75" w:type="dxa"/>
              <w:bottom w:w="75" w:type="dxa"/>
              <w:right w:w="75" w:type="dxa"/>
            </w:tcMar>
            <w:vAlign w:val="bottom"/>
          </w:tcPr>
          <w:p>
            <w:pPr>
              <w:widowControl/>
              <w:shd w:val="clear"/>
              <w:jc w:val="center"/>
              <w:rPr>
                <w:rFonts w:cs="宋体" w:asciiTheme="majorEastAsia" w:hAnsiTheme="majorEastAsia" w:eastAsiaTheme="majorEastAsia"/>
                <w:b/>
                <w:bCs/>
                <w:color w:val="auto"/>
                <w:kern w:val="0"/>
                <w:szCs w:val="21"/>
              </w:rPr>
            </w:pPr>
            <w:r>
              <w:rPr>
                <w:rFonts w:hint="eastAsia" w:cs="宋体" w:asciiTheme="majorEastAsia" w:hAnsiTheme="majorEastAsia" w:eastAsiaTheme="majorEastAsia"/>
                <w:b/>
                <w:bCs/>
                <w:color w:val="auto"/>
                <w:kern w:val="0"/>
                <w:szCs w:val="21"/>
              </w:rPr>
              <w:t>资产总额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735"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货币金融服务</w:t>
            </w:r>
          </w:p>
        </w:tc>
        <w:tc>
          <w:tcPr>
            <w:tcW w:w="1025"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货币银行服务</w:t>
            </w:r>
          </w:p>
        </w:tc>
        <w:tc>
          <w:tcPr>
            <w:tcW w:w="2836"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银行业存款类金融机构</w:t>
            </w: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中型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5000亿元（含）至40000亿元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73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02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2836"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小型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50亿元（含）至5000亿元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73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02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2836"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微型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50亿元以下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73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025"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非货币银行服务</w:t>
            </w:r>
          </w:p>
        </w:tc>
        <w:tc>
          <w:tcPr>
            <w:tcW w:w="2836"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银行业非存款类金融机构</w:t>
            </w: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中型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200亿元（含）至1000亿元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73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02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2836"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小型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50亿元（含）至200亿元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73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02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2836"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微型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50亿元以下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73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02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2836"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贷款公司、小额贷款公司及典当行</w:t>
            </w: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中型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200亿元（含）至1000亿元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73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02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2836"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小型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50亿元（含）至200亿元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73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02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2836"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微型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50亿元以下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1760" w:type="dxa"/>
            <w:gridSpan w:val="2"/>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资本市场服务</w:t>
            </w:r>
          </w:p>
        </w:tc>
        <w:tc>
          <w:tcPr>
            <w:tcW w:w="2836"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证券业金融机构</w:t>
            </w: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中型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100亿元（含）至1000亿元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1760" w:type="dxa"/>
            <w:gridSpan w:val="2"/>
            <w:vMerge w:val="continue"/>
            <w:vAlign w:val="center"/>
          </w:tcPr>
          <w:p>
            <w:pPr>
              <w:widowControl/>
              <w:shd w:val="clear"/>
              <w:jc w:val="left"/>
              <w:rPr>
                <w:rFonts w:cs="宋体" w:asciiTheme="majorEastAsia" w:hAnsiTheme="majorEastAsia" w:eastAsiaTheme="majorEastAsia"/>
                <w:color w:val="auto"/>
                <w:kern w:val="0"/>
                <w:sz w:val="24"/>
              </w:rPr>
            </w:pPr>
          </w:p>
        </w:tc>
        <w:tc>
          <w:tcPr>
            <w:tcW w:w="2836"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小型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10亿元（含）至100亿元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1760" w:type="dxa"/>
            <w:gridSpan w:val="2"/>
            <w:vMerge w:val="continue"/>
            <w:vAlign w:val="center"/>
          </w:tcPr>
          <w:p>
            <w:pPr>
              <w:widowControl/>
              <w:shd w:val="clear"/>
              <w:jc w:val="left"/>
              <w:rPr>
                <w:rFonts w:cs="宋体" w:asciiTheme="majorEastAsia" w:hAnsiTheme="majorEastAsia" w:eastAsiaTheme="majorEastAsia"/>
                <w:color w:val="auto"/>
                <w:kern w:val="0"/>
                <w:sz w:val="24"/>
              </w:rPr>
            </w:pPr>
          </w:p>
        </w:tc>
        <w:tc>
          <w:tcPr>
            <w:tcW w:w="2836"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微型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10亿元以下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1760" w:type="dxa"/>
            <w:gridSpan w:val="2"/>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保险业</w:t>
            </w:r>
          </w:p>
        </w:tc>
        <w:tc>
          <w:tcPr>
            <w:tcW w:w="2836"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保险业金融机构</w:t>
            </w: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中型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400亿元（含）至5000亿元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1760" w:type="dxa"/>
            <w:gridSpan w:val="2"/>
            <w:vMerge w:val="continue"/>
            <w:vAlign w:val="center"/>
          </w:tcPr>
          <w:p>
            <w:pPr>
              <w:widowControl/>
              <w:shd w:val="clear"/>
              <w:jc w:val="left"/>
              <w:rPr>
                <w:rFonts w:cs="宋体" w:asciiTheme="majorEastAsia" w:hAnsiTheme="majorEastAsia" w:eastAsiaTheme="majorEastAsia"/>
                <w:color w:val="auto"/>
                <w:kern w:val="0"/>
                <w:sz w:val="24"/>
              </w:rPr>
            </w:pPr>
          </w:p>
        </w:tc>
        <w:tc>
          <w:tcPr>
            <w:tcW w:w="2836"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小型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20亿元（含）至400亿元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1760" w:type="dxa"/>
            <w:gridSpan w:val="2"/>
            <w:vMerge w:val="continue"/>
            <w:vAlign w:val="center"/>
          </w:tcPr>
          <w:p>
            <w:pPr>
              <w:widowControl/>
              <w:shd w:val="clear"/>
              <w:jc w:val="left"/>
              <w:rPr>
                <w:rFonts w:cs="宋体" w:asciiTheme="majorEastAsia" w:hAnsiTheme="majorEastAsia" w:eastAsiaTheme="majorEastAsia"/>
                <w:color w:val="auto"/>
                <w:kern w:val="0"/>
                <w:sz w:val="24"/>
              </w:rPr>
            </w:pPr>
          </w:p>
        </w:tc>
        <w:tc>
          <w:tcPr>
            <w:tcW w:w="2836"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微型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20亿元以下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735"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其他金融业</w:t>
            </w:r>
          </w:p>
        </w:tc>
        <w:tc>
          <w:tcPr>
            <w:tcW w:w="1025"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金融信托与管理服务</w:t>
            </w:r>
          </w:p>
        </w:tc>
        <w:tc>
          <w:tcPr>
            <w:tcW w:w="2836"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信托公司</w:t>
            </w: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中型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400亿元（含）至1000亿元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73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02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2836"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小型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20亿元（含）至400亿元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73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02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2836"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微型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20亿元以下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73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025"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控股公司服务</w:t>
            </w:r>
          </w:p>
        </w:tc>
        <w:tc>
          <w:tcPr>
            <w:tcW w:w="2836"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金融控股公司</w:t>
            </w: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中型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5000亿元（含）至40000亿元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73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02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2836"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小型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50亿元（含）至5000亿元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73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02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2836"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微型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50亿元以下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73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025"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其他未包括的金融业</w:t>
            </w:r>
          </w:p>
        </w:tc>
        <w:tc>
          <w:tcPr>
            <w:tcW w:w="2836"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除贷款公司、小额贷款公司及典当行以外的其他金融机构</w:t>
            </w: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中型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200亿元（含）至1000亿元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73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02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2836"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小型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50亿元（含）至200亿元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73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02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2836"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微型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50亿元以下</w:t>
            </w:r>
          </w:p>
        </w:tc>
      </w:tr>
    </w:tbl>
    <w:p>
      <w:pPr>
        <w:shd w:val="clear"/>
        <w:rPr>
          <w:rFonts w:cs="仿宋_GB2312" w:asciiTheme="majorEastAsia" w:hAnsiTheme="majorEastAsia" w:eastAsiaTheme="majorEastAsia"/>
          <w:color w:val="auto"/>
          <w:sz w:val="24"/>
        </w:rPr>
      </w:pPr>
    </w:p>
    <w:p>
      <w:pPr>
        <w:shd w:val="clear"/>
        <w:ind w:firstLine="420" w:firstLineChars="200"/>
        <w:rPr>
          <w:rFonts w:asciiTheme="majorEastAsia" w:hAnsiTheme="majorEastAsia" w:eastAsiaTheme="majorEastAsia"/>
          <w:color w:val="auto"/>
        </w:rPr>
      </w:pPr>
    </w:p>
    <w:p>
      <w:pPr>
        <w:shd w:val="clear"/>
        <w:spacing w:line="360" w:lineRule="auto"/>
        <w:rPr>
          <w:rFonts w:cs="仿宋_GB2312" w:asciiTheme="majorEastAsia" w:hAnsiTheme="majorEastAsia" w:eastAsiaTheme="majorEastAsia"/>
          <w:color w:val="auto"/>
          <w:kern w:val="0"/>
          <w:sz w:val="24"/>
        </w:rPr>
      </w:pPr>
    </w:p>
    <w:p>
      <w:pPr>
        <w:shd w:val="clear"/>
        <w:spacing w:line="360" w:lineRule="auto"/>
        <w:rPr>
          <w:rFonts w:cs="仿宋_GB2312" w:asciiTheme="majorEastAsia" w:hAnsiTheme="majorEastAsia" w:eastAsiaTheme="majorEastAsia"/>
          <w:color w:val="auto"/>
          <w:kern w:val="0"/>
          <w:sz w:val="24"/>
        </w:rPr>
      </w:pPr>
    </w:p>
    <w:sectPr>
      <w:headerReference r:id="rId3" w:type="default"/>
      <w:footerReference r:id="rId4" w:type="default"/>
      <w:footerReference r:id="rId5" w:type="even"/>
      <w:pgSz w:w="11906" w:h="16838"/>
      <w:pgMar w:top="1474" w:right="1814" w:bottom="1474" w:left="1814" w:header="1021" w:footer="90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Lucida Sans">
    <w:panose1 w:val="020B0602030504020204"/>
    <w:charset w:val="00"/>
    <w:family w:val="swiss"/>
    <w:pitch w:val="default"/>
    <w:sig w:usb0="00000003" w:usb1="00000000" w:usb2="00000000" w:usb3="00000000" w:csb0="20000001" w:csb1="00000000"/>
  </w:font>
  <w:font w:name="微软雅黑">
    <w:panose1 w:val="020B0503020204020204"/>
    <w:charset w:val="86"/>
    <w:family w:val="auto"/>
    <w:pitch w:val="default"/>
    <w:sig w:usb0="80000287" w:usb1="280F3C52" w:usb2="00000016" w:usb3="00000000" w:csb0="0004001F" w:csb1="00000000"/>
  </w:font>
  <w:font w:name="Adobe 繁黑體 Std B">
    <w:altName w:val="黑体"/>
    <w:panose1 w:val="00000000000000000000"/>
    <w:charset w:val="88"/>
    <w:family w:val="auto"/>
    <w:pitch w:val="default"/>
    <w:sig w:usb0="00000000" w:usb1="00000000" w:usb2="00000016" w:usb3="00000000" w:csb0="00120005" w:csb1="00000000"/>
  </w:font>
  <w:font w:name="MS Mincho">
    <w:panose1 w:val="02020609040205080304"/>
    <w:charset w:val="80"/>
    <w:family w:val="modern"/>
    <w:pitch w:val="default"/>
    <w:sig w:usb0="E00002FF" w:usb1="6AC7FDFB" w:usb2="00000012" w:usb3="00000000" w:csb0="4002009F" w:csb1="DFD70000"/>
  </w:font>
  <w:font w:name="Wingdings 2">
    <w:panose1 w:val="05020102010507070707"/>
    <w:charset w:val="00"/>
    <w:family w:val="auto"/>
    <w:pitch w:val="default"/>
    <w:sig w:usb0="00000000" w:usb1="00000000" w:usb2="00000000" w:usb3="00000000" w:csb0="80000000" w:csb1="00000000"/>
  </w:font>
  <w:font w:name="MS Gothic">
    <w:panose1 w:val="020B0609070205080204"/>
    <w:charset w:val="80"/>
    <w:family w:val="modern"/>
    <w:pitch w:val="default"/>
    <w:sig w:usb0="E00002FF" w:usb1="6AC7FDFB" w:usb2="00000012" w:usb3="00000000" w:csb0="4002009F" w:csb1="DFD70000"/>
  </w:font>
  <w:font w:name="Helvetica">
    <w:altName w:val="Arial"/>
    <w:panose1 w:val="020B0604020202020204"/>
    <w:charset w:val="00"/>
    <w:family w:val="swiss"/>
    <w:pitch w:val="default"/>
    <w:sig w:usb0="00000000" w:usb1="00000000" w:usb2="00000000" w:usb3="00000000" w:csb0="00000001" w:csb1="00000000"/>
  </w:font>
  <w:font w:name="Romantic">
    <w:altName w:val="Segoe Print"/>
    <w:panose1 w:val="00000000000000000000"/>
    <w:charset w:val="02"/>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center"/>
      <w:rPr>
        <w:rFonts w:ascii="仿宋_GB2312" w:eastAsia="仿宋_GB2312"/>
        <w:kern w:val="0"/>
      </w:rPr>
    </w:pP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24</w:t>
    </w:r>
    <w:r>
      <w:rPr>
        <w:rFonts w:ascii="仿宋_GB2312" w:eastAsia="仿宋_GB2312"/>
        <w:kern w:val="0"/>
      </w:rPr>
      <w:fldChar w:fldCharType="end"/>
    </w:r>
    <w:r>
      <w:rPr>
        <w:rFonts w:ascii="仿宋_GB2312" w:eastAsia="仿宋_GB2312"/>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framePr w:wrap="around" w:vAnchor="text" w:hAnchor="margin" w:xAlign="center" w:y="1"/>
      <w:rPr>
        <w:rStyle w:val="94"/>
      </w:rPr>
    </w:pPr>
    <w:r>
      <w:fldChar w:fldCharType="begin"/>
    </w:r>
    <w:r>
      <w:rPr>
        <w:rStyle w:val="94"/>
      </w:rPr>
      <w:instrText xml:space="preserve">PAGE  </w:instrText>
    </w:r>
    <w:r>
      <w:fldChar w:fldCharType="end"/>
    </w:r>
  </w:p>
  <w:p>
    <w:pPr>
      <w:pStyle w:val="5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FC8879"/>
    <w:multiLevelType w:val="singleLevel"/>
    <w:tmpl w:val="96FC8879"/>
    <w:lvl w:ilvl="0" w:tentative="0">
      <w:start w:val="1"/>
      <w:numFmt w:val="decimal"/>
      <w:suff w:val="nothing"/>
      <w:lvlText w:val="%1、"/>
      <w:lvlJc w:val="left"/>
    </w:lvl>
  </w:abstractNum>
  <w:abstractNum w:abstractNumId="1">
    <w:nsid w:val="00000045"/>
    <w:multiLevelType w:val="multilevel"/>
    <w:tmpl w:val="00000045"/>
    <w:lvl w:ilvl="0" w:tentative="0">
      <w:start w:val="9"/>
      <w:numFmt w:val="decimal"/>
      <w:lvlText w:val="%1."/>
      <w:lvlJc w:val="left"/>
      <w:pPr>
        <w:tabs>
          <w:tab w:val="left" w:pos="420"/>
        </w:tabs>
        <w:ind w:left="425" w:hanging="425"/>
      </w:pPr>
      <w:rPr>
        <w:rFonts w:hint="default" w:ascii="宋体" w:hAnsi="宋体" w:eastAsia="宋体" w:cs="宋体"/>
      </w:rPr>
    </w:lvl>
    <w:lvl w:ilvl="1" w:tentative="0">
      <w:start w:val="1"/>
      <w:numFmt w:val="decimal"/>
      <w:suff w:val="nothing"/>
      <w:lvlText w:val="%1.%2."/>
      <w:lvlJc w:val="left"/>
      <w:pPr>
        <w:tabs>
          <w:tab w:val="left" w:pos="0"/>
        </w:tabs>
        <w:ind w:left="0" w:firstLine="0"/>
      </w:pPr>
      <w:rPr>
        <w:rFonts w:hint="default"/>
      </w:rPr>
    </w:lvl>
    <w:lvl w:ilvl="2" w:tentative="0">
      <w:start w:val="1"/>
      <w:numFmt w:val="decimal"/>
      <w:suff w:val="nothing"/>
      <w:lvlText w:val="%1.%2.%3"/>
      <w:lvlJc w:val="left"/>
      <w:pPr>
        <w:ind w:left="0" w:firstLine="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
    <w:nsid w:val="042B19E7"/>
    <w:multiLevelType w:val="multilevel"/>
    <w:tmpl w:val="042B19E7"/>
    <w:lvl w:ilvl="0" w:tentative="0">
      <w:start w:val="1"/>
      <w:numFmt w:val="chineseCountingThousand"/>
      <w:lvlText w:val="第%1章"/>
      <w:lvlJc w:val="left"/>
      <w:pPr>
        <w:ind w:left="425" w:hanging="425"/>
      </w:pPr>
      <w:rPr>
        <w:rFonts w:hint="eastAsia"/>
      </w:rPr>
    </w:lvl>
    <w:lvl w:ilvl="1" w:tentative="0">
      <w:start w:val="1"/>
      <w:numFmt w:val="decimal"/>
      <w:pStyle w:val="285"/>
      <w:isLgl/>
      <w:lvlText w:val="%1.%2"/>
      <w:lvlJc w:val="left"/>
      <w:pPr>
        <w:ind w:left="630" w:hanging="567"/>
      </w:pPr>
      <w:rPr>
        <w:rFonts w:hint="default" w:ascii="Times New Roman" w:hAnsi="Times New Roman" w:cs="Times New Roman"/>
      </w:rPr>
    </w:lvl>
    <w:lvl w:ilvl="2" w:tentative="0">
      <w:start w:val="1"/>
      <w:numFmt w:val="decimal"/>
      <w:pStyle w:val="283"/>
      <w:isLgl/>
      <w:lvlText w:val="%1.%2.%3"/>
      <w:lvlJc w:val="left"/>
      <w:pPr>
        <w:ind w:left="567" w:hanging="567"/>
      </w:pPr>
      <w:rPr>
        <w:rFonts w:hint="default" w:ascii="Times New Roman" w:hAnsi="Times New Roman" w:cs="Times New Roman"/>
        <w:b/>
      </w:rPr>
    </w:lvl>
    <w:lvl w:ilvl="3" w:tentative="0">
      <w:start w:val="1"/>
      <w:numFmt w:val="decimal"/>
      <w:pStyle w:val="284"/>
      <w:isLgl/>
      <w:lvlText w:val="%1.%2.%3.%4"/>
      <w:lvlJc w:val="left"/>
      <w:pPr>
        <w:ind w:left="1560" w:firstLine="0"/>
      </w:pPr>
      <w:rPr>
        <w:rFonts w:hint="default" w:ascii="Times New Roman" w:hAnsi="Times New Roman" w:cs="Times New Roman"/>
        <w:b/>
        <w:sz w:val="28"/>
        <w:szCs w:val="28"/>
      </w:rPr>
    </w:lvl>
    <w:lvl w:ilvl="4" w:tentative="0">
      <w:start w:val="1"/>
      <w:numFmt w:val="decimal"/>
      <w:isLgl/>
      <w:lvlText w:val="%1.%2.%3.%4.%5"/>
      <w:lvlJc w:val="left"/>
      <w:pPr>
        <w:ind w:left="0" w:firstLine="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0B2D682A"/>
    <w:multiLevelType w:val="multilevel"/>
    <w:tmpl w:val="0B2D682A"/>
    <w:lvl w:ilvl="0" w:tentative="0">
      <w:start w:val="1"/>
      <w:numFmt w:val="decimal"/>
      <w:suff w:val="nothing"/>
      <w:lvlText w:val="（%1）"/>
      <w:lvlJc w:val="left"/>
      <w:pPr>
        <w:ind w:left="0" w:firstLine="0"/>
      </w:pPr>
      <w:rPr>
        <w:rFonts w:hint="eastAsia"/>
        <w:lang w:val="en-U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14E129AA"/>
    <w:multiLevelType w:val="multilevel"/>
    <w:tmpl w:val="14E129AA"/>
    <w:lvl w:ilvl="0" w:tentative="0">
      <w:start w:val="1"/>
      <w:numFmt w:val="decimal"/>
      <w:suff w:val="nothing"/>
      <w:lvlText w:val="（%1）"/>
      <w:lvlJc w:val="left"/>
      <w:pPr>
        <w:ind w:left="0" w:firstLine="0"/>
      </w:pPr>
      <w:rPr>
        <w:rFonts w:hint="eastAsia"/>
        <w:lang w:val="en-U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18954983"/>
    <w:multiLevelType w:val="multilevel"/>
    <w:tmpl w:val="18954983"/>
    <w:lvl w:ilvl="0" w:tentative="0">
      <w:start w:val="1"/>
      <w:numFmt w:val="decimal"/>
      <w:suff w:val="nothing"/>
      <w:lvlText w:val="（%1）"/>
      <w:lvlJc w:val="left"/>
      <w:pPr>
        <w:ind w:left="0" w:firstLine="0"/>
      </w:pPr>
      <w:rPr>
        <w:rFonts w:hint="eastAsia"/>
        <w:lang w:val="en-U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210730FB"/>
    <w:multiLevelType w:val="multilevel"/>
    <w:tmpl w:val="210730FB"/>
    <w:lvl w:ilvl="0" w:tentative="0">
      <w:start w:val="1"/>
      <w:numFmt w:val="decimal"/>
      <w:suff w:val="nothing"/>
      <w:lvlText w:val="（%1）"/>
      <w:lvlJc w:val="left"/>
      <w:pPr>
        <w:ind w:left="0" w:firstLine="0"/>
      </w:pPr>
      <w:rPr>
        <w:rFonts w:hint="eastAsia"/>
        <w:lang w:val="en-U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3FC77E50"/>
    <w:multiLevelType w:val="multilevel"/>
    <w:tmpl w:val="3FC77E50"/>
    <w:lvl w:ilvl="0" w:tentative="0">
      <w:start w:val="1"/>
      <w:numFmt w:val="decimal"/>
      <w:suff w:val="nothing"/>
      <w:lvlText w:val="（%1）"/>
      <w:lvlJc w:val="left"/>
      <w:pPr>
        <w:ind w:left="0" w:firstLine="0"/>
      </w:pPr>
      <w:rPr>
        <w:rFonts w:hint="eastAsia"/>
        <w:color w:val="auto"/>
        <w:lang w:val="en-U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3FEB6B0B"/>
    <w:multiLevelType w:val="multilevel"/>
    <w:tmpl w:val="3FEB6B0B"/>
    <w:lvl w:ilvl="0" w:tentative="0">
      <w:start w:val="1"/>
      <w:numFmt w:val="japaneseCounting"/>
      <w:lvlText w:val="%1、"/>
      <w:lvlJc w:val="left"/>
      <w:pPr>
        <w:ind w:left="2832" w:hanging="912"/>
      </w:pPr>
      <w:rPr>
        <w:rFonts w:hint="default"/>
      </w:rPr>
    </w:lvl>
    <w:lvl w:ilvl="1" w:tentative="0">
      <w:start w:val="1"/>
      <w:numFmt w:val="lowerLetter"/>
      <w:lvlText w:val="%2)"/>
      <w:lvlJc w:val="left"/>
      <w:pPr>
        <w:ind w:left="2760" w:hanging="420"/>
      </w:pPr>
      <w:rPr>
        <w:rFonts w:hint="eastAsia"/>
      </w:rPr>
    </w:lvl>
    <w:lvl w:ilvl="2" w:tentative="0">
      <w:start w:val="1"/>
      <w:numFmt w:val="lowerRoman"/>
      <w:lvlText w:val="%3."/>
      <w:lvlJc w:val="right"/>
      <w:pPr>
        <w:ind w:left="3180" w:hanging="420"/>
      </w:pPr>
    </w:lvl>
    <w:lvl w:ilvl="3" w:tentative="0">
      <w:start w:val="1"/>
      <w:numFmt w:val="decimal"/>
      <w:lvlText w:val="%4."/>
      <w:lvlJc w:val="left"/>
      <w:pPr>
        <w:ind w:left="3600" w:hanging="420"/>
      </w:pPr>
    </w:lvl>
    <w:lvl w:ilvl="4" w:tentative="0">
      <w:start w:val="1"/>
      <w:numFmt w:val="lowerLetter"/>
      <w:lvlText w:val="%5)"/>
      <w:lvlJc w:val="left"/>
      <w:pPr>
        <w:ind w:left="4020" w:hanging="420"/>
      </w:pPr>
    </w:lvl>
    <w:lvl w:ilvl="5" w:tentative="0">
      <w:start w:val="1"/>
      <w:numFmt w:val="lowerRoman"/>
      <w:lvlText w:val="%6."/>
      <w:lvlJc w:val="right"/>
      <w:pPr>
        <w:ind w:left="4440" w:hanging="420"/>
      </w:pPr>
    </w:lvl>
    <w:lvl w:ilvl="6" w:tentative="0">
      <w:start w:val="1"/>
      <w:numFmt w:val="decimal"/>
      <w:lvlText w:val="%7."/>
      <w:lvlJc w:val="left"/>
      <w:pPr>
        <w:ind w:left="4860" w:hanging="420"/>
      </w:pPr>
    </w:lvl>
    <w:lvl w:ilvl="7" w:tentative="0">
      <w:start w:val="1"/>
      <w:numFmt w:val="lowerLetter"/>
      <w:lvlText w:val="%8)"/>
      <w:lvlJc w:val="left"/>
      <w:pPr>
        <w:ind w:left="5280" w:hanging="420"/>
      </w:pPr>
    </w:lvl>
    <w:lvl w:ilvl="8" w:tentative="0">
      <w:start w:val="1"/>
      <w:numFmt w:val="lowerRoman"/>
      <w:lvlText w:val="%9."/>
      <w:lvlJc w:val="right"/>
      <w:pPr>
        <w:ind w:left="5700" w:hanging="420"/>
      </w:pPr>
    </w:lvl>
  </w:abstractNum>
  <w:abstractNum w:abstractNumId="9">
    <w:nsid w:val="526530B8"/>
    <w:multiLevelType w:val="multilevel"/>
    <w:tmpl w:val="526530B8"/>
    <w:lvl w:ilvl="0" w:tentative="0">
      <w:start w:val="1"/>
      <w:numFmt w:val="decimal"/>
      <w:suff w:val="nothing"/>
      <w:lvlText w:val="（%1）"/>
      <w:lvlJc w:val="left"/>
      <w:pPr>
        <w:ind w:left="0" w:firstLine="0"/>
      </w:pPr>
      <w:rPr>
        <w:rFonts w:hint="eastAsia"/>
        <w:lang w:val="en-U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535242CB"/>
    <w:multiLevelType w:val="multilevel"/>
    <w:tmpl w:val="535242CB"/>
    <w:lvl w:ilvl="0" w:tentative="0">
      <w:start w:val="1"/>
      <w:numFmt w:val="decimal"/>
      <w:suff w:val="nothing"/>
      <w:lvlText w:val="（%1）"/>
      <w:lvlJc w:val="left"/>
      <w:pPr>
        <w:ind w:left="0" w:firstLine="0"/>
      </w:pPr>
      <w:rPr>
        <w:rFonts w:hint="eastAsia"/>
        <w:lang w:val="en-US"/>
      </w:rPr>
    </w:lvl>
    <w:lvl w:ilvl="1" w:tentative="0">
      <w:start w:val="2"/>
      <w:numFmt w:val="decimal"/>
      <w:lvlText w:val="%2、"/>
      <w:lvlJc w:val="left"/>
      <w:pPr>
        <w:ind w:left="1620" w:hanging="72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55C071BD"/>
    <w:multiLevelType w:val="multilevel"/>
    <w:tmpl w:val="55C071BD"/>
    <w:lvl w:ilvl="0" w:tentative="0">
      <w:start w:val="1"/>
      <w:numFmt w:val="decimal"/>
      <w:suff w:val="nothing"/>
      <w:lvlText w:val="（%1）"/>
      <w:lvlJc w:val="left"/>
      <w:pPr>
        <w:ind w:left="426" w:firstLine="0"/>
      </w:pPr>
      <w:rPr>
        <w:rFonts w:hint="eastAsia"/>
        <w:lang w:val="en-U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67D5201C"/>
    <w:multiLevelType w:val="multilevel"/>
    <w:tmpl w:val="67D5201C"/>
    <w:lvl w:ilvl="0" w:tentative="0">
      <w:start w:val="1"/>
      <w:numFmt w:val="decimal"/>
      <w:suff w:val="nothing"/>
      <w:lvlText w:val="（%1）"/>
      <w:lvlJc w:val="left"/>
      <w:pPr>
        <w:ind w:left="0" w:firstLine="0"/>
      </w:pPr>
      <w:rPr>
        <w:rFonts w:hint="eastAsia"/>
        <w:lang w:val="en-U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72696FE3"/>
    <w:multiLevelType w:val="multilevel"/>
    <w:tmpl w:val="72696FE3"/>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798D5B6E"/>
    <w:multiLevelType w:val="multilevel"/>
    <w:tmpl w:val="798D5B6E"/>
    <w:lvl w:ilvl="0" w:tentative="0">
      <w:start w:val="1"/>
      <w:numFmt w:val="decimal"/>
      <w:suff w:val="nothing"/>
      <w:lvlText w:val="（%1）"/>
      <w:lvlJc w:val="left"/>
      <w:pPr>
        <w:ind w:left="0" w:firstLine="0"/>
      </w:pPr>
      <w:rPr>
        <w:rFonts w:hint="eastAsia"/>
        <w:lang w:val="en-U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5">
    <w:nsid w:val="7F373FFE"/>
    <w:multiLevelType w:val="multilevel"/>
    <w:tmpl w:val="7F373FFE"/>
    <w:lvl w:ilvl="0" w:tentative="0">
      <w:start w:val="1"/>
      <w:numFmt w:val="decimal"/>
      <w:suff w:val="nothing"/>
      <w:lvlText w:val="（%1）"/>
      <w:lvlJc w:val="left"/>
      <w:pPr>
        <w:ind w:left="0" w:firstLine="0"/>
      </w:pPr>
      <w:rPr>
        <w:rFonts w:hint="eastAsia"/>
        <w:lang w:val="en-U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13"/>
  </w:num>
  <w:num w:numId="3">
    <w:abstractNumId w:val="8"/>
  </w:num>
  <w:num w:numId="4">
    <w:abstractNumId w:val="3"/>
  </w:num>
  <w:num w:numId="5">
    <w:abstractNumId w:val="9"/>
  </w:num>
  <w:num w:numId="6">
    <w:abstractNumId w:val="6"/>
  </w:num>
  <w:num w:numId="7">
    <w:abstractNumId w:val="7"/>
  </w:num>
  <w:num w:numId="8">
    <w:abstractNumId w:val="5"/>
  </w:num>
  <w:num w:numId="9">
    <w:abstractNumId w:val="11"/>
  </w:num>
  <w:num w:numId="10">
    <w:abstractNumId w:val="10"/>
  </w:num>
  <w:num w:numId="11">
    <w:abstractNumId w:val="4"/>
  </w:num>
  <w:num w:numId="12">
    <w:abstractNumId w:val="14"/>
  </w:num>
  <w:num w:numId="13">
    <w:abstractNumId w:val="15"/>
  </w:num>
  <w:num w:numId="14">
    <w:abstractNumId w:val="1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kMmNhYmQ3MzU3Njg0ODFlNDNhYTE5Y2ZlN2FhYTEifQ=="/>
  </w:docVars>
  <w:rsids>
    <w:rsidRoot w:val="00417C8A"/>
    <w:rsid w:val="00000113"/>
    <w:rsid w:val="00001EC4"/>
    <w:rsid w:val="00004D46"/>
    <w:rsid w:val="0000703D"/>
    <w:rsid w:val="00011630"/>
    <w:rsid w:val="00013CF7"/>
    <w:rsid w:val="00016985"/>
    <w:rsid w:val="00017CD8"/>
    <w:rsid w:val="0002203D"/>
    <w:rsid w:val="00022F99"/>
    <w:rsid w:val="00023B95"/>
    <w:rsid w:val="0002468D"/>
    <w:rsid w:val="000302B4"/>
    <w:rsid w:val="00031F75"/>
    <w:rsid w:val="0003327C"/>
    <w:rsid w:val="00033C3F"/>
    <w:rsid w:val="00033F8C"/>
    <w:rsid w:val="000405DB"/>
    <w:rsid w:val="00043FD7"/>
    <w:rsid w:val="00044F24"/>
    <w:rsid w:val="00051C47"/>
    <w:rsid w:val="000529D9"/>
    <w:rsid w:val="00054B5B"/>
    <w:rsid w:val="00055CF7"/>
    <w:rsid w:val="00055F37"/>
    <w:rsid w:val="0006044E"/>
    <w:rsid w:val="00065EFB"/>
    <w:rsid w:val="00066686"/>
    <w:rsid w:val="00071AC2"/>
    <w:rsid w:val="00075000"/>
    <w:rsid w:val="0008089E"/>
    <w:rsid w:val="00080906"/>
    <w:rsid w:val="0008127C"/>
    <w:rsid w:val="0008141C"/>
    <w:rsid w:val="00083618"/>
    <w:rsid w:val="00083E11"/>
    <w:rsid w:val="00083E93"/>
    <w:rsid w:val="000842ED"/>
    <w:rsid w:val="000845D1"/>
    <w:rsid w:val="0008463E"/>
    <w:rsid w:val="00091B62"/>
    <w:rsid w:val="000933A2"/>
    <w:rsid w:val="000946C7"/>
    <w:rsid w:val="00094C02"/>
    <w:rsid w:val="00095D4C"/>
    <w:rsid w:val="00096144"/>
    <w:rsid w:val="00097868"/>
    <w:rsid w:val="00097F5B"/>
    <w:rsid w:val="000A1328"/>
    <w:rsid w:val="000A15C6"/>
    <w:rsid w:val="000A234C"/>
    <w:rsid w:val="000A24D9"/>
    <w:rsid w:val="000A452B"/>
    <w:rsid w:val="000A45D5"/>
    <w:rsid w:val="000A4A37"/>
    <w:rsid w:val="000A4C23"/>
    <w:rsid w:val="000A4F47"/>
    <w:rsid w:val="000A560E"/>
    <w:rsid w:val="000A773B"/>
    <w:rsid w:val="000B3CF1"/>
    <w:rsid w:val="000B4129"/>
    <w:rsid w:val="000B61B8"/>
    <w:rsid w:val="000B625B"/>
    <w:rsid w:val="000B731B"/>
    <w:rsid w:val="000C0894"/>
    <w:rsid w:val="000C1324"/>
    <w:rsid w:val="000C1CFA"/>
    <w:rsid w:val="000C1F2F"/>
    <w:rsid w:val="000C1F3C"/>
    <w:rsid w:val="000C3344"/>
    <w:rsid w:val="000C54AC"/>
    <w:rsid w:val="000C6F19"/>
    <w:rsid w:val="000D110F"/>
    <w:rsid w:val="000D318C"/>
    <w:rsid w:val="000D47FA"/>
    <w:rsid w:val="000D4A39"/>
    <w:rsid w:val="000D4DAC"/>
    <w:rsid w:val="000D6BF0"/>
    <w:rsid w:val="000E02BF"/>
    <w:rsid w:val="000E2F97"/>
    <w:rsid w:val="000E3307"/>
    <w:rsid w:val="000E3B16"/>
    <w:rsid w:val="000E4A4F"/>
    <w:rsid w:val="000E62E9"/>
    <w:rsid w:val="000E7296"/>
    <w:rsid w:val="000F1E27"/>
    <w:rsid w:val="000F45F9"/>
    <w:rsid w:val="000F4B86"/>
    <w:rsid w:val="000F7EA8"/>
    <w:rsid w:val="0010250A"/>
    <w:rsid w:val="001033B4"/>
    <w:rsid w:val="001075FE"/>
    <w:rsid w:val="00107BB7"/>
    <w:rsid w:val="00112B08"/>
    <w:rsid w:val="00112C9F"/>
    <w:rsid w:val="001131F0"/>
    <w:rsid w:val="00113FB1"/>
    <w:rsid w:val="0011482C"/>
    <w:rsid w:val="00114C81"/>
    <w:rsid w:val="00116EDA"/>
    <w:rsid w:val="00117A8C"/>
    <w:rsid w:val="0012537A"/>
    <w:rsid w:val="00125579"/>
    <w:rsid w:val="001308EC"/>
    <w:rsid w:val="00130FA2"/>
    <w:rsid w:val="001315FE"/>
    <w:rsid w:val="0013448C"/>
    <w:rsid w:val="001345B3"/>
    <w:rsid w:val="0013482D"/>
    <w:rsid w:val="00135B0A"/>
    <w:rsid w:val="00137525"/>
    <w:rsid w:val="00137965"/>
    <w:rsid w:val="001400E7"/>
    <w:rsid w:val="00144385"/>
    <w:rsid w:val="0014682D"/>
    <w:rsid w:val="001541C3"/>
    <w:rsid w:val="0015597B"/>
    <w:rsid w:val="00157269"/>
    <w:rsid w:val="00163413"/>
    <w:rsid w:val="00164906"/>
    <w:rsid w:val="00165D74"/>
    <w:rsid w:val="00166190"/>
    <w:rsid w:val="00166825"/>
    <w:rsid w:val="00166CA4"/>
    <w:rsid w:val="00167436"/>
    <w:rsid w:val="001676D0"/>
    <w:rsid w:val="00167778"/>
    <w:rsid w:val="00167E15"/>
    <w:rsid w:val="001708E1"/>
    <w:rsid w:val="001722D3"/>
    <w:rsid w:val="001763A3"/>
    <w:rsid w:val="0017701B"/>
    <w:rsid w:val="00177909"/>
    <w:rsid w:val="00181370"/>
    <w:rsid w:val="001814C3"/>
    <w:rsid w:val="001818C0"/>
    <w:rsid w:val="00181BD7"/>
    <w:rsid w:val="001820F6"/>
    <w:rsid w:val="001841D9"/>
    <w:rsid w:val="001848BA"/>
    <w:rsid w:val="00184C15"/>
    <w:rsid w:val="00185200"/>
    <w:rsid w:val="00187753"/>
    <w:rsid w:val="00187AB4"/>
    <w:rsid w:val="00190DB7"/>
    <w:rsid w:val="001910D8"/>
    <w:rsid w:val="00191263"/>
    <w:rsid w:val="00191706"/>
    <w:rsid w:val="00191EE1"/>
    <w:rsid w:val="001920DA"/>
    <w:rsid w:val="00193494"/>
    <w:rsid w:val="00196147"/>
    <w:rsid w:val="001A07EE"/>
    <w:rsid w:val="001A0C24"/>
    <w:rsid w:val="001A18CC"/>
    <w:rsid w:val="001A2699"/>
    <w:rsid w:val="001A2D7A"/>
    <w:rsid w:val="001A5E00"/>
    <w:rsid w:val="001A6D6F"/>
    <w:rsid w:val="001B2770"/>
    <w:rsid w:val="001B3B94"/>
    <w:rsid w:val="001B43A9"/>
    <w:rsid w:val="001B44CE"/>
    <w:rsid w:val="001B485F"/>
    <w:rsid w:val="001B4AC5"/>
    <w:rsid w:val="001B5DFE"/>
    <w:rsid w:val="001B63A8"/>
    <w:rsid w:val="001B723B"/>
    <w:rsid w:val="001C07C7"/>
    <w:rsid w:val="001C353C"/>
    <w:rsid w:val="001C75A7"/>
    <w:rsid w:val="001D15E2"/>
    <w:rsid w:val="001D24BB"/>
    <w:rsid w:val="001D5077"/>
    <w:rsid w:val="001D50EB"/>
    <w:rsid w:val="001D6ED7"/>
    <w:rsid w:val="001E0158"/>
    <w:rsid w:val="001E053C"/>
    <w:rsid w:val="001E0AAF"/>
    <w:rsid w:val="001E1FB3"/>
    <w:rsid w:val="001E394D"/>
    <w:rsid w:val="001E3B20"/>
    <w:rsid w:val="001E40A4"/>
    <w:rsid w:val="001E4A9F"/>
    <w:rsid w:val="001E5080"/>
    <w:rsid w:val="001E52C9"/>
    <w:rsid w:val="001E589F"/>
    <w:rsid w:val="001E61D6"/>
    <w:rsid w:val="001E6F0D"/>
    <w:rsid w:val="001E7313"/>
    <w:rsid w:val="001F24ED"/>
    <w:rsid w:val="001F429B"/>
    <w:rsid w:val="001F43C6"/>
    <w:rsid w:val="001F4C63"/>
    <w:rsid w:val="001F7E31"/>
    <w:rsid w:val="00201559"/>
    <w:rsid w:val="0020567D"/>
    <w:rsid w:val="002056F9"/>
    <w:rsid w:val="00207722"/>
    <w:rsid w:val="00207CB8"/>
    <w:rsid w:val="0021156F"/>
    <w:rsid w:val="0021191D"/>
    <w:rsid w:val="00211FEF"/>
    <w:rsid w:val="00212540"/>
    <w:rsid w:val="002127B2"/>
    <w:rsid w:val="00213DEE"/>
    <w:rsid w:val="002156C6"/>
    <w:rsid w:val="00216329"/>
    <w:rsid w:val="002163AB"/>
    <w:rsid w:val="0021713D"/>
    <w:rsid w:val="002219B7"/>
    <w:rsid w:val="00221E4B"/>
    <w:rsid w:val="00222A95"/>
    <w:rsid w:val="002243F2"/>
    <w:rsid w:val="0022536C"/>
    <w:rsid w:val="0022707F"/>
    <w:rsid w:val="002273AA"/>
    <w:rsid w:val="00230AD8"/>
    <w:rsid w:val="002312D8"/>
    <w:rsid w:val="00231CB7"/>
    <w:rsid w:val="00234385"/>
    <w:rsid w:val="00234F98"/>
    <w:rsid w:val="002358A3"/>
    <w:rsid w:val="0023638E"/>
    <w:rsid w:val="00237268"/>
    <w:rsid w:val="00240FC2"/>
    <w:rsid w:val="00241302"/>
    <w:rsid w:val="002414C1"/>
    <w:rsid w:val="002415ED"/>
    <w:rsid w:val="002465DB"/>
    <w:rsid w:val="00246854"/>
    <w:rsid w:val="0024689F"/>
    <w:rsid w:val="002476B5"/>
    <w:rsid w:val="002479FE"/>
    <w:rsid w:val="00247AB8"/>
    <w:rsid w:val="00254538"/>
    <w:rsid w:val="00255923"/>
    <w:rsid w:val="002634ED"/>
    <w:rsid w:val="002635DF"/>
    <w:rsid w:val="00264FFB"/>
    <w:rsid w:val="0026541B"/>
    <w:rsid w:val="00265978"/>
    <w:rsid w:val="00267F79"/>
    <w:rsid w:val="002753F7"/>
    <w:rsid w:val="00281424"/>
    <w:rsid w:val="00281809"/>
    <w:rsid w:val="002860D2"/>
    <w:rsid w:val="00287945"/>
    <w:rsid w:val="00290FB9"/>
    <w:rsid w:val="002931F6"/>
    <w:rsid w:val="002945E5"/>
    <w:rsid w:val="002A0008"/>
    <w:rsid w:val="002A005C"/>
    <w:rsid w:val="002A0921"/>
    <w:rsid w:val="002A0A11"/>
    <w:rsid w:val="002A13E9"/>
    <w:rsid w:val="002A163B"/>
    <w:rsid w:val="002A168D"/>
    <w:rsid w:val="002A446A"/>
    <w:rsid w:val="002A4A75"/>
    <w:rsid w:val="002A5617"/>
    <w:rsid w:val="002A5C25"/>
    <w:rsid w:val="002A6EB3"/>
    <w:rsid w:val="002A7057"/>
    <w:rsid w:val="002B186A"/>
    <w:rsid w:val="002B4A4B"/>
    <w:rsid w:val="002B6B66"/>
    <w:rsid w:val="002C0560"/>
    <w:rsid w:val="002C17AB"/>
    <w:rsid w:val="002C1DE8"/>
    <w:rsid w:val="002C2C53"/>
    <w:rsid w:val="002C4EB0"/>
    <w:rsid w:val="002C776B"/>
    <w:rsid w:val="002C7825"/>
    <w:rsid w:val="002D3CB8"/>
    <w:rsid w:val="002E1BB4"/>
    <w:rsid w:val="002E2BF4"/>
    <w:rsid w:val="002E322A"/>
    <w:rsid w:val="002E35C4"/>
    <w:rsid w:val="002E4A64"/>
    <w:rsid w:val="002E4DCA"/>
    <w:rsid w:val="002E7ADA"/>
    <w:rsid w:val="002F34ED"/>
    <w:rsid w:val="002F3755"/>
    <w:rsid w:val="002F4C86"/>
    <w:rsid w:val="002F5C55"/>
    <w:rsid w:val="003006C3"/>
    <w:rsid w:val="00301910"/>
    <w:rsid w:val="00301CAD"/>
    <w:rsid w:val="00301E85"/>
    <w:rsid w:val="00302514"/>
    <w:rsid w:val="00303BDF"/>
    <w:rsid w:val="003073BE"/>
    <w:rsid w:val="00307917"/>
    <w:rsid w:val="00310180"/>
    <w:rsid w:val="00312BCA"/>
    <w:rsid w:val="00316329"/>
    <w:rsid w:val="00316D33"/>
    <w:rsid w:val="00321DB5"/>
    <w:rsid w:val="00326528"/>
    <w:rsid w:val="0032789C"/>
    <w:rsid w:val="003300D6"/>
    <w:rsid w:val="00333844"/>
    <w:rsid w:val="0033399E"/>
    <w:rsid w:val="00334C4B"/>
    <w:rsid w:val="00334E2D"/>
    <w:rsid w:val="00337E6B"/>
    <w:rsid w:val="00343810"/>
    <w:rsid w:val="00345884"/>
    <w:rsid w:val="00345E9C"/>
    <w:rsid w:val="00350721"/>
    <w:rsid w:val="003529C1"/>
    <w:rsid w:val="00352DA6"/>
    <w:rsid w:val="003536DC"/>
    <w:rsid w:val="00356036"/>
    <w:rsid w:val="003602B3"/>
    <w:rsid w:val="00363DBF"/>
    <w:rsid w:val="00367386"/>
    <w:rsid w:val="003677F4"/>
    <w:rsid w:val="00367EAB"/>
    <w:rsid w:val="003705B1"/>
    <w:rsid w:val="003715C1"/>
    <w:rsid w:val="00371D98"/>
    <w:rsid w:val="00371F86"/>
    <w:rsid w:val="00372060"/>
    <w:rsid w:val="0037368A"/>
    <w:rsid w:val="0037444C"/>
    <w:rsid w:val="00375107"/>
    <w:rsid w:val="0037517D"/>
    <w:rsid w:val="0037674C"/>
    <w:rsid w:val="00376D24"/>
    <w:rsid w:val="00377E10"/>
    <w:rsid w:val="00380069"/>
    <w:rsid w:val="00380204"/>
    <w:rsid w:val="00380385"/>
    <w:rsid w:val="00380E37"/>
    <w:rsid w:val="00382701"/>
    <w:rsid w:val="003830C1"/>
    <w:rsid w:val="0038403C"/>
    <w:rsid w:val="00384E3C"/>
    <w:rsid w:val="0039130B"/>
    <w:rsid w:val="00393589"/>
    <w:rsid w:val="00393A4C"/>
    <w:rsid w:val="00395065"/>
    <w:rsid w:val="00397DD7"/>
    <w:rsid w:val="003A1DB9"/>
    <w:rsid w:val="003A4702"/>
    <w:rsid w:val="003A55CB"/>
    <w:rsid w:val="003A5D76"/>
    <w:rsid w:val="003A5D98"/>
    <w:rsid w:val="003A604E"/>
    <w:rsid w:val="003A7E5C"/>
    <w:rsid w:val="003B008A"/>
    <w:rsid w:val="003B2B02"/>
    <w:rsid w:val="003B35ED"/>
    <w:rsid w:val="003B3937"/>
    <w:rsid w:val="003B4A36"/>
    <w:rsid w:val="003C5746"/>
    <w:rsid w:val="003C6195"/>
    <w:rsid w:val="003C637D"/>
    <w:rsid w:val="003D159E"/>
    <w:rsid w:val="003D1A22"/>
    <w:rsid w:val="003D1E14"/>
    <w:rsid w:val="003D4606"/>
    <w:rsid w:val="003E074D"/>
    <w:rsid w:val="003E07BD"/>
    <w:rsid w:val="003E3FC0"/>
    <w:rsid w:val="003E49E2"/>
    <w:rsid w:val="003E4AF6"/>
    <w:rsid w:val="003E58EF"/>
    <w:rsid w:val="003E6C02"/>
    <w:rsid w:val="003F0D67"/>
    <w:rsid w:val="003F1403"/>
    <w:rsid w:val="003F2602"/>
    <w:rsid w:val="003F4084"/>
    <w:rsid w:val="003F5EB6"/>
    <w:rsid w:val="003F6A07"/>
    <w:rsid w:val="003F77E0"/>
    <w:rsid w:val="00400057"/>
    <w:rsid w:val="00401679"/>
    <w:rsid w:val="00402DDD"/>
    <w:rsid w:val="004046E7"/>
    <w:rsid w:val="00406520"/>
    <w:rsid w:val="004104B2"/>
    <w:rsid w:val="00410993"/>
    <w:rsid w:val="004109FD"/>
    <w:rsid w:val="0041205B"/>
    <w:rsid w:val="00412F49"/>
    <w:rsid w:val="004131AB"/>
    <w:rsid w:val="0041347C"/>
    <w:rsid w:val="0041394C"/>
    <w:rsid w:val="00414F07"/>
    <w:rsid w:val="00417C8A"/>
    <w:rsid w:val="00421FA9"/>
    <w:rsid w:val="0042510C"/>
    <w:rsid w:val="00427CD9"/>
    <w:rsid w:val="00431AF5"/>
    <w:rsid w:val="00435788"/>
    <w:rsid w:val="00437E83"/>
    <w:rsid w:val="004402C2"/>
    <w:rsid w:val="00440FF1"/>
    <w:rsid w:val="00441C41"/>
    <w:rsid w:val="004424D6"/>
    <w:rsid w:val="004425F9"/>
    <w:rsid w:val="00442935"/>
    <w:rsid w:val="0044422F"/>
    <w:rsid w:val="00444F85"/>
    <w:rsid w:val="0044683D"/>
    <w:rsid w:val="004544AC"/>
    <w:rsid w:val="00461637"/>
    <w:rsid w:val="0046167C"/>
    <w:rsid w:val="00462FF1"/>
    <w:rsid w:val="004636AA"/>
    <w:rsid w:val="0046423C"/>
    <w:rsid w:val="00464A1A"/>
    <w:rsid w:val="00467AF4"/>
    <w:rsid w:val="004703DF"/>
    <w:rsid w:val="00470BF4"/>
    <w:rsid w:val="00470C84"/>
    <w:rsid w:val="00471407"/>
    <w:rsid w:val="00472076"/>
    <w:rsid w:val="004738C7"/>
    <w:rsid w:val="00474D71"/>
    <w:rsid w:val="00475E70"/>
    <w:rsid w:val="00476C0B"/>
    <w:rsid w:val="00477EFE"/>
    <w:rsid w:val="00480823"/>
    <w:rsid w:val="0048368B"/>
    <w:rsid w:val="0048417D"/>
    <w:rsid w:val="00485280"/>
    <w:rsid w:val="00485E04"/>
    <w:rsid w:val="0048747B"/>
    <w:rsid w:val="00487BA7"/>
    <w:rsid w:val="00495084"/>
    <w:rsid w:val="00497699"/>
    <w:rsid w:val="00497DB2"/>
    <w:rsid w:val="004A236E"/>
    <w:rsid w:val="004A2E8C"/>
    <w:rsid w:val="004A3F25"/>
    <w:rsid w:val="004A694A"/>
    <w:rsid w:val="004A763D"/>
    <w:rsid w:val="004A77EB"/>
    <w:rsid w:val="004B045A"/>
    <w:rsid w:val="004B4125"/>
    <w:rsid w:val="004B5136"/>
    <w:rsid w:val="004C0238"/>
    <w:rsid w:val="004C11F5"/>
    <w:rsid w:val="004C3107"/>
    <w:rsid w:val="004C72EB"/>
    <w:rsid w:val="004D0EA8"/>
    <w:rsid w:val="004D1B4D"/>
    <w:rsid w:val="004D314A"/>
    <w:rsid w:val="004D3202"/>
    <w:rsid w:val="004D61CE"/>
    <w:rsid w:val="004D66E3"/>
    <w:rsid w:val="004D78EB"/>
    <w:rsid w:val="004E17C8"/>
    <w:rsid w:val="004E1AB8"/>
    <w:rsid w:val="004E6F9E"/>
    <w:rsid w:val="004F0337"/>
    <w:rsid w:val="004F0F13"/>
    <w:rsid w:val="004F13A2"/>
    <w:rsid w:val="004F556D"/>
    <w:rsid w:val="004F7507"/>
    <w:rsid w:val="005011EA"/>
    <w:rsid w:val="0050274F"/>
    <w:rsid w:val="005039B0"/>
    <w:rsid w:val="005041C0"/>
    <w:rsid w:val="00505F7E"/>
    <w:rsid w:val="00506285"/>
    <w:rsid w:val="0051326B"/>
    <w:rsid w:val="005144CF"/>
    <w:rsid w:val="00515BB3"/>
    <w:rsid w:val="00523D62"/>
    <w:rsid w:val="00524FD6"/>
    <w:rsid w:val="00526A3B"/>
    <w:rsid w:val="00527FB3"/>
    <w:rsid w:val="005319AA"/>
    <w:rsid w:val="005328A6"/>
    <w:rsid w:val="00534F97"/>
    <w:rsid w:val="0053504E"/>
    <w:rsid w:val="00536FBF"/>
    <w:rsid w:val="0054018C"/>
    <w:rsid w:val="00540BF1"/>
    <w:rsid w:val="00540C3C"/>
    <w:rsid w:val="005433F9"/>
    <w:rsid w:val="00544130"/>
    <w:rsid w:val="00554323"/>
    <w:rsid w:val="00555D18"/>
    <w:rsid w:val="0056065C"/>
    <w:rsid w:val="0056084F"/>
    <w:rsid w:val="00561D65"/>
    <w:rsid w:val="00563C81"/>
    <w:rsid w:val="00565BC1"/>
    <w:rsid w:val="0056619D"/>
    <w:rsid w:val="005703AE"/>
    <w:rsid w:val="0057066B"/>
    <w:rsid w:val="00570D87"/>
    <w:rsid w:val="005724DC"/>
    <w:rsid w:val="00572BAD"/>
    <w:rsid w:val="00573BCB"/>
    <w:rsid w:val="00573F13"/>
    <w:rsid w:val="00575C01"/>
    <w:rsid w:val="0058045E"/>
    <w:rsid w:val="00581173"/>
    <w:rsid w:val="00583B02"/>
    <w:rsid w:val="00583CCB"/>
    <w:rsid w:val="00586C3A"/>
    <w:rsid w:val="0059001D"/>
    <w:rsid w:val="00591584"/>
    <w:rsid w:val="005934FA"/>
    <w:rsid w:val="00593693"/>
    <w:rsid w:val="005940C0"/>
    <w:rsid w:val="00594A03"/>
    <w:rsid w:val="00594CDD"/>
    <w:rsid w:val="005A03CF"/>
    <w:rsid w:val="005A32FB"/>
    <w:rsid w:val="005A3E6E"/>
    <w:rsid w:val="005A6C4A"/>
    <w:rsid w:val="005A7A4A"/>
    <w:rsid w:val="005B1132"/>
    <w:rsid w:val="005B13CD"/>
    <w:rsid w:val="005B3B7E"/>
    <w:rsid w:val="005B55B8"/>
    <w:rsid w:val="005C3A22"/>
    <w:rsid w:val="005C54A7"/>
    <w:rsid w:val="005C5665"/>
    <w:rsid w:val="005C6F10"/>
    <w:rsid w:val="005D064C"/>
    <w:rsid w:val="005D2BBA"/>
    <w:rsid w:val="005D2F62"/>
    <w:rsid w:val="005D4A6A"/>
    <w:rsid w:val="005D4ED4"/>
    <w:rsid w:val="005D5021"/>
    <w:rsid w:val="005E0FFD"/>
    <w:rsid w:val="005E305B"/>
    <w:rsid w:val="005E41C6"/>
    <w:rsid w:val="005E4A7D"/>
    <w:rsid w:val="005E5DA3"/>
    <w:rsid w:val="005E68E7"/>
    <w:rsid w:val="005F5691"/>
    <w:rsid w:val="00601737"/>
    <w:rsid w:val="0060186C"/>
    <w:rsid w:val="00601BAC"/>
    <w:rsid w:val="00602C7B"/>
    <w:rsid w:val="006044B9"/>
    <w:rsid w:val="00605E17"/>
    <w:rsid w:val="00606A72"/>
    <w:rsid w:val="006120C0"/>
    <w:rsid w:val="006156AC"/>
    <w:rsid w:val="0061758A"/>
    <w:rsid w:val="00620B9F"/>
    <w:rsid w:val="00622303"/>
    <w:rsid w:val="00625BC2"/>
    <w:rsid w:val="00626456"/>
    <w:rsid w:val="00626610"/>
    <w:rsid w:val="00630D2B"/>
    <w:rsid w:val="00633C9D"/>
    <w:rsid w:val="00634CC1"/>
    <w:rsid w:val="00634D18"/>
    <w:rsid w:val="006351A3"/>
    <w:rsid w:val="0063604B"/>
    <w:rsid w:val="00636789"/>
    <w:rsid w:val="00636BFC"/>
    <w:rsid w:val="0064310D"/>
    <w:rsid w:val="00643D55"/>
    <w:rsid w:val="00646C7D"/>
    <w:rsid w:val="006477A4"/>
    <w:rsid w:val="00647DC2"/>
    <w:rsid w:val="00657206"/>
    <w:rsid w:val="00660419"/>
    <w:rsid w:val="00660B88"/>
    <w:rsid w:val="006661DB"/>
    <w:rsid w:val="00670931"/>
    <w:rsid w:val="00671AAF"/>
    <w:rsid w:val="006725B3"/>
    <w:rsid w:val="00675C4B"/>
    <w:rsid w:val="00676465"/>
    <w:rsid w:val="00680A85"/>
    <w:rsid w:val="0068102A"/>
    <w:rsid w:val="00681A4A"/>
    <w:rsid w:val="00681F7E"/>
    <w:rsid w:val="00683398"/>
    <w:rsid w:val="0068376C"/>
    <w:rsid w:val="006839B6"/>
    <w:rsid w:val="00691616"/>
    <w:rsid w:val="006933D5"/>
    <w:rsid w:val="00694B34"/>
    <w:rsid w:val="00696477"/>
    <w:rsid w:val="006968B8"/>
    <w:rsid w:val="006A042B"/>
    <w:rsid w:val="006A0D9A"/>
    <w:rsid w:val="006A1906"/>
    <w:rsid w:val="006A1926"/>
    <w:rsid w:val="006A618D"/>
    <w:rsid w:val="006A7B81"/>
    <w:rsid w:val="006B183A"/>
    <w:rsid w:val="006B28F3"/>
    <w:rsid w:val="006B2D19"/>
    <w:rsid w:val="006B648F"/>
    <w:rsid w:val="006B6B67"/>
    <w:rsid w:val="006B6C3C"/>
    <w:rsid w:val="006C1569"/>
    <w:rsid w:val="006C27A3"/>
    <w:rsid w:val="006C42FB"/>
    <w:rsid w:val="006C5FEF"/>
    <w:rsid w:val="006D13AE"/>
    <w:rsid w:val="006D2BB7"/>
    <w:rsid w:val="006D48E4"/>
    <w:rsid w:val="006D5B63"/>
    <w:rsid w:val="006E141D"/>
    <w:rsid w:val="006E2128"/>
    <w:rsid w:val="006E39A0"/>
    <w:rsid w:val="006E4F48"/>
    <w:rsid w:val="006E64A5"/>
    <w:rsid w:val="006E6C77"/>
    <w:rsid w:val="006E797A"/>
    <w:rsid w:val="006F08AF"/>
    <w:rsid w:val="006F0A0C"/>
    <w:rsid w:val="006F2510"/>
    <w:rsid w:val="006F2D76"/>
    <w:rsid w:val="006F3658"/>
    <w:rsid w:val="006F42A5"/>
    <w:rsid w:val="006F671D"/>
    <w:rsid w:val="006F689E"/>
    <w:rsid w:val="006F75D7"/>
    <w:rsid w:val="006F7E8E"/>
    <w:rsid w:val="007000F9"/>
    <w:rsid w:val="007008DB"/>
    <w:rsid w:val="00702458"/>
    <w:rsid w:val="00705FF1"/>
    <w:rsid w:val="00707395"/>
    <w:rsid w:val="007114BC"/>
    <w:rsid w:val="00712DEF"/>
    <w:rsid w:val="007159AC"/>
    <w:rsid w:val="00715A1C"/>
    <w:rsid w:val="00717FFA"/>
    <w:rsid w:val="0072052D"/>
    <w:rsid w:val="007210DB"/>
    <w:rsid w:val="00721BF4"/>
    <w:rsid w:val="00727E2C"/>
    <w:rsid w:val="00730857"/>
    <w:rsid w:val="00731999"/>
    <w:rsid w:val="0073551D"/>
    <w:rsid w:val="00735F71"/>
    <w:rsid w:val="00737899"/>
    <w:rsid w:val="00743C5C"/>
    <w:rsid w:val="00743E6F"/>
    <w:rsid w:val="00746B00"/>
    <w:rsid w:val="00755640"/>
    <w:rsid w:val="00756B07"/>
    <w:rsid w:val="007570E4"/>
    <w:rsid w:val="00757BAC"/>
    <w:rsid w:val="00760E9E"/>
    <w:rsid w:val="00761AF4"/>
    <w:rsid w:val="00762B5C"/>
    <w:rsid w:val="00764D8C"/>
    <w:rsid w:val="0077013C"/>
    <w:rsid w:val="0077086E"/>
    <w:rsid w:val="00772AC2"/>
    <w:rsid w:val="00773A2F"/>
    <w:rsid w:val="00773E8F"/>
    <w:rsid w:val="00775269"/>
    <w:rsid w:val="007767DB"/>
    <w:rsid w:val="007779D7"/>
    <w:rsid w:val="00777C1A"/>
    <w:rsid w:val="00780268"/>
    <w:rsid w:val="007812C0"/>
    <w:rsid w:val="007822C3"/>
    <w:rsid w:val="00782B63"/>
    <w:rsid w:val="007830B5"/>
    <w:rsid w:val="0078699F"/>
    <w:rsid w:val="0079012B"/>
    <w:rsid w:val="00793029"/>
    <w:rsid w:val="00795F7A"/>
    <w:rsid w:val="007A0365"/>
    <w:rsid w:val="007A06F3"/>
    <w:rsid w:val="007A16F0"/>
    <w:rsid w:val="007A1DDD"/>
    <w:rsid w:val="007A3021"/>
    <w:rsid w:val="007A5361"/>
    <w:rsid w:val="007B2102"/>
    <w:rsid w:val="007B2872"/>
    <w:rsid w:val="007B33F2"/>
    <w:rsid w:val="007B76DC"/>
    <w:rsid w:val="007C1FA0"/>
    <w:rsid w:val="007C27C7"/>
    <w:rsid w:val="007C5716"/>
    <w:rsid w:val="007D4361"/>
    <w:rsid w:val="007D7005"/>
    <w:rsid w:val="007D754B"/>
    <w:rsid w:val="007E14F4"/>
    <w:rsid w:val="007E765C"/>
    <w:rsid w:val="007E78AC"/>
    <w:rsid w:val="007F0976"/>
    <w:rsid w:val="007F1EF9"/>
    <w:rsid w:val="007F26F9"/>
    <w:rsid w:val="007F2813"/>
    <w:rsid w:val="007F2B18"/>
    <w:rsid w:val="007F372D"/>
    <w:rsid w:val="007F3BB0"/>
    <w:rsid w:val="007F7A17"/>
    <w:rsid w:val="007F7ADC"/>
    <w:rsid w:val="00800A3E"/>
    <w:rsid w:val="00801A6C"/>
    <w:rsid w:val="00804E3D"/>
    <w:rsid w:val="00806292"/>
    <w:rsid w:val="00810244"/>
    <w:rsid w:val="008105D4"/>
    <w:rsid w:val="008125CD"/>
    <w:rsid w:val="00815230"/>
    <w:rsid w:val="008163D9"/>
    <w:rsid w:val="008167D4"/>
    <w:rsid w:val="0082016A"/>
    <w:rsid w:val="00820E54"/>
    <w:rsid w:val="0082176B"/>
    <w:rsid w:val="00821954"/>
    <w:rsid w:val="00822072"/>
    <w:rsid w:val="00822430"/>
    <w:rsid w:val="00822455"/>
    <w:rsid w:val="008231ED"/>
    <w:rsid w:val="00823CF4"/>
    <w:rsid w:val="0082403F"/>
    <w:rsid w:val="008249F4"/>
    <w:rsid w:val="008260B4"/>
    <w:rsid w:val="00826384"/>
    <w:rsid w:val="00826845"/>
    <w:rsid w:val="008304B2"/>
    <w:rsid w:val="00831EC3"/>
    <w:rsid w:val="008325F0"/>
    <w:rsid w:val="00833BDF"/>
    <w:rsid w:val="008348A9"/>
    <w:rsid w:val="00835206"/>
    <w:rsid w:val="0083755F"/>
    <w:rsid w:val="00841A75"/>
    <w:rsid w:val="00841D23"/>
    <w:rsid w:val="00842C80"/>
    <w:rsid w:val="0084505D"/>
    <w:rsid w:val="0084613D"/>
    <w:rsid w:val="00846817"/>
    <w:rsid w:val="00850611"/>
    <w:rsid w:val="008557E8"/>
    <w:rsid w:val="00856AC4"/>
    <w:rsid w:val="00861B84"/>
    <w:rsid w:val="00863478"/>
    <w:rsid w:val="008637A5"/>
    <w:rsid w:val="00863945"/>
    <w:rsid w:val="00863A88"/>
    <w:rsid w:val="008656F7"/>
    <w:rsid w:val="00865B01"/>
    <w:rsid w:val="008663B7"/>
    <w:rsid w:val="00866680"/>
    <w:rsid w:val="00866B25"/>
    <w:rsid w:val="0087134A"/>
    <w:rsid w:val="00872FB7"/>
    <w:rsid w:val="00873A45"/>
    <w:rsid w:val="008773F7"/>
    <w:rsid w:val="008806CA"/>
    <w:rsid w:val="008833D3"/>
    <w:rsid w:val="0088347A"/>
    <w:rsid w:val="00886234"/>
    <w:rsid w:val="00886634"/>
    <w:rsid w:val="00887B85"/>
    <w:rsid w:val="008903D4"/>
    <w:rsid w:val="008912F1"/>
    <w:rsid w:val="008932B0"/>
    <w:rsid w:val="00894012"/>
    <w:rsid w:val="00894C40"/>
    <w:rsid w:val="0089713E"/>
    <w:rsid w:val="008A164C"/>
    <w:rsid w:val="008A4600"/>
    <w:rsid w:val="008A5161"/>
    <w:rsid w:val="008A69CB"/>
    <w:rsid w:val="008B0D68"/>
    <w:rsid w:val="008B111C"/>
    <w:rsid w:val="008B2776"/>
    <w:rsid w:val="008B3FD9"/>
    <w:rsid w:val="008B43D4"/>
    <w:rsid w:val="008B7749"/>
    <w:rsid w:val="008B7B52"/>
    <w:rsid w:val="008C0F81"/>
    <w:rsid w:val="008C1B93"/>
    <w:rsid w:val="008C48DE"/>
    <w:rsid w:val="008C4E5B"/>
    <w:rsid w:val="008C7E8C"/>
    <w:rsid w:val="008D0F69"/>
    <w:rsid w:val="008D4197"/>
    <w:rsid w:val="008D45A0"/>
    <w:rsid w:val="008D503F"/>
    <w:rsid w:val="008D5CD0"/>
    <w:rsid w:val="008D7B31"/>
    <w:rsid w:val="008E07EA"/>
    <w:rsid w:val="008E07F0"/>
    <w:rsid w:val="008E19EE"/>
    <w:rsid w:val="008F07DF"/>
    <w:rsid w:val="008F0E8B"/>
    <w:rsid w:val="009003F1"/>
    <w:rsid w:val="0090287D"/>
    <w:rsid w:val="009031BB"/>
    <w:rsid w:val="00906660"/>
    <w:rsid w:val="009067B2"/>
    <w:rsid w:val="00907531"/>
    <w:rsid w:val="00912BD2"/>
    <w:rsid w:val="009130E8"/>
    <w:rsid w:val="009171B3"/>
    <w:rsid w:val="0092030F"/>
    <w:rsid w:val="00920E49"/>
    <w:rsid w:val="00922F15"/>
    <w:rsid w:val="00923FDB"/>
    <w:rsid w:val="00926541"/>
    <w:rsid w:val="009271D3"/>
    <w:rsid w:val="00927255"/>
    <w:rsid w:val="009309E4"/>
    <w:rsid w:val="0093210C"/>
    <w:rsid w:val="0093253D"/>
    <w:rsid w:val="00933FD9"/>
    <w:rsid w:val="00935F3D"/>
    <w:rsid w:val="009363BC"/>
    <w:rsid w:val="00936426"/>
    <w:rsid w:val="00936632"/>
    <w:rsid w:val="009415ED"/>
    <w:rsid w:val="0094502C"/>
    <w:rsid w:val="00945616"/>
    <w:rsid w:val="00947D9C"/>
    <w:rsid w:val="00947FE6"/>
    <w:rsid w:val="0095251F"/>
    <w:rsid w:val="00953B6B"/>
    <w:rsid w:val="00953FAC"/>
    <w:rsid w:val="009557D2"/>
    <w:rsid w:val="00955B84"/>
    <w:rsid w:val="009568DF"/>
    <w:rsid w:val="009611A8"/>
    <w:rsid w:val="00962489"/>
    <w:rsid w:val="00963185"/>
    <w:rsid w:val="0096450C"/>
    <w:rsid w:val="009652B2"/>
    <w:rsid w:val="009659F7"/>
    <w:rsid w:val="00970F9E"/>
    <w:rsid w:val="0097129F"/>
    <w:rsid w:val="00974B7F"/>
    <w:rsid w:val="0097518C"/>
    <w:rsid w:val="009823BD"/>
    <w:rsid w:val="0098540C"/>
    <w:rsid w:val="0098612E"/>
    <w:rsid w:val="00986823"/>
    <w:rsid w:val="00990D20"/>
    <w:rsid w:val="00991695"/>
    <w:rsid w:val="009924D5"/>
    <w:rsid w:val="009925CC"/>
    <w:rsid w:val="00993077"/>
    <w:rsid w:val="00994EB1"/>
    <w:rsid w:val="00995623"/>
    <w:rsid w:val="009A05BB"/>
    <w:rsid w:val="009A19C3"/>
    <w:rsid w:val="009A21DA"/>
    <w:rsid w:val="009A3EC8"/>
    <w:rsid w:val="009A4243"/>
    <w:rsid w:val="009A5165"/>
    <w:rsid w:val="009A5E9D"/>
    <w:rsid w:val="009A7727"/>
    <w:rsid w:val="009B3815"/>
    <w:rsid w:val="009B53D1"/>
    <w:rsid w:val="009B53DB"/>
    <w:rsid w:val="009B55F5"/>
    <w:rsid w:val="009C16F4"/>
    <w:rsid w:val="009C1ECA"/>
    <w:rsid w:val="009C3B05"/>
    <w:rsid w:val="009C725B"/>
    <w:rsid w:val="009C76D3"/>
    <w:rsid w:val="009C7A37"/>
    <w:rsid w:val="009D1B96"/>
    <w:rsid w:val="009D3E5A"/>
    <w:rsid w:val="009D43DC"/>
    <w:rsid w:val="009D5067"/>
    <w:rsid w:val="009D508E"/>
    <w:rsid w:val="009D5465"/>
    <w:rsid w:val="009D5C27"/>
    <w:rsid w:val="009D6BDE"/>
    <w:rsid w:val="009D7397"/>
    <w:rsid w:val="009D744F"/>
    <w:rsid w:val="009E09EE"/>
    <w:rsid w:val="009E525C"/>
    <w:rsid w:val="009E6090"/>
    <w:rsid w:val="009E6D86"/>
    <w:rsid w:val="009E7112"/>
    <w:rsid w:val="009F0FD1"/>
    <w:rsid w:val="009F1CA3"/>
    <w:rsid w:val="009F2E86"/>
    <w:rsid w:val="009F4699"/>
    <w:rsid w:val="009F534D"/>
    <w:rsid w:val="009F5CDD"/>
    <w:rsid w:val="009F6592"/>
    <w:rsid w:val="00A02CB5"/>
    <w:rsid w:val="00A102D5"/>
    <w:rsid w:val="00A11029"/>
    <w:rsid w:val="00A1274F"/>
    <w:rsid w:val="00A153AE"/>
    <w:rsid w:val="00A15C91"/>
    <w:rsid w:val="00A15D77"/>
    <w:rsid w:val="00A2031E"/>
    <w:rsid w:val="00A2079D"/>
    <w:rsid w:val="00A20A17"/>
    <w:rsid w:val="00A20F2A"/>
    <w:rsid w:val="00A216B1"/>
    <w:rsid w:val="00A22AB8"/>
    <w:rsid w:val="00A236C4"/>
    <w:rsid w:val="00A23D3B"/>
    <w:rsid w:val="00A247B1"/>
    <w:rsid w:val="00A250B4"/>
    <w:rsid w:val="00A26379"/>
    <w:rsid w:val="00A27EE2"/>
    <w:rsid w:val="00A33C21"/>
    <w:rsid w:val="00A34BD3"/>
    <w:rsid w:val="00A415C8"/>
    <w:rsid w:val="00A4274A"/>
    <w:rsid w:val="00A42B9E"/>
    <w:rsid w:val="00A4389C"/>
    <w:rsid w:val="00A43AAB"/>
    <w:rsid w:val="00A46169"/>
    <w:rsid w:val="00A4774A"/>
    <w:rsid w:val="00A47D06"/>
    <w:rsid w:val="00A51502"/>
    <w:rsid w:val="00A51A3C"/>
    <w:rsid w:val="00A51DFA"/>
    <w:rsid w:val="00A52E71"/>
    <w:rsid w:val="00A55F87"/>
    <w:rsid w:val="00A562D9"/>
    <w:rsid w:val="00A608E4"/>
    <w:rsid w:val="00A6242E"/>
    <w:rsid w:val="00A635F6"/>
    <w:rsid w:val="00A64E3D"/>
    <w:rsid w:val="00A711A7"/>
    <w:rsid w:val="00A7154B"/>
    <w:rsid w:val="00A72B06"/>
    <w:rsid w:val="00A72BC7"/>
    <w:rsid w:val="00A73BEB"/>
    <w:rsid w:val="00A748ED"/>
    <w:rsid w:val="00A74DA8"/>
    <w:rsid w:val="00A7572E"/>
    <w:rsid w:val="00A77233"/>
    <w:rsid w:val="00A82066"/>
    <w:rsid w:val="00A85A4C"/>
    <w:rsid w:val="00A90244"/>
    <w:rsid w:val="00A9044C"/>
    <w:rsid w:val="00A90951"/>
    <w:rsid w:val="00A9106B"/>
    <w:rsid w:val="00A91F9A"/>
    <w:rsid w:val="00A95DBC"/>
    <w:rsid w:val="00A97582"/>
    <w:rsid w:val="00AA0FF7"/>
    <w:rsid w:val="00AA119F"/>
    <w:rsid w:val="00AA17DC"/>
    <w:rsid w:val="00AA23B3"/>
    <w:rsid w:val="00AA4012"/>
    <w:rsid w:val="00AA4EE9"/>
    <w:rsid w:val="00AA7F98"/>
    <w:rsid w:val="00AB1227"/>
    <w:rsid w:val="00AB29D3"/>
    <w:rsid w:val="00AB3266"/>
    <w:rsid w:val="00AB39F3"/>
    <w:rsid w:val="00AB6628"/>
    <w:rsid w:val="00AC13AE"/>
    <w:rsid w:val="00AC2836"/>
    <w:rsid w:val="00AC2B19"/>
    <w:rsid w:val="00AC2EA6"/>
    <w:rsid w:val="00AC3B05"/>
    <w:rsid w:val="00AC3BF8"/>
    <w:rsid w:val="00AC4A89"/>
    <w:rsid w:val="00AC62FC"/>
    <w:rsid w:val="00AD02B6"/>
    <w:rsid w:val="00AD13BA"/>
    <w:rsid w:val="00AD4A91"/>
    <w:rsid w:val="00AD5395"/>
    <w:rsid w:val="00AE2ED6"/>
    <w:rsid w:val="00AE5D65"/>
    <w:rsid w:val="00AE73AF"/>
    <w:rsid w:val="00AF003D"/>
    <w:rsid w:val="00AF0CED"/>
    <w:rsid w:val="00AF44A6"/>
    <w:rsid w:val="00AF4A99"/>
    <w:rsid w:val="00AF71B0"/>
    <w:rsid w:val="00B00F7A"/>
    <w:rsid w:val="00B018BE"/>
    <w:rsid w:val="00B0332B"/>
    <w:rsid w:val="00B0373A"/>
    <w:rsid w:val="00B0534B"/>
    <w:rsid w:val="00B07E6E"/>
    <w:rsid w:val="00B126D9"/>
    <w:rsid w:val="00B12ECD"/>
    <w:rsid w:val="00B12F7A"/>
    <w:rsid w:val="00B14143"/>
    <w:rsid w:val="00B2037E"/>
    <w:rsid w:val="00B26709"/>
    <w:rsid w:val="00B3157A"/>
    <w:rsid w:val="00B3313A"/>
    <w:rsid w:val="00B34302"/>
    <w:rsid w:val="00B36043"/>
    <w:rsid w:val="00B36BE6"/>
    <w:rsid w:val="00B37E7D"/>
    <w:rsid w:val="00B40DE1"/>
    <w:rsid w:val="00B414E4"/>
    <w:rsid w:val="00B443FA"/>
    <w:rsid w:val="00B45BC0"/>
    <w:rsid w:val="00B460C2"/>
    <w:rsid w:val="00B4634E"/>
    <w:rsid w:val="00B510C8"/>
    <w:rsid w:val="00B52F87"/>
    <w:rsid w:val="00B53AA8"/>
    <w:rsid w:val="00B547D3"/>
    <w:rsid w:val="00B55791"/>
    <w:rsid w:val="00B578DC"/>
    <w:rsid w:val="00B63318"/>
    <w:rsid w:val="00B643C0"/>
    <w:rsid w:val="00B6726F"/>
    <w:rsid w:val="00B67D7A"/>
    <w:rsid w:val="00B75866"/>
    <w:rsid w:val="00B76882"/>
    <w:rsid w:val="00B83510"/>
    <w:rsid w:val="00B84532"/>
    <w:rsid w:val="00B853C0"/>
    <w:rsid w:val="00B8612B"/>
    <w:rsid w:val="00B86DC9"/>
    <w:rsid w:val="00B86F4F"/>
    <w:rsid w:val="00B9420B"/>
    <w:rsid w:val="00B94480"/>
    <w:rsid w:val="00B94916"/>
    <w:rsid w:val="00BA0013"/>
    <w:rsid w:val="00BA2AAA"/>
    <w:rsid w:val="00BA5550"/>
    <w:rsid w:val="00BA6BEA"/>
    <w:rsid w:val="00BA6ECF"/>
    <w:rsid w:val="00BB09FD"/>
    <w:rsid w:val="00BB0A07"/>
    <w:rsid w:val="00BB18BA"/>
    <w:rsid w:val="00BB1E8A"/>
    <w:rsid w:val="00BB27A8"/>
    <w:rsid w:val="00BB2A8B"/>
    <w:rsid w:val="00BB4352"/>
    <w:rsid w:val="00BB5323"/>
    <w:rsid w:val="00BB5A91"/>
    <w:rsid w:val="00BB71E1"/>
    <w:rsid w:val="00BC02D7"/>
    <w:rsid w:val="00BC1B19"/>
    <w:rsid w:val="00BC257A"/>
    <w:rsid w:val="00BC5169"/>
    <w:rsid w:val="00BC5AD3"/>
    <w:rsid w:val="00BD38C8"/>
    <w:rsid w:val="00BD3DBB"/>
    <w:rsid w:val="00BD6280"/>
    <w:rsid w:val="00BE10F8"/>
    <w:rsid w:val="00BE14C0"/>
    <w:rsid w:val="00BE1DB1"/>
    <w:rsid w:val="00BE4249"/>
    <w:rsid w:val="00BE4A79"/>
    <w:rsid w:val="00BE6FA5"/>
    <w:rsid w:val="00BF0038"/>
    <w:rsid w:val="00BF0B41"/>
    <w:rsid w:val="00BF0F90"/>
    <w:rsid w:val="00BF52D0"/>
    <w:rsid w:val="00BF57C0"/>
    <w:rsid w:val="00C0353F"/>
    <w:rsid w:val="00C036EC"/>
    <w:rsid w:val="00C053D6"/>
    <w:rsid w:val="00C0598F"/>
    <w:rsid w:val="00C064ED"/>
    <w:rsid w:val="00C10039"/>
    <w:rsid w:val="00C10130"/>
    <w:rsid w:val="00C10C3B"/>
    <w:rsid w:val="00C120BD"/>
    <w:rsid w:val="00C13CF5"/>
    <w:rsid w:val="00C13D00"/>
    <w:rsid w:val="00C13F0F"/>
    <w:rsid w:val="00C1781A"/>
    <w:rsid w:val="00C17B4C"/>
    <w:rsid w:val="00C20640"/>
    <w:rsid w:val="00C20DC8"/>
    <w:rsid w:val="00C216E0"/>
    <w:rsid w:val="00C23B64"/>
    <w:rsid w:val="00C24EE8"/>
    <w:rsid w:val="00C2593F"/>
    <w:rsid w:val="00C25D55"/>
    <w:rsid w:val="00C27678"/>
    <w:rsid w:val="00C31EB2"/>
    <w:rsid w:val="00C32985"/>
    <w:rsid w:val="00C329C3"/>
    <w:rsid w:val="00C452D9"/>
    <w:rsid w:val="00C46FFF"/>
    <w:rsid w:val="00C47797"/>
    <w:rsid w:val="00C51F28"/>
    <w:rsid w:val="00C52860"/>
    <w:rsid w:val="00C53054"/>
    <w:rsid w:val="00C53102"/>
    <w:rsid w:val="00C55A4D"/>
    <w:rsid w:val="00C62B12"/>
    <w:rsid w:val="00C62BA4"/>
    <w:rsid w:val="00C63835"/>
    <w:rsid w:val="00C65894"/>
    <w:rsid w:val="00C6623C"/>
    <w:rsid w:val="00C6680C"/>
    <w:rsid w:val="00C66EE6"/>
    <w:rsid w:val="00C673B6"/>
    <w:rsid w:val="00C70C72"/>
    <w:rsid w:val="00C71636"/>
    <w:rsid w:val="00C721C3"/>
    <w:rsid w:val="00C74C32"/>
    <w:rsid w:val="00C77C5D"/>
    <w:rsid w:val="00C81311"/>
    <w:rsid w:val="00C8162E"/>
    <w:rsid w:val="00C83068"/>
    <w:rsid w:val="00C83429"/>
    <w:rsid w:val="00C93022"/>
    <w:rsid w:val="00C94E0B"/>
    <w:rsid w:val="00C95C66"/>
    <w:rsid w:val="00C969F3"/>
    <w:rsid w:val="00CA007C"/>
    <w:rsid w:val="00CA10BE"/>
    <w:rsid w:val="00CA3B7F"/>
    <w:rsid w:val="00CA42B7"/>
    <w:rsid w:val="00CA45AE"/>
    <w:rsid w:val="00CA4B23"/>
    <w:rsid w:val="00CA5734"/>
    <w:rsid w:val="00CA6080"/>
    <w:rsid w:val="00CA7348"/>
    <w:rsid w:val="00CB0132"/>
    <w:rsid w:val="00CB16E8"/>
    <w:rsid w:val="00CB1B1D"/>
    <w:rsid w:val="00CB20CD"/>
    <w:rsid w:val="00CB3AC5"/>
    <w:rsid w:val="00CB7229"/>
    <w:rsid w:val="00CC050D"/>
    <w:rsid w:val="00CC088E"/>
    <w:rsid w:val="00CC0B6D"/>
    <w:rsid w:val="00CC20C2"/>
    <w:rsid w:val="00CC225B"/>
    <w:rsid w:val="00CC2B80"/>
    <w:rsid w:val="00CC4F72"/>
    <w:rsid w:val="00CC52F5"/>
    <w:rsid w:val="00CC58CA"/>
    <w:rsid w:val="00CC695B"/>
    <w:rsid w:val="00CD1CAB"/>
    <w:rsid w:val="00CD2BEA"/>
    <w:rsid w:val="00CD37DE"/>
    <w:rsid w:val="00CD3E5C"/>
    <w:rsid w:val="00CD4866"/>
    <w:rsid w:val="00CD5C86"/>
    <w:rsid w:val="00CD6AF6"/>
    <w:rsid w:val="00CE3AD7"/>
    <w:rsid w:val="00CE4359"/>
    <w:rsid w:val="00CE50F5"/>
    <w:rsid w:val="00CE6516"/>
    <w:rsid w:val="00CF0B81"/>
    <w:rsid w:val="00CF23F2"/>
    <w:rsid w:val="00CF2C6C"/>
    <w:rsid w:val="00CF33C3"/>
    <w:rsid w:val="00CF3D40"/>
    <w:rsid w:val="00CF4CAD"/>
    <w:rsid w:val="00CF4D29"/>
    <w:rsid w:val="00CF704C"/>
    <w:rsid w:val="00CF7525"/>
    <w:rsid w:val="00CF781F"/>
    <w:rsid w:val="00CF7F2A"/>
    <w:rsid w:val="00CF7FF5"/>
    <w:rsid w:val="00D0063B"/>
    <w:rsid w:val="00D008A1"/>
    <w:rsid w:val="00D01216"/>
    <w:rsid w:val="00D01621"/>
    <w:rsid w:val="00D016DA"/>
    <w:rsid w:val="00D026F7"/>
    <w:rsid w:val="00D02884"/>
    <w:rsid w:val="00D03847"/>
    <w:rsid w:val="00D05BBB"/>
    <w:rsid w:val="00D064C9"/>
    <w:rsid w:val="00D06E3F"/>
    <w:rsid w:val="00D0725E"/>
    <w:rsid w:val="00D0765D"/>
    <w:rsid w:val="00D11361"/>
    <w:rsid w:val="00D11B36"/>
    <w:rsid w:val="00D11C68"/>
    <w:rsid w:val="00D1373D"/>
    <w:rsid w:val="00D16A33"/>
    <w:rsid w:val="00D200E4"/>
    <w:rsid w:val="00D2049A"/>
    <w:rsid w:val="00D24803"/>
    <w:rsid w:val="00D24C7D"/>
    <w:rsid w:val="00D317F4"/>
    <w:rsid w:val="00D322DB"/>
    <w:rsid w:val="00D332FA"/>
    <w:rsid w:val="00D353FF"/>
    <w:rsid w:val="00D43C16"/>
    <w:rsid w:val="00D5021E"/>
    <w:rsid w:val="00D51448"/>
    <w:rsid w:val="00D51479"/>
    <w:rsid w:val="00D61CFC"/>
    <w:rsid w:val="00D625F8"/>
    <w:rsid w:val="00D62A0E"/>
    <w:rsid w:val="00D64B45"/>
    <w:rsid w:val="00D65AF5"/>
    <w:rsid w:val="00D71DFA"/>
    <w:rsid w:val="00D733F2"/>
    <w:rsid w:val="00D73F4E"/>
    <w:rsid w:val="00D74466"/>
    <w:rsid w:val="00D74A49"/>
    <w:rsid w:val="00D7626D"/>
    <w:rsid w:val="00D76597"/>
    <w:rsid w:val="00D77894"/>
    <w:rsid w:val="00D82052"/>
    <w:rsid w:val="00D82CD9"/>
    <w:rsid w:val="00D832F2"/>
    <w:rsid w:val="00D840D8"/>
    <w:rsid w:val="00D869E0"/>
    <w:rsid w:val="00D91DE2"/>
    <w:rsid w:val="00D93673"/>
    <w:rsid w:val="00D96954"/>
    <w:rsid w:val="00DA012B"/>
    <w:rsid w:val="00DA204D"/>
    <w:rsid w:val="00DA3986"/>
    <w:rsid w:val="00DA4D0F"/>
    <w:rsid w:val="00DA4EC4"/>
    <w:rsid w:val="00DA55DB"/>
    <w:rsid w:val="00DA5D11"/>
    <w:rsid w:val="00DA7361"/>
    <w:rsid w:val="00DA7BFE"/>
    <w:rsid w:val="00DB42BD"/>
    <w:rsid w:val="00DB6291"/>
    <w:rsid w:val="00DB65D0"/>
    <w:rsid w:val="00DC10A7"/>
    <w:rsid w:val="00DC294E"/>
    <w:rsid w:val="00DC2DEF"/>
    <w:rsid w:val="00DC4A80"/>
    <w:rsid w:val="00DC57D6"/>
    <w:rsid w:val="00DC58B7"/>
    <w:rsid w:val="00DC5BC3"/>
    <w:rsid w:val="00DC76EE"/>
    <w:rsid w:val="00DC7EEC"/>
    <w:rsid w:val="00DD29D3"/>
    <w:rsid w:val="00DD47DC"/>
    <w:rsid w:val="00DD4B24"/>
    <w:rsid w:val="00DD73C3"/>
    <w:rsid w:val="00DE0336"/>
    <w:rsid w:val="00DE0E5F"/>
    <w:rsid w:val="00DE12F4"/>
    <w:rsid w:val="00DE1DFC"/>
    <w:rsid w:val="00DF1D0C"/>
    <w:rsid w:val="00DF3C24"/>
    <w:rsid w:val="00DF4624"/>
    <w:rsid w:val="00DF46D3"/>
    <w:rsid w:val="00DF4743"/>
    <w:rsid w:val="00DF626D"/>
    <w:rsid w:val="00DF674D"/>
    <w:rsid w:val="00DF72E0"/>
    <w:rsid w:val="00DF7B2B"/>
    <w:rsid w:val="00E000C0"/>
    <w:rsid w:val="00E00BB5"/>
    <w:rsid w:val="00E0169D"/>
    <w:rsid w:val="00E01909"/>
    <w:rsid w:val="00E01992"/>
    <w:rsid w:val="00E025C2"/>
    <w:rsid w:val="00E02850"/>
    <w:rsid w:val="00E04FDF"/>
    <w:rsid w:val="00E05F15"/>
    <w:rsid w:val="00E0690C"/>
    <w:rsid w:val="00E07D2B"/>
    <w:rsid w:val="00E10659"/>
    <w:rsid w:val="00E10CB3"/>
    <w:rsid w:val="00E11BB8"/>
    <w:rsid w:val="00E12665"/>
    <w:rsid w:val="00E13348"/>
    <w:rsid w:val="00E13504"/>
    <w:rsid w:val="00E13BF7"/>
    <w:rsid w:val="00E149AE"/>
    <w:rsid w:val="00E149E5"/>
    <w:rsid w:val="00E17338"/>
    <w:rsid w:val="00E17D3E"/>
    <w:rsid w:val="00E17D79"/>
    <w:rsid w:val="00E20A02"/>
    <w:rsid w:val="00E21EF5"/>
    <w:rsid w:val="00E2247A"/>
    <w:rsid w:val="00E233CD"/>
    <w:rsid w:val="00E24050"/>
    <w:rsid w:val="00E24E60"/>
    <w:rsid w:val="00E24F2B"/>
    <w:rsid w:val="00E30507"/>
    <w:rsid w:val="00E33668"/>
    <w:rsid w:val="00E34825"/>
    <w:rsid w:val="00E35F82"/>
    <w:rsid w:val="00E3742A"/>
    <w:rsid w:val="00E375AF"/>
    <w:rsid w:val="00E41672"/>
    <w:rsid w:val="00E41D1C"/>
    <w:rsid w:val="00E42DE4"/>
    <w:rsid w:val="00E44548"/>
    <w:rsid w:val="00E44B08"/>
    <w:rsid w:val="00E455D6"/>
    <w:rsid w:val="00E46623"/>
    <w:rsid w:val="00E51C1B"/>
    <w:rsid w:val="00E53D91"/>
    <w:rsid w:val="00E5472A"/>
    <w:rsid w:val="00E57296"/>
    <w:rsid w:val="00E577F2"/>
    <w:rsid w:val="00E60115"/>
    <w:rsid w:val="00E6060D"/>
    <w:rsid w:val="00E622B2"/>
    <w:rsid w:val="00E64241"/>
    <w:rsid w:val="00E6532B"/>
    <w:rsid w:val="00E6534C"/>
    <w:rsid w:val="00E65A9B"/>
    <w:rsid w:val="00E66866"/>
    <w:rsid w:val="00E74B8F"/>
    <w:rsid w:val="00E75985"/>
    <w:rsid w:val="00E80805"/>
    <w:rsid w:val="00E82C35"/>
    <w:rsid w:val="00E85789"/>
    <w:rsid w:val="00E90F0E"/>
    <w:rsid w:val="00E91B94"/>
    <w:rsid w:val="00E92A43"/>
    <w:rsid w:val="00E95D31"/>
    <w:rsid w:val="00EA024F"/>
    <w:rsid w:val="00EA430C"/>
    <w:rsid w:val="00EA4736"/>
    <w:rsid w:val="00EA559B"/>
    <w:rsid w:val="00EA5D00"/>
    <w:rsid w:val="00EA62B8"/>
    <w:rsid w:val="00EA6A0D"/>
    <w:rsid w:val="00EA6B0D"/>
    <w:rsid w:val="00EA79C8"/>
    <w:rsid w:val="00EB2E7B"/>
    <w:rsid w:val="00EB32E5"/>
    <w:rsid w:val="00EB4210"/>
    <w:rsid w:val="00EB486B"/>
    <w:rsid w:val="00EB6972"/>
    <w:rsid w:val="00EC080E"/>
    <w:rsid w:val="00EC0F84"/>
    <w:rsid w:val="00EC155E"/>
    <w:rsid w:val="00EC1BF0"/>
    <w:rsid w:val="00EC2414"/>
    <w:rsid w:val="00EC3182"/>
    <w:rsid w:val="00EC38D9"/>
    <w:rsid w:val="00EC4BE7"/>
    <w:rsid w:val="00EC53E2"/>
    <w:rsid w:val="00EC7697"/>
    <w:rsid w:val="00ED23BB"/>
    <w:rsid w:val="00ED2AD2"/>
    <w:rsid w:val="00ED2BBA"/>
    <w:rsid w:val="00ED357D"/>
    <w:rsid w:val="00ED4501"/>
    <w:rsid w:val="00ED4E6A"/>
    <w:rsid w:val="00ED6AB3"/>
    <w:rsid w:val="00EE1496"/>
    <w:rsid w:val="00EE1853"/>
    <w:rsid w:val="00EE2615"/>
    <w:rsid w:val="00EE2CF8"/>
    <w:rsid w:val="00EE3970"/>
    <w:rsid w:val="00EE4538"/>
    <w:rsid w:val="00EE54FE"/>
    <w:rsid w:val="00EE5CFA"/>
    <w:rsid w:val="00EE5E15"/>
    <w:rsid w:val="00EF0226"/>
    <w:rsid w:val="00EF03E2"/>
    <w:rsid w:val="00EF0674"/>
    <w:rsid w:val="00EF3BF6"/>
    <w:rsid w:val="00EF42C9"/>
    <w:rsid w:val="00EF6B81"/>
    <w:rsid w:val="00EF734B"/>
    <w:rsid w:val="00F008FC"/>
    <w:rsid w:val="00F00B93"/>
    <w:rsid w:val="00F01C96"/>
    <w:rsid w:val="00F05006"/>
    <w:rsid w:val="00F059EC"/>
    <w:rsid w:val="00F0661F"/>
    <w:rsid w:val="00F073BB"/>
    <w:rsid w:val="00F078CC"/>
    <w:rsid w:val="00F10E9A"/>
    <w:rsid w:val="00F12CBB"/>
    <w:rsid w:val="00F17111"/>
    <w:rsid w:val="00F20B6E"/>
    <w:rsid w:val="00F221EF"/>
    <w:rsid w:val="00F23E03"/>
    <w:rsid w:val="00F24EC6"/>
    <w:rsid w:val="00F2566F"/>
    <w:rsid w:val="00F26ADA"/>
    <w:rsid w:val="00F26E7D"/>
    <w:rsid w:val="00F2746E"/>
    <w:rsid w:val="00F301F7"/>
    <w:rsid w:val="00F309AF"/>
    <w:rsid w:val="00F32961"/>
    <w:rsid w:val="00F32EDB"/>
    <w:rsid w:val="00F33527"/>
    <w:rsid w:val="00F35DF7"/>
    <w:rsid w:val="00F37F62"/>
    <w:rsid w:val="00F40B7C"/>
    <w:rsid w:val="00F41632"/>
    <w:rsid w:val="00F44B9A"/>
    <w:rsid w:val="00F454C9"/>
    <w:rsid w:val="00F5100C"/>
    <w:rsid w:val="00F5295B"/>
    <w:rsid w:val="00F5753C"/>
    <w:rsid w:val="00F610A5"/>
    <w:rsid w:val="00F62DAB"/>
    <w:rsid w:val="00F63771"/>
    <w:rsid w:val="00F63922"/>
    <w:rsid w:val="00F657E6"/>
    <w:rsid w:val="00F663CD"/>
    <w:rsid w:val="00F7021D"/>
    <w:rsid w:val="00F70C83"/>
    <w:rsid w:val="00F71D59"/>
    <w:rsid w:val="00F73E5B"/>
    <w:rsid w:val="00F74833"/>
    <w:rsid w:val="00F74E99"/>
    <w:rsid w:val="00F750F1"/>
    <w:rsid w:val="00F76826"/>
    <w:rsid w:val="00F76A15"/>
    <w:rsid w:val="00F7723F"/>
    <w:rsid w:val="00F77F72"/>
    <w:rsid w:val="00F81FAC"/>
    <w:rsid w:val="00F83AF4"/>
    <w:rsid w:val="00F8613F"/>
    <w:rsid w:val="00F8752C"/>
    <w:rsid w:val="00F901C4"/>
    <w:rsid w:val="00F904AB"/>
    <w:rsid w:val="00F90AEF"/>
    <w:rsid w:val="00F9223B"/>
    <w:rsid w:val="00F927B5"/>
    <w:rsid w:val="00F93B55"/>
    <w:rsid w:val="00F9414A"/>
    <w:rsid w:val="00F94408"/>
    <w:rsid w:val="00F9457B"/>
    <w:rsid w:val="00FA0190"/>
    <w:rsid w:val="00FA259E"/>
    <w:rsid w:val="00FA4AA4"/>
    <w:rsid w:val="00FA6091"/>
    <w:rsid w:val="00FB02A1"/>
    <w:rsid w:val="00FB051B"/>
    <w:rsid w:val="00FB1EB6"/>
    <w:rsid w:val="00FB27C2"/>
    <w:rsid w:val="00FB3B86"/>
    <w:rsid w:val="00FB50BD"/>
    <w:rsid w:val="00FB5FF6"/>
    <w:rsid w:val="00FB69EF"/>
    <w:rsid w:val="00FB6C90"/>
    <w:rsid w:val="00FB72B6"/>
    <w:rsid w:val="00FC04BD"/>
    <w:rsid w:val="00FC04E5"/>
    <w:rsid w:val="00FC066F"/>
    <w:rsid w:val="00FC0B3C"/>
    <w:rsid w:val="00FC0E77"/>
    <w:rsid w:val="00FC5B79"/>
    <w:rsid w:val="00FC63E9"/>
    <w:rsid w:val="00FC6ECF"/>
    <w:rsid w:val="00FC7488"/>
    <w:rsid w:val="00FC7E1D"/>
    <w:rsid w:val="00FD197B"/>
    <w:rsid w:val="00FD44AF"/>
    <w:rsid w:val="00FE1B5A"/>
    <w:rsid w:val="00FE1C85"/>
    <w:rsid w:val="00FE222C"/>
    <w:rsid w:val="00FE3A00"/>
    <w:rsid w:val="00FE5E89"/>
    <w:rsid w:val="00FF0933"/>
    <w:rsid w:val="00FF186C"/>
    <w:rsid w:val="00FF283D"/>
    <w:rsid w:val="00FF39CE"/>
    <w:rsid w:val="00FF65DD"/>
    <w:rsid w:val="00FF7656"/>
    <w:rsid w:val="01A07295"/>
    <w:rsid w:val="06060425"/>
    <w:rsid w:val="07BB0C6F"/>
    <w:rsid w:val="08F61237"/>
    <w:rsid w:val="099D5102"/>
    <w:rsid w:val="09F03E7D"/>
    <w:rsid w:val="0ACD0958"/>
    <w:rsid w:val="0ADC0A64"/>
    <w:rsid w:val="0B673A73"/>
    <w:rsid w:val="0C555774"/>
    <w:rsid w:val="0E175A9E"/>
    <w:rsid w:val="116B4324"/>
    <w:rsid w:val="122B5EDD"/>
    <w:rsid w:val="137827A1"/>
    <w:rsid w:val="14C930FE"/>
    <w:rsid w:val="159E5219"/>
    <w:rsid w:val="16FA21E1"/>
    <w:rsid w:val="171F2A2A"/>
    <w:rsid w:val="1BD11C9C"/>
    <w:rsid w:val="1C497C82"/>
    <w:rsid w:val="1DD033CB"/>
    <w:rsid w:val="1EA74A32"/>
    <w:rsid w:val="213514B1"/>
    <w:rsid w:val="22060CAA"/>
    <w:rsid w:val="261E1FBC"/>
    <w:rsid w:val="278E0915"/>
    <w:rsid w:val="2B13630C"/>
    <w:rsid w:val="2C0044DF"/>
    <w:rsid w:val="2D477B7D"/>
    <w:rsid w:val="2DB93891"/>
    <w:rsid w:val="2E8207DA"/>
    <w:rsid w:val="2FA51153"/>
    <w:rsid w:val="31265B15"/>
    <w:rsid w:val="3151215B"/>
    <w:rsid w:val="315C0D64"/>
    <w:rsid w:val="31845E9E"/>
    <w:rsid w:val="32797C48"/>
    <w:rsid w:val="34414A31"/>
    <w:rsid w:val="36AD1CD5"/>
    <w:rsid w:val="3835218F"/>
    <w:rsid w:val="39E92D19"/>
    <w:rsid w:val="39F738CA"/>
    <w:rsid w:val="3AE50DFE"/>
    <w:rsid w:val="3AE53752"/>
    <w:rsid w:val="3B5C6B43"/>
    <w:rsid w:val="3D4124DC"/>
    <w:rsid w:val="3D5E202E"/>
    <w:rsid w:val="3D7B5A51"/>
    <w:rsid w:val="3E9D368D"/>
    <w:rsid w:val="40082BC9"/>
    <w:rsid w:val="40C77063"/>
    <w:rsid w:val="40E4217C"/>
    <w:rsid w:val="416D2D10"/>
    <w:rsid w:val="42084F7D"/>
    <w:rsid w:val="437B5289"/>
    <w:rsid w:val="4384024F"/>
    <w:rsid w:val="43BA0395"/>
    <w:rsid w:val="441E4424"/>
    <w:rsid w:val="4433107D"/>
    <w:rsid w:val="445D3B1B"/>
    <w:rsid w:val="454B2A39"/>
    <w:rsid w:val="458A0420"/>
    <w:rsid w:val="45D838B0"/>
    <w:rsid w:val="45F86B5D"/>
    <w:rsid w:val="468A1CF1"/>
    <w:rsid w:val="47A6303A"/>
    <w:rsid w:val="48A73253"/>
    <w:rsid w:val="4CD654BB"/>
    <w:rsid w:val="4D15313A"/>
    <w:rsid w:val="4DE664CA"/>
    <w:rsid w:val="4DF9749A"/>
    <w:rsid w:val="4F972A1C"/>
    <w:rsid w:val="50E65C92"/>
    <w:rsid w:val="518820E5"/>
    <w:rsid w:val="52907BB7"/>
    <w:rsid w:val="52E5776C"/>
    <w:rsid w:val="53810E60"/>
    <w:rsid w:val="56CF2BCA"/>
    <w:rsid w:val="574316FB"/>
    <w:rsid w:val="57E91F2A"/>
    <w:rsid w:val="58016A37"/>
    <w:rsid w:val="58980D1F"/>
    <w:rsid w:val="591E3A03"/>
    <w:rsid w:val="5B4B23C4"/>
    <w:rsid w:val="5B7F36A4"/>
    <w:rsid w:val="5BE34BA2"/>
    <w:rsid w:val="5D5078F3"/>
    <w:rsid w:val="5E1777F9"/>
    <w:rsid w:val="621F0568"/>
    <w:rsid w:val="639D52EB"/>
    <w:rsid w:val="66B63D90"/>
    <w:rsid w:val="66DD6D21"/>
    <w:rsid w:val="67A45F03"/>
    <w:rsid w:val="68CF6A6D"/>
    <w:rsid w:val="6A6C477F"/>
    <w:rsid w:val="6A6D1A16"/>
    <w:rsid w:val="6B12460F"/>
    <w:rsid w:val="6C893CEB"/>
    <w:rsid w:val="6C9363DE"/>
    <w:rsid w:val="6CC1005A"/>
    <w:rsid w:val="6EB64718"/>
    <w:rsid w:val="6FCE5F78"/>
    <w:rsid w:val="71744944"/>
    <w:rsid w:val="718B21D9"/>
    <w:rsid w:val="748C6AB6"/>
    <w:rsid w:val="759C511B"/>
    <w:rsid w:val="75C141AA"/>
    <w:rsid w:val="75DF2670"/>
    <w:rsid w:val="77241139"/>
    <w:rsid w:val="78512D14"/>
    <w:rsid w:val="78D30105"/>
    <w:rsid w:val="79B6536D"/>
    <w:rsid w:val="7A685AA6"/>
    <w:rsid w:val="7ACF671C"/>
    <w:rsid w:val="7BB829D6"/>
    <w:rsid w:val="7BD40C60"/>
    <w:rsid w:val="7DBA352D"/>
    <w:rsid w:val="7EFE1DB9"/>
    <w:rsid w:val="7F8BF7F0"/>
    <w:rsid w:val="7FEE7026"/>
    <w:rsid w:val="FB5FE64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99"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99"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99"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iPriority="0" w:name="HTML Acronym"/>
    <w:lsdException w:qFormat="1" w:unhideWhenUsed="0" w:uiPriority="0" w:semiHidden="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7"/>
    <w:qFormat/>
    <w:uiPriority w:val="99"/>
    <w:pPr>
      <w:keepNext/>
      <w:keepLines/>
      <w:spacing w:before="340" w:after="330" w:line="578" w:lineRule="auto"/>
      <w:ind w:left="425" w:hanging="425"/>
      <w:outlineLvl w:val="0"/>
    </w:pPr>
    <w:rPr>
      <w:rFonts w:eastAsia="仿宋_GB2312"/>
      <w:b/>
      <w:kern w:val="44"/>
      <w:sz w:val="44"/>
      <w:szCs w:val="20"/>
    </w:rPr>
  </w:style>
  <w:style w:type="paragraph" w:styleId="4">
    <w:name w:val="heading 2"/>
    <w:basedOn w:val="1"/>
    <w:next w:val="5"/>
    <w:link w:val="111"/>
    <w:qFormat/>
    <w:uiPriority w:val="9"/>
    <w:pPr>
      <w:keepNext/>
      <w:keepLines/>
      <w:tabs>
        <w:tab w:val="left" w:pos="1145"/>
      </w:tabs>
      <w:spacing w:before="260" w:after="260" w:line="416" w:lineRule="auto"/>
      <w:ind w:left="992" w:hanging="567"/>
      <w:outlineLvl w:val="1"/>
    </w:pPr>
    <w:rPr>
      <w:rFonts w:ascii="Arial" w:hAnsi="Arial" w:eastAsia="黑体"/>
      <w:b/>
      <w:sz w:val="32"/>
      <w:szCs w:val="20"/>
    </w:rPr>
  </w:style>
  <w:style w:type="paragraph" w:styleId="6">
    <w:name w:val="heading 3"/>
    <w:basedOn w:val="1"/>
    <w:next w:val="5"/>
    <w:link w:val="129"/>
    <w:qFormat/>
    <w:uiPriority w:val="9"/>
    <w:pPr>
      <w:keepNext/>
      <w:keepLines/>
      <w:tabs>
        <w:tab w:val="left" w:pos="2651"/>
      </w:tabs>
      <w:spacing w:before="260" w:after="260" w:line="416" w:lineRule="auto"/>
      <w:ind w:left="1418" w:hanging="567"/>
      <w:outlineLvl w:val="2"/>
    </w:pPr>
    <w:rPr>
      <w:rFonts w:eastAsia="仿宋_GB2312"/>
      <w:b/>
      <w:sz w:val="32"/>
      <w:szCs w:val="20"/>
    </w:rPr>
  </w:style>
  <w:style w:type="paragraph" w:styleId="7">
    <w:name w:val="heading 4"/>
    <w:basedOn w:val="1"/>
    <w:next w:val="5"/>
    <w:link w:val="106"/>
    <w:qFormat/>
    <w:uiPriority w:val="0"/>
    <w:pPr>
      <w:keepNext/>
      <w:keepLines/>
      <w:tabs>
        <w:tab w:val="left" w:pos="1984"/>
      </w:tabs>
      <w:spacing w:before="280" w:after="290" w:line="376" w:lineRule="auto"/>
      <w:ind w:left="1984" w:hanging="708"/>
      <w:outlineLvl w:val="3"/>
    </w:pPr>
    <w:rPr>
      <w:rFonts w:ascii="Arial" w:hAnsi="Arial" w:eastAsia="黑体"/>
      <w:b/>
      <w:sz w:val="28"/>
      <w:szCs w:val="20"/>
    </w:rPr>
  </w:style>
  <w:style w:type="paragraph" w:styleId="8">
    <w:name w:val="heading 5"/>
    <w:basedOn w:val="1"/>
    <w:next w:val="5"/>
    <w:link w:val="160"/>
    <w:qFormat/>
    <w:uiPriority w:val="0"/>
    <w:pPr>
      <w:keepNext/>
      <w:widowControl/>
      <w:tabs>
        <w:tab w:val="left" w:pos="405"/>
      </w:tabs>
      <w:ind w:left="405" w:hanging="405"/>
      <w:jc w:val="left"/>
      <w:outlineLvl w:val="4"/>
    </w:pPr>
    <w:rPr>
      <w:kern w:val="0"/>
      <w:sz w:val="24"/>
      <w:szCs w:val="20"/>
    </w:rPr>
  </w:style>
  <w:style w:type="paragraph" w:styleId="9">
    <w:name w:val="heading 6"/>
    <w:basedOn w:val="1"/>
    <w:next w:val="1"/>
    <w:link w:val="166"/>
    <w:qFormat/>
    <w:uiPriority w:val="0"/>
    <w:pPr>
      <w:widowControl/>
      <w:spacing w:before="60" w:after="60" w:line="440" w:lineRule="atLeast"/>
      <w:textAlignment w:val="baseline"/>
      <w:outlineLvl w:val="5"/>
    </w:pPr>
    <w:rPr>
      <w:rFonts w:ascii="宋体" w:hAnsi="Arial"/>
      <w:kern w:val="0"/>
      <w:sz w:val="24"/>
      <w:szCs w:val="20"/>
    </w:rPr>
  </w:style>
  <w:style w:type="paragraph" w:styleId="10">
    <w:name w:val="heading 7"/>
    <w:basedOn w:val="1"/>
    <w:next w:val="1"/>
    <w:link w:val="162"/>
    <w:qFormat/>
    <w:uiPriority w:val="0"/>
    <w:pPr>
      <w:keepNext/>
      <w:keepLines/>
      <w:adjustRightInd w:val="0"/>
      <w:spacing w:before="240" w:after="64" w:line="320" w:lineRule="atLeast"/>
      <w:textAlignment w:val="baseline"/>
      <w:outlineLvl w:val="6"/>
    </w:pPr>
    <w:rPr>
      <w:rFonts w:ascii="宋体" w:hAnsi="Arial"/>
      <w:b/>
      <w:kern w:val="0"/>
      <w:sz w:val="24"/>
      <w:szCs w:val="20"/>
    </w:rPr>
  </w:style>
  <w:style w:type="paragraph" w:styleId="11">
    <w:name w:val="heading 8"/>
    <w:basedOn w:val="1"/>
    <w:next w:val="1"/>
    <w:link w:val="104"/>
    <w:qFormat/>
    <w:uiPriority w:val="0"/>
    <w:pPr>
      <w:keepNext/>
      <w:keepLines/>
      <w:adjustRightInd w:val="0"/>
      <w:spacing w:before="240" w:after="64" w:line="320" w:lineRule="atLeast"/>
      <w:textAlignment w:val="baseline"/>
      <w:outlineLvl w:val="7"/>
    </w:pPr>
    <w:rPr>
      <w:rFonts w:ascii="Arial" w:hAnsi="Arial" w:eastAsia="黑体"/>
      <w:kern w:val="0"/>
      <w:sz w:val="24"/>
      <w:szCs w:val="20"/>
    </w:rPr>
  </w:style>
  <w:style w:type="paragraph" w:styleId="12">
    <w:name w:val="heading 9"/>
    <w:basedOn w:val="1"/>
    <w:next w:val="1"/>
    <w:link w:val="131"/>
    <w:qFormat/>
    <w:uiPriority w:val="0"/>
    <w:pPr>
      <w:keepNext/>
      <w:keepLines/>
      <w:adjustRightInd w:val="0"/>
      <w:spacing w:before="240" w:after="64" w:line="320" w:lineRule="atLeast"/>
      <w:textAlignment w:val="baseline"/>
      <w:outlineLvl w:val="8"/>
    </w:pPr>
    <w:rPr>
      <w:rFonts w:ascii="Arial" w:hAnsi="Arial" w:eastAsia="黑体"/>
      <w:kern w:val="0"/>
      <w:sz w:val="24"/>
      <w:szCs w:val="20"/>
    </w:rPr>
  </w:style>
  <w:style w:type="character" w:default="1" w:styleId="92">
    <w:name w:val="Default Paragraph Font"/>
    <w:semiHidden/>
    <w:unhideWhenUsed/>
    <w:qFormat/>
    <w:uiPriority w:val="1"/>
  </w:style>
  <w:style w:type="table" w:default="1" w:styleId="90">
    <w:name w:val="Normal Table"/>
    <w:semiHidden/>
    <w:unhideWhenUsed/>
    <w:qFormat/>
    <w:uiPriority w:val="99"/>
    <w:tblPr>
      <w:tblCellMar>
        <w:top w:w="0" w:type="dxa"/>
        <w:left w:w="108" w:type="dxa"/>
        <w:bottom w:w="0" w:type="dxa"/>
        <w:right w:w="108" w:type="dxa"/>
      </w:tblCellMar>
    </w:tblPr>
  </w:style>
  <w:style w:type="paragraph" w:styleId="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5">
    <w:name w:val="Normal Indent"/>
    <w:basedOn w:val="1"/>
    <w:link w:val="156"/>
    <w:qFormat/>
    <w:uiPriority w:val="0"/>
    <w:pPr>
      <w:ind w:firstLine="420" w:firstLineChars="200"/>
    </w:pPr>
  </w:style>
  <w:style w:type="paragraph" w:styleId="13">
    <w:name w:val="List 3"/>
    <w:basedOn w:val="1"/>
    <w:qFormat/>
    <w:uiPriority w:val="0"/>
    <w:pPr>
      <w:ind w:left="100" w:leftChars="400" w:hanging="200" w:hangingChars="200"/>
      <w:contextualSpacing/>
    </w:p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spacing w:afterLines="50"/>
      <w:ind w:left="1697" w:hanging="420"/>
      <w:jc w:val="left"/>
    </w:pPr>
    <w:rPr>
      <w:kern w:val="0"/>
      <w:sz w:val="24"/>
      <w:szCs w:val="20"/>
    </w:rPr>
  </w:style>
  <w:style w:type="paragraph" w:styleId="16">
    <w:name w:val="table of authorities"/>
    <w:basedOn w:val="1"/>
    <w:next w:val="1"/>
    <w:qFormat/>
    <w:uiPriority w:val="0"/>
    <w:pPr>
      <w:ind w:left="420" w:leftChars="200"/>
    </w:pPr>
  </w:style>
  <w:style w:type="paragraph" w:styleId="17">
    <w:name w:val="Note Heading"/>
    <w:basedOn w:val="1"/>
    <w:next w:val="1"/>
    <w:link w:val="170"/>
    <w:qFormat/>
    <w:uiPriority w:val="0"/>
    <w:pPr>
      <w:jc w:val="center"/>
    </w:pPr>
    <w:rPr>
      <w:rFonts w:ascii="宋体" w:hAnsi="Courier New"/>
      <w:szCs w:val="20"/>
    </w:rPr>
  </w:style>
  <w:style w:type="paragraph" w:styleId="18">
    <w:name w:val="List Bullet 4"/>
    <w:basedOn w:val="1"/>
    <w:qFormat/>
    <w:uiPriority w:val="0"/>
    <w:pPr>
      <w:tabs>
        <w:tab w:val="left" w:pos="1620"/>
      </w:tabs>
      <w:ind w:left="1620" w:hanging="360"/>
      <w:contextualSpacing/>
    </w:pPr>
  </w:style>
  <w:style w:type="paragraph" w:styleId="19">
    <w:name w:val="index 8"/>
    <w:basedOn w:val="1"/>
    <w:next w:val="1"/>
    <w:qFormat/>
    <w:uiPriority w:val="0"/>
    <w:pPr>
      <w:ind w:left="1400" w:leftChars="1400"/>
    </w:pPr>
  </w:style>
  <w:style w:type="paragraph" w:styleId="20">
    <w:name w:val="E-mail Signature"/>
    <w:basedOn w:val="1"/>
    <w:qFormat/>
    <w:uiPriority w:val="0"/>
  </w:style>
  <w:style w:type="paragraph" w:styleId="21">
    <w:name w:val="List Number"/>
    <w:basedOn w:val="1"/>
    <w:qFormat/>
    <w:uiPriority w:val="99"/>
    <w:pPr>
      <w:widowControl/>
      <w:tabs>
        <w:tab w:val="left" w:pos="454"/>
      </w:tabs>
      <w:spacing w:afterLines="50"/>
      <w:ind w:left="454" w:hanging="284"/>
      <w:jc w:val="left"/>
    </w:pPr>
    <w:rPr>
      <w:kern w:val="0"/>
      <w:sz w:val="24"/>
      <w:szCs w:val="20"/>
    </w:rPr>
  </w:style>
  <w:style w:type="paragraph" w:styleId="22">
    <w:name w:val="caption"/>
    <w:basedOn w:val="1"/>
    <w:next w:val="1"/>
    <w:qFormat/>
    <w:uiPriority w:val="0"/>
    <w:pPr>
      <w:spacing w:line="360" w:lineRule="auto"/>
      <w:jc w:val="center"/>
    </w:pPr>
    <w:rPr>
      <w:rFonts w:ascii="Calibri" w:hAnsi="Calibr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tabs>
        <w:tab w:val="left" w:pos="360"/>
      </w:tabs>
      <w:ind w:left="360" w:hanging="360"/>
      <w:contextualSpacing/>
    </w:pPr>
  </w:style>
  <w:style w:type="paragraph" w:styleId="25">
    <w:name w:val="envelope address"/>
    <w:basedOn w:val="1"/>
    <w:qFormat/>
    <w:uiPriority w:val="0"/>
    <w:pPr>
      <w:framePr w:w="7920" w:h="1980" w:hRule="exact" w:hSpace="180" w:wrap="around" w:vAnchor="margin" w:hAnchor="page" w:xAlign="center" w:yAlign="bottom"/>
      <w:snapToGrid w:val="0"/>
      <w:ind w:left="100" w:leftChars="1400"/>
    </w:pPr>
    <w:rPr>
      <w:rFonts w:ascii="Cambria" w:hAnsi="Cambria"/>
      <w:sz w:val="24"/>
    </w:rPr>
  </w:style>
  <w:style w:type="paragraph" w:styleId="26">
    <w:name w:val="Document Map"/>
    <w:basedOn w:val="1"/>
    <w:link w:val="165"/>
    <w:qFormat/>
    <w:uiPriority w:val="99"/>
    <w:pPr>
      <w:shd w:val="clear" w:color="auto" w:fill="000080"/>
    </w:pPr>
  </w:style>
  <w:style w:type="paragraph" w:styleId="27">
    <w:name w:val="toa heading"/>
    <w:basedOn w:val="1"/>
    <w:next w:val="1"/>
    <w:qFormat/>
    <w:uiPriority w:val="0"/>
    <w:pPr>
      <w:spacing w:before="120"/>
    </w:pPr>
    <w:rPr>
      <w:rFonts w:ascii="Cambria" w:hAnsi="Cambria"/>
      <w:sz w:val="24"/>
    </w:rPr>
  </w:style>
  <w:style w:type="paragraph" w:styleId="28">
    <w:name w:val="annotation text"/>
    <w:basedOn w:val="1"/>
    <w:link w:val="137"/>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34"/>
    <w:qFormat/>
    <w:uiPriority w:val="0"/>
  </w:style>
  <w:style w:type="paragraph" w:styleId="31">
    <w:name w:val="Body Text 3"/>
    <w:basedOn w:val="1"/>
    <w:qFormat/>
    <w:uiPriority w:val="0"/>
    <w:pPr>
      <w:spacing w:after="120"/>
    </w:pPr>
    <w:rPr>
      <w:sz w:val="16"/>
      <w:szCs w:val="16"/>
    </w:rPr>
  </w:style>
  <w:style w:type="paragraph" w:styleId="32">
    <w:name w:val="Closing"/>
    <w:basedOn w:val="1"/>
    <w:qFormat/>
    <w:uiPriority w:val="0"/>
    <w:pPr>
      <w:ind w:left="100" w:leftChars="2100"/>
    </w:pPr>
  </w:style>
  <w:style w:type="paragraph" w:styleId="33">
    <w:name w:val="List Bullet 3"/>
    <w:basedOn w:val="1"/>
    <w:qFormat/>
    <w:uiPriority w:val="0"/>
    <w:pPr>
      <w:tabs>
        <w:tab w:val="left" w:pos="1200"/>
      </w:tabs>
      <w:ind w:left="1200" w:hanging="360"/>
      <w:contextualSpacing/>
    </w:pPr>
  </w:style>
  <w:style w:type="paragraph" w:styleId="34">
    <w:name w:val="Body Text"/>
    <w:basedOn w:val="1"/>
    <w:next w:val="35"/>
    <w:link w:val="115"/>
    <w:qFormat/>
    <w:uiPriority w:val="99"/>
    <w:pPr>
      <w:spacing w:line="360" w:lineRule="auto"/>
    </w:pPr>
    <w:rPr>
      <w:rFonts w:eastAsia="仿宋_GB2312"/>
      <w:sz w:val="28"/>
    </w:rPr>
  </w:style>
  <w:style w:type="paragraph" w:customStyle="1" w:styleId="35">
    <w:name w:val="Default"/>
    <w:next w:val="36"/>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6">
    <w:name w:val="目录 71"/>
    <w:next w:val="1"/>
    <w:qFormat/>
    <w:uiPriority w:val="0"/>
    <w:pPr>
      <w:wordWrap w:val="0"/>
      <w:ind w:left="2550"/>
      <w:jc w:val="both"/>
    </w:pPr>
    <w:rPr>
      <w:rFonts w:ascii="Times New Roman" w:hAnsi="Times New Roman" w:eastAsia="宋体" w:cs="Times New Roman"/>
      <w:sz w:val="21"/>
      <w:lang w:val="en-US" w:eastAsia="zh-CN" w:bidi="ar-SA"/>
    </w:rPr>
  </w:style>
  <w:style w:type="paragraph" w:styleId="37">
    <w:name w:val="Body Text Indent"/>
    <w:basedOn w:val="1"/>
    <w:link w:val="127"/>
    <w:qFormat/>
    <w:uiPriority w:val="99"/>
    <w:pPr>
      <w:spacing w:after="120"/>
      <w:ind w:left="420" w:leftChars="200"/>
    </w:pPr>
  </w:style>
  <w:style w:type="paragraph" w:styleId="38">
    <w:name w:val="List Number 3"/>
    <w:basedOn w:val="1"/>
    <w:qFormat/>
    <w:uiPriority w:val="0"/>
    <w:pPr>
      <w:widowControl/>
      <w:tabs>
        <w:tab w:val="left" w:pos="482"/>
      </w:tabs>
      <w:spacing w:afterLines="50"/>
      <w:ind w:left="482" w:hanging="340"/>
      <w:jc w:val="left"/>
    </w:pPr>
    <w:rPr>
      <w:kern w:val="0"/>
      <w:sz w:val="24"/>
      <w:szCs w:val="20"/>
    </w:rPr>
  </w:style>
  <w:style w:type="paragraph" w:styleId="39">
    <w:name w:val="List 2"/>
    <w:basedOn w:val="1"/>
    <w:qFormat/>
    <w:uiPriority w:val="0"/>
    <w:pPr>
      <w:ind w:left="100" w:leftChars="200" w:hanging="200" w:hangingChars="200"/>
      <w:contextualSpacing/>
    </w:pPr>
  </w:style>
  <w:style w:type="paragraph" w:styleId="40">
    <w:name w:val="List Continue"/>
    <w:basedOn w:val="1"/>
    <w:qFormat/>
    <w:uiPriority w:val="0"/>
    <w:pPr>
      <w:spacing w:after="120"/>
      <w:ind w:left="420" w:leftChars="200"/>
      <w:contextualSpacing/>
    </w:pPr>
  </w:style>
  <w:style w:type="paragraph" w:styleId="41">
    <w:name w:val="Block Text"/>
    <w:basedOn w:val="1"/>
    <w:qFormat/>
    <w:uiPriority w:val="0"/>
    <w:pPr>
      <w:spacing w:before="120" w:line="360" w:lineRule="auto"/>
      <w:ind w:left="824" w:right="202"/>
    </w:pPr>
    <w:rPr>
      <w:rFonts w:ascii="宋体" w:hAnsi="宋体"/>
      <w:sz w:val="24"/>
      <w:szCs w:val="21"/>
    </w:rPr>
  </w:style>
  <w:style w:type="paragraph" w:styleId="42">
    <w:name w:val="List Bullet 2"/>
    <w:basedOn w:val="1"/>
    <w:qFormat/>
    <w:uiPriority w:val="0"/>
    <w:pPr>
      <w:tabs>
        <w:tab w:val="left" w:pos="780"/>
      </w:tabs>
      <w:ind w:left="780" w:hanging="360"/>
      <w:contextualSpacing/>
    </w:pPr>
  </w:style>
  <w:style w:type="paragraph" w:styleId="43">
    <w:name w:val="HTML Address"/>
    <w:basedOn w:val="1"/>
    <w:link w:val="113"/>
    <w:qFormat/>
    <w:uiPriority w:val="0"/>
    <w:rPr>
      <w:i/>
      <w:iCs/>
    </w:rPr>
  </w:style>
  <w:style w:type="paragraph" w:styleId="44">
    <w:name w:val="index 4"/>
    <w:basedOn w:val="1"/>
    <w:next w:val="1"/>
    <w:qFormat/>
    <w:uiPriority w:val="0"/>
    <w:pPr>
      <w:ind w:left="600" w:leftChars="600"/>
    </w:pPr>
  </w:style>
  <w:style w:type="paragraph" w:styleId="45">
    <w:name w:val="toc 5"/>
    <w:basedOn w:val="1"/>
    <w:next w:val="1"/>
    <w:qFormat/>
    <w:uiPriority w:val="0"/>
    <w:pPr>
      <w:ind w:left="1680" w:leftChars="800"/>
    </w:pPr>
  </w:style>
  <w:style w:type="paragraph" w:styleId="46">
    <w:name w:val="toc 3"/>
    <w:basedOn w:val="1"/>
    <w:next w:val="1"/>
    <w:qFormat/>
    <w:uiPriority w:val="99"/>
    <w:pPr>
      <w:ind w:left="840" w:leftChars="400"/>
    </w:pPr>
  </w:style>
  <w:style w:type="paragraph" w:styleId="47">
    <w:name w:val="Plain Text"/>
    <w:basedOn w:val="1"/>
    <w:link w:val="145"/>
    <w:qFormat/>
    <w:uiPriority w:val="0"/>
    <w:rPr>
      <w:rFonts w:ascii="宋体" w:hAnsi="Courier New"/>
      <w:szCs w:val="20"/>
    </w:rPr>
  </w:style>
  <w:style w:type="paragraph" w:styleId="48">
    <w:name w:val="List Bullet 5"/>
    <w:basedOn w:val="1"/>
    <w:qFormat/>
    <w:uiPriority w:val="0"/>
    <w:pPr>
      <w:tabs>
        <w:tab w:val="left" w:pos="2040"/>
      </w:tabs>
      <w:ind w:left="2040" w:hanging="360"/>
      <w:contextualSpacing/>
    </w:pPr>
  </w:style>
  <w:style w:type="paragraph" w:styleId="49">
    <w:name w:val="List Number 4"/>
    <w:basedOn w:val="1"/>
    <w:qFormat/>
    <w:uiPriority w:val="0"/>
    <w:pPr>
      <w:tabs>
        <w:tab w:val="left" w:pos="1620"/>
      </w:tabs>
      <w:ind w:left="1620" w:hanging="360"/>
      <w:contextualSpacing/>
    </w:pPr>
  </w:style>
  <w:style w:type="paragraph" w:styleId="50">
    <w:name w:val="toc 8"/>
    <w:basedOn w:val="1"/>
    <w:next w:val="1"/>
    <w:qFormat/>
    <w:uiPriority w:val="0"/>
    <w:pPr>
      <w:ind w:left="2940" w:leftChars="1400"/>
    </w:pPr>
  </w:style>
  <w:style w:type="paragraph" w:styleId="51">
    <w:name w:val="index 3"/>
    <w:basedOn w:val="1"/>
    <w:next w:val="1"/>
    <w:qFormat/>
    <w:uiPriority w:val="0"/>
    <w:pPr>
      <w:ind w:left="400" w:leftChars="400"/>
    </w:pPr>
  </w:style>
  <w:style w:type="paragraph" w:styleId="52">
    <w:name w:val="Date"/>
    <w:basedOn w:val="1"/>
    <w:next w:val="1"/>
    <w:link w:val="161"/>
    <w:qFormat/>
    <w:uiPriority w:val="0"/>
    <w:rPr>
      <w:rFonts w:ascii="楷体_GB2312" w:eastAsia="楷体_GB2312"/>
      <w:b/>
      <w:sz w:val="28"/>
      <w:szCs w:val="20"/>
    </w:rPr>
  </w:style>
  <w:style w:type="paragraph" w:styleId="53">
    <w:name w:val="Body Text Indent 2"/>
    <w:basedOn w:val="1"/>
    <w:link w:val="193"/>
    <w:qFormat/>
    <w:uiPriority w:val="0"/>
    <w:pPr>
      <w:spacing w:after="120" w:line="480" w:lineRule="auto"/>
      <w:ind w:left="420" w:leftChars="200"/>
    </w:pPr>
  </w:style>
  <w:style w:type="paragraph" w:styleId="54">
    <w:name w:val="endnote text"/>
    <w:basedOn w:val="1"/>
    <w:qFormat/>
    <w:uiPriority w:val="0"/>
    <w:pPr>
      <w:snapToGrid w:val="0"/>
      <w:jc w:val="left"/>
    </w:pPr>
  </w:style>
  <w:style w:type="paragraph" w:styleId="55">
    <w:name w:val="List Continue 5"/>
    <w:basedOn w:val="1"/>
    <w:qFormat/>
    <w:uiPriority w:val="0"/>
    <w:pPr>
      <w:spacing w:after="120"/>
      <w:ind w:left="2100" w:leftChars="1000"/>
      <w:contextualSpacing/>
    </w:pPr>
  </w:style>
  <w:style w:type="paragraph" w:styleId="56">
    <w:name w:val="Balloon Text"/>
    <w:basedOn w:val="1"/>
    <w:link w:val="149"/>
    <w:qFormat/>
    <w:uiPriority w:val="0"/>
    <w:rPr>
      <w:sz w:val="18"/>
      <w:szCs w:val="18"/>
    </w:rPr>
  </w:style>
  <w:style w:type="paragraph" w:styleId="57">
    <w:name w:val="footer"/>
    <w:basedOn w:val="1"/>
    <w:link w:val="263"/>
    <w:qFormat/>
    <w:uiPriority w:val="0"/>
    <w:pPr>
      <w:tabs>
        <w:tab w:val="center" w:pos="4153"/>
        <w:tab w:val="right" w:pos="8306"/>
      </w:tabs>
      <w:snapToGrid w:val="0"/>
      <w:jc w:val="left"/>
    </w:pPr>
    <w:rPr>
      <w:sz w:val="18"/>
      <w:szCs w:val="18"/>
    </w:rPr>
  </w:style>
  <w:style w:type="paragraph" w:styleId="58">
    <w:name w:val="envelope return"/>
    <w:basedOn w:val="1"/>
    <w:qFormat/>
    <w:uiPriority w:val="0"/>
    <w:pPr>
      <w:snapToGrid w:val="0"/>
    </w:pPr>
    <w:rPr>
      <w:rFonts w:ascii="Cambria" w:hAnsi="Cambria"/>
    </w:rPr>
  </w:style>
  <w:style w:type="paragraph" w:styleId="59">
    <w:name w:val="header"/>
    <w:basedOn w:val="1"/>
    <w:link w:val="103"/>
    <w:qFormat/>
    <w:uiPriority w:val="0"/>
    <w:pPr>
      <w:pBdr>
        <w:bottom w:val="single" w:color="auto" w:sz="6" w:space="1"/>
      </w:pBdr>
      <w:tabs>
        <w:tab w:val="center" w:pos="4153"/>
        <w:tab w:val="right" w:pos="8306"/>
      </w:tabs>
      <w:snapToGrid w:val="0"/>
      <w:jc w:val="center"/>
    </w:pPr>
    <w:rPr>
      <w:sz w:val="18"/>
      <w:szCs w:val="18"/>
    </w:rPr>
  </w:style>
  <w:style w:type="paragraph" w:styleId="60">
    <w:name w:val="Signature"/>
    <w:basedOn w:val="1"/>
    <w:qFormat/>
    <w:uiPriority w:val="0"/>
    <w:pPr>
      <w:ind w:left="100" w:leftChars="2100"/>
    </w:pPr>
  </w:style>
  <w:style w:type="paragraph" w:styleId="61">
    <w:name w:val="toc 1"/>
    <w:basedOn w:val="1"/>
    <w:next w:val="1"/>
    <w:qFormat/>
    <w:uiPriority w:val="99"/>
  </w:style>
  <w:style w:type="paragraph" w:styleId="62">
    <w:name w:val="List Continue 4"/>
    <w:basedOn w:val="1"/>
    <w:qFormat/>
    <w:uiPriority w:val="0"/>
    <w:pPr>
      <w:spacing w:after="120"/>
      <w:ind w:left="1680" w:leftChars="800"/>
      <w:contextualSpacing/>
    </w:pPr>
  </w:style>
  <w:style w:type="paragraph" w:styleId="63">
    <w:name w:val="toc 4"/>
    <w:basedOn w:val="1"/>
    <w:next w:val="1"/>
    <w:qFormat/>
    <w:uiPriority w:val="0"/>
    <w:pPr>
      <w:tabs>
        <w:tab w:val="right" w:leader="dot" w:pos="8314"/>
      </w:tabs>
      <w:ind w:firstLine="588" w:firstLineChars="245"/>
    </w:pPr>
  </w:style>
  <w:style w:type="paragraph" w:styleId="64">
    <w:name w:val="index heading"/>
    <w:basedOn w:val="1"/>
    <w:next w:val="65"/>
    <w:qFormat/>
    <w:uiPriority w:val="0"/>
    <w:rPr>
      <w:rFonts w:ascii="Cambria" w:hAnsi="Cambria"/>
      <w:b/>
      <w:bCs/>
    </w:rPr>
  </w:style>
  <w:style w:type="paragraph" w:styleId="65">
    <w:name w:val="index 1"/>
    <w:basedOn w:val="1"/>
    <w:next w:val="1"/>
    <w:semiHidden/>
    <w:qFormat/>
    <w:uiPriority w:val="0"/>
    <w:pPr>
      <w:spacing w:line="320" w:lineRule="exact"/>
    </w:pPr>
    <w:rPr>
      <w:b/>
      <w:snapToGrid w:val="0"/>
      <w:color w:val="FF6600"/>
      <w:kern w:val="0"/>
      <w:sz w:val="18"/>
      <w:szCs w:val="21"/>
    </w:rPr>
  </w:style>
  <w:style w:type="paragraph" w:styleId="66">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67">
    <w:name w:val="List Number 5"/>
    <w:basedOn w:val="1"/>
    <w:qFormat/>
    <w:uiPriority w:val="0"/>
    <w:pPr>
      <w:tabs>
        <w:tab w:val="left" w:pos="2040"/>
      </w:tabs>
      <w:ind w:left="2040" w:hanging="360"/>
      <w:contextualSpacing/>
    </w:pPr>
  </w:style>
  <w:style w:type="paragraph" w:styleId="68">
    <w:name w:val="List"/>
    <w:basedOn w:val="1"/>
    <w:qFormat/>
    <w:uiPriority w:val="0"/>
    <w:pPr>
      <w:ind w:left="200" w:hanging="200" w:hangingChars="200"/>
      <w:contextualSpacing/>
    </w:pPr>
  </w:style>
  <w:style w:type="paragraph" w:styleId="69">
    <w:name w:val="footnote text"/>
    <w:basedOn w:val="1"/>
    <w:qFormat/>
    <w:uiPriority w:val="0"/>
    <w:pPr>
      <w:snapToGrid w:val="0"/>
      <w:jc w:val="left"/>
    </w:pPr>
    <w:rPr>
      <w:sz w:val="18"/>
      <w:szCs w:val="18"/>
    </w:rPr>
  </w:style>
  <w:style w:type="paragraph" w:styleId="70">
    <w:name w:val="toc 6"/>
    <w:basedOn w:val="1"/>
    <w:next w:val="1"/>
    <w:qFormat/>
    <w:uiPriority w:val="0"/>
    <w:pPr>
      <w:ind w:left="2100" w:leftChars="1000"/>
    </w:pPr>
  </w:style>
  <w:style w:type="paragraph" w:styleId="71">
    <w:name w:val="List 5"/>
    <w:basedOn w:val="1"/>
    <w:qFormat/>
    <w:uiPriority w:val="0"/>
    <w:pPr>
      <w:ind w:left="100" w:leftChars="800" w:hanging="200" w:hangingChars="200"/>
      <w:contextualSpacing/>
    </w:pPr>
  </w:style>
  <w:style w:type="paragraph" w:styleId="72">
    <w:name w:val="Body Text Indent 3"/>
    <w:basedOn w:val="1"/>
    <w:link w:val="264"/>
    <w:qFormat/>
    <w:uiPriority w:val="99"/>
    <w:pPr>
      <w:spacing w:after="120"/>
      <w:ind w:left="420" w:leftChars="200"/>
    </w:pPr>
    <w:rPr>
      <w:sz w:val="16"/>
      <w:szCs w:val="16"/>
    </w:rPr>
  </w:style>
  <w:style w:type="paragraph" w:styleId="73">
    <w:name w:val="index 7"/>
    <w:basedOn w:val="1"/>
    <w:next w:val="1"/>
    <w:qFormat/>
    <w:uiPriority w:val="0"/>
    <w:pPr>
      <w:ind w:left="1200" w:leftChars="1200"/>
    </w:pPr>
  </w:style>
  <w:style w:type="paragraph" w:styleId="74">
    <w:name w:val="index 9"/>
    <w:basedOn w:val="1"/>
    <w:next w:val="1"/>
    <w:qFormat/>
    <w:uiPriority w:val="0"/>
    <w:pPr>
      <w:ind w:left="1600" w:leftChars="1600"/>
    </w:pPr>
  </w:style>
  <w:style w:type="paragraph" w:styleId="75">
    <w:name w:val="table of figures"/>
    <w:basedOn w:val="1"/>
    <w:next w:val="1"/>
    <w:qFormat/>
    <w:uiPriority w:val="0"/>
    <w:pPr>
      <w:ind w:left="200" w:leftChars="200" w:hanging="200" w:hangingChars="200"/>
    </w:pPr>
  </w:style>
  <w:style w:type="paragraph" w:styleId="76">
    <w:name w:val="toc 2"/>
    <w:basedOn w:val="1"/>
    <w:next w:val="1"/>
    <w:qFormat/>
    <w:uiPriority w:val="99"/>
    <w:pPr>
      <w:ind w:left="420" w:leftChars="200"/>
    </w:pPr>
  </w:style>
  <w:style w:type="paragraph" w:styleId="77">
    <w:name w:val="toc 9"/>
    <w:basedOn w:val="1"/>
    <w:next w:val="1"/>
    <w:qFormat/>
    <w:uiPriority w:val="0"/>
    <w:pPr>
      <w:ind w:left="3360" w:leftChars="1600"/>
    </w:pPr>
  </w:style>
  <w:style w:type="paragraph" w:styleId="78">
    <w:name w:val="Body Text 2"/>
    <w:basedOn w:val="1"/>
    <w:link w:val="167"/>
    <w:qFormat/>
    <w:uiPriority w:val="0"/>
    <w:pPr>
      <w:widowControl/>
      <w:spacing w:afterLines="50" w:line="216" w:lineRule="auto"/>
      <w:jc w:val="center"/>
    </w:pPr>
    <w:rPr>
      <w:rFonts w:ascii="隶书" w:eastAsia="隶书"/>
      <w:bCs/>
      <w:kern w:val="0"/>
      <w:sz w:val="72"/>
      <w:szCs w:val="84"/>
    </w:rPr>
  </w:style>
  <w:style w:type="paragraph" w:styleId="79">
    <w:name w:val="List 4"/>
    <w:basedOn w:val="1"/>
    <w:qFormat/>
    <w:uiPriority w:val="0"/>
    <w:pPr>
      <w:ind w:left="100" w:leftChars="600" w:hanging="200" w:hangingChars="200"/>
      <w:contextualSpacing/>
    </w:pPr>
  </w:style>
  <w:style w:type="paragraph" w:styleId="80">
    <w:name w:val="List Continue 2"/>
    <w:basedOn w:val="1"/>
    <w:qFormat/>
    <w:uiPriority w:val="0"/>
    <w:pPr>
      <w:spacing w:after="120"/>
      <w:ind w:left="840" w:leftChars="400"/>
    </w:pPr>
  </w:style>
  <w:style w:type="paragraph" w:styleId="81">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82">
    <w:name w:val="HTML Preformatted"/>
    <w:basedOn w:val="1"/>
    <w:link w:val="265"/>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83">
    <w:name w:val="Normal (Web)"/>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19"/>
      <w:szCs w:val="19"/>
    </w:rPr>
  </w:style>
  <w:style w:type="paragraph" w:styleId="84">
    <w:name w:val="List Continue 3"/>
    <w:basedOn w:val="1"/>
    <w:qFormat/>
    <w:uiPriority w:val="0"/>
    <w:pPr>
      <w:spacing w:after="120"/>
      <w:ind w:left="1260" w:leftChars="600"/>
      <w:contextualSpacing/>
    </w:pPr>
  </w:style>
  <w:style w:type="paragraph" w:styleId="85">
    <w:name w:val="index 2"/>
    <w:basedOn w:val="1"/>
    <w:next w:val="1"/>
    <w:qFormat/>
    <w:uiPriority w:val="0"/>
    <w:pPr>
      <w:ind w:left="200" w:leftChars="200"/>
    </w:pPr>
  </w:style>
  <w:style w:type="paragraph" w:styleId="86">
    <w:name w:val="Title"/>
    <w:basedOn w:val="1"/>
    <w:next w:val="1"/>
    <w:link w:val="194"/>
    <w:qFormat/>
    <w:uiPriority w:val="0"/>
    <w:pPr>
      <w:spacing w:before="240" w:after="60"/>
      <w:jc w:val="center"/>
      <w:outlineLvl w:val="0"/>
    </w:pPr>
    <w:rPr>
      <w:rFonts w:ascii="Cambria" w:hAnsi="Cambria"/>
      <w:b/>
      <w:bCs/>
      <w:sz w:val="32"/>
      <w:szCs w:val="32"/>
    </w:rPr>
  </w:style>
  <w:style w:type="paragraph" w:styleId="87">
    <w:name w:val="annotation subject"/>
    <w:basedOn w:val="28"/>
    <w:next w:val="28"/>
    <w:link w:val="136"/>
    <w:qFormat/>
    <w:uiPriority w:val="0"/>
    <w:pPr>
      <w:widowControl/>
      <w:spacing w:afterLines="50"/>
    </w:pPr>
    <w:rPr>
      <w:b/>
      <w:bCs/>
      <w:kern w:val="0"/>
      <w:sz w:val="24"/>
      <w:szCs w:val="20"/>
    </w:rPr>
  </w:style>
  <w:style w:type="paragraph" w:styleId="88">
    <w:name w:val="Body Text First Indent"/>
    <w:basedOn w:val="34"/>
    <w:next w:val="70"/>
    <w:qFormat/>
    <w:uiPriority w:val="0"/>
    <w:pPr>
      <w:spacing w:after="120" w:line="240" w:lineRule="auto"/>
      <w:ind w:firstLine="420" w:firstLineChars="100"/>
    </w:pPr>
    <w:rPr>
      <w:rFonts w:eastAsia="宋体"/>
      <w:sz w:val="21"/>
    </w:rPr>
  </w:style>
  <w:style w:type="paragraph" w:styleId="89">
    <w:name w:val="Body Text First Indent 2"/>
    <w:basedOn w:val="37"/>
    <w:link w:val="297"/>
    <w:qFormat/>
    <w:uiPriority w:val="0"/>
    <w:pPr>
      <w:ind w:firstLine="420" w:firstLineChars="200"/>
    </w:pPr>
  </w:style>
  <w:style w:type="table" w:styleId="91">
    <w:name w:val="Table Grid"/>
    <w:basedOn w:val="9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3">
    <w:name w:val="Strong"/>
    <w:qFormat/>
    <w:uiPriority w:val="99"/>
    <w:rPr>
      <w:b/>
      <w:bCs/>
    </w:rPr>
  </w:style>
  <w:style w:type="character" w:styleId="94">
    <w:name w:val="page number"/>
    <w:basedOn w:val="92"/>
    <w:qFormat/>
    <w:uiPriority w:val="0"/>
  </w:style>
  <w:style w:type="character" w:styleId="95">
    <w:name w:val="FollowedHyperlink"/>
    <w:qFormat/>
    <w:uiPriority w:val="0"/>
    <w:rPr>
      <w:color w:val="800080"/>
      <w:u w:val="single"/>
    </w:rPr>
  </w:style>
  <w:style w:type="character" w:styleId="96">
    <w:name w:val="Emphasis"/>
    <w:qFormat/>
    <w:uiPriority w:val="0"/>
    <w:rPr>
      <w:color w:val="CC0000"/>
    </w:rPr>
  </w:style>
  <w:style w:type="character" w:styleId="97">
    <w:name w:val="Hyperlink"/>
    <w:qFormat/>
    <w:uiPriority w:val="0"/>
    <w:rPr>
      <w:color w:val="0000FF"/>
      <w:u w:val="single"/>
    </w:rPr>
  </w:style>
  <w:style w:type="character" w:styleId="98">
    <w:name w:val="annotation reference"/>
    <w:qFormat/>
    <w:uiPriority w:val="0"/>
    <w:rPr>
      <w:sz w:val="21"/>
      <w:szCs w:val="21"/>
    </w:rPr>
  </w:style>
  <w:style w:type="character" w:customStyle="1" w:styleId="99">
    <w:name w:val="正文（缩进2汉字） Char"/>
    <w:link w:val="100"/>
    <w:qFormat/>
    <w:uiPriority w:val="0"/>
    <w:rPr>
      <w:rFonts w:ascii="宋体"/>
      <w:kern w:val="2"/>
      <w:sz w:val="21"/>
      <w:lang w:bidi="ar-SA"/>
    </w:rPr>
  </w:style>
  <w:style w:type="paragraph" w:customStyle="1" w:styleId="100">
    <w:name w:val="正文（缩进2汉字）"/>
    <w:basedOn w:val="1"/>
    <w:link w:val="99"/>
    <w:qFormat/>
    <w:uiPriority w:val="0"/>
    <w:pPr>
      <w:tabs>
        <w:tab w:val="left" w:pos="525"/>
      </w:tabs>
      <w:spacing w:before="100" w:beforeAutospacing="1" w:after="100" w:afterAutospacing="1"/>
      <w:ind w:left="120" w:leftChars="50" w:firstLine="494" w:firstLineChars="206"/>
    </w:pPr>
    <w:rPr>
      <w:rFonts w:ascii="宋体"/>
      <w:szCs w:val="20"/>
    </w:rPr>
  </w:style>
  <w:style w:type="character" w:customStyle="1" w:styleId="101">
    <w:name w:val="Table Text Char1"/>
    <w:link w:val="102"/>
    <w:qFormat/>
    <w:uiPriority w:val="0"/>
    <w:rPr>
      <w:rFonts w:ascii="Arial" w:hAnsi="Arial"/>
      <w:sz w:val="18"/>
      <w:lang w:val="en-US" w:eastAsia="zh-CN" w:bidi="ar-SA"/>
    </w:rPr>
  </w:style>
  <w:style w:type="paragraph" w:customStyle="1" w:styleId="102">
    <w:name w:val="Table Text"/>
    <w:link w:val="101"/>
    <w:qFormat/>
    <w:uiPriority w:val="0"/>
    <w:pPr>
      <w:snapToGrid w:val="0"/>
      <w:spacing w:before="80" w:after="80"/>
    </w:pPr>
    <w:rPr>
      <w:rFonts w:ascii="Arial" w:hAnsi="Arial" w:eastAsia="宋体" w:cs="Times New Roman"/>
      <w:sz w:val="18"/>
      <w:lang w:val="en-US" w:eastAsia="zh-CN" w:bidi="ar-SA"/>
    </w:rPr>
  </w:style>
  <w:style w:type="character" w:customStyle="1" w:styleId="103">
    <w:name w:val="页眉 Char"/>
    <w:link w:val="59"/>
    <w:qFormat/>
    <w:uiPriority w:val="0"/>
    <w:rPr>
      <w:rFonts w:eastAsia="宋体"/>
      <w:kern w:val="2"/>
      <w:sz w:val="18"/>
      <w:szCs w:val="18"/>
      <w:lang w:val="en-US" w:eastAsia="zh-CN" w:bidi="ar-SA"/>
    </w:rPr>
  </w:style>
  <w:style w:type="character" w:customStyle="1" w:styleId="104">
    <w:name w:val="标题 8 Char"/>
    <w:link w:val="11"/>
    <w:qFormat/>
    <w:uiPriority w:val="0"/>
    <w:rPr>
      <w:rFonts w:ascii="Arial" w:hAnsi="Arial" w:eastAsia="黑体"/>
      <w:sz w:val="24"/>
      <w:lang w:val="en-US" w:eastAsia="zh-CN" w:bidi="ar-SA"/>
    </w:rPr>
  </w:style>
  <w:style w:type="character" w:customStyle="1" w:styleId="105">
    <w:name w:val="style51"/>
    <w:qFormat/>
    <w:uiPriority w:val="0"/>
    <w:rPr>
      <w:sz w:val="21"/>
      <w:szCs w:val="21"/>
    </w:rPr>
  </w:style>
  <w:style w:type="character" w:customStyle="1" w:styleId="106">
    <w:name w:val="标题 4 Char"/>
    <w:link w:val="7"/>
    <w:qFormat/>
    <w:uiPriority w:val="0"/>
    <w:rPr>
      <w:rFonts w:ascii="Arial" w:hAnsi="Arial" w:eastAsia="黑体"/>
      <w:b/>
      <w:kern w:val="2"/>
      <w:sz w:val="28"/>
    </w:rPr>
  </w:style>
  <w:style w:type="character" w:customStyle="1" w:styleId="107">
    <w:name w:val="明显引用 Char"/>
    <w:link w:val="108"/>
    <w:qFormat/>
    <w:uiPriority w:val="0"/>
    <w:rPr>
      <w:rFonts w:eastAsia="宋体"/>
      <w:b/>
      <w:bCs/>
      <w:i/>
      <w:iCs/>
      <w:color w:val="4F81BD"/>
      <w:kern w:val="2"/>
      <w:sz w:val="21"/>
      <w:szCs w:val="24"/>
      <w:lang w:val="en-US" w:eastAsia="zh-CN" w:bidi="ar-SA"/>
    </w:rPr>
  </w:style>
  <w:style w:type="paragraph" w:styleId="108">
    <w:name w:val="Intense Quote"/>
    <w:basedOn w:val="1"/>
    <w:next w:val="1"/>
    <w:link w:val="107"/>
    <w:qFormat/>
    <w:uiPriority w:val="0"/>
    <w:pPr>
      <w:pBdr>
        <w:bottom w:val="single" w:color="4F81BD" w:sz="4" w:space="4"/>
      </w:pBdr>
      <w:spacing w:before="200" w:after="280"/>
      <w:ind w:left="936" w:right="936"/>
    </w:pPr>
    <w:rPr>
      <w:b/>
      <w:bCs/>
      <w:i/>
      <w:iCs/>
      <w:color w:val="4F81BD"/>
    </w:rPr>
  </w:style>
  <w:style w:type="character" w:customStyle="1" w:styleId="109">
    <w:name w:val="Char Char8"/>
    <w:qFormat/>
    <w:uiPriority w:val="0"/>
    <w:rPr>
      <w:rFonts w:ascii="宋体" w:eastAsia="宋体"/>
      <w:kern w:val="2"/>
      <w:sz w:val="28"/>
      <w:lang w:val="en-US" w:eastAsia="zh-CN" w:bidi="ar-SA"/>
    </w:rPr>
  </w:style>
  <w:style w:type="character" w:customStyle="1" w:styleId="110">
    <w:name w:val="ca-3"/>
    <w:basedOn w:val="92"/>
    <w:qFormat/>
    <w:uiPriority w:val="0"/>
  </w:style>
  <w:style w:type="character" w:customStyle="1" w:styleId="111">
    <w:name w:val="标题 2 Char"/>
    <w:link w:val="4"/>
    <w:qFormat/>
    <w:uiPriority w:val="9"/>
    <w:rPr>
      <w:rFonts w:ascii="Arial" w:hAnsi="Arial" w:eastAsia="黑体"/>
      <w:b/>
      <w:kern w:val="2"/>
      <w:sz w:val="32"/>
    </w:rPr>
  </w:style>
  <w:style w:type="character" w:customStyle="1" w:styleId="112">
    <w:name w:val="Char Char19"/>
    <w:qFormat/>
    <w:uiPriority w:val="0"/>
    <w:rPr>
      <w:rFonts w:eastAsia="宋体"/>
      <w:kern w:val="2"/>
      <w:sz w:val="21"/>
      <w:szCs w:val="24"/>
      <w:lang w:val="en-US" w:eastAsia="zh-CN" w:bidi="ar-SA"/>
    </w:rPr>
  </w:style>
  <w:style w:type="character" w:customStyle="1" w:styleId="113">
    <w:name w:val="HTML 地址 Char"/>
    <w:link w:val="43"/>
    <w:qFormat/>
    <w:uiPriority w:val="0"/>
    <w:rPr>
      <w:rFonts w:eastAsia="宋体"/>
      <w:i/>
      <w:iCs/>
      <w:kern w:val="2"/>
      <w:sz w:val="21"/>
      <w:szCs w:val="24"/>
      <w:lang w:val="en-US" w:eastAsia="zh-CN" w:bidi="ar-SA"/>
    </w:rPr>
  </w:style>
  <w:style w:type="character" w:customStyle="1" w:styleId="114">
    <w:name w:val="Char Char16"/>
    <w:semiHidden/>
    <w:qFormat/>
    <w:uiPriority w:val="0"/>
    <w:rPr>
      <w:rFonts w:eastAsia="宋体"/>
      <w:kern w:val="2"/>
      <w:sz w:val="21"/>
      <w:szCs w:val="24"/>
      <w:lang w:val="en-US" w:eastAsia="zh-CN" w:bidi="ar-SA"/>
    </w:rPr>
  </w:style>
  <w:style w:type="character" w:customStyle="1" w:styleId="115">
    <w:name w:val="正文文本 Char"/>
    <w:link w:val="34"/>
    <w:qFormat/>
    <w:locked/>
    <w:uiPriority w:val="99"/>
    <w:rPr>
      <w:rFonts w:eastAsia="仿宋_GB2312"/>
      <w:kern w:val="2"/>
      <w:sz w:val="28"/>
      <w:szCs w:val="24"/>
      <w:lang w:val="en-US" w:eastAsia="zh-CN" w:bidi="ar-SA"/>
    </w:rPr>
  </w:style>
  <w:style w:type="character" w:customStyle="1" w:styleId="116">
    <w:name w:val="Char Char9"/>
    <w:qFormat/>
    <w:uiPriority w:val="0"/>
    <w:rPr>
      <w:b/>
      <w:kern w:val="2"/>
      <w:sz w:val="24"/>
      <w:szCs w:val="24"/>
    </w:rPr>
  </w:style>
  <w:style w:type="character" w:customStyle="1" w:styleId="117">
    <w:name w:val="H4 Char"/>
    <w:qFormat/>
    <w:uiPriority w:val="0"/>
    <w:rPr>
      <w:rFonts w:ascii="宋体" w:hAnsi="宋体" w:eastAsia="黑体"/>
      <w:b/>
      <w:bCs/>
      <w:color w:val="000000"/>
      <w:spacing w:val="-4"/>
      <w:kern w:val="2"/>
      <w:sz w:val="24"/>
      <w:szCs w:val="30"/>
      <w:lang w:val="en-US" w:eastAsia="zh-CN" w:bidi="ar-SA"/>
    </w:rPr>
  </w:style>
  <w:style w:type="character" w:customStyle="1" w:styleId="118">
    <w:name w:val="info"/>
    <w:basedOn w:val="92"/>
    <w:qFormat/>
    <w:uiPriority w:val="0"/>
  </w:style>
  <w:style w:type="character" w:customStyle="1" w:styleId="119">
    <w:name w:val="Char Char"/>
    <w:qFormat/>
    <w:uiPriority w:val="0"/>
    <w:rPr>
      <w:rFonts w:hint="eastAsia" w:ascii="宋体" w:hAnsi="Courier New" w:eastAsia="宋体"/>
      <w:kern w:val="2"/>
      <w:sz w:val="21"/>
      <w:lang w:val="en-US" w:eastAsia="zh-CN" w:bidi="ar-SA"/>
    </w:rPr>
  </w:style>
  <w:style w:type="character" w:customStyle="1" w:styleId="120">
    <w:name w:val="Char Char3"/>
    <w:qFormat/>
    <w:uiPriority w:val="0"/>
    <w:rPr>
      <w:rFonts w:eastAsia="仿宋_GB2312"/>
      <w:kern w:val="2"/>
      <w:sz w:val="28"/>
      <w:szCs w:val="24"/>
      <w:lang w:val="en-US" w:eastAsia="zh-CN" w:bidi="ar-SA"/>
    </w:rPr>
  </w:style>
  <w:style w:type="character" w:customStyle="1" w:styleId="121">
    <w:name w:val="H5 Char"/>
    <w:qFormat/>
    <w:uiPriority w:val="0"/>
    <w:rPr>
      <w:rFonts w:ascii="Arial" w:hAnsi="Arial" w:eastAsia="宋体"/>
      <w:sz w:val="24"/>
      <w:lang w:val="en-US" w:eastAsia="zh-CN" w:bidi="ar-SA"/>
    </w:rPr>
  </w:style>
  <w:style w:type="character" w:customStyle="1" w:styleId="122">
    <w:name w:val="表格 Char Char"/>
    <w:link w:val="123"/>
    <w:qFormat/>
    <w:locked/>
    <w:uiPriority w:val="0"/>
    <w:rPr>
      <w:rFonts w:ascii="宋体" w:hAnsi="宋体" w:eastAsia="宋体"/>
      <w:lang w:val="en-US" w:eastAsia="zh-CN" w:bidi="ar-SA"/>
    </w:rPr>
  </w:style>
  <w:style w:type="paragraph" w:customStyle="1" w:styleId="123">
    <w:name w:val="表格"/>
    <w:basedOn w:val="1"/>
    <w:link w:val="122"/>
    <w:qFormat/>
    <w:uiPriority w:val="0"/>
    <w:pPr>
      <w:snapToGrid w:val="0"/>
      <w:ind w:firstLine="42" w:firstLineChars="21"/>
    </w:pPr>
    <w:rPr>
      <w:rFonts w:ascii="宋体" w:hAnsi="宋体"/>
      <w:kern w:val="0"/>
      <w:sz w:val="20"/>
      <w:szCs w:val="20"/>
    </w:rPr>
  </w:style>
  <w:style w:type="character" w:customStyle="1" w:styleId="124">
    <w:name w:val="Char Char33"/>
    <w:qFormat/>
    <w:uiPriority w:val="0"/>
    <w:rPr>
      <w:rFonts w:eastAsia="仿宋_GB2312"/>
      <w:b/>
      <w:kern w:val="2"/>
      <w:sz w:val="32"/>
      <w:lang w:val="en-US" w:eastAsia="zh-CN" w:bidi="ar-SA"/>
    </w:rPr>
  </w:style>
  <w:style w:type="character" w:customStyle="1" w:styleId="125">
    <w:name w:val="Char Char20"/>
    <w:qFormat/>
    <w:locked/>
    <w:uiPriority w:val="0"/>
    <w:rPr>
      <w:rFonts w:eastAsia="宋体"/>
      <w:kern w:val="2"/>
      <w:sz w:val="21"/>
      <w:szCs w:val="24"/>
      <w:lang w:val="en-US" w:eastAsia="zh-CN" w:bidi="ar-SA"/>
    </w:rPr>
  </w:style>
  <w:style w:type="character" w:customStyle="1" w:styleId="126">
    <w:name w:val="Char Char35"/>
    <w:qFormat/>
    <w:uiPriority w:val="0"/>
    <w:rPr>
      <w:rFonts w:eastAsia="仿宋_GB2312"/>
      <w:b/>
      <w:kern w:val="44"/>
      <w:sz w:val="44"/>
      <w:lang w:val="en-US" w:eastAsia="zh-CN" w:bidi="ar-SA"/>
    </w:rPr>
  </w:style>
  <w:style w:type="character" w:customStyle="1" w:styleId="127">
    <w:name w:val="正文文本缩进 Char"/>
    <w:link w:val="37"/>
    <w:qFormat/>
    <w:uiPriority w:val="99"/>
    <w:rPr>
      <w:rFonts w:eastAsia="宋体"/>
      <w:kern w:val="2"/>
      <w:sz w:val="21"/>
      <w:szCs w:val="24"/>
      <w:lang w:val="en-US" w:eastAsia="zh-CN" w:bidi="ar-SA"/>
    </w:rPr>
  </w:style>
  <w:style w:type="character" w:customStyle="1" w:styleId="128">
    <w:name w:val="Char Char27"/>
    <w:qFormat/>
    <w:uiPriority w:val="0"/>
    <w:rPr>
      <w:rFonts w:ascii="Arial" w:hAnsi="Arial" w:eastAsia="黑体"/>
      <w:sz w:val="24"/>
      <w:lang w:val="en-US" w:eastAsia="zh-CN" w:bidi="ar-SA"/>
    </w:rPr>
  </w:style>
  <w:style w:type="character" w:customStyle="1" w:styleId="129">
    <w:name w:val="标题 3 Char"/>
    <w:link w:val="6"/>
    <w:qFormat/>
    <w:uiPriority w:val="9"/>
    <w:rPr>
      <w:rFonts w:eastAsia="仿宋_GB2312"/>
      <w:b/>
      <w:kern w:val="2"/>
      <w:sz w:val="32"/>
    </w:rPr>
  </w:style>
  <w:style w:type="character" w:customStyle="1" w:styleId="130">
    <w:name w:val="style21"/>
    <w:qFormat/>
    <w:uiPriority w:val="0"/>
    <w:rPr>
      <w:sz w:val="15"/>
      <w:szCs w:val="15"/>
    </w:rPr>
  </w:style>
  <w:style w:type="character" w:customStyle="1" w:styleId="131">
    <w:name w:val="标题 9 Char"/>
    <w:link w:val="12"/>
    <w:qFormat/>
    <w:uiPriority w:val="0"/>
    <w:rPr>
      <w:rFonts w:ascii="Arial" w:hAnsi="Arial" w:eastAsia="黑体"/>
      <w:sz w:val="24"/>
      <w:lang w:val="en-US" w:eastAsia="zh-CN" w:bidi="ar-SA"/>
    </w:rPr>
  </w:style>
  <w:style w:type="character" w:customStyle="1" w:styleId="132">
    <w:name w:val="Char Char34"/>
    <w:qFormat/>
    <w:uiPriority w:val="0"/>
    <w:rPr>
      <w:rFonts w:ascii="Arial" w:hAnsi="Arial" w:eastAsia="黑体"/>
      <w:b/>
      <w:kern w:val="2"/>
      <w:sz w:val="32"/>
      <w:lang w:val="en-US" w:eastAsia="zh-CN" w:bidi="ar-SA"/>
    </w:rPr>
  </w:style>
  <w:style w:type="character" w:customStyle="1" w:styleId="133">
    <w:name w:val="Char Char24"/>
    <w:qFormat/>
    <w:uiPriority w:val="0"/>
    <w:rPr>
      <w:rFonts w:ascii="宋体" w:hAnsi="Courier New" w:eastAsia="宋体"/>
      <w:kern w:val="2"/>
      <w:sz w:val="21"/>
      <w:lang w:val="en-US" w:eastAsia="zh-CN" w:bidi="ar-SA"/>
    </w:rPr>
  </w:style>
  <w:style w:type="character" w:customStyle="1" w:styleId="134">
    <w:name w:val="称呼 Char"/>
    <w:link w:val="30"/>
    <w:qFormat/>
    <w:uiPriority w:val="0"/>
    <w:rPr>
      <w:rFonts w:eastAsia="宋体"/>
      <w:kern w:val="2"/>
      <w:sz w:val="21"/>
      <w:szCs w:val="24"/>
      <w:lang w:val="en-US" w:eastAsia="zh-CN" w:bidi="ar-SA"/>
    </w:rPr>
  </w:style>
  <w:style w:type="character" w:customStyle="1" w:styleId="135">
    <w:name w:val="Char Char23"/>
    <w:qFormat/>
    <w:locked/>
    <w:uiPriority w:val="0"/>
    <w:rPr>
      <w:rFonts w:eastAsia="仿宋_GB2312"/>
      <w:kern w:val="2"/>
      <w:sz w:val="28"/>
      <w:szCs w:val="24"/>
      <w:lang w:val="en-US" w:eastAsia="zh-CN" w:bidi="ar-SA"/>
    </w:rPr>
  </w:style>
  <w:style w:type="character" w:customStyle="1" w:styleId="136">
    <w:name w:val="批注主题 Char"/>
    <w:basedOn w:val="137"/>
    <w:link w:val="87"/>
    <w:qFormat/>
    <w:uiPriority w:val="0"/>
    <w:rPr>
      <w:rFonts w:eastAsia="宋体"/>
      <w:b/>
      <w:bCs/>
      <w:kern w:val="2"/>
      <w:sz w:val="24"/>
      <w:szCs w:val="24"/>
      <w:lang w:val="en-US" w:eastAsia="zh-CN" w:bidi="ar-SA"/>
    </w:rPr>
  </w:style>
  <w:style w:type="character" w:customStyle="1" w:styleId="137">
    <w:name w:val="批注文字 Char"/>
    <w:link w:val="28"/>
    <w:qFormat/>
    <w:uiPriority w:val="0"/>
    <w:rPr>
      <w:rFonts w:eastAsia="宋体"/>
      <w:kern w:val="2"/>
      <w:sz w:val="21"/>
      <w:szCs w:val="24"/>
      <w:lang w:val="en-US" w:eastAsia="zh-CN" w:bidi="ar-SA"/>
    </w:rPr>
  </w:style>
  <w:style w:type="character" w:customStyle="1" w:styleId="138">
    <w:name w:val="paragraph1 Char"/>
    <w:link w:val="139"/>
    <w:qFormat/>
    <w:uiPriority w:val="0"/>
    <w:rPr>
      <w:rFonts w:ascii="Arial" w:hAnsi="Arial" w:eastAsia="宋体"/>
      <w:sz w:val="24"/>
      <w:szCs w:val="24"/>
      <w:lang w:bidi="ar-SA"/>
    </w:rPr>
  </w:style>
  <w:style w:type="paragraph" w:customStyle="1" w:styleId="139">
    <w:name w:val="paragraph1"/>
    <w:basedOn w:val="1"/>
    <w:link w:val="138"/>
    <w:qFormat/>
    <w:uiPriority w:val="0"/>
    <w:pPr>
      <w:spacing w:afterLines="30" w:line="360" w:lineRule="auto"/>
      <w:ind w:firstLine="480" w:firstLineChars="200"/>
    </w:pPr>
    <w:rPr>
      <w:rFonts w:ascii="Arial" w:hAnsi="Arial"/>
      <w:kern w:val="0"/>
      <w:sz w:val="24"/>
    </w:rPr>
  </w:style>
  <w:style w:type="character" w:customStyle="1" w:styleId="140">
    <w:name w:val="Char Char22"/>
    <w:qFormat/>
    <w:uiPriority w:val="0"/>
    <w:rPr>
      <w:rFonts w:ascii="宋体" w:hAnsi="Courier New" w:eastAsia="宋体"/>
      <w:kern w:val="2"/>
      <w:sz w:val="21"/>
      <w:lang w:val="en-US" w:eastAsia="zh-CN" w:bidi="ar-SA"/>
    </w:rPr>
  </w:style>
  <w:style w:type="character" w:customStyle="1" w:styleId="141">
    <w:name w:val="font1"/>
    <w:qFormat/>
    <w:uiPriority w:val="0"/>
    <w:rPr>
      <w:color w:val="999999"/>
      <w:sz w:val="18"/>
      <w:szCs w:val="18"/>
      <w:u w:val="none"/>
    </w:rPr>
  </w:style>
  <w:style w:type="character" w:customStyle="1" w:styleId="142">
    <w:name w:val="正文2 Char"/>
    <w:link w:val="143"/>
    <w:qFormat/>
    <w:uiPriority w:val="0"/>
    <w:rPr>
      <w:rFonts w:eastAsia="宋体"/>
      <w:kern w:val="2"/>
      <w:sz w:val="24"/>
      <w:lang w:val="en-US" w:eastAsia="zh-CN" w:bidi="ar-SA"/>
    </w:rPr>
  </w:style>
  <w:style w:type="paragraph" w:customStyle="1" w:styleId="143">
    <w:name w:val="正文2"/>
    <w:basedOn w:val="1"/>
    <w:link w:val="142"/>
    <w:qFormat/>
    <w:uiPriority w:val="0"/>
    <w:pPr>
      <w:spacing w:before="156" w:line="360" w:lineRule="auto"/>
      <w:ind w:firstLine="510" w:firstLineChars="200"/>
    </w:pPr>
    <w:rPr>
      <w:sz w:val="24"/>
      <w:szCs w:val="20"/>
    </w:rPr>
  </w:style>
  <w:style w:type="character" w:customStyle="1" w:styleId="144">
    <w:name w:val="Char Char32"/>
    <w:qFormat/>
    <w:uiPriority w:val="0"/>
    <w:rPr>
      <w:rFonts w:ascii="Arial" w:hAnsi="Arial" w:eastAsia="黑体"/>
      <w:b/>
      <w:kern w:val="2"/>
      <w:sz w:val="28"/>
      <w:lang w:val="en-US" w:eastAsia="zh-CN" w:bidi="ar-SA"/>
    </w:rPr>
  </w:style>
  <w:style w:type="character" w:customStyle="1" w:styleId="145">
    <w:name w:val="纯文本 Char"/>
    <w:link w:val="47"/>
    <w:qFormat/>
    <w:uiPriority w:val="0"/>
    <w:rPr>
      <w:rFonts w:ascii="宋体" w:hAnsi="Courier New" w:eastAsia="宋体"/>
      <w:kern w:val="2"/>
      <w:sz w:val="21"/>
      <w:lang w:val="en-US" w:eastAsia="zh-CN" w:bidi="ar-SA"/>
    </w:rPr>
  </w:style>
  <w:style w:type="character" w:customStyle="1" w:styleId="146">
    <w:name w:val="Char Char7"/>
    <w:qFormat/>
    <w:uiPriority w:val="0"/>
    <w:rPr>
      <w:rFonts w:eastAsia="仿宋_GB2312"/>
      <w:kern w:val="2"/>
      <w:sz w:val="24"/>
      <w:szCs w:val="24"/>
      <w:lang w:val="en-US" w:eastAsia="zh-CN" w:bidi="ar-SA"/>
    </w:rPr>
  </w:style>
  <w:style w:type="character" w:customStyle="1" w:styleId="147">
    <w:name w:val="apple-style-span"/>
    <w:basedOn w:val="92"/>
    <w:qFormat/>
    <w:uiPriority w:val="0"/>
  </w:style>
  <w:style w:type="character" w:customStyle="1" w:styleId="148">
    <w:name w:val="font01"/>
    <w:basedOn w:val="92"/>
    <w:qFormat/>
    <w:uiPriority w:val="99"/>
    <w:rPr>
      <w:rFonts w:ascii="Calibri" w:hAnsi="Calibri" w:cs="Calibri"/>
      <w:color w:val="000000"/>
      <w:sz w:val="21"/>
      <w:szCs w:val="21"/>
      <w:u w:val="none"/>
    </w:rPr>
  </w:style>
  <w:style w:type="character" w:customStyle="1" w:styleId="149">
    <w:name w:val="批注框文本 Char"/>
    <w:basedOn w:val="92"/>
    <w:link w:val="56"/>
    <w:qFormat/>
    <w:uiPriority w:val="0"/>
    <w:rPr>
      <w:kern w:val="2"/>
      <w:sz w:val="18"/>
      <w:szCs w:val="18"/>
    </w:rPr>
  </w:style>
  <w:style w:type="character" w:customStyle="1" w:styleId="150">
    <w:name w:val="项目排列 Char"/>
    <w:link w:val="151"/>
    <w:qFormat/>
    <w:uiPriority w:val="0"/>
    <w:rPr>
      <w:kern w:val="2"/>
      <w:sz w:val="24"/>
      <w:szCs w:val="24"/>
    </w:rPr>
  </w:style>
  <w:style w:type="paragraph" w:customStyle="1" w:styleId="151">
    <w:name w:val="项目排列"/>
    <w:basedOn w:val="1"/>
    <w:link w:val="150"/>
    <w:qFormat/>
    <w:uiPriority w:val="0"/>
    <w:pPr>
      <w:tabs>
        <w:tab w:val="left" w:pos="900"/>
      </w:tabs>
      <w:spacing w:beforeLines="50" w:afterLines="50" w:line="300" w:lineRule="auto"/>
      <w:ind w:left="900" w:hanging="420"/>
    </w:pPr>
    <w:rPr>
      <w:sz w:val="24"/>
    </w:rPr>
  </w:style>
  <w:style w:type="character" w:customStyle="1" w:styleId="152">
    <w:name w:val="列出段落 Char"/>
    <w:link w:val="153"/>
    <w:qFormat/>
    <w:uiPriority w:val="0"/>
    <w:rPr>
      <w:rFonts w:ascii="Calibri" w:hAnsi="Calibri" w:eastAsia="宋体"/>
      <w:sz w:val="22"/>
      <w:szCs w:val="22"/>
      <w:lang w:val="en-US" w:eastAsia="zh-CN" w:bidi="ar-SA"/>
    </w:rPr>
  </w:style>
  <w:style w:type="paragraph" w:styleId="153">
    <w:name w:val="List Paragraph"/>
    <w:basedOn w:val="1"/>
    <w:link w:val="152"/>
    <w:qFormat/>
    <w:uiPriority w:val="34"/>
    <w:pPr>
      <w:widowControl/>
      <w:spacing w:after="200" w:line="276" w:lineRule="auto"/>
      <w:ind w:left="720"/>
      <w:contextualSpacing/>
      <w:jc w:val="left"/>
    </w:pPr>
    <w:rPr>
      <w:rFonts w:ascii="Calibri" w:hAnsi="Calibri"/>
      <w:kern w:val="0"/>
      <w:sz w:val="22"/>
      <w:szCs w:val="22"/>
    </w:rPr>
  </w:style>
  <w:style w:type="character" w:customStyle="1" w:styleId="154">
    <w:name w:val="正文段 Char"/>
    <w:link w:val="155"/>
    <w:qFormat/>
    <w:uiPriority w:val="0"/>
    <w:rPr>
      <w:sz w:val="24"/>
    </w:rPr>
  </w:style>
  <w:style w:type="paragraph" w:customStyle="1" w:styleId="155">
    <w:name w:val="正文段"/>
    <w:basedOn w:val="1"/>
    <w:link w:val="154"/>
    <w:qFormat/>
    <w:uiPriority w:val="0"/>
    <w:pPr>
      <w:widowControl/>
      <w:snapToGrid w:val="0"/>
      <w:spacing w:afterLines="50"/>
      <w:ind w:firstLine="200" w:firstLineChars="200"/>
    </w:pPr>
    <w:rPr>
      <w:kern w:val="0"/>
      <w:sz w:val="24"/>
      <w:szCs w:val="20"/>
    </w:rPr>
  </w:style>
  <w:style w:type="character" w:customStyle="1" w:styleId="156">
    <w:name w:val="正文缩进 Char"/>
    <w:link w:val="5"/>
    <w:qFormat/>
    <w:uiPriority w:val="0"/>
    <w:rPr>
      <w:rFonts w:eastAsia="宋体"/>
      <w:kern w:val="2"/>
      <w:sz w:val="21"/>
      <w:szCs w:val="24"/>
      <w:lang w:val="en-US" w:eastAsia="zh-CN" w:bidi="ar-SA"/>
    </w:rPr>
  </w:style>
  <w:style w:type="character" w:customStyle="1" w:styleId="157">
    <w:name w:val="font21"/>
    <w:basedOn w:val="92"/>
    <w:qFormat/>
    <w:uiPriority w:val="99"/>
    <w:rPr>
      <w:rFonts w:hint="eastAsia" w:ascii="宋体" w:hAnsi="宋体" w:eastAsia="宋体" w:cs="宋体"/>
      <w:color w:val="0000FF"/>
      <w:sz w:val="21"/>
      <w:szCs w:val="21"/>
      <w:u w:val="none"/>
    </w:rPr>
  </w:style>
  <w:style w:type="character" w:customStyle="1" w:styleId="158">
    <w:name w:val="Char Char18"/>
    <w:qFormat/>
    <w:uiPriority w:val="0"/>
    <w:rPr>
      <w:rFonts w:ascii="隶书" w:eastAsia="隶书"/>
      <w:bCs/>
      <w:sz w:val="72"/>
      <w:szCs w:val="84"/>
      <w:lang w:val="en-US" w:eastAsia="zh-CN" w:bidi="ar-SA"/>
    </w:rPr>
  </w:style>
  <w:style w:type="character" w:customStyle="1" w:styleId="159">
    <w:name w:val="font71"/>
    <w:basedOn w:val="92"/>
    <w:qFormat/>
    <w:uiPriority w:val="0"/>
    <w:rPr>
      <w:rFonts w:hint="eastAsia" w:ascii="宋体" w:hAnsi="宋体" w:eastAsia="宋体" w:cs="宋体"/>
      <w:b/>
      <w:color w:val="000000"/>
      <w:sz w:val="22"/>
      <w:szCs w:val="22"/>
      <w:u w:val="none"/>
    </w:rPr>
  </w:style>
  <w:style w:type="character" w:customStyle="1" w:styleId="160">
    <w:name w:val="标题 5 Char"/>
    <w:link w:val="8"/>
    <w:qFormat/>
    <w:uiPriority w:val="0"/>
    <w:rPr>
      <w:sz w:val="24"/>
    </w:rPr>
  </w:style>
  <w:style w:type="character" w:customStyle="1" w:styleId="161">
    <w:name w:val="日期 Char"/>
    <w:link w:val="52"/>
    <w:qFormat/>
    <w:uiPriority w:val="0"/>
    <w:rPr>
      <w:rFonts w:ascii="楷体_GB2312" w:eastAsia="楷体_GB2312"/>
      <w:b/>
      <w:kern w:val="2"/>
      <w:sz w:val="28"/>
      <w:lang w:val="en-US" w:eastAsia="zh-CN" w:bidi="ar-SA"/>
    </w:rPr>
  </w:style>
  <w:style w:type="character" w:customStyle="1" w:styleId="162">
    <w:name w:val="标题 7 Char"/>
    <w:link w:val="10"/>
    <w:qFormat/>
    <w:uiPriority w:val="0"/>
    <w:rPr>
      <w:rFonts w:ascii="宋体" w:hAnsi="Arial" w:eastAsia="宋体"/>
      <w:b/>
      <w:sz w:val="24"/>
      <w:lang w:val="en-US" w:eastAsia="zh-CN" w:bidi="ar-SA"/>
    </w:rPr>
  </w:style>
  <w:style w:type="character" w:customStyle="1" w:styleId="163">
    <w:name w:val="自定义正文 Char"/>
    <w:link w:val="164"/>
    <w:qFormat/>
    <w:uiPriority w:val="0"/>
    <w:rPr>
      <w:rFonts w:ascii="仿宋_GB2312" w:eastAsia="仿宋_GB2312"/>
      <w:kern w:val="2"/>
      <w:sz w:val="28"/>
      <w:szCs w:val="24"/>
      <w:lang w:val="en-US" w:eastAsia="zh-CN" w:bidi="ar-SA"/>
    </w:rPr>
  </w:style>
  <w:style w:type="paragraph" w:customStyle="1" w:styleId="164">
    <w:name w:val="自定义正文"/>
    <w:basedOn w:val="1"/>
    <w:link w:val="163"/>
    <w:qFormat/>
    <w:uiPriority w:val="0"/>
    <w:pPr>
      <w:spacing w:line="480" w:lineRule="exact"/>
      <w:ind w:firstLine="200" w:firstLineChars="200"/>
      <w:jc w:val="left"/>
    </w:pPr>
    <w:rPr>
      <w:rFonts w:ascii="仿宋_GB2312" w:eastAsia="仿宋_GB2312"/>
      <w:sz w:val="28"/>
    </w:rPr>
  </w:style>
  <w:style w:type="character" w:customStyle="1" w:styleId="165">
    <w:name w:val="文档结构图 Char"/>
    <w:link w:val="26"/>
    <w:semiHidden/>
    <w:qFormat/>
    <w:uiPriority w:val="99"/>
    <w:rPr>
      <w:rFonts w:eastAsia="宋体"/>
      <w:kern w:val="2"/>
      <w:sz w:val="21"/>
      <w:szCs w:val="24"/>
      <w:lang w:val="en-US" w:eastAsia="zh-CN" w:bidi="ar-SA"/>
    </w:rPr>
  </w:style>
  <w:style w:type="character" w:customStyle="1" w:styleId="166">
    <w:name w:val="标题 6 Char"/>
    <w:link w:val="9"/>
    <w:qFormat/>
    <w:uiPriority w:val="0"/>
    <w:rPr>
      <w:rFonts w:ascii="宋体" w:hAnsi="Arial" w:eastAsia="宋体"/>
      <w:sz w:val="24"/>
      <w:lang w:val="en-US" w:eastAsia="zh-CN" w:bidi="ar-SA"/>
    </w:rPr>
  </w:style>
  <w:style w:type="character" w:customStyle="1" w:styleId="167">
    <w:name w:val="正文文本 2 Char"/>
    <w:link w:val="78"/>
    <w:qFormat/>
    <w:uiPriority w:val="0"/>
    <w:rPr>
      <w:rFonts w:ascii="隶书" w:eastAsia="隶书"/>
      <w:bCs/>
      <w:sz w:val="72"/>
      <w:szCs w:val="84"/>
      <w:lang w:val="en-US" w:eastAsia="zh-CN" w:bidi="ar-SA"/>
    </w:rPr>
  </w:style>
  <w:style w:type="character" w:customStyle="1" w:styleId="168">
    <w:name w:val="font91"/>
    <w:basedOn w:val="92"/>
    <w:qFormat/>
    <w:uiPriority w:val="0"/>
    <w:rPr>
      <w:rFonts w:hint="eastAsia" w:ascii="宋体" w:hAnsi="宋体" w:eastAsia="宋体" w:cs="宋体"/>
      <w:color w:val="000000"/>
      <w:sz w:val="22"/>
      <w:szCs w:val="22"/>
      <w:u w:val="none"/>
    </w:rPr>
  </w:style>
  <w:style w:type="character" w:customStyle="1" w:styleId="169">
    <w:name w:val="style11"/>
    <w:qFormat/>
    <w:uiPriority w:val="0"/>
    <w:rPr>
      <w:b/>
      <w:bCs/>
      <w:color w:val="FF0000"/>
    </w:rPr>
  </w:style>
  <w:style w:type="character" w:customStyle="1" w:styleId="170">
    <w:name w:val="注释标题 Char"/>
    <w:link w:val="17"/>
    <w:qFormat/>
    <w:uiPriority w:val="0"/>
    <w:rPr>
      <w:rFonts w:ascii="宋体" w:hAnsi="Courier New" w:eastAsia="宋体"/>
      <w:kern w:val="2"/>
      <w:sz w:val="21"/>
      <w:lang w:val="en-US" w:eastAsia="zh-CN" w:bidi="ar-SA"/>
    </w:rPr>
  </w:style>
  <w:style w:type="character" w:customStyle="1" w:styleId="171">
    <w:name w:val="Char Char31"/>
    <w:qFormat/>
    <w:uiPriority w:val="0"/>
    <w:rPr>
      <w:rFonts w:eastAsia="宋体"/>
      <w:sz w:val="24"/>
      <w:lang w:val="en-US" w:eastAsia="zh-CN" w:bidi="ar-SA"/>
    </w:rPr>
  </w:style>
  <w:style w:type="character" w:customStyle="1" w:styleId="172">
    <w:name w:val="Char Char11"/>
    <w:qFormat/>
    <w:uiPriority w:val="0"/>
    <w:rPr>
      <w:b/>
      <w:kern w:val="44"/>
      <w:sz w:val="44"/>
    </w:rPr>
  </w:style>
  <w:style w:type="character" w:customStyle="1" w:styleId="173">
    <w:name w:val="宋体正文 Char"/>
    <w:link w:val="174"/>
    <w:qFormat/>
    <w:uiPriority w:val="0"/>
    <w:rPr>
      <w:rFonts w:eastAsia="Times New Roman"/>
      <w:kern w:val="2"/>
      <w:sz w:val="24"/>
      <w:szCs w:val="24"/>
      <w:lang w:val="en-US" w:eastAsia="zh-CN" w:bidi="ar-SA"/>
    </w:rPr>
  </w:style>
  <w:style w:type="paragraph" w:customStyle="1" w:styleId="174">
    <w:name w:val="宋体正文"/>
    <w:next w:val="1"/>
    <w:link w:val="173"/>
    <w:qFormat/>
    <w:uiPriority w:val="0"/>
    <w:pPr>
      <w:spacing w:line="360" w:lineRule="auto"/>
      <w:ind w:firstLine="480" w:firstLineChars="200"/>
      <w:jc w:val="both"/>
    </w:pPr>
    <w:rPr>
      <w:rFonts w:ascii="Times New Roman" w:hAnsi="Times New Roman" w:eastAsia="Times New Roman" w:cs="Times New Roman"/>
      <w:kern w:val="2"/>
      <w:sz w:val="24"/>
      <w:szCs w:val="24"/>
      <w:lang w:val="en-US" w:eastAsia="zh-CN" w:bidi="ar-SA"/>
    </w:rPr>
  </w:style>
  <w:style w:type="character" w:customStyle="1" w:styleId="175">
    <w:name w:val="tpc_content1"/>
    <w:qFormat/>
    <w:uiPriority w:val="0"/>
    <w:rPr>
      <w:sz w:val="20"/>
      <w:szCs w:val="20"/>
    </w:rPr>
  </w:style>
  <w:style w:type="character" w:customStyle="1" w:styleId="176">
    <w:name w:val="Char Char29"/>
    <w:qFormat/>
    <w:uiPriority w:val="0"/>
    <w:rPr>
      <w:rFonts w:ascii="宋体" w:hAnsi="Arial" w:eastAsia="宋体"/>
      <w:b/>
      <w:sz w:val="24"/>
      <w:lang w:val="en-US" w:eastAsia="zh-CN" w:bidi="ar-SA"/>
    </w:rPr>
  </w:style>
  <w:style w:type="character" w:customStyle="1" w:styleId="177">
    <w:name w:val="标题 1 Char"/>
    <w:link w:val="2"/>
    <w:qFormat/>
    <w:uiPriority w:val="99"/>
    <w:rPr>
      <w:rFonts w:eastAsia="仿宋_GB2312"/>
      <w:b/>
      <w:kern w:val="44"/>
      <w:sz w:val="44"/>
    </w:rPr>
  </w:style>
  <w:style w:type="character" w:customStyle="1" w:styleId="178">
    <w:name w:val="bulletintext1"/>
    <w:qFormat/>
    <w:uiPriority w:val="0"/>
    <w:rPr>
      <w:rFonts w:hint="eastAsia" w:ascii="宋体" w:hAnsi="宋体" w:eastAsia="宋体"/>
      <w:sz w:val="18"/>
      <w:szCs w:val="18"/>
    </w:rPr>
  </w:style>
  <w:style w:type="character" w:customStyle="1" w:styleId="179">
    <w:name w:val="Char Char30"/>
    <w:qFormat/>
    <w:uiPriority w:val="0"/>
    <w:rPr>
      <w:rFonts w:ascii="宋体" w:hAnsi="Arial" w:eastAsia="宋体"/>
      <w:sz w:val="24"/>
      <w:lang w:val="en-US" w:eastAsia="zh-CN" w:bidi="ar-SA"/>
    </w:rPr>
  </w:style>
  <w:style w:type="character" w:customStyle="1" w:styleId="180">
    <w:name w:val="正文无缩进 Char"/>
    <w:link w:val="181"/>
    <w:qFormat/>
    <w:uiPriority w:val="0"/>
    <w:rPr>
      <w:rFonts w:ascii="宋体" w:eastAsia="宋体"/>
      <w:color w:val="000000"/>
      <w:kern w:val="2"/>
      <w:sz w:val="24"/>
      <w:szCs w:val="24"/>
      <w:lang w:val="en-US" w:eastAsia="zh-CN" w:bidi="ar-SA"/>
    </w:rPr>
  </w:style>
  <w:style w:type="paragraph" w:customStyle="1" w:styleId="181">
    <w:name w:val="正文无缩进"/>
    <w:basedOn w:val="1"/>
    <w:link w:val="180"/>
    <w:qFormat/>
    <w:uiPriority w:val="0"/>
    <w:pPr>
      <w:spacing w:line="360" w:lineRule="auto"/>
    </w:pPr>
    <w:rPr>
      <w:rFonts w:ascii="宋体"/>
      <w:color w:val="000000"/>
      <w:sz w:val="24"/>
    </w:rPr>
  </w:style>
  <w:style w:type="character" w:customStyle="1" w:styleId="182">
    <w:name w:val="Char Char17"/>
    <w:qFormat/>
    <w:uiPriority w:val="0"/>
    <w:rPr>
      <w:rFonts w:ascii="楷体_GB2312" w:eastAsia="楷体_GB2312"/>
      <w:b/>
      <w:kern w:val="2"/>
      <w:sz w:val="28"/>
      <w:lang w:val="en-US" w:eastAsia="zh-CN" w:bidi="ar-SA"/>
    </w:rPr>
  </w:style>
  <w:style w:type="character" w:customStyle="1" w:styleId="183">
    <w:name w:val="Char Char28"/>
    <w:qFormat/>
    <w:uiPriority w:val="0"/>
    <w:rPr>
      <w:rFonts w:ascii="Arial" w:hAnsi="Arial" w:eastAsia="黑体"/>
      <w:sz w:val="24"/>
      <w:lang w:val="en-US" w:eastAsia="zh-CN" w:bidi="ar-SA"/>
    </w:rPr>
  </w:style>
  <w:style w:type="character" w:customStyle="1" w:styleId="184">
    <w:name w:val="舟式样--正文 Char"/>
    <w:link w:val="185"/>
    <w:qFormat/>
    <w:uiPriority w:val="0"/>
    <w:rPr>
      <w:rFonts w:ascii="仿宋_GB2312" w:hAnsi="Calibri" w:eastAsia="仿宋_GB2312"/>
      <w:sz w:val="28"/>
      <w:lang w:bidi="ar-SA"/>
    </w:rPr>
  </w:style>
  <w:style w:type="paragraph" w:customStyle="1" w:styleId="185">
    <w:name w:val="舟式样--正文"/>
    <w:basedOn w:val="1"/>
    <w:link w:val="184"/>
    <w:qFormat/>
    <w:uiPriority w:val="0"/>
    <w:pPr>
      <w:spacing w:line="360" w:lineRule="auto"/>
      <w:ind w:firstLine="200" w:firstLineChars="200"/>
    </w:pPr>
    <w:rPr>
      <w:rFonts w:ascii="仿宋_GB2312" w:hAnsi="Calibri" w:eastAsia="仿宋_GB2312"/>
      <w:kern w:val="0"/>
      <w:sz w:val="28"/>
      <w:szCs w:val="20"/>
    </w:rPr>
  </w:style>
  <w:style w:type="character" w:customStyle="1" w:styleId="186">
    <w:name w:val="标准文本 Char"/>
    <w:link w:val="187"/>
    <w:qFormat/>
    <w:uiPriority w:val="0"/>
    <w:rPr>
      <w:rFonts w:eastAsia="宋体" w:cs="宋体"/>
      <w:kern w:val="2"/>
      <w:sz w:val="24"/>
      <w:lang w:val="en-US" w:eastAsia="zh-CN" w:bidi="ar-SA"/>
    </w:rPr>
  </w:style>
  <w:style w:type="paragraph" w:customStyle="1" w:styleId="187">
    <w:name w:val="标准文本"/>
    <w:basedOn w:val="1"/>
    <w:link w:val="186"/>
    <w:qFormat/>
    <w:uiPriority w:val="0"/>
    <w:pPr>
      <w:spacing w:line="360" w:lineRule="auto"/>
      <w:ind w:firstLine="480" w:firstLineChars="200"/>
    </w:pPr>
    <w:rPr>
      <w:rFonts w:cs="宋体"/>
      <w:sz w:val="24"/>
      <w:szCs w:val="20"/>
    </w:rPr>
  </w:style>
  <w:style w:type="character" w:customStyle="1" w:styleId="188">
    <w:name w:val="font51"/>
    <w:basedOn w:val="92"/>
    <w:qFormat/>
    <w:uiPriority w:val="0"/>
    <w:rPr>
      <w:rFonts w:hint="eastAsia" w:ascii="宋体" w:hAnsi="宋体" w:eastAsia="宋体" w:cs="宋体"/>
      <w:color w:val="000000"/>
      <w:sz w:val="21"/>
      <w:szCs w:val="21"/>
      <w:u w:val="none"/>
    </w:rPr>
  </w:style>
  <w:style w:type="character" w:customStyle="1" w:styleId="189">
    <w:name w:val="引用 Char"/>
    <w:link w:val="190"/>
    <w:qFormat/>
    <w:uiPriority w:val="0"/>
    <w:rPr>
      <w:rFonts w:eastAsia="宋体"/>
      <w:i/>
      <w:iCs/>
      <w:color w:val="000000"/>
      <w:kern w:val="2"/>
      <w:sz w:val="21"/>
      <w:szCs w:val="24"/>
      <w:lang w:val="en-US" w:eastAsia="zh-CN" w:bidi="ar-SA"/>
    </w:rPr>
  </w:style>
  <w:style w:type="paragraph" w:styleId="190">
    <w:name w:val="Quote"/>
    <w:basedOn w:val="1"/>
    <w:next w:val="1"/>
    <w:link w:val="189"/>
    <w:qFormat/>
    <w:uiPriority w:val="0"/>
    <w:rPr>
      <w:i/>
      <w:iCs/>
      <w:color w:val="000000"/>
    </w:rPr>
  </w:style>
  <w:style w:type="character" w:customStyle="1" w:styleId="191">
    <w:name w:val="Char Char10"/>
    <w:qFormat/>
    <w:uiPriority w:val="0"/>
    <w:rPr>
      <w:b/>
      <w:kern w:val="2"/>
      <w:sz w:val="28"/>
      <w:szCs w:val="28"/>
    </w:rPr>
  </w:style>
  <w:style w:type="character" w:customStyle="1" w:styleId="192">
    <w:name w:val="Char Char25"/>
    <w:qFormat/>
    <w:uiPriority w:val="0"/>
    <w:rPr>
      <w:rFonts w:eastAsia="宋体"/>
      <w:kern w:val="2"/>
      <w:sz w:val="21"/>
      <w:szCs w:val="24"/>
      <w:lang w:val="en-US" w:eastAsia="zh-CN" w:bidi="ar-SA"/>
    </w:rPr>
  </w:style>
  <w:style w:type="character" w:customStyle="1" w:styleId="193">
    <w:name w:val="正文文本缩进 2 Char"/>
    <w:link w:val="53"/>
    <w:qFormat/>
    <w:locked/>
    <w:uiPriority w:val="0"/>
    <w:rPr>
      <w:rFonts w:eastAsia="宋体"/>
      <w:kern w:val="2"/>
      <w:sz w:val="21"/>
      <w:szCs w:val="24"/>
      <w:lang w:val="en-US" w:eastAsia="zh-CN" w:bidi="ar-SA"/>
    </w:rPr>
  </w:style>
  <w:style w:type="character" w:customStyle="1" w:styleId="194">
    <w:name w:val="标题 Char"/>
    <w:link w:val="86"/>
    <w:qFormat/>
    <w:uiPriority w:val="0"/>
    <w:rPr>
      <w:rFonts w:ascii="Cambria" w:hAnsi="Cambria" w:eastAsia="宋体"/>
      <w:b/>
      <w:bCs/>
      <w:kern w:val="2"/>
      <w:sz w:val="32"/>
      <w:szCs w:val="32"/>
      <w:lang w:val="en-US" w:eastAsia="zh-CN" w:bidi="ar-SA"/>
    </w:rPr>
  </w:style>
  <w:style w:type="character" w:customStyle="1" w:styleId="195">
    <w:name w:val="Char Char21"/>
    <w:semiHidden/>
    <w:qFormat/>
    <w:uiPriority w:val="0"/>
    <w:rPr>
      <w:rFonts w:eastAsia="宋体"/>
      <w:kern w:val="2"/>
      <w:sz w:val="21"/>
      <w:szCs w:val="24"/>
      <w:lang w:val="en-US" w:eastAsia="zh-CN" w:bidi="ar-SA"/>
    </w:rPr>
  </w:style>
  <w:style w:type="character" w:customStyle="1" w:styleId="196">
    <w:name w:val="样式 正文缩进 + 首行缩进:  2 字符 Char"/>
    <w:link w:val="197"/>
    <w:qFormat/>
    <w:locked/>
    <w:uiPriority w:val="0"/>
    <w:rPr>
      <w:rFonts w:ascii="宋体" w:hAnsi="宋体" w:eastAsia="宋体"/>
      <w:color w:val="000000"/>
      <w:sz w:val="24"/>
      <w:lang w:bidi="ar-SA"/>
    </w:rPr>
  </w:style>
  <w:style w:type="paragraph" w:customStyle="1" w:styleId="197">
    <w:name w:val="样式 正文缩进 + 首行缩进:  2 字符"/>
    <w:basedOn w:val="5"/>
    <w:link w:val="196"/>
    <w:qFormat/>
    <w:uiPriority w:val="0"/>
    <w:pPr>
      <w:spacing w:line="360" w:lineRule="auto"/>
      <w:ind w:firstLine="480"/>
    </w:pPr>
    <w:rPr>
      <w:rFonts w:ascii="宋体" w:hAnsi="宋体"/>
      <w:color w:val="000000"/>
      <w:kern w:val="0"/>
      <w:sz w:val="24"/>
      <w:szCs w:val="20"/>
    </w:rPr>
  </w:style>
  <w:style w:type="paragraph" w:customStyle="1" w:styleId="19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199">
    <w:name w:val="表正文"/>
    <w:basedOn w:val="1"/>
    <w:next w:val="47"/>
    <w:qFormat/>
    <w:uiPriority w:val="0"/>
    <w:rPr>
      <w:rFonts w:ascii="宋体" w:hAnsi="Courier New"/>
      <w:szCs w:val="20"/>
    </w:rPr>
  </w:style>
  <w:style w:type="paragraph" w:customStyle="1" w:styleId="200">
    <w:name w:val="Char Char Char1 Char Char Char1 Char Char Char Char"/>
    <w:basedOn w:val="1"/>
    <w:qFormat/>
    <w:uiPriority w:val="0"/>
  </w:style>
  <w:style w:type="paragraph" w:customStyle="1" w:styleId="201">
    <w:name w:val="正文 New New New New New New New New New New New New New New New New New New New New New New New New New"/>
    <w:qFormat/>
    <w:uiPriority w:val="0"/>
    <w:pPr>
      <w:widowControl w:val="0"/>
      <w:spacing w:line="440" w:lineRule="exact"/>
      <w:jc w:val="both"/>
    </w:pPr>
    <w:rPr>
      <w:rFonts w:ascii="Times New Roman" w:hAnsi="Times New Roman" w:eastAsia="宋体" w:cs="Times New Roman"/>
      <w:kern w:val="2"/>
      <w:sz w:val="28"/>
      <w:szCs w:val="24"/>
      <w:lang w:val="en-US" w:eastAsia="zh-CN" w:bidi="ar-SA"/>
    </w:rPr>
  </w:style>
  <w:style w:type="paragraph" w:customStyle="1" w:styleId="202">
    <w:name w:val="Char"/>
    <w:basedOn w:val="1"/>
    <w:qFormat/>
    <w:uiPriority w:val="0"/>
    <w:rPr>
      <w:rFonts w:ascii="仿宋_GB2312" w:eastAsia="仿宋_GB2312"/>
      <w:b/>
      <w:sz w:val="32"/>
      <w:szCs w:val="32"/>
    </w:rPr>
  </w:style>
  <w:style w:type="paragraph" w:customStyle="1" w:styleId="203">
    <w:name w:val="Char Char Char Char1"/>
    <w:basedOn w:val="1"/>
    <w:qFormat/>
    <w:uiPriority w:val="0"/>
    <w:rPr>
      <w:rFonts w:ascii="Tahoma" w:hAnsi="Tahoma"/>
      <w:sz w:val="24"/>
      <w:szCs w:val="20"/>
    </w:rPr>
  </w:style>
  <w:style w:type="paragraph" w:styleId="204">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5">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06">
    <w:name w:val="xl32"/>
    <w:basedOn w:val="1"/>
    <w:qFormat/>
    <w:uiPriority w:val="0"/>
    <w:pPr>
      <w:widowControl/>
      <w:pBdr>
        <w:left w:val="single" w:color="auto" w:sz="4" w:space="0"/>
        <w:right w:val="single" w:color="auto" w:sz="4" w:space="0"/>
      </w:pBdr>
      <w:spacing w:before="100" w:beforeAutospacing="1" w:after="100" w:afterAutospacing="1"/>
    </w:pPr>
    <w:rPr>
      <w:kern w:val="0"/>
      <w:szCs w:val="21"/>
    </w:rPr>
  </w:style>
  <w:style w:type="paragraph" w:customStyle="1" w:styleId="207">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208">
    <w:name w:val="Char Char1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09">
    <w:name w:val="Char Char Char 字元 字元"/>
    <w:basedOn w:val="1"/>
    <w:qFormat/>
    <w:uiPriority w:val="0"/>
    <w:pPr>
      <w:spacing w:line="360" w:lineRule="auto"/>
      <w:ind w:firstLine="200" w:firstLineChars="200"/>
    </w:pPr>
    <w:rPr>
      <w:szCs w:val="20"/>
    </w:rPr>
  </w:style>
  <w:style w:type="paragraph" w:customStyle="1" w:styleId="210">
    <w:name w:val="Char2"/>
    <w:basedOn w:val="1"/>
    <w:qFormat/>
    <w:uiPriority w:val="0"/>
    <w:pPr>
      <w:tabs>
        <w:tab w:val="left" w:pos="432"/>
      </w:tabs>
      <w:spacing w:beforeLines="50" w:afterLines="50"/>
      <w:ind w:left="432" w:hanging="432"/>
      <w:jc w:val="center"/>
    </w:pPr>
    <w:rPr>
      <w:sz w:val="24"/>
    </w:rPr>
  </w:style>
  <w:style w:type="paragraph" w:customStyle="1" w:styleId="211">
    <w:name w:val="font7"/>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212">
    <w:name w:val="正文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13">
    <w:name w:val="模板普通正文"/>
    <w:basedOn w:val="37"/>
    <w:qFormat/>
    <w:uiPriority w:val="0"/>
    <w:pPr>
      <w:spacing w:beforeLines="50" w:after="10" w:line="360" w:lineRule="auto"/>
      <w:ind w:left="0" w:leftChars="0" w:firstLine="175" w:firstLineChars="175"/>
      <w:jc w:val="left"/>
    </w:pPr>
    <w:rPr>
      <w:sz w:val="24"/>
    </w:rPr>
  </w:style>
  <w:style w:type="paragraph" w:customStyle="1" w:styleId="214">
    <w:name w:val="p0"/>
    <w:basedOn w:val="1"/>
    <w:qFormat/>
    <w:uiPriority w:val="0"/>
    <w:pPr>
      <w:widowControl/>
    </w:pPr>
    <w:rPr>
      <w:kern w:val="0"/>
      <w:szCs w:val="21"/>
    </w:rPr>
  </w:style>
  <w:style w:type="paragraph" w:customStyle="1" w:styleId="215">
    <w:name w:val="缺省文本"/>
    <w:basedOn w:val="1"/>
    <w:qFormat/>
    <w:uiPriority w:val="0"/>
    <w:pPr>
      <w:autoSpaceDE w:val="0"/>
      <w:autoSpaceDN w:val="0"/>
      <w:adjustRightInd w:val="0"/>
      <w:jc w:val="left"/>
    </w:pPr>
    <w:rPr>
      <w:kern w:val="0"/>
      <w:sz w:val="24"/>
    </w:rPr>
  </w:style>
  <w:style w:type="paragraph" w:customStyle="1" w:styleId="216">
    <w:name w:val="WW-正文文字缩进 2"/>
    <w:basedOn w:val="1"/>
    <w:qFormat/>
    <w:uiPriority w:val="0"/>
    <w:pPr>
      <w:suppressAutoHyphens/>
      <w:ind w:firstLine="420"/>
    </w:pPr>
    <w:rPr>
      <w:kern w:val="1"/>
      <w:szCs w:val="20"/>
    </w:rPr>
  </w:style>
  <w:style w:type="paragraph" w:customStyle="1" w:styleId="217">
    <w:name w:val="默认段落字体 Para Char Char Char Char Char Char Char Char Char1 Char Char Char Char"/>
    <w:basedOn w:val="1"/>
    <w:qFormat/>
    <w:uiPriority w:val="0"/>
    <w:rPr>
      <w:rFonts w:ascii="Tahoma" w:hAnsi="Tahoma"/>
      <w:sz w:val="24"/>
      <w:szCs w:val="20"/>
    </w:rPr>
  </w:style>
  <w:style w:type="paragraph" w:customStyle="1" w:styleId="218">
    <w:name w:val="项目1"/>
    <w:basedOn w:val="1"/>
    <w:qFormat/>
    <w:uiPriority w:val="0"/>
    <w:pPr>
      <w:tabs>
        <w:tab w:val="left" w:pos="840"/>
      </w:tabs>
      <w:spacing w:after="60"/>
      <w:ind w:left="840" w:hanging="420"/>
    </w:pPr>
    <w:rPr>
      <w:rFonts w:ascii="宋体"/>
      <w:spacing w:val="4"/>
      <w:szCs w:val="20"/>
    </w:rPr>
  </w:style>
  <w:style w:type="paragraph" w:customStyle="1" w:styleId="219">
    <w:name w:val="blue"/>
    <w:basedOn w:val="1"/>
    <w:qFormat/>
    <w:uiPriority w:val="0"/>
    <w:pPr>
      <w:widowControl/>
      <w:spacing w:before="100" w:beforeAutospacing="1" w:after="100" w:afterAutospacing="1"/>
      <w:jc w:val="left"/>
    </w:pPr>
    <w:rPr>
      <w:rFonts w:ascii="Arial Unicode MS" w:hAnsi="Arial Unicode MS" w:eastAsia="Arial Unicode MS"/>
      <w:kern w:val="0"/>
      <w:sz w:val="24"/>
      <w:szCs w:val="20"/>
    </w:rPr>
  </w:style>
  <w:style w:type="paragraph" w:customStyle="1" w:styleId="220">
    <w:name w:val="_Style 1"/>
    <w:basedOn w:val="1"/>
    <w:qFormat/>
    <w:uiPriority w:val="0"/>
    <w:pPr>
      <w:ind w:firstLine="420" w:firstLineChars="200"/>
    </w:pPr>
    <w:rPr>
      <w:rFonts w:ascii="Calibri" w:hAnsi="Calibri"/>
      <w:szCs w:val="22"/>
    </w:rPr>
  </w:style>
  <w:style w:type="paragraph" w:customStyle="1" w:styleId="221">
    <w:name w:val="段"/>
    <w:basedOn w:val="1"/>
    <w:qFormat/>
    <w:uiPriority w:val="0"/>
    <w:pPr>
      <w:ind w:firstLine="425"/>
    </w:pPr>
    <w:rPr>
      <w:rFonts w:ascii="宋体"/>
      <w:szCs w:val="20"/>
    </w:rPr>
  </w:style>
  <w:style w:type="paragraph" w:customStyle="1" w:styleId="222">
    <w:name w:val="Char1"/>
    <w:basedOn w:val="1"/>
    <w:qFormat/>
    <w:uiPriority w:val="0"/>
    <w:rPr>
      <w:szCs w:val="20"/>
    </w:rPr>
  </w:style>
  <w:style w:type="paragraph" w:customStyle="1" w:styleId="223">
    <w:name w:val="Char1 Char Char Char Char Char Char"/>
    <w:basedOn w:val="1"/>
    <w:qFormat/>
    <w:uiPriority w:val="0"/>
    <w:rPr>
      <w:rFonts w:ascii="Tahoma" w:hAnsi="Tahoma"/>
      <w:sz w:val="24"/>
      <w:szCs w:val="20"/>
    </w:rPr>
  </w:style>
  <w:style w:type="paragraph" w:customStyle="1" w:styleId="224">
    <w:name w:val="列出段落1"/>
    <w:basedOn w:val="1"/>
    <w:qFormat/>
    <w:uiPriority w:val="0"/>
    <w:pPr>
      <w:ind w:firstLine="420" w:firstLineChars="200"/>
    </w:pPr>
    <w:rPr>
      <w:rFonts w:ascii="Calibri" w:hAnsi="Calibri"/>
      <w:szCs w:val="22"/>
    </w:rPr>
  </w:style>
  <w:style w:type="paragraph" w:customStyle="1" w:styleId="225">
    <w:name w:val="默认段落字体 Para Char Char Char Char"/>
    <w:basedOn w:val="1"/>
    <w:qFormat/>
    <w:uiPriority w:val="0"/>
  </w:style>
  <w:style w:type="paragraph" w:customStyle="1" w:styleId="226">
    <w:name w:val="样式 标题 2"/>
    <w:basedOn w:val="4"/>
    <w:next w:val="1"/>
    <w:qFormat/>
    <w:uiPriority w:val="0"/>
    <w:pPr>
      <w:keepLines w:val="0"/>
      <w:spacing w:before="120" w:after="50" w:line="240" w:lineRule="auto"/>
    </w:pPr>
    <w:rPr>
      <w:rFonts w:ascii="宋体" w:hAnsi="Times New Roman" w:eastAsia="宋体"/>
      <w:bCs/>
      <w:snapToGrid w:val="0"/>
      <w:kern w:val="0"/>
    </w:rPr>
  </w:style>
  <w:style w:type="paragraph" w:customStyle="1" w:styleId="227">
    <w:name w:val="样式5"/>
    <w:basedOn w:val="1"/>
    <w:qFormat/>
    <w:uiPriority w:val="0"/>
    <w:pPr>
      <w:adjustRightInd w:val="0"/>
      <w:spacing w:line="440" w:lineRule="exact"/>
      <w:ind w:left="2" w:firstLine="480" w:firstLineChars="200"/>
    </w:pPr>
    <w:rPr>
      <w:rFonts w:ascii="仿宋_GB2312" w:hAnsi="仿宋" w:eastAsia="仿宋_GB2312"/>
      <w:sz w:val="24"/>
    </w:rPr>
  </w:style>
  <w:style w:type="paragraph" w:customStyle="1" w:styleId="228">
    <w:name w:val="Char Char Char Char Char Char Char Char Char Char"/>
    <w:basedOn w:val="1"/>
    <w:qFormat/>
    <w:uiPriority w:val="0"/>
    <w:rPr>
      <w:rFonts w:ascii="Tahoma" w:hAnsi="Tahoma"/>
      <w:sz w:val="24"/>
      <w:szCs w:val="20"/>
    </w:rPr>
  </w:style>
  <w:style w:type="paragraph" w:customStyle="1" w:styleId="229">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230">
    <w:name w:val="Char Char1 Char Char Char Char1 Char Char Char"/>
    <w:basedOn w:val="1"/>
    <w:qFormat/>
    <w:uiPriority w:val="0"/>
    <w:pPr>
      <w:adjustRightInd w:val="0"/>
      <w:spacing w:line="360" w:lineRule="atLeast"/>
    </w:pPr>
    <w:rPr>
      <w:rFonts w:ascii="Tahoma" w:hAnsi="Tahoma"/>
      <w:sz w:val="24"/>
      <w:szCs w:val="20"/>
    </w:rPr>
  </w:style>
  <w:style w:type="paragraph" w:customStyle="1" w:styleId="231">
    <w:name w:val="列出段落3"/>
    <w:basedOn w:val="1"/>
    <w:qFormat/>
    <w:uiPriority w:val="99"/>
    <w:pPr>
      <w:ind w:firstLine="420" w:firstLineChars="200"/>
    </w:pPr>
    <w:rPr>
      <w:rFonts w:ascii="Calibri" w:hAnsi="Calibri"/>
    </w:rPr>
  </w:style>
  <w:style w:type="paragraph" w:customStyle="1" w:styleId="232">
    <w:name w:val="Char Char1 Char Char Char Char Char Char"/>
    <w:basedOn w:val="1"/>
    <w:qFormat/>
    <w:uiPriority w:val="0"/>
    <w:pPr>
      <w:widowControl/>
      <w:spacing w:after="160" w:line="240" w:lineRule="exact"/>
      <w:jc w:val="left"/>
    </w:pPr>
  </w:style>
  <w:style w:type="paragraph" w:customStyle="1" w:styleId="233">
    <w:name w:val="标书_正文"/>
    <w:basedOn w:val="1"/>
    <w:qFormat/>
    <w:uiPriority w:val="0"/>
    <w:pPr>
      <w:adjustRightInd w:val="0"/>
      <w:snapToGrid w:val="0"/>
      <w:spacing w:line="400" w:lineRule="exact"/>
      <w:ind w:firstLine="560" w:firstLineChars="200"/>
    </w:pPr>
    <w:rPr>
      <w:rFonts w:ascii="仿宋_GB2312" w:eastAsia="仿宋_GB2312" w:cs="宋体"/>
      <w:bCs/>
      <w:color w:val="000000"/>
      <w:kern w:val="0"/>
      <w:sz w:val="28"/>
      <w:szCs w:val="28"/>
    </w:rPr>
  </w:style>
  <w:style w:type="paragraph" w:customStyle="1" w:styleId="234">
    <w:name w:val="样式 标题1"/>
    <w:basedOn w:val="1"/>
    <w:next w:val="1"/>
    <w:qFormat/>
    <w:uiPriority w:val="0"/>
    <w:pPr>
      <w:keepNext/>
      <w:spacing w:before="120" w:afterLines="50" w:line="360" w:lineRule="auto"/>
      <w:ind w:left="425" w:hanging="425"/>
      <w:jc w:val="left"/>
      <w:outlineLvl w:val="0"/>
    </w:pPr>
    <w:rPr>
      <w:rFonts w:ascii="宋体"/>
      <w:b/>
      <w:snapToGrid w:val="0"/>
      <w:kern w:val="0"/>
      <w:sz w:val="36"/>
      <w:szCs w:val="20"/>
    </w:rPr>
  </w:style>
  <w:style w:type="paragraph" w:customStyle="1" w:styleId="235">
    <w:name w:val="样式 小四 行距: 1.5 倍行距 首行缩进:  2 字符"/>
    <w:basedOn w:val="1"/>
    <w:qFormat/>
    <w:uiPriority w:val="0"/>
    <w:pPr>
      <w:spacing w:line="360" w:lineRule="auto"/>
      <w:ind w:firstLine="480" w:firstLineChars="200"/>
    </w:pPr>
    <w:rPr>
      <w:rFonts w:cs="宋体"/>
      <w:sz w:val="24"/>
      <w:szCs w:val="20"/>
    </w:rPr>
  </w:style>
  <w:style w:type="paragraph" w:customStyle="1" w:styleId="236">
    <w:name w:val="列出段落11"/>
    <w:basedOn w:val="1"/>
    <w:qFormat/>
    <w:uiPriority w:val="99"/>
    <w:pPr>
      <w:adjustRightInd w:val="0"/>
      <w:spacing w:line="360" w:lineRule="auto"/>
      <w:ind w:firstLine="200" w:firstLineChars="200"/>
    </w:pPr>
    <w:rPr>
      <w:rFonts w:eastAsia="楷体_GB2312" w:cs="Lucida Sans"/>
      <w:sz w:val="24"/>
    </w:rPr>
  </w:style>
  <w:style w:type="paragraph" w:customStyle="1" w:styleId="237">
    <w:name w:val="自定义表格文字"/>
    <w:basedOn w:val="1"/>
    <w:qFormat/>
    <w:uiPriority w:val="0"/>
    <w:pPr>
      <w:spacing w:before="60" w:after="60" w:line="320" w:lineRule="exact"/>
      <w:jc w:val="left"/>
    </w:pPr>
    <w:rPr>
      <w:rFonts w:ascii="宋体" w:eastAsia="楷体_GB2312"/>
    </w:rPr>
  </w:style>
  <w:style w:type="paragraph" w:customStyle="1" w:styleId="238">
    <w:name w:val="样式4"/>
    <w:basedOn w:val="1"/>
    <w:qFormat/>
    <w:uiPriority w:val="0"/>
    <w:pPr>
      <w:adjustRightInd w:val="0"/>
      <w:spacing w:line="360" w:lineRule="auto"/>
      <w:ind w:firstLine="420"/>
      <w:jc w:val="center"/>
      <w:outlineLvl w:val="2"/>
    </w:pPr>
    <w:rPr>
      <w:rFonts w:ascii="仿宋_GB2312" w:hAnsi="仿宋" w:eastAsia="仿宋_GB2312"/>
      <w:b/>
      <w:sz w:val="32"/>
      <w:szCs w:val="32"/>
    </w:rPr>
  </w:style>
  <w:style w:type="paragraph" w:customStyle="1" w:styleId="239">
    <w:name w:val="Char Char Char1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40">
    <w:name w:val="_Style 68"/>
    <w:basedOn w:val="1"/>
    <w:qFormat/>
    <w:uiPriority w:val="0"/>
    <w:rPr>
      <w:rFonts w:ascii="Tahoma" w:hAnsi="Tahoma"/>
      <w:sz w:val="24"/>
      <w:szCs w:val="20"/>
    </w:rPr>
  </w:style>
  <w:style w:type="paragraph" w:customStyle="1" w:styleId="241">
    <w:name w:val="样式 标题 4"/>
    <w:basedOn w:val="1"/>
    <w:next w:val="1"/>
    <w:qFormat/>
    <w:uiPriority w:val="0"/>
    <w:pPr>
      <w:keepNext/>
      <w:tabs>
        <w:tab w:val="left" w:pos="1984"/>
      </w:tabs>
      <w:spacing w:before="120" w:afterLines="50" w:line="360" w:lineRule="auto"/>
      <w:ind w:left="1984" w:hanging="708"/>
      <w:jc w:val="left"/>
      <w:outlineLvl w:val="3"/>
    </w:pPr>
    <w:rPr>
      <w:rFonts w:ascii="宋体"/>
      <w:b/>
      <w:bCs/>
      <w:snapToGrid w:val="0"/>
      <w:kern w:val="0"/>
      <w:sz w:val="32"/>
      <w:szCs w:val="20"/>
    </w:rPr>
  </w:style>
  <w:style w:type="paragraph" w:customStyle="1" w:styleId="242">
    <w:name w:val="文档正文"/>
    <w:basedOn w:val="1"/>
    <w:qFormat/>
    <w:uiPriority w:val="0"/>
    <w:pPr>
      <w:widowControl/>
      <w:adjustRightInd w:val="0"/>
      <w:snapToGrid w:val="0"/>
      <w:spacing w:after="120"/>
      <w:ind w:firstLine="454"/>
      <w:jc w:val="left"/>
    </w:pPr>
    <w:rPr>
      <w:rFonts w:eastAsia="微软雅黑"/>
      <w:kern w:val="21"/>
      <w:sz w:val="22"/>
      <w:szCs w:val="22"/>
    </w:rPr>
  </w:style>
  <w:style w:type="paragraph" w:customStyle="1" w:styleId="243">
    <w:name w:val="表内文字"/>
    <w:basedOn w:val="1"/>
    <w:qFormat/>
    <w:uiPriority w:val="0"/>
    <w:pPr>
      <w:jc w:val="center"/>
    </w:pPr>
    <w:rPr>
      <w:color w:val="FF0000"/>
      <w:kern w:val="0"/>
      <w:sz w:val="24"/>
    </w:rPr>
  </w:style>
  <w:style w:type="paragraph" w:customStyle="1" w:styleId="244">
    <w:name w:val="xl25"/>
    <w:basedOn w:val="1"/>
    <w:qFormat/>
    <w:uiPriority w:val="0"/>
    <w:pPr>
      <w:widowControl/>
      <w:spacing w:before="100" w:beforeAutospacing="1" w:after="100" w:afterAutospacing="1"/>
      <w:jc w:val="center"/>
      <w:textAlignment w:val="center"/>
    </w:pPr>
    <w:rPr>
      <w:rFonts w:ascii="宋体" w:hAnsi="宋体"/>
      <w:kern w:val="0"/>
      <w:sz w:val="20"/>
      <w:szCs w:val="20"/>
    </w:rPr>
  </w:style>
  <w:style w:type="paragraph" w:customStyle="1" w:styleId="245">
    <w:name w:val="font5"/>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246">
    <w:name w:val="font6"/>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247">
    <w:name w:val="样式 样式 小四 右侧:  0.03 厘米 行距: 1.5 倍行距 + 首行缩进:  2 字符"/>
    <w:basedOn w:val="1"/>
    <w:qFormat/>
    <w:uiPriority w:val="0"/>
    <w:pPr>
      <w:spacing w:line="360" w:lineRule="auto"/>
      <w:ind w:right="17" w:firstLine="420" w:firstLineChars="200"/>
    </w:pPr>
    <w:rPr>
      <w:sz w:val="24"/>
      <w:szCs w:val="20"/>
    </w:rPr>
  </w:style>
  <w:style w:type="paragraph" w:customStyle="1" w:styleId="248">
    <w:name w:val="编10号"/>
    <w:basedOn w:val="1"/>
    <w:qFormat/>
    <w:uiPriority w:val="0"/>
    <w:pPr>
      <w:tabs>
        <w:tab w:val="left" w:pos="1620"/>
      </w:tabs>
      <w:ind w:left="1620" w:hanging="360"/>
    </w:pPr>
  </w:style>
  <w:style w:type="paragraph" w:customStyle="1" w:styleId="249">
    <w:name w:val="列出段落2"/>
    <w:basedOn w:val="1"/>
    <w:qFormat/>
    <w:uiPriority w:val="99"/>
    <w:pPr>
      <w:widowControl/>
      <w:adjustRightInd w:val="0"/>
      <w:snapToGrid w:val="0"/>
      <w:spacing w:after="200"/>
      <w:ind w:firstLine="420"/>
      <w:jc w:val="left"/>
    </w:pPr>
    <w:rPr>
      <w:rFonts w:ascii="Tahoma" w:hAnsi="Tahoma" w:eastAsia="微软雅黑"/>
      <w:kern w:val="0"/>
      <w:sz w:val="22"/>
      <w:szCs w:val="22"/>
    </w:rPr>
  </w:style>
  <w:style w:type="paragraph" w:customStyle="1" w:styleId="250">
    <w:name w:val="Char Char Char Char"/>
    <w:basedOn w:val="1"/>
    <w:qFormat/>
    <w:uiPriority w:val="0"/>
    <w:pPr>
      <w:widowControl/>
      <w:spacing w:after="160" w:line="240" w:lineRule="exact"/>
      <w:jc w:val="left"/>
    </w:pPr>
    <w:rPr>
      <w:kern w:val="0"/>
      <w:sz w:val="24"/>
    </w:rPr>
  </w:style>
  <w:style w:type="paragraph" w:customStyle="1" w:styleId="251">
    <w:name w:val="Char Char2 Char Char Char Char"/>
    <w:basedOn w:val="26"/>
    <w:qFormat/>
    <w:uiPriority w:val="0"/>
    <w:rPr>
      <w:rFonts w:ascii="Tahoma" w:hAnsi="Tahoma"/>
      <w:sz w:val="24"/>
    </w:rPr>
  </w:style>
  <w:style w:type="paragraph" w:customStyle="1" w:styleId="252">
    <w:name w:val="段(正文）"/>
    <w:qFormat/>
    <w:uiPriority w:val="0"/>
    <w:pPr>
      <w:autoSpaceDE w:val="0"/>
      <w:autoSpaceDN w:val="0"/>
      <w:ind w:firstLine="420"/>
      <w:jc w:val="both"/>
    </w:pPr>
    <w:rPr>
      <w:rFonts w:ascii="宋体" w:hAnsi="Times New Roman" w:eastAsia="宋体" w:cs="宋体"/>
      <w:sz w:val="21"/>
      <w:szCs w:val="21"/>
      <w:lang w:val="en-US" w:eastAsia="zh-CN" w:bidi="ar-SA"/>
    </w:rPr>
  </w:style>
  <w:style w:type="paragraph" w:customStyle="1" w:styleId="253">
    <w:name w:val="Char Char Char"/>
    <w:basedOn w:val="26"/>
    <w:qFormat/>
    <w:uiPriority w:val="0"/>
    <w:rPr>
      <w:rFonts w:ascii="Tahoma" w:hAnsi="Tahoma"/>
      <w:sz w:val="24"/>
    </w:rPr>
  </w:style>
  <w:style w:type="paragraph" w:customStyle="1" w:styleId="254">
    <w:name w:val="正文缩进 New"/>
    <w:basedOn w:val="1"/>
    <w:qFormat/>
    <w:uiPriority w:val="0"/>
    <w:pPr>
      <w:ind w:firstLine="420" w:firstLineChars="200"/>
    </w:pPr>
    <w:rPr>
      <w:szCs w:val="20"/>
    </w:rPr>
  </w:style>
  <w:style w:type="paragraph" w:customStyle="1" w:styleId="255">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56">
    <w:name w:val="B表格正文"/>
    <w:qFormat/>
    <w:uiPriority w:val="0"/>
    <w:rPr>
      <w:rFonts w:ascii="Arial" w:hAnsi="Arial" w:eastAsia="仿宋" w:cs="Times New Roman"/>
      <w:kern w:val="2"/>
      <w:sz w:val="21"/>
      <w:szCs w:val="21"/>
      <w:lang w:val="en-US" w:eastAsia="zh-CN" w:bidi="ar-SA"/>
    </w:rPr>
  </w:style>
  <w:style w:type="paragraph" w:customStyle="1" w:styleId="257">
    <w:name w:val="GP正文(首行缩进)"/>
    <w:basedOn w:val="1"/>
    <w:qFormat/>
    <w:uiPriority w:val="0"/>
    <w:pPr>
      <w:spacing w:line="360" w:lineRule="auto"/>
      <w:ind w:firstLine="200" w:firstLineChars="200"/>
      <w:jc w:val="left"/>
    </w:pPr>
    <w:rPr>
      <w:rFonts w:ascii="Calibri" w:hAnsi="Calibri"/>
      <w:sz w:val="24"/>
      <w:szCs w:val="21"/>
    </w:rPr>
  </w:style>
  <w:style w:type="paragraph" w:customStyle="1" w:styleId="258">
    <w:name w:val="_Style 681"/>
    <w:basedOn w:val="1"/>
    <w:qFormat/>
    <w:uiPriority w:val="0"/>
    <w:rPr>
      <w:rFonts w:ascii="Tahoma" w:hAnsi="Tahoma"/>
      <w:sz w:val="24"/>
      <w:szCs w:val="20"/>
    </w:rPr>
  </w:style>
  <w:style w:type="paragraph" w:customStyle="1" w:styleId="259">
    <w:name w:val="表格字体"/>
    <w:basedOn w:val="242"/>
    <w:qFormat/>
    <w:uiPriority w:val="0"/>
    <w:pPr>
      <w:spacing w:after="0"/>
      <w:ind w:firstLine="0"/>
    </w:pPr>
    <w:rPr>
      <w:rFonts w:ascii="黑体" w:hAnsi="黑体" w:eastAsia="黑体"/>
      <w:sz w:val="20"/>
      <w:szCs w:val="21"/>
    </w:rPr>
  </w:style>
  <w:style w:type="paragraph" w:customStyle="1" w:styleId="260">
    <w:name w:val="投标正文"/>
    <w:basedOn w:val="1"/>
    <w:qFormat/>
    <w:uiPriority w:val="99"/>
    <w:pPr>
      <w:spacing w:line="360" w:lineRule="auto"/>
      <w:ind w:left="100" w:firstLine="480" w:firstLineChars="200"/>
    </w:pPr>
    <w:rPr>
      <w:rFonts w:ascii="Calibri" w:hAnsi="Calibri"/>
      <w:kern w:val="0"/>
      <w:sz w:val="24"/>
    </w:rPr>
  </w:style>
  <w:style w:type="paragraph" w:customStyle="1" w:styleId="261">
    <w:name w:val="样式 标题 3"/>
    <w:basedOn w:val="241"/>
    <w:next w:val="1"/>
    <w:qFormat/>
    <w:uiPriority w:val="0"/>
    <w:pPr>
      <w:tabs>
        <w:tab w:val="left" w:pos="2651"/>
      </w:tabs>
      <w:spacing w:after="50"/>
      <w:outlineLvl w:val="2"/>
    </w:pPr>
  </w:style>
  <w:style w:type="character" w:customStyle="1" w:styleId="262">
    <w:name w:val="纯文本 Char2"/>
    <w:qFormat/>
    <w:uiPriority w:val="0"/>
    <w:rPr>
      <w:rFonts w:ascii="宋体" w:hAnsi="Courier New" w:eastAsia="宋体"/>
      <w:kern w:val="2"/>
      <w:sz w:val="21"/>
      <w:lang w:val="en-US" w:eastAsia="zh-CN" w:bidi="ar-SA"/>
    </w:rPr>
  </w:style>
  <w:style w:type="character" w:customStyle="1" w:styleId="263">
    <w:name w:val="页脚 Char"/>
    <w:basedOn w:val="92"/>
    <w:link w:val="57"/>
    <w:qFormat/>
    <w:uiPriority w:val="0"/>
    <w:rPr>
      <w:kern w:val="2"/>
      <w:sz w:val="18"/>
      <w:szCs w:val="18"/>
    </w:rPr>
  </w:style>
  <w:style w:type="character" w:customStyle="1" w:styleId="264">
    <w:name w:val="正文文本缩进 3 Char"/>
    <w:basedOn w:val="92"/>
    <w:link w:val="72"/>
    <w:qFormat/>
    <w:uiPriority w:val="99"/>
    <w:rPr>
      <w:kern w:val="2"/>
      <w:sz w:val="16"/>
      <w:szCs w:val="16"/>
    </w:rPr>
  </w:style>
  <w:style w:type="character" w:customStyle="1" w:styleId="265">
    <w:name w:val="HTML 预设格式 Char"/>
    <w:basedOn w:val="92"/>
    <w:link w:val="82"/>
    <w:qFormat/>
    <w:uiPriority w:val="99"/>
    <w:rPr>
      <w:rFonts w:ascii="黑体" w:hAnsi="Courier New" w:eastAsia="黑体" w:cs="Courier New"/>
    </w:rPr>
  </w:style>
  <w:style w:type="paragraph" w:customStyle="1" w:styleId="266">
    <w:name w:val="_Style 3"/>
    <w:basedOn w:val="2"/>
    <w:qFormat/>
    <w:uiPriority w:val="99"/>
    <w:pPr>
      <w:adjustRightInd w:val="0"/>
      <w:snapToGrid w:val="0"/>
      <w:spacing w:before="0" w:after="0" w:line="348" w:lineRule="auto"/>
      <w:ind w:left="0" w:firstLine="0"/>
    </w:pPr>
    <w:rPr>
      <w:rFonts w:eastAsia="宋体"/>
      <w:bCs/>
      <w:szCs w:val="44"/>
    </w:rPr>
  </w:style>
  <w:style w:type="paragraph" w:customStyle="1" w:styleId="267">
    <w:name w:val="Plain Text1"/>
    <w:basedOn w:val="1"/>
    <w:qFormat/>
    <w:uiPriority w:val="99"/>
    <w:pPr>
      <w:spacing w:beforeLines="50" w:afterLines="50" w:line="400" w:lineRule="exact"/>
    </w:pPr>
    <w:rPr>
      <w:rFonts w:ascii="宋体" w:hAnsi="Courier New"/>
      <w:sz w:val="24"/>
      <w:szCs w:val="20"/>
    </w:rPr>
  </w:style>
  <w:style w:type="paragraph" w:customStyle="1" w:styleId="268">
    <w:name w:val="Normal1"/>
    <w:qFormat/>
    <w:uiPriority w:val="99"/>
    <w:pPr>
      <w:widowControl w:val="0"/>
      <w:jc w:val="both"/>
    </w:pPr>
    <w:rPr>
      <w:rFonts w:ascii="Times New Roman" w:hAnsi="Times New Roman" w:eastAsia="宋体" w:cs="Times New Roman"/>
      <w:kern w:val="2"/>
      <w:sz w:val="21"/>
      <w:szCs w:val="22"/>
      <w:lang w:val="en-US" w:eastAsia="zh-CN" w:bidi="ar-SA"/>
    </w:rPr>
  </w:style>
  <w:style w:type="character" w:customStyle="1" w:styleId="269">
    <w:name w:val="font31"/>
    <w:basedOn w:val="92"/>
    <w:qFormat/>
    <w:uiPriority w:val="99"/>
    <w:rPr>
      <w:rFonts w:ascii="宋体" w:hAnsi="宋体" w:eastAsia="宋体" w:cs="宋体"/>
      <w:b/>
      <w:color w:val="000000"/>
      <w:sz w:val="18"/>
      <w:szCs w:val="18"/>
      <w:u w:val="none"/>
    </w:rPr>
  </w:style>
  <w:style w:type="paragraph" w:customStyle="1" w:styleId="270">
    <w:name w:val="h33"/>
    <w:basedOn w:val="6"/>
    <w:qFormat/>
    <w:uiPriority w:val="0"/>
    <w:pPr>
      <w:tabs>
        <w:tab w:val="left" w:pos="432"/>
        <w:tab w:val="left" w:pos="720"/>
        <w:tab w:val="clear" w:pos="2651"/>
      </w:tabs>
      <w:spacing w:before="120" w:after="120" w:line="240" w:lineRule="auto"/>
      <w:ind w:left="720"/>
    </w:pPr>
    <w:rPr>
      <w:rFonts w:eastAsia="黑体"/>
      <w:bCs/>
      <w:sz w:val="28"/>
      <w:szCs w:val="32"/>
    </w:rPr>
  </w:style>
  <w:style w:type="character" w:customStyle="1" w:styleId="271">
    <w:name w:val="font11"/>
    <w:basedOn w:val="92"/>
    <w:qFormat/>
    <w:uiPriority w:val="0"/>
    <w:rPr>
      <w:rFonts w:hint="default" w:ascii="Times New Roman" w:hAnsi="Times New Roman" w:cs="Times New Roman"/>
      <w:color w:val="000000"/>
      <w:sz w:val="21"/>
      <w:szCs w:val="21"/>
      <w:u w:val="none"/>
    </w:rPr>
  </w:style>
  <w:style w:type="character" w:customStyle="1" w:styleId="272">
    <w:name w:val="font111"/>
    <w:basedOn w:val="92"/>
    <w:qFormat/>
    <w:uiPriority w:val="0"/>
    <w:rPr>
      <w:rFonts w:hint="eastAsia" w:ascii="宋体" w:hAnsi="宋体" w:eastAsia="宋体" w:cs="宋体"/>
      <w:color w:val="000000"/>
      <w:sz w:val="21"/>
      <w:szCs w:val="21"/>
      <w:u w:val="none"/>
    </w:rPr>
  </w:style>
  <w:style w:type="character" w:customStyle="1" w:styleId="273">
    <w:name w:val="font121"/>
    <w:basedOn w:val="92"/>
    <w:qFormat/>
    <w:uiPriority w:val="0"/>
    <w:rPr>
      <w:rFonts w:hint="default" w:ascii="Times New Roman" w:hAnsi="Times New Roman" w:cs="Times New Roman"/>
      <w:color w:val="000000"/>
      <w:sz w:val="21"/>
      <w:szCs w:val="21"/>
      <w:u w:val="none"/>
    </w:rPr>
  </w:style>
  <w:style w:type="character" w:customStyle="1" w:styleId="274">
    <w:name w:val="font41"/>
    <w:basedOn w:val="92"/>
    <w:qFormat/>
    <w:uiPriority w:val="0"/>
    <w:rPr>
      <w:rFonts w:hint="eastAsia" w:ascii="宋体" w:hAnsi="宋体" w:eastAsia="宋体" w:cs="宋体"/>
      <w:color w:val="000000"/>
      <w:sz w:val="22"/>
      <w:szCs w:val="22"/>
      <w:u w:val="none"/>
    </w:rPr>
  </w:style>
  <w:style w:type="character" w:customStyle="1" w:styleId="275">
    <w:name w:val="font61"/>
    <w:basedOn w:val="92"/>
    <w:qFormat/>
    <w:uiPriority w:val="0"/>
    <w:rPr>
      <w:rFonts w:ascii="Adobe 繁黑體 Std B" w:hAnsi="Adobe 繁黑體 Std B" w:eastAsia="Adobe 繁黑體 Std B" w:cs="Adobe 繁黑體 Std B"/>
      <w:color w:val="000000"/>
      <w:sz w:val="20"/>
      <w:szCs w:val="20"/>
      <w:u w:val="none"/>
    </w:rPr>
  </w:style>
  <w:style w:type="character" w:customStyle="1" w:styleId="276">
    <w:name w:val="font81"/>
    <w:basedOn w:val="92"/>
    <w:qFormat/>
    <w:uiPriority w:val="0"/>
    <w:rPr>
      <w:rFonts w:ascii="Tahoma" w:hAnsi="Tahoma" w:eastAsia="Tahoma" w:cs="Tahoma"/>
      <w:color w:val="333333"/>
      <w:sz w:val="24"/>
      <w:szCs w:val="24"/>
      <w:u w:val="none"/>
    </w:rPr>
  </w:style>
  <w:style w:type="character" w:customStyle="1" w:styleId="277">
    <w:name w:val="正文文本 2 Char1"/>
    <w:qFormat/>
    <w:uiPriority w:val="0"/>
    <w:rPr>
      <w:rFonts w:ascii="隶书" w:eastAsia="隶书"/>
      <w:bCs/>
      <w:sz w:val="72"/>
      <w:szCs w:val="84"/>
      <w:lang w:val="en-US" w:eastAsia="zh-CN" w:bidi="ar-SA"/>
    </w:rPr>
  </w:style>
  <w:style w:type="character" w:customStyle="1" w:styleId="278">
    <w:name w:val="批注文字 Char1"/>
    <w:qFormat/>
    <w:uiPriority w:val="0"/>
    <w:rPr>
      <w:rFonts w:eastAsia="宋体"/>
      <w:kern w:val="2"/>
      <w:sz w:val="21"/>
      <w:szCs w:val="24"/>
      <w:lang w:val="en-US" w:eastAsia="zh-CN" w:bidi="ar-SA"/>
    </w:rPr>
  </w:style>
  <w:style w:type="character" w:customStyle="1" w:styleId="279">
    <w:name w:val="bookmark-item"/>
    <w:basedOn w:val="92"/>
    <w:qFormat/>
    <w:uiPriority w:val="0"/>
  </w:style>
  <w:style w:type="paragraph" w:customStyle="1" w:styleId="280">
    <w:name w:val="列表段落1"/>
    <w:basedOn w:val="1"/>
    <w:qFormat/>
    <w:uiPriority w:val="34"/>
    <w:pPr>
      <w:ind w:firstLine="420" w:firstLineChars="200"/>
    </w:pPr>
    <w:rPr>
      <w:rFonts w:asciiTheme="minorHAnsi" w:hAnsiTheme="minorHAnsi" w:eastAsiaTheme="minorEastAsia" w:cstheme="minorBidi"/>
      <w:szCs w:val="22"/>
    </w:rPr>
  </w:style>
  <w:style w:type="paragraph" w:customStyle="1" w:styleId="281">
    <w:name w:val="正文缩进1"/>
    <w:basedOn w:val="1"/>
    <w:qFormat/>
    <w:uiPriority w:val="0"/>
    <w:pPr>
      <w:spacing w:line="360" w:lineRule="auto"/>
      <w:ind w:firstLine="454"/>
      <w:jc w:val="left"/>
    </w:pPr>
    <w:rPr>
      <w:sz w:val="24"/>
    </w:rPr>
  </w:style>
  <w:style w:type="paragraph" w:customStyle="1" w:styleId="282">
    <w:name w:val="正文2019"/>
    <w:basedOn w:val="1"/>
    <w:qFormat/>
    <w:uiPriority w:val="0"/>
    <w:pPr>
      <w:spacing w:line="360" w:lineRule="auto"/>
      <w:ind w:firstLine="200" w:firstLineChars="200"/>
    </w:pPr>
    <w:rPr>
      <w:rFonts w:ascii="仿宋" w:hAnsi="仿宋" w:eastAsia="仿宋_GB2312"/>
      <w:sz w:val="28"/>
      <w:szCs w:val="32"/>
    </w:rPr>
  </w:style>
  <w:style w:type="paragraph" w:customStyle="1" w:styleId="283">
    <w:name w:val="1.1.1"/>
    <w:basedOn w:val="1"/>
    <w:next w:val="284"/>
    <w:qFormat/>
    <w:uiPriority w:val="0"/>
    <w:pPr>
      <w:keepNext/>
      <w:keepLines/>
      <w:numPr>
        <w:ilvl w:val="2"/>
        <w:numId w:val="1"/>
      </w:numPr>
      <w:tabs>
        <w:tab w:val="left" w:pos="567"/>
      </w:tabs>
      <w:spacing w:line="360" w:lineRule="auto"/>
      <w:outlineLvl w:val="2"/>
    </w:pPr>
    <w:rPr>
      <w:rFonts w:ascii="宋体" w:hAnsi="宋体" w:cs="宋体"/>
      <w:b/>
      <w:bCs/>
      <w:color w:val="000000"/>
      <w:kern w:val="0"/>
      <w:sz w:val="32"/>
      <w:szCs w:val="32"/>
    </w:rPr>
  </w:style>
  <w:style w:type="paragraph" w:customStyle="1" w:styleId="284">
    <w:name w:val="1.1.1.1"/>
    <w:basedOn w:val="1"/>
    <w:next w:val="1"/>
    <w:qFormat/>
    <w:uiPriority w:val="0"/>
    <w:pPr>
      <w:keepNext/>
      <w:keepLines/>
      <w:numPr>
        <w:ilvl w:val="3"/>
        <w:numId w:val="1"/>
      </w:numPr>
      <w:tabs>
        <w:tab w:val="left" w:pos="0"/>
      </w:tabs>
      <w:spacing w:line="360" w:lineRule="auto"/>
      <w:outlineLvl w:val="3"/>
    </w:pPr>
    <w:rPr>
      <w:rFonts w:ascii="宋体" w:hAnsi="宋体" w:cs="宋体"/>
      <w:b/>
      <w:bCs/>
      <w:color w:val="000000"/>
      <w:sz w:val="28"/>
      <w:szCs w:val="28"/>
    </w:rPr>
  </w:style>
  <w:style w:type="paragraph" w:customStyle="1" w:styleId="285">
    <w:name w:val="1.1"/>
    <w:basedOn w:val="1"/>
    <w:next w:val="283"/>
    <w:qFormat/>
    <w:uiPriority w:val="99"/>
    <w:pPr>
      <w:keepNext/>
      <w:keepLines/>
      <w:numPr>
        <w:ilvl w:val="1"/>
        <w:numId w:val="1"/>
      </w:numPr>
      <w:spacing w:line="360" w:lineRule="auto"/>
      <w:outlineLvl w:val="1"/>
    </w:pPr>
    <w:rPr>
      <w:rFonts w:ascii="宋体" w:hAnsi="宋体" w:cs="宋体"/>
      <w:b/>
      <w:bCs/>
      <w:color w:val="000000"/>
      <w:sz w:val="32"/>
      <w:szCs w:val="32"/>
    </w:rPr>
  </w:style>
  <w:style w:type="character" w:customStyle="1" w:styleId="286">
    <w:name w:val="页眉 Char1"/>
    <w:qFormat/>
    <w:uiPriority w:val="0"/>
    <w:rPr>
      <w:rFonts w:eastAsia="宋体"/>
      <w:kern w:val="2"/>
      <w:sz w:val="18"/>
      <w:szCs w:val="18"/>
      <w:lang w:val="en-US" w:eastAsia="zh-CN" w:bidi="ar-SA"/>
    </w:rPr>
  </w:style>
  <w:style w:type="character" w:customStyle="1" w:styleId="287">
    <w:name w:val="纯文本 Char1"/>
    <w:link w:val="288"/>
    <w:qFormat/>
    <w:uiPriority w:val="0"/>
    <w:rPr>
      <w:rFonts w:ascii="宋体" w:hAnsi="Courier New" w:cs="Courier New"/>
      <w:sz w:val="21"/>
      <w:szCs w:val="21"/>
    </w:rPr>
  </w:style>
  <w:style w:type="paragraph" w:customStyle="1" w:styleId="288">
    <w:name w:val="纯文本1"/>
    <w:basedOn w:val="1"/>
    <w:link w:val="287"/>
    <w:qFormat/>
    <w:uiPriority w:val="0"/>
    <w:rPr>
      <w:rFonts w:ascii="宋体" w:hAnsi="Courier New" w:cs="Courier New"/>
      <w:kern w:val="0"/>
      <w:szCs w:val="21"/>
    </w:rPr>
  </w:style>
  <w:style w:type="paragraph" w:customStyle="1" w:styleId="289">
    <w:name w:val="索引 11"/>
    <w:basedOn w:val="1"/>
    <w:next w:val="1"/>
    <w:qFormat/>
    <w:uiPriority w:val="99"/>
    <w:pPr>
      <w:spacing w:line="360" w:lineRule="auto"/>
    </w:pPr>
    <w:rPr>
      <w:rFonts w:ascii="仿宋_GB2312" w:eastAsia="仿宋_GB2312"/>
      <w:sz w:val="24"/>
      <w:szCs w:val="20"/>
    </w:rPr>
  </w:style>
  <w:style w:type="paragraph" w:customStyle="1" w:styleId="290">
    <w:name w:val="text-tag"/>
    <w:basedOn w:val="1"/>
    <w:semiHidden/>
    <w:qFormat/>
    <w:uiPriority w:val="99"/>
    <w:pPr>
      <w:widowControl/>
      <w:spacing w:before="100" w:beforeAutospacing="1" w:after="100" w:afterAutospacing="1"/>
      <w:jc w:val="left"/>
    </w:pPr>
    <w:rPr>
      <w:rFonts w:ascii="宋体" w:hAnsi="宋体" w:cs="宋体"/>
      <w:kern w:val="0"/>
      <w:sz w:val="24"/>
    </w:rPr>
  </w:style>
  <w:style w:type="paragraph" w:customStyle="1" w:styleId="291">
    <w:name w:val="1正文"/>
    <w:basedOn w:val="1"/>
    <w:qFormat/>
    <w:uiPriority w:val="0"/>
    <w:pPr>
      <w:spacing w:beforeLines="50" w:line="360" w:lineRule="auto"/>
      <w:ind w:firstLine="480" w:firstLineChars="200"/>
    </w:pPr>
    <w:rPr>
      <w:rFonts w:ascii="宋体" w:hAnsi="宋体" w:eastAsia="仿宋_GB2312"/>
      <w:kern w:val="0"/>
      <w:sz w:val="24"/>
      <w:szCs w:val="32"/>
    </w:rPr>
  </w:style>
  <w:style w:type="paragraph" w:customStyle="1" w:styleId="292">
    <w:name w:val="无间距1"/>
    <w:qFormat/>
    <w:uiPriority w:val="0"/>
    <w:pPr>
      <w:widowControl w:val="0"/>
      <w:jc w:val="both"/>
    </w:pPr>
    <w:rPr>
      <w:rFonts w:ascii="Calibri" w:hAnsi="Calibri" w:eastAsia="宋体" w:cs="Times New Roman"/>
      <w:kern w:val="2"/>
      <w:sz w:val="21"/>
      <w:szCs w:val="22"/>
      <w:lang w:val="en-US" w:eastAsia="zh-CN" w:bidi="ar-SA"/>
    </w:rPr>
  </w:style>
  <w:style w:type="character" w:customStyle="1" w:styleId="293">
    <w:name w:val="批注文字 字符"/>
    <w:qFormat/>
    <w:uiPriority w:val="0"/>
    <w:rPr>
      <w:kern w:val="2"/>
      <w:sz w:val="21"/>
    </w:rPr>
  </w:style>
  <w:style w:type="paragraph" w:customStyle="1" w:styleId="294">
    <w:name w:val="正文11"/>
    <w:next w:val="1"/>
    <w:link w:val="295"/>
    <w:qFormat/>
    <w:uiPriority w:val="0"/>
    <w:pPr>
      <w:widowControl w:val="0"/>
      <w:jc w:val="both"/>
    </w:pPr>
    <w:rPr>
      <w:rFonts w:ascii="Times New Roman" w:hAnsi="Times New Roman" w:eastAsia="宋体" w:cs="Times New Roman"/>
      <w:sz w:val="21"/>
      <w:szCs w:val="24"/>
      <w:lang w:val="en-US" w:eastAsia="zh-CN" w:bidi="ar-SA"/>
    </w:rPr>
  </w:style>
  <w:style w:type="character" w:customStyle="1" w:styleId="295">
    <w:name w:val="正文文本缩进 字符"/>
    <w:link w:val="294"/>
    <w:qFormat/>
    <w:uiPriority w:val="0"/>
    <w:rPr>
      <w:sz w:val="21"/>
      <w:szCs w:val="24"/>
    </w:rPr>
  </w:style>
  <w:style w:type="paragraph" w:customStyle="1" w:styleId="296">
    <w:name w:val="one"/>
    <w:basedOn w:val="294"/>
    <w:qFormat/>
    <w:uiPriority w:val="0"/>
    <w:pPr>
      <w:widowControl/>
      <w:jc w:val="left"/>
    </w:pPr>
    <w:rPr>
      <w:rFonts w:ascii="宋体" w:hAnsi="宋体"/>
      <w:sz w:val="24"/>
    </w:rPr>
  </w:style>
  <w:style w:type="character" w:customStyle="1" w:styleId="297">
    <w:name w:val="正文首行缩进 2 Char"/>
    <w:link w:val="89"/>
    <w:qFormat/>
    <w:uiPriority w:val="0"/>
    <w:rPr>
      <w:kern w:val="2"/>
      <w:sz w:val="21"/>
      <w:szCs w:val="24"/>
    </w:rPr>
  </w:style>
  <w:style w:type="paragraph" w:customStyle="1" w:styleId="298">
    <w:name w:val="HX正文"/>
    <w:qFormat/>
    <w:uiPriority w:val="0"/>
    <w:rPr>
      <w:rFonts w:ascii="Calibri" w:hAnsi="Calibri"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91</Pages>
  <Words>51886</Words>
  <Characters>54604</Characters>
  <Lines>366</Lines>
  <Paragraphs>103</Paragraphs>
  <TotalTime>5</TotalTime>
  <ScaleCrop>false</ScaleCrop>
  <LinksUpToDate>false</LinksUpToDate>
  <CharactersWithSpaces>57083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2021-11-17T14:38:00Z</dcterms:created>
  <dc:creator>USER</dc:creator>
  <cp:lastModifiedBy>Administrator</cp:lastModifiedBy>
  <cp:lastPrinted>2023-01-12T02:55:00Z</cp:lastPrinted>
  <dcterms:modified xsi:type="dcterms:W3CDTF">2023-03-24T02:58:35Z</dcterms:modified>
  <dc:title>绍兴文理学院计算机机房设备及录播系统供货项目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787E97C5180145C6B7C0526FAC59D378</vt:lpwstr>
  </property>
  <property fmtid="{D5CDD505-2E9C-101B-9397-08002B2CF9AE}" pid="4" name="woTemplateTypoMode" linkTarget="0">
    <vt:lpwstr>web</vt:lpwstr>
  </property>
  <property fmtid="{D5CDD505-2E9C-101B-9397-08002B2CF9AE}" pid="5" name="woTemplate" linkTarget="0">
    <vt:i4>1</vt:i4>
  </property>
</Properties>
</file>