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autoSpaceDN/>
        <w:jc w:val="center"/>
        <w:rPr>
          <w:rFonts w:hint="eastAsia" w:ascii="宋体" w:hAnsi="宋体" w:cs="黑体"/>
          <w:b/>
          <w:color w:val="auto"/>
          <w:sz w:val="10"/>
          <w:szCs w:val="10"/>
        </w:rPr>
      </w:pPr>
      <w:bookmarkStart w:id="15" w:name="_GoBack"/>
      <w:bookmarkEnd w:id="15"/>
    </w:p>
    <w:p>
      <w:pPr>
        <w:autoSpaceDE/>
        <w:autoSpaceDN/>
        <w:jc w:val="center"/>
        <w:rPr>
          <w:rFonts w:hint="eastAsia" w:ascii="_5b8b_4f53" w:hAnsi="_5b8b_4f53" w:cs="宋体"/>
          <w:sz w:val="52"/>
          <w:szCs w:val="52"/>
          <w:lang w:eastAsia="zh-CN"/>
        </w:rPr>
      </w:pPr>
      <w:r>
        <w:rPr>
          <w:rFonts w:hint="eastAsia" w:ascii="_5b8b_4f53" w:hAnsi="_5b8b_4f53" w:cs="宋体"/>
          <w:sz w:val="52"/>
          <w:szCs w:val="52"/>
          <w:lang w:eastAsia="zh-CN"/>
        </w:rPr>
        <w:t>浙江浣江传媒集团有限公司2019年诸暨广电视频监控设备采购项目</w:t>
      </w:r>
    </w:p>
    <w:p>
      <w:pPr>
        <w:autoSpaceDE/>
        <w:autoSpaceDN/>
        <w:jc w:val="center"/>
        <w:rPr>
          <w:rFonts w:hint="eastAsia" w:ascii="宋体" w:hAnsi="宋体" w:cs="黑体"/>
          <w:b/>
          <w:color w:val="auto"/>
          <w:sz w:val="32"/>
          <w:szCs w:val="32"/>
        </w:rPr>
      </w:pPr>
      <w:r>
        <w:rPr>
          <w:rFonts w:hint="eastAsia" w:ascii="宋体" w:hAnsi="宋体" w:cs="黑体"/>
          <w:b/>
          <w:color w:val="auto"/>
          <w:sz w:val="32"/>
          <w:szCs w:val="32"/>
        </w:rPr>
        <w:t>（编号：</w:t>
      </w:r>
      <w:r>
        <w:rPr>
          <w:rFonts w:hint="eastAsia" w:ascii="宋体" w:hAnsi="宋体" w:cs="宋体"/>
          <w:b/>
          <w:color w:val="auto"/>
          <w:sz w:val="32"/>
          <w:szCs w:val="32"/>
        </w:rPr>
        <w:t>浙华元201</w:t>
      </w:r>
      <w:r>
        <w:rPr>
          <w:rFonts w:hint="eastAsia" w:ascii="宋体" w:hAnsi="宋体" w:cs="宋体"/>
          <w:b/>
          <w:color w:val="auto"/>
          <w:sz w:val="32"/>
          <w:szCs w:val="32"/>
          <w:lang w:val="en-US" w:eastAsia="zh-CN"/>
        </w:rPr>
        <w:t>9</w:t>
      </w:r>
      <w:r>
        <w:rPr>
          <w:rFonts w:hint="eastAsia" w:ascii="宋体" w:hAnsi="宋体" w:cs="宋体"/>
          <w:b/>
          <w:color w:val="auto"/>
          <w:sz w:val="32"/>
          <w:szCs w:val="32"/>
        </w:rPr>
        <w:t>－</w:t>
      </w:r>
      <w:r>
        <w:rPr>
          <w:rFonts w:hint="eastAsia" w:ascii="宋体" w:hAnsi="宋体" w:cs="宋体"/>
          <w:b/>
          <w:color w:val="auto"/>
          <w:sz w:val="32"/>
          <w:szCs w:val="32"/>
          <w:lang w:val="en-US" w:eastAsia="zh-CN"/>
        </w:rPr>
        <w:t>05</w:t>
      </w:r>
      <w:r>
        <w:rPr>
          <w:rFonts w:hint="eastAsia" w:ascii="宋体" w:hAnsi="宋体" w:cs="宋体"/>
          <w:b/>
          <w:color w:val="auto"/>
          <w:sz w:val="32"/>
          <w:szCs w:val="32"/>
        </w:rPr>
        <w:t>-</w:t>
      </w:r>
      <w:r>
        <w:rPr>
          <w:rFonts w:hint="eastAsia" w:ascii="宋体" w:hAnsi="宋体" w:cs="宋体"/>
          <w:b/>
          <w:color w:val="auto"/>
          <w:sz w:val="32"/>
          <w:szCs w:val="32"/>
          <w:lang w:val="en-US" w:eastAsia="zh-CN"/>
        </w:rPr>
        <w:t>11</w:t>
      </w:r>
      <w:r>
        <w:rPr>
          <w:rFonts w:hint="eastAsia" w:ascii="宋体" w:hAnsi="宋体" w:cs="黑体"/>
          <w:b/>
          <w:color w:val="auto"/>
          <w:sz w:val="32"/>
          <w:szCs w:val="32"/>
        </w:rPr>
        <w:t>）</w:t>
      </w:r>
    </w:p>
    <w:p>
      <w:pPr>
        <w:autoSpaceDE/>
        <w:autoSpaceDN/>
        <w:jc w:val="center"/>
        <w:rPr>
          <w:rFonts w:hint="eastAsia" w:ascii="宋体" w:hAnsi="宋体"/>
          <w:color w:val="auto"/>
        </w:rPr>
      </w:pPr>
    </w:p>
    <w:p>
      <w:pPr>
        <w:autoSpaceDE/>
        <w:autoSpaceDN/>
        <w:jc w:val="center"/>
        <w:rPr>
          <w:rFonts w:ascii="宋体" w:hAnsi="宋体"/>
          <w:b/>
          <w:bCs/>
          <w:color w:val="auto"/>
          <w:sz w:val="84"/>
          <w:szCs w:val="84"/>
        </w:rPr>
      </w:pPr>
      <w:r>
        <w:rPr>
          <w:rFonts w:hint="eastAsia" w:ascii="宋体" w:hAnsi="宋体" w:cs="宋体"/>
          <w:b/>
          <w:bCs/>
          <w:color w:val="auto"/>
          <w:sz w:val="84"/>
          <w:szCs w:val="84"/>
        </w:rPr>
        <w:t>招</w:t>
      </w:r>
    </w:p>
    <w:p>
      <w:pPr>
        <w:autoSpaceDE/>
        <w:autoSpaceDN/>
        <w:jc w:val="center"/>
        <w:rPr>
          <w:rFonts w:ascii="宋体" w:hAnsi="宋体"/>
          <w:b/>
          <w:bCs/>
          <w:color w:val="auto"/>
          <w:sz w:val="28"/>
          <w:szCs w:val="28"/>
        </w:rPr>
      </w:pPr>
    </w:p>
    <w:p>
      <w:pPr>
        <w:autoSpaceDE/>
        <w:autoSpaceDN/>
        <w:jc w:val="center"/>
        <w:rPr>
          <w:rFonts w:ascii="宋体" w:hAnsi="宋体"/>
          <w:b/>
          <w:bCs/>
          <w:color w:val="auto"/>
          <w:sz w:val="84"/>
          <w:szCs w:val="84"/>
        </w:rPr>
      </w:pPr>
      <w:r>
        <w:rPr>
          <w:rFonts w:hint="eastAsia" w:ascii="宋体" w:hAnsi="宋体" w:cs="宋体"/>
          <w:b/>
          <w:bCs/>
          <w:color w:val="auto"/>
          <w:sz w:val="84"/>
          <w:szCs w:val="84"/>
        </w:rPr>
        <w:t>标</w:t>
      </w:r>
    </w:p>
    <w:p>
      <w:pPr>
        <w:autoSpaceDE/>
        <w:autoSpaceDN/>
        <w:jc w:val="center"/>
        <w:rPr>
          <w:rFonts w:ascii="宋体" w:hAnsi="宋体"/>
          <w:b/>
          <w:bCs/>
          <w:color w:val="auto"/>
          <w:sz w:val="28"/>
          <w:szCs w:val="28"/>
        </w:rPr>
      </w:pPr>
    </w:p>
    <w:p>
      <w:pPr>
        <w:autoSpaceDE/>
        <w:autoSpaceDN/>
        <w:jc w:val="center"/>
        <w:rPr>
          <w:rFonts w:ascii="宋体" w:hAnsi="宋体"/>
          <w:b/>
          <w:bCs/>
          <w:color w:val="auto"/>
          <w:sz w:val="84"/>
          <w:szCs w:val="84"/>
        </w:rPr>
      </w:pPr>
      <w:r>
        <w:rPr>
          <w:rFonts w:hint="eastAsia" w:ascii="宋体" w:hAnsi="宋体" w:cs="宋体"/>
          <w:b/>
          <w:bCs/>
          <w:color w:val="auto"/>
          <w:sz w:val="84"/>
          <w:szCs w:val="84"/>
        </w:rPr>
        <w:t>文</w:t>
      </w:r>
    </w:p>
    <w:p>
      <w:pPr>
        <w:autoSpaceDE/>
        <w:autoSpaceDN/>
        <w:jc w:val="center"/>
        <w:rPr>
          <w:rFonts w:ascii="宋体" w:hAnsi="宋体"/>
          <w:b/>
          <w:bCs/>
          <w:color w:val="auto"/>
          <w:sz w:val="28"/>
          <w:szCs w:val="28"/>
        </w:rPr>
      </w:pPr>
    </w:p>
    <w:p>
      <w:pPr>
        <w:autoSpaceDE/>
        <w:autoSpaceDN/>
        <w:jc w:val="center"/>
        <w:rPr>
          <w:rFonts w:ascii="宋体" w:hAnsi="宋体"/>
          <w:b/>
          <w:bCs/>
          <w:color w:val="auto"/>
          <w:sz w:val="84"/>
          <w:szCs w:val="84"/>
        </w:rPr>
      </w:pPr>
      <w:r>
        <w:rPr>
          <w:rFonts w:hint="eastAsia" w:ascii="宋体" w:hAnsi="宋体" w:cs="宋体"/>
          <w:b/>
          <w:bCs/>
          <w:color w:val="auto"/>
          <w:sz w:val="84"/>
          <w:szCs w:val="84"/>
        </w:rPr>
        <w:t>件</w:t>
      </w:r>
    </w:p>
    <w:p>
      <w:pPr>
        <w:pStyle w:val="19"/>
        <w:snapToGrid w:val="0"/>
        <w:spacing w:before="120" w:beforeLines="0" w:after="120" w:afterLines="0" w:line="360" w:lineRule="auto"/>
        <w:rPr>
          <w:rFonts w:ascii="宋体" w:hAnsi="宋体" w:cs="楷体_GB2312"/>
          <w:b/>
          <w:bCs/>
          <w:color w:val="000000"/>
          <w:w w:val="95"/>
          <w:kern w:val="0"/>
          <w:sz w:val="30"/>
          <w:szCs w:val="30"/>
        </w:rPr>
      </w:pPr>
      <w:r>
        <w:rPr>
          <w:rFonts w:ascii="宋体" w:hAnsi="宋体" w:cs="楷体_GB2312"/>
          <w:b/>
          <w:bCs/>
          <w:color w:val="000000"/>
          <w:w w:val="95"/>
          <w:kern w:val="0"/>
          <w:sz w:val="30"/>
          <w:szCs w:val="30"/>
        </w:rPr>
        <w:t>采</w:t>
      </w:r>
      <w:r>
        <w:rPr>
          <w:rFonts w:hint="eastAsia" w:ascii="宋体" w:hAnsi="宋体" w:cs="楷体_GB2312"/>
          <w:b/>
          <w:bCs/>
          <w:color w:val="000000"/>
          <w:w w:val="95"/>
          <w:kern w:val="0"/>
          <w:sz w:val="30"/>
          <w:szCs w:val="30"/>
        </w:rPr>
        <w:t xml:space="preserve">  </w:t>
      </w:r>
      <w:r>
        <w:rPr>
          <w:rFonts w:ascii="宋体" w:hAnsi="宋体" w:cs="楷体_GB2312"/>
          <w:b/>
          <w:bCs/>
          <w:color w:val="000000"/>
          <w:w w:val="95"/>
          <w:kern w:val="0"/>
          <w:sz w:val="30"/>
          <w:szCs w:val="30"/>
        </w:rPr>
        <w:t>购</w:t>
      </w:r>
      <w:r>
        <w:rPr>
          <w:rFonts w:hint="eastAsia" w:ascii="宋体" w:hAnsi="宋体" w:cs="楷体_GB2312"/>
          <w:b/>
          <w:bCs/>
          <w:color w:val="000000"/>
          <w:w w:val="95"/>
          <w:kern w:val="0"/>
          <w:sz w:val="30"/>
          <w:szCs w:val="30"/>
        </w:rPr>
        <w:t xml:space="preserve"> </w:t>
      </w:r>
      <w:r>
        <w:rPr>
          <w:rFonts w:ascii="宋体" w:hAnsi="宋体" w:cs="楷体_GB2312"/>
          <w:b/>
          <w:bCs/>
          <w:color w:val="000000"/>
          <w:w w:val="95"/>
          <w:kern w:val="0"/>
          <w:sz w:val="30"/>
          <w:szCs w:val="30"/>
        </w:rPr>
        <w:t>单</w:t>
      </w:r>
      <w:r>
        <w:rPr>
          <w:rFonts w:hint="eastAsia" w:ascii="宋体" w:hAnsi="宋体" w:cs="楷体_GB2312"/>
          <w:b/>
          <w:bCs/>
          <w:color w:val="000000"/>
          <w:w w:val="95"/>
          <w:kern w:val="0"/>
          <w:sz w:val="30"/>
          <w:szCs w:val="30"/>
        </w:rPr>
        <w:t xml:space="preserve"> </w:t>
      </w:r>
      <w:r>
        <w:rPr>
          <w:rFonts w:ascii="宋体" w:hAnsi="宋体" w:cs="楷体_GB2312"/>
          <w:b/>
          <w:bCs/>
          <w:color w:val="000000"/>
          <w:w w:val="95"/>
          <w:kern w:val="0"/>
          <w:sz w:val="30"/>
          <w:szCs w:val="30"/>
        </w:rPr>
        <w:t>位：</w:t>
      </w:r>
      <w:r>
        <w:rPr>
          <w:rFonts w:hint="eastAsia" w:ascii="宋体" w:hAnsi="宋体" w:cs="楷体_GB2312"/>
          <w:b/>
          <w:bCs/>
          <w:color w:val="000000"/>
          <w:w w:val="95"/>
          <w:kern w:val="0"/>
          <w:sz w:val="30"/>
          <w:szCs w:val="30"/>
          <w:lang w:eastAsia="zh-CN"/>
        </w:rPr>
        <w:t>浙江浣江传媒集团有限公司</w:t>
      </w:r>
    </w:p>
    <w:p>
      <w:pPr>
        <w:pStyle w:val="19"/>
        <w:snapToGrid w:val="0"/>
        <w:spacing w:before="120" w:beforeLines="0" w:after="120" w:afterLines="0" w:line="360" w:lineRule="auto"/>
        <w:rPr>
          <w:rFonts w:hint="eastAsia" w:ascii="宋体" w:hAnsi="宋体" w:cs="楷体_GB2312"/>
          <w:b/>
          <w:bCs/>
          <w:color w:val="000000"/>
          <w:w w:val="95"/>
          <w:kern w:val="0"/>
          <w:sz w:val="30"/>
          <w:szCs w:val="30"/>
        </w:rPr>
      </w:pPr>
      <w:r>
        <w:rPr>
          <w:rFonts w:hint="eastAsia" w:ascii="宋体" w:hAnsi="宋体" w:cs="楷体_GB2312"/>
          <w:b/>
          <w:bCs/>
          <w:color w:val="000000"/>
          <w:w w:val="95"/>
          <w:kern w:val="0"/>
          <w:sz w:val="30"/>
          <w:szCs w:val="30"/>
        </w:rPr>
        <w:t>采购代理机构</w:t>
      </w:r>
      <w:r>
        <w:rPr>
          <w:rFonts w:ascii="宋体" w:hAnsi="宋体" w:cs="楷体_GB2312"/>
          <w:b/>
          <w:bCs/>
          <w:color w:val="000000"/>
          <w:w w:val="95"/>
          <w:kern w:val="0"/>
          <w:sz w:val="30"/>
          <w:szCs w:val="30"/>
        </w:rPr>
        <w:t>：</w:t>
      </w:r>
      <w:r>
        <w:rPr>
          <w:rFonts w:hint="eastAsia" w:ascii="宋体" w:hAnsi="宋体" w:cs="楷体_GB2312"/>
          <w:b/>
          <w:bCs/>
          <w:color w:val="000000"/>
          <w:w w:val="95"/>
          <w:kern w:val="0"/>
          <w:sz w:val="30"/>
          <w:szCs w:val="30"/>
        </w:rPr>
        <w:t>浙江华元工程咨询有限公司</w:t>
      </w:r>
    </w:p>
    <w:p>
      <w:pPr>
        <w:pStyle w:val="19"/>
        <w:snapToGrid w:val="0"/>
        <w:spacing w:before="120" w:beforeLines="0" w:after="120" w:afterLines="0" w:line="360" w:lineRule="auto"/>
        <w:rPr>
          <w:rFonts w:hint="eastAsia" w:ascii="宋体" w:hAnsi="宋体" w:cs="楷体_GB2312"/>
          <w:b/>
          <w:bCs/>
          <w:color w:val="000000"/>
          <w:w w:val="95"/>
          <w:kern w:val="0"/>
          <w:sz w:val="30"/>
          <w:szCs w:val="30"/>
        </w:rPr>
      </w:pPr>
      <w:r>
        <w:rPr>
          <w:rFonts w:hint="eastAsia" w:ascii="宋体" w:hAnsi="宋体" w:cs="楷体_GB2312"/>
          <w:b/>
          <w:bCs/>
          <w:color w:val="000000"/>
          <w:w w:val="95"/>
          <w:kern w:val="0"/>
          <w:sz w:val="30"/>
          <w:szCs w:val="30"/>
        </w:rPr>
        <w:t xml:space="preserve">    </w:t>
      </w:r>
    </w:p>
    <w:p>
      <w:pPr>
        <w:pStyle w:val="19"/>
        <w:snapToGrid w:val="0"/>
        <w:spacing w:before="120" w:beforeLines="0" w:after="120" w:afterLines="0" w:line="360" w:lineRule="auto"/>
        <w:rPr>
          <w:rFonts w:hint="eastAsia" w:ascii="宋体" w:hAnsi="宋体" w:cs="楷体_GB2312"/>
          <w:b/>
          <w:bCs/>
          <w:color w:val="000000"/>
          <w:w w:val="95"/>
          <w:kern w:val="0"/>
          <w:sz w:val="30"/>
          <w:szCs w:val="30"/>
        </w:rPr>
      </w:pPr>
    </w:p>
    <w:p>
      <w:pPr>
        <w:jc w:val="center"/>
        <w:rPr>
          <w:rFonts w:hint="eastAsia" w:ascii="宋体" w:hAnsi="宋体"/>
        </w:rPr>
      </w:pPr>
      <w:r>
        <w:rPr>
          <w:rFonts w:hint="eastAsia" w:ascii="宋体" w:hAnsi="宋体"/>
          <w:b/>
          <w:bCs/>
          <w:w w:val="95"/>
          <w:sz w:val="30"/>
          <w:szCs w:val="30"/>
        </w:rPr>
        <w:t>二</w:t>
      </w:r>
      <w:r>
        <w:rPr>
          <w:rFonts w:hint="eastAsia" w:ascii="宋体" w:hAnsi="宋体" w:cs="宋体"/>
          <w:b/>
          <w:bCs/>
          <w:w w:val="95"/>
          <w:sz w:val="30"/>
          <w:szCs w:val="30"/>
        </w:rPr>
        <w:t>〇</w:t>
      </w:r>
      <w:r>
        <w:rPr>
          <w:rFonts w:hint="eastAsia" w:ascii="宋体" w:hAnsi="宋体" w:cs="楷体_GB2312"/>
          <w:b/>
          <w:bCs/>
          <w:w w:val="95"/>
          <w:sz w:val="30"/>
          <w:szCs w:val="30"/>
        </w:rPr>
        <w:t>一</w:t>
      </w:r>
      <w:r>
        <w:rPr>
          <w:rFonts w:hint="eastAsia" w:ascii="宋体" w:hAnsi="宋体" w:cs="楷体_GB2312"/>
          <w:b/>
          <w:bCs/>
          <w:w w:val="95"/>
          <w:sz w:val="30"/>
          <w:szCs w:val="30"/>
          <w:lang w:eastAsia="zh-CN"/>
        </w:rPr>
        <w:t>九</w:t>
      </w:r>
      <w:r>
        <w:rPr>
          <w:rFonts w:hint="eastAsia" w:ascii="宋体" w:hAnsi="宋体" w:cs="楷体_GB2312"/>
          <w:b/>
          <w:bCs/>
          <w:w w:val="95"/>
          <w:sz w:val="30"/>
          <w:szCs w:val="30"/>
        </w:rPr>
        <w:t>年</w:t>
      </w:r>
      <w:r>
        <w:rPr>
          <w:rFonts w:hint="eastAsia" w:ascii="宋体" w:hAnsi="宋体" w:cs="楷体_GB2312"/>
          <w:b/>
          <w:bCs/>
          <w:w w:val="95"/>
          <w:sz w:val="30"/>
          <w:szCs w:val="30"/>
          <w:lang w:eastAsia="zh-CN"/>
        </w:rPr>
        <w:t>一</w:t>
      </w:r>
      <w:r>
        <w:rPr>
          <w:rFonts w:hint="eastAsia" w:ascii="宋体" w:hAnsi="宋体" w:cs="楷体_GB2312"/>
          <w:b/>
          <w:bCs/>
          <w:w w:val="95"/>
          <w:sz w:val="30"/>
          <w:szCs w:val="30"/>
        </w:rPr>
        <w:t>月</w:t>
      </w: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目录</w:t>
      </w:r>
    </w:p>
    <w:p>
      <w:pPr>
        <w:jc w:val="center"/>
        <w:rPr>
          <w:rFonts w:hint="eastAsia" w:ascii="宋体" w:hAnsi="宋体"/>
          <w:b/>
          <w:sz w:val="44"/>
          <w:szCs w:val="44"/>
        </w:rPr>
      </w:pPr>
    </w:p>
    <w:p>
      <w:pPr>
        <w:jc w:val="center"/>
        <w:rPr>
          <w:rFonts w:hint="eastAsia" w:ascii="宋体" w:hAnsi="宋体"/>
        </w:rPr>
      </w:pP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第一章    招标公告</w:t>
      </w: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第二章    投标须知</w:t>
      </w: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第三章    评标办法及评分标准</w:t>
      </w: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第四章    招标需求</w:t>
      </w: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第五章    采购合同</w:t>
      </w:r>
    </w:p>
    <w:p>
      <w:pPr>
        <w:snapToGrid w:val="0"/>
        <w:spacing w:line="480" w:lineRule="auto"/>
        <w:ind w:firstLine="1807" w:firstLineChars="500"/>
        <w:jc w:val="left"/>
        <w:rPr>
          <w:rFonts w:hint="eastAsia" w:ascii="宋体" w:hAnsi="宋体"/>
          <w:b/>
          <w:sz w:val="36"/>
          <w:szCs w:val="36"/>
        </w:rPr>
      </w:pPr>
      <w:r>
        <w:rPr>
          <w:rFonts w:hint="eastAsia" w:ascii="宋体" w:hAnsi="宋体"/>
          <w:b/>
          <w:sz w:val="36"/>
          <w:szCs w:val="36"/>
        </w:rPr>
        <w:t>第六章    应提交的有关格式范例</w:t>
      </w:r>
    </w:p>
    <w:p>
      <w:pPr>
        <w:snapToGrid w:val="0"/>
        <w:spacing w:line="480" w:lineRule="auto"/>
        <w:ind w:firstLine="1807" w:firstLineChars="500"/>
        <w:jc w:val="left"/>
        <w:rPr>
          <w:rFonts w:ascii="宋体" w:hAnsi="宋体"/>
          <w:b/>
          <w:sz w:val="36"/>
          <w:szCs w:val="36"/>
        </w:rPr>
      </w:pPr>
      <w:r>
        <w:rPr>
          <w:rFonts w:hint="eastAsia" w:ascii="宋体" w:hAnsi="宋体"/>
          <w:b/>
          <w:sz w:val="36"/>
          <w:szCs w:val="36"/>
        </w:rPr>
        <w:t xml:space="preserve">  </w:t>
      </w:r>
    </w:p>
    <w:p>
      <w:pPr>
        <w:spacing w:line="360" w:lineRule="auto"/>
        <w:ind w:firstLine="482" w:firstLineChars="200"/>
        <w:jc w:val="center"/>
        <w:rPr>
          <w:rFonts w:hint="eastAsia" w:ascii="宋体" w:hAnsi="宋体"/>
          <w:b/>
          <w:sz w:val="24"/>
        </w:rPr>
      </w:pPr>
      <w:r>
        <w:rPr>
          <w:rFonts w:hint="eastAsia" w:ascii="宋体" w:hAnsi="宋体"/>
          <w:b/>
          <w:sz w:val="24"/>
        </w:rPr>
        <w:t>本招标文件为201</w:t>
      </w:r>
      <w:r>
        <w:rPr>
          <w:rFonts w:hint="eastAsia" w:ascii="宋体" w:hAnsi="宋体"/>
          <w:b/>
          <w:sz w:val="24"/>
          <w:lang w:val="en-US" w:eastAsia="zh-CN"/>
        </w:rPr>
        <w:t>9</w:t>
      </w:r>
      <w:r>
        <w:rPr>
          <w:rFonts w:hint="eastAsia" w:ascii="宋体" w:hAnsi="宋体"/>
          <w:b/>
          <w:sz w:val="24"/>
        </w:rPr>
        <w:t>年新制版本，请各位投标人详细阅读各项条款</w:t>
      </w:r>
    </w:p>
    <w:p>
      <w:pPr>
        <w:snapToGrid w:val="0"/>
        <w:spacing w:line="480" w:lineRule="auto"/>
        <w:ind w:firstLine="1807" w:firstLineChars="500"/>
        <w:jc w:val="left"/>
        <w:rPr>
          <w:rFonts w:hint="eastAsia" w:ascii="仿宋_GB2312" w:hAnsi="宋体" w:eastAsia="仿宋_GB2312"/>
          <w:b/>
          <w:sz w:val="36"/>
          <w:szCs w:val="36"/>
        </w:rPr>
      </w:pPr>
    </w:p>
    <w:p>
      <w:pPr>
        <w:spacing w:line="500" w:lineRule="exact"/>
        <w:rPr>
          <w:rStyle w:val="48"/>
          <w:rFonts w:hint="eastAsia"/>
          <w:sz w:val="30"/>
        </w:rPr>
      </w:pPr>
    </w:p>
    <w:p>
      <w:pPr>
        <w:spacing w:line="500" w:lineRule="exact"/>
        <w:rPr>
          <w:rStyle w:val="48"/>
          <w:rFonts w:hint="eastAsia"/>
          <w:sz w:val="30"/>
        </w:rPr>
      </w:pPr>
    </w:p>
    <w:p>
      <w:pPr>
        <w:spacing w:line="500" w:lineRule="exact"/>
        <w:rPr>
          <w:rStyle w:val="48"/>
          <w:rFonts w:hint="eastAsia"/>
          <w:sz w:val="30"/>
        </w:rPr>
      </w:pPr>
    </w:p>
    <w:p>
      <w:pPr>
        <w:spacing w:line="500" w:lineRule="exact"/>
        <w:rPr>
          <w:rStyle w:val="48"/>
          <w:rFonts w:hint="eastAsia"/>
          <w:sz w:val="30"/>
        </w:rPr>
      </w:pPr>
    </w:p>
    <w:p>
      <w:pPr>
        <w:spacing w:line="500" w:lineRule="exact"/>
        <w:rPr>
          <w:rStyle w:val="48"/>
          <w:rFonts w:hint="eastAsia"/>
          <w:sz w:val="30"/>
        </w:rPr>
      </w:pPr>
    </w:p>
    <w:p>
      <w:pPr>
        <w:spacing w:line="500" w:lineRule="exact"/>
        <w:rPr>
          <w:rStyle w:val="48"/>
          <w:rFonts w:hint="eastAsia"/>
          <w:sz w:val="30"/>
        </w:rPr>
      </w:pPr>
    </w:p>
    <w:p>
      <w:pPr>
        <w:pStyle w:val="4"/>
        <w:spacing w:line="500" w:lineRule="exact"/>
        <w:jc w:val="center"/>
        <w:rPr>
          <w:rFonts w:hint="eastAsia" w:ascii="宋体" w:hAnsi="宋体"/>
          <w:sz w:val="36"/>
          <w:szCs w:val="36"/>
        </w:rPr>
      </w:pPr>
      <w:bookmarkStart w:id="0" w:name="_Toc125344501"/>
      <w:r>
        <w:rPr>
          <w:rFonts w:hint="eastAsia" w:ascii="宋体" w:hAnsi="宋体"/>
          <w:sz w:val="36"/>
          <w:szCs w:val="36"/>
        </w:rPr>
        <w:t>第一章  招标公告</w:t>
      </w:r>
      <w:bookmarkEnd w:id="0"/>
    </w:p>
    <w:p>
      <w:pPr>
        <w:autoSpaceDE/>
        <w:autoSpaceDN/>
        <w:jc w:val="center"/>
        <w:rPr>
          <w:rFonts w:hint="eastAsia" w:ascii="宋体" w:hAnsi="宋体" w:cs="黑体"/>
          <w:b/>
          <w:color w:val="auto"/>
          <w:sz w:val="28"/>
          <w:szCs w:val="28"/>
        </w:rPr>
      </w:pPr>
      <w:r>
        <w:rPr>
          <w:rFonts w:hint="eastAsia" w:ascii="宋体" w:hAnsi="宋体" w:cs="黑体"/>
          <w:b/>
          <w:color w:val="auto"/>
          <w:sz w:val="28"/>
          <w:szCs w:val="28"/>
        </w:rPr>
        <w:t>（编号：</w:t>
      </w:r>
      <w:r>
        <w:rPr>
          <w:rFonts w:hint="eastAsia" w:ascii="宋体" w:hAnsi="宋体" w:cs="宋体"/>
          <w:b/>
          <w:color w:val="auto"/>
          <w:sz w:val="32"/>
          <w:szCs w:val="32"/>
        </w:rPr>
        <w:t>浙华元201</w:t>
      </w:r>
      <w:r>
        <w:rPr>
          <w:rFonts w:hint="eastAsia" w:ascii="宋体" w:hAnsi="宋体" w:cs="宋体"/>
          <w:b/>
          <w:color w:val="auto"/>
          <w:sz w:val="32"/>
          <w:szCs w:val="32"/>
          <w:lang w:val="en-US" w:eastAsia="zh-CN"/>
        </w:rPr>
        <w:t>9</w:t>
      </w:r>
      <w:r>
        <w:rPr>
          <w:rFonts w:hint="eastAsia" w:ascii="宋体" w:hAnsi="宋体" w:cs="宋体"/>
          <w:b/>
          <w:color w:val="auto"/>
          <w:sz w:val="32"/>
          <w:szCs w:val="32"/>
        </w:rPr>
        <w:t>－</w:t>
      </w:r>
      <w:r>
        <w:rPr>
          <w:rFonts w:hint="eastAsia" w:ascii="宋体" w:hAnsi="宋体" w:cs="宋体"/>
          <w:b/>
          <w:color w:val="auto"/>
          <w:sz w:val="32"/>
          <w:szCs w:val="32"/>
          <w:lang w:val="en-US" w:eastAsia="zh-CN"/>
        </w:rPr>
        <w:t>05</w:t>
      </w:r>
      <w:r>
        <w:rPr>
          <w:rFonts w:hint="eastAsia" w:ascii="宋体" w:hAnsi="宋体" w:cs="宋体"/>
          <w:b/>
          <w:color w:val="auto"/>
          <w:sz w:val="32"/>
          <w:szCs w:val="32"/>
        </w:rPr>
        <w:t>-</w:t>
      </w:r>
      <w:r>
        <w:rPr>
          <w:rFonts w:hint="eastAsia" w:ascii="宋体" w:hAnsi="宋体" w:cs="宋体"/>
          <w:b/>
          <w:color w:val="auto"/>
          <w:sz w:val="32"/>
          <w:szCs w:val="32"/>
          <w:lang w:val="en-US" w:eastAsia="zh-CN"/>
        </w:rPr>
        <w:t>11</w:t>
      </w:r>
      <w:r>
        <w:rPr>
          <w:rFonts w:hint="eastAsia" w:ascii="宋体" w:hAnsi="宋体" w:cs="黑体"/>
          <w:b/>
          <w:color w:val="auto"/>
          <w:sz w:val="28"/>
          <w:szCs w:val="28"/>
        </w:rPr>
        <w:t>）</w:t>
      </w:r>
    </w:p>
    <w:p>
      <w:pPr>
        <w:spacing w:line="360" w:lineRule="exact"/>
        <w:jc w:val="center"/>
        <w:rPr>
          <w:rFonts w:hint="eastAsia" w:ascii="宋体" w:hAnsi="宋体"/>
          <w:b/>
          <w:sz w:val="24"/>
          <w:szCs w:val="24"/>
        </w:rPr>
      </w:pPr>
    </w:p>
    <w:p>
      <w:pPr>
        <w:spacing w:line="240" w:lineRule="exact"/>
        <w:jc w:val="center"/>
        <w:rPr>
          <w:rFonts w:hint="eastAsia" w:ascii="宋体" w:hAnsi="宋体"/>
          <w:sz w:val="28"/>
          <w:szCs w:val="28"/>
        </w:rPr>
      </w:pPr>
    </w:p>
    <w:p>
      <w:pPr>
        <w:pStyle w:val="19"/>
        <w:snapToGrid w:val="0"/>
        <w:spacing w:before="120" w:beforeLines="0" w:after="120" w:afterLines="0" w:line="360" w:lineRule="auto"/>
        <w:ind w:firstLine="480" w:firstLineChars="200"/>
        <w:rPr>
          <w:rFonts w:hint="eastAsia" w:ascii="宋体" w:hAnsi="宋体"/>
          <w:kern w:val="0"/>
        </w:rPr>
      </w:pPr>
      <w:r>
        <w:rPr>
          <w:rFonts w:hint="eastAsia"/>
          <w:lang w:eastAsia="zh-CN"/>
        </w:rPr>
        <w:t>参照</w:t>
      </w:r>
      <w:r>
        <w:t>《中华人民共和国政府采购法》</w:t>
      </w:r>
      <w:r>
        <w:rPr>
          <w:rFonts w:hint="eastAsia"/>
        </w:rPr>
        <w:t>、</w:t>
      </w:r>
      <w:r>
        <w:rPr>
          <w:rFonts w:hint="eastAsia"/>
          <w:color w:val="000000"/>
        </w:rPr>
        <w:t>《政府采购货物和服务招标投标管理办法》、《</w:t>
      </w:r>
      <w:r>
        <w:rPr>
          <w:color w:val="000000"/>
        </w:rPr>
        <w:t>中华人民共和国政府采购法实施条例</w:t>
      </w:r>
      <w:r>
        <w:rPr>
          <w:rFonts w:hint="eastAsia"/>
          <w:color w:val="000000"/>
        </w:rPr>
        <w:t>》等有关规定，</w:t>
      </w:r>
      <w:r>
        <w:rPr>
          <w:rFonts w:hint="eastAsia"/>
          <w:kern w:val="0"/>
        </w:rPr>
        <w:t>浙江华元工程咨询有限公司</w:t>
      </w:r>
      <w:r>
        <w:rPr>
          <w:rFonts w:hint="eastAsia"/>
          <w:color w:val="000000"/>
        </w:rPr>
        <w:t>受</w:t>
      </w:r>
      <w:r>
        <w:rPr>
          <w:rFonts w:hint="eastAsia"/>
          <w:lang w:eastAsia="zh-CN"/>
        </w:rPr>
        <w:t>浙江浣江传媒集团有限公司</w:t>
      </w:r>
      <w:r>
        <w:rPr>
          <w:rFonts w:hint="eastAsia"/>
        </w:rPr>
        <w:t>委托，对下列项目进行公开招标，特邀请国内符合条件的投标人参与投标。现将有关事项公告如下：</w:t>
      </w:r>
    </w:p>
    <w:p>
      <w:pPr>
        <w:autoSpaceDE/>
        <w:autoSpaceDN/>
        <w:spacing w:line="360" w:lineRule="auto"/>
        <w:ind w:left="2409" w:leftChars="228" w:hanging="1930" w:hangingChars="801"/>
        <w:rPr>
          <w:rFonts w:hint="eastAsia" w:ascii="宋体" w:hAnsi="宋体"/>
          <w:b/>
          <w:sz w:val="24"/>
          <w:szCs w:val="24"/>
        </w:rPr>
      </w:pPr>
      <w:r>
        <w:rPr>
          <w:rFonts w:hint="eastAsia" w:ascii="宋体" w:hAnsi="宋体"/>
          <w:b/>
          <w:sz w:val="24"/>
          <w:szCs w:val="24"/>
        </w:rPr>
        <w:t>一、项目名称：</w:t>
      </w:r>
      <w:r>
        <w:rPr>
          <w:rFonts w:hint="eastAsia" w:ascii="_5b8b_4f53" w:hAnsi="_5b8b_4f53" w:cs="宋体"/>
          <w:sz w:val="24"/>
          <w:lang w:eastAsia="zh-CN"/>
        </w:rPr>
        <w:t>浙江浣江传媒集团有限公司2019年诸暨广电视频监控设备采购项目采购项目</w:t>
      </w:r>
    </w:p>
    <w:p>
      <w:pPr>
        <w:autoSpaceDE/>
        <w:autoSpaceDN/>
        <w:adjustRightInd/>
        <w:spacing w:line="360" w:lineRule="auto"/>
        <w:ind w:firstLine="482" w:firstLineChars="200"/>
        <w:rPr>
          <w:rFonts w:hint="eastAsia" w:ascii="宋体" w:hAnsi="宋体"/>
          <w:b/>
          <w:sz w:val="24"/>
          <w:szCs w:val="24"/>
        </w:rPr>
      </w:pPr>
      <w:r>
        <w:rPr>
          <w:rFonts w:hint="eastAsia" w:ascii="宋体" w:hAnsi="宋体"/>
          <w:b/>
          <w:sz w:val="24"/>
          <w:szCs w:val="24"/>
        </w:rPr>
        <w:t>二、采购组织类型：</w:t>
      </w:r>
      <w:r>
        <w:rPr>
          <w:rFonts w:hint="eastAsia" w:ascii="宋体" w:hAnsi="宋体"/>
          <w:b/>
          <w:sz w:val="24"/>
          <w:szCs w:val="24"/>
          <w:lang w:eastAsia="zh-CN"/>
        </w:rPr>
        <w:t>非政府采购</w:t>
      </w:r>
      <w:r>
        <w:rPr>
          <w:rFonts w:hint="eastAsia" w:ascii="宋体" w:hAnsi="宋体"/>
          <w:b/>
          <w:sz w:val="24"/>
          <w:szCs w:val="24"/>
          <w:lang w:val="en-US" w:eastAsia="zh-CN"/>
        </w:rPr>
        <w:t>-</w:t>
      </w:r>
      <w:r>
        <w:rPr>
          <w:rFonts w:hint="eastAsia" w:ascii="宋体" w:hAnsi="宋体"/>
          <w:b/>
          <w:sz w:val="24"/>
          <w:szCs w:val="24"/>
        </w:rPr>
        <w:t>分散采购委托代理</w:t>
      </w:r>
    </w:p>
    <w:p>
      <w:pPr>
        <w:autoSpaceDE/>
        <w:autoSpaceDN/>
        <w:adjustRightInd/>
        <w:spacing w:line="360" w:lineRule="auto"/>
        <w:ind w:firstLine="482" w:firstLineChars="200"/>
        <w:rPr>
          <w:rFonts w:hint="eastAsia" w:ascii="宋体" w:hAnsi="宋体"/>
          <w:b/>
          <w:sz w:val="24"/>
          <w:szCs w:val="24"/>
        </w:rPr>
      </w:pPr>
      <w:r>
        <w:rPr>
          <w:rFonts w:hint="eastAsia" w:ascii="宋体" w:hAnsi="宋体"/>
          <w:b/>
          <w:sz w:val="24"/>
          <w:szCs w:val="24"/>
        </w:rPr>
        <w:t>三、项目内容及规模：</w:t>
      </w:r>
    </w:p>
    <w:p>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浙江浣江传媒集团有限公司2019年诸暨广电视频监控设备采购项目，采购预算金额</w:t>
      </w:r>
      <w:r>
        <w:rPr>
          <w:rFonts w:hint="eastAsia" w:ascii="Times New Roman" w:hAnsi="Times New Roman" w:eastAsia="宋体" w:cs="Times New Roman"/>
          <w:color w:val="FF0000"/>
          <w:sz w:val="24"/>
          <w:szCs w:val="24"/>
          <w:highlight w:val="none"/>
          <w:lang w:val="en-US" w:eastAsia="zh-CN"/>
        </w:rPr>
        <w:t>1654.7056</w:t>
      </w:r>
      <w:r>
        <w:rPr>
          <w:rFonts w:hint="default" w:ascii="Times New Roman" w:hAnsi="Times New Roman" w:eastAsia="宋体" w:cs="Times New Roman"/>
          <w:color w:val="auto"/>
          <w:sz w:val="24"/>
          <w:szCs w:val="24"/>
          <w:highlight w:val="none"/>
        </w:rPr>
        <w:t>万元。</w:t>
      </w:r>
    </w:p>
    <w:p>
      <w:pPr>
        <w:autoSpaceDE/>
        <w:autoSpaceDN/>
        <w:adjustRightInd/>
        <w:spacing w:line="360" w:lineRule="auto"/>
        <w:ind w:firstLine="482" w:firstLineChars="200"/>
        <w:rPr>
          <w:rFonts w:hint="eastAsia" w:ascii="宋体" w:hAnsi="宋体"/>
          <w:b/>
          <w:sz w:val="24"/>
          <w:szCs w:val="24"/>
        </w:rPr>
      </w:pPr>
      <w:r>
        <w:rPr>
          <w:rFonts w:hint="eastAsia" w:ascii="宋体" w:hAnsi="宋体"/>
          <w:b/>
          <w:sz w:val="24"/>
          <w:szCs w:val="24"/>
        </w:rPr>
        <w:t>四、评标办法：综合评分法</w:t>
      </w:r>
    </w:p>
    <w:p>
      <w:pPr>
        <w:autoSpaceDE/>
        <w:autoSpaceDN/>
        <w:adjustRightInd/>
        <w:spacing w:line="360" w:lineRule="auto"/>
        <w:ind w:firstLine="482" w:firstLineChars="200"/>
        <w:rPr>
          <w:rFonts w:hint="eastAsia" w:ascii="宋体" w:hAnsi="宋体"/>
          <w:b/>
          <w:sz w:val="24"/>
          <w:szCs w:val="24"/>
        </w:rPr>
      </w:pPr>
      <w:r>
        <w:rPr>
          <w:rFonts w:hint="eastAsia" w:ascii="宋体" w:hAnsi="宋体"/>
          <w:b/>
          <w:sz w:val="24"/>
          <w:szCs w:val="24"/>
        </w:rPr>
        <w:t>五、投标人（供应商）资格要求：</w:t>
      </w:r>
    </w:p>
    <w:p>
      <w:pPr>
        <w:pStyle w:val="119"/>
        <w:spacing w:line="360" w:lineRule="auto"/>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1、符合《中华人民共和国政府采购法》第二十二条之供应商资格规定；</w:t>
      </w:r>
    </w:p>
    <w:p>
      <w:pPr>
        <w:pStyle w:val="119"/>
        <w:spacing w:line="360" w:lineRule="auto"/>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2、具有安全防范三级及以上资质的法人；</w:t>
      </w:r>
    </w:p>
    <w:p>
      <w:pPr>
        <w:pStyle w:val="119"/>
        <w:widowControl w:val="0"/>
        <w:spacing w:line="360" w:lineRule="auto"/>
        <w:ind w:firstLine="480"/>
        <w:rPr>
          <w:rFonts w:hint="default"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lang w:val="en-US" w:eastAsia="zh-CN"/>
        </w:rPr>
        <w:t>3</w:t>
      </w:r>
      <w:r>
        <w:rPr>
          <w:rFonts w:hint="default" w:ascii="Times New Roman" w:hAnsi="Times New Roman" w:eastAsia="宋体" w:cs="Times New Roman"/>
          <w:color w:val="auto"/>
          <w:szCs w:val="24"/>
          <w:highlight w:val="none"/>
        </w:rPr>
        <w:t>、本项目不接受联合体投标。</w:t>
      </w:r>
    </w:p>
    <w:p>
      <w:pPr>
        <w:pStyle w:val="119"/>
        <w:widowControl w:val="0"/>
        <w:ind w:firstLine="482"/>
        <w:rPr>
          <w:rFonts w:ascii="宋体" w:hAnsi="宋体"/>
          <w:b/>
        </w:rPr>
      </w:pPr>
      <w:r>
        <w:rPr>
          <w:rFonts w:hint="eastAsia" w:ascii="宋体" w:hAnsi="宋体"/>
          <w:b/>
          <w:szCs w:val="24"/>
        </w:rPr>
        <w:t>六、</w:t>
      </w:r>
      <w:r>
        <w:rPr>
          <w:rFonts w:hint="eastAsia" w:ascii="宋体" w:hAnsi="宋体"/>
          <w:b/>
          <w:lang w:eastAsia="zh-CN"/>
        </w:rPr>
        <w:t>招标文件的获取</w:t>
      </w:r>
      <w:r>
        <w:rPr>
          <w:rFonts w:hint="eastAsia" w:ascii="宋体" w:hAnsi="宋体"/>
          <w:b/>
        </w:rPr>
        <w:t>：</w:t>
      </w:r>
    </w:p>
    <w:p>
      <w:pPr>
        <w:pStyle w:val="119"/>
        <w:widowControl w:val="0"/>
        <w:spacing w:line="240" w:lineRule="auto"/>
        <w:ind w:firstLine="480"/>
        <w:rPr>
          <w:rFonts w:hint="eastAsia" w:ascii="宋体" w:hAnsi="宋体"/>
        </w:rPr>
      </w:pPr>
      <w:r>
        <w:rPr>
          <w:rFonts w:hint="eastAsia" w:ascii="宋体" w:hAnsi="宋体"/>
        </w:rPr>
        <w:t>本项目</w:t>
      </w:r>
      <w:r>
        <w:rPr>
          <w:rFonts w:hint="eastAsia" w:ascii="宋体" w:hAnsi="宋体"/>
          <w:lang w:eastAsia="zh-CN"/>
        </w:rPr>
        <w:t>采购</w:t>
      </w:r>
      <w:r>
        <w:rPr>
          <w:rFonts w:hint="eastAsia" w:ascii="宋体" w:hAnsi="宋体"/>
        </w:rPr>
        <w:t>文件采用网上下载方式发布，发布时间为201</w:t>
      </w:r>
      <w:r>
        <w:rPr>
          <w:rFonts w:hint="eastAsia" w:ascii="宋体" w:hAnsi="宋体"/>
          <w:lang w:val="en-US" w:eastAsia="zh-CN"/>
        </w:rPr>
        <w:t>9</w:t>
      </w:r>
      <w:r>
        <w:rPr>
          <w:rFonts w:hint="eastAsia" w:ascii="宋体" w:hAnsi="宋体"/>
        </w:rPr>
        <w:t>年</w:t>
      </w:r>
      <w:r>
        <w:rPr>
          <w:rFonts w:hint="eastAsia" w:ascii="宋体" w:hAnsi="宋体"/>
          <w:lang w:val="en-US" w:eastAsia="zh-CN"/>
        </w:rPr>
        <w:t>05</w:t>
      </w:r>
      <w:r>
        <w:rPr>
          <w:rFonts w:hint="eastAsia" w:ascii="宋体" w:hAnsi="宋体"/>
        </w:rPr>
        <w:t>月</w:t>
      </w:r>
      <w:r>
        <w:rPr>
          <w:rFonts w:hint="eastAsia" w:ascii="宋体" w:hAnsi="宋体"/>
          <w:lang w:val="en-US" w:eastAsia="zh-CN"/>
        </w:rPr>
        <w:t>22</w:t>
      </w:r>
      <w:r>
        <w:rPr>
          <w:rFonts w:hint="eastAsia" w:ascii="宋体" w:hAnsi="宋体"/>
        </w:rPr>
        <w:t>日-201</w:t>
      </w:r>
      <w:r>
        <w:rPr>
          <w:rFonts w:hint="eastAsia" w:ascii="宋体" w:hAnsi="宋体"/>
          <w:lang w:val="en-US" w:eastAsia="zh-CN"/>
        </w:rPr>
        <w:t>9</w:t>
      </w:r>
      <w:r>
        <w:rPr>
          <w:rFonts w:hint="eastAsia" w:ascii="宋体" w:hAnsi="宋体"/>
        </w:rPr>
        <w:t>年</w:t>
      </w:r>
      <w:r>
        <w:rPr>
          <w:rFonts w:hint="eastAsia" w:ascii="宋体" w:hAnsi="宋体"/>
          <w:lang w:val="en-US" w:eastAsia="zh-CN"/>
        </w:rPr>
        <w:t>05</w:t>
      </w:r>
      <w:r>
        <w:rPr>
          <w:rFonts w:hint="eastAsia" w:ascii="宋体" w:hAnsi="宋体"/>
        </w:rPr>
        <w:t>月</w:t>
      </w:r>
      <w:r>
        <w:rPr>
          <w:rFonts w:hint="eastAsia" w:ascii="宋体" w:hAnsi="宋体"/>
          <w:lang w:val="en-US" w:eastAsia="zh-CN"/>
        </w:rPr>
        <w:t>29</w:t>
      </w:r>
      <w:r>
        <w:rPr>
          <w:rFonts w:hint="eastAsia" w:ascii="宋体" w:hAnsi="宋体"/>
        </w:rPr>
        <w:t>日，符合投标人资格条件的供应商请在诸暨市公共资源交易网（http://www.zjztb.gov.cn）</w:t>
      </w:r>
      <w:r>
        <w:rPr>
          <w:rFonts w:hint="eastAsia" w:ascii="宋体" w:hAnsi="宋体"/>
          <w:lang w:eastAsia="zh-CN"/>
        </w:rPr>
        <w:t>首页</w:t>
      </w:r>
      <w:r>
        <w:rPr>
          <w:rFonts w:hint="eastAsia" w:ascii="宋体" w:hAnsi="宋体"/>
          <w:lang w:val="en-US" w:eastAsia="zh-CN"/>
        </w:rPr>
        <w:t>-</w:t>
      </w:r>
      <w:r>
        <w:rPr>
          <w:rFonts w:hint="eastAsia" w:ascii="宋体" w:hAnsi="宋体"/>
          <w:lang w:eastAsia="zh-CN"/>
        </w:rPr>
        <w:t>公告代发</w:t>
      </w:r>
      <w:r>
        <w:rPr>
          <w:rFonts w:hint="eastAsia" w:ascii="宋体" w:hAnsi="宋体"/>
        </w:rPr>
        <w:t>板块，</w:t>
      </w:r>
      <w:r>
        <w:rPr>
          <w:rFonts w:hint="eastAsia" w:ascii="宋体" w:hAnsi="宋体"/>
          <w:lang w:eastAsia="zh-CN"/>
        </w:rPr>
        <w:t>交易公告</w:t>
      </w:r>
      <w:r>
        <w:rPr>
          <w:rFonts w:hint="eastAsia" w:ascii="宋体" w:hAnsi="宋体"/>
        </w:rPr>
        <w:t>栏目中下载招标文件，本项目无须报名，于开标当日直接参加投标。</w:t>
      </w:r>
    </w:p>
    <w:p>
      <w:pPr>
        <w:autoSpaceDE/>
        <w:autoSpaceDN/>
        <w:adjustRightInd/>
        <w:ind w:firstLine="482" w:firstLineChars="200"/>
        <w:rPr>
          <w:rFonts w:ascii="宋体" w:hAnsi="宋体"/>
          <w:b/>
          <w:sz w:val="24"/>
          <w:szCs w:val="24"/>
        </w:rPr>
      </w:pPr>
      <w:r>
        <w:rPr>
          <w:rFonts w:hint="eastAsia" w:ascii="宋体" w:hAnsi="宋体"/>
          <w:b/>
          <w:sz w:val="24"/>
          <w:szCs w:val="24"/>
        </w:rPr>
        <w:t>七、投标须知：</w:t>
      </w:r>
    </w:p>
    <w:p>
      <w:pPr>
        <w:ind w:firstLine="480" w:firstLineChars="200"/>
        <w:rPr>
          <w:rFonts w:ascii="宋体" w:hAnsi="宋体" w:cs="宋体"/>
          <w:sz w:val="24"/>
        </w:rPr>
      </w:pPr>
      <w:r>
        <w:rPr>
          <w:rFonts w:hint="eastAsia" w:ascii="宋体" w:hAnsi="宋体" w:cs="宋体"/>
          <w:sz w:val="24"/>
        </w:rPr>
        <w:t>投标人须在提交投标文件时提供下述</w:t>
      </w:r>
      <w:r>
        <w:rPr>
          <w:rFonts w:hint="eastAsia" w:ascii="宋体" w:hAnsi="宋体"/>
          <w:color w:val="auto"/>
          <w:sz w:val="24"/>
          <w:szCs w:val="24"/>
        </w:rPr>
        <w:t>相关证照</w:t>
      </w:r>
      <w:r>
        <w:rPr>
          <w:rFonts w:hint="eastAsia" w:ascii="宋体" w:hAnsi="宋体"/>
          <w:color w:val="auto"/>
          <w:sz w:val="24"/>
          <w:szCs w:val="24"/>
          <w:lang w:eastAsia="zh-CN"/>
        </w:rPr>
        <w:t>原件或公证件</w:t>
      </w:r>
      <w:r>
        <w:rPr>
          <w:rFonts w:hint="eastAsia" w:ascii="宋体" w:hAnsi="宋体" w:cs="宋体"/>
          <w:sz w:val="24"/>
        </w:rPr>
        <w:t>（有效期内），未提供或提供不完整的一律作无效标处理：</w:t>
      </w:r>
    </w:p>
    <w:p>
      <w:pPr>
        <w:ind w:firstLine="480" w:firstLineChars="200"/>
        <w:rPr>
          <w:rFonts w:hint="eastAsia" w:ascii="宋体" w:hAnsi="宋体" w:cs="宋体"/>
          <w:sz w:val="24"/>
        </w:rPr>
      </w:pPr>
      <w:r>
        <w:rPr>
          <w:rFonts w:hint="eastAsia" w:ascii="宋体" w:hAnsi="宋体" w:cs="宋体"/>
          <w:sz w:val="24"/>
        </w:rPr>
        <w:t>1、营业执照原件；</w:t>
      </w:r>
    </w:p>
    <w:p>
      <w:pPr>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参加开标现场的投标人代表须提供投标人注册地社保机构出具的该投标人代表近三个月缴纳的社会保障资金证明原件，且该资金必须由投标人缴纳（原件不退）；参加开标现场的投标人代表为法人代表本人的，只需提供法人代表身份证原件。</w:t>
      </w:r>
    </w:p>
    <w:p>
      <w:pPr>
        <w:ind w:firstLine="480" w:firstLineChars="200"/>
        <w:rPr>
          <w:rFonts w:hint="default" w:ascii="宋体" w:hAnsi="宋体" w:cs="宋体"/>
          <w:sz w:val="24"/>
          <w:lang w:val="en-US" w:eastAsia="zh-CN"/>
        </w:rPr>
      </w:pPr>
      <w:r>
        <w:rPr>
          <w:rFonts w:hint="eastAsia" w:ascii="宋体" w:hAnsi="宋体" w:cs="宋体"/>
          <w:sz w:val="24"/>
          <w:lang w:val="en-US" w:eastAsia="zh-CN"/>
        </w:rPr>
        <w:t>3.</w:t>
      </w:r>
      <w:r>
        <w:rPr>
          <w:rFonts w:hint="default" w:ascii="宋体" w:hAnsi="宋体" w:cs="宋体"/>
          <w:sz w:val="24"/>
          <w:lang w:val="en-US" w:eastAsia="zh-CN"/>
        </w:rPr>
        <w:t>安全防范三级及以上资质</w:t>
      </w:r>
      <w:r>
        <w:rPr>
          <w:rFonts w:hint="eastAsia" w:ascii="宋体" w:hAnsi="宋体" w:cs="宋体"/>
          <w:sz w:val="24"/>
          <w:lang w:val="en-US" w:eastAsia="zh-CN"/>
        </w:rPr>
        <w:t>证书原件</w:t>
      </w:r>
    </w:p>
    <w:p>
      <w:pPr>
        <w:autoSpaceDE/>
        <w:autoSpaceDN/>
        <w:adjustRightInd/>
        <w:ind w:firstLine="482" w:firstLineChars="200"/>
        <w:rPr>
          <w:rFonts w:hint="eastAsia" w:ascii="宋体" w:hAnsi="宋体"/>
          <w:b/>
          <w:sz w:val="24"/>
          <w:szCs w:val="24"/>
        </w:rPr>
      </w:pPr>
      <w:r>
        <w:rPr>
          <w:rFonts w:hint="eastAsia" w:ascii="宋体" w:hAnsi="宋体"/>
          <w:b/>
          <w:sz w:val="24"/>
          <w:szCs w:val="24"/>
        </w:rPr>
        <w:t>八、投标保证金：</w:t>
      </w:r>
    </w:p>
    <w:p>
      <w:pPr>
        <w:pStyle w:val="19"/>
        <w:rPr>
          <w:rFonts w:hint="eastAsia" w:ascii="宋体" w:hAnsi="宋体" w:cs="Arial"/>
          <w:bCs/>
          <w:szCs w:val="24"/>
        </w:rPr>
      </w:pPr>
      <w:r>
        <w:rPr>
          <w:rFonts w:hint="eastAsia" w:ascii="宋体" w:hAnsi="宋体" w:cs="Arial"/>
          <w:bCs/>
          <w:color w:val="000000"/>
          <w:szCs w:val="24"/>
        </w:rPr>
        <w:t>投标保证金的形式：投标保证金可以以电汇、转账、汇票等非现金形式提交（以投标人单位名义汇款，不接受个人、分支</w:t>
      </w:r>
      <w:r>
        <w:rPr>
          <w:rFonts w:hint="eastAsia" w:ascii="宋体" w:hAnsi="宋体" w:cs="Arial"/>
          <w:bCs/>
          <w:szCs w:val="24"/>
        </w:rPr>
        <w:t>机构、办事处、子公司或从他人账户汇款或存款方式）。</w:t>
      </w:r>
    </w:p>
    <w:p>
      <w:pPr>
        <w:ind w:firstLine="480" w:firstLineChars="200"/>
        <w:rPr>
          <w:rFonts w:hint="eastAsia" w:ascii="宋体" w:hAnsi="宋体" w:cs="Arial"/>
          <w:bCs/>
          <w:szCs w:val="24"/>
        </w:rPr>
      </w:pPr>
      <w:r>
        <w:rPr>
          <w:rFonts w:hint="eastAsia" w:ascii="宋体" w:hAnsi="宋体" w:cs="Arial"/>
          <w:color w:val="auto"/>
          <w:sz w:val="24"/>
        </w:rPr>
        <w:t>投标保证金人民币</w:t>
      </w:r>
      <w:r>
        <w:rPr>
          <w:rFonts w:hint="eastAsia" w:ascii="宋体" w:hAnsi="宋体" w:cs="Arial"/>
          <w:color w:val="auto"/>
          <w:sz w:val="24"/>
          <w:lang w:val="en-US" w:eastAsia="zh-CN"/>
        </w:rPr>
        <w:t xml:space="preserve"> 19万元</w:t>
      </w:r>
      <w:r>
        <w:rPr>
          <w:rFonts w:hint="eastAsia" w:ascii="宋体" w:hAnsi="宋体" w:cs="Arial"/>
          <w:bCs/>
          <w:color w:val="000000"/>
          <w:kern w:val="2"/>
          <w:sz w:val="24"/>
          <w:szCs w:val="24"/>
          <w:lang w:val="en-US" w:eastAsia="zh-CN" w:bidi="ar-SA"/>
        </w:rPr>
        <w:t>。</w:t>
      </w:r>
    </w:p>
    <w:p>
      <w:pPr>
        <w:autoSpaceDE/>
        <w:autoSpaceDN/>
        <w:adjustRightInd/>
        <w:ind w:firstLine="482" w:firstLineChars="200"/>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缴纳账户名称：诸暨广电物资有限公司；开户银行：中国银行诸暨五角广场支行；帐号：376667196684；款项用途：保证金。</w:t>
      </w:r>
    </w:p>
    <w:p>
      <w:pPr>
        <w:autoSpaceDE/>
        <w:autoSpaceDN/>
        <w:adjustRightInd/>
        <w:ind w:firstLine="482" w:firstLineChars="200"/>
        <w:rPr>
          <w:rFonts w:hint="eastAsia" w:ascii="宋体" w:hAnsi="宋体" w:eastAsia="宋体" w:cs="宋体"/>
          <w:b/>
          <w:color w:val="000000"/>
          <w:sz w:val="24"/>
          <w:szCs w:val="24"/>
          <w:u w:val="none"/>
          <w:lang w:eastAsia="zh-CN"/>
        </w:rPr>
      </w:pPr>
      <w:r>
        <w:rPr>
          <w:rFonts w:hint="eastAsia" w:ascii="宋体" w:hAnsi="宋体" w:eastAsia="宋体" w:cs="宋体"/>
          <w:b/>
          <w:color w:val="000000"/>
          <w:sz w:val="24"/>
          <w:szCs w:val="24"/>
          <w:u w:val="none"/>
          <w:lang w:eastAsia="zh-CN"/>
        </w:rPr>
        <w:t>本项目不适用年度保证金</w:t>
      </w:r>
    </w:p>
    <w:p>
      <w:pPr>
        <w:autoSpaceDE/>
        <w:autoSpaceDN/>
        <w:adjustRightInd/>
        <w:ind w:firstLine="482" w:firstLineChars="200"/>
        <w:rPr>
          <w:rFonts w:hint="eastAsia" w:ascii="宋体" w:hAnsi="宋体"/>
          <w:b/>
          <w:sz w:val="24"/>
          <w:szCs w:val="24"/>
        </w:rPr>
      </w:pPr>
      <w:r>
        <w:rPr>
          <w:rFonts w:hint="eastAsia" w:ascii="宋体" w:hAnsi="宋体"/>
          <w:b/>
          <w:sz w:val="24"/>
          <w:szCs w:val="24"/>
        </w:rPr>
        <w:t>九、投标文件提交：</w:t>
      </w:r>
    </w:p>
    <w:p>
      <w:pPr>
        <w:autoSpaceDE/>
        <w:autoSpaceDN/>
        <w:adjustRightInd/>
        <w:ind w:firstLine="480" w:firstLineChars="200"/>
        <w:rPr>
          <w:rFonts w:hint="eastAsia" w:ascii="宋体" w:hAnsi="宋体"/>
          <w:color w:val="C00000"/>
          <w:sz w:val="24"/>
          <w:szCs w:val="24"/>
        </w:rPr>
      </w:pPr>
      <w:r>
        <w:rPr>
          <w:rFonts w:hint="eastAsia" w:ascii="宋体" w:hAnsi="宋体"/>
          <w:color w:val="C00000"/>
          <w:sz w:val="24"/>
          <w:szCs w:val="24"/>
        </w:rPr>
        <w:t>投标人须于</w:t>
      </w:r>
      <w:r>
        <w:rPr>
          <w:rFonts w:hint="eastAsia" w:ascii="宋体" w:hAnsi="宋体"/>
          <w:color w:val="C00000"/>
          <w:sz w:val="24"/>
          <w:szCs w:val="24"/>
          <w:lang w:val="en-US" w:eastAsia="zh-CN"/>
        </w:rPr>
        <w:t>2019</w:t>
      </w:r>
      <w:r>
        <w:rPr>
          <w:rFonts w:hint="eastAsia" w:ascii="宋体" w:hAnsi="宋体"/>
          <w:color w:val="C00000"/>
          <w:sz w:val="24"/>
          <w:szCs w:val="24"/>
        </w:rPr>
        <w:t>年</w:t>
      </w:r>
      <w:r>
        <w:rPr>
          <w:rFonts w:hint="eastAsia" w:ascii="宋体" w:hAnsi="宋体"/>
          <w:color w:val="C00000"/>
          <w:sz w:val="24"/>
          <w:szCs w:val="24"/>
          <w:lang w:val="en-US" w:eastAsia="zh-CN"/>
        </w:rPr>
        <w:t>6</w:t>
      </w:r>
      <w:r>
        <w:rPr>
          <w:rFonts w:hint="eastAsia" w:ascii="宋体" w:hAnsi="宋体"/>
          <w:color w:val="C00000"/>
          <w:sz w:val="24"/>
          <w:szCs w:val="24"/>
        </w:rPr>
        <w:t>月</w:t>
      </w:r>
      <w:r>
        <w:rPr>
          <w:rFonts w:hint="eastAsia" w:ascii="宋体" w:hAnsi="宋体"/>
          <w:color w:val="C00000"/>
          <w:sz w:val="24"/>
          <w:szCs w:val="24"/>
          <w:lang w:val="en-US" w:eastAsia="zh-CN"/>
        </w:rPr>
        <w:t>21</w:t>
      </w:r>
      <w:r>
        <w:rPr>
          <w:rFonts w:hint="eastAsia" w:ascii="宋体" w:hAnsi="宋体"/>
          <w:color w:val="C00000"/>
          <w:sz w:val="24"/>
          <w:szCs w:val="24"/>
        </w:rPr>
        <w:t>日</w:t>
      </w:r>
      <w:r>
        <w:rPr>
          <w:rFonts w:hint="eastAsia" w:ascii="宋体" w:hAnsi="宋体"/>
          <w:color w:val="C00000"/>
          <w:sz w:val="24"/>
          <w:szCs w:val="24"/>
          <w:lang w:val="en-US" w:eastAsia="zh-CN"/>
        </w:rPr>
        <w:t>14</w:t>
      </w:r>
      <w:r>
        <w:rPr>
          <w:rFonts w:hint="eastAsia" w:ascii="宋体" w:hAnsi="宋体"/>
          <w:color w:val="C00000"/>
          <w:sz w:val="24"/>
          <w:szCs w:val="24"/>
        </w:rPr>
        <w:t>:</w:t>
      </w:r>
      <w:r>
        <w:rPr>
          <w:rFonts w:hint="eastAsia" w:ascii="宋体" w:hAnsi="宋体"/>
          <w:color w:val="C00000"/>
          <w:sz w:val="24"/>
          <w:szCs w:val="24"/>
          <w:lang w:val="en-US" w:eastAsia="zh-CN"/>
        </w:rPr>
        <w:t>3</w:t>
      </w:r>
      <w:r>
        <w:rPr>
          <w:rFonts w:hint="eastAsia" w:ascii="宋体" w:hAnsi="宋体"/>
          <w:color w:val="C00000"/>
          <w:sz w:val="24"/>
          <w:szCs w:val="24"/>
        </w:rPr>
        <w:t>0将投标文件密封送达诸暨市公共资源交易中心开标室（</w:t>
      </w:r>
      <w:r>
        <w:rPr>
          <w:rFonts w:hint="eastAsia" w:ascii="宋体" w:hAnsi="宋体"/>
          <w:color w:val="C00000"/>
          <w:sz w:val="24"/>
          <w:szCs w:val="24"/>
          <w:lang w:val="en-US" w:eastAsia="zh-CN"/>
        </w:rPr>
        <w:t>2</w:t>
      </w:r>
      <w:r>
        <w:rPr>
          <w:rFonts w:hint="eastAsia" w:ascii="宋体" w:hAnsi="宋体"/>
          <w:color w:val="C00000"/>
          <w:sz w:val="24"/>
          <w:szCs w:val="24"/>
        </w:rPr>
        <w:t>）（暨东路58号四楼），逾期送达或未密封将拒绝接收。</w:t>
      </w:r>
    </w:p>
    <w:p>
      <w:pPr>
        <w:autoSpaceDE/>
        <w:autoSpaceDN/>
        <w:adjustRightInd/>
        <w:ind w:firstLine="482" w:firstLineChars="200"/>
        <w:rPr>
          <w:rFonts w:hint="eastAsia" w:ascii="宋体" w:hAnsi="宋体"/>
          <w:b/>
          <w:sz w:val="24"/>
          <w:szCs w:val="24"/>
        </w:rPr>
      </w:pPr>
      <w:r>
        <w:rPr>
          <w:rFonts w:hint="eastAsia" w:ascii="宋体" w:hAnsi="宋体"/>
          <w:b/>
          <w:sz w:val="24"/>
          <w:szCs w:val="24"/>
        </w:rPr>
        <w:t>十、开标时间和地点：</w:t>
      </w:r>
    </w:p>
    <w:p>
      <w:pPr>
        <w:autoSpaceDE/>
        <w:autoSpaceDN/>
        <w:adjustRightInd/>
        <w:ind w:firstLine="480" w:firstLineChars="200"/>
        <w:rPr>
          <w:rFonts w:hint="eastAsia" w:ascii="宋体" w:hAnsi="宋体"/>
          <w:color w:val="C00000"/>
          <w:sz w:val="24"/>
          <w:szCs w:val="24"/>
        </w:rPr>
      </w:pPr>
      <w:r>
        <w:rPr>
          <w:rFonts w:hint="eastAsia" w:ascii="宋体" w:hAnsi="宋体"/>
          <w:color w:val="C00000"/>
          <w:sz w:val="24"/>
          <w:szCs w:val="24"/>
        </w:rPr>
        <w:t>开标时间</w:t>
      </w:r>
      <w:r>
        <w:rPr>
          <w:rFonts w:hint="eastAsia" w:ascii="宋体" w:hAnsi="宋体"/>
          <w:color w:val="C00000"/>
          <w:sz w:val="24"/>
          <w:szCs w:val="24"/>
          <w:lang w:eastAsia="zh-CN"/>
        </w:rPr>
        <w:t>：</w:t>
      </w:r>
      <w:r>
        <w:rPr>
          <w:rFonts w:hint="eastAsia" w:ascii="宋体" w:hAnsi="宋体"/>
          <w:color w:val="C00000"/>
          <w:sz w:val="24"/>
          <w:szCs w:val="24"/>
          <w:lang w:val="en-US" w:eastAsia="zh-CN"/>
        </w:rPr>
        <w:t>2019</w:t>
      </w:r>
      <w:r>
        <w:rPr>
          <w:rFonts w:hint="eastAsia" w:ascii="宋体" w:hAnsi="宋体"/>
          <w:color w:val="C00000"/>
          <w:sz w:val="24"/>
          <w:szCs w:val="24"/>
        </w:rPr>
        <w:t>年</w:t>
      </w:r>
      <w:r>
        <w:rPr>
          <w:rFonts w:hint="eastAsia" w:ascii="宋体" w:hAnsi="宋体"/>
          <w:color w:val="C00000"/>
          <w:sz w:val="24"/>
          <w:szCs w:val="24"/>
          <w:lang w:val="en-US" w:eastAsia="zh-CN"/>
        </w:rPr>
        <w:t>6</w:t>
      </w:r>
      <w:r>
        <w:rPr>
          <w:rFonts w:hint="eastAsia" w:ascii="宋体" w:hAnsi="宋体"/>
          <w:color w:val="C00000"/>
          <w:sz w:val="24"/>
          <w:szCs w:val="24"/>
        </w:rPr>
        <w:t>月</w:t>
      </w:r>
      <w:r>
        <w:rPr>
          <w:rFonts w:hint="eastAsia" w:ascii="宋体" w:hAnsi="宋体"/>
          <w:color w:val="C00000"/>
          <w:sz w:val="24"/>
          <w:szCs w:val="24"/>
          <w:lang w:val="en-US" w:eastAsia="zh-CN"/>
        </w:rPr>
        <w:t>21</w:t>
      </w:r>
      <w:r>
        <w:rPr>
          <w:rFonts w:hint="eastAsia" w:ascii="宋体" w:hAnsi="宋体"/>
          <w:color w:val="C00000"/>
          <w:sz w:val="24"/>
          <w:szCs w:val="24"/>
        </w:rPr>
        <w:t>日</w:t>
      </w:r>
      <w:r>
        <w:rPr>
          <w:rFonts w:hint="eastAsia" w:ascii="宋体" w:hAnsi="宋体"/>
          <w:color w:val="C00000"/>
          <w:sz w:val="24"/>
          <w:szCs w:val="24"/>
          <w:lang w:val="en-US" w:eastAsia="zh-CN"/>
        </w:rPr>
        <w:t>14</w:t>
      </w:r>
      <w:r>
        <w:rPr>
          <w:rFonts w:hint="eastAsia" w:ascii="宋体" w:hAnsi="宋体"/>
          <w:color w:val="C00000"/>
          <w:sz w:val="24"/>
          <w:szCs w:val="24"/>
        </w:rPr>
        <w:t>:</w:t>
      </w:r>
      <w:r>
        <w:rPr>
          <w:rFonts w:hint="eastAsia" w:ascii="宋体" w:hAnsi="宋体"/>
          <w:color w:val="C00000"/>
          <w:sz w:val="24"/>
          <w:szCs w:val="24"/>
          <w:lang w:val="en-US" w:eastAsia="zh-CN"/>
        </w:rPr>
        <w:t>3</w:t>
      </w:r>
      <w:r>
        <w:rPr>
          <w:rFonts w:hint="eastAsia" w:ascii="宋体" w:hAnsi="宋体"/>
          <w:color w:val="C00000"/>
          <w:sz w:val="24"/>
          <w:szCs w:val="24"/>
        </w:rPr>
        <w:t>0</w:t>
      </w:r>
    </w:p>
    <w:p>
      <w:pPr>
        <w:autoSpaceDE/>
        <w:autoSpaceDN/>
        <w:adjustRightInd/>
        <w:ind w:firstLine="480" w:firstLineChars="200"/>
        <w:rPr>
          <w:rFonts w:hint="eastAsia" w:ascii="宋体" w:hAnsi="宋体"/>
          <w:color w:val="C00000"/>
          <w:sz w:val="24"/>
          <w:szCs w:val="24"/>
        </w:rPr>
      </w:pPr>
      <w:r>
        <w:rPr>
          <w:rFonts w:hint="eastAsia" w:ascii="宋体" w:hAnsi="宋体"/>
          <w:color w:val="C00000"/>
          <w:sz w:val="24"/>
          <w:szCs w:val="24"/>
        </w:rPr>
        <w:t>开标地点：诸暨市公共资源交易中心开标室（</w:t>
      </w:r>
      <w:r>
        <w:rPr>
          <w:rFonts w:hint="eastAsia" w:ascii="宋体" w:hAnsi="宋体"/>
          <w:color w:val="C00000"/>
          <w:sz w:val="24"/>
          <w:szCs w:val="24"/>
          <w:lang w:val="en-US" w:eastAsia="zh-CN"/>
        </w:rPr>
        <w:t>2</w:t>
      </w:r>
      <w:r>
        <w:rPr>
          <w:rFonts w:hint="eastAsia" w:ascii="宋体" w:hAnsi="宋体"/>
          <w:color w:val="C00000"/>
          <w:sz w:val="24"/>
          <w:szCs w:val="24"/>
        </w:rPr>
        <w:t>）（暨东路58号四楼）</w:t>
      </w:r>
    </w:p>
    <w:p>
      <w:pPr>
        <w:snapToGrid w:val="0"/>
        <w:ind w:firstLine="420"/>
        <w:rPr>
          <w:rFonts w:hint="eastAsia" w:ascii="宋体" w:hAnsi="宋体" w:cs="Arial"/>
          <w:b/>
          <w:sz w:val="24"/>
        </w:rPr>
      </w:pPr>
      <w:r>
        <w:rPr>
          <w:rFonts w:hint="eastAsia" w:ascii="宋体" w:hAnsi="宋体" w:cs="Arial"/>
          <w:b/>
          <w:sz w:val="24"/>
        </w:rPr>
        <w:t xml:space="preserve">十一、业务咨询：                   </w:t>
      </w:r>
    </w:p>
    <w:p>
      <w:pPr>
        <w:spacing w:line="360" w:lineRule="auto"/>
        <w:ind w:firstLine="720" w:firstLineChars="300"/>
        <w:rPr>
          <w:rFonts w:hint="eastAsia" w:ascii="宋体" w:hAnsi="宋体" w:cs="宋体"/>
          <w:color w:val="auto"/>
          <w:sz w:val="24"/>
          <w:szCs w:val="24"/>
          <w:lang w:val="en-US"/>
        </w:rPr>
      </w:pPr>
      <w:r>
        <w:rPr>
          <w:rFonts w:hint="eastAsia" w:ascii="宋体" w:hAnsi="宋体" w:cs="Arial"/>
          <w:color w:val="auto"/>
          <w:sz w:val="24"/>
          <w:szCs w:val="24"/>
        </w:rPr>
        <w:t>业主</w:t>
      </w:r>
      <w:r>
        <w:rPr>
          <w:rFonts w:ascii="宋体" w:hAnsi="宋体" w:cs="Arial"/>
          <w:color w:val="auto"/>
          <w:sz w:val="24"/>
          <w:szCs w:val="24"/>
        </w:rPr>
        <w:t>单位联系人：</w:t>
      </w:r>
      <w:r>
        <w:rPr>
          <w:rFonts w:hint="eastAsia" w:ascii="宋体" w:hAnsi="宋体"/>
          <w:color w:val="auto"/>
          <w:sz w:val="24"/>
          <w:szCs w:val="24"/>
          <w:lang w:eastAsia="zh-CN"/>
        </w:rPr>
        <w:t>张工</w:t>
      </w:r>
      <w:r>
        <w:rPr>
          <w:rFonts w:hint="eastAsia" w:ascii="宋体" w:hAnsi="宋体"/>
          <w:color w:val="auto"/>
          <w:sz w:val="24"/>
          <w:szCs w:val="24"/>
        </w:rPr>
        <w:t xml:space="preserve"> </w:t>
      </w:r>
      <w:r>
        <w:rPr>
          <w:rFonts w:hint="eastAsia" w:ascii="宋体" w:hAnsi="宋体" w:cs="宋体"/>
          <w:color w:val="auto"/>
          <w:sz w:val="24"/>
          <w:szCs w:val="24"/>
        </w:rPr>
        <w:t xml:space="preserve">  </w:t>
      </w:r>
      <w:r>
        <w:rPr>
          <w:rFonts w:hint="eastAsia" w:ascii="宋体" w:hAnsi="宋体" w:cs="Arial"/>
          <w:color w:val="auto"/>
          <w:sz w:val="24"/>
          <w:szCs w:val="24"/>
        </w:rPr>
        <w:t>；</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联系电话：</w:t>
      </w:r>
      <w:r>
        <w:rPr>
          <w:rFonts w:hint="eastAsia" w:ascii="宋体" w:hAnsi="宋体"/>
          <w:color w:val="auto"/>
          <w:sz w:val="24"/>
          <w:szCs w:val="24"/>
          <w:lang w:val="en-US" w:eastAsia="zh-CN"/>
        </w:rPr>
        <w:t>13575578894</w:t>
      </w:r>
    </w:p>
    <w:p>
      <w:pPr>
        <w:autoSpaceDE/>
        <w:autoSpaceDN/>
        <w:adjustRightInd/>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 代理机构联系人：</w:t>
      </w:r>
      <w:r>
        <w:rPr>
          <w:rFonts w:hint="eastAsia" w:ascii="宋体" w:hAnsi="宋体"/>
          <w:color w:val="auto"/>
          <w:sz w:val="24"/>
          <w:szCs w:val="24"/>
          <w:lang w:eastAsia="zh-CN"/>
        </w:rPr>
        <w:t>孙燕飞</w:t>
      </w:r>
      <w:r>
        <w:rPr>
          <w:rFonts w:hint="eastAsia" w:ascii="宋体" w:hAnsi="宋体"/>
          <w:color w:val="auto"/>
          <w:sz w:val="24"/>
          <w:szCs w:val="24"/>
        </w:rPr>
        <w:t xml:space="preserve">  </w:t>
      </w:r>
      <w:r>
        <w:rPr>
          <w:rFonts w:hint="eastAsia" w:ascii="宋体" w:hAnsi="宋体" w:cs="Arial"/>
          <w:color w:val="auto"/>
          <w:sz w:val="24"/>
          <w:szCs w:val="24"/>
        </w:rPr>
        <w:t>；</w:t>
      </w:r>
      <w:r>
        <w:rPr>
          <w:rFonts w:hint="eastAsia" w:ascii="宋体" w:hAnsi="宋体"/>
          <w:color w:val="auto"/>
          <w:sz w:val="24"/>
          <w:szCs w:val="24"/>
        </w:rPr>
        <w:t xml:space="preserve"> 联系电话：18258588757</w:t>
      </w:r>
    </w:p>
    <w:p>
      <w:pPr>
        <w:rPr>
          <w:rFonts w:hint="eastAsia" w:ascii="宋体" w:hAnsi="宋体"/>
          <w:sz w:val="24"/>
          <w:szCs w:val="24"/>
        </w:rPr>
      </w:pPr>
    </w:p>
    <w:p>
      <w:pPr>
        <w:ind w:firstLine="3120" w:firstLineChars="1300"/>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eastAsia="zh-CN"/>
        </w:rPr>
        <w:t>浙江浣江传媒集团有限公司</w:t>
      </w:r>
    </w:p>
    <w:p>
      <w:pPr>
        <w:jc w:val="center"/>
        <w:rPr>
          <w:rFonts w:hint="eastAsia" w:ascii="楷体_GB2312" w:hAnsi="楷体_GB2312" w:eastAsia="楷体_GB2312" w:cs="楷体_GB2312"/>
          <w:b/>
          <w:bCs/>
          <w:w w:val="95"/>
          <w:sz w:val="30"/>
          <w:szCs w:val="30"/>
        </w:rPr>
      </w:pPr>
      <w:r>
        <w:rPr>
          <w:rFonts w:hint="eastAsia" w:ascii="宋体" w:hAnsi="宋体"/>
          <w:sz w:val="24"/>
          <w:szCs w:val="24"/>
        </w:rPr>
        <w:t>　　　　　　　　　　　　        浙江华元工程咨询有限公司</w:t>
      </w:r>
    </w:p>
    <w:p>
      <w:pPr>
        <w:jc w:val="center"/>
        <w:rPr>
          <w:rFonts w:hint="eastAsia" w:ascii="宋体" w:hAnsi="宋体"/>
          <w:sz w:val="24"/>
          <w:szCs w:val="24"/>
        </w:rPr>
      </w:pPr>
      <w:r>
        <w:rPr>
          <w:rFonts w:hint="eastAsia"/>
        </w:rPr>
        <w:t xml:space="preserve">　　　　　　　　　　　　         </w:t>
      </w:r>
      <w:r>
        <w:rPr>
          <w:rFonts w:hint="eastAsia" w:ascii="宋体" w:hAnsi="宋体"/>
          <w:sz w:val="24"/>
          <w:szCs w:val="24"/>
        </w:rPr>
        <w:t>二○一</w:t>
      </w:r>
      <w:r>
        <w:rPr>
          <w:rFonts w:hint="eastAsia" w:ascii="宋体" w:hAnsi="宋体"/>
          <w:sz w:val="24"/>
          <w:szCs w:val="24"/>
          <w:lang w:eastAsia="zh-CN"/>
        </w:rPr>
        <w:t>九</w:t>
      </w:r>
      <w:r>
        <w:rPr>
          <w:rFonts w:hint="eastAsia" w:ascii="宋体" w:hAnsi="宋体"/>
          <w:sz w:val="24"/>
          <w:szCs w:val="24"/>
        </w:rPr>
        <w:t>年</w:t>
      </w:r>
      <w:r>
        <w:rPr>
          <w:rFonts w:hint="eastAsia" w:ascii="宋体" w:hAnsi="宋体"/>
          <w:sz w:val="24"/>
          <w:szCs w:val="24"/>
          <w:lang w:eastAsia="zh-CN"/>
        </w:rPr>
        <w:t>五</w:t>
      </w:r>
      <w:r>
        <w:rPr>
          <w:rFonts w:hint="eastAsia" w:ascii="宋体" w:hAnsi="宋体"/>
          <w:sz w:val="24"/>
          <w:szCs w:val="24"/>
        </w:rPr>
        <w:t>月</w:t>
      </w:r>
      <w:bookmarkStart w:id="1" w:name="_Toc125344502"/>
      <w:r>
        <w:rPr>
          <w:rFonts w:hint="eastAsia" w:ascii="宋体" w:hAnsi="宋体"/>
          <w:sz w:val="24"/>
          <w:szCs w:val="24"/>
          <w:lang w:eastAsia="zh-CN"/>
        </w:rPr>
        <w:t>二十二</w:t>
      </w:r>
      <w:r>
        <w:rPr>
          <w:rFonts w:hint="eastAsia" w:ascii="宋体" w:hAnsi="宋体"/>
          <w:sz w:val="24"/>
          <w:szCs w:val="24"/>
        </w:rPr>
        <w:t>日</w:t>
      </w:r>
    </w:p>
    <w:p>
      <w:pPr>
        <w:pStyle w:val="4"/>
        <w:spacing w:line="500" w:lineRule="exact"/>
        <w:jc w:val="center"/>
        <w:rPr>
          <w:rFonts w:hint="eastAsia" w:ascii="宋体" w:hAnsi="宋体"/>
          <w:b w:val="0"/>
          <w:kern w:val="0"/>
          <w:sz w:val="24"/>
          <w:szCs w:val="24"/>
        </w:rPr>
      </w:pPr>
    </w:p>
    <w:p>
      <w:pPr>
        <w:pStyle w:val="4"/>
        <w:spacing w:line="500" w:lineRule="exact"/>
        <w:jc w:val="center"/>
        <w:rPr>
          <w:rFonts w:hint="eastAsia" w:ascii="宋体" w:hAnsi="宋体"/>
          <w:sz w:val="36"/>
          <w:szCs w:val="36"/>
        </w:rPr>
      </w:pPr>
    </w:p>
    <w:p>
      <w:pPr>
        <w:rPr>
          <w:rFonts w:hint="eastAsia"/>
        </w:rPr>
      </w:pPr>
    </w:p>
    <w:p>
      <w:pPr>
        <w:rPr>
          <w:rFonts w:hint="eastAsia"/>
        </w:rPr>
      </w:pPr>
    </w:p>
    <w:p>
      <w:pPr>
        <w:rPr>
          <w:rFonts w:hint="eastAsia"/>
        </w:rPr>
      </w:pPr>
    </w:p>
    <w:p>
      <w:pPr>
        <w:rPr>
          <w:rFonts w:hint="eastAsia"/>
        </w:rPr>
      </w:pPr>
    </w:p>
    <w:p>
      <w:pPr>
        <w:rPr>
          <w:rFonts w:hint="eastAsia" w:ascii="_5b8b_4f53" w:hAnsi="_5b8b_4f53" w:cs="宋体"/>
          <w:sz w:val="24"/>
          <w:lang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bookmarkEnd w:id="1"/>
    <w:p>
      <w:pPr>
        <w:pStyle w:val="4"/>
        <w:spacing w:line="240" w:lineRule="auto"/>
        <w:jc w:val="center"/>
        <w:rPr>
          <w:rFonts w:hint="eastAsia" w:ascii="宋体" w:hAnsi="宋体"/>
          <w:sz w:val="36"/>
          <w:szCs w:val="36"/>
        </w:rPr>
      </w:pPr>
      <w:bookmarkStart w:id="2" w:name="_Toc125344503"/>
      <w:r>
        <w:rPr>
          <w:rFonts w:hint="eastAsia" w:ascii="宋体" w:hAnsi="宋体"/>
          <w:sz w:val="36"/>
          <w:szCs w:val="36"/>
        </w:rPr>
        <w:t>第二章   投标须知</w:t>
      </w:r>
    </w:p>
    <w:p>
      <w:pPr>
        <w:jc w:val="center"/>
        <w:rPr>
          <w:rFonts w:hint="eastAsia" w:ascii="宋体" w:hAnsi="宋体"/>
          <w:bCs/>
          <w:sz w:val="28"/>
          <w:szCs w:val="28"/>
        </w:rPr>
      </w:pPr>
      <w:r>
        <w:rPr>
          <w:rFonts w:hint="eastAsia" w:ascii="宋体" w:hAnsi="宋体"/>
          <w:bCs/>
          <w:sz w:val="28"/>
          <w:szCs w:val="28"/>
        </w:rPr>
        <w:t>前  附  表</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9"/>
              <w:ind w:right="-107" w:rightChars="-51"/>
              <w:rPr>
                <w:rFonts w:hint="eastAsia" w:ascii="宋体" w:hAnsi="宋体"/>
                <w:szCs w:val="24"/>
              </w:rPr>
            </w:pPr>
            <w:r>
              <w:rPr>
                <w:rFonts w:hint="eastAsia" w:ascii="宋体" w:hAnsi="宋体" w:cs="宋体"/>
                <w:bCs/>
                <w:color w:val="auto"/>
                <w:sz w:val="24"/>
                <w:szCs w:val="24"/>
                <w:highlight w:val="none"/>
                <w:lang w:val="en-US" w:eastAsia="zh-CN"/>
              </w:rPr>
              <w:t>浙江浣江传媒集团有限公司2019年诸暨广电视频监控设备采购项目采购项目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9"/>
              <w:ind w:right="-107" w:rightChars="-51"/>
              <w:rPr>
                <w:rFonts w:hint="eastAsia"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9"/>
              <w:ind w:right="-107" w:rightChars="-51"/>
              <w:rPr>
                <w:rFonts w:hint="eastAsia" w:ascii="宋体" w:hAnsi="宋体"/>
                <w:szCs w:val="24"/>
              </w:rPr>
            </w:pPr>
            <w:r>
              <w:rPr>
                <w:rFonts w:hint="eastAsia" w:ascii="宋体" w:hAnsi="宋体"/>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szCs w:val="24"/>
              </w:rPr>
            </w:pPr>
            <w:r>
              <w:rPr>
                <w:rFonts w:hint="eastAsia" w:ascii="宋体" w:hAnsi="宋体"/>
                <w:szCs w:val="24"/>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10"/>
              <w:spacing w:before="120" w:beforeLines="0" w:after="120" w:afterLines="0"/>
              <w:rPr>
                <w:rFonts w:hint="eastAsia" w:hAnsi="宋体"/>
                <w:b/>
                <w:szCs w:val="24"/>
              </w:rPr>
            </w:pP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b/>
                <w:bCs/>
                <w:color w:val="auto"/>
                <w:highlight w:val="none"/>
              </w:rPr>
              <w:t xml:space="preserve"> 本次采购最高限价为人民币</w:t>
            </w:r>
            <w:r>
              <w:rPr>
                <w:rFonts w:hint="eastAsia" w:ascii="Times New Roman" w:hAnsi="Times New Roman" w:eastAsia="宋体" w:cs="Times New Roman"/>
                <w:b/>
                <w:bCs/>
                <w:color w:val="FF0000"/>
                <w:highlight w:val="none"/>
                <w:lang w:eastAsia="zh-CN"/>
              </w:rPr>
              <w:t>壹仟陆佰伍拾肆万柒仟零伍拾陆元</w:t>
            </w:r>
            <w:r>
              <w:rPr>
                <w:rFonts w:hint="default" w:ascii="Times New Roman" w:hAnsi="Times New Roman" w:eastAsia="宋体" w:cs="Times New Roman"/>
                <w:b/>
                <w:bCs/>
                <w:color w:val="FF0000"/>
                <w:highlight w:val="none"/>
              </w:rPr>
              <w:t>（￥</w:t>
            </w:r>
            <w:r>
              <w:rPr>
                <w:rFonts w:hint="eastAsia" w:ascii="Times New Roman" w:hAnsi="Times New Roman" w:eastAsia="宋体" w:cs="Times New Roman"/>
                <w:b/>
                <w:bCs/>
                <w:color w:val="FF0000"/>
                <w:highlight w:val="none"/>
                <w:lang w:val="en-US" w:eastAsia="zh-CN"/>
              </w:rPr>
              <w:t>16547056.00</w:t>
            </w:r>
            <w:r>
              <w:rPr>
                <w:rFonts w:hint="default" w:ascii="Times New Roman" w:hAnsi="Times New Roman" w:eastAsia="宋体" w:cs="Times New Roman"/>
                <w:b/>
                <w:bCs/>
                <w:color w:val="FF0000"/>
                <w:highlight w:val="none"/>
              </w:rPr>
              <w:t>）</w:t>
            </w:r>
            <w:r>
              <w:rPr>
                <w:rFonts w:hint="eastAsia" w:ascii="Times New Roman" w:hAnsi="Times New Roman" w:eastAsia="宋体" w:cs="Times New Roman"/>
                <w:b/>
                <w:bCs/>
                <w:color w:val="FF0000"/>
                <w:highlight w:val="none"/>
                <w:lang w:eastAsia="zh-CN"/>
              </w:rPr>
              <w:t>整</w:t>
            </w:r>
            <w:r>
              <w:rPr>
                <w:rFonts w:hint="default" w:ascii="Times New Roman" w:hAnsi="Times New Roman" w:eastAsia="宋体" w:cs="Times New Roman"/>
                <w:b/>
                <w:bCs/>
                <w:color w:val="auto"/>
                <w:highlight w:val="none"/>
              </w:rPr>
              <w:t>，任何超过最高限价的报价将被认定为无效报价。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r>
              <w:rPr>
                <w:rFonts w:hint="eastAsia" w:ascii="宋体" w:hAnsi="宋体"/>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19"/>
              <w:spacing w:line="360" w:lineRule="auto"/>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1、符合《中华人民共和国政府采购法》第二十二条之供应商资格规定；</w:t>
            </w:r>
          </w:p>
          <w:p>
            <w:pPr>
              <w:pStyle w:val="119"/>
              <w:spacing w:line="360" w:lineRule="auto"/>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2、具有安全防范三级及以上资质的法人；</w:t>
            </w:r>
          </w:p>
          <w:p>
            <w:pPr>
              <w:pStyle w:val="119"/>
              <w:widowControl w:val="0"/>
              <w:spacing w:line="360" w:lineRule="auto"/>
              <w:ind w:firstLine="480"/>
              <w:rPr>
                <w:rFonts w:hint="eastAsia" w:ascii="_5b8b_4f53" w:hAnsi="_5b8b_4f53" w:cs="宋体"/>
                <w:sz w:val="24"/>
              </w:rPr>
            </w:pPr>
            <w:r>
              <w:rPr>
                <w:rFonts w:hint="eastAsia" w:ascii="Times New Roman" w:hAnsi="Times New Roman" w:eastAsia="宋体" w:cs="Times New Roman"/>
                <w:color w:val="auto"/>
                <w:szCs w:val="24"/>
                <w:highlight w:val="none"/>
                <w:lang w:val="en-US" w:eastAsia="zh-CN"/>
              </w:rPr>
              <w:t>3</w:t>
            </w:r>
            <w:r>
              <w:rPr>
                <w:rFonts w:hint="default" w:ascii="Times New Roman" w:hAnsi="Times New Roman" w:eastAsia="宋体" w:cs="Times New Roman"/>
                <w:color w:val="auto"/>
                <w:szCs w:val="24"/>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b/>
                <w:szCs w:val="24"/>
              </w:rPr>
            </w:pPr>
            <w:r>
              <w:rPr>
                <w:rFonts w:hint="eastAsia" w:ascii="宋体" w:hAnsi="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9"/>
              <w:rPr>
                <w:rFonts w:ascii="宋体" w:hAnsi="宋体"/>
                <w:szCs w:val="24"/>
              </w:rPr>
            </w:pPr>
            <w:r>
              <w:rPr>
                <w:rFonts w:ascii="宋体" w:hAnsi="宋体"/>
                <w:szCs w:val="24"/>
              </w:rPr>
              <w:fldChar w:fldCharType="begin"/>
            </w:r>
            <w:r>
              <w:rPr>
                <w:rFonts w:ascii="宋体" w:hAnsi="宋体"/>
                <w:szCs w:val="24"/>
              </w:rPr>
              <w:instrText xml:space="preserve"> </w:instrText>
            </w:r>
            <w:r>
              <w:rPr>
                <w:rFonts w:hint="eastAsia" w:ascii="宋体" w:hAnsi="宋体"/>
                <w:szCs w:val="24"/>
              </w:rPr>
              <w:instrText xml:space="preserve">eq \o\ac(□,√)</w:instrText>
            </w:r>
            <w:r>
              <w:rPr>
                <w:rFonts w:ascii="宋体" w:hAnsi="宋体"/>
                <w:szCs w:val="24"/>
              </w:rPr>
              <w:fldChar w:fldCharType="end"/>
            </w:r>
            <w:r>
              <w:rPr>
                <w:rFonts w:hint="eastAsia" w:ascii="宋体" w:hAnsi="宋体"/>
                <w:szCs w:val="24"/>
              </w:rPr>
              <w:t>不接受。</w:t>
            </w:r>
          </w:p>
          <w:p>
            <w:pPr>
              <w:pStyle w:val="19"/>
              <w:rPr>
                <w:rFonts w:hint="eastAsia" w:ascii="宋体" w:hAnsi="宋体"/>
                <w:szCs w:val="24"/>
              </w:rPr>
            </w:pPr>
            <w:r>
              <w:rPr>
                <w:rFonts w:ascii="宋体" w:hAnsi="宋体"/>
                <w:szCs w:val="24"/>
              </w:rPr>
              <w:t>□</w:t>
            </w:r>
            <w:r>
              <w:rPr>
                <w:rFonts w:hint="eastAsia" w:ascii="宋体" w:hAnsi="宋体"/>
                <w:szCs w:val="24"/>
              </w:rPr>
              <w:t>接受。（联合体投标要求</w:t>
            </w:r>
            <w:r>
              <w:rPr>
                <w:rFonts w:ascii="宋体" w:hAnsi="宋体"/>
                <w:szCs w:val="24"/>
              </w:rPr>
              <w:t>:联合体各方中至少有一方符合本文件规定的特定资质条件。但同一专业的投标人组成的联合体应以资质最低的一方为依据。联合体投标的,须提供联合体协议。）</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ascii="宋体" w:hAnsi="宋体"/>
                <w:szCs w:val="24"/>
              </w:rPr>
              <w:fldChar w:fldCharType="begin"/>
            </w:r>
            <w:r>
              <w:rPr>
                <w:rFonts w:ascii="宋体" w:hAnsi="宋体"/>
                <w:szCs w:val="24"/>
              </w:rPr>
              <w:instrText xml:space="preserve"> </w:instrText>
            </w:r>
            <w:r>
              <w:rPr>
                <w:rFonts w:hint="eastAsia" w:ascii="宋体" w:hAnsi="宋体"/>
                <w:szCs w:val="24"/>
              </w:rPr>
              <w:instrText xml:space="preserve">eq \o\ac(□,√)</w:instrText>
            </w:r>
            <w:r>
              <w:rPr>
                <w:rFonts w:ascii="宋体" w:hAnsi="宋体"/>
                <w:szCs w:val="24"/>
              </w:rPr>
              <w:fldChar w:fldCharType="end"/>
            </w:r>
            <w:r>
              <w:rPr>
                <w:rFonts w:hint="eastAsia" w:ascii="宋体" w:hAnsi="宋体"/>
                <w:sz w:val="24"/>
                <w:szCs w:val="24"/>
              </w:rPr>
              <w:t>本次招标共</w:t>
            </w:r>
            <w:r>
              <w:rPr>
                <w:rFonts w:hint="eastAsia" w:ascii="宋体" w:hAnsi="宋体"/>
                <w:b/>
                <w:bCs/>
                <w:sz w:val="24"/>
                <w:szCs w:val="24"/>
                <w:u w:val="single"/>
              </w:rPr>
              <w:t>1</w:t>
            </w:r>
            <w:r>
              <w:rPr>
                <w:rFonts w:hint="eastAsia" w:ascii="宋体" w:hAnsi="宋体"/>
                <w:sz w:val="24"/>
                <w:szCs w:val="24"/>
              </w:rPr>
              <w:t>个标的，招标人将整体择定中标人。</w:t>
            </w:r>
          </w:p>
          <w:p>
            <w:pPr>
              <w:snapToGrid w:val="0"/>
              <w:rPr>
                <w:rFonts w:hint="eastAsia" w:ascii="宋体" w:hAnsi="宋体"/>
                <w:sz w:val="24"/>
                <w:szCs w:val="24"/>
              </w:rPr>
            </w:pPr>
            <w:r>
              <w:rPr>
                <w:rFonts w:ascii="宋体" w:hAnsi="宋体"/>
                <w:szCs w:val="24"/>
              </w:rPr>
              <w:t>□</w:t>
            </w:r>
            <w:r>
              <w:rPr>
                <w:rFonts w:hint="eastAsia" w:ascii="宋体" w:hAnsi="宋体"/>
                <w:sz w:val="24"/>
                <w:szCs w:val="24"/>
              </w:rPr>
              <w:t>本次招标采购共分</w:t>
            </w:r>
            <w:r>
              <w:rPr>
                <w:rFonts w:hint="eastAsia" w:ascii="宋体" w:hAnsi="宋体"/>
                <w:b/>
                <w:bCs/>
                <w:sz w:val="24"/>
                <w:szCs w:val="24"/>
                <w:u w:val="single"/>
              </w:rPr>
              <w:t>＊＊＊</w:t>
            </w:r>
            <w:r>
              <w:rPr>
                <w:rFonts w:hint="eastAsia" w:ascii="宋体" w:hAnsi="宋体"/>
                <w:sz w:val="24"/>
                <w:szCs w:val="24"/>
              </w:rPr>
              <w:t>个标的，投标人可以选择一个或多个标的投标，招标人将分标的择定中标人。一个投标人</w:t>
            </w:r>
            <w:r>
              <w:rPr>
                <w:rFonts w:hint="eastAsia" w:ascii="宋体" w:hAnsi="宋体"/>
                <w:sz w:val="24"/>
                <w:szCs w:val="24"/>
                <w:u w:val="single"/>
              </w:rPr>
              <w:t xml:space="preserve">      </w:t>
            </w:r>
            <w:r>
              <w:rPr>
                <w:rFonts w:hint="eastAsia" w:ascii="宋体" w:hAnsi="宋体"/>
                <w:sz w:val="24"/>
                <w:szCs w:val="24"/>
              </w:rPr>
              <w:t>同时中标多个标的。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r>
              <w:rPr>
                <w:rFonts w:hint="eastAsia" w:ascii="宋体" w:hAnsi="宋体"/>
                <w:szCs w:val="24"/>
              </w:rPr>
              <w:t>资格审查</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9"/>
              <w:rPr>
                <w:rFonts w:hint="eastAsia" w:ascii="宋体" w:hAnsi="宋体"/>
                <w:szCs w:val="24"/>
              </w:rPr>
            </w:pPr>
            <w:r>
              <w:rPr>
                <w:rFonts w:hint="eastAsia" w:ascii="宋体" w:hAnsi="宋体"/>
                <w:szCs w:val="24"/>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r>
              <w:rPr>
                <w:rFonts w:hint="eastAsia" w:ascii="宋体" w:hAnsi="宋体"/>
                <w:szCs w:val="24"/>
              </w:rPr>
              <w:t>招标文件的</w:t>
            </w:r>
          </w:p>
          <w:p>
            <w:pPr>
              <w:pStyle w:val="19"/>
              <w:jc w:val="center"/>
              <w:rPr>
                <w:rFonts w:hint="eastAsia" w:ascii="宋体" w:hAnsi="宋体"/>
                <w:b/>
                <w:szCs w:val="24"/>
              </w:rPr>
            </w:pPr>
            <w:r>
              <w:rPr>
                <w:rFonts w:hint="eastAsia" w:ascii="宋体" w:hAnsi="宋体"/>
                <w:szCs w:val="24"/>
              </w:rPr>
              <w:t>获取</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19"/>
              <w:widowControl w:val="0"/>
              <w:spacing w:line="240" w:lineRule="auto"/>
              <w:ind w:firstLine="480"/>
              <w:rPr>
                <w:rFonts w:hint="eastAsia" w:ascii="宋体" w:hAnsi="宋体"/>
                <w:color w:val="FF0000"/>
              </w:rPr>
            </w:pPr>
            <w:r>
              <w:rPr>
                <w:rFonts w:hint="eastAsia" w:ascii="宋体" w:hAnsi="宋体"/>
              </w:rPr>
              <w:t>本项目</w:t>
            </w:r>
            <w:r>
              <w:rPr>
                <w:rFonts w:hint="eastAsia" w:ascii="宋体" w:hAnsi="宋体"/>
                <w:lang w:eastAsia="zh-CN"/>
              </w:rPr>
              <w:t>采购</w:t>
            </w:r>
            <w:r>
              <w:rPr>
                <w:rFonts w:hint="eastAsia" w:ascii="宋体" w:hAnsi="宋体"/>
              </w:rPr>
              <w:t>文件采用网上下载方式发布，发布时间为201</w:t>
            </w:r>
            <w:r>
              <w:rPr>
                <w:rFonts w:hint="eastAsia" w:ascii="宋体" w:hAnsi="宋体"/>
                <w:lang w:val="en-US" w:eastAsia="zh-CN"/>
              </w:rPr>
              <w:t>9</w:t>
            </w:r>
            <w:r>
              <w:rPr>
                <w:rFonts w:hint="eastAsia" w:ascii="宋体" w:hAnsi="宋体"/>
              </w:rPr>
              <w:t>年</w:t>
            </w:r>
            <w:r>
              <w:rPr>
                <w:rFonts w:hint="eastAsia" w:ascii="宋体" w:hAnsi="宋体"/>
                <w:lang w:val="en-US" w:eastAsia="zh-CN"/>
              </w:rPr>
              <w:t>05</w:t>
            </w:r>
            <w:r>
              <w:rPr>
                <w:rFonts w:hint="eastAsia" w:ascii="宋体" w:hAnsi="宋体"/>
              </w:rPr>
              <w:t>月</w:t>
            </w:r>
            <w:r>
              <w:rPr>
                <w:rFonts w:hint="eastAsia" w:ascii="宋体" w:hAnsi="宋体"/>
                <w:lang w:val="en-US" w:eastAsia="zh-CN"/>
              </w:rPr>
              <w:t>22</w:t>
            </w:r>
            <w:r>
              <w:rPr>
                <w:rFonts w:hint="eastAsia" w:ascii="宋体" w:hAnsi="宋体"/>
              </w:rPr>
              <w:t>日-201</w:t>
            </w:r>
            <w:r>
              <w:rPr>
                <w:rFonts w:hint="eastAsia" w:ascii="宋体" w:hAnsi="宋体"/>
                <w:lang w:val="en-US" w:eastAsia="zh-CN"/>
              </w:rPr>
              <w:t>9</w:t>
            </w:r>
            <w:r>
              <w:rPr>
                <w:rFonts w:hint="eastAsia" w:ascii="宋体" w:hAnsi="宋体"/>
              </w:rPr>
              <w:t>年</w:t>
            </w:r>
            <w:r>
              <w:rPr>
                <w:rFonts w:hint="eastAsia" w:ascii="宋体" w:hAnsi="宋体"/>
                <w:lang w:val="en-US" w:eastAsia="zh-CN"/>
              </w:rPr>
              <w:t>05</w:t>
            </w:r>
            <w:r>
              <w:rPr>
                <w:rFonts w:hint="eastAsia" w:ascii="宋体" w:hAnsi="宋体"/>
              </w:rPr>
              <w:t>月</w:t>
            </w:r>
            <w:r>
              <w:rPr>
                <w:rFonts w:hint="eastAsia" w:ascii="宋体" w:hAnsi="宋体"/>
                <w:lang w:val="en-US" w:eastAsia="zh-CN"/>
              </w:rPr>
              <w:t>29</w:t>
            </w:r>
            <w:r>
              <w:rPr>
                <w:rFonts w:hint="eastAsia" w:ascii="宋体" w:hAnsi="宋体"/>
              </w:rPr>
              <w:t>日，符合投标人资格条件的供应商请在诸暨市公共资源交易网（http://www.zjztb.gov.cn）</w:t>
            </w:r>
            <w:r>
              <w:rPr>
                <w:rFonts w:hint="eastAsia" w:ascii="宋体" w:hAnsi="宋体"/>
                <w:lang w:eastAsia="zh-CN"/>
              </w:rPr>
              <w:t>首页</w:t>
            </w:r>
            <w:r>
              <w:rPr>
                <w:rFonts w:hint="eastAsia" w:ascii="宋体" w:hAnsi="宋体"/>
                <w:lang w:val="en-US" w:eastAsia="zh-CN"/>
              </w:rPr>
              <w:t>-</w:t>
            </w:r>
            <w:r>
              <w:rPr>
                <w:rFonts w:hint="eastAsia" w:ascii="宋体" w:hAnsi="宋体"/>
                <w:lang w:eastAsia="zh-CN"/>
              </w:rPr>
              <w:t>公告代发</w:t>
            </w:r>
            <w:r>
              <w:rPr>
                <w:rFonts w:hint="eastAsia" w:ascii="宋体" w:hAnsi="宋体"/>
              </w:rPr>
              <w:t>板块，</w:t>
            </w:r>
            <w:r>
              <w:rPr>
                <w:rFonts w:hint="eastAsia" w:ascii="宋体" w:hAnsi="宋体"/>
                <w:lang w:eastAsia="zh-CN"/>
              </w:rPr>
              <w:t>交易公告</w:t>
            </w:r>
            <w:r>
              <w:rPr>
                <w:rFonts w:hint="eastAsia" w:ascii="宋体" w:hAnsi="宋体"/>
              </w:rPr>
              <w:t>栏目中下载招标文件，本项目无须报名，于开标当日直接参加投标。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704" w:type="dxa"/>
            <w:vMerge w:val="restart"/>
            <w:tcBorders>
              <w:top w:val="single" w:color="auto" w:sz="4" w:space="0"/>
              <w:left w:val="single" w:color="auto" w:sz="4" w:space="0"/>
              <w:right w:val="single" w:color="auto" w:sz="4" w:space="0"/>
            </w:tcBorders>
            <w:noWrap w:val="0"/>
            <w:vAlign w:val="center"/>
          </w:tcPr>
          <w:p>
            <w:pPr>
              <w:pStyle w:val="19"/>
              <w:spacing w:line="440" w:lineRule="exact"/>
              <w:jc w:val="center"/>
              <w:rPr>
                <w:rFonts w:hint="eastAsia" w:ascii="宋体" w:hAnsi="宋体"/>
                <w:b/>
                <w:szCs w:val="24"/>
              </w:rPr>
            </w:pPr>
            <w:r>
              <w:rPr>
                <w:rFonts w:hint="eastAsia" w:ascii="宋体" w:hAnsi="宋体"/>
                <w:b/>
                <w:szCs w:val="24"/>
              </w:rPr>
              <w:t>10</w:t>
            </w:r>
          </w:p>
        </w:tc>
        <w:tc>
          <w:tcPr>
            <w:tcW w:w="1776" w:type="dxa"/>
            <w:vMerge w:val="restart"/>
            <w:tcBorders>
              <w:top w:val="single" w:color="auto" w:sz="4" w:space="0"/>
              <w:left w:val="single" w:color="auto" w:sz="4" w:space="0"/>
              <w:right w:val="single" w:color="auto" w:sz="4" w:space="0"/>
            </w:tcBorders>
            <w:noWrap w:val="0"/>
            <w:vAlign w:val="center"/>
          </w:tcPr>
          <w:p>
            <w:pPr>
              <w:pStyle w:val="19"/>
              <w:jc w:val="center"/>
              <w:rPr>
                <w:rFonts w:hint="eastAsia" w:ascii="宋体" w:hAnsi="宋体"/>
                <w:b/>
                <w:szCs w:val="24"/>
              </w:rPr>
            </w:pPr>
            <w:r>
              <w:rPr>
                <w:rFonts w:hint="eastAsia" w:ascii="宋体" w:hAnsi="宋体"/>
                <w:szCs w:val="24"/>
              </w:rPr>
              <w:t>投标时应提供资料</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一、资格审查原件：</w:t>
            </w:r>
          </w:p>
          <w:p>
            <w:pPr>
              <w:ind w:firstLine="420" w:firstLineChars="200"/>
            </w:pPr>
            <w:r>
              <w:rPr>
                <w:rFonts w:hint="eastAsia"/>
              </w:rPr>
              <w:t>投标人须在提交投标文件时提供下述相关证照</w:t>
            </w:r>
            <w:r>
              <w:rPr>
                <w:rFonts w:hint="eastAsia"/>
                <w:lang w:eastAsia="zh-CN"/>
              </w:rPr>
              <w:t>原件或公证件</w:t>
            </w:r>
            <w:r>
              <w:rPr>
                <w:rFonts w:hint="eastAsia"/>
              </w:rPr>
              <w:t>（有效期内），未提供或提供不完整的一律作无效标处理：</w:t>
            </w:r>
          </w:p>
          <w:p>
            <w:pPr>
              <w:ind w:firstLine="420" w:firstLineChars="200"/>
              <w:rPr>
                <w:rFonts w:hint="eastAsia"/>
              </w:rPr>
            </w:pPr>
            <w:r>
              <w:rPr>
                <w:rFonts w:hint="eastAsia"/>
              </w:rPr>
              <w:t>1、营业执照原件；</w:t>
            </w:r>
          </w:p>
          <w:p>
            <w:pPr>
              <w:ind w:firstLine="420" w:firstLineChars="200"/>
              <w:rPr>
                <w:rFonts w:hint="eastAsia"/>
              </w:rPr>
            </w:pPr>
            <w:r>
              <w:rPr>
                <w:rFonts w:hint="eastAsia"/>
                <w:lang w:val="en-US" w:eastAsia="zh-CN"/>
              </w:rPr>
              <w:t>2</w:t>
            </w:r>
            <w:r>
              <w:rPr>
                <w:rFonts w:hint="eastAsia"/>
              </w:rPr>
              <w:t>、参加开标现场的投标人代表须提供投标人注册地社保机构出具的该投标人代表近三个月缴纳的社会保障资金证明原件，且该资金必须由投标人缴纳（原件不退）；参加开标现场的投标人代表为法人代表本人的，只需提供法人代表身份证原件。</w:t>
            </w:r>
          </w:p>
          <w:p>
            <w:pPr>
              <w:ind w:firstLine="480" w:firstLineChars="200"/>
              <w:rPr>
                <w:rFonts w:hint="eastAsia"/>
              </w:rPr>
            </w:pPr>
            <w:r>
              <w:rPr>
                <w:rFonts w:hint="eastAsia" w:ascii="宋体" w:hAnsi="宋体" w:cs="宋体"/>
                <w:sz w:val="24"/>
                <w:lang w:val="en-US" w:eastAsia="zh-CN"/>
              </w:rPr>
              <w:t>3.</w:t>
            </w:r>
            <w:r>
              <w:rPr>
                <w:rFonts w:hint="default" w:ascii="宋体" w:hAnsi="宋体" w:cs="宋体"/>
                <w:sz w:val="24"/>
                <w:lang w:val="en-US" w:eastAsia="zh-CN"/>
              </w:rPr>
              <w:t>安全防范三级及以上资质</w:t>
            </w:r>
            <w:r>
              <w:rPr>
                <w:rFonts w:hint="eastAsia" w:ascii="宋体" w:hAnsi="宋体" w:cs="宋体"/>
                <w:sz w:val="24"/>
                <w:lang w:val="en-US" w:eastAsia="zh-CN"/>
              </w:rPr>
              <w:t>证书原件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4" w:type="dxa"/>
            <w:vMerge w:val="continue"/>
            <w:tcBorders>
              <w:left w:val="single" w:color="auto" w:sz="4" w:space="0"/>
              <w:right w:val="single" w:color="auto" w:sz="4" w:space="0"/>
            </w:tcBorders>
            <w:noWrap w:val="0"/>
            <w:vAlign w:val="center"/>
          </w:tcPr>
          <w:p>
            <w:pPr>
              <w:pStyle w:val="19"/>
              <w:spacing w:line="440" w:lineRule="exact"/>
              <w:jc w:val="center"/>
              <w:rPr>
                <w:rFonts w:hint="eastAsia" w:ascii="宋体" w:hAnsi="宋体"/>
                <w:b/>
                <w:szCs w:val="24"/>
              </w:rPr>
            </w:pPr>
          </w:p>
        </w:tc>
        <w:tc>
          <w:tcPr>
            <w:tcW w:w="1776" w:type="dxa"/>
            <w:vMerge w:val="continue"/>
            <w:tcBorders>
              <w:left w:val="single" w:color="auto" w:sz="4" w:space="0"/>
              <w:right w:val="single" w:color="auto" w:sz="4" w:space="0"/>
            </w:tcBorders>
            <w:noWrap w:val="0"/>
            <w:vAlign w:val="center"/>
          </w:tcPr>
          <w:p>
            <w:pPr>
              <w:pStyle w:val="19"/>
              <w:jc w:val="center"/>
              <w:rPr>
                <w:rFonts w:hint="eastAsia" w:ascii="宋体" w:hAnsi="宋体"/>
                <w:szCs w:val="24"/>
              </w:rPr>
            </w:pPr>
          </w:p>
        </w:tc>
        <w:tc>
          <w:tcPr>
            <w:tcW w:w="7589"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rPr>
                <w:rFonts w:hint="eastAsia" w:ascii="宋体" w:hAnsi="宋体"/>
                <w:sz w:val="24"/>
                <w:szCs w:val="24"/>
              </w:rPr>
            </w:pPr>
            <w:r>
              <w:rPr>
                <w:rFonts w:hint="eastAsia" w:ascii="宋体" w:hAnsi="宋体"/>
                <w:sz w:val="24"/>
                <w:szCs w:val="24"/>
              </w:rPr>
              <w:t>二、技术、商务评审原件：</w:t>
            </w:r>
          </w:p>
          <w:p>
            <w:pPr>
              <w:autoSpaceDE/>
              <w:autoSpaceDN/>
              <w:adjustRightInd/>
              <w:rPr>
                <w:rFonts w:ascii="宋体" w:hAnsi="宋体"/>
                <w:sz w:val="24"/>
                <w:szCs w:val="24"/>
              </w:rPr>
            </w:pPr>
            <w:r>
              <w:rPr>
                <w:rFonts w:hint="eastAsia" w:ascii="宋体" w:hAnsi="宋体"/>
                <w:sz w:val="24"/>
                <w:szCs w:val="24"/>
              </w:rPr>
              <w:t>按采购文件要求提供相关原件。</w:t>
            </w:r>
          </w:p>
          <w:p>
            <w:pPr>
              <w:rPr>
                <w:rFonts w:hint="eastAsia" w:ascii="宋体" w:hAnsi="宋体"/>
                <w:b/>
                <w:sz w:val="24"/>
                <w:szCs w:val="24"/>
              </w:rPr>
            </w:pPr>
            <w:r>
              <w:rPr>
                <w:rFonts w:hint="eastAsia" w:ascii="宋体" w:hAnsi="宋体"/>
                <w:b/>
                <w:sz w:val="24"/>
                <w:szCs w:val="24"/>
              </w:rPr>
              <w:t>要求提供原件的应在提交投标文件时按要求提供，逾时拒绝接收，未提供原件的按相关要求处理。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704" w:type="dxa"/>
            <w:vMerge w:val="continue"/>
            <w:tcBorders>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b/>
                <w:szCs w:val="24"/>
              </w:rPr>
            </w:pPr>
          </w:p>
        </w:tc>
        <w:tc>
          <w:tcPr>
            <w:tcW w:w="1776" w:type="dxa"/>
            <w:vMerge w:val="continue"/>
            <w:tcBorders>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p>
        </w:tc>
        <w:tc>
          <w:tcPr>
            <w:tcW w:w="7589"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rPr>
                <w:rFonts w:hint="eastAsia" w:ascii="宋体" w:hAnsi="宋体"/>
                <w:sz w:val="24"/>
                <w:szCs w:val="24"/>
              </w:rPr>
            </w:pPr>
            <w:r>
              <w:rPr>
                <w:rFonts w:hint="eastAsia" w:ascii="宋体" w:hAnsi="宋体"/>
                <w:sz w:val="24"/>
                <w:szCs w:val="24"/>
              </w:rPr>
              <w:t>原件资料的完整性由投标人自行负责，原件资料评审的由评标委员会负责。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cs="Arial"/>
                <w:bCs/>
                <w:color w:val="auto"/>
                <w:kern w:val="2"/>
                <w:sz w:val="24"/>
                <w:szCs w:val="24"/>
                <w:lang w:val="en-US" w:eastAsia="zh-CN" w:bidi="ar-SA"/>
              </w:rPr>
            </w:pPr>
            <w:r>
              <w:rPr>
                <w:rFonts w:hint="eastAsia" w:ascii="宋体" w:hAnsi="宋体" w:cs="Arial"/>
                <w:bCs/>
                <w:color w:val="000000"/>
                <w:szCs w:val="24"/>
              </w:rPr>
              <w:t>投标保证金的形式：投标保证金可以以电汇、转账、汇票等非现金形式提交（以投标人单位名义汇款，不接受个人、分支</w:t>
            </w:r>
            <w:r>
              <w:rPr>
                <w:rFonts w:hint="eastAsia" w:ascii="宋体" w:hAnsi="宋体" w:cs="Arial"/>
                <w:bCs/>
                <w:szCs w:val="24"/>
              </w:rPr>
              <w:t>机构、办事处、子公司或从他人账</w:t>
            </w:r>
            <w:r>
              <w:rPr>
                <w:rFonts w:hint="eastAsia" w:ascii="宋体" w:hAnsi="宋体" w:cs="Arial"/>
                <w:bCs/>
                <w:color w:val="auto"/>
                <w:kern w:val="2"/>
                <w:sz w:val="24"/>
                <w:szCs w:val="24"/>
                <w:lang w:val="en-US" w:eastAsia="zh-CN" w:bidi="ar-SA"/>
              </w:rPr>
              <w:t>户汇款或存款方式）。</w:t>
            </w:r>
          </w:p>
          <w:p>
            <w:pPr>
              <w:ind w:firstLine="480" w:firstLineChars="200"/>
              <w:rPr>
                <w:rFonts w:hint="eastAsia" w:ascii="宋体" w:hAnsi="宋体" w:cs="Arial"/>
                <w:bCs/>
                <w:color w:val="auto"/>
                <w:kern w:val="2"/>
                <w:sz w:val="24"/>
                <w:szCs w:val="24"/>
                <w:lang w:val="en-US" w:eastAsia="zh-CN" w:bidi="ar-SA"/>
              </w:rPr>
            </w:pPr>
            <w:r>
              <w:rPr>
                <w:rFonts w:hint="eastAsia" w:ascii="宋体" w:hAnsi="宋体" w:cs="Arial"/>
                <w:bCs/>
                <w:color w:val="auto"/>
                <w:kern w:val="2"/>
                <w:sz w:val="24"/>
                <w:szCs w:val="24"/>
                <w:lang w:val="en-US" w:eastAsia="zh-CN" w:bidi="ar-SA"/>
              </w:rPr>
              <w:t>投标保证金人民币19万元。</w:t>
            </w:r>
          </w:p>
          <w:p>
            <w:pPr>
              <w:autoSpaceDE/>
              <w:autoSpaceDN/>
              <w:adjustRightInd/>
              <w:ind w:firstLine="482" w:firstLineChars="200"/>
              <w:rPr>
                <w:rFonts w:hint="eastAsia" w:ascii="宋体" w:hAnsi="宋体"/>
                <w:szCs w:val="24"/>
              </w:rPr>
            </w:pPr>
            <w:r>
              <w:rPr>
                <w:rFonts w:hint="eastAsia" w:ascii="宋体" w:hAnsi="宋体" w:eastAsia="宋体" w:cs="宋体"/>
                <w:b/>
                <w:color w:val="000000"/>
                <w:sz w:val="24"/>
                <w:szCs w:val="24"/>
                <w:u w:val="single"/>
              </w:rPr>
              <w:t>缴纳账户名称：诸暨广电物资有限公司；开户银行：中国银行诸暨五角广场支行；帐号：376667196684；款项用途：保证金。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b/>
                <w:szCs w:val="24"/>
              </w:rPr>
            </w:pPr>
          </w:p>
          <w:p>
            <w:pPr>
              <w:pStyle w:val="19"/>
              <w:spacing w:line="440" w:lineRule="exact"/>
              <w:jc w:val="center"/>
              <w:rPr>
                <w:rFonts w:hint="eastAsia" w:ascii="宋体" w:hAnsi="宋体"/>
                <w:b/>
                <w:szCs w:val="24"/>
              </w:rPr>
            </w:pPr>
          </w:p>
          <w:p>
            <w:pPr>
              <w:pStyle w:val="19"/>
              <w:spacing w:line="440" w:lineRule="exact"/>
              <w:jc w:val="center"/>
              <w:rPr>
                <w:rFonts w:hint="eastAsia" w:ascii="宋体" w:hAnsi="宋体"/>
                <w:b/>
                <w:szCs w:val="24"/>
              </w:rPr>
            </w:pPr>
          </w:p>
          <w:p>
            <w:pPr>
              <w:pStyle w:val="19"/>
              <w:spacing w:line="440" w:lineRule="exact"/>
              <w:jc w:val="center"/>
              <w:rPr>
                <w:rFonts w:hint="eastAsia" w:ascii="宋体" w:hAnsi="宋体"/>
                <w:b/>
                <w:szCs w:val="24"/>
              </w:rPr>
            </w:pPr>
          </w:p>
          <w:p>
            <w:pPr>
              <w:pStyle w:val="19"/>
              <w:spacing w:line="440" w:lineRule="exact"/>
              <w:jc w:val="center"/>
              <w:rPr>
                <w:rFonts w:hint="eastAsia" w:ascii="宋体" w:hAnsi="宋体"/>
                <w:b/>
                <w:szCs w:val="24"/>
              </w:rPr>
            </w:pPr>
          </w:p>
          <w:p>
            <w:pPr>
              <w:pStyle w:val="19"/>
              <w:spacing w:line="440" w:lineRule="exact"/>
              <w:jc w:val="center"/>
              <w:rPr>
                <w:rFonts w:hint="eastAsia"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b/>
                <w:szCs w:val="24"/>
              </w:rPr>
            </w:pPr>
            <w:r>
              <w:rPr>
                <w:rFonts w:hint="eastAsia" w:ascii="宋体" w:hAnsi="宋体"/>
                <w:b/>
                <w:color w:val="000000"/>
                <w:szCs w:val="24"/>
              </w:rPr>
              <w:t>技术文件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1）法定代表人授权委托书</w:t>
            </w:r>
            <w:r>
              <w:rPr>
                <w:rFonts w:hint="eastAsia" w:ascii="宋体" w:hAnsi="宋体"/>
                <w:color w:val="auto"/>
                <w:sz w:val="24"/>
                <w:szCs w:val="24"/>
              </w:rPr>
              <w:t>（除法定代表人亲自参加外，</w:t>
            </w:r>
            <w:r>
              <w:rPr>
                <w:rFonts w:ascii="宋体" w:hAnsi="宋体"/>
                <w:color w:val="auto"/>
                <w:sz w:val="24"/>
                <w:szCs w:val="24"/>
              </w:rPr>
              <w:t>格式见附件)；</w:t>
            </w:r>
          </w:p>
          <w:p>
            <w:pPr>
              <w:snapToGrid w:val="0"/>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企业法人营业执照复印件（加盖单位公章）；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投标人情况介绍；</w:t>
            </w:r>
          </w:p>
          <w:p>
            <w:pPr>
              <w:snapToGrid w:val="0"/>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相关资质证明或文件复印件（如有，加盖单位公章）；</w:t>
            </w:r>
          </w:p>
          <w:p>
            <w:pPr>
              <w:snapToGrid w:val="0"/>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成功案例和业绩证明（如有）；</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6）对本项目系统总体要求的理解</w:t>
            </w:r>
            <w:r>
              <w:rPr>
                <w:rFonts w:hint="eastAsia" w:ascii="宋体" w:hAnsi="宋体"/>
                <w:color w:val="auto"/>
                <w:sz w:val="24"/>
                <w:szCs w:val="24"/>
              </w:rPr>
              <w:t>，包括：功能说明、性能指标及设备选型说明（如需要）；</w:t>
            </w:r>
          </w:p>
          <w:p>
            <w:pPr>
              <w:snapToGrid w:val="0"/>
              <w:jc w:val="left"/>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7</w:t>
            </w:r>
            <w:r>
              <w:rPr>
                <w:rFonts w:ascii="宋体" w:hAnsi="宋体"/>
                <w:color w:val="auto"/>
                <w:sz w:val="24"/>
                <w:szCs w:val="24"/>
              </w:rPr>
              <w:t>）招标文件</w:t>
            </w:r>
            <w:r>
              <w:rPr>
                <w:rFonts w:hint="eastAsia" w:ascii="宋体" w:hAnsi="宋体"/>
                <w:color w:val="auto"/>
                <w:sz w:val="24"/>
                <w:szCs w:val="24"/>
              </w:rPr>
              <w:t>标</w:t>
            </w:r>
            <w:r>
              <w:rPr>
                <w:rFonts w:ascii="宋体" w:hAnsi="宋体"/>
                <w:color w:val="auto"/>
                <w:sz w:val="24"/>
                <w:szCs w:val="24"/>
              </w:rPr>
              <w:t>明的影响投标人资格的其他证明文件（如</w:t>
            </w:r>
            <w:r>
              <w:rPr>
                <w:rFonts w:hint="eastAsia" w:ascii="宋体" w:hAnsi="宋体"/>
                <w:color w:val="auto"/>
                <w:sz w:val="24"/>
                <w:szCs w:val="24"/>
              </w:rPr>
              <w:t>主要设备材料的原厂商对本项目的售后服务承诺，本地化服务能力证明）；</w:t>
            </w:r>
          </w:p>
          <w:p>
            <w:pPr>
              <w:snapToGrid w:val="0"/>
              <w:jc w:val="left"/>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8</w:t>
            </w:r>
            <w:r>
              <w:rPr>
                <w:rFonts w:hint="eastAsia" w:ascii="宋体" w:hAnsi="宋体"/>
                <w:color w:val="auto"/>
                <w:sz w:val="24"/>
                <w:szCs w:val="24"/>
              </w:rPr>
              <w:t>）</w:t>
            </w:r>
            <w:r>
              <w:rPr>
                <w:rFonts w:ascii="宋体" w:hAnsi="宋体"/>
                <w:color w:val="auto"/>
                <w:sz w:val="24"/>
                <w:szCs w:val="24"/>
              </w:rPr>
              <w:t>保证工程质量的技术力量及技术措施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9</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lang w:val="en-US" w:eastAsia="zh-CN"/>
              </w:rPr>
              <w:t>0</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lang w:val="en-US" w:eastAsia="zh-CN"/>
              </w:rPr>
              <w:t>1</w:t>
            </w:r>
            <w:r>
              <w:rPr>
                <w:rFonts w:ascii="宋体" w:hAnsi="宋体"/>
                <w:color w:val="auto"/>
                <w:sz w:val="24"/>
                <w:szCs w:val="24"/>
              </w:rPr>
              <w:t>）投标人需要说明的其他文件和说明</w:t>
            </w:r>
            <w:r>
              <w:rPr>
                <w:rFonts w:hint="eastAsia" w:ascii="宋体" w:hAnsi="宋体"/>
                <w:color w:val="auto"/>
                <w:sz w:val="24"/>
                <w:szCs w:val="24"/>
              </w:rPr>
              <w:t>。</w:t>
            </w:r>
          </w:p>
          <w:p>
            <w:pPr>
              <w:pStyle w:val="19"/>
              <w:ind w:firstLine="482" w:firstLineChars="200"/>
              <w:rPr>
                <w:rFonts w:hint="eastAsia" w:ascii="宋体" w:hAnsi="宋体"/>
                <w:b/>
                <w:szCs w:val="24"/>
              </w:rPr>
            </w:pPr>
            <w:r>
              <w:rPr>
                <w:rFonts w:hint="eastAsia" w:ascii="宋体" w:hAnsi="宋体"/>
                <w:b/>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b/>
                <w:szCs w:val="24"/>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r>
              <w:rPr>
                <w:rFonts w:ascii="宋体" w:hAnsi="宋体"/>
                <w:szCs w:val="24"/>
              </w:rPr>
              <w:t>商务文件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sz w:val="24"/>
                <w:szCs w:val="24"/>
              </w:rPr>
            </w:pPr>
            <w:r>
              <w:rPr>
                <w:rFonts w:hint="eastAsia" w:ascii="宋体" w:hAnsi="宋体"/>
                <w:sz w:val="24"/>
                <w:szCs w:val="24"/>
              </w:rPr>
              <w:t>（2</w:t>
            </w:r>
            <w:r>
              <w:rPr>
                <w:rFonts w:ascii="宋体" w:hAnsi="宋体"/>
                <w:sz w:val="24"/>
                <w:szCs w:val="24"/>
              </w:rPr>
              <w:t>）开标一览表（格式见附件）；</w:t>
            </w:r>
          </w:p>
          <w:p>
            <w:pPr>
              <w:tabs>
                <w:tab w:val="left" w:pos="3870"/>
                <w:tab w:val="left" w:pos="4085"/>
              </w:tabs>
              <w:snapToGrid w:val="0"/>
              <w:jc w:val="left"/>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color w:val="auto"/>
                <w:sz w:val="24"/>
                <w:szCs w:val="24"/>
              </w:rPr>
              <w:t>投标承诺书（</w:t>
            </w:r>
            <w:r>
              <w:rPr>
                <w:rFonts w:ascii="宋体" w:hAnsi="宋体"/>
                <w:sz w:val="24"/>
                <w:szCs w:val="24"/>
              </w:rPr>
              <w:t>格式见附件）；</w:t>
            </w:r>
          </w:p>
          <w:p>
            <w:pPr>
              <w:tabs>
                <w:tab w:val="left" w:pos="3870"/>
                <w:tab w:val="left" w:pos="4085"/>
              </w:tabs>
              <w:snapToGrid w:val="0"/>
              <w:jc w:val="left"/>
              <w:rPr>
                <w:rFonts w:ascii="宋体" w:hAnsi="宋体"/>
                <w:sz w:val="24"/>
                <w:szCs w:val="24"/>
              </w:rPr>
            </w:pPr>
            <w:r>
              <w:rPr>
                <w:rFonts w:hint="eastAsia" w:ascii="宋体" w:hAnsi="宋体"/>
                <w:sz w:val="24"/>
                <w:szCs w:val="24"/>
              </w:rPr>
              <w:t>（4</w:t>
            </w:r>
            <w:r>
              <w:rPr>
                <w:rFonts w:ascii="宋体" w:hAnsi="宋体"/>
                <w:sz w:val="24"/>
                <w:szCs w:val="24"/>
              </w:rPr>
              <w:t>）投标人需要说明的其他文件和说明（格式</w:t>
            </w:r>
            <w:r>
              <w:rPr>
                <w:rFonts w:hint="eastAsia" w:ascii="宋体" w:hAnsi="宋体"/>
                <w:sz w:val="24"/>
                <w:szCs w:val="24"/>
              </w:rPr>
              <w:t>自拟</w:t>
            </w:r>
            <w:r>
              <w:rPr>
                <w:rFonts w:ascii="宋体" w:hAnsi="宋体"/>
                <w:sz w:val="24"/>
                <w:szCs w:val="24"/>
              </w:rPr>
              <w:t>）。</w:t>
            </w:r>
          </w:p>
          <w:p>
            <w:pPr>
              <w:snapToGrid w:val="0"/>
              <w:jc w:val="left"/>
              <w:rPr>
                <w:rFonts w:hint="eastAsia" w:ascii="宋体" w:hAnsi="宋体"/>
                <w:b/>
                <w:color w:val="FF0000"/>
                <w:sz w:val="24"/>
                <w:szCs w:val="24"/>
              </w:rPr>
            </w:pPr>
            <w:r>
              <w:rPr>
                <w:rFonts w:ascii="宋体" w:hAnsi="宋体"/>
                <w:sz w:val="24"/>
                <w:szCs w:val="24"/>
              </w:rPr>
              <w:t>注：投标函、开标一览表必须由法定代表人</w:t>
            </w:r>
            <w:r>
              <w:rPr>
                <w:rFonts w:hint="eastAsia" w:ascii="宋体" w:hAnsi="宋体"/>
                <w:sz w:val="24"/>
                <w:szCs w:val="24"/>
              </w:rPr>
              <w:t>或委托代理人</w:t>
            </w:r>
            <w:r>
              <w:rPr>
                <w:rFonts w:ascii="宋体" w:hAnsi="宋体"/>
                <w:sz w:val="24"/>
                <w:szCs w:val="24"/>
              </w:rPr>
              <w:t>签名</w:t>
            </w:r>
            <w:r>
              <w:rPr>
                <w:rFonts w:hint="eastAsia" w:ascii="宋体" w:hAnsi="宋体"/>
                <w:sz w:val="24"/>
                <w:szCs w:val="24"/>
              </w:rPr>
              <w:t>（或盖章）并加盖单位公章。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eastAsia="宋体"/>
                <w:b/>
                <w:szCs w:val="24"/>
                <w:lang w:eastAsia="zh-CN"/>
              </w:rPr>
            </w:pPr>
            <w:r>
              <w:rPr>
                <w:rFonts w:hint="eastAsia" w:ascii="宋体" w:hAnsi="宋体"/>
                <w:b/>
                <w:szCs w:val="24"/>
              </w:rPr>
              <w:t>1</w:t>
            </w:r>
            <w:r>
              <w:rPr>
                <w:rFonts w:hint="eastAsia" w:ascii="宋体" w:hAnsi="宋体"/>
                <w:b/>
                <w:szCs w:val="24"/>
                <w:lang w:val="en-US" w:eastAsia="zh-CN"/>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r>
              <w:rPr>
                <w:rFonts w:hint="eastAsia" w:ascii="宋体" w:hAnsi="宋体"/>
                <w:szCs w:val="24"/>
              </w:rPr>
              <w:t>投标文件份数</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9"/>
              <w:rPr>
                <w:rFonts w:hint="eastAsia" w:ascii="宋体" w:hAnsi="宋体"/>
                <w:szCs w:val="24"/>
              </w:rPr>
            </w:pPr>
            <w:r>
              <w:rPr>
                <w:rFonts w:hint="eastAsia" w:ascii="宋体" w:hAnsi="宋体"/>
                <w:szCs w:val="24"/>
              </w:rPr>
              <w:t>技术文件正本一份，副本</w:t>
            </w:r>
            <w:r>
              <w:rPr>
                <w:rFonts w:hint="eastAsia" w:ascii="宋体" w:hAnsi="宋体"/>
                <w:szCs w:val="24"/>
                <w:lang w:eastAsia="zh-CN"/>
              </w:rPr>
              <w:t>六</w:t>
            </w:r>
            <w:r>
              <w:rPr>
                <w:rFonts w:hint="eastAsia" w:ascii="宋体" w:hAnsi="宋体"/>
                <w:szCs w:val="24"/>
              </w:rPr>
              <w:t>份</w:t>
            </w:r>
          </w:p>
          <w:p>
            <w:pPr>
              <w:pStyle w:val="19"/>
              <w:rPr>
                <w:rFonts w:hint="eastAsia" w:ascii="宋体" w:hAnsi="宋体"/>
                <w:szCs w:val="24"/>
              </w:rPr>
            </w:pPr>
            <w:r>
              <w:rPr>
                <w:rFonts w:hint="eastAsia" w:ascii="宋体" w:hAnsi="宋体"/>
                <w:szCs w:val="24"/>
              </w:rPr>
              <w:t>商务文件正本一份，副本</w:t>
            </w:r>
            <w:r>
              <w:rPr>
                <w:rFonts w:hint="eastAsia" w:ascii="宋体" w:hAnsi="宋体"/>
                <w:szCs w:val="24"/>
                <w:lang w:eastAsia="zh-CN"/>
              </w:rPr>
              <w:t>六</w:t>
            </w:r>
            <w:r>
              <w:rPr>
                <w:rFonts w:hint="eastAsia" w:ascii="宋体" w:hAnsi="宋体"/>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eastAsia="宋体"/>
                <w:b/>
                <w:szCs w:val="24"/>
                <w:lang w:eastAsia="zh-CN"/>
              </w:rPr>
            </w:pPr>
            <w:r>
              <w:rPr>
                <w:rFonts w:hint="eastAsia" w:ascii="宋体" w:hAnsi="宋体"/>
                <w:b/>
                <w:szCs w:val="24"/>
              </w:rPr>
              <w:t>1</w:t>
            </w:r>
            <w:r>
              <w:rPr>
                <w:rFonts w:hint="eastAsia" w:ascii="宋体" w:hAnsi="宋体"/>
                <w:b/>
                <w:szCs w:val="24"/>
                <w:lang w:val="en-US" w:eastAsia="zh-CN"/>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9"/>
              <w:rPr>
                <w:rFonts w:hint="eastAsia"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eastAsia="宋体"/>
                <w:b/>
                <w:szCs w:val="24"/>
                <w:lang w:eastAsia="zh-CN"/>
              </w:rPr>
            </w:pPr>
            <w:r>
              <w:rPr>
                <w:rFonts w:hint="eastAsia" w:ascii="宋体" w:hAnsi="宋体"/>
                <w:b/>
                <w:szCs w:val="24"/>
              </w:rPr>
              <w:t>1</w:t>
            </w:r>
            <w:r>
              <w:rPr>
                <w:rFonts w:hint="eastAsia" w:ascii="宋体" w:hAnsi="宋体"/>
                <w:b/>
                <w:szCs w:val="24"/>
                <w:lang w:val="en-US" w:eastAsia="zh-CN"/>
              </w:rPr>
              <w:t>6</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9"/>
              <w:rPr>
                <w:rFonts w:hint="eastAsia" w:ascii="宋体" w:hAnsi="宋体"/>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eastAsia="宋体"/>
                <w:b/>
                <w:szCs w:val="24"/>
                <w:lang w:eastAsia="zh-CN"/>
              </w:rPr>
            </w:pPr>
            <w:r>
              <w:rPr>
                <w:rFonts w:hint="eastAsia" w:ascii="宋体" w:hAnsi="宋体"/>
                <w:b/>
                <w:szCs w:val="24"/>
              </w:rPr>
              <w:t>1</w:t>
            </w:r>
            <w:r>
              <w:rPr>
                <w:rFonts w:hint="eastAsia" w:ascii="宋体" w:hAnsi="宋体"/>
                <w:b/>
                <w:szCs w:val="24"/>
                <w:lang w:val="en-US" w:eastAsia="zh-CN"/>
              </w:rPr>
              <w:t>7</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9"/>
              <w:rPr>
                <w:rFonts w:hint="eastAsia" w:ascii="宋体" w:hAnsi="宋体"/>
                <w:szCs w:val="24"/>
              </w:rPr>
            </w:pPr>
            <w:r>
              <w:rPr>
                <w:rFonts w:ascii="宋体" w:hAnsi="宋体"/>
                <w:szCs w:val="24"/>
              </w:rPr>
              <w:t>本项目不允许转包</w:t>
            </w:r>
            <w:r>
              <w:rPr>
                <w:rFonts w:hint="eastAsia" w:ascii="宋体" w:hAnsi="宋体"/>
                <w:szCs w:val="24"/>
              </w:rPr>
              <w:t>和违法</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eastAsia="宋体"/>
                <w:b/>
                <w:szCs w:val="24"/>
                <w:lang w:val="en-US" w:eastAsia="zh-CN"/>
              </w:rPr>
            </w:pPr>
            <w:r>
              <w:rPr>
                <w:rFonts w:hint="eastAsia" w:ascii="宋体" w:hAnsi="宋体"/>
                <w:b/>
                <w:szCs w:val="24"/>
                <w:lang w:val="en-US" w:eastAsia="zh-CN"/>
              </w:rPr>
              <w:t>18</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9"/>
              <w:rPr>
                <w:rFonts w:hint="eastAsia" w:ascii="宋体" w:hAnsi="宋体"/>
                <w:szCs w:val="24"/>
              </w:rPr>
            </w:pPr>
            <w:r>
              <w:rPr>
                <w:rFonts w:hint="eastAsia" w:ascii="宋体" w:hAnsi="宋体"/>
                <w:szCs w:val="24"/>
              </w:rPr>
              <w:t>签订合同前，中标人须向采购单位交入</w:t>
            </w:r>
            <w:r>
              <w:rPr>
                <w:rFonts w:hint="eastAsia" w:ascii="宋体" w:hAnsi="宋体"/>
                <w:szCs w:val="24"/>
                <w:lang w:val="en-US" w:eastAsia="zh-CN"/>
              </w:rPr>
              <w:t>10%</w:t>
            </w:r>
            <w:r>
              <w:rPr>
                <w:rFonts w:hint="eastAsia" w:ascii="宋体" w:hAnsi="宋体"/>
                <w:szCs w:val="24"/>
              </w:rPr>
              <w:t>的履约保证金。</w:t>
            </w:r>
            <w:r>
              <w:rPr>
                <w:rFonts w:hint="eastAsia" w:ascii="宋体" w:hAnsi="宋体"/>
              </w:rPr>
              <w:t>履约保证金在采购单位将货物（服务、工程）验收合格后5日内无息退还给。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eastAsia="宋体"/>
                <w:b/>
                <w:szCs w:val="24"/>
                <w:lang w:val="en-US" w:eastAsia="zh-CN"/>
              </w:rPr>
            </w:pPr>
            <w:r>
              <w:rPr>
                <w:rFonts w:hint="eastAsia" w:ascii="宋体" w:hAnsi="宋体"/>
                <w:b/>
                <w:szCs w:val="24"/>
                <w:lang w:val="en-US" w:eastAsia="zh-CN"/>
              </w:rPr>
              <w:t>19</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r>
              <w:rPr>
                <w:rFonts w:hint="eastAsia" w:ascii="宋体" w:hAnsi="宋体"/>
                <w:szCs w:val="24"/>
              </w:rPr>
              <w:t>投标文件递交截止时间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C00000"/>
                <w:kern w:val="2"/>
                <w:sz w:val="24"/>
                <w:szCs w:val="20"/>
              </w:rPr>
            </w:pPr>
            <w:r>
              <w:rPr>
                <w:rFonts w:hint="eastAsia" w:ascii="宋体" w:hAnsi="宋体"/>
                <w:color w:val="C00000"/>
                <w:sz w:val="24"/>
                <w:szCs w:val="24"/>
                <w:lang w:val="en-US" w:eastAsia="zh-CN"/>
              </w:rPr>
              <w:t>2019</w:t>
            </w:r>
            <w:r>
              <w:rPr>
                <w:rFonts w:hint="eastAsia" w:ascii="宋体" w:hAnsi="宋体"/>
                <w:color w:val="C00000"/>
                <w:sz w:val="24"/>
                <w:szCs w:val="24"/>
              </w:rPr>
              <w:t>年</w:t>
            </w:r>
            <w:r>
              <w:rPr>
                <w:rFonts w:hint="eastAsia" w:ascii="宋体" w:hAnsi="宋体"/>
                <w:color w:val="C00000"/>
                <w:sz w:val="24"/>
                <w:szCs w:val="24"/>
                <w:lang w:val="en-US" w:eastAsia="zh-CN"/>
              </w:rPr>
              <w:t>6</w:t>
            </w:r>
            <w:r>
              <w:rPr>
                <w:rFonts w:hint="eastAsia" w:ascii="宋体" w:hAnsi="宋体"/>
                <w:color w:val="C00000"/>
                <w:sz w:val="24"/>
                <w:szCs w:val="24"/>
              </w:rPr>
              <w:t>月</w:t>
            </w:r>
            <w:r>
              <w:rPr>
                <w:rFonts w:hint="eastAsia" w:ascii="宋体" w:hAnsi="宋体"/>
                <w:color w:val="C00000"/>
                <w:sz w:val="24"/>
                <w:szCs w:val="24"/>
                <w:lang w:val="en-US" w:eastAsia="zh-CN"/>
              </w:rPr>
              <w:t>21</w:t>
            </w:r>
            <w:r>
              <w:rPr>
                <w:rFonts w:hint="eastAsia" w:ascii="宋体" w:hAnsi="宋体"/>
                <w:color w:val="C00000"/>
                <w:sz w:val="24"/>
                <w:szCs w:val="24"/>
              </w:rPr>
              <w:t>日</w:t>
            </w:r>
            <w:r>
              <w:rPr>
                <w:rFonts w:hint="eastAsia" w:ascii="宋体" w:hAnsi="宋体"/>
                <w:color w:val="C00000"/>
                <w:sz w:val="24"/>
                <w:szCs w:val="24"/>
                <w:lang w:val="en-US" w:eastAsia="zh-CN"/>
              </w:rPr>
              <w:t>14</w:t>
            </w:r>
            <w:r>
              <w:rPr>
                <w:rFonts w:hint="eastAsia" w:ascii="宋体" w:hAnsi="宋体"/>
                <w:color w:val="C00000"/>
                <w:sz w:val="24"/>
                <w:szCs w:val="24"/>
              </w:rPr>
              <w:t>:</w:t>
            </w:r>
            <w:r>
              <w:rPr>
                <w:rFonts w:hint="eastAsia" w:ascii="宋体" w:hAnsi="宋体"/>
                <w:color w:val="C00000"/>
                <w:sz w:val="24"/>
                <w:szCs w:val="24"/>
                <w:lang w:val="en-US" w:eastAsia="zh-CN"/>
              </w:rPr>
              <w:t>3</w:t>
            </w:r>
            <w:r>
              <w:rPr>
                <w:rFonts w:hint="eastAsia" w:ascii="宋体" w:hAnsi="宋体"/>
                <w:color w:val="C00000"/>
                <w:sz w:val="24"/>
                <w:szCs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eastAsia="宋体"/>
                <w:b/>
                <w:szCs w:val="24"/>
                <w:lang w:eastAsia="zh-CN"/>
              </w:rPr>
            </w:pPr>
            <w:r>
              <w:rPr>
                <w:rFonts w:hint="eastAsia" w:ascii="宋体" w:hAnsi="宋体"/>
                <w:b/>
                <w:szCs w:val="24"/>
              </w:rPr>
              <w:t>2</w:t>
            </w:r>
            <w:r>
              <w:rPr>
                <w:rFonts w:hint="eastAsia" w:ascii="宋体" w:hAnsi="宋体"/>
                <w:b/>
                <w:szCs w:val="24"/>
                <w:lang w:val="en-US" w:eastAsia="zh-CN"/>
              </w:rPr>
              <w:t>0</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r>
              <w:rPr>
                <w:rFonts w:hint="eastAsia" w:ascii="宋体" w:hAnsi="宋体"/>
                <w:szCs w:val="24"/>
              </w:rPr>
              <w:t>投标文件递交地点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C00000"/>
                <w:kern w:val="2"/>
                <w:sz w:val="24"/>
                <w:szCs w:val="20"/>
              </w:rPr>
            </w:pPr>
            <w:r>
              <w:rPr>
                <w:rFonts w:hint="eastAsia" w:ascii="宋体" w:hAnsi="宋体"/>
                <w:color w:val="C00000"/>
                <w:sz w:val="24"/>
                <w:szCs w:val="24"/>
              </w:rPr>
              <w:t>诸暨市公共资源交易中心开标室（</w:t>
            </w:r>
            <w:r>
              <w:rPr>
                <w:rFonts w:hint="eastAsia" w:ascii="宋体" w:hAnsi="宋体"/>
                <w:color w:val="C00000"/>
                <w:sz w:val="24"/>
                <w:szCs w:val="24"/>
                <w:lang w:val="en-US" w:eastAsia="zh-CN"/>
              </w:rPr>
              <w:t>2</w:t>
            </w:r>
            <w:r>
              <w:rPr>
                <w:rFonts w:hint="eastAsia" w:ascii="宋体" w:hAnsi="宋体"/>
                <w:color w:val="C00000"/>
                <w:sz w:val="24"/>
                <w:szCs w:val="24"/>
              </w:rPr>
              <w:t>）（暨东路58号四楼）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eastAsia="宋体"/>
                <w:b/>
                <w:szCs w:val="24"/>
                <w:lang w:eastAsia="zh-CN"/>
              </w:rPr>
            </w:pPr>
            <w:r>
              <w:rPr>
                <w:rFonts w:hint="eastAsia" w:ascii="宋体" w:hAnsi="宋体"/>
                <w:b/>
                <w:szCs w:val="24"/>
              </w:rPr>
              <w:t>2</w:t>
            </w:r>
            <w:r>
              <w:rPr>
                <w:rFonts w:hint="eastAsia" w:ascii="宋体" w:hAnsi="宋体"/>
                <w:b/>
                <w:szCs w:val="24"/>
                <w:lang w:val="en-US" w:eastAsia="zh-CN"/>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auto"/>
                <w:kern w:val="2"/>
                <w:sz w:val="24"/>
                <w:szCs w:val="20"/>
              </w:rPr>
            </w:pPr>
            <w:r>
              <w:rPr>
                <w:rFonts w:hint="eastAsia" w:ascii="宋体" w:hAnsi="宋体"/>
                <w:color w:val="C00000"/>
                <w:sz w:val="24"/>
                <w:szCs w:val="24"/>
                <w:lang w:val="en-US" w:eastAsia="zh-CN"/>
              </w:rPr>
              <w:t>2019</w:t>
            </w:r>
            <w:r>
              <w:rPr>
                <w:rFonts w:hint="eastAsia" w:ascii="宋体" w:hAnsi="宋体"/>
                <w:color w:val="C00000"/>
                <w:sz w:val="24"/>
                <w:szCs w:val="24"/>
              </w:rPr>
              <w:t>年</w:t>
            </w:r>
            <w:r>
              <w:rPr>
                <w:rFonts w:hint="eastAsia" w:ascii="宋体" w:hAnsi="宋体"/>
                <w:color w:val="C00000"/>
                <w:sz w:val="24"/>
                <w:szCs w:val="24"/>
                <w:lang w:val="en-US" w:eastAsia="zh-CN"/>
              </w:rPr>
              <w:t>6</w:t>
            </w:r>
            <w:r>
              <w:rPr>
                <w:rFonts w:hint="eastAsia" w:ascii="宋体" w:hAnsi="宋体"/>
                <w:color w:val="C00000"/>
                <w:sz w:val="24"/>
                <w:szCs w:val="24"/>
              </w:rPr>
              <w:t>月</w:t>
            </w:r>
            <w:r>
              <w:rPr>
                <w:rFonts w:hint="eastAsia" w:ascii="宋体" w:hAnsi="宋体"/>
                <w:color w:val="C00000"/>
                <w:sz w:val="24"/>
                <w:szCs w:val="24"/>
                <w:lang w:val="en-US" w:eastAsia="zh-CN"/>
              </w:rPr>
              <w:t>21</w:t>
            </w:r>
            <w:r>
              <w:rPr>
                <w:rFonts w:hint="eastAsia" w:ascii="宋体" w:hAnsi="宋体"/>
                <w:color w:val="C00000"/>
                <w:sz w:val="24"/>
                <w:szCs w:val="24"/>
              </w:rPr>
              <w:t>日</w:t>
            </w:r>
            <w:r>
              <w:rPr>
                <w:rFonts w:hint="eastAsia" w:ascii="宋体" w:hAnsi="宋体"/>
                <w:color w:val="C00000"/>
                <w:sz w:val="24"/>
                <w:szCs w:val="24"/>
                <w:lang w:val="en-US" w:eastAsia="zh-CN"/>
              </w:rPr>
              <w:t>14</w:t>
            </w:r>
            <w:r>
              <w:rPr>
                <w:rFonts w:hint="eastAsia" w:ascii="宋体" w:hAnsi="宋体"/>
                <w:color w:val="C00000"/>
                <w:sz w:val="24"/>
                <w:szCs w:val="24"/>
              </w:rPr>
              <w:t>:</w:t>
            </w:r>
            <w:r>
              <w:rPr>
                <w:rFonts w:hint="eastAsia" w:ascii="宋体" w:hAnsi="宋体"/>
                <w:color w:val="C00000"/>
                <w:sz w:val="24"/>
                <w:szCs w:val="24"/>
                <w:lang w:val="en-US" w:eastAsia="zh-CN"/>
              </w:rPr>
              <w:t>3</w:t>
            </w:r>
            <w:r>
              <w:rPr>
                <w:rFonts w:hint="eastAsia" w:ascii="宋体" w:hAnsi="宋体"/>
                <w:color w:val="C00000"/>
                <w:sz w:val="24"/>
                <w:szCs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eastAsia="宋体"/>
                <w:b/>
                <w:szCs w:val="24"/>
                <w:lang w:val="en-US" w:eastAsia="zh-CN"/>
              </w:rPr>
            </w:pPr>
            <w:r>
              <w:rPr>
                <w:rFonts w:hint="eastAsia" w:ascii="宋体" w:hAnsi="宋体"/>
                <w:b/>
                <w:szCs w:val="24"/>
                <w:lang w:val="en-US" w:eastAsia="zh-CN"/>
              </w:rPr>
              <w:t>22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auto"/>
                <w:kern w:val="2"/>
                <w:sz w:val="24"/>
                <w:szCs w:val="20"/>
              </w:rPr>
            </w:pPr>
            <w:r>
              <w:rPr>
                <w:rFonts w:hint="eastAsia" w:ascii="宋体" w:hAnsi="宋体"/>
                <w:color w:val="C00000"/>
                <w:sz w:val="24"/>
                <w:szCs w:val="24"/>
              </w:rPr>
              <w:t>诸暨市公共资源交易中心开标室（</w:t>
            </w:r>
            <w:r>
              <w:rPr>
                <w:rFonts w:hint="eastAsia" w:ascii="宋体" w:hAnsi="宋体"/>
                <w:color w:val="C00000"/>
                <w:sz w:val="24"/>
                <w:szCs w:val="24"/>
                <w:lang w:val="en-US" w:eastAsia="zh-CN"/>
              </w:rPr>
              <w:t>2</w:t>
            </w:r>
            <w:r>
              <w:rPr>
                <w:rFonts w:hint="eastAsia" w:ascii="宋体" w:hAnsi="宋体"/>
                <w:color w:val="C00000"/>
                <w:sz w:val="24"/>
                <w:szCs w:val="24"/>
              </w:rPr>
              <w:t>）（暨东路58号四楼）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eastAsia="宋体"/>
                <w:b/>
                <w:szCs w:val="24"/>
                <w:lang w:val="en-US" w:eastAsia="zh-CN"/>
              </w:rPr>
            </w:pPr>
            <w:r>
              <w:rPr>
                <w:rFonts w:hint="eastAsia" w:ascii="宋体" w:hAnsi="宋体"/>
                <w:b/>
                <w:szCs w:val="24"/>
                <w:lang w:val="en-US" w:eastAsia="zh-CN"/>
              </w:rPr>
              <w:t>23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b/>
                <w:szCs w:val="24"/>
              </w:rPr>
            </w:pPr>
            <w:r>
              <w:rPr>
                <w:rFonts w:hint="eastAsia" w:ascii="宋体" w:hAnsi="宋体"/>
                <w:szCs w:val="24"/>
              </w:rPr>
              <w:t>质疑与答疑时间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9"/>
              <w:rPr>
                <w:rFonts w:hint="eastAsia" w:ascii="宋体" w:hAnsi="宋体"/>
              </w:rPr>
            </w:pPr>
            <w:r>
              <w:rPr>
                <w:rFonts w:hint="eastAsia" w:ascii="宋体" w:hAnsi="宋体"/>
              </w:rPr>
              <w:t>投标人应在</w:t>
            </w:r>
            <w:r>
              <w:rPr>
                <w:rFonts w:hint="eastAsia" w:ascii="宋体" w:hAnsi="宋体"/>
                <w:color w:val="auto"/>
              </w:rPr>
              <w:t>201</w:t>
            </w:r>
            <w:r>
              <w:rPr>
                <w:rFonts w:hint="eastAsia" w:ascii="宋体" w:hAnsi="宋体"/>
                <w:color w:val="auto"/>
                <w:lang w:val="en-US" w:eastAsia="zh-CN"/>
              </w:rPr>
              <w:t>9</w:t>
            </w:r>
            <w:r>
              <w:rPr>
                <w:rFonts w:hint="eastAsia" w:ascii="宋体" w:hAnsi="宋体"/>
                <w:color w:val="auto"/>
              </w:rPr>
              <w:t>年</w:t>
            </w:r>
            <w:r>
              <w:rPr>
                <w:rFonts w:hint="eastAsia" w:ascii="宋体" w:hAnsi="宋体"/>
                <w:color w:val="auto"/>
                <w:lang w:val="en-US" w:eastAsia="zh-CN"/>
              </w:rPr>
              <w:t>05</w:t>
            </w:r>
            <w:r>
              <w:rPr>
                <w:rFonts w:hint="eastAsia" w:ascii="宋体" w:hAnsi="宋体"/>
                <w:color w:val="auto"/>
              </w:rPr>
              <w:t>月</w:t>
            </w:r>
            <w:r>
              <w:rPr>
                <w:rFonts w:hint="eastAsia" w:ascii="宋体" w:hAnsi="宋体"/>
                <w:color w:val="auto"/>
                <w:lang w:val="en-US" w:eastAsia="zh-CN"/>
              </w:rPr>
              <w:t>29</w:t>
            </w:r>
            <w:r>
              <w:rPr>
                <w:rFonts w:hint="eastAsia" w:ascii="宋体" w:hAnsi="宋体"/>
                <w:color w:val="auto"/>
              </w:rPr>
              <w:t>日12时</w:t>
            </w:r>
            <w:r>
              <w:rPr>
                <w:rFonts w:hint="eastAsia" w:ascii="宋体" w:hAnsi="宋体"/>
              </w:rPr>
              <w:t>前以书面形式向采购代理机构提出质疑，逾期提出的，采购代理机构不予受理、答复。采购代理机构与采购人研究后，对认为有必要回答的问题，招标人将在</w:t>
            </w:r>
            <w:r>
              <w:rPr>
                <w:rFonts w:hint="eastAsia" w:ascii="宋体" w:hAnsi="宋体"/>
                <w:color w:val="auto"/>
              </w:rPr>
              <w:t>201</w:t>
            </w:r>
            <w:r>
              <w:rPr>
                <w:rFonts w:hint="eastAsia" w:ascii="宋体" w:hAnsi="宋体"/>
                <w:color w:val="auto"/>
                <w:lang w:val="en-US" w:eastAsia="zh-CN"/>
              </w:rPr>
              <w:t>9</w:t>
            </w:r>
            <w:r>
              <w:rPr>
                <w:rFonts w:hint="eastAsia" w:ascii="宋体" w:hAnsi="宋体"/>
                <w:color w:val="auto"/>
              </w:rPr>
              <w:t>年</w:t>
            </w:r>
            <w:r>
              <w:rPr>
                <w:rFonts w:hint="eastAsia" w:ascii="宋体" w:hAnsi="宋体"/>
                <w:color w:val="auto"/>
                <w:lang w:val="en-US" w:eastAsia="zh-CN"/>
              </w:rPr>
              <w:t>05</w:t>
            </w:r>
            <w:r>
              <w:rPr>
                <w:rFonts w:hint="eastAsia" w:ascii="宋体" w:hAnsi="宋体"/>
                <w:color w:val="auto"/>
              </w:rPr>
              <w:t>月</w:t>
            </w:r>
            <w:r>
              <w:rPr>
                <w:rFonts w:hint="eastAsia" w:ascii="宋体" w:hAnsi="宋体"/>
                <w:color w:val="auto"/>
                <w:lang w:val="en-US" w:eastAsia="zh-CN"/>
              </w:rPr>
              <w:t>31</w:t>
            </w:r>
            <w:r>
              <w:rPr>
                <w:rFonts w:hint="eastAsia" w:ascii="宋体" w:hAnsi="宋体"/>
                <w:color w:val="auto"/>
              </w:rPr>
              <w:t>日12时</w:t>
            </w:r>
            <w:r>
              <w:rPr>
                <w:rFonts w:hint="eastAsia" w:ascii="宋体" w:hAnsi="宋体"/>
              </w:rPr>
              <w:t>前将答疑内容以网上发布公告的形式通知所有投标人，投标人自行在网上查阅、下载答疑回复答疑内容是招标文件的组成部分。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9"/>
              <w:spacing w:line="440" w:lineRule="exact"/>
              <w:jc w:val="center"/>
              <w:rPr>
                <w:rFonts w:hint="eastAsia" w:ascii="宋体" w:hAnsi="宋体" w:eastAsia="宋体"/>
                <w:b/>
                <w:szCs w:val="24"/>
                <w:lang w:eastAsia="zh-CN"/>
              </w:rPr>
            </w:pPr>
            <w:r>
              <w:rPr>
                <w:rFonts w:hint="eastAsia" w:ascii="宋体" w:hAnsi="宋体"/>
                <w:b/>
                <w:szCs w:val="24"/>
              </w:rPr>
              <w:t>2</w:t>
            </w:r>
            <w:r>
              <w:rPr>
                <w:rFonts w:hint="eastAsia" w:ascii="宋体" w:hAnsi="宋体"/>
                <w:b/>
                <w:szCs w:val="24"/>
                <w:lang w:val="en-US" w:eastAsia="zh-CN"/>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ascii="宋体" w:hAnsi="宋体"/>
                <w:szCs w:val="24"/>
              </w:rPr>
            </w:pPr>
            <w:r>
              <w:rPr>
                <w:rFonts w:hint="eastAsia" w:ascii="宋体" w:hAnsi="宋体"/>
                <w:szCs w:val="24"/>
              </w:rPr>
              <w:t>其他</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sz w:val="24"/>
                <w:szCs w:val="24"/>
              </w:rPr>
            </w:pPr>
            <w:r>
              <w:rPr>
                <w:rFonts w:hint="eastAsia" w:ascii="宋体" w:hAnsi="宋体"/>
                <w:b/>
                <w:sz w:val="24"/>
                <w:szCs w:val="24"/>
              </w:rPr>
              <w:t>特别提醒：</w:t>
            </w:r>
          </w:p>
          <w:p>
            <w:pPr>
              <w:rPr>
                <w:rFonts w:hint="eastAsia" w:ascii="宋体" w:hAnsi="宋体"/>
                <w:b/>
                <w:sz w:val="24"/>
                <w:szCs w:val="24"/>
              </w:rPr>
            </w:pPr>
            <w:r>
              <w:rPr>
                <w:rFonts w:hint="eastAsia" w:ascii="宋体" w:hAnsi="宋体"/>
                <w:b/>
                <w:sz w:val="24"/>
                <w:szCs w:val="24"/>
              </w:rPr>
              <w:t>1、本项目招标代理费由中标方支付，具体收费标准按国家发改委【2011】534号文件和国家计委【2002】1980号文件执行，收费基数为</w:t>
            </w:r>
            <w:r>
              <w:rPr>
                <w:rFonts w:hint="eastAsia" w:ascii="宋体" w:hAnsi="宋体"/>
                <w:b/>
                <w:sz w:val="24"/>
                <w:szCs w:val="24"/>
                <w:u w:val="single"/>
              </w:rPr>
              <w:t>合同总金额</w:t>
            </w:r>
            <w:r>
              <w:rPr>
                <w:rFonts w:hint="eastAsia" w:ascii="宋体" w:hAnsi="宋体"/>
                <w:b/>
                <w:sz w:val="24"/>
                <w:szCs w:val="24"/>
              </w:rPr>
              <w:t>；计算方式：合同总金额X1.5％</w:t>
            </w:r>
            <w:r>
              <w:rPr>
                <w:rFonts w:hint="eastAsia" w:ascii="宋体" w:hAnsi="宋体"/>
                <w:b/>
                <w:sz w:val="24"/>
                <w:szCs w:val="24"/>
                <w:lang w:eastAsia="zh-CN"/>
              </w:rPr>
              <w:t>，最高收费不超过</w:t>
            </w:r>
            <w:r>
              <w:rPr>
                <w:rFonts w:hint="eastAsia" w:ascii="宋体" w:hAnsi="宋体"/>
                <w:b/>
                <w:sz w:val="24"/>
                <w:szCs w:val="24"/>
                <w:lang w:val="en-US" w:eastAsia="zh-CN"/>
              </w:rPr>
              <w:t>15000元整</w:t>
            </w:r>
            <w:r>
              <w:rPr>
                <w:rFonts w:hint="eastAsia" w:ascii="宋体" w:hAnsi="宋体"/>
                <w:b/>
                <w:sz w:val="24"/>
                <w:szCs w:val="24"/>
              </w:rPr>
              <w:t>；</w:t>
            </w:r>
          </w:p>
          <w:p>
            <w:pPr>
              <w:rPr>
                <w:rFonts w:hint="eastAsia" w:ascii="宋体" w:hAnsi="宋体"/>
                <w:color w:val="00FF00"/>
                <w:sz w:val="24"/>
                <w:szCs w:val="24"/>
              </w:rPr>
            </w:pPr>
            <w:r>
              <w:rPr>
                <w:rFonts w:hint="eastAsia" w:ascii="宋体" w:hAnsi="宋体"/>
                <w:b/>
                <w:sz w:val="24"/>
                <w:szCs w:val="24"/>
              </w:rPr>
              <w:t>3、以上费用由投标人在报价中一并考虑，在领取中标通知书前付清。</w:t>
            </w:r>
          </w:p>
        </w:tc>
      </w:tr>
    </w:tbl>
    <w:p>
      <w:pPr>
        <w:pStyle w:val="5"/>
        <w:spacing w:line="360" w:lineRule="exact"/>
        <w:jc w:val="center"/>
        <w:rPr>
          <w:rFonts w:hint="eastAsia" w:ascii="宋体" w:hAnsi="宋体" w:eastAsia="宋体"/>
          <w:sz w:val="28"/>
          <w:szCs w:val="28"/>
        </w:rPr>
      </w:pPr>
      <w:r>
        <w:rPr>
          <w:rFonts w:hint="eastAsia" w:ascii="宋体" w:hAnsi="宋体" w:eastAsia="宋体"/>
          <w:sz w:val="28"/>
          <w:szCs w:val="28"/>
        </w:rPr>
        <w:t>一、总   则</w:t>
      </w:r>
      <w:bookmarkEnd w:id="2"/>
    </w:p>
    <w:p>
      <w:pPr>
        <w:spacing w:line="360" w:lineRule="exact"/>
        <w:ind w:firstLine="482" w:firstLineChars="200"/>
        <w:rPr>
          <w:rFonts w:hint="eastAsia" w:ascii="宋体" w:hAnsi="宋体"/>
        </w:rPr>
      </w:pPr>
      <w:r>
        <w:rPr>
          <w:rFonts w:hint="eastAsia" w:ascii="宋体" w:hAnsi="宋体"/>
          <w:b/>
          <w:bCs/>
          <w:sz w:val="24"/>
        </w:rPr>
        <w:t>1.</w:t>
      </w:r>
      <w:r>
        <w:rPr>
          <w:rFonts w:ascii="宋体" w:hAnsi="宋体"/>
          <w:b/>
          <w:sz w:val="24"/>
        </w:rPr>
        <w:t>适用范围</w:t>
      </w:r>
    </w:p>
    <w:p>
      <w:pPr>
        <w:snapToGrid w:val="0"/>
        <w:ind w:firstLine="480" w:firstLineChars="200"/>
        <w:jc w:val="left"/>
        <w:rPr>
          <w:rFonts w:hint="eastAsia" w:ascii="宋体" w:hAnsi="宋体"/>
          <w:sz w:val="24"/>
        </w:rPr>
      </w:pPr>
      <w:r>
        <w:rPr>
          <w:rFonts w:hint="eastAsia" w:ascii="宋体" w:hAnsi="宋体"/>
          <w:sz w:val="24"/>
        </w:rPr>
        <w:t>本招标文件适用于本次所述项目的招标。</w:t>
      </w:r>
    </w:p>
    <w:p>
      <w:pPr>
        <w:snapToGrid w:val="0"/>
        <w:ind w:firstLine="472" w:firstLineChars="196"/>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w:t>
      </w:r>
      <w:r>
        <w:rPr>
          <w:rFonts w:ascii="宋体" w:hAnsi="宋体"/>
          <w:sz w:val="24"/>
        </w:rPr>
        <w:t>招标人</w:t>
      </w:r>
      <w:r>
        <w:rPr>
          <w:rFonts w:hint="eastAsia" w:ascii="宋体" w:hAnsi="宋体"/>
          <w:sz w:val="24"/>
        </w:rPr>
        <w:t>”</w:t>
      </w:r>
      <w:r>
        <w:rPr>
          <w:rFonts w:ascii="宋体" w:hAnsi="宋体"/>
          <w:sz w:val="24"/>
        </w:rPr>
        <w:t>系指</w:t>
      </w:r>
      <w:r>
        <w:rPr>
          <w:rFonts w:hint="eastAsia" w:ascii="宋体" w:hAnsi="宋体"/>
          <w:sz w:val="24"/>
        </w:rPr>
        <w:t>组织</w:t>
      </w:r>
      <w:r>
        <w:rPr>
          <w:rFonts w:ascii="宋体" w:hAnsi="宋体"/>
          <w:sz w:val="24"/>
        </w:rPr>
        <w:t>本次招标的采购单位</w:t>
      </w:r>
      <w:r>
        <w:rPr>
          <w:rFonts w:hint="eastAsia" w:ascii="宋体" w:hAnsi="宋体"/>
          <w:sz w:val="24"/>
        </w:rPr>
        <w:t>和</w:t>
      </w:r>
      <w:r>
        <w:rPr>
          <w:rFonts w:hint="eastAsia" w:ascii="宋体" w:hAnsi="宋体"/>
          <w:sz w:val="24"/>
          <w:szCs w:val="24"/>
        </w:rPr>
        <w:t>浙江华元工程咨询有限公司</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w:t>
      </w:r>
      <w:r>
        <w:rPr>
          <w:rFonts w:ascii="宋体" w:hAnsi="宋体"/>
          <w:sz w:val="24"/>
        </w:rPr>
        <w:t>投标人”系指向招标</w:t>
      </w:r>
      <w:r>
        <w:rPr>
          <w:rFonts w:hint="eastAsia" w:ascii="宋体" w:hAnsi="宋体"/>
          <w:sz w:val="24"/>
        </w:rPr>
        <w:t>人</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“产品”系指供方按招标文件规定，须向采购单位提供的一切设备、保险、税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w:t>
      </w:r>
      <w:r>
        <w:rPr>
          <w:rFonts w:ascii="宋体" w:hAnsi="宋体"/>
          <w:sz w:val="24"/>
        </w:rPr>
        <w:t>4“服务”系指招标文件规定投标人须承担的安装、调试、技术协助、校准、培训、技术指导以及其他类似的义务。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w:t>
      </w:r>
      <w:r>
        <w:rPr>
          <w:rFonts w:ascii="宋体" w:hAnsi="宋体"/>
          <w:sz w:val="24"/>
        </w:rPr>
        <w:t>5“项目”系指投标人按招标文件规定向采购单位提供的产品和服务。</w:t>
      </w:r>
    </w:p>
    <w:p>
      <w:pPr>
        <w:snapToGrid w:val="0"/>
        <w:ind w:firstLine="480" w:firstLineChars="200"/>
        <w:jc w:val="left"/>
        <w:rPr>
          <w:rFonts w:ascii="宋体" w:hAnsi="宋体"/>
          <w:sz w:val="24"/>
        </w:rPr>
      </w:pPr>
      <w:r>
        <w:rPr>
          <w:rFonts w:hint="eastAsia" w:ascii="宋体" w:hAnsi="宋体"/>
          <w:sz w:val="24"/>
        </w:rPr>
        <w:t>2.</w:t>
      </w:r>
      <w:r>
        <w:rPr>
          <w:rFonts w:ascii="宋体" w:hAnsi="宋体"/>
          <w:sz w:val="24"/>
        </w:rPr>
        <w:t>6“书面形式”包括信函、传真、电报等。</w:t>
      </w:r>
    </w:p>
    <w:p>
      <w:pPr>
        <w:snapToGrid w:val="0"/>
        <w:ind w:firstLine="480" w:firstLineChars="200"/>
        <w:jc w:val="left"/>
        <w:rPr>
          <w:rFonts w:hint="eastAsia" w:ascii="宋体" w:hAnsi="宋体"/>
          <w:sz w:val="24"/>
        </w:rPr>
      </w:pPr>
      <w:r>
        <w:rPr>
          <w:rFonts w:hint="eastAsia" w:ascii="宋体" w:hAnsi="宋体"/>
          <w:sz w:val="24"/>
        </w:rPr>
        <w:t>2.</w:t>
      </w:r>
      <w:r>
        <w:rPr>
          <w:rFonts w:ascii="宋体" w:hAnsi="宋体"/>
          <w:sz w:val="24"/>
        </w:rPr>
        <w:t>7</w:t>
      </w:r>
      <w:r>
        <w:rPr>
          <w:rFonts w:hint="eastAsia" w:ascii="宋体" w:hAnsi="宋体"/>
          <w:sz w:val="24"/>
        </w:rPr>
        <w:t>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小组在投标文件评审时集体讨论决定。</w:t>
      </w:r>
    </w:p>
    <w:p>
      <w:pPr>
        <w:snapToGrid w:val="0"/>
        <w:ind w:firstLine="482" w:firstLineChars="200"/>
        <w:jc w:val="left"/>
        <w:rPr>
          <w:rFonts w:ascii="宋体" w:hAnsi="宋体"/>
          <w:b/>
          <w:sz w:val="24"/>
        </w:rPr>
      </w:pPr>
      <w:r>
        <w:rPr>
          <w:rFonts w:hint="eastAsia" w:ascii="宋体" w:hAnsi="宋体"/>
          <w:b/>
          <w:sz w:val="24"/>
        </w:rPr>
        <w:t>3.采购方式</w:t>
      </w:r>
    </w:p>
    <w:p>
      <w:pPr>
        <w:snapToGrid w:val="0"/>
        <w:ind w:firstLine="480" w:firstLineChars="200"/>
        <w:jc w:val="left"/>
        <w:rPr>
          <w:rFonts w:hint="eastAsia"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napToGrid w:val="0"/>
        <w:ind w:firstLine="472" w:firstLineChars="196"/>
        <w:jc w:val="left"/>
        <w:outlineLvl w:val="1"/>
        <w:rPr>
          <w:rFonts w:ascii="宋体" w:hAnsi="宋体"/>
          <w:b/>
          <w:sz w:val="24"/>
        </w:rPr>
      </w:pPr>
      <w:r>
        <w:rPr>
          <w:rFonts w:hint="eastAsia" w:ascii="宋体" w:hAnsi="宋体"/>
          <w:b/>
          <w:sz w:val="24"/>
        </w:rPr>
        <w:t>4.投标委托</w:t>
      </w:r>
    </w:p>
    <w:p>
      <w:pPr>
        <w:snapToGrid w:val="0"/>
        <w:ind w:firstLine="480" w:firstLineChars="200"/>
        <w:jc w:val="left"/>
        <w:rPr>
          <w:rFonts w:ascii="宋体" w:hAnsi="宋体"/>
          <w:sz w:val="24"/>
        </w:rPr>
      </w:pPr>
      <w:r>
        <w:rPr>
          <w:rFonts w:ascii="宋体" w:hAnsi="宋体"/>
          <w:sz w:val="24"/>
        </w:rPr>
        <w:t>投标人代表须携带居民身份证。如投标人代表不是法定代表人，须有法定代表人出具的授权委托书。</w:t>
      </w:r>
    </w:p>
    <w:p>
      <w:pPr>
        <w:snapToGrid w:val="0"/>
        <w:ind w:firstLine="472" w:firstLineChars="196"/>
        <w:jc w:val="left"/>
        <w:outlineLvl w:val="1"/>
        <w:rPr>
          <w:rFonts w:ascii="宋体" w:hAnsi="宋体"/>
          <w:b/>
          <w:sz w:val="24"/>
        </w:rPr>
      </w:pPr>
      <w:r>
        <w:rPr>
          <w:rFonts w:hint="eastAsia" w:ascii="宋体" w:hAnsi="宋体"/>
          <w:b/>
          <w:sz w:val="24"/>
        </w:rPr>
        <w:t>5.投标费用</w:t>
      </w:r>
    </w:p>
    <w:p>
      <w:pPr>
        <w:snapToGrid w:val="0"/>
        <w:ind w:firstLine="480" w:firstLineChars="200"/>
        <w:jc w:val="left"/>
        <w:rPr>
          <w:rFonts w:hint="eastAsia"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投标人应自行承担获得招标文件和编制、提交投标文件所涉及的一切费用。不论投标结果如何，投标人均应自行承担所有与投标有关的全部费用。对中标人收取代理服务费。</w:t>
      </w:r>
    </w:p>
    <w:p>
      <w:pPr>
        <w:snapToGrid w:val="0"/>
        <w:ind w:firstLine="472" w:firstLineChars="196"/>
        <w:jc w:val="left"/>
        <w:outlineLvl w:val="1"/>
        <w:rPr>
          <w:rFonts w:ascii="宋体" w:hAnsi="宋体"/>
          <w:b/>
          <w:sz w:val="24"/>
        </w:rPr>
      </w:pPr>
      <w:r>
        <w:rPr>
          <w:rFonts w:hint="eastAsia" w:ascii="宋体" w:hAnsi="宋体"/>
          <w:b/>
          <w:sz w:val="24"/>
        </w:rPr>
        <w:t>6.特别说明：</w:t>
      </w:r>
    </w:p>
    <w:p>
      <w:pPr>
        <w:pStyle w:val="19"/>
        <w:snapToGrid w:val="0"/>
        <w:ind w:left="2" w:leftChars="1" w:firstLine="480" w:firstLineChars="200"/>
        <w:rPr>
          <w:rFonts w:hint="eastAsia" w:ascii="宋体" w:hAnsi="宋体"/>
          <w:color w:val="auto"/>
          <w:shd w:val="clear" w:color="auto" w:fill="auto"/>
        </w:rPr>
      </w:pPr>
      <w:r>
        <w:rPr>
          <w:rFonts w:hint="eastAsia" w:ascii="宋体" w:hAnsi="宋体"/>
          <w:color w:val="auto"/>
          <w:shd w:val="clear" w:color="auto" w:fill="auto"/>
        </w:rPr>
        <w:t>6.1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9"/>
        <w:snapToGrid w:val="0"/>
        <w:ind w:left="2" w:leftChars="1" w:firstLine="480" w:firstLineChars="200"/>
        <w:rPr>
          <w:rFonts w:ascii="宋体" w:hAnsi="宋体"/>
          <w:b/>
          <w:color w:val="auto"/>
          <w:shd w:val="clear" w:color="auto" w:fill="auto"/>
        </w:rPr>
      </w:pPr>
      <w:r>
        <w:rPr>
          <w:rFonts w:hint="eastAsia" w:ascii="宋体" w:hAnsi="宋体"/>
          <w:color w:val="auto"/>
          <w:shd w:val="clear" w:color="auto" w:fill="auto"/>
        </w:rPr>
        <w:t>非单一产品采购项目，采购人应当根据采购项目技术构成、产品价格比重等合理确定核心产品，并在招标文件中载明。多家投标人提供的核心产品品牌相同的，按前款规定处理。</w:t>
      </w:r>
    </w:p>
    <w:p>
      <w:pPr>
        <w:pStyle w:val="19"/>
        <w:snapToGrid w:val="0"/>
        <w:ind w:left="481" w:leftChars="229"/>
        <w:jc w:val="left"/>
        <w:rPr>
          <w:rFonts w:hint="eastAsia" w:ascii="宋体" w:hAnsi="宋体"/>
          <w:color w:val="auto"/>
          <w:shd w:val="clear" w:color="auto" w:fill="auto"/>
        </w:rPr>
      </w:pPr>
      <w:r>
        <w:rPr>
          <w:rFonts w:hint="eastAsia" w:ascii="宋体" w:hAnsi="宋体"/>
          <w:color w:val="auto"/>
          <w:shd w:val="clear" w:color="auto" w:fill="auto"/>
        </w:rPr>
        <w:t>6.</w:t>
      </w:r>
      <w:r>
        <w:rPr>
          <w:rFonts w:ascii="宋体" w:hAnsi="宋体"/>
          <w:color w:val="auto"/>
          <w:shd w:val="clear" w:color="auto" w:fill="auto"/>
        </w:rPr>
        <w:t>2投标人投标所使用的资格、信誉、荣誉、业绩与企业认证必须为本法人所拥有。</w:t>
      </w:r>
    </w:p>
    <w:p>
      <w:pPr>
        <w:pStyle w:val="19"/>
        <w:snapToGrid w:val="0"/>
        <w:ind w:firstLine="480" w:firstLineChars="200"/>
        <w:jc w:val="left"/>
        <w:rPr>
          <w:rFonts w:ascii="宋体" w:hAnsi="宋体"/>
          <w:color w:val="auto"/>
          <w:shd w:val="clear" w:color="auto" w:fill="auto"/>
        </w:rPr>
      </w:pPr>
      <w:r>
        <w:rPr>
          <w:rFonts w:hint="eastAsia" w:ascii="宋体" w:hAnsi="宋体"/>
          <w:color w:val="auto"/>
          <w:shd w:val="clear" w:color="auto" w:fill="auto"/>
        </w:rPr>
        <w:t>6.</w:t>
      </w:r>
      <w:r>
        <w:rPr>
          <w:rFonts w:ascii="宋体" w:hAnsi="宋体"/>
          <w:color w:val="auto"/>
          <w:shd w:val="clear" w:color="auto" w:fill="auto"/>
        </w:rPr>
        <w:t>3投标人应仔细阅读招标文件的所有内容，按照招标文件的要求提交投标文件，并对所提供的全部资料的真实性承担法律责任。</w:t>
      </w:r>
    </w:p>
    <w:p>
      <w:pPr>
        <w:pStyle w:val="19"/>
        <w:snapToGrid w:val="0"/>
        <w:ind w:left="2" w:leftChars="1" w:firstLine="480" w:firstLineChars="200"/>
        <w:rPr>
          <w:rFonts w:ascii="宋体" w:hAnsi="宋体"/>
          <w:color w:val="auto"/>
          <w:shd w:val="clear" w:color="auto" w:fill="auto"/>
        </w:rPr>
      </w:pPr>
      <w:r>
        <w:rPr>
          <w:rFonts w:hint="eastAsia" w:ascii="宋体" w:hAnsi="宋体"/>
          <w:color w:val="auto"/>
          <w:shd w:val="clear" w:color="auto" w:fill="auto"/>
        </w:rPr>
        <w:t>6.4</w:t>
      </w:r>
      <w:r>
        <w:rPr>
          <w:rFonts w:ascii="宋体" w:hAnsi="宋体"/>
          <w:color w:val="auto"/>
          <w:shd w:val="clear" w:color="auto" w:fill="auto"/>
        </w:rPr>
        <w:t>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pPr>
        <w:pStyle w:val="19"/>
        <w:snapToGrid w:val="0"/>
        <w:ind w:left="2" w:leftChars="1" w:firstLine="480" w:firstLineChars="200"/>
        <w:rPr>
          <w:rFonts w:hint="eastAsia" w:ascii="宋体" w:hAnsi="宋体"/>
          <w:color w:val="auto"/>
          <w:shd w:val="clear" w:color="auto" w:fill="auto"/>
        </w:rPr>
      </w:pPr>
      <w:r>
        <w:rPr>
          <w:rFonts w:hint="eastAsia" w:ascii="宋体" w:hAnsi="宋体"/>
          <w:color w:val="auto"/>
          <w:shd w:val="clear" w:color="auto" w:fill="auto"/>
        </w:rPr>
        <w:t>6.</w:t>
      </w:r>
      <w:r>
        <w:rPr>
          <w:rFonts w:ascii="宋体" w:hAnsi="宋体"/>
          <w:color w:val="auto"/>
          <w:shd w:val="clear" w:color="auto" w:fill="auto"/>
        </w:rPr>
        <w:t>5除</w:t>
      </w:r>
      <w:r>
        <w:rPr>
          <w:rFonts w:hint="eastAsia" w:ascii="宋体" w:hAnsi="宋体"/>
          <w:color w:val="auto"/>
          <w:shd w:val="clear" w:color="auto" w:fill="auto"/>
        </w:rPr>
        <w:t>评标办法</w:t>
      </w:r>
      <w:r>
        <w:rPr>
          <w:rFonts w:ascii="宋体" w:hAnsi="宋体"/>
          <w:color w:val="auto"/>
          <w:shd w:val="clear" w:color="auto" w:fill="auto"/>
        </w:rPr>
        <w:t>采用最低评标价法的项目外，直接或者间接受采购单位控制的当事人，或者与采购单位受共同上级控制的当事人，为本次采购进行设计或编制规范和其他文件的当事人，或者直接或间接地与为本次采购进行设计或编制规范、其他文件的个人、企业、招标人或其附属机构有关联关系的当事人，不得参加本项目投标。</w:t>
      </w:r>
    </w:p>
    <w:p>
      <w:pPr>
        <w:pStyle w:val="19"/>
        <w:snapToGrid w:val="0"/>
        <w:ind w:left="2" w:leftChars="1" w:firstLine="480" w:firstLineChars="200"/>
        <w:rPr>
          <w:rFonts w:ascii="宋体" w:hAnsi="宋体"/>
          <w:color w:val="auto"/>
          <w:shd w:val="clear" w:color="auto" w:fill="auto"/>
        </w:rPr>
      </w:pPr>
      <w:r>
        <w:rPr>
          <w:rFonts w:hint="eastAsia" w:ascii="宋体" w:hAnsi="宋体"/>
          <w:color w:val="auto"/>
          <w:shd w:val="clear" w:color="auto" w:fill="auto"/>
        </w:rPr>
        <w:t>6.6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snapToGrid w:val="0"/>
        <w:ind w:firstLine="472" w:firstLineChars="196"/>
        <w:jc w:val="left"/>
        <w:outlineLvl w:val="1"/>
        <w:rPr>
          <w:rFonts w:ascii="宋体" w:hAnsi="宋体"/>
          <w:b/>
          <w:sz w:val="24"/>
        </w:rPr>
      </w:pPr>
      <w:r>
        <w:rPr>
          <w:rFonts w:hint="eastAsia" w:ascii="宋体" w:hAnsi="宋体"/>
          <w:b/>
          <w:sz w:val="24"/>
        </w:rPr>
        <w:t>7.</w:t>
      </w:r>
      <w:r>
        <w:rPr>
          <w:rFonts w:ascii="宋体" w:hAnsi="宋体"/>
          <w:b/>
          <w:sz w:val="24"/>
        </w:rPr>
        <w:t>质疑和投诉</w:t>
      </w:r>
    </w:p>
    <w:p>
      <w:pPr>
        <w:pStyle w:val="19"/>
        <w:snapToGrid w:val="0"/>
        <w:ind w:left="1" w:firstLine="480" w:firstLineChars="200"/>
        <w:rPr>
          <w:rFonts w:ascii="宋体" w:hAnsi="宋体"/>
          <w:bCs/>
        </w:rPr>
      </w:pPr>
      <w:r>
        <w:rPr>
          <w:rFonts w:hint="eastAsia" w:ascii="宋体" w:hAnsi="宋体"/>
          <w:bCs/>
        </w:rPr>
        <w:t>7.</w:t>
      </w:r>
      <w:r>
        <w:rPr>
          <w:rFonts w:ascii="宋体" w:hAnsi="宋体"/>
          <w:bCs/>
        </w:rPr>
        <w:t>1投标人认为招标文件、招标过程和中标结果使自己的合法权益受到损害的，应当在知道或者应知其权益受到损害之日起七个工作日内，以书面形式向采购单位、采购代理机构提出质疑。</w:t>
      </w:r>
      <w:r>
        <w:rPr>
          <w:rFonts w:ascii="宋体" w:hAnsi="宋体"/>
        </w:rPr>
        <w:t>投标人对招标人的质疑答复不满意或者招标人未在规定时间内作出答复的，可以在答复期满后十五个工作日内向同级采购监管部门投诉。</w:t>
      </w:r>
      <w:r>
        <w:rPr>
          <w:rFonts w:hint="eastAsia" w:ascii="宋体" w:hAnsi="宋体"/>
          <w:szCs w:val="24"/>
        </w:rPr>
        <w:t>逾期提出的，采购代理机构不予受理、答复。</w:t>
      </w:r>
    </w:p>
    <w:p>
      <w:pPr>
        <w:pStyle w:val="19"/>
        <w:snapToGrid w:val="0"/>
        <w:ind w:left="1" w:firstLine="480" w:firstLineChars="200"/>
        <w:rPr>
          <w:rFonts w:hint="eastAsia" w:ascii="宋体" w:hAnsi="宋体"/>
        </w:rPr>
      </w:pPr>
      <w:r>
        <w:rPr>
          <w:rFonts w:hint="eastAsia" w:ascii="宋体" w:hAnsi="宋体"/>
          <w:bCs/>
        </w:rPr>
        <w:t>7.</w:t>
      </w:r>
      <w:r>
        <w:rPr>
          <w:rFonts w:ascii="宋体" w:hAnsi="宋体"/>
          <w:bCs/>
        </w:rPr>
        <w:t>2质疑、投诉应当采用书面形式，质疑书、投诉书均应明确阐述招标文件、招标过程和中标结果中使自己合法权益受到损害的实质性内容，提供相关事实、依据和证据及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pStyle w:val="19"/>
        <w:snapToGrid w:val="0"/>
        <w:ind w:left="1" w:firstLine="480" w:firstLineChars="200"/>
        <w:rPr>
          <w:rFonts w:hint="eastAsia" w:ascii="宋体" w:hAnsi="宋体"/>
          <w:szCs w:val="24"/>
        </w:rPr>
      </w:pPr>
      <w:bookmarkStart w:id="3" w:name="_Toc125344504"/>
      <w:r>
        <w:rPr>
          <w:rFonts w:hint="eastAsia" w:ascii="宋体" w:hAnsi="宋体"/>
        </w:rPr>
        <w:t>7.3</w:t>
      </w:r>
      <w:r>
        <w:rPr>
          <w:rFonts w:hint="eastAsia" w:ascii="宋体" w:hAnsi="宋体"/>
          <w:szCs w:val="24"/>
        </w:rPr>
        <w:t>采购代理机构与采购人研究后，对认为有必要回答的问题，招标人将答疑内容以网上发布公告的形式通知所有投标人，答疑内容是招标文件的组成部份。</w:t>
      </w:r>
    </w:p>
    <w:p>
      <w:pPr>
        <w:pStyle w:val="19"/>
        <w:snapToGrid w:val="0"/>
        <w:ind w:left="1" w:firstLine="480" w:firstLineChars="200"/>
        <w:rPr>
          <w:rFonts w:hint="eastAsia" w:ascii="宋体" w:hAnsi="宋体"/>
        </w:rPr>
      </w:pPr>
      <w:r>
        <w:rPr>
          <w:rFonts w:hint="eastAsia" w:ascii="宋体" w:hAnsi="宋体"/>
        </w:rPr>
        <w:t>7.4投标人一旦参与本次招标活动，即被视为接受了本招标文件的所有内容，如有任何异议，均须在答疑截止时间前提出。</w:t>
      </w:r>
    </w:p>
    <w:p>
      <w:pPr>
        <w:pStyle w:val="5"/>
        <w:spacing w:line="360" w:lineRule="exact"/>
        <w:jc w:val="center"/>
        <w:rPr>
          <w:rFonts w:hint="eastAsia" w:ascii="宋体" w:hAnsi="宋体" w:eastAsia="宋体"/>
          <w:sz w:val="28"/>
          <w:szCs w:val="28"/>
        </w:rPr>
      </w:pPr>
      <w:r>
        <w:rPr>
          <w:rFonts w:hint="eastAsia" w:ascii="宋体" w:hAnsi="宋体" w:eastAsia="宋体"/>
          <w:sz w:val="28"/>
          <w:szCs w:val="28"/>
        </w:rPr>
        <w:t>二、招标文件</w:t>
      </w:r>
      <w:bookmarkEnd w:id="3"/>
    </w:p>
    <w:p>
      <w:pPr>
        <w:snapToGrid w:val="0"/>
        <w:ind w:firstLine="354" w:firstLineChars="147"/>
        <w:jc w:val="left"/>
        <w:rPr>
          <w:rFonts w:hint="eastAsia" w:ascii="宋体" w:hAnsi="宋体"/>
          <w:b/>
          <w:sz w:val="24"/>
        </w:rPr>
      </w:pPr>
      <w:r>
        <w:rPr>
          <w:rFonts w:hint="eastAsia" w:ascii="宋体" w:hAnsi="宋体"/>
          <w:b/>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hint="eastAsia"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hint="eastAsia" w:ascii="宋体" w:hAnsi="宋体"/>
          <w:sz w:val="24"/>
        </w:rPr>
      </w:pPr>
      <w:r>
        <w:rPr>
          <w:rFonts w:hint="eastAsia" w:ascii="宋体" w:hAnsi="宋体"/>
          <w:sz w:val="24"/>
        </w:rPr>
        <w:t>8.2投标须知；</w:t>
      </w:r>
    </w:p>
    <w:p>
      <w:pPr>
        <w:snapToGrid w:val="0"/>
        <w:ind w:firstLine="480" w:firstLineChars="200"/>
        <w:jc w:val="left"/>
        <w:rPr>
          <w:rFonts w:hint="eastAsia" w:ascii="宋体" w:hAnsi="宋体"/>
          <w:sz w:val="24"/>
        </w:rPr>
      </w:pPr>
      <w:r>
        <w:rPr>
          <w:rFonts w:hint="eastAsia" w:ascii="宋体" w:hAnsi="宋体"/>
          <w:sz w:val="24"/>
        </w:rPr>
        <w:t>8.3评标办法及评分标准；</w:t>
      </w:r>
    </w:p>
    <w:p>
      <w:pPr>
        <w:snapToGrid w:val="0"/>
        <w:ind w:firstLine="480" w:firstLineChars="200"/>
        <w:jc w:val="left"/>
        <w:rPr>
          <w:rFonts w:hint="eastAsia" w:ascii="宋体" w:hAnsi="宋体"/>
          <w:sz w:val="24"/>
        </w:rPr>
      </w:pPr>
      <w:r>
        <w:rPr>
          <w:rFonts w:hint="eastAsia" w:ascii="宋体" w:hAnsi="宋体"/>
          <w:sz w:val="24"/>
        </w:rPr>
        <w:t>8.4采购需求；</w:t>
      </w:r>
    </w:p>
    <w:p>
      <w:pPr>
        <w:snapToGrid w:val="0"/>
        <w:ind w:firstLine="480" w:firstLineChars="200"/>
        <w:jc w:val="left"/>
        <w:rPr>
          <w:rFonts w:hint="eastAsia" w:ascii="宋体" w:hAnsi="宋体"/>
          <w:sz w:val="24"/>
        </w:rPr>
      </w:pPr>
      <w:r>
        <w:rPr>
          <w:rFonts w:hint="eastAsia" w:ascii="宋体" w:hAnsi="宋体"/>
          <w:sz w:val="24"/>
        </w:rPr>
        <w:t>8.5应提交的有关格式范例；</w:t>
      </w:r>
    </w:p>
    <w:p>
      <w:pPr>
        <w:snapToGrid w:val="0"/>
        <w:ind w:firstLine="480" w:firstLineChars="200"/>
        <w:jc w:val="left"/>
        <w:rPr>
          <w:rFonts w:hint="eastAsia" w:ascii="宋体" w:hAnsi="宋体"/>
          <w:sz w:val="24"/>
        </w:rPr>
      </w:pPr>
      <w:r>
        <w:rPr>
          <w:rFonts w:hint="eastAsia" w:ascii="宋体" w:hAnsi="宋体"/>
          <w:sz w:val="24"/>
        </w:rPr>
        <w:t>8.6本项目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napToGrid w:val="0"/>
        <w:ind w:firstLine="472" w:firstLineChars="196"/>
        <w:jc w:val="left"/>
        <w:outlineLvl w:val="1"/>
        <w:rPr>
          <w:rFonts w:ascii="宋体" w:hAnsi="宋体"/>
          <w:b/>
          <w:sz w:val="24"/>
        </w:rPr>
      </w:pPr>
      <w:r>
        <w:rPr>
          <w:rFonts w:hint="eastAsia" w:ascii="宋体" w:hAnsi="宋体"/>
          <w:b/>
          <w:sz w:val="24"/>
        </w:rPr>
        <w:t>9.投标人的风险</w:t>
      </w:r>
    </w:p>
    <w:p>
      <w:pPr>
        <w:snapToGrid w:val="0"/>
        <w:ind w:firstLine="480" w:firstLineChars="200"/>
        <w:jc w:val="left"/>
        <w:rPr>
          <w:rFonts w:ascii="宋体" w:hAnsi="宋体"/>
          <w:sz w:val="24"/>
        </w:rPr>
      </w:pPr>
      <w:r>
        <w:rPr>
          <w:rFonts w:hint="eastAsia" w:ascii="宋体" w:hAnsi="宋体"/>
          <w:sz w:val="24"/>
        </w:rPr>
        <w:t>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72" w:firstLineChars="196"/>
        <w:jc w:val="left"/>
        <w:outlineLvl w:val="1"/>
        <w:rPr>
          <w:rFonts w:ascii="宋体" w:hAnsi="宋体"/>
          <w:b/>
          <w:sz w:val="24"/>
        </w:rPr>
      </w:pPr>
      <w:r>
        <w:rPr>
          <w:rFonts w:hint="eastAsia" w:ascii="宋体" w:hAnsi="宋体"/>
          <w:b/>
          <w:sz w:val="24"/>
        </w:rPr>
        <w:t>10.招标文件的澄清与修改</w:t>
      </w:r>
      <w:r>
        <w:rPr>
          <w:rFonts w:ascii="宋体" w:hAnsi="宋体"/>
          <w:b/>
          <w:sz w:val="24"/>
        </w:rPr>
        <w:t xml:space="preserve"> </w:t>
      </w:r>
    </w:p>
    <w:p>
      <w:pPr>
        <w:pStyle w:val="19"/>
        <w:snapToGrid w:val="0"/>
        <w:ind w:firstLine="480" w:firstLineChars="200"/>
        <w:rPr>
          <w:rFonts w:hint="eastAsia" w:ascii="宋体" w:hAnsi="宋体"/>
          <w:szCs w:val="24"/>
        </w:rPr>
      </w:pPr>
      <w:r>
        <w:rPr>
          <w:rFonts w:hint="eastAsia" w:ascii="宋体" w:hAnsi="宋体"/>
        </w:rPr>
        <w:t>10.1</w:t>
      </w:r>
      <w:r>
        <w:rPr>
          <w:rFonts w:ascii="宋体" w:hAnsi="宋体"/>
          <w:bCs/>
        </w:rPr>
        <w:t>投标人应认真阅读本招标文件，发现其中有误或有不合理要求的，投标人必须</w:t>
      </w:r>
      <w:r>
        <w:rPr>
          <w:rFonts w:hint="eastAsia" w:ascii="宋体" w:hAnsi="宋体"/>
          <w:bCs/>
        </w:rPr>
        <w:t>按前附表规定的时间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要求招标人澄清</w:t>
      </w:r>
      <w:r>
        <w:rPr>
          <w:rFonts w:hint="eastAsia" w:ascii="宋体" w:hAnsi="宋体"/>
        </w:rPr>
        <w:t>。逾期提出的，招标人将不予受理。</w:t>
      </w:r>
      <w:r>
        <w:rPr>
          <w:rFonts w:hint="eastAsia" w:ascii="宋体" w:hAnsi="宋体"/>
          <w:szCs w:val="24"/>
        </w:rPr>
        <w:t>采购代理机构与采购人研究后，对认为有必要回答的问题，招标人将答疑内容以网上发布公告的形式通知所有投标人，答疑内容是招标文件的组成部份。投标人可以通过诸暨市公共资源交易网自行下载，以确认已阅知该澄清或修改内容，否则，由此导致的风险由投标人自行承担，招标人不承担任何责任。</w:t>
      </w:r>
    </w:p>
    <w:p>
      <w:pPr>
        <w:pStyle w:val="19"/>
        <w:snapToGrid w:val="0"/>
        <w:ind w:firstLine="480" w:firstLineChars="200"/>
        <w:rPr>
          <w:rFonts w:hAnsi="宋体"/>
        </w:rPr>
      </w:pPr>
      <w:r>
        <w:rPr>
          <w:rFonts w:hint="eastAsia" w:ascii="宋体" w:hAnsi="宋体"/>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9"/>
        <w:snapToGrid w:val="0"/>
        <w:ind w:firstLine="480" w:firstLineChars="200"/>
        <w:rPr>
          <w:rFonts w:hint="eastAsia" w:ascii="宋体" w:hAnsi="宋体"/>
        </w:rPr>
      </w:pPr>
      <w:r>
        <w:rPr>
          <w:rFonts w:hint="eastAsia" w:ascii="宋体" w:hAnsi="宋体"/>
        </w:rPr>
        <w:t>10.3在投标截止时间前，招标人有权修改招标文件，并以网站发布补充公告的形式通知所有投标人，通知中没有注明更改投标截止时间的视为截止时间不变。修改的文件作为招标文件的补充和组成部分，对所有投标人均有约束力。</w:t>
      </w:r>
    </w:p>
    <w:p>
      <w:pPr>
        <w:pStyle w:val="19"/>
        <w:snapToGrid w:val="0"/>
        <w:ind w:firstLine="480" w:firstLineChars="200"/>
        <w:rPr>
          <w:rFonts w:hint="eastAsia" w:ascii="宋体" w:hAnsi="宋体"/>
        </w:rPr>
      </w:pPr>
      <w:r>
        <w:rPr>
          <w:rFonts w:hint="eastAsia" w:ascii="宋体" w:hAnsi="宋体"/>
        </w:rPr>
        <w:t>10.4为使投标人在编制投标文件时把补充公告内容考虑进去，招标人可以酌情推迟递交投标文件的截止时间。</w:t>
      </w:r>
    </w:p>
    <w:p>
      <w:pPr>
        <w:pStyle w:val="19"/>
        <w:snapToGrid w:val="0"/>
        <w:ind w:firstLine="480" w:firstLineChars="200"/>
        <w:rPr>
          <w:rFonts w:hint="eastAsia" w:ascii="宋体" w:hAnsi="宋体"/>
        </w:rPr>
      </w:pPr>
      <w:r>
        <w:rPr>
          <w:rFonts w:hint="eastAsia" w:ascii="宋体" w:hAnsi="宋体"/>
        </w:rPr>
        <w:t>10.5补充公告须向</w:t>
      </w:r>
      <w:r>
        <w:rPr>
          <w:rFonts w:hint="eastAsia" w:ascii="宋体" w:hAnsi="宋体"/>
          <w:lang w:eastAsia="zh-CN"/>
        </w:rPr>
        <w:t>诸暨市浣江传媒集团有限公司</w:t>
      </w:r>
      <w:r>
        <w:rPr>
          <w:rFonts w:hint="eastAsia" w:ascii="宋体" w:hAnsi="宋体"/>
        </w:rPr>
        <w:t>审核备案。</w:t>
      </w:r>
    </w:p>
    <w:p>
      <w:pPr>
        <w:pStyle w:val="5"/>
        <w:spacing w:line="360" w:lineRule="exact"/>
        <w:jc w:val="center"/>
        <w:rPr>
          <w:rFonts w:hint="eastAsia" w:ascii="宋体" w:hAnsi="宋体" w:eastAsia="宋体"/>
          <w:sz w:val="28"/>
          <w:szCs w:val="28"/>
        </w:rPr>
      </w:pPr>
      <w:bookmarkStart w:id="4" w:name="_Toc125344505"/>
      <w:r>
        <w:rPr>
          <w:rFonts w:hint="eastAsia" w:ascii="宋体" w:hAnsi="宋体" w:eastAsia="宋体"/>
          <w:sz w:val="28"/>
          <w:szCs w:val="28"/>
        </w:rPr>
        <w:t>三、投标文件编制</w:t>
      </w:r>
      <w:bookmarkEnd w:id="4"/>
      <w:r>
        <w:rPr>
          <w:rFonts w:hint="eastAsia" w:ascii="宋体" w:hAnsi="宋体" w:eastAsia="宋体"/>
          <w:sz w:val="28"/>
          <w:szCs w:val="28"/>
        </w:rPr>
        <w:t>和提交</w:t>
      </w:r>
    </w:p>
    <w:p>
      <w:pPr>
        <w:snapToGrid w:val="0"/>
        <w:ind w:firstLine="354" w:firstLineChars="147"/>
        <w:jc w:val="left"/>
        <w:outlineLvl w:val="0"/>
        <w:rPr>
          <w:rFonts w:ascii="宋体" w:hAnsi="宋体"/>
          <w:b/>
          <w:sz w:val="24"/>
        </w:rPr>
      </w:pPr>
      <w:r>
        <w:rPr>
          <w:rFonts w:hint="eastAsia" w:ascii="宋体" w:hAnsi="宋体"/>
          <w:b/>
          <w:sz w:val="24"/>
        </w:rPr>
        <w:t>11.投标文件的组成</w:t>
      </w:r>
    </w:p>
    <w:p>
      <w:pPr>
        <w:snapToGrid w:val="0"/>
        <w:ind w:firstLine="360" w:firstLineChars="150"/>
        <w:jc w:val="left"/>
        <w:rPr>
          <w:rFonts w:hint="eastAsia" w:ascii="宋体" w:hAnsi="宋体"/>
          <w:sz w:val="24"/>
        </w:rPr>
      </w:pPr>
      <w:r>
        <w:rPr>
          <w:rFonts w:hint="eastAsia" w:ascii="宋体" w:hAnsi="宋体"/>
          <w:sz w:val="24"/>
        </w:rPr>
        <w:t>投标文件由技术文件、商务文件二部分组成。详见前附表。</w:t>
      </w:r>
    </w:p>
    <w:p>
      <w:pPr>
        <w:snapToGrid w:val="0"/>
        <w:ind w:firstLine="354" w:firstLineChars="147"/>
        <w:jc w:val="left"/>
        <w:outlineLvl w:val="0"/>
        <w:rPr>
          <w:rFonts w:ascii="宋体" w:hAnsi="宋体"/>
          <w:b/>
          <w:sz w:val="24"/>
        </w:rPr>
      </w:pPr>
      <w:r>
        <w:rPr>
          <w:rFonts w:hint="eastAsia" w:ascii="宋体" w:hAnsi="宋体"/>
          <w:b/>
          <w:sz w:val="24"/>
        </w:rPr>
        <w:t>12.投标文件的语言及计量</w:t>
      </w:r>
    </w:p>
    <w:p>
      <w:pPr>
        <w:pStyle w:val="19"/>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与招标</w:t>
      </w:r>
      <w:r>
        <w:rPr>
          <w:rFonts w:hint="eastAsia" w:ascii="宋体" w:hAnsi="宋体"/>
        </w:rPr>
        <w:t>人</w:t>
      </w:r>
      <w:r>
        <w:rPr>
          <w:rFonts w:ascii="宋体" w:hAnsi="宋体"/>
        </w:rPr>
        <w:t>就有关投标事宜的所有来往函电，均应以中文汉语书写。除签名、盖章、专用名称等特殊情形外，以中文汉语以外的文字表述的投标文件视同未提供。</w:t>
      </w:r>
    </w:p>
    <w:p>
      <w:pPr>
        <w:pStyle w:val="19"/>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napToGrid w:val="0"/>
        <w:ind w:firstLine="354" w:firstLineChars="147"/>
        <w:jc w:val="left"/>
        <w:outlineLvl w:val="0"/>
        <w:rPr>
          <w:rFonts w:ascii="宋体" w:hAnsi="宋体"/>
          <w:b/>
          <w:sz w:val="24"/>
        </w:rPr>
      </w:pPr>
      <w:r>
        <w:rPr>
          <w:rFonts w:hint="eastAsia" w:ascii="宋体" w:hAnsi="宋体"/>
          <w:b/>
          <w:sz w:val="24"/>
        </w:rPr>
        <w:t>13.投标报价</w:t>
      </w:r>
    </w:p>
    <w:p>
      <w:pPr>
        <w:pStyle w:val="19"/>
        <w:snapToGrid w:val="0"/>
        <w:ind w:firstLine="480" w:firstLineChars="200"/>
        <w:rPr>
          <w:rFonts w:hint="eastAsia" w:ascii="宋体" w:hAnsi="宋体"/>
        </w:rPr>
      </w:pPr>
      <w:r>
        <w:rPr>
          <w:rFonts w:hint="eastAsia" w:ascii="宋体" w:hAnsi="宋体"/>
        </w:rPr>
        <w:t>13.1</w:t>
      </w:r>
      <w:r>
        <w:rPr>
          <w:rFonts w:ascii="宋体" w:hAnsi="宋体"/>
        </w:rPr>
        <w:t>投标报价应按招标文件中相关附表格式填写。</w:t>
      </w:r>
    </w:p>
    <w:p>
      <w:pPr>
        <w:pStyle w:val="19"/>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w:t>
      </w:r>
    </w:p>
    <w:p>
      <w:pPr>
        <w:pStyle w:val="19"/>
        <w:snapToGrid w:val="0"/>
        <w:ind w:firstLine="480" w:firstLineChars="200"/>
        <w:rPr>
          <w:rFonts w:hint="eastAsia"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9"/>
        <w:snapToGrid w:val="0"/>
        <w:ind w:firstLine="480" w:firstLineChars="200"/>
        <w:rPr>
          <w:rFonts w:hint="eastAsia" w:ascii="宋体" w:hAnsi="宋体"/>
        </w:rPr>
      </w:pPr>
      <w:r>
        <w:rPr>
          <w:rFonts w:hint="eastAsia" w:ascii="宋体" w:hAnsi="宋体"/>
        </w:rPr>
        <w:t>13.4招标文件未列明，而投标人认为必需的费用也需列入报价。</w:t>
      </w:r>
    </w:p>
    <w:p>
      <w:pPr>
        <w:pStyle w:val="19"/>
        <w:snapToGrid w:val="0"/>
        <w:ind w:firstLine="480" w:firstLineChars="200"/>
        <w:rPr>
          <w:rFonts w:ascii="宋体" w:hAnsi="宋体"/>
          <w:color w:val="FF0000"/>
        </w:rPr>
      </w:pPr>
      <w:r>
        <w:rPr>
          <w:rFonts w:hint="eastAsia" w:ascii="宋体" w:hAnsi="宋体"/>
        </w:rPr>
        <w:t>13.5</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pStyle w:val="10"/>
        <w:widowControl w:val="0"/>
        <w:numPr>
          <w:ilvl w:val="0"/>
          <w:numId w:val="0"/>
        </w:numPr>
        <w:tabs>
          <w:tab w:val="left" w:pos="360"/>
        </w:tabs>
        <w:snapToGrid w:val="0"/>
        <w:ind w:firstLine="354" w:firstLineChars="147"/>
        <w:rPr>
          <w:rFonts w:ascii="宋体" w:hAnsi="宋体"/>
          <w:b/>
          <w:color w:val="000000"/>
          <w:szCs w:val="24"/>
        </w:rPr>
      </w:pPr>
      <w:r>
        <w:rPr>
          <w:rFonts w:hint="eastAsia" w:ascii="宋体" w:hAnsi="宋体"/>
          <w:b/>
          <w:color w:val="000000"/>
          <w:szCs w:val="24"/>
        </w:rPr>
        <w:t>14.投标文件的有效期</w:t>
      </w:r>
    </w:p>
    <w:p>
      <w:pPr>
        <w:pStyle w:val="19"/>
        <w:snapToGrid w:val="0"/>
        <w:ind w:firstLine="480" w:firstLineChars="200"/>
        <w:rPr>
          <w:rFonts w:ascii="宋体" w:hAnsi="宋体"/>
        </w:rPr>
      </w:pPr>
      <w:r>
        <w:rPr>
          <w:rFonts w:hint="eastAsia" w:ascii="宋体" w:hAnsi="宋体"/>
        </w:rPr>
        <w:t>14.1</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9"/>
        <w:snapToGrid w:val="0"/>
        <w:ind w:firstLine="480" w:firstLineChars="200"/>
        <w:rPr>
          <w:rFonts w:ascii="宋体" w:hAnsi="宋体"/>
        </w:rPr>
      </w:pPr>
      <w:r>
        <w:rPr>
          <w:rFonts w:hint="eastAsia" w:ascii="宋体" w:hAnsi="宋体"/>
        </w:rPr>
        <w:t>14.2</w:t>
      </w:r>
      <w:r>
        <w:rPr>
          <w:rFonts w:ascii="宋体" w:hAnsi="宋体"/>
        </w:rPr>
        <w:t>在特殊情况下，招标人可与投标人协商延长投标书的有效期，这种要求和答复均以书面形式进行。</w:t>
      </w:r>
    </w:p>
    <w:p>
      <w:pPr>
        <w:pStyle w:val="19"/>
        <w:snapToGrid w:val="0"/>
        <w:ind w:firstLine="480" w:firstLineChars="200"/>
        <w:rPr>
          <w:rFonts w:ascii="宋体" w:hAnsi="宋体"/>
        </w:rPr>
      </w:pPr>
      <w:r>
        <w:rPr>
          <w:rFonts w:hint="eastAsia" w:ascii="宋体" w:hAnsi="宋体"/>
        </w:rPr>
        <w:t>14.3</w:t>
      </w:r>
      <w:r>
        <w:rPr>
          <w:rFonts w:ascii="宋体" w:hAnsi="宋体"/>
        </w:rPr>
        <w:t xml:space="preserve">投标人可拒绝接受延期要求而不会导致投标保证金被没收。同意延长有效期的投标人需要相应延长投标保证金的有效期，但不能修改投标文件。 </w:t>
      </w:r>
    </w:p>
    <w:p>
      <w:pPr>
        <w:pStyle w:val="19"/>
        <w:snapToGrid w:val="0"/>
        <w:ind w:firstLine="480" w:firstLineChars="200"/>
        <w:rPr>
          <w:rFonts w:hint="eastAsia" w:ascii="宋体" w:hAnsi="宋体"/>
        </w:rPr>
      </w:pPr>
      <w:r>
        <w:rPr>
          <w:rFonts w:hint="eastAsia" w:ascii="宋体" w:hAnsi="宋体"/>
        </w:rPr>
        <w:t>14.4</w:t>
      </w:r>
      <w:r>
        <w:rPr>
          <w:rFonts w:ascii="宋体" w:hAnsi="宋体"/>
        </w:rPr>
        <w:t>中标人的投标文件自开标之日起至合同履行完毕止均应保持有效。</w:t>
      </w:r>
    </w:p>
    <w:p>
      <w:pPr>
        <w:snapToGrid w:val="0"/>
        <w:ind w:firstLine="354" w:firstLineChars="147"/>
        <w:jc w:val="left"/>
        <w:outlineLvl w:val="0"/>
        <w:rPr>
          <w:rFonts w:ascii="宋体" w:hAnsi="宋体"/>
          <w:b/>
          <w:sz w:val="24"/>
        </w:rPr>
      </w:pPr>
      <w:r>
        <w:rPr>
          <w:rFonts w:hint="eastAsia" w:ascii="宋体" w:hAnsi="宋体"/>
          <w:b/>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15.1投标人应提供前附表规定的投标保证金，作为投标文件的一个组成部分</w:t>
      </w:r>
      <w:r>
        <w:rPr>
          <w:rFonts w:ascii="宋体" w:hAnsi="宋体"/>
          <w:sz w:val="24"/>
          <w:szCs w:val="24"/>
        </w:rPr>
        <w:t>。否则，其投标将被拒绝。</w:t>
      </w:r>
    </w:p>
    <w:p>
      <w:pPr>
        <w:pStyle w:val="19"/>
        <w:rPr>
          <w:rFonts w:ascii="宋体" w:hAnsi="宋体" w:cs="Arial"/>
          <w:bCs/>
          <w:color w:val="000000"/>
          <w:szCs w:val="24"/>
        </w:rPr>
      </w:pPr>
      <w:r>
        <w:rPr>
          <w:rFonts w:hint="eastAsia"/>
        </w:rPr>
        <w:t>15.2投标保证金可以以</w:t>
      </w:r>
      <w:r>
        <w:rPr>
          <w:rFonts w:hint="eastAsia" w:cs="Arial"/>
          <w:bCs/>
          <w:color w:val="000000"/>
        </w:rPr>
        <w:t>电汇、转账、汇票等非现金形式提交（以投标人单位名义汇款，不接受个人、分支机构、办事处、子公司或从他人账户汇款或存款方式）,</w:t>
      </w:r>
      <w:r>
        <w:rPr>
          <w:rFonts w:hint="eastAsia"/>
        </w:rPr>
        <w:t>且必须在投标文件提交截止时间前缴入前附表中的指定账户，以到账为准。采购代理机构将拒绝未能按规定时间和数额提交投标保证金的投标人。</w:t>
      </w:r>
    </w:p>
    <w:p>
      <w:pPr>
        <w:snapToGrid w:val="0"/>
        <w:ind w:firstLine="480" w:firstLineChars="200"/>
        <w:jc w:val="left"/>
        <w:outlineLvl w:val="0"/>
        <w:rPr>
          <w:rFonts w:hint="eastAsia" w:ascii="宋体" w:hAnsi="宋体"/>
          <w:sz w:val="24"/>
          <w:szCs w:val="24"/>
        </w:rPr>
      </w:pPr>
      <w:r>
        <w:rPr>
          <w:rFonts w:hint="eastAsia" w:ascii="宋体" w:hAnsi="宋体"/>
          <w:sz w:val="24"/>
          <w:szCs w:val="24"/>
        </w:rPr>
        <w:t>15.3</w:t>
      </w:r>
      <w:r>
        <w:rPr>
          <w:rFonts w:ascii="宋体" w:hAnsi="宋体"/>
          <w:sz w:val="24"/>
          <w:szCs w:val="24"/>
        </w:rPr>
        <w:t>未中标人</w:t>
      </w:r>
      <w:r>
        <w:rPr>
          <w:rFonts w:hint="eastAsia" w:ascii="宋体" w:hAnsi="宋体"/>
          <w:sz w:val="24"/>
          <w:szCs w:val="24"/>
        </w:rPr>
        <w:t>的投标</w:t>
      </w:r>
      <w:r>
        <w:rPr>
          <w:rFonts w:ascii="宋体" w:hAnsi="宋体"/>
          <w:sz w:val="24"/>
          <w:szCs w:val="24"/>
        </w:rPr>
        <w:t>保证金在</w:t>
      </w:r>
      <w:r>
        <w:rPr>
          <w:rFonts w:hint="eastAsia" w:ascii="宋体" w:hAnsi="宋体"/>
          <w:sz w:val="24"/>
          <w:szCs w:val="24"/>
        </w:rPr>
        <w:t>中标通知书发出后5个工作日</w:t>
      </w:r>
      <w:r>
        <w:rPr>
          <w:rFonts w:ascii="宋体" w:hAnsi="宋体"/>
          <w:sz w:val="24"/>
          <w:szCs w:val="24"/>
        </w:rPr>
        <w:t>退还。</w:t>
      </w:r>
    </w:p>
    <w:p>
      <w:pPr>
        <w:snapToGrid w:val="0"/>
        <w:ind w:firstLine="480" w:firstLineChars="200"/>
        <w:jc w:val="left"/>
        <w:outlineLvl w:val="0"/>
        <w:rPr>
          <w:rFonts w:ascii="宋体" w:hAnsi="宋体"/>
          <w:sz w:val="24"/>
          <w:szCs w:val="24"/>
        </w:rPr>
      </w:pPr>
      <w:r>
        <w:rPr>
          <w:rFonts w:hint="eastAsia" w:ascii="宋体" w:hAnsi="宋体"/>
          <w:sz w:val="24"/>
          <w:szCs w:val="24"/>
        </w:rPr>
        <w:t>15.4</w:t>
      </w:r>
      <w:r>
        <w:rPr>
          <w:rFonts w:ascii="宋体" w:hAnsi="宋体"/>
          <w:sz w:val="24"/>
          <w:szCs w:val="24"/>
        </w:rPr>
        <w:t>中标人</w:t>
      </w:r>
      <w:r>
        <w:rPr>
          <w:rFonts w:hint="eastAsia" w:ascii="宋体" w:hAnsi="宋体"/>
          <w:sz w:val="24"/>
          <w:szCs w:val="24"/>
        </w:rPr>
        <w:t>的投标保证金，在中标人按招标文件规定签订合同</w:t>
      </w:r>
      <w:r>
        <w:rPr>
          <w:rFonts w:ascii="宋体" w:hAnsi="宋体"/>
          <w:sz w:val="24"/>
          <w:szCs w:val="24"/>
        </w:rPr>
        <w:t>后5</w:t>
      </w:r>
      <w:r>
        <w:rPr>
          <w:rFonts w:hint="eastAsia" w:ascii="宋体" w:hAnsi="宋体"/>
          <w:sz w:val="24"/>
          <w:szCs w:val="24"/>
        </w:rPr>
        <w:t>个工作日</w:t>
      </w:r>
      <w:r>
        <w:rPr>
          <w:rFonts w:ascii="宋体" w:hAnsi="宋体"/>
          <w:sz w:val="24"/>
          <w:szCs w:val="24"/>
        </w:rPr>
        <w:t>内无息退还。</w:t>
      </w:r>
    </w:p>
    <w:p>
      <w:pPr>
        <w:snapToGrid w:val="0"/>
        <w:ind w:firstLine="480" w:firstLineChars="200"/>
        <w:jc w:val="left"/>
        <w:outlineLvl w:val="0"/>
        <w:rPr>
          <w:rFonts w:ascii="宋体" w:hAnsi="宋体"/>
          <w:sz w:val="24"/>
          <w:szCs w:val="24"/>
        </w:rPr>
      </w:pPr>
      <w:r>
        <w:rPr>
          <w:rFonts w:hint="eastAsia" w:ascii="宋体" w:hAnsi="宋体"/>
          <w:sz w:val="24"/>
          <w:szCs w:val="24"/>
        </w:rPr>
        <w:t>15.5投标保证金均以转账或电汇或汇票方式退还，恕不退还现金。</w:t>
      </w:r>
      <w:r>
        <w:rPr>
          <w:rFonts w:ascii="宋体" w:hAnsi="宋体"/>
          <w:sz w:val="24"/>
          <w:szCs w:val="24"/>
        </w:rPr>
        <w:t>保证金不计息。</w:t>
      </w:r>
    </w:p>
    <w:p>
      <w:pPr>
        <w:snapToGrid w:val="0"/>
        <w:ind w:firstLine="480" w:firstLineChars="200"/>
        <w:jc w:val="left"/>
        <w:outlineLvl w:val="0"/>
        <w:rPr>
          <w:rFonts w:ascii="宋体" w:hAnsi="宋体"/>
          <w:sz w:val="24"/>
          <w:szCs w:val="24"/>
        </w:rPr>
      </w:pPr>
      <w:r>
        <w:rPr>
          <w:rFonts w:hint="eastAsia" w:ascii="宋体" w:hAnsi="宋体"/>
          <w:sz w:val="24"/>
          <w:szCs w:val="24"/>
        </w:rPr>
        <w:t>15.6</w:t>
      </w:r>
      <w:r>
        <w:rPr>
          <w:rFonts w:ascii="宋体" w:hAnsi="宋体"/>
          <w:sz w:val="24"/>
          <w:szCs w:val="24"/>
        </w:rPr>
        <w:t>下列情况，投标保证金将不予退还</w:t>
      </w:r>
      <w:r>
        <w:rPr>
          <w:rFonts w:hint="eastAsia" w:ascii="宋体" w:hAnsi="宋体"/>
          <w:sz w:val="24"/>
          <w:szCs w:val="24"/>
        </w:rPr>
        <w:t>，并按有关规定处理</w:t>
      </w:r>
      <w:r>
        <w:rPr>
          <w:rFonts w:ascii="宋体" w:hAnsi="宋体"/>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15.6.1投标人在投标有效期内撤回投标文件的；</w:t>
      </w:r>
    </w:p>
    <w:p>
      <w:pPr>
        <w:snapToGrid w:val="0"/>
        <w:ind w:firstLine="470" w:firstLineChars="196"/>
        <w:jc w:val="left"/>
        <w:rPr>
          <w:rFonts w:hint="eastAsia" w:ascii="宋体" w:hAnsi="宋体"/>
          <w:bCs/>
          <w:sz w:val="24"/>
          <w:szCs w:val="24"/>
        </w:rPr>
      </w:pPr>
      <w:r>
        <w:rPr>
          <w:rFonts w:hint="eastAsia" w:ascii="宋体" w:hAnsi="宋体"/>
          <w:bCs/>
          <w:sz w:val="24"/>
          <w:szCs w:val="24"/>
        </w:rPr>
        <w:t>15.6.2未按规定提交履约保证金的；</w:t>
      </w:r>
    </w:p>
    <w:p>
      <w:pPr>
        <w:snapToGrid w:val="0"/>
        <w:ind w:firstLine="470" w:firstLineChars="196"/>
        <w:jc w:val="left"/>
        <w:rPr>
          <w:rFonts w:ascii="宋体" w:hAnsi="宋体"/>
          <w:bCs/>
          <w:sz w:val="24"/>
          <w:szCs w:val="24"/>
        </w:rPr>
      </w:pPr>
      <w:r>
        <w:rPr>
          <w:rFonts w:hint="eastAsia" w:ascii="宋体" w:hAnsi="宋体"/>
          <w:bCs/>
          <w:sz w:val="24"/>
          <w:szCs w:val="24"/>
        </w:rPr>
        <w:t>15.6.3</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rPr>
          <w:rFonts w:ascii="宋体" w:hAnsi="宋体"/>
          <w:bCs/>
          <w:sz w:val="24"/>
          <w:szCs w:val="24"/>
        </w:rPr>
      </w:pPr>
      <w:r>
        <w:rPr>
          <w:rFonts w:hint="eastAsia" w:ascii="宋体" w:hAnsi="宋体"/>
          <w:bCs/>
          <w:sz w:val="24"/>
          <w:szCs w:val="24"/>
        </w:rPr>
        <w:t>15.6.4中标人无正当理由在规定的时间内不与采购单位签订合同的；</w:t>
      </w:r>
    </w:p>
    <w:p>
      <w:pPr>
        <w:snapToGrid w:val="0"/>
        <w:ind w:firstLine="470" w:firstLineChars="196"/>
        <w:rPr>
          <w:rFonts w:hint="eastAsia" w:ascii="宋体" w:hAnsi="宋体"/>
          <w:b/>
          <w:color w:val="FF0000"/>
          <w:sz w:val="24"/>
          <w:szCs w:val="24"/>
        </w:rPr>
      </w:pPr>
      <w:r>
        <w:rPr>
          <w:rFonts w:hint="eastAsia" w:ascii="宋体" w:hAnsi="宋体"/>
          <w:bCs/>
          <w:sz w:val="24"/>
          <w:szCs w:val="24"/>
        </w:rPr>
        <w:t>15.6</w:t>
      </w:r>
      <w:r>
        <w:rPr>
          <w:rFonts w:hint="eastAsia" w:ascii="宋体" w:hAnsi="宋体"/>
          <w:sz w:val="24"/>
          <w:szCs w:val="24"/>
        </w:rPr>
        <w:t>.5将中标项目转让给他人或者在投标文件中未说明且未经招标人同意，将中标项目分包给他人的；</w:t>
      </w:r>
    </w:p>
    <w:p>
      <w:pPr>
        <w:snapToGrid w:val="0"/>
        <w:ind w:firstLine="480" w:firstLineChars="200"/>
        <w:rPr>
          <w:rFonts w:hint="eastAsia" w:ascii="宋体" w:hAnsi="宋体"/>
          <w:sz w:val="24"/>
          <w:szCs w:val="24"/>
        </w:rPr>
      </w:pPr>
      <w:r>
        <w:rPr>
          <w:rFonts w:hint="eastAsia" w:ascii="宋体" w:hAnsi="宋体"/>
          <w:sz w:val="24"/>
          <w:szCs w:val="24"/>
        </w:rPr>
        <w:t>15.6.6拒绝履行合同义务的；</w:t>
      </w:r>
    </w:p>
    <w:p>
      <w:pPr>
        <w:snapToGrid w:val="0"/>
        <w:ind w:firstLine="480" w:firstLineChars="200"/>
        <w:rPr>
          <w:rFonts w:hint="eastAsia" w:ascii="宋体" w:hAnsi="宋体"/>
          <w:sz w:val="24"/>
          <w:szCs w:val="24"/>
        </w:rPr>
      </w:pPr>
      <w:r>
        <w:rPr>
          <w:rFonts w:hint="eastAsia" w:ascii="宋体" w:hAnsi="宋体"/>
          <w:sz w:val="24"/>
          <w:szCs w:val="24"/>
        </w:rPr>
        <w:t>15.6.7其他严重扰乱招投标程序的；</w:t>
      </w:r>
    </w:p>
    <w:p>
      <w:pPr>
        <w:snapToGrid w:val="0"/>
        <w:ind w:firstLine="480" w:firstLineChars="200"/>
        <w:rPr>
          <w:rFonts w:hint="eastAsia" w:ascii="宋体" w:hAnsi="宋体"/>
          <w:sz w:val="24"/>
          <w:szCs w:val="24"/>
        </w:rPr>
      </w:pPr>
      <w:r>
        <w:rPr>
          <w:rFonts w:hint="eastAsia" w:ascii="宋体" w:hAnsi="宋体"/>
          <w:sz w:val="24"/>
          <w:szCs w:val="24"/>
        </w:rPr>
        <w:t>15.6.8向有关人员行贿或者采取其他不正当手段谋取中标的；</w:t>
      </w:r>
    </w:p>
    <w:p>
      <w:pPr>
        <w:snapToGrid w:val="0"/>
        <w:ind w:firstLine="480" w:firstLineChars="200"/>
        <w:rPr>
          <w:rFonts w:hint="eastAsia" w:ascii="宋体" w:hAnsi="宋体"/>
          <w:sz w:val="24"/>
          <w:szCs w:val="24"/>
        </w:rPr>
      </w:pPr>
      <w:r>
        <w:rPr>
          <w:rFonts w:hint="eastAsia" w:ascii="宋体" w:hAnsi="宋体"/>
          <w:sz w:val="24"/>
          <w:szCs w:val="24"/>
        </w:rPr>
        <w:t>15.6.9中标人无正当理由放弃中标的；</w:t>
      </w:r>
    </w:p>
    <w:p>
      <w:pPr>
        <w:snapToGrid w:val="0"/>
        <w:ind w:firstLine="480" w:firstLineChars="200"/>
        <w:rPr>
          <w:rFonts w:hint="eastAsia" w:ascii="宋体" w:hAnsi="宋体"/>
          <w:sz w:val="24"/>
          <w:szCs w:val="24"/>
        </w:rPr>
      </w:pPr>
      <w:r>
        <w:rPr>
          <w:rFonts w:hint="eastAsia" w:ascii="宋体" w:hAnsi="宋体"/>
          <w:sz w:val="24"/>
          <w:szCs w:val="24"/>
        </w:rPr>
        <w:t>15.6.10存在法律、法规规定的其它损害招标人或用户单位利益或社会公共利益的情形的。</w:t>
      </w:r>
    </w:p>
    <w:p>
      <w:pPr>
        <w:ind w:firstLine="477" w:firstLineChars="199"/>
        <w:rPr>
          <w:rFonts w:hint="eastAsia" w:ascii="宋体" w:hAnsi="宋体"/>
          <w:sz w:val="24"/>
          <w:szCs w:val="24"/>
        </w:rPr>
      </w:pPr>
      <w:r>
        <w:rPr>
          <w:rFonts w:hint="eastAsia" w:ascii="宋体" w:hAnsi="宋体"/>
          <w:sz w:val="24"/>
          <w:szCs w:val="24"/>
        </w:rPr>
        <w:t>15.7如投标人或招标人有下列情形之一的，应按串通投标行为认定，除有关方投标保证金不予退还外，禁止其一至三年内进入本</w:t>
      </w:r>
      <w:r>
        <w:rPr>
          <w:rFonts w:hint="eastAsia" w:ascii="宋体" w:hAnsi="宋体"/>
          <w:sz w:val="24"/>
          <w:szCs w:val="24"/>
          <w:lang w:eastAsia="zh-CN"/>
        </w:rPr>
        <w:t>集团</w:t>
      </w:r>
      <w:r>
        <w:rPr>
          <w:rFonts w:hint="eastAsia" w:ascii="宋体" w:hAnsi="宋体"/>
          <w:sz w:val="24"/>
          <w:szCs w:val="24"/>
        </w:rPr>
        <w:t>市场，情节严重的移送有关部门依法处理。</w:t>
      </w:r>
    </w:p>
    <w:p>
      <w:pPr>
        <w:snapToGrid w:val="0"/>
        <w:ind w:firstLine="480" w:firstLineChars="200"/>
        <w:rPr>
          <w:rFonts w:ascii="宋体" w:hAnsi="宋体"/>
          <w:sz w:val="24"/>
          <w:szCs w:val="24"/>
        </w:rPr>
      </w:pPr>
      <w:r>
        <w:rPr>
          <w:rFonts w:hint="eastAsia" w:ascii="宋体" w:hAnsi="宋体"/>
          <w:sz w:val="24"/>
          <w:szCs w:val="24"/>
        </w:rPr>
        <w:t>15.7.1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文件由同一单位或人员编制的； </w:t>
      </w:r>
    </w:p>
    <w:p>
      <w:pPr>
        <w:snapToGrid w:val="0"/>
        <w:ind w:firstLine="480" w:firstLineChars="200"/>
        <w:rPr>
          <w:rFonts w:ascii="宋体" w:hAnsi="宋体"/>
          <w:sz w:val="24"/>
          <w:szCs w:val="24"/>
        </w:rPr>
      </w:pPr>
      <w:r>
        <w:rPr>
          <w:rFonts w:hint="eastAsia" w:ascii="宋体" w:hAnsi="宋体"/>
          <w:sz w:val="24"/>
          <w:szCs w:val="24"/>
        </w:rPr>
        <w:t>15.7.2</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使用同一单位或人员的资金交纳投标保证金的； </w:t>
      </w:r>
    </w:p>
    <w:p>
      <w:pPr>
        <w:snapToGrid w:val="0"/>
        <w:ind w:firstLine="480" w:firstLineChars="200"/>
        <w:rPr>
          <w:rFonts w:ascii="宋体" w:hAnsi="宋体"/>
          <w:sz w:val="24"/>
          <w:szCs w:val="24"/>
        </w:rPr>
      </w:pPr>
      <w:r>
        <w:rPr>
          <w:rFonts w:hint="eastAsia" w:ascii="宋体" w:hAnsi="宋体"/>
          <w:sz w:val="24"/>
          <w:szCs w:val="24"/>
        </w:rPr>
        <w:t>15.7.3</w:t>
      </w:r>
      <w:r>
        <w:rPr>
          <w:rFonts w:ascii="宋体" w:hAnsi="宋体"/>
          <w:sz w:val="24"/>
          <w:szCs w:val="24"/>
        </w:rPr>
        <w:t>不同供应商委托同一单位或人员办理投标事宜的；</w:t>
      </w:r>
    </w:p>
    <w:p>
      <w:pPr>
        <w:snapToGrid w:val="0"/>
        <w:ind w:firstLine="480" w:firstLineChars="200"/>
        <w:rPr>
          <w:rFonts w:ascii="宋体" w:hAnsi="宋体"/>
          <w:sz w:val="24"/>
          <w:szCs w:val="24"/>
        </w:rPr>
      </w:pPr>
      <w:r>
        <w:rPr>
          <w:rFonts w:hint="eastAsia" w:ascii="宋体" w:hAnsi="宋体"/>
          <w:sz w:val="24"/>
          <w:szCs w:val="24"/>
        </w:rPr>
        <w:t>15.7.4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文件中的内容出现非正常的一致，或者报价细目呈明显规律性变化，或在完全可比的情况下投标总价均高于市场平均价的； </w:t>
      </w:r>
    </w:p>
    <w:p>
      <w:pPr>
        <w:snapToGrid w:val="0"/>
        <w:ind w:firstLine="480" w:firstLineChars="200"/>
        <w:rPr>
          <w:rFonts w:ascii="宋体" w:hAnsi="宋体"/>
          <w:sz w:val="24"/>
          <w:szCs w:val="24"/>
        </w:rPr>
      </w:pPr>
      <w:r>
        <w:rPr>
          <w:rFonts w:hint="eastAsia" w:ascii="宋体" w:hAnsi="宋体"/>
          <w:sz w:val="24"/>
          <w:szCs w:val="24"/>
        </w:rPr>
        <w:t>15.7.5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文件载明的项目管理或实施人员出现同一单位的工作人员或同一人的；</w:t>
      </w:r>
    </w:p>
    <w:p>
      <w:pPr>
        <w:snapToGrid w:val="0"/>
        <w:ind w:firstLine="480" w:firstLineChars="200"/>
        <w:rPr>
          <w:rFonts w:ascii="宋体" w:hAnsi="宋体"/>
          <w:sz w:val="24"/>
          <w:szCs w:val="24"/>
        </w:rPr>
      </w:pPr>
      <w:r>
        <w:rPr>
          <w:rFonts w:hint="eastAsia" w:ascii="宋体" w:hAnsi="宋体"/>
          <w:sz w:val="24"/>
          <w:szCs w:val="24"/>
        </w:rPr>
        <w:t>15.7.6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p>
    <w:p>
      <w:pPr>
        <w:snapToGrid w:val="0"/>
        <w:ind w:firstLine="480" w:firstLineChars="200"/>
        <w:rPr>
          <w:rFonts w:ascii="宋体" w:hAnsi="宋体"/>
          <w:sz w:val="24"/>
          <w:szCs w:val="24"/>
        </w:rPr>
      </w:pPr>
      <w:r>
        <w:rPr>
          <w:rFonts w:hint="eastAsia" w:ascii="宋体" w:hAnsi="宋体"/>
          <w:sz w:val="24"/>
          <w:szCs w:val="24"/>
        </w:rPr>
        <w:t>15.7.7</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文件相互混装，或在一个</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文件内遗留有其他</w:t>
      </w:r>
      <w:r>
        <w:rPr>
          <w:rFonts w:hint="eastAsia" w:ascii="宋体" w:hAnsi="宋体"/>
          <w:sz w:val="24"/>
          <w:szCs w:val="24"/>
        </w:rPr>
        <w:t>投标人</w:t>
      </w:r>
      <w:r>
        <w:rPr>
          <w:rFonts w:ascii="宋体" w:hAnsi="宋体"/>
          <w:sz w:val="24"/>
          <w:szCs w:val="24"/>
        </w:rPr>
        <w:t>的签名、盖章等不属于本</w:t>
      </w:r>
      <w:r>
        <w:rPr>
          <w:rFonts w:hint="eastAsia" w:ascii="宋体" w:hAnsi="宋体"/>
          <w:sz w:val="24"/>
          <w:szCs w:val="24"/>
        </w:rPr>
        <w:t>投标人</w:t>
      </w:r>
      <w:r>
        <w:rPr>
          <w:rFonts w:ascii="宋体" w:hAnsi="宋体"/>
          <w:sz w:val="24"/>
          <w:szCs w:val="24"/>
        </w:rPr>
        <w:t>参加</w:t>
      </w:r>
      <w:r>
        <w:rPr>
          <w:rFonts w:hint="eastAsia" w:ascii="宋体" w:hAnsi="宋体"/>
          <w:sz w:val="24"/>
          <w:szCs w:val="24"/>
          <w:lang w:eastAsia="zh-CN"/>
        </w:rPr>
        <w:t>本次</w:t>
      </w:r>
      <w:r>
        <w:rPr>
          <w:rFonts w:ascii="宋体" w:hAnsi="宋体"/>
          <w:sz w:val="24"/>
          <w:szCs w:val="24"/>
        </w:rPr>
        <w:t xml:space="preserve">采购必需的信息资料的； </w:t>
      </w:r>
    </w:p>
    <w:p>
      <w:pPr>
        <w:snapToGrid w:val="0"/>
        <w:ind w:firstLine="480" w:firstLineChars="200"/>
        <w:rPr>
          <w:rFonts w:ascii="宋体" w:hAnsi="宋体"/>
          <w:sz w:val="24"/>
          <w:szCs w:val="24"/>
        </w:rPr>
      </w:pPr>
      <w:r>
        <w:rPr>
          <w:rFonts w:hint="eastAsia" w:ascii="宋体" w:hAnsi="宋体"/>
          <w:sz w:val="24"/>
          <w:szCs w:val="24"/>
        </w:rPr>
        <w:t>15.7.8</w:t>
      </w:r>
      <w:r>
        <w:rPr>
          <w:rFonts w:ascii="宋体" w:hAnsi="宋体"/>
          <w:sz w:val="24"/>
          <w:szCs w:val="24"/>
        </w:rPr>
        <w:t>采购响应截止时间后，</w:t>
      </w:r>
      <w:r>
        <w:rPr>
          <w:rFonts w:hint="eastAsia" w:ascii="宋体" w:hAnsi="宋体"/>
          <w:sz w:val="24"/>
          <w:szCs w:val="24"/>
        </w:rPr>
        <w:t>招标人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 xml:space="preserve">文件的； </w:t>
      </w:r>
    </w:p>
    <w:p>
      <w:pPr>
        <w:snapToGrid w:val="0"/>
        <w:ind w:firstLine="480" w:firstLineChars="200"/>
        <w:rPr>
          <w:rFonts w:ascii="宋体" w:hAnsi="宋体"/>
          <w:sz w:val="24"/>
          <w:szCs w:val="24"/>
        </w:rPr>
      </w:pPr>
      <w:r>
        <w:rPr>
          <w:rFonts w:hint="eastAsia" w:ascii="宋体" w:hAnsi="宋体"/>
          <w:sz w:val="24"/>
          <w:szCs w:val="24"/>
        </w:rPr>
        <w:t>15.7.9招标人</w:t>
      </w:r>
      <w:r>
        <w:rPr>
          <w:rFonts w:ascii="宋体" w:hAnsi="宋体"/>
          <w:sz w:val="24"/>
          <w:szCs w:val="24"/>
        </w:rPr>
        <w:t>泄露有意向参加</w:t>
      </w:r>
      <w:r>
        <w:rPr>
          <w:rFonts w:hint="eastAsia" w:ascii="宋体" w:hAnsi="宋体"/>
          <w:sz w:val="24"/>
          <w:szCs w:val="24"/>
          <w:lang w:eastAsia="zh-CN"/>
        </w:rPr>
        <w:t>本次</w:t>
      </w:r>
      <w:r>
        <w:rPr>
          <w:rFonts w:ascii="宋体" w:hAnsi="宋体"/>
          <w:sz w:val="24"/>
          <w:szCs w:val="24"/>
        </w:rPr>
        <w:t>采购的</w:t>
      </w:r>
      <w:r>
        <w:rPr>
          <w:rFonts w:hint="eastAsia" w:ascii="宋体" w:hAnsi="宋体"/>
          <w:sz w:val="24"/>
          <w:szCs w:val="24"/>
        </w:rPr>
        <w:t>投标人</w:t>
      </w:r>
      <w:r>
        <w:rPr>
          <w:rFonts w:ascii="宋体" w:hAnsi="宋体"/>
          <w:sz w:val="24"/>
          <w:szCs w:val="24"/>
        </w:rPr>
        <w:t>名称、数量等应当保密的事项的；</w:t>
      </w:r>
    </w:p>
    <w:p>
      <w:pPr>
        <w:snapToGrid w:val="0"/>
        <w:ind w:firstLine="480" w:firstLineChars="200"/>
        <w:rPr>
          <w:rFonts w:ascii="宋体" w:hAnsi="宋体"/>
          <w:sz w:val="24"/>
          <w:szCs w:val="24"/>
        </w:rPr>
      </w:pPr>
      <w:r>
        <w:rPr>
          <w:rFonts w:hint="eastAsia" w:ascii="宋体" w:hAnsi="宋体"/>
          <w:sz w:val="24"/>
          <w:szCs w:val="24"/>
        </w:rPr>
        <w:t>15.7.10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snapToGrid w:val="0"/>
        <w:ind w:firstLine="480" w:firstLineChars="200"/>
        <w:rPr>
          <w:rFonts w:ascii="宋体" w:hAnsi="宋体"/>
          <w:sz w:val="24"/>
          <w:szCs w:val="24"/>
        </w:rPr>
      </w:pPr>
      <w:r>
        <w:rPr>
          <w:rFonts w:hint="eastAsia" w:ascii="宋体" w:hAnsi="宋体"/>
          <w:sz w:val="24"/>
          <w:szCs w:val="24"/>
        </w:rPr>
        <w:t>15.7.11</w:t>
      </w:r>
      <w:r>
        <w:rPr>
          <w:rFonts w:ascii="宋体" w:hAnsi="宋体"/>
          <w:sz w:val="24"/>
          <w:szCs w:val="24"/>
        </w:rPr>
        <w:t>法律、法规或规章规定的其他串通行为。</w:t>
      </w:r>
    </w:p>
    <w:p>
      <w:pPr>
        <w:snapToGrid w:val="0"/>
        <w:ind w:firstLine="472" w:firstLineChars="196"/>
        <w:jc w:val="left"/>
        <w:outlineLvl w:val="0"/>
        <w:rPr>
          <w:rFonts w:ascii="宋体" w:hAnsi="宋体"/>
          <w:b/>
          <w:sz w:val="24"/>
          <w:szCs w:val="24"/>
        </w:rPr>
      </w:pPr>
      <w:r>
        <w:rPr>
          <w:rFonts w:hint="eastAsia" w:ascii="宋体" w:hAnsi="宋体"/>
          <w:b/>
          <w:sz w:val="24"/>
          <w:szCs w:val="24"/>
        </w:rPr>
        <w:t>16.投标文件的签署和份数</w:t>
      </w:r>
    </w:p>
    <w:p>
      <w:pPr>
        <w:snapToGrid w:val="0"/>
        <w:ind w:firstLine="480" w:firstLineChars="200"/>
        <w:jc w:val="left"/>
        <w:rPr>
          <w:rFonts w:hint="eastAsia" w:ascii="宋体" w:hAnsi="宋体"/>
          <w:b/>
          <w:color w:val="FF0000"/>
          <w:sz w:val="24"/>
          <w:szCs w:val="24"/>
        </w:rPr>
      </w:pPr>
      <w:r>
        <w:rPr>
          <w:rFonts w:hint="eastAsia" w:ascii="宋体" w:hAnsi="宋体"/>
          <w:sz w:val="24"/>
          <w:szCs w:val="24"/>
        </w:rPr>
        <w:t>16.1投标人应按招标文件前附表规定的内容和份数编制投标文件。并在封面上标明“正本”和“副本”。投标文件“正本”和“副本”如有不一致之处，以“正本”为准。</w:t>
      </w:r>
      <w:r>
        <w:rPr>
          <w:rFonts w:hint="eastAsia" w:ascii="宋体" w:hAnsi="宋体"/>
          <w:b/>
          <w:color w:val="auto"/>
          <w:sz w:val="24"/>
          <w:szCs w:val="24"/>
        </w:rPr>
        <w:t>当投标文件未注明“正本”和“副本”且出现不一致时，评标委员会可以认定投标人出现选择性投标而认定其为无效投标。</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本招标文件规定的格式和顺序编制、装订投标文件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p>
    <w:p>
      <w:pPr>
        <w:snapToGrid w:val="0"/>
        <w:ind w:firstLine="480" w:firstLineChars="200"/>
        <w:jc w:val="left"/>
        <w:rPr>
          <w:rFonts w:ascii="宋体" w:hAnsi="宋体"/>
          <w:sz w:val="24"/>
          <w:szCs w:val="24"/>
        </w:rPr>
      </w:pPr>
      <w:r>
        <w:rPr>
          <w:rFonts w:hint="eastAsia" w:ascii="宋体" w:hAnsi="宋体"/>
          <w:sz w:val="24"/>
          <w:szCs w:val="24"/>
        </w:rPr>
        <w:t>16.3</w:t>
      </w:r>
      <w:r>
        <w:rPr>
          <w:rFonts w:ascii="宋体" w:hAnsi="宋体"/>
          <w:sz w:val="24"/>
          <w:szCs w:val="24"/>
        </w:rPr>
        <w:t>投标文件须由投标人在规定位置盖章并由法定代表人或法定代表授权人签署，投标人应写全称。</w:t>
      </w:r>
      <w:r>
        <w:rPr>
          <w:rFonts w:hint="eastAsia" w:ascii="宋体" w:hAnsi="宋体"/>
          <w:b/>
          <w:sz w:val="24"/>
          <w:szCs w:val="24"/>
        </w:rPr>
        <w:t>投标文件中所涉及的公章必须是投标人全称的公章，不得使用投标专用章、合同章等类似图章代替。</w:t>
      </w:r>
    </w:p>
    <w:p>
      <w:pPr>
        <w:snapToGrid w:val="0"/>
        <w:ind w:firstLine="480" w:firstLineChars="200"/>
        <w:jc w:val="left"/>
        <w:rPr>
          <w:rFonts w:hint="eastAsia"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投标文件不得涂改，若有修改错漏处，须加盖单位公章或者法定代表人或授权委托人签字或盖章。投标文件因表达不清所引起的后果由投标人负责。</w:t>
      </w:r>
    </w:p>
    <w:p>
      <w:pPr>
        <w:snapToGrid w:val="0"/>
        <w:ind w:firstLine="480" w:firstLineChars="200"/>
        <w:jc w:val="left"/>
        <w:rPr>
          <w:rFonts w:hint="eastAsia" w:ascii="宋体" w:hAnsi="宋体"/>
          <w:sz w:val="24"/>
          <w:szCs w:val="24"/>
        </w:rPr>
      </w:pPr>
      <w:r>
        <w:rPr>
          <w:rFonts w:hint="eastAsia" w:ascii="宋体" w:hAnsi="宋体"/>
          <w:sz w:val="24"/>
          <w:szCs w:val="24"/>
        </w:rPr>
        <w:t>16.5投标人应使用招标文件中提供的文本格式，如表格不够用，可以按同样格式扩展。</w:t>
      </w:r>
    </w:p>
    <w:p>
      <w:pPr>
        <w:snapToGrid w:val="0"/>
        <w:ind w:firstLine="480" w:firstLineChars="200"/>
        <w:jc w:val="left"/>
        <w:rPr>
          <w:rFonts w:hint="eastAsia" w:ascii="宋体" w:hAnsi="宋体"/>
          <w:sz w:val="24"/>
          <w:szCs w:val="24"/>
        </w:rPr>
      </w:pPr>
      <w:r>
        <w:rPr>
          <w:rFonts w:hint="eastAsia" w:ascii="宋体" w:hAnsi="宋体"/>
          <w:sz w:val="24"/>
          <w:szCs w:val="24"/>
        </w:rPr>
        <w:t>16.6投标文件必须统一用</w:t>
      </w:r>
      <w:r>
        <w:rPr>
          <w:rFonts w:ascii="宋体" w:hAnsi="宋体"/>
          <w:sz w:val="24"/>
          <w:szCs w:val="24"/>
        </w:rPr>
        <w:t>A4</w:t>
      </w:r>
      <w:r>
        <w:rPr>
          <w:rFonts w:hint="eastAsia" w:ascii="宋体" w:hAnsi="宋体"/>
          <w:sz w:val="24"/>
          <w:szCs w:val="24"/>
        </w:rPr>
        <w:t>纸(除特殊项目外)，文件内容均要求打印（除注明要求签字或提供复印件外）。</w:t>
      </w:r>
    </w:p>
    <w:p>
      <w:pPr>
        <w:snapToGrid w:val="0"/>
        <w:ind w:firstLine="482" w:firstLineChars="200"/>
        <w:jc w:val="left"/>
        <w:rPr>
          <w:rFonts w:hint="eastAsia" w:ascii="宋体" w:hAnsi="宋体"/>
          <w:color w:val="auto"/>
          <w:sz w:val="24"/>
          <w:szCs w:val="24"/>
        </w:rPr>
      </w:pPr>
      <w:r>
        <w:rPr>
          <w:rFonts w:hint="eastAsia" w:ascii="宋体" w:hAnsi="宋体"/>
          <w:b/>
          <w:color w:val="auto"/>
          <w:sz w:val="24"/>
          <w:szCs w:val="24"/>
        </w:rPr>
        <w:t>16.7投标人应认真阅读招标文件中所有的内容。如果投标人编制的投标文件实质上不响应招标文件的要求或开标一览表中报价进行手写的，其投标文件将作无效标处理。</w:t>
      </w:r>
    </w:p>
    <w:p>
      <w:pPr>
        <w:snapToGrid w:val="0"/>
        <w:ind w:firstLine="354" w:firstLineChars="147"/>
        <w:jc w:val="left"/>
        <w:rPr>
          <w:rFonts w:ascii="宋体" w:hAnsi="宋体"/>
          <w:b/>
          <w:sz w:val="24"/>
          <w:szCs w:val="24"/>
        </w:rPr>
      </w:pPr>
      <w:r>
        <w:rPr>
          <w:rFonts w:hint="eastAsia" w:ascii="宋体" w:hAnsi="宋体"/>
          <w:b/>
          <w:sz w:val="24"/>
          <w:szCs w:val="24"/>
        </w:rPr>
        <w:t>17.投标文件的包装、递交、修改和撤回</w:t>
      </w:r>
    </w:p>
    <w:p>
      <w:pPr>
        <w:pStyle w:val="11"/>
        <w:snapToGrid w:val="0"/>
        <w:ind w:firstLine="480" w:firstLineChars="200"/>
        <w:rPr>
          <w:rFonts w:hint="eastAsia" w:ascii="宋体" w:hAnsi="宋体"/>
          <w:sz w:val="24"/>
          <w:szCs w:val="24"/>
        </w:rPr>
      </w:pPr>
      <w:r>
        <w:rPr>
          <w:rFonts w:hint="eastAsia" w:ascii="宋体" w:hAnsi="宋体"/>
          <w:sz w:val="24"/>
          <w:szCs w:val="24"/>
        </w:rPr>
        <w:t>17.1投标人应将投标文件的技术文件、商务文件分开包装密封。</w:t>
      </w:r>
      <w:r>
        <w:rPr>
          <w:rFonts w:hint="eastAsia" w:ascii="宋体" w:hAnsi="宋体"/>
          <w:b/>
          <w:sz w:val="24"/>
          <w:szCs w:val="24"/>
        </w:rPr>
        <w:t>如投标文件的技术文件与商务文件未分开制作与包装或未密封或技术标内容含有商务报价的内容，将被视作无效标处理。</w:t>
      </w:r>
      <w:r>
        <w:rPr>
          <w:rFonts w:hint="eastAsia" w:ascii="宋体" w:hAnsi="宋体"/>
          <w:sz w:val="24"/>
          <w:szCs w:val="24"/>
        </w:rPr>
        <w:t>同时在外包装封面上注明投标项目名称、编号、投标人名称（写全称）、技术文件或商务文件，并由投标人盖章及其法定代表人（或委托代理人）签字或盖章。</w:t>
      </w:r>
    </w:p>
    <w:p>
      <w:pPr>
        <w:pStyle w:val="11"/>
        <w:snapToGrid w:val="0"/>
        <w:ind w:firstLine="480" w:firstLineChars="200"/>
        <w:rPr>
          <w:rFonts w:ascii="宋体" w:hAnsi="宋体"/>
          <w:sz w:val="24"/>
          <w:szCs w:val="24"/>
        </w:rPr>
      </w:pPr>
      <w:r>
        <w:rPr>
          <w:rFonts w:hint="eastAsia" w:ascii="宋体" w:hAnsi="宋体"/>
          <w:sz w:val="24"/>
          <w:szCs w:val="24"/>
        </w:rPr>
        <w:t>17.2未按规定密封或标记的投标文件将被拒绝，由此造成投标文件被误投或提前拆封的风险由投标人承担。</w:t>
      </w:r>
    </w:p>
    <w:p>
      <w:pPr>
        <w:pStyle w:val="11"/>
        <w:snapToGrid w:val="0"/>
        <w:ind w:firstLine="480" w:firstLineChars="200"/>
        <w:rPr>
          <w:rFonts w:hint="eastAsia" w:ascii="宋体" w:hAnsi="宋体"/>
          <w:sz w:val="24"/>
          <w:szCs w:val="24"/>
        </w:rPr>
      </w:pPr>
      <w:r>
        <w:rPr>
          <w:rFonts w:hint="eastAsia" w:ascii="宋体" w:hAnsi="宋体"/>
          <w:sz w:val="24"/>
          <w:szCs w:val="24"/>
        </w:rPr>
        <w:t>17.3</w:t>
      </w:r>
      <w:r>
        <w:rPr>
          <w:rFonts w:ascii="宋体" w:hAnsi="宋体"/>
          <w:sz w:val="24"/>
          <w:szCs w:val="24"/>
        </w:rPr>
        <w:t>投标</w:t>
      </w:r>
      <w:r>
        <w:rPr>
          <w:rFonts w:hint="eastAsia" w:ascii="宋体" w:hAnsi="宋体"/>
          <w:sz w:val="24"/>
          <w:szCs w:val="24"/>
        </w:rPr>
        <w:t>人应按前附表规定的时间、地点将投标文件递交给采购代理机构</w:t>
      </w:r>
      <w:r>
        <w:rPr>
          <w:rFonts w:ascii="宋体" w:hAnsi="宋体"/>
          <w:sz w:val="24"/>
          <w:szCs w:val="24"/>
        </w:rPr>
        <w:t>，</w:t>
      </w:r>
      <w:r>
        <w:rPr>
          <w:rFonts w:hint="eastAsia" w:ascii="宋体" w:hAnsi="宋体"/>
          <w:sz w:val="24"/>
          <w:szCs w:val="24"/>
        </w:rPr>
        <w:t>采购代理机构将拒绝接受</w:t>
      </w:r>
      <w:r>
        <w:rPr>
          <w:rFonts w:ascii="宋体" w:hAnsi="宋体"/>
          <w:sz w:val="24"/>
          <w:szCs w:val="24"/>
        </w:rPr>
        <w:t>逾期</w:t>
      </w:r>
      <w:r>
        <w:rPr>
          <w:rFonts w:hint="eastAsia" w:ascii="宋体" w:hAnsi="宋体"/>
          <w:sz w:val="24"/>
          <w:szCs w:val="24"/>
        </w:rPr>
        <w:t>送达的</w:t>
      </w:r>
      <w:r>
        <w:rPr>
          <w:rFonts w:ascii="宋体" w:hAnsi="宋体"/>
          <w:sz w:val="24"/>
          <w:szCs w:val="24"/>
        </w:rPr>
        <w:t>投标</w:t>
      </w:r>
      <w:r>
        <w:rPr>
          <w:rFonts w:hint="eastAsia" w:ascii="宋体" w:hAnsi="宋体"/>
          <w:sz w:val="24"/>
          <w:szCs w:val="24"/>
        </w:rPr>
        <w:t>文件</w:t>
      </w:r>
      <w:r>
        <w:rPr>
          <w:rFonts w:ascii="宋体" w:hAnsi="宋体"/>
          <w:sz w:val="24"/>
          <w:szCs w:val="24"/>
        </w:rPr>
        <w:t>。</w:t>
      </w:r>
      <w:r>
        <w:rPr>
          <w:rFonts w:hint="eastAsia" w:ascii="宋体" w:hAnsi="宋体"/>
          <w:sz w:val="24"/>
          <w:szCs w:val="24"/>
        </w:rPr>
        <w:t>采购代理机构可以按本须知“招标文件的澄清与修改”规定，酌情推迟递交投标文件的截止时间。在上述情况下，采购代理机构与投标人以前在投标截止期方面的全部权利、责任和义务，将适用于延长至新的投标截止期。</w:t>
      </w:r>
    </w:p>
    <w:p>
      <w:pPr>
        <w:pStyle w:val="11"/>
        <w:snapToGrid w:val="0"/>
        <w:ind w:firstLine="480" w:firstLineChars="200"/>
        <w:rPr>
          <w:rFonts w:hint="eastAsia" w:ascii="宋体" w:hAnsi="宋体"/>
          <w:sz w:val="24"/>
          <w:szCs w:val="24"/>
        </w:rPr>
      </w:pPr>
      <w:r>
        <w:rPr>
          <w:rFonts w:hint="eastAsia" w:ascii="宋体" w:hAnsi="宋体"/>
          <w:sz w:val="24"/>
          <w:szCs w:val="24"/>
        </w:rPr>
        <w:t>17.4投标人在投标截止时间之前，可以对已提交的投标文件进行修改或撤回，并书面通知招标人；修改后重新递交的投标文件应当按本招标文件的要求签署、盖章和密封。</w:t>
      </w:r>
    </w:p>
    <w:p>
      <w:pPr>
        <w:pStyle w:val="11"/>
        <w:snapToGrid w:val="0"/>
        <w:ind w:firstLine="480" w:firstLineChars="200"/>
        <w:rPr>
          <w:rFonts w:hint="eastAsia" w:ascii="宋体" w:hAnsi="宋体"/>
          <w:sz w:val="24"/>
          <w:szCs w:val="24"/>
        </w:rPr>
      </w:pPr>
      <w:r>
        <w:rPr>
          <w:rFonts w:hint="eastAsia" w:ascii="宋体" w:hAnsi="宋体"/>
          <w:sz w:val="24"/>
          <w:szCs w:val="24"/>
        </w:rPr>
        <w:t>17.5投标截止时间后，投标人不得撤回、修改投标文件，否则其投标保证金将不予退还。</w:t>
      </w:r>
    </w:p>
    <w:p>
      <w:pPr>
        <w:pStyle w:val="11"/>
        <w:snapToGrid w:val="0"/>
        <w:ind w:firstLine="480" w:firstLineChars="200"/>
        <w:rPr>
          <w:rFonts w:hint="eastAsia" w:ascii="宋体" w:hAnsi="宋体"/>
          <w:sz w:val="24"/>
          <w:szCs w:val="24"/>
        </w:rPr>
      </w:pPr>
      <w:r>
        <w:rPr>
          <w:rFonts w:hint="eastAsia" w:ascii="宋体" w:hAnsi="宋体"/>
          <w:sz w:val="24"/>
          <w:szCs w:val="24"/>
        </w:rPr>
        <w:t>17.6不论投标人中标与否，投标文件均不退回。</w:t>
      </w:r>
    </w:p>
    <w:p>
      <w:pPr>
        <w:snapToGrid w:val="0"/>
        <w:ind w:firstLine="354" w:firstLineChars="147"/>
        <w:jc w:val="left"/>
        <w:rPr>
          <w:rFonts w:ascii="宋体" w:hAnsi="宋体"/>
          <w:b/>
          <w:sz w:val="24"/>
          <w:szCs w:val="24"/>
        </w:rPr>
      </w:pPr>
      <w:r>
        <w:rPr>
          <w:rFonts w:hint="eastAsia" w:ascii="宋体" w:hAnsi="宋体"/>
          <w:b/>
          <w:sz w:val="24"/>
          <w:szCs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15"/>
        <w:snapToGrid w:val="0"/>
        <w:spacing w:after="0" w:afterLines="0"/>
        <w:ind w:left="0" w:leftChars="0" w:firstLine="472"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hint="eastAsia" w:ascii="宋体" w:hAnsi="宋体"/>
          <w:sz w:val="24"/>
          <w:szCs w:val="24"/>
        </w:rPr>
      </w:pPr>
      <w:r>
        <w:rPr>
          <w:rFonts w:hint="eastAsia" w:ascii="宋体" w:hAnsi="宋体"/>
          <w:sz w:val="24"/>
          <w:szCs w:val="24"/>
        </w:rPr>
        <w:t>18.1.1</w:t>
      </w:r>
      <w:r>
        <w:rPr>
          <w:rFonts w:ascii="宋体" w:hAnsi="宋体"/>
          <w:sz w:val="24"/>
          <w:szCs w:val="24"/>
        </w:rPr>
        <w:t>超出</w:t>
      </w:r>
      <w:r>
        <w:rPr>
          <w:rFonts w:hint="eastAsia" w:ascii="宋体" w:hAnsi="宋体"/>
          <w:sz w:val="24"/>
          <w:szCs w:val="24"/>
        </w:rPr>
        <w:t>营业执照</w:t>
      </w:r>
      <w:r>
        <w:rPr>
          <w:rFonts w:ascii="宋体" w:hAnsi="宋体"/>
          <w:sz w:val="24"/>
          <w:szCs w:val="24"/>
        </w:rPr>
        <w:t>经营范围投标的</w:t>
      </w:r>
      <w:r>
        <w:rPr>
          <w:rFonts w:hint="eastAsia" w:ascii="宋体" w:hAnsi="宋体"/>
          <w:sz w:val="24"/>
          <w:szCs w:val="24"/>
        </w:rPr>
        <w:t>；</w:t>
      </w:r>
    </w:p>
    <w:p>
      <w:pPr>
        <w:snapToGrid w:val="0"/>
        <w:ind w:firstLine="470" w:firstLineChars="196"/>
        <w:rPr>
          <w:rFonts w:hint="eastAsia" w:ascii="宋体" w:hAnsi="宋体"/>
          <w:sz w:val="24"/>
          <w:szCs w:val="24"/>
        </w:rPr>
      </w:pPr>
      <w:r>
        <w:rPr>
          <w:rFonts w:hint="eastAsia" w:ascii="宋体" w:hAnsi="宋体"/>
          <w:sz w:val="24"/>
          <w:szCs w:val="24"/>
        </w:rPr>
        <w:t>18.1.2</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hint="eastAsia"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投标文件的实质性内容未使用中文表述、意思表述不明确、前后矛盾或者使用计量单位不符合招标文件要求的（经评标委员会认定</w:t>
      </w:r>
      <w:r>
        <w:rPr>
          <w:rFonts w:hint="eastAsia" w:ascii="宋体" w:hAnsi="宋体"/>
          <w:sz w:val="24"/>
          <w:szCs w:val="24"/>
        </w:rPr>
        <w:t>并</w:t>
      </w:r>
      <w:r>
        <w:rPr>
          <w:rFonts w:ascii="宋体" w:hAnsi="宋体"/>
          <w:sz w:val="24"/>
          <w:szCs w:val="24"/>
        </w:rPr>
        <w:t>允许其当场更正的笔误除外）</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hint="eastAsia" w:ascii="宋体" w:hAnsi="宋体"/>
          <w:sz w:val="24"/>
          <w:szCs w:val="24"/>
        </w:rPr>
      </w:pPr>
      <w:r>
        <w:rPr>
          <w:rFonts w:hint="eastAsia" w:ascii="宋体" w:hAnsi="宋体"/>
          <w:sz w:val="24"/>
          <w:szCs w:val="24"/>
        </w:rPr>
        <w:t>18.1.6未按照招标文件规定要求密封、装订、签署、盖章或投标文件正、副本份数不足的；</w:t>
      </w:r>
    </w:p>
    <w:p>
      <w:pPr>
        <w:snapToGrid w:val="0"/>
        <w:ind w:firstLine="470" w:firstLineChars="196"/>
        <w:rPr>
          <w:rFonts w:ascii="宋体" w:hAnsi="宋体"/>
          <w:sz w:val="24"/>
          <w:szCs w:val="24"/>
        </w:rPr>
      </w:pPr>
      <w:r>
        <w:rPr>
          <w:rFonts w:hint="eastAsia" w:ascii="宋体" w:hAnsi="宋体"/>
          <w:sz w:val="24"/>
          <w:szCs w:val="24"/>
        </w:rPr>
        <w:t>18.1.7应交未交投标保证金的；</w:t>
      </w:r>
    </w:p>
    <w:p>
      <w:pPr>
        <w:snapToGrid w:val="0"/>
        <w:ind w:firstLine="470" w:firstLineChars="196"/>
        <w:rPr>
          <w:rFonts w:hint="eastAsia" w:ascii="宋体" w:hAnsi="宋体"/>
          <w:sz w:val="24"/>
          <w:szCs w:val="24"/>
        </w:rPr>
      </w:pPr>
      <w:r>
        <w:rPr>
          <w:rFonts w:hint="eastAsia" w:ascii="宋体" w:hAnsi="宋体"/>
          <w:sz w:val="24"/>
          <w:szCs w:val="24"/>
        </w:rPr>
        <w:t>18.1.8商务条款存在偏离情况的；</w:t>
      </w:r>
    </w:p>
    <w:p>
      <w:pPr>
        <w:snapToGrid w:val="0"/>
        <w:ind w:firstLine="470" w:firstLineChars="196"/>
        <w:rPr>
          <w:rFonts w:hint="eastAsia" w:ascii="宋体" w:hAnsi="宋体"/>
          <w:sz w:val="24"/>
          <w:szCs w:val="24"/>
        </w:rPr>
      </w:pPr>
      <w:r>
        <w:rPr>
          <w:rFonts w:hint="eastAsia" w:ascii="宋体" w:hAnsi="宋体"/>
          <w:sz w:val="24"/>
          <w:szCs w:val="24"/>
        </w:rPr>
        <w:t>18.1.9不符合法律、法规或未实质性</w:t>
      </w:r>
      <w:r>
        <w:rPr>
          <w:rFonts w:ascii="宋体" w:hAnsi="宋体"/>
          <w:sz w:val="24"/>
          <w:szCs w:val="24"/>
        </w:rPr>
        <w:t>响应招标文件要求或者投标文件有招标方不能接受的附加条件的</w:t>
      </w:r>
      <w:r>
        <w:rPr>
          <w:rFonts w:hint="eastAsia" w:ascii="宋体" w:hAnsi="宋体"/>
          <w:sz w:val="24"/>
          <w:szCs w:val="24"/>
        </w:rPr>
        <w:t>。</w:t>
      </w:r>
    </w:p>
    <w:p>
      <w:pPr>
        <w:pStyle w:val="15"/>
        <w:snapToGrid w:val="0"/>
        <w:spacing w:after="0" w:afterLines="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hint="eastAsia"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5"/>
        <w:snapToGrid w:val="0"/>
        <w:spacing w:after="0" w:afterLines="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报价超出最高限价；</w:t>
      </w:r>
    </w:p>
    <w:p>
      <w:pPr>
        <w:snapToGrid w:val="0"/>
        <w:ind w:firstLine="470" w:firstLineChars="196"/>
        <w:rPr>
          <w:rFonts w:hint="eastAsia" w:ascii="宋体" w:hAnsi="宋体"/>
          <w:sz w:val="24"/>
          <w:szCs w:val="24"/>
        </w:rPr>
      </w:pPr>
      <w:r>
        <w:rPr>
          <w:rFonts w:ascii="宋体" w:hAnsi="宋体"/>
          <w:sz w:val="24"/>
          <w:szCs w:val="24"/>
        </w:rPr>
        <w:t>（3）投标报价具有选择性</w:t>
      </w:r>
      <w:r>
        <w:rPr>
          <w:rFonts w:hint="eastAsia" w:ascii="宋体" w:hAnsi="宋体"/>
          <w:sz w:val="24"/>
          <w:szCs w:val="24"/>
        </w:rPr>
        <w:t>。</w:t>
      </w:r>
    </w:p>
    <w:p>
      <w:pPr>
        <w:pStyle w:val="15"/>
        <w:snapToGrid w:val="0"/>
        <w:spacing w:after="0" w:afterLines="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pStyle w:val="5"/>
        <w:spacing w:line="360" w:lineRule="exact"/>
        <w:jc w:val="center"/>
        <w:rPr>
          <w:rFonts w:hint="eastAsia" w:ascii="宋体" w:hAnsi="宋体" w:eastAsia="宋体"/>
          <w:sz w:val="28"/>
          <w:szCs w:val="28"/>
        </w:rPr>
      </w:pPr>
      <w:bookmarkStart w:id="5" w:name="_Toc125344507"/>
      <w:r>
        <w:rPr>
          <w:rFonts w:hint="eastAsia" w:ascii="宋体" w:hAnsi="宋体" w:eastAsia="宋体"/>
          <w:sz w:val="28"/>
          <w:szCs w:val="28"/>
        </w:rPr>
        <w:t>五、开  标</w:t>
      </w:r>
      <w:bookmarkEnd w:id="5"/>
    </w:p>
    <w:p>
      <w:pPr>
        <w:ind w:firstLine="482" w:firstLineChars="200"/>
        <w:rPr>
          <w:rFonts w:hint="eastAsia" w:ascii="宋体" w:hAnsi="宋体"/>
          <w:b/>
          <w:sz w:val="24"/>
        </w:rPr>
      </w:pPr>
      <w:r>
        <w:rPr>
          <w:rFonts w:hint="eastAsia" w:ascii="宋体" w:hAnsi="宋体"/>
          <w:b/>
          <w:bCs/>
          <w:sz w:val="24"/>
        </w:rPr>
        <w:t>19.</w:t>
      </w:r>
      <w:r>
        <w:rPr>
          <w:rFonts w:hint="eastAsia" w:ascii="宋体" w:hAnsi="宋体"/>
          <w:b/>
          <w:sz w:val="24"/>
        </w:rPr>
        <w:t>开标</w:t>
      </w:r>
    </w:p>
    <w:p>
      <w:pPr>
        <w:ind w:firstLine="480" w:firstLineChars="200"/>
        <w:rPr>
          <w:rFonts w:hint="eastAsia" w:ascii="宋体" w:hAnsi="宋体"/>
          <w:sz w:val="24"/>
        </w:rPr>
      </w:pPr>
      <w:r>
        <w:rPr>
          <w:rFonts w:hint="eastAsia" w:ascii="宋体" w:hAnsi="宋体"/>
          <w:sz w:val="24"/>
        </w:rPr>
        <w:t>19.1采购代理机构将在前附表规定的时间、地点进行开标，投标人法人代表或其委托授权人应准时出席开标会议，开标时到场的投标人均需签到以示出席。</w:t>
      </w:r>
    </w:p>
    <w:p>
      <w:pPr>
        <w:ind w:firstLine="480" w:firstLineChars="200"/>
        <w:rPr>
          <w:rFonts w:hint="eastAsia" w:ascii="宋体" w:hAnsi="宋体"/>
          <w:sz w:val="24"/>
        </w:rPr>
      </w:pPr>
      <w:r>
        <w:rPr>
          <w:rFonts w:hint="eastAsia" w:ascii="宋体" w:hAnsi="宋体"/>
          <w:sz w:val="24"/>
        </w:rPr>
        <w:t>19.2投标人法人代表或其委托授权人未参加开标会议或迟到、早退的，视为自动弃权，事后不得对采购相关人员、开标过程和开标结果提出异议。</w:t>
      </w:r>
    </w:p>
    <w:p>
      <w:pPr>
        <w:ind w:firstLine="480" w:firstLineChars="200"/>
        <w:rPr>
          <w:rFonts w:hint="eastAsia" w:ascii="宋体" w:hAnsi="宋体"/>
          <w:sz w:val="24"/>
        </w:rPr>
      </w:pPr>
      <w:r>
        <w:rPr>
          <w:rFonts w:hint="eastAsia" w:ascii="宋体" w:hAnsi="宋体"/>
          <w:sz w:val="24"/>
        </w:rPr>
        <w:t>19.3开标会在</w:t>
      </w:r>
      <w:r>
        <w:rPr>
          <w:rFonts w:hint="eastAsia" w:ascii="宋体" w:hAnsi="宋体"/>
          <w:sz w:val="24"/>
          <w:lang w:eastAsia="zh-CN"/>
        </w:rPr>
        <w:t>业主单位</w:t>
      </w:r>
      <w:r>
        <w:rPr>
          <w:rFonts w:hint="eastAsia" w:ascii="宋体" w:hAnsi="宋体"/>
          <w:sz w:val="24"/>
        </w:rPr>
        <w:t>现场监督下由浙江华元工程咨询有限公司工作人员进行主持。</w:t>
      </w:r>
    </w:p>
    <w:p>
      <w:pPr>
        <w:ind w:firstLine="482" w:firstLineChars="200"/>
        <w:rPr>
          <w:rFonts w:hint="eastAsia" w:ascii="宋体" w:hAnsi="宋体"/>
          <w:b/>
          <w:sz w:val="24"/>
        </w:rPr>
      </w:pPr>
      <w:r>
        <w:rPr>
          <w:rFonts w:hint="eastAsia" w:ascii="宋体" w:hAnsi="宋体"/>
          <w:b/>
          <w:sz w:val="24"/>
        </w:rPr>
        <w:t>20.开标程序</w:t>
      </w:r>
    </w:p>
    <w:p>
      <w:pPr>
        <w:ind w:firstLine="480" w:firstLineChars="200"/>
        <w:rPr>
          <w:rFonts w:hint="eastAsia" w:ascii="宋体" w:hAnsi="宋体"/>
          <w:sz w:val="24"/>
        </w:rPr>
      </w:pPr>
      <w:r>
        <w:rPr>
          <w:rFonts w:hint="eastAsia" w:ascii="宋体" w:hAnsi="宋体"/>
          <w:sz w:val="24"/>
        </w:rPr>
        <w:t>20.1主持人宣布开标大会开始，介绍到会单位和人员。</w:t>
      </w:r>
    </w:p>
    <w:p>
      <w:pPr>
        <w:ind w:firstLine="480" w:firstLineChars="200"/>
        <w:rPr>
          <w:rFonts w:hint="eastAsia" w:ascii="宋体" w:hAnsi="宋体"/>
          <w:sz w:val="24"/>
        </w:rPr>
      </w:pPr>
      <w:r>
        <w:rPr>
          <w:rFonts w:hint="eastAsia" w:ascii="宋体" w:hAnsi="宋体"/>
          <w:sz w:val="24"/>
        </w:rPr>
        <w:t>20.2主持人</w:t>
      </w:r>
      <w:r>
        <w:rPr>
          <w:rFonts w:ascii="宋体" w:hAnsi="宋体"/>
          <w:sz w:val="24"/>
        </w:rPr>
        <w:t>宣布</w:t>
      </w:r>
      <w:r>
        <w:rPr>
          <w:rFonts w:hint="eastAsia" w:ascii="宋体" w:hAnsi="宋体"/>
          <w:sz w:val="24"/>
        </w:rPr>
        <w:t>开</w:t>
      </w:r>
      <w:r>
        <w:rPr>
          <w:rFonts w:ascii="宋体" w:hAnsi="宋体"/>
          <w:sz w:val="24"/>
        </w:rPr>
        <w:t>评标期间的有关事项</w:t>
      </w:r>
      <w:r>
        <w:rPr>
          <w:rFonts w:hint="eastAsia" w:ascii="宋体" w:hAnsi="宋体"/>
          <w:sz w:val="24"/>
        </w:rPr>
        <w:t xml:space="preserve">。 </w:t>
      </w:r>
    </w:p>
    <w:p>
      <w:pPr>
        <w:ind w:firstLine="480" w:firstLineChars="200"/>
        <w:rPr>
          <w:rFonts w:hint="eastAsia" w:ascii="宋体" w:hAnsi="宋体"/>
          <w:sz w:val="24"/>
        </w:rPr>
      </w:pPr>
      <w:r>
        <w:rPr>
          <w:rFonts w:hint="eastAsia" w:ascii="宋体" w:hAnsi="宋体"/>
          <w:sz w:val="24"/>
        </w:rPr>
        <w:t>20.3投标人或其当场推荐的代表</w:t>
      </w:r>
      <w:r>
        <w:rPr>
          <w:rFonts w:ascii="宋体" w:hAnsi="宋体"/>
          <w:sz w:val="24"/>
        </w:rPr>
        <w:t>检</w:t>
      </w:r>
      <w:r>
        <w:rPr>
          <w:rFonts w:hint="eastAsia" w:ascii="宋体" w:hAnsi="宋体"/>
          <w:sz w:val="24"/>
        </w:rPr>
        <w:t>查</w:t>
      </w:r>
      <w:r>
        <w:rPr>
          <w:rFonts w:ascii="宋体" w:hAnsi="宋体"/>
          <w:sz w:val="24"/>
        </w:rPr>
        <w:t>投标文件密封的完整性并签字确认</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20.4工作人员将投标文件等资料送达评标室，交评标委员会评审。</w:t>
      </w:r>
    </w:p>
    <w:p>
      <w:pPr>
        <w:ind w:firstLine="480" w:firstLineChars="200"/>
        <w:rPr>
          <w:rFonts w:hint="eastAsia" w:ascii="宋体" w:hAnsi="宋体"/>
          <w:sz w:val="24"/>
        </w:rPr>
      </w:pPr>
      <w:r>
        <w:rPr>
          <w:rFonts w:hint="eastAsia" w:ascii="宋体" w:hAnsi="宋体"/>
          <w:sz w:val="24"/>
        </w:rPr>
        <w:t>20.5技术标评审结束后，由主持人当众宣读技术评审结果和投标报价。</w:t>
      </w:r>
    </w:p>
    <w:p>
      <w:pPr>
        <w:ind w:firstLine="480" w:firstLineChars="200"/>
        <w:rPr>
          <w:rFonts w:ascii="宋体" w:hAnsi="宋体"/>
          <w:sz w:val="24"/>
        </w:rPr>
      </w:pPr>
      <w:r>
        <w:rPr>
          <w:rFonts w:hint="eastAsia" w:ascii="宋体" w:hAnsi="宋体"/>
          <w:sz w:val="24"/>
        </w:rPr>
        <w:t>20.6评标委员会对入围单位进行投标报价评审。</w:t>
      </w:r>
    </w:p>
    <w:p>
      <w:pPr>
        <w:ind w:firstLine="480" w:firstLineChars="200"/>
        <w:rPr>
          <w:rFonts w:hint="eastAsia" w:ascii="宋体" w:hAnsi="宋体"/>
          <w:sz w:val="24"/>
        </w:rPr>
      </w:pPr>
      <w:r>
        <w:rPr>
          <w:rFonts w:hint="eastAsia" w:ascii="宋体" w:hAnsi="宋体"/>
          <w:sz w:val="24"/>
        </w:rPr>
        <w:t>20.7评标委员会审核商务报价，汇总技术分、商务分，根据得分排序确定中标候选人。参加开标会的法定代表人或授权代理人应对唱读的内容和记录结果进行校核。</w:t>
      </w:r>
      <w:r>
        <w:rPr>
          <w:rFonts w:ascii="宋体" w:hAnsi="宋体"/>
          <w:sz w:val="24"/>
        </w:rPr>
        <w:t>投标人代表未到场签字确认</w:t>
      </w:r>
      <w:r>
        <w:rPr>
          <w:rFonts w:hint="eastAsia" w:ascii="宋体" w:hAnsi="宋体"/>
          <w:sz w:val="24"/>
        </w:rPr>
        <w:t>或者拒绝签字确认</w:t>
      </w:r>
      <w:r>
        <w:rPr>
          <w:rFonts w:ascii="宋体" w:hAnsi="宋体"/>
          <w:sz w:val="24"/>
        </w:rPr>
        <w:t>的，不影响评标过程。</w:t>
      </w:r>
    </w:p>
    <w:p>
      <w:pPr>
        <w:ind w:firstLine="480" w:firstLineChars="200"/>
        <w:rPr>
          <w:rFonts w:hint="eastAsia" w:ascii="宋体" w:hAnsi="宋体"/>
          <w:sz w:val="24"/>
        </w:rPr>
      </w:pPr>
      <w:r>
        <w:rPr>
          <w:rFonts w:hint="eastAsia" w:ascii="宋体" w:hAnsi="宋体"/>
          <w:sz w:val="24"/>
        </w:rPr>
        <w:t>20.8主持人向投标单位公布评标结果。</w:t>
      </w:r>
    </w:p>
    <w:p>
      <w:pPr>
        <w:ind w:firstLine="480" w:firstLineChars="200"/>
        <w:rPr>
          <w:rFonts w:ascii="宋体" w:hAnsi="宋体"/>
          <w:sz w:val="24"/>
        </w:rPr>
      </w:pPr>
      <w:r>
        <w:rPr>
          <w:rFonts w:hint="eastAsia" w:ascii="宋体" w:hAnsi="宋体"/>
          <w:sz w:val="24"/>
        </w:rPr>
        <w:t>20.9</w:t>
      </w:r>
      <w:r>
        <w:rPr>
          <w:rFonts w:ascii="宋体" w:hAnsi="宋体"/>
          <w:sz w:val="24"/>
        </w:rPr>
        <w:t>开标会议结束。</w:t>
      </w:r>
    </w:p>
    <w:p>
      <w:pPr>
        <w:pStyle w:val="5"/>
        <w:spacing w:line="360" w:lineRule="exact"/>
        <w:jc w:val="center"/>
        <w:rPr>
          <w:rFonts w:hint="eastAsia" w:ascii="宋体" w:hAnsi="宋体" w:eastAsia="宋体"/>
          <w:sz w:val="28"/>
          <w:szCs w:val="28"/>
        </w:rPr>
      </w:pPr>
      <w:bookmarkStart w:id="6" w:name="_Toc125344508"/>
      <w:r>
        <w:rPr>
          <w:rFonts w:hint="eastAsia" w:ascii="宋体" w:hAnsi="宋体" w:eastAsia="宋体"/>
          <w:sz w:val="28"/>
          <w:szCs w:val="28"/>
        </w:rPr>
        <w:t xml:space="preserve"> 六、评　标</w:t>
      </w:r>
      <w:bookmarkEnd w:id="6"/>
    </w:p>
    <w:p>
      <w:pPr>
        <w:ind w:firstLine="482" w:firstLineChars="200"/>
        <w:rPr>
          <w:rFonts w:hint="eastAsia" w:ascii="宋体" w:hAnsi="宋体"/>
          <w:b/>
          <w:sz w:val="24"/>
        </w:rPr>
      </w:pPr>
      <w:r>
        <w:rPr>
          <w:rFonts w:hint="eastAsia" w:ascii="宋体" w:hAnsi="宋体"/>
          <w:b/>
          <w:sz w:val="24"/>
        </w:rPr>
        <w:t>21. 组建评标委员会</w:t>
      </w:r>
    </w:p>
    <w:p>
      <w:pPr>
        <w:ind w:firstLine="480" w:firstLineChars="200"/>
        <w:rPr>
          <w:rFonts w:hint="eastAsia" w:ascii="宋体" w:hAnsi="宋体"/>
          <w:sz w:val="24"/>
        </w:rPr>
      </w:pPr>
      <w:r>
        <w:rPr>
          <w:rFonts w:hint="eastAsia" w:ascii="宋体" w:hAnsi="宋体"/>
          <w:sz w:val="24"/>
        </w:rPr>
        <w:t>评标委员会按照有关规定组建。</w:t>
      </w:r>
    </w:p>
    <w:p>
      <w:pPr>
        <w:ind w:firstLine="482" w:firstLineChars="200"/>
        <w:rPr>
          <w:rFonts w:hint="eastAsia" w:ascii="宋体" w:hAnsi="宋体"/>
          <w:b/>
          <w:sz w:val="24"/>
        </w:rPr>
      </w:pPr>
      <w:r>
        <w:rPr>
          <w:rFonts w:hint="eastAsia" w:ascii="宋体" w:hAnsi="宋体"/>
          <w:b/>
          <w:sz w:val="24"/>
        </w:rPr>
        <w:t>22.评标原则</w:t>
      </w:r>
    </w:p>
    <w:p>
      <w:pPr>
        <w:pStyle w:val="30"/>
        <w:ind w:firstLine="480" w:firstLineChars="200"/>
        <w:rPr>
          <w:rFonts w:hint="eastAsia" w:ascii="宋体" w:hAnsi="宋体"/>
          <w:sz w:val="24"/>
        </w:rPr>
      </w:pPr>
      <w:r>
        <w:rPr>
          <w:rFonts w:hint="eastAsia" w:ascii="宋体" w:hAnsi="宋体"/>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pPr>
        <w:ind w:firstLine="482" w:firstLineChars="200"/>
        <w:rPr>
          <w:rFonts w:hint="eastAsia" w:ascii="宋体" w:hAnsi="宋体"/>
          <w:b/>
          <w:sz w:val="24"/>
        </w:rPr>
      </w:pPr>
      <w:r>
        <w:rPr>
          <w:rFonts w:hint="eastAsia" w:ascii="宋体" w:hAnsi="宋体"/>
          <w:b/>
          <w:sz w:val="24"/>
        </w:rPr>
        <w:t>23.评标程序</w:t>
      </w:r>
    </w:p>
    <w:p>
      <w:pPr>
        <w:snapToGrid w:val="0"/>
        <w:ind w:firstLine="472" w:firstLineChars="196"/>
        <w:rPr>
          <w:rFonts w:ascii="宋体" w:hAnsi="宋体"/>
          <w:b/>
          <w:bCs/>
          <w:sz w:val="24"/>
          <w:szCs w:val="20"/>
        </w:rPr>
      </w:pPr>
      <w:r>
        <w:rPr>
          <w:rFonts w:hint="eastAsia" w:ascii="宋体" w:hAnsi="宋体"/>
          <w:b/>
          <w:bCs/>
          <w:sz w:val="24"/>
        </w:rPr>
        <w:t>23.1</w:t>
      </w:r>
      <w:r>
        <w:rPr>
          <w:rFonts w:ascii="宋体" w:hAnsi="宋体"/>
          <w:b/>
          <w:bCs/>
          <w:sz w:val="24"/>
        </w:rPr>
        <w:t>形式审查</w:t>
      </w:r>
    </w:p>
    <w:p>
      <w:pPr>
        <w:ind w:firstLine="480" w:firstLineChars="200"/>
        <w:rPr>
          <w:rFonts w:hint="eastAsia" w:ascii="宋体" w:hAnsi="宋体"/>
          <w:sz w:val="24"/>
        </w:rPr>
      </w:pPr>
      <w:r>
        <w:rPr>
          <w:rFonts w:hint="eastAsia" w:ascii="宋体" w:hAnsi="宋体"/>
          <w:sz w:val="24"/>
        </w:rPr>
        <w:t>评标委员会对投标人的资格</w:t>
      </w:r>
      <w:r>
        <w:rPr>
          <w:rFonts w:ascii="宋体" w:hAnsi="宋体"/>
          <w:sz w:val="24"/>
        </w:rPr>
        <w:t>和投标文件的完整性、合法性等进行审查。</w:t>
      </w:r>
    </w:p>
    <w:p>
      <w:pPr>
        <w:snapToGrid w:val="0"/>
        <w:ind w:firstLine="472" w:firstLineChars="196"/>
        <w:rPr>
          <w:rFonts w:ascii="宋体" w:hAnsi="宋体"/>
          <w:b/>
          <w:bCs/>
          <w:sz w:val="24"/>
          <w:szCs w:val="20"/>
        </w:rPr>
      </w:pPr>
      <w:r>
        <w:rPr>
          <w:rFonts w:hint="eastAsia" w:ascii="宋体" w:hAnsi="宋体"/>
          <w:b/>
          <w:bCs/>
          <w:sz w:val="24"/>
        </w:rPr>
        <w:t>23.2</w:t>
      </w:r>
      <w:r>
        <w:rPr>
          <w:rFonts w:ascii="宋体" w:hAnsi="宋体"/>
          <w:b/>
          <w:bCs/>
          <w:sz w:val="24"/>
        </w:rPr>
        <w:t>实质审查与比较</w:t>
      </w:r>
    </w:p>
    <w:p>
      <w:pPr>
        <w:pStyle w:val="30"/>
        <w:ind w:firstLine="480" w:firstLineChars="200"/>
        <w:rPr>
          <w:rFonts w:hint="eastAsia" w:ascii="宋体" w:hAnsi="宋体"/>
          <w:sz w:val="24"/>
        </w:rPr>
      </w:pPr>
      <w:r>
        <w:rPr>
          <w:rFonts w:hint="eastAsia" w:ascii="宋体" w:hAnsi="宋体"/>
          <w:sz w:val="24"/>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平的影响。</w:t>
      </w:r>
    </w:p>
    <w:p>
      <w:pPr>
        <w:pStyle w:val="30"/>
        <w:ind w:firstLine="480" w:firstLineChars="200"/>
        <w:rPr>
          <w:rFonts w:ascii="宋体" w:hAnsi="宋体"/>
          <w:sz w:val="24"/>
        </w:rPr>
      </w:pPr>
      <w:r>
        <w:rPr>
          <w:rFonts w:hint="eastAsia" w:ascii="宋体" w:hAnsi="宋体"/>
          <w:sz w:val="24"/>
        </w:rPr>
        <w:t>23.2.2</w:t>
      </w:r>
      <w:r>
        <w:rPr>
          <w:rFonts w:ascii="宋体" w:hAnsi="宋体"/>
          <w:sz w:val="24"/>
        </w:rPr>
        <w:t>评标委员会将根据投标人的投标文件进行审查、核对,如有疑问,将对投标人进行询标,投标人要向评标委员会澄清有关问题,并最终以书面形式进行答复。</w:t>
      </w:r>
      <w:r>
        <w:rPr>
          <w:rFonts w:hint="eastAsia" w:ascii="宋体" w:hAnsi="宋体"/>
          <w:sz w:val="24"/>
        </w:rPr>
        <w:t>投标人代表未到场或者拒绝澄清或者澄清的内容改变了投标文件的实质性内容的，评标委员会有权对该投标文件作出不利于投标人的评判。</w:t>
      </w:r>
    </w:p>
    <w:p>
      <w:pPr>
        <w:pStyle w:val="30"/>
        <w:ind w:firstLine="480" w:firstLineChars="200"/>
        <w:rPr>
          <w:rFonts w:hint="eastAsia" w:ascii="宋体" w:hAnsi="宋体"/>
          <w:sz w:val="24"/>
        </w:rPr>
      </w:pPr>
      <w:r>
        <w:rPr>
          <w:rFonts w:hint="eastAsia" w:ascii="宋体" w:hAnsi="宋体"/>
          <w:sz w:val="24"/>
        </w:rPr>
        <w:t>23.2.3如果投标文件实质不响应招标文件的各项要求，评标委员会将予以拒绝，并且不允许投标人通过修改或撤销其不符合要求的差异或保留，使之成为具有响应性的投标。</w:t>
      </w:r>
    </w:p>
    <w:p>
      <w:pPr>
        <w:pStyle w:val="30"/>
        <w:ind w:firstLine="480" w:firstLineChars="200"/>
        <w:rPr>
          <w:rFonts w:ascii="宋体" w:hAnsi="宋体"/>
          <w:sz w:val="24"/>
        </w:rPr>
      </w:pPr>
      <w:r>
        <w:rPr>
          <w:rFonts w:hint="eastAsia" w:ascii="宋体" w:hAnsi="宋体"/>
          <w:sz w:val="24"/>
        </w:rPr>
        <w:t>23.2.4</w:t>
      </w:r>
      <w:r>
        <w:rPr>
          <w:rFonts w:ascii="宋体" w:hAnsi="宋体"/>
          <w:sz w:val="24"/>
        </w:rPr>
        <w:t>各投标人的技术得分为</w:t>
      </w:r>
      <w:r>
        <w:rPr>
          <w:rFonts w:hint="eastAsia" w:ascii="宋体" w:hAnsi="宋体"/>
          <w:sz w:val="24"/>
        </w:rPr>
        <w:t>去掉最高分、最低分后其他</w:t>
      </w:r>
      <w:r>
        <w:rPr>
          <w:rFonts w:ascii="宋体" w:hAnsi="宋体"/>
          <w:sz w:val="24"/>
        </w:rPr>
        <w:t>评委的有效评分的算术平均数。</w:t>
      </w:r>
    </w:p>
    <w:p>
      <w:pPr>
        <w:pStyle w:val="30"/>
        <w:ind w:firstLine="480" w:firstLineChars="200"/>
        <w:rPr>
          <w:rFonts w:ascii="宋体" w:hAnsi="宋体"/>
          <w:sz w:val="24"/>
        </w:rPr>
      </w:pPr>
      <w:r>
        <w:rPr>
          <w:rFonts w:hint="eastAsia" w:ascii="宋体" w:hAnsi="宋体"/>
          <w:sz w:val="24"/>
        </w:rPr>
        <w:t>23.2.5</w:t>
      </w:r>
      <w:r>
        <w:rPr>
          <w:rFonts w:ascii="宋体" w:hAnsi="宋体"/>
          <w:sz w:val="24"/>
        </w:rPr>
        <w:t>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。评标委员会按评标原则推荐中标候选人同时起草评标报告。</w:t>
      </w:r>
    </w:p>
    <w:p>
      <w:pPr>
        <w:ind w:firstLine="482" w:firstLineChars="200"/>
        <w:rPr>
          <w:rFonts w:hint="eastAsia" w:ascii="宋体" w:hAnsi="宋体"/>
          <w:b/>
          <w:sz w:val="24"/>
          <w:szCs w:val="24"/>
        </w:rPr>
      </w:pPr>
      <w:r>
        <w:rPr>
          <w:rFonts w:hint="eastAsia" w:ascii="宋体" w:hAnsi="宋体"/>
          <w:b/>
          <w:sz w:val="24"/>
          <w:szCs w:val="24"/>
        </w:rPr>
        <w:t>24.投标文件的澄清</w:t>
      </w:r>
    </w:p>
    <w:p>
      <w:pPr>
        <w:pStyle w:val="30"/>
        <w:ind w:firstLine="480" w:firstLineChars="200"/>
        <w:rPr>
          <w:rFonts w:hint="eastAsia" w:ascii="宋体" w:hAnsi="宋体"/>
          <w:sz w:val="24"/>
        </w:rPr>
      </w:pPr>
      <w:r>
        <w:rPr>
          <w:rFonts w:hint="eastAsia" w:ascii="宋体" w:hAnsi="宋体"/>
          <w:sz w:val="24"/>
        </w:rPr>
        <w:t>对投标文件中含义不明确、同类问题表述不一致或者有明显文字错误的内容，评标委员会可以要求投标人作出必要的澄清、说明或者纠正。投标人的澄清、说明或者补正应当采用书面形式，由其授权代表签字或盖章确认，并不得超出投标文件的范围或者改变投标文件的实质性内容。但属于评标委员会在评标中发现的计算错误并进行核实的修改不在此列。投标人的澄清文件是其投标文件的组成部分。</w:t>
      </w:r>
    </w:p>
    <w:p>
      <w:pPr>
        <w:pStyle w:val="19"/>
        <w:snapToGrid w:val="0"/>
        <w:ind w:left="720" w:leftChars="228" w:hanging="241" w:hangingChars="100"/>
        <w:rPr>
          <w:rFonts w:ascii="宋体" w:hAnsi="宋体"/>
          <w:b/>
          <w:color w:val="auto"/>
          <w:shd w:val="clear" w:color="auto" w:fill="auto"/>
        </w:rPr>
      </w:pPr>
      <w:r>
        <w:rPr>
          <w:rFonts w:hint="eastAsia" w:ascii="宋体" w:hAnsi="宋体"/>
          <w:b/>
          <w:color w:val="auto"/>
          <w:shd w:val="clear" w:color="auto" w:fill="auto"/>
        </w:rPr>
        <w:t>25.</w:t>
      </w:r>
      <w:r>
        <w:rPr>
          <w:rFonts w:ascii="宋体" w:hAnsi="宋体"/>
          <w:b/>
          <w:color w:val="auto"/>
          <w:shd w:val="clear" w:color="auto" w:fill="auto"/>
        </w:rPr>
        <w:t>错误修正</w:t>
      </w:r>
    </w:p>
    <w:p>
      <w:pPr>
        <w:pStyle w:val="30"/>
        <w:ind w:firstLine="480" w:firstLineChars="200"/>
        <w:rPr>
          <w:rFonts w:hint="eastAsia" w:ascii="宋体" w:hAnsi="宋体"/>
          <w:color w:val="auto"/>
          <w:sz w:val="24"/>
          <w:shd w:val="clear" w:color="auto" w:fill="auto"/>
        </w:rPr>
      </w:pPr>
      <w:r>
        <w:rPr>
          <w:rFonts w:hint="eastAsia" w:ascii="宋体" w:hAnsi="宋体"/>
          <w:color w:val="auto"/>
          <w:sz w:val="24"/>
          <w:shd w:val="clear" w:color="auto" w:fill="auto"/>
        </w:rPr>
        <w:t>投标文件如果出现计算或表达上的错误，修正错误的原则如下：</w:t>
      </w:r>
    </w:p>
    <w:p>
      <w:pPr>
        <w:pStyle w:val="30"/>
        <w:ind w:firstLine="480" w:firstLineChars="200"/>
        <w:rPr>
          <w:rFonts w:hint="eastAsia" w:ascii="宋体" w:hAnsi="宋体"/>
          <w:color w:val="auto"/>
          <w:sz w:val="24"/>
          <w:shd w:val="clear" w:color="auto" w:fill="auto"/>
        </w:rPr>
      </w:pPr>
      <w:r>
        <w:rPr>
          <w:rFonts w:hint="eastAsia" w:ascii="宋体" w:hAnsi="宋体"/>
          <w:color w:val="auto"/>
          <w:sz w:val="24"/>
          <w:shd w:val="clear" w:color="auto" w:fill="auto"/>
        </w:rPr>
        <w:t>25.1投标文件中开标一览表（报价表）内容与投标文件中相应内容不一致的，以开标一览表（报价表）为准。</w:t>
      </w:r>
    </w:p>
    <w:p>
      <w:pPr>
        <w:pStyle w:val="30"/>
        <w:ind w:firstLine="480" w:firstLineChars="200"/>
        <w:rPr>
          <w:rFonts w:hint="eastAsia" w:ascii="宋体" w:hAnsi="宋体"/>
          <w:color w:val="auto"/>
          <w:sz w:val="24"/>
          <w:shd w:val="clear" w:color="auto" w:fill="auto"/>
        </w:rPr>
      </w:pPr>
      <w:r>
        <w:rPr>
          <w:rFonts w:hint="eastAsia" w:ascii="宋体" w:hAnsi="宋体"/>
          <w:color w:val="auto"/>
          <w:sz w:val="24"/>
          <w:shd w:val="clear" w:color="auto" w:fill="auto"/>
        </w:rPr>
        <w:t>25.2大写金额和小写金额不一致的，以大写金额为准。</w:t>
      </w:r>
    </w:p>
    <w:p>
      <w:pPr>
        <w:pStyle w:val="30"/>
        <w:ind w:firstLine="480" w:firstLineChars="200"/>
        <w:rPr>
          <w:rFonts w:hint="eastAsia" w:ascii="宋体" w:hAnsi="宋体"/>
          <w:color w:val="auto"/>
          <w:sz w:val="24"/>
          <w:shd w:val="clear" w:color="auto" w:fill="auto"/>
        </w:rPr>
      </w:pPr>
      <w:r>
        <w:rPr>
          <w:rFonts w:hint="eastAsia" w:ascii="宋体" w:hAnsi="宋体"/>
          <w:color w:val="auto"/>
          <w:sz w:val="24"/>
          <w:shd w:val="clear" w:color="auto" w:fill="auto"/>
        </w:rPr>
        <w:t>25.3单价金额小数点或者百分比有明显错位的，以开标一览表的总价为准，并修改单价 。</w:t>
      </w:r>
    </w:p>
    <w:p>
      <w:pPr>
        <w:pStyle w:val="30"/>
        <w:ind w:firstLine="480" w:firstLineChars="200"/>
        <w:rPr>
          <w:rFonts w:hint="eastAsia" w:ascii="宋体" w:hAnsi="宋体"/>
          <w:color w:val="auto"/>
          <w:sz w:val="24"/>
          <w:shd w:val="clear" w:color="auto" w:fill="auto"/>
        </w:rPr>
      </w:pPr>
      <w:r>
        <w:rPr>
          <w:rFonts w:hint="eastAsia" w:ascii="宋体" w:hAnsi="宋体"/>
          <w:color w:val="auto"/>
          <w:sz w:val="24"/>
          <w:shd w:val="clear" w:color="auto" w:fill="auto"/>
        </w:rPr>
        <w:t>25.4总价金额与按单价汇总金额不一致的，以单价金额计算结果为准。</w:t>
      </w:r>
    </w:p>
    <w:p>
      <w:pPr>
        <w:pStyle w:val="30"/>
        <w:ind w:firstLine="480" w:firstLineChars="200"/>
        <w:rPr>
          <w:rFonts w:hint="eastAsia" w:ascii="宋体" w:hAnsi="宋体"/>
          <w:color w:val="auto"/>
          <w:sz w:val="24"/>
          <w:shd w:val="clear" w:color="auto" w:fill="auto"/>
        </w:rPr>
      </w:pPr>
      <w:r>
        <w:rPr>
          <w:rFonts w:hint="eastAsia" w:ascii="宋体" w:hAnsi="宋体"/>
          <w:color w:val="auto"/>
          <w:sz w:val="24"/>
          <w:shd w:val="clear" w:color="auto" w:fill="auto"/>
        </w:rPr>
        <w:t>同时出现两种以上不一致的，按照上述规定的顺序修正。</w:t>
      </w:r>
    </w:p>
    <w:p>
      <w:pPr>
        <w:pStyle w:val="30"/>
        <w:ind w:firstLine="480" w:firstLineChars="200"/>
        <w:rPr>
          <w:rFonts w:hint="eastAsia" w:ascii="宋体" w:hAnsi="宋体"/>
          <w:color w:val="auto"/>
          <w:sz w:val="24"/>
          <w:shd w:val="clear" w:color="auto" w:fill="auto"/>
        </w:rPr>
      </w:pPr>
      <w:r>
        <w:rPr>
          <w:rFonts w:hint="eastAsia" w:ascii="宋体" w:hAnsi="宋体"/>
          <w:color w:val="auto"/>
          <w:sz w:val="24"/>
          <w:shd w:val="clear" w:color="auto" w:fill="auto"/>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30"/>
        <w:ind w:firstLine="482" w:firstLineChars="200"/>
        <w:rPr>
          <w:rFonts w:hint="eastAsia" w:ascii="宋体" w:hAnsi="宋体"/>
          <w:b/>
          <w:sz w:val="24"/>
        </w:rPr>
      </w:pPr>
      <w:r>
        <w:rPr>
          <w:rFonts w:hint="eastAsia" w:ascii="宋体" w:hAnsi="宋体"/>
          <w:b/>
          <w:sz w:val="24"/>
        </w:rPr>
        <w:t>26.评标办法。</w:t>
      </w:r>
    </w:p>
    <w:p>
      <w:pPr>
        <w:pStyle w:val="30"/>
        <w:ind w:firstLine="480" w:firstLineChars="200"/>
        <w:rPr>
          <w:rFonts w:hint="eastAsia" w:ascii="宋体" w:hAnsi="宋体"/>
          <w:sz w:val="24"/>
          <w:u w:val="single"/>
        </w:rPr>
      </w:pPr>
      <w:r>
        <w:rPr>
          <w:rFonts w:hint="eastAsia" w:ascii="宋体" w:hAnsi="宋体"/>
          <w:sz w:val="24"/>
        </w:rPr>
        <w:t>本项目评标办法是综合评分法，具体评标内容及评分标准等详见《第三章：评标办法及评分标准》。</w:t>
      </w:r>
    </w:p>
    <w:p>
      <w:pPr>
        <w:ind w:firstLine="482" w:firstLineChars="200"/>
        <w:rPr>
          <w:rFonts w:hint="eastAsia" w:ascii="宋体" w:hAnsi="宋体"/>
          <w:b/>
          <w:sz w:val="24"/>
        </w:rPr>
      </w:pPr>
      <w:r>
        <w:rPr>
          <w:rFonts w:hint="eastAsia" w:ascii="宋体" w:hAnsi="宋体"/>
          <w:b/>
          <w:sz w:val="24"/>
        </w:rPr>
        <w:t>27.</w:t>
      </w:r>
      <w:r>
        <w:rPr>
          <w:rFonts w:hint="eastAsia" w:ascii="宋体" w:hAnsi="宋体"/>
          <w:b/>
          <w:bCs/>
          <w:sz w:val="24"/>
        </w:rPr>
        <w:t>评标过程的保密</w:t>
      </w:r>
    </w:p>
    <w:p>
      <w:pPr>
        <w:pStyle w:val="30"/>
        <w:ind w:firstLine="480" w:firstLineChars="200"/>
        <w:rPr>
          <w:rFonts w:hint="eastAsia" w:ascii="宋体" w:hAnsi="宋体"/>
          <w:sz w:val="24"/>
        </w:rPr>
      </w:pPr>
      <w:r>
        <w:rPr>
          <w:rFonts w:hint="eastAsia" w:ascii="宋体" w:hAnsi="宋体"/>
          <w:sz w:val="24"/>
        </w:rPr>
        <w:t>27.1开标后，直到宣布授予中标人合同为止，凡属于审查、澄清、评价和比较投标文件的有关资料和授予合同的信息，招标人都不应向投标人或与该过程无关的其他人员泄露。</w:t>
      </w:r>
    </w:p>
    <w:p>
      <w:pPr>
        <w:pStyle w:val="30"/>
        <w:ind w:firstLine="480" w:firstLineChars="200"/>
        <w:rPr>
          <w:rFonts w:hint="eastAsia" w:ascii="宋体" w:hAnsi="宋体"/>
          <w:sz w:val="24"/>
        </w:rPr>
      </w:pPr>
      <w:r>
        <w:rPr>
          <w:rFonts w:hint="eastAsia" w:ascii="宋体" w:hAnsi="宋体"/>
          <w:sz w:val="24"/>
        </w:rPr>
        <w:t>27.2任何单位和个人都不得干扰、影响评标活动的正常进行。投标人在评标过程中所进行的试图影响评标结果的一切不符合法律或招标规定的活动，都可能导致其被取消投标资格，并由其承担相应的法律责任。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30"/>
        <w:ind w:firstLine="480" w:firstLineChars="200"/>
        <w:rPr>
          <w:rFonts w:hint="eastAsia" w:ascii="宋体" w:hAnsi="宋体"/>
          <w:sz w:val="24"/>
        </w:rPr>
      </w:pPr>
      <w:r>
        <w:rPr>
          <w:rFonts w:hint="eastAsia" w:ascii="宋体" w:hAnsi="宋体"/>
          <w:sz w:val="24"/>
        </w:rPr>
        <w:t>27.3中标人确定后，招标人不对未中标人就评标过程以及未能中标原因作出任何解释。未中标人不得向评标委员会或其他有关人员索问评标过程的情况和材料。</w:t>
      </w:r>
    </w:p>
    <w:p>
      <w:pPr>
        <w:pStyle w:val="5"/>
        <w:spacing w:line="360" w:lineRule="exact"/>
        <w:jc w:val="center"/>
        <w:rPr>
          <w:rFonts w:hint="eastAsia" w:ascii="宋体" w:hAnsi="宋体" w:eastAsia="宋体"/>
          <w:sz w:val="28"/>
          <w:szCs w:val="28"/>
        </w:rPr>
      </w:pPr>
      <w:bookmarkStart w:id="7" w:name="_Toc125344509"/>
      <w:r>
        <w:rPr>
          <w:rFonts w:hint="eastAsia" w:ascii="宋体" w:hAnsi="宋体" w:eastAsia="宋体"/>
          <w:sz w:val="28"/>
          <w:szCs w:val="28"/>
        </w:rPr>
        <w:t>七、</w:t>
      </w:r>
      <w:bookmarkEnd w:id="7"/>
      <w:r>
        <w:rPr>
          <w:rFonts w:hint="eastAsia" w:ascii="宋体" w:hAnsi="宋体" w:eastAsia="宋体"/>
          <w:sz w:val="28"/>
          <w:szCs w:val="28"/>
        </w:rPr>
        <w:t>定标</w:t>
      </w:r>
    </w:p>
    <w:p>
      <w:pPr>
        <w:pStyle w:val="30"/>
        <w:ind w:firstLine="482" w:firstLineChars="200"/>
        <w:rPr>
          <w:rFonts w:hint="eastAsia" w:ascii="宋体" w:hAnsi="宋体"/>
          <w:sz w:val="24"/>
        </w:rPr>
      </w:pPr>
      <w:r>
        <w:rPr>
          <w:rFonts w:hint="eastAsia" w:ascii="宋体" w:hAnsi="宋体"/>
          <w:b/>
          <w:bCs/>
          <w:sz w:val="24"/>
        </w:rPr>
        <w:t>28.确定中标人。本项目由采购人确定中标人。</w:t>
      </w:r>
    </w:p>
    <w:p>
      <w:pPr>
        <w:ind w:firstLine="480" w:firstLineChars="200"/>
        <w:rPr>
          <w:rFonts w:hint="eastAsia" w:ascii="宋体" w:hAnsi="宋体"/>
          <w:sz w:val="24"/>
        </w:rPr>
      </w:pPr>
      <w:r>
        <w:rPr>
          <w:rFonts w:hint="eastAsia" w:ascii="宋体" w:hAnsi="宋体"/>
          <w:sz w:val="24"/>
        </w:rPr>
        <w:t>28.1中标结果实行中标公示制度，接受社会监督。招标人应当在发布招标公告的网站上和信息公告栏上予以公示，公示期限为三个工作日。</w:t>
      </w:r>
    </w:p>
    <w:p>
      <w:pPr>
        <w:ind w:firstLine="480" w:firstLineChars="200"/>
        <w:rPr>
          <w:rFonts w:hint="eastAsia" w:ascii="宋体" w:hAnsi="宋体"/>
          <w:sz w:val="24"/>
        </w:rPr>
      </w:pPr>
      <w:r>
        <w:rPr>
          <w:rFonts w:hint="eastAsia" w:ascii="宋体" w:hAnsi="宋体"/>
          <w:sz w:val="24"/>
        </w:rPr>
        <w:t>28.2第一名中标候选人无正当理由放弃中标成交或被取消中标资格的，除其投标保证金不予退还外，同时上报诸暨市公共资源交易管理委员会办公室，诸暨市公共资源交易管理委员会办公室将按《中华人民共和国</w:t>
      </w:r>
      <w:r>
        <w:rPr>
          <w:rFonts w:hint="eastAsia" w:ascii="宋体" w:hAnsi="宋体"/>
          <w:sz w:val="24"/>
          <w:lang w:eastAsia="zh-CN"/>
        </w:rPr>
        <w:t>招标投标</w:t>
      </w:r>
      <w:r>
        <w:rPr>
          <w:rFonts w:hint="eastAsia" w:ascii="宋体" w:hAnsi="宋体"/>
          <w:sz w:val="24"/>
        </w:rPr>
        <w:t>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pStyle w:val="30"/>
        <w:ind w:firstLine="482" w:firstLineChars="200"/>
        <w:rPr>
          <w:rFonts w:hint="eastAsia" w:ascii="宋体" w:hAnsi="宋体"/>
          <w:b/>
          <w:bCs/>
          <w:sz w:val="24"/>
        </w:rPr>
      </w:pPr>
      <w:r>
        <w:rPr>
          <w:rFonts w:hint="eastAsia" w:ascii="宋体" w:hAnsi="宋体"/>
          <w:b/>
          <w:bCs/>
          <w:sz w:val="24"/>
        </w:rPr>
        <w:t>29.中标通知</w:t>
      </w:r>
    </w:p>
    <w:p>
      <w:pPr>
        <w:ind w:firstLine="480" w:firstLineChars="200"/>
        <w:rPr>
          <w:rFonts w:hint="eastAsia" w:ascii="宋体" w:hAnsi="宋体"/>
          <w:sz w:val="24"/>
        </w:rPr>
      </w:pPr>
      <w:r>
        <w:rPr>
          <w:rFonts w:hint="eastAsia" w:ascii="宋体" w:hAnsi="宋体"/>
          <w:sz w:val="24"/>
        </w:rPr>
        <w:t>29.1 中标公示期满后，无异议的，采购人确认中标结果，浙江华元工程咨询有限公司核发《中标通知书》。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29.2</w:t>
      </w:r>
      <w:r>
        <w:rPr>
          <w:rFonts w:ascii="宋体" w:hAnsi="宋体"/>
          <w:sz w:val="24"/>
        </w:rPr>
        <w:t>中标</w:t>
      </w:r>
      <w:r>
        <w:rPr>
          <w:rFonts w:hint="eastAsia" w:ascii="宋体" w:hAnsi="宋体"/>
          <w:sz w:val="24"/>
        </w:rPr>
        <w:t>结果将于公示期满后在相关网站以中标公告形式发布，中标人须在中标公告发布后到浙江华元工程咨询有限公司领取书面通知。</w:t>
      </w:r>
    </w:p>
    <w:p>
      <w:pPr>
        <w:ind w:firstLine="480" w:firstLineChars="200"/>
        <w:rPr>
          <w:rFonts w:hint="eastAsia" w:ascii="宋体" w:hAnsi="宋体"/>
          <w:sz w:val="24"/>
        </w:rPr>
      </w:pPr>
      <w:r>
        <w:rPr>
          <w:rFonts w:hint="eastAsia" w:ascii="宋体" w:hAnsi="宋体"/>
          <w:sz w:val="24"/>
        </w:rPr>
        <w:t>29.3招标人对中标结果不作任何说明和解释，也不回答任何提问。</w:t>
      </w:r>
    </w:p>
    <w:p>
      <w:pPr>
        <w:snapToGrid w:val="0"/>
        <w:ind w:firstLine="472" w:firstLineChars="196"/>
        <w:rPr>
          <w:rFonts w:hint="eastAsia" w:ascii="宋体" w:hAnsi="宋体"/>
          <w:b/>
          <w:bCs/>
          <w:sz w:val="24"/>
        </w:rPr>
      </w:pPr>
      <w:r>
        <w:rPr>
          <w:rFonts w:hint="eastAsia" w:ascii="宋体" w:hAnsi="宋体"/>
          <w:b/>
          <w:bCs/>
          <w:sz w:val="24"/>
        </w:rPr>
        <w:t>30. 中标无效情形</w:t>
      </w:r>
    </w:p>
    <w:p>
      <w:pPr>
        <w:pStyle w:val="30"/>
        <w:ind w:firstLine="480" w:firstLineChars="200"/>
        <w:rPr>
          <w:rFonts w:hint="eastAsia" w:ascii="宋体" w:hAnsi="宋体"/>
          <w:sz w:val="24"/>
        </w:rPr>
      </w:pPr>
      <w:r>
        <w:rPr>
          <w:rFonts w:hint="eastAsia" w:ascii="宋体" w:hAnsi="宋体"/>
          <w:sz w:val="24"/>
        </w:rPr>
        <w:t>中标人存在下列情形之一的，中标无效：</w:t>
      </w:r>
    </w:p>
    <w:p>
      <w:pPr>
        <w:pStyle w:val="30"/>
        <w:ind w:firstLine="480" w:firstLineChars="200"/>
        <w:rPr>
          <w:rFonts w:hint="eastAsia" w:ascii="宋体" w:hAnsi="宋体"/>
          <w:sz w:val="24"/>
        </w:rPr>
      </w:pPr>
      <w:r>
        <w:rPr>
          <w:rFonts w:hint="eastAsia" w:ascii="宋体" w:hAnsi="宋体"/>
          <w:sz w:val="24"/>
        </w:rPr>
        <w:t>30.1提供虚假材料谋取中标的；</w:t>
      </w:r>
    </w:p>
    <w:p>
      <w:pPr>
        <w:pStyle w:val="30"/>
        <w:ind w:firstLine="480" w:firstLineChars="200"/>
        <w:rPr>
          <w:rFonts w:hint="eastAsia" w:ascii="宋体" w:hAnsi="宋体"/>
          <w:sz w:val="24"/>
        </w:rPr>
      </w:pPr>
      <w:r>
        <w:rPr>
          <w:rFonts w:hint="eastAsia" w:ascii="宋体" w:hAnsi="宋体"/>
          <w:sz w:val="24"/>
        </w:rPr>
        <w:t>30.2采取不正当手段诋毁、排挤其他投标人的；</w:t>
      </w:r>
    </w:p>
    <w:p>
      <w:pPr>
        <w:pStyle w:val="30"/>
        <w:ind w:firstLine="480" w:firstLineChars="200"/>
        <w:rPr>
          <w:rFonts w:hint="eastAsia" w:ascii="宋体" w:hAnsi="宋体"/>
          <w:sz w:val="24"/>
        </w:rPr>
      </w:pPr>
      <w:r>
        <w:rPr>
          <w:rFonts w:hint="eastAsia" w:ascii="宋体" w:hAnsi="宋体"/>
          <w:sz w:val="24"/>
        </w:rPr>
        <w:t>30.3与采购单位、其他投标人恶意串通的；</w:t>
      </w:r>
    </w:p>
    <w:p>
      <w:pPr>
        <w:pStyle w:val="30"/>
        <w:ind w:firstLine="480" w:firstLineChars="200"/>
        <w:rPr>
          <w:rFonts w:hint="eastAsia" w:ascii="宋体" w:hAnsi="宋体"/>
          <w:sz w:val="24"/>
        </w:rPr>
      </w:pPr>
      <w:r>
        <w:rPr>
          <w:rFonts w:hint="eastAsia" w:ascii="宋体" w:hAnsi="宋体"/>
          <w:sz w:val="24"/>
        </w:rPr>
        <w:t>30.4向采购单位行贿或者提供其他不正当利益的；</w:t>
      </w:r>
    </w:p>
    <w:p>
      <w:pPr>
        <w:pStyle w:val="30"/>
        <w:ind w:firstLine="480" w:firstLineChars="200"/>
        <w:rPr>
          <w:rFonts w:hint="eastAsia" w:ascii="宋体" w:hAnsi="宋体"/>
          <w:sz w:val="24"/>
        </w:rPr>
      </w:pPr>
      <w:r>
        <w:rPr>
          <w:rFonts w:hint="eastAsia" w:ascii="宋体" w:hAnsi="宋体"/>
          <w:sz w:val="24"/>
        </w:rPr>
        <w:t>30.5在招标过程中与采购单位进行协商谈判、不按照招标文件和中标供应商的投标文件订立合同，或者与采购人另行背离合同实质性内容的协议的；</w:t>
      </w:r>
    </w:p>
    <w:p>
      <w:pPr>
        <w:ind w:firstLine="480" w:firstLineChars="200"/>
        <w:rPr>
          <w:rFonts w:hint="eastAsia" w:ascii="宋体" w:hAnsi="宋体"/>
          <w:sz w:val="24"/>
        </w:rPr>
      </w:pPr>
      <w:r>
        <w:rPr>
          <w:rFonts w:hint="eastAsia" w:ascii="宋体" w:hAnsi="宋体"/>
          <w:sz w:val="24"/>
        </w:rPr>
        <w:t>30.6存在法律、法规规定的其它损害招标人或用户单位利益或社会公共利益的情形的；</w:t>
      </w:r>
    </w:p>
    <w:p>
      <w:pPr>
        <w:snapToGrid w:val="0"/>
        <w:ind w:firstLine="472" w:firstLineChars="196"/>
        <w:rPr>
          <w:rFonts w:hint="eastAsia" w:ascii="宋体" w:hAnsi="宋体"/>
          <w:b/>
          <w:bCs/>
          <w:sz w:val="24"/>
        </w:rPr>
      </w:pPr>
      <w:r>
        <w:rPr>
          <w:rFonts w:hint="eastAsia" w:ascii="宋体" w:hAnsi="宋体"/>
          <w:b/>
          <w:bCs/>
          <w:sz w:val="24"/>
        </w:rPr>
        <w:t>31.重新招标</w:t>
      </w:r>
    </w:p>
    <w:p>
      <w:pPr>
        <w:ind w:firstLine="480" w:firstLineChars="200"/>
        <w:rPr>
          <w:rFonts w:hint="eastAsia" w:ascii="宋体" w:hAnsi="宋体"/>
          <w:sz w:val="24"/>
        </w:rPr>
      </w:pPr>
      <w:r>
        <w:rPr>
          <w:rFonts w:hint="eastAsia" w:ascii="宋体" w:hAnsi="宋体"/>
          <w:sz w:val="24"/>
        </w:rPr>
        <w:t>投标截止时间及评审期间，出现有效供应商不足3家的，重新组织采购活动。</w:t>
      </w:r>
    </w:p>
    <w:p>
      <w:pPr>
        <w:snapToGrid w:val="0"/>
        <w:ind w:firstLine="470" w:firstLineChars="196"/>
        <w:rPr>
          <w:rFonts w:hint="eastAsia" w:ascii="宋体" w:hAnsi="宋体"/>
          <w:b/>
          <w:bCs/>
          <w:sz w:val="24"/>
        </w:rPr>
      </w:pPr>
      <w:r>
        <w:rPr>
          <w:rFonts w:hint="eastAsia" w:ascii="宋体" w:hAnsi="宋体"/>
          <w:sz w:val="24"/>
        </w:rPr>
        <w:t>若投标方案不能满足招标文件要求的，将被废标。</w:t>
      </w:r>
    </w:p>
    <w:p>
      <w:pPr>
        <w:pStyle w:val="5"/>
        <w:spacing w:line="360" w:lineRule="exact"/>
        <w:jc w:val="center"/>
        <w:rPr>
          <w:rFonts w:hint="eastAsia" w:ascii="宋体" w:hAnsi="宋体" w:eastAsia="宋体"/>
          <w:sz w:val="28"/>
          <w:szCs w:val="28"/>
        </w:rPr>
      </w:pPr>
      <w:r>
        <w:rPr>
          <w:rFonts w:hint="eastAsia" w:ascii="宋体" w:hAnsi="宋体" w:eastAsia="宋体"/>
          <w:sz w:val="28"/>
          <w:szCs w:val="28"/>
        </w:rPr>
        <w:t>八、授予合同</w:t>
      </w:r>
    </w:p>
    <w:p>
      <w:pPr>
        <w:snapToGrid w:val="0"/>
        <w:ind w:firstLine="472" w:firstLineChars="196"/>
        <w:rPr>
          <w:rFonts w:ascii="宋体" w:hAnsi="宋体"/>
          <w:b/>
          <w:bCs/>
          <w:sz w:val="24"/>
        </w:rPr>
      </w:pPr>
      <w:r>
        <w:rPr>
          <w:rFonts w:hint="eastAsia" w:ascii="宋体" w:hAnsi="宋体"/>
          <w:b/>
          <w:bCs/>
          <w:sz w:val="24"/>
        </w:rPr>
        <w:t>32.签订合同</w:t>
      </w:r>
    </w:p>
    <w:p>
      <w:pPr>
        <w:ind w:firstLine="480" w:firstLineChars="200"/>
        <w:rPr>
          <w:rFonts w:hint="eastAsia" w:ascii="宋体" w:hAnsi="宋体"/>
          <w:sz w:val="24"/>
        </w:rPr>
      </w:pPr>
      <w:r>
        <w:rPr>
          <w:rFonts w:hint="eastAsia" w:ascii="宋体" w:hAnsi="宋体"/>
          <w:sz w:val="24"/>
        </w:rPr>
        <w:t>32.1中标人须在领取《中标通知书》后30天内，根据《中华人民共和国合同法》、《中华人民共和国</w:t>
      </w:r>
      <w:r>
        <w:rPr>
          <w:rFonts w:hint="eastAsia" w:ascii="宋体" w:hAnsi="宋体"/>
          <w:sz w:val="24"/>
          <w:lang w:eastAsia="zh-CN"/>
        </w:rPr>
        <w:t>招标投标</w:t>
      </w:r>
      <w:r>
        <w:rPr>
          <w:rFonts w:hint="eastAsia" w:ascii="宋体" w:hAnsi="宋体"/>
          <w:sz w:val="24"/>
        </w:rPr>
        <w:t>法》等有关规定，依据招标文件和投标文件的有关条款上门与相关用户单位（即采购单位）签订合同。</w:t>
      </w:r>
    </w:p>
    <w:p>
      <w:pPr>
        <w:ind w:firstLine="480" w:firstLineChars="200"/>
        <w:rPr>
          <w:rFonts w:hint="eastAsia" w:ascii="宋体" w:hAnsi="宋体"/>
          <w:sz w:val="24"/>
        </w:rPr>
      </w:pPr>
      <w:r>
        <w:rPr>
          <w:rFonts w:hint="eastAsia" w:ascii="宋体" w:hAnsi="宋体"/>
          <w:sz w:val="24"/>
        </w:rPr>
        <w:t>32.2招标文件、投标文件和《中标通知书》作为合同签订的依据和主要附件。合同签订时中标人须提供相应的</w:t>
      </w:r>
      <w:r>
        <w:rPr>
          <w:rFonts w:hint="eastAsia" w:ascii="宋体" w:hAnsi="宋体"/>
          <w:bCs/>
          <w:sz w:val="24"/>
        </w:rPr>
        <w:t>《中标通知书》复印件和售后服务承诺</w:t>
      </w:r>
      <w:r>
        <w:rPr>
          <w:rFonts w:hint="eastAsia" w:ascii="宋体" w:hAnsi="宋体"/>
          <w:sz w:val="24"/>
        </w:rPr>
        <w:t>给用户单位，以方便验收货物（或工程）。</w:t>
      </w:r>
    </w:p>
    <w:p>
      <w:pPr>
        <w:ind w:firstLine="480" w:firstLineChars="200"/>
        <w:rPr>
          <w:rFonts w:hint="eastAsia" w:ascii="宋体" w:hAnsi="宋体"/>
          <w:sz w:val="24"/>
        </w:rPr>
      </w:pPr>
      <w:r>
        <w:rPr>
          <w:rFonts w:hint="eastAsia" w:ascii="宋体" w:hAnsi="宋体"/>
          <w:sz w:val="24"/>
        </w:rPr>
        <w:t>32.3 合同一式四份，用户单位和中标人各执一份、代理机构、浙江浣江传媒集团招投标办公室备案一份。</w:t>
      </w:r>
    </w:p>
    <w:p>
      <w:pPr>
        <w:ind w:firstLine="480" w:firstLineChars="200"/>
        <w:rPr>
          <w:rFonts w:ascii="宋体" w:hAnsi="宋体"/>
          <w:sz w:val="24"/>
        </w:rPr>
      </w:pPr>
      <w:r>
        <w:rPr>
          <w:rFonts w:hint="eastAsia" w:ascii="宋体" w:hAnsi="宋体"/>
          <w:sz w:val="24"/>
        </w:rPr>
        <w:t>32.4中标人和用户单位不得擅自变更、中止或者终止合同，不得另外订立背离合同实质性内容的其它协议。</w:t>
      </w:r>
    </w:p>
    <w:p>
      <w:pPr>
        <w:snapToGrid w:val="0"/>
        <w:ind w:firstLine="472" w:firstLineChars="196"/>
        <w:rPr>
          <w:rFonts w:hint="eastAsia" w:ascii="宋体" w:hAnsi="宋体"/>
          <w:b/>
          <w:bCs/>
          <w:sz w:val="24"/>
        </w:rPr>
      </w:pPr>
      <w:r>
        <w:rPr>
          <w:rFonts w:hint="eastAsia" w:ascii="宋体" w:hAnsi="宋体"/>
          <w:b/>
          <w:bCs/>
          <w:sz w:val="24"/>
        </w:rPr>
        <w:t>33.</w:t>
      </w:r>
      <w:r>
        <w:rPr>
          <w:rFonts w:ascii="宋体" w:hAnsi="宋体"/>
          <w:b/>
          <w:bCs/>
          <w:sz w:val="24"/>
        </w:rPr>
        <w:t>履约保证金</w:t>
      </w:r>
    </w:p>
    <w:p>
      <w:pPr>
        <w:ind w:firstLine="480" w:firstLineChars="200"/>
        <w:rPr>
          <w:rFonts w:hint="eastAsia" w:ascii="宋体" w:hAnsi="宋体"/>
          <w:sz w:val="24"/>
        </w:rPr>
      </w:pPr>
      <w:r>
        <w:rPr>
          <w:rFonts w:hint="eastAsia" w:ascii="宋体" w:hAnsi="宋体"/>
          <w:sz w:val="24"/>
        </w:rPr>
        <w:t>33.1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应按招标文件要求向采购人</w:t>
      </w:r>
      <w:r>
        <w:rPr>
          <w:rFonts w:ascii="宋体" w:hAnsi="宋体"/>
          <w:sz w:val="24"/>
        </w:rPr>
        <w:t>提交履约保证金</w:t>
      </w:r>
      <w:r>
        <w:rPr>
          <w:rFonts w:hint="eastAsia" w:ascii="宋体" w:hAnsi="宋体"/>
          <w:sz w:val="24"/>
        </w:rPr>
        <w:t>，其数额为</w:t>
      </w:r>
      <w:r>
        <w:rPr>
          <w:rFonts w:hint="eastAsia" w:ascii="宋体" w:hAnsi="宋体"/>
          <w:sz w:val="24"/>
          <w:lang w:val="en-US" w:eastAsia="zh-CN"/>
        </w:rPr>
        <w:t>中标金额的10%</w:t>
      </w:r>
      <w:r>
        <w:rPr>
          <w:rFonts w:hint="eastAsia" w:ascii="宋体" w:hAnsi="宋体"/>
          <w:sz w:val="24"/>
        </w:rPr>
        <w:t>，履约保证金不计息。</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hint="eastAsia" w:ascii="宋体" w:hAnsi="宋体"/>
          <w:sz w:val="24"/>
        </w:rPr>
      </w:pPr>
      <w:r>
        <w:rPr>
          <w:rFonts w:hint="eastAsia" w:ascii="宋体" w:hAnsi="宋体"/>
          <w:sz w:val="24"/>
        </w:rPr>
        <w:t>33.2履约保证金须单独提交，中标人的投标保证金不能转为履约保证金。</w:t>
      </w:r>
    </w:p>
    <w:p>
      <w:pPr>
        <w:ind w:firstLine="480" w:firstLineChars="200"/>
        <w:rPr>
          <w:rFonts w:hint="eastAsia" w:ascii="宋体" w:hAnsi="宋体"/>
          <w:sz w:val="24"/>
        </w:rPr>
      </w:pPr>
      <w:r>
        <w:rPr>
          <w:rFonts w:hint="eastAsia" w:ascii="宋体" w:hAnsi="宋体"/>
          <w:sz w:val="24"/>
        </w:rPr>
        <w:t>33.3签订合同后，如中标人不按双方合同约定履约，则没收其全部履约保证金，履约保证金不足以赔偿损失的，按实际损失赔偿。</w:t>
      </w:r>
    </w:p>
    <w:p>
      <w:pPr>
        <w:snapToGrid w:val="0"/>
        <w:ind w:firstLine="472" w:firstLineChars="196"/>
        <w:rPr>
          <w:rFonts w:hint="eastAsia" w:ascii="宋体" w:hAnsi="宋体"/>
          <w:b/>
          <w:bCs/>
          <w:sz w:val="24"/>
        </w:rPr>
      </w:pPr>
      <w:r>
        <w:rPr>
          <w:rFonts w:hint="eastAsia" w:ascii="宋体" w:hAnsi="宋体"/>
          <w:b/>
          <w:bCs/>
          <w:sz w:val="24"/>
        </w:rPr>
        <w:t>34.合同备案</w:t>
      </w:r>
    </w:p>
    <w:p>
      <w:pPr>
        <w:ind w:firstLine="480" w:firstLineChars="200"/>
        <w:rPr>
          <w:rFonts w:hint="eastAsia"/>
          <w:sz w:val="24"/>
        </w:rPr>
      </w:pPr>
      <w:r>
        <w:rPr>
          <w:rFonts w:hint="eastAsia"/>
          <w:sz w:val="24"/>
        </w:rPr>
        <w:t>采购单位应当自采购合同签订之日起七个工作日内，按照有关规定将采购合同送</w:t>
      </w:r>
      <w:r>
        <w:rPr>
          <w:rFonts w:hint="eastAsia" w:ascii="宋体" w:hAnsi="宋体"/>
          <w:sz w:val="24"/>
        </w:rPr>
        <w:t>浙江浣江传媒集团招投标办公室</w:t>
      </w:r>
      <w:r>
        <w:rPr>
          <w:rFonts w:hint="eastAsia" w:ascii="宋体" w:hAnsi="宋体"/>
          <w:sz w:val="24"/>
          <w:lang w:eastAsia="zh-CN"/>
        </w:rPr>
        <w:t>和代理公司</w:t>
      </w:r>
      <w:r>
        <w:rPr>
          <w:rFonts w:hint="eastAsia"/>
          <w:sz w:val="24"/>
        </w:rPr>
        <w:t>备案。</w:t>
      </w:r>
    </w:p>
    <w:p>
      <w:pPr>
        <w:pStyle w:val="5"/>
        <w:spacing w:before="0" w:beforeLines="0" w:after="0" w:afterLines="0" w:line="240" w:lineRule="auto"/>
        <w:ind w:firstLine="562" w:firstLineChars="200"/>
        <w:jc w:val="center"/>
        <w:rPr>
          <w:rFonts w:hint="eastAsia" w:ascii="宋体" w:hAnsi="宋体" w:eastAsia="宋体"/>
          <w:sz w:val="28"/>
          <w:szCs w:val="28"/>
        </w:rPr>
      </w:pPr>
      <w:bookmarkStart w:id="8" w:name="_Toc352165696"/>
      <w:bookmarkStart w:id="9" w:name="_Toc339459646"/>
      <w:bookmarkStart w:id="10" w:name="_Toc125344511"/>
      <w:r>
        <w:rPr>
          <w:rFonts w:hint="eastAsia" w:ascii="宋体" w:hAnsi="宋体" w:eastAsia="宋体"/>
          <w:sz w:val="28"/>
          <w:szCs w:val="28"/>
        </w:rPr>
        <w:t>九、不良行为记录</w:t>
      </w:r>
      <w:bookmarkEnd w:id="8"/>
      <w:bookmarkEnd w:id="9"/>
    </w:p>
    <w:p>
      <w:pPr>
        <w:ind w:firstLine="480" w:firstLineChars="200"/>
        <w:rPr>
          <w:rFonts w:hint="eastAsia"/>
          <w:sz w:val="24"/>
        </w:rPr>
      </w:pPr>
      <w:r>
        <w:rPr>
          <w:rFonts w:hint="eastAsia"/>
          <w:sz w:val="24"/>
        </w:rPr>
        <w:t>采购响应人、采购相关利益人、自然人在采购活动中出现下列违规行为的将记入浙江浣江传媒集团不良行为记录，并在记录时限内暂停其浙江浣江传媒集团交易资格。</w:t>
      </w:r>
    </w:p>
    <w:tbl>
      <w:tblPr>
        <w:tblStyle w:val="3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noWrap w:val="0"/>
            <w:vAlign w:val="center"/>
          </w:tcPr>
          <w:p>
            <w:pPr>
              <w:jc w:val="center"/>
              <w:rPr>
                <w:rFonts w:hint="eastAsia" w:ascii="宋体" w:hAnsi="宋体"/>
                <w:b/>
                <w:bCs/>
                <w:sz w:val="24"/>
              </w:rPr>
            </w:pPr>
            <w:r>
              <w:rPr>
                <w:rFonts w:hint="eastAsia" w:ascii="宋体" w:hAnsi="宋体"/>
                <w:b/>
                <w:bCs/>
                <w:sz w:val="24"/>
              </w:rPr>
              <w:t>序号</w:t>
            </w:r>
          </w:p>
        </w:tc>
        <w:tc>
          <w:tcPr>
            <w:tcW w:w="6433" w:type="dxa"/>
            <w:noWrap w:val="0"/>
            <w:vAlign w:val="center"/>
          </w:tcPr>
          <w:p>
            <w:pPr>
              <w:jc w:val="center"/>
              <w:rPr>
                <w:rFonts w:hint="eastAsia" w:ascii="宋体" w:hAnsi="宋体"/>
                <w:b/>
                <w:bCs/>
                <w:sz w:val="24"/>
              </w:rPr>
            </w:pPr>
            <w:r>
              <w:rPr>
                <w:rFonts w:hint="eastAsia" w:ascii="宋体" w:hAnsi="宋体"/>
                <w:b/>
                <w:bCs/>
                <w:sz w:val="24"/>
              </w:rPr>
              <w:t>不良行为</w:t>
            </w:r>
          </w:p>
        </w:tc>
        <w:tc>
          <w:tcPr>
            <w:tcW w:w="1326" w:type="dxa"/>
            <w:noWrap w:val="0"/>
            <w:vAlign w:val="center"/>
          </w:tcPr>
          <w:p>
            <w:pPr>
              <w:jc w:val="center"/>
              <w:rPr>
                <w:rFonts w:hint="eastAsia"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在采购过程中，与采购人进行协商询价的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询价有效期内撤回其采购响应文件的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3</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拒绝有关部门监督检查或提供虚假情况的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4</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不积极配合采购单位做好标的验收工作的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5</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在有关部门的监督检查或考核中被通报批评或处以警告及以上处罚的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6</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不遵守投标会场纪律，无理取闹，扰乱交易秩序的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7</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中标后无正当理由放弃中标，或在规定时间内不与采购人签订采购合同，或在签订合同时提出附加条件或更改合同实质性内容，或拒不提交所要求的履约保证金的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8</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不按照与采购人订立的合同履行义务（包括提供标的、售后服务、技术支持等），严重违反合同规定和廉政合同要求的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9</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项目负责人不到位，或擅自变换项目负责人，或不认真履行职责造成采购人损失的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10</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11</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与采购人、其他供应商或者采购代理机构相互串通的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12</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采取不正当手段排挤其他供应商，进行不公平竞争的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13</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中标后与采购人另行订立背离合同实质内容的协议的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14</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事先有承诺，而事后违反承诺内容的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15</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将中标项目转包或违反规定进行分包的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16</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以他人名义投标或允许他人以自己名义投标，或者以其他方式弄虚作假的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17</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未按照采购合同约定及时提供全部货物的，或无故拖延工期的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18</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无故不提供中标要求的型号、配置等产品的，或有拆换、调换、截留产品零部件和备品备件的行为的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19</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为获取自身利益，向采购人及其他有利害关系的单位或个人提供不正当利益的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20</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rPr>
              <w:t>投标人、采购相关利益人、自然人</w:t>
            </w:r>
            <w:r>
              <w:rPr>
                <w:rFonts w:hint="eastAsia" w:ascii="宋体" w:hAnsi="宋体"/>
                <w:sz w:val="24"/>
                <w:szCs w:val="24"/>
              </w:rPr>
              <w:t>不按程序、规定时间进行质疑投诉；</w:t>
            </w:r>
            <w:r>
              <w:rPr>
                <w:rFonts w:hint="eastAsia" w:ascii="宋体" w:hAnsi="宋体"/>
                <w:sz w:val="24"/>
              </w:rPr>
              <w:t>虚假质疑投诉；非正规渠道质疑投诉（信访、网络炒作等）；并对采购工作造成不利影响的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21</w:t>
            </w:r>
          </w:p>
        </w:tc>
        <w:tc>
          <w:tcPr>
            <w:tcW w:w="6433" w:type="dxa"/>
            <w:noWrap w:val="0"/>
            <w:vAlign w:val="center"/>
          </w:tcPr>
          <w:p>
            <w:pPr>
              <w:rPr>
                <w:rFonts w:hint="eastAsia" w:ascii="宋体" w:hAnsi="宋体"/>
                <w:sz w:val="24"/>
              </w:rPr>
            </w:pPr>
            <w:r>
              <w:rPr>
                <w:rFonts w:hint="eastAsia" w:ascii="宋体" w:hAnsi="宋体"/>
                <w:sz w:val="24"/>
              </w:rPr>
              <w:t>投标人、采购相关利益人、自然人利用质疑投诉、非正规渠道质疑投诉达到自身目的，并对采购工作造成不利影响的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22</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提供假冒伪劣产品或走私物品的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23</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擅自变更、中止、终止或解除采购合同的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24</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向有关人员行贿或者提供不正当利益谋取中标的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25</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在采购活动期间，对管理机构、采购人、其他采购响应人、评标专家、中介机构等采购相关机构和人员，采取诋毁、诽谤、胁迫、暴力等不正当手段的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26</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诸暨市公共资源交易管理委员会办公室认定的其他违反采购管理的行为</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酌情处理</w:t>
            </w:r>
          </w:p>
        </w:tc>
      </w:tr>
    </w:tbl>
    <w:p>
      <w:pPr>
        <w:pStyle w:val="5"/>
        <w:spacing w:before="0" w:beforeLines="0" w:after="0" w:afterLines="0" w:line="240" w:lineRule="auto"/>
        <w:jc w:val="center"/>
        <w:rPr>
          <w:rFonts w:hint="eastAsia" w:ascii="宋体" w:hAnsi="宋体" w:eastAsia="宋体"/>
          <w:sz w:val="28"/>
          <w:szCs w:val="28"/>
        </w:rPr>
      </w:pPr>
      <w:r>
        <w:rPr>
          <w:rFonts w:hint="eastAsia" w:ascii="宋体" w:hAnsi="宋体" w:eastAsia="宋体"/>
          <w:sz w:val="28"/>
          <w:szCs w:val="28"/>
        </w:rPr>
        <w:t>十、监督和解释</w:t>
      </w:r>
      <w:bookmarkEnd w:id="10"/>
    </w:p>
    <w:p>
      <w:pPr>
        <w:ind w:firstLine="482" w:firstLineChars="200"/>
        <w:rPr>
          <w:rFonts w:hint="eastAsia" w:ascii="宋体" w:hAnsi="宋体"/>
          <w:sz w:val="24"/>
        </w:rPr>
      </w:pPr>
      <w:r>
        <w:rPr>
          <w:rFonts w:hint="eastAsia" w:ascii="宋体" w:hAnsi="宋体"/>
          <w:b/>
          <w:bCs/>
          <w:sz w:val="24"/>
        </w:rPr>
        <w:t>35.</w:t>
      </w:r>
      <w:r>
        <w:rPr>
          <w:rFonts w:hint="eastAsia" w:ascii="宋体" w:hAnsi="宋体"/>
          <w:sz w:val="24"/>
        </w:rPr>
        <w:t>本次招标活动接受诸暨市监察局、</w:t>
      </w:r>
      <w:r>
        <w:rPr>
          <w:rFonts w:hint="eastAsia" w:ascii="宋体" w:hAnsi="宋体"/>
          <w:sz w:val="24"/>
          <w:lang w:eastAsia="zh-CN"/>
        </w:rPr>
        <w:t>诸暨市国资办</w:t>
      </w:r>
      <w:r>
        <w:rPr>
          <w:rFonts w:hint="eastAsia" w:ascii="宋体" w:hAnsi="宋体"/>
          <w:sz w:val="24"/>
        </w:rPr>
        <w:t>的监督。</w:t>
      </w:r>
    </w:p>
    <w:p>
      <w:pPr>
        <w:ind w:firstLine="482" w:firstLineChars="200"/>
        <w:rPr>
          <w:rFonts w:hint="eastAsia" w:ascii="宋体" w:hAnsi="宋体"/>
          <w:sz w:val="36"/>
          <w:szCs w:val="36"/>
        </w:rPr>
      </w:pPr>
      <w:r>
        <w:rPr>
          <w:rFonts w:hint="eastAsia" w:ascii="宋体" w:hAnsi="宋体"/>
          <w:b/>
          <w:bCs/>
          <w:sz w:val="24"/>
        </w:rPr>
        <w:t>36.</w:t>
      </w:r>
      <w:r>
        <w:rPr>
          <w:rFonts w:hint="eastAsia" w:ascii="宋体" w:hAnsi="宋体"/>
          <w:sz w:val="24"/>
        </w:rPr>
        <w:t>本招标文件的解释权属于采购单位和</w:t>
      </w:r>
      <w:r>
        <w:rPr>
          <w:rFonts w:hint="eastAsia" w:ascii="宋体" w:hAnsi="宋体"/>
          <w:sz w:val="24"/>
          <w:szCs w:val="24"/>
        </w:rPr>
        <w:t>浙江华元工程咨询有限公司</w:t>
      </w:r>
      <w:r>
        <w:rPr>
          <w:rFonts w:hint="eastAsia" w:ascii="宋体" w:hAnsi="宋体"/>
          <w:sz w:val="24"/>
        </w:rPr>
        <w:t>。</w:t>
      </w:r>
    </w:p>
    <w:p>
      <w:pPr>
        <w:pStyle w:val="4"/>
        <w:spacing w:line="500" w:lineRule="exact"/>
        <w:jc w:val="center"/>
        <w:rPr>
          <w:rFonts w:hint="eastAsia" w:ascii="宋体" w:hAnsi="宋体"/>
          <w:sz w:val="36"/>
          <w:szCs w:val="36"/>
        </w:rPr>
      </w:pPr>
      <w:r>
        <w:rPr>
          <w:rFonts w:hint="eastAsia" w:ascii="宋体" w:hAnsi="宋体"/>
          <w:sz w:val="36"/>
          <w:szCs w:val="36"/>
        </w:rPr>
        <w:t>第三章   评标办法及评分标准</w:t>
      </w:r>
    </w:p>
    <w:p>
      <w:pPr>
        <w:ind w:firstLine="480" w:firstLineChars="200"/>
        <w:rPr>
          <w:rFonts w:ascii="宋体" w:hAnsi="宋体"/>
          <w:sz w:val="24"/>
        </w:rPr>
      </w:pPr>
      <w:r>
        <w:rPr>
          <w:rFonts w:hint="eastAsia" w:ascii="宋体" w:hAnsi="宋体"/>
          <w:sz w:val="24"/>
        </w:rPr>
        <w:t>1、采用</w:t>
      </w:r>
      <w:r>
        <w:rPr>
          <w:rFonts w:hint="eastAsia" w:ascii="宋体" w:hAnsi="宋体"/>
          <w:sz w:val="24"/>
          <w:u w:val="single"/>
        </w:rPr>
        <w:t>　综合评分法　</w:t>
      </w:r>
      <w:r>
        <w:rPr>
          <w:rFonts w:hint="eastAsia" w:ascii="宋体" w:hAnsi="宋体"/>
          <w:sz w:val="24"/>
        </w:rPr>
        <w:t>。即在符合招标文件要求的前提下，择定最高得分者为第一中标候选人，即预中标人。</w:t>
      </w:r>
    </w:p>
    <w:p>
      <w:pPr>
        <w:ind w:firstLine="480" w:firstLineChars="200"/>
        <w:rPr>
          <w:rFonts w:hint="eastAsia" w:ascii="宋体" w:hAnsi="宋体"/>
          <w:sz w:val="24"/>
        </w:rPr>
      </w:pPr>
      <w:r>
        <w:rPr>
          <w:rFonts w:hint="eastAsia" w:ascii="宋体" w:hAnsi="宋体"/>
          <w:sz w:val="24"/>
        </w:rPr>
        <w:t>2、 合格投标人的评标得分为各项目汇总得分，中标候选资格按评标得分由高到低顺序排列，得分相同的，按投标报价由低到高顺序排列；得分且投标报价相同的，按技术指标由高到低顺序排列。排名第一的的投标人为中标候选人。</w:t>
      </w:r>
      <w:r>
        <w:rPr>
          <w:rFonts w:hint="eastAsia" w:ascii="宋体" w:hAnsi="宋体"/>
          <w:bCs/>
          <w:sz w:val="24"/>
        </w:rPr>
        <w:t>评分过程中采用四舍五入</w:t>
      </w:r>
      <w:r>
        <w:rPr>
          <w:rFonts w:hint="eastAsia" w:ascii="宋体" w:hAnsi="宋体"/>
          <w:sz w:val="24"/>
        </w:rPr>
        <w:t>法，并保留小数2位。</w:t>
      </w:r>
    </w:p>
    <w:p>
      <w:pPr>
        <w:ind w:firstLine="480" w:firstLineChars="200"/>
        <w:rPr>
          <w:rFonts w:hint="eastAsia" w:ascii="宋体" w:hAnsi="宋体"/>
          <w:sz w:val="24"/>
        </w:rPr>
      </w:pPr>
      <w:r>
        <w:rPr>
          <w:rFonts w:hint="eastAsia" w:ascii="宋体" w:hAnsi="宋体"/>
          <w:sz w:val="24"/>
        </w:rPr>
        <w:t>3、</w:t>
      </w:r>
      <w:r>
        <w:rPr>
          <w:rFonts w:ascii="宋体" w:hAnsi="宋体"/>
          <w:sz w:val="24"/>
        </w:rPr>
        <w:t>评分办法</w:t>
      </w:r>
    </w:p>
    <w:p>
      <w:pPr>
        <w:ind w:firstLine="200"/>
        <w:rPr>
          <w:rFonts w:hint="eastAsia" w:ascii="宋体" w:hAnsi="宋体" w:cs="宋体"/>
          <w:sz w:val="24"/>
        </w:rPr>
      </w:pPr>
      <w:r>
        <w:rPr>
          <w:rFonts w:hint="eastAsia" w:ascii="宋体" w:hAnsi="宋体" w:cs="宋体"/>
          <w:sz w:val="24"/>
        </w:rPr>
        <w:t>（1）满分为100分。总得分=技术得分+商务得分。</w:t>
      </w:r>
    </w:p>
    <w:p>
      <w:pPr>
        <w:ind w:firstLine="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w:t>
      </w:r>
      <w:r>
        <w:rPr>
          <w:rFonts w:ascii="宋体" w:hAnsi="宋体" w:cs="宋体"/>
          <w:sz w:val="24"/>
        </w:rPr>
        <w:t>技术得分=技术评分，技术评分=</w:t>
      </w:r>
      <w:r>
        <w:rPr>
          <w:rFonts w:hint="eastAsia" w:ascii="宋体" w:hAnsi="宋体" w:cs="宋体"/>
          <w:sz w:val="24"/>
        </w:rPr>
        <w:t>去掉最高分、最低分后其他</w:t>
      </w:r>
      <w:r>
        <w:rPr>
          <w:rFonts w:ascii="宋体" w:hAnsi="宋体" w:cs="宋体"/>
          <w:sz w:val="24"/>
        </w:rPr>
        <w:t>评委的有效评分的算术平均数。</w:t>
      </w:r>
    </w:p>
    <w:p>
      <w:pPr>
        <w:ind w:firstLine="200"/>
        <w:rPr>
          <w:rFonts w:hint="eastAsia" w:ascii="宋体" w:hAnsi="宋体" w:cs="宋体"/>
          <w:sz w:val="24"/>
        </w:rPr>
      </w:pPr>
      <w:r>
        <w:rPr>
          <w:rFonts w:hint="eastAsia" w:ascii="宋体" w:hAnsi="宋体" w:cs="宋体"/>
          <w:sz w:val="24"/>
        </w:rPr>
        <w:t>（3）商务得分=（评标基准价/投标报价）*价格权值*100，评标基准价=通过技术评审入围的最低投标报价，价格权值=</w:t>
      </w:r>
      <w:r>
        <w:rPr>
          <w:rFonts w:hint="eastAsia" w:ascii="宋体" w:hAnsi="宋体" w:cs="宋体"/>
          <w:sz w:val="24"/>
          <w:lang w:val="en-US" w:eastAsia="zh-CN"/>
        </w:rPr>
        <w:t>3</w:t>
      </w:r>
      <w:r>
        <w:rPr>
          <w:rFonts w:hint="eastAsia" w:ascii="宋体" w:hAnsi="宋体" w:cs="宋体"/>
          <w:sz w:val="24"/>
        </w:rPr>
        <w:t>0%；</w:t>
      </w:r>
    </w:p>
    <w:p>
      <w:pPr>
        <w:ind w:firstLine="200"/>
        <w:rPr>
          <w:rFonts w:hint="eastAsia" w:ascii="宋体" w:hAnsi="宋体" w:cs="宋体"/>
          <w:sz w:val="24"/>
        </w:rPr>
      </w:pPr>
      <w:r>
        <w:rPr>
          <w:rFonts w:hint="eastAsia" w:ascii="宋体" w:hAnsi="宋体" w:cs="宋体"/>
          <w:sz w:val="24"/>
        </w:rPr>
        <w:t>（4）技术分评分细则（</w:t>
      </w:r>
      <w:r>
        <w:rPr>
          <w:rFonts w:hint="eastAsia" w:ascii="宋体" w:hAnsi="宋体" w:cs="宋体"/>
          <w:sz w:val="24"/>
          <w:lang w:val="en-US" w:eastAsia="zh-CN"/>
        </w:rPr>
        <w:t>7</w:t>
      </w:r>
      <w:r>
        <w:rPr>
          <w:rFonts w:hint="eastAsia" w:ascii="宋体" w:hAnsi="宋体" w:cs="宋体"/>
          <w:sz w:val="24"/>
        </w:rPr>
        <w:t>0分）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6946"/>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4" w:type="dxa"/>
            <w:noWrap w:val="0"/>
            <w:vAlign w:val="center"/>
          </w:tcPr>
          <w:p>
            <w:pPr>
              <w:jc w:val="center"/>
              <w:rPr>
                <w:rFonts w:hint="default" w:ascii="Times New Roman" w:hAnsi="Times New Roman" w:eastAsia="宋体" w:cs="Times New Roman"/>
                <w:b w:val="0"/>
                <w:bCs/>
                <w:color w:val="auto"/>
                <w:szCs w:val="24"/>
                <w:highlight w:val="none"/>
                <w:lang w:val="zh-CN"/>
              </w:rPr>
            </w:pPr>
            <w:r>
              <w:rPr>
                <w:rFonts w:hint="default" w:ascii="Times New Roman" w:hAnsi="Times New Roman" w:eastAsia="宋体" w:cs="Times New Roman"/>
                <w:b w:val="0"/>
                <w:bCs/>
                <w:color w:val="auto"/>
                <w:szCs w:val="24"/>
                <w:highlight w:val="none"/>
                <w:lang w:val="zh-CN"/>
              </w:rPr>
              <w:t>序号</w:t>
            </w:r>
          </w:p>
        </w:tc>
        <w:tc>
          <w:tcPr>
            <w:tcW w:w="709" w:type="dxa"/>
            <w:noWrap w:val="0"/>
            <w:vAlign w:val="center"/>
          </w:tcPr>
          <w:p>
            <w:pPr>
              <w:jc w:val="center"/>
              <w:rPr>
                <w:rFonts w:hint="default" w:ascii="Times New Roman" w:hAnsi="Times New Roman" w:eastAsia="宋体" w:cs="Times New Roman"/>
                <w:b w:val="0"/>
                <w:bCs/>
                <w:color w:val="auto"/>
                <w:szCs w:val="24"/>
                <w:highlight w:val="none"/>
                <w:lang w:val="zh-CN"/>
              </w:rPr>
            </w:pPr>
          </w:p>
        </w:tc>
        <w:tc>
          <w:tcPr>
            <w:tcW w:w="6946" w:type="dxa"/>
            <w:noWrap w:val="0"/>
            <w:vAlign w:val="top"/>
          </w:tcPr>
          <w:p>
            <w:pPr>
              <w:jc w:val="center"/>
              <w:rPr>
                <w:rFonts w:hint="default" w:ascii="Times New Roman" w:hAnsi="Times New Roman" w:eastAsia="宋体" w:cs="Times New Roman"/>
                <w:b/>
                <w:color w:val="auto"/>
                <w:szCs w:val="24"/>
                <w:highlight w:val="none"/>
                <w:lang w:val="zh-CN"/>
              </w:rPr>
            </w:pPr>
            <w:r>
              <w:rPr>
                <w:rFonts w:hint="default" w:ascii="Times New Roman" w:hAnsi="Times New Roman" w:eastAsia="宋体" w:cs="Times New Roman"/>
                <w:b/>
                <w:color w:val="auto"/>
                <w:szCs w:val="24"/>
                <w:highlight w:val="none"/>
                <w:lang w:val="zh-CN"/>
              </w:rPr>
              <w:t>评  分  项  目</w:t>
            </w:r>
          </w:p>
        </w:tc>
        <w:tc>
          <w:tcPr>
            <w:tcW w:w="1071" w:type="dxa"/>
            <w:noWrap w:val="0"/>
            <w:vAlign w:val="top"/>
          </w:tcPr>
          <w:p>
            <w:pPr>
              <w:jc w:val="center"/>
              <w:rPr>
                <w:rFonts w:hint="default" w:ascii="Times New Roman" w:hAnsi="Times New Roman" w:eastAsia="宋体" w:cs="Times New Roman"/>
                <w:b/>
                <w:color w:val="auto"/>
                <w:szCs w:val="24"/>
                <w:highlight w:val="none"/>
                <w:lang w:val="zh-CN"/>
              </w:rPr>
            </w:pPr>
            <w:r>
              <w:rPr>
                <w:rFonts w:hint="default" w:ascii="Times New Roman" w:hAnsi="Times New Roman" w:eastAsia="宋体" w:cs="Times New Roman"/>
                <w:b/>
                <w:color w:val="auto"/>
                <w:szCs w:val="24"/>
                <w:highlight w:val="none"/>
                <w:lang w:val="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04" w:type="dxa"/>
            <w:noWrap w:val="0"/>
            <w:vAlign w:val="center"/>
          </w:tcPr>
          <w:p>
            <w:pPr>
              <w:jc w:val="center"/>
              <w:rPr>
                <w:rFonts w:hint="default" w:ascii="Times New Roman" w:hAnsi="Times New Roman" w:eastAsia="宋体" w:cs="Times New Roman"/>
                <w:b w:val="0"/>
                <w:bCs/>
                <w:color w:val="auto"/>
                <w:szCs w:val="24"/>
                <w:highlight w:val="none"/>
                <w:lang w:val="zh-CN"/>
              </w:rPr>
            </w:pPr>
            <w:r>
              <w:rPr>
                <w:rFonts w:hint="default" w:ascii="Times New Roman" w:hAnsi="Times New Roman" w:eastAsia="宋体" w:cs="Times New Roman"/>
                <w:b w:val="0"/>
                <w:bCs/>
                <w:color w:val="auto"/>
                <w:szCs w:val="24"/>
                <w:highlight w:val="none"/>
                <w:lang w:val="zh-CN"/>
              </w:rPr>
              <w:t>1</w:t>
            </w:r>
          </w:p>
        </w:tc>
        <w:tc>
          <w:tcPr>
            <w:tcW w:w="709" w:type="dxa"/>
            <w:vMerge w:val="restart"/>
            <w:noWrap w:val="0"/>
            <w:vAlign w:val="center"/>
          </w:tcPr>
          <w:p>
            <w:pPr>
              <w:widowControl/>
              <w:jc w:val="center"/>
              <w:textAlignment w:val="center"/>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rPr>
              <w:t>产品制造厂商资质</w:t>
            </w:r>
          </w:p>
        </w:tc>
        <w:tc>
          <w:tcPr>
            <w:tcW w:w="6946" w:type="dxa"/>
            <w:noWrap w:val="0"/>
            <w:vAlign w:val="center"/>
          </w:tcPr>
          <w:p>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投标人所投产品厂商应具备技术创新能力，保证和不断提升产品质量，近三年来能提供中华人民共和国工业和信息化部颁发的制造业单项冠军示范性企业或单项冠军产品证书</w:t>
            </w:r>
            <w:r>
              <w:rPr>
                <w:rFonts w:hint="eastAsia" w:ascii="Times New Roman" w:hAnsi="Times New Roman" w:eastAsia="宋体" w:cs="Times New Roman"/>
                <w:color w:val="auto"/>
                <w:szCs w:val="24"/>
                <w:highlight w:val="none"/>
                <w:lang w:eastAsia="zh-CN"/>
              </w:rPr>
              <w:t>得</w:t>
            </w:r>
            <w:r>
              <w:rPr>
                <w:rFonts w:hint="eastAsia" w:ascii="Times New Roman" w:hAnsi="Times New Roman" w:eastAsia="宋体" w:cs="Times New Roman"/>
                <w:color w:val="auto"/>
                <w:szCs w:val="24"/>
                <w:highlight w:val="none"/>
                <w:lang w:val="en-US" w:eastAsia="zh-CN"/>
              </w:rPr>
              <w:t>3分</w:t>
            </w:r>
            <w:r>
              <w:rPr>
                <w:rFonts w:hint="default" w:ascii="Times New Roman" w:hAnsi="Times New Roman" w:eastAsia="宋体" w:cs="Times New Roman"/>
                <w:color w:val="auto"/>
                <w:szCs w:val="24"/>
                <w:highlight w:val="none"/>
              </w:rPr>
              <w:t>，其余不得分（须提供相关材料复印件加盖制造商公章，不提供不得分）；</w:t>
            </w:r>
          </w:p>
        </w:tc>
        <w:tc>
          <w:tcPr>
            <w:tcW w:w="1071" w:type="dxa"/>
            <w:noWrap w:val="0"/>
            <w:vAlign w:val="center"/>
          </w:tcPr>
          <w:p>
            <w:pPr>
              <w:jc w:val="center"/>
              <w:rPr>
                <w:rFonts w:hint="default" w:ascii="Times New Roman" w:hAnsi="Times New Roman" w:eastAsia="宋体" w:cs="Times New Roman"/>
                <w:b/>
                <w:color w:val="auto"/>
                <w:szCs w:val="24"/>
                <w:highlight w:val="none"/>
                <w:lang w:val="zh-CN"/>
              </w:rPr>
            </w:pPr>
            <w:r>
              <w:rPr>
                <w:rFonts w:hint="default" w:ascii="Times New Roman" w:hAnsi="Times New Roman" w:eastAsia="宋体" w:cs="Times New Roman"/>
                <w:b/>
                <w:color w:val="auto"/>
                <w:szCs w:val="24"/>
                <w:highlight w:val="none"/>
                <w:lang w:val="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04" w:type="dxa"/>
            <w:noWrap w:val="0"/>
            <w:vAlign w:val="center"/>
          </w:tcPr>
          <w:p>
            <w:pPr>
              <w:jc w:val="center"/>
              <w:rPr>
                <w:rFonts w:hint="default" w:ascii="Times New Roman" w:hAnsi="Times New Roman" w:eastAsia="宋体" w:cs="Times New Roman"/>
                <w:b w:val="0"/>
                <w:bCs/>
                <w:color w:val="auto"/>
                <w:szCs w:val="24"/>
                <w:highlight w:val="none"/>
                <w:lang w:val="zh-CN"/>
              </w:rPr>
            </w:pPr>
            <w:r>
              <w:rPr>
                <w:rFonts w:hint="default" w:ascii="Times New Roman" w:hAnsi="Times New Roman" w:eastAsia="宋体" w:cs="Times New Roman"/>
                <w:b w:val="0"/>
                <w:bCs/>
                <w:color w:val="auto"/>
                <w:szCs w:val="24"/>
                <w:highlight w:val="none"/>
                <w:lang w:val="zh-CN"/>
              </w:rPr>
              <w:t>2</w:t>
            </w:r>
          </w:p>
        </w:tc>
        <w:tc>
          <w:tcPr>
            <w:tcW w:w="709" w:type="dxa"/>
            <w:vMerge w:val="continue"/>
            <w:noWrap w:val="0"/>
            <w:vAlign w:val="center"/>
          </w:tcPr>
          <w:p>
            <w:pPr>
              <w:widowControl/>
              <w:jc w:val="center"/>
              <w:textAlignment w:val="center"/>
              <w:rPr>
                <w:rFonts w:hint="default" w:ascii="Times New Roman" w:hAnsi="Times New Roman" w:eastAsia="宋体" w:cs="Times New Roman"/>
                <w:b w:val="0"/>
                <w:bCs/>
                <w:color w:val="auto"/>
                <w:szCs w:val="24"/>
                <w:highlight w:val="none"/>
              </w:rPr>
            </w:pPr>
          </w:p>
        </w:tc>
        <w:tc>
          <w:tcPr>
            <w:tcW w:w="6946" w:type="dxa"/>
            <w:noWrap w:val="0"/>
            <w:vAlign w:val="center"/>
          </w:tcPr>
          <w:p>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为贯彻“科技强警”战略，反映科技创新能力、**效能和实战能力，投标人或投标产品生产厂商具有公安部重点实验室的，得3分，其余不得分（须提供相关证书复印件加盖制造商公章，不提供不得分）；</w:t>
            </w:r>
          </w:p>
        </w:tc>
        <w:tc>
          <w:tcPr>
            <w:tcW w:w="1071" w:type="dxa"/>
            <w:noWrap w:val="0"/>
            <w:vAlign w:val="center"/>
          </w:tcPr>
          <w:p>
            <w:pPr>
              <w:jc w:val="center"/>
              <w:rPr>
                <w:rFonts w:hint="default" w:ascii="Times New Roman" w:hAnsi="Times New Roman" w:eastAsia="宋体" w:cs="Times New Roman"/>
                <w:b/>
                <w:color w:val="auto"/>
                <w:szCs w:val="24"/>
                <w:highlight w:val="none"/>
                <w:lang w:val="zh-CN"/>
              </w:rPr>
            </w:pPr>
            <w:r>
              <w:rPr>
                <w:rFonts w:hint="default" w:ascii="Times New Roman" w:hAnsi="Times New Roman" w:eastAsia="宋体" w:cs="Times New Roman"/>
                <w:b/>
                <w:color w:val="auto"/>
                <w:szCs w:val="24"/>
                <w:highlight w:val="none"/>
                <w:lang w:val="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04" w:type="dxa"/>
            <w:noWrap w:val="0"/>
            <w:vAlign w:val="center"/>
          </w:tcPr>
          <w:p>
            <w:pPr>
              <w:jc w:val="center"/>
              <w:rPr>
                <w:rFonts w:hint="default" w:ascii="Times New Roman" w:hAnsi="Times New Roman" w:eastAsia="宋体" w:cs="Times New Roman"/>
                <w:b w:val="0"/>
                <w:bCs/>
                <w:color w:val="auto"/>
                <w:szCs w:val="24"/>
                <w:highlight w:val="none"/>
                <w:lang w:val="zh-CN"/>
              </w:rPr>
            </w:pPr>
            <w:r>
              <w:rPr>
                <w:rFonts w:hint="default" w:ascii="Times New Roman" w:hAnsi="Times New Roman" w:eastAsia="宋体" w:cs="Times New Roman"/>
                <w:b w:val="0"/>
                <w:bCs/>
                <w:color w:val="auto"/>
                <w:szCs w:val="24"/>
                <w:highlight w:val="none"/>
                <w:lang w:val="zh-CN"/>
              </w:rPr>
              <w:t>3</w:t>
            </w:r>
          </w:p>
        </w:tc>
        <w:tc>
          <w:tcPr>
            <w:tcW w:w="709" w:type="dxa"/>
            <w:vMerge w:val="continue"/>
            <w:noWrap w:val="0"/>
            <w:vAlign w:val="center"/>
          </w:tcPr>
          <w:p>
            <w:pPr>
              <w:jc w:val="center"/>
              <w:rPr>
                <w:rFonts w:hint="default" w:ascii="Times New Roman" w:hAnsi="Times New Roman" w:eastAsia="宋体" w:cs="Times New Roman"/>
                <w:b w:val="0"/>
                <w:bCs/>
                <w:color w:val="auto"/>
                <w:szCs w:val="24"/>
                <w:highlight w:val="none"/>
              </w:rPr>
            </w:pPr>
          </w:p>
        </w:tc>
        <w:tc>
          <w:tcPr>
            <w:tcW w:w="6946" w:type="dxa"/>
            <w:noWrap w:val="0"/>
            <w:vAlign w:val="top"/>
          </w:tcPr>
          <w:p>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为保证良好的信用评价，投标人所投设备厂商应具备较强的合同执行诚信度和执行能力，获得国家级守合同重信用公示企业的得3分，获得省级守合同重信用的得1分，其余不得分（须提供相关证书复印件加盖制造商公章，不提供不得分）；</w:t>
            </w:r>
          </w:p>
        </w:tc>
        <w:tc>
          <w:tcPr>
            <w:tcW w:w="1071" w:type="dxa"/>
            <w:noWrap w:val="0"/>
            <w:vAlign w:val="center"/>
          </w:tcPr>
          <w:p>
            <w:pPr>
              <w:jc w:val="center"/>
              <w:rPr>
                <w:rFonts w:hint="default" w:ascii="Times New Roman" w:hAnsi="Times New Roman" w:eastAsia="宋体" w:cs="Times New Roman"/>
                <w:b/>
                <w:color w:val="auto"/>
                <w:szCs w:val="24"/>
                <w:highlight w:val="none"/>
                <w:lang w:val="zh-CN"/>
              </w:rPr>
            </w:pPr>
            <w:r>
              <w:rPr>
                <w:rFonts w:hint="default" w:ascii="Times New Roman" w:hAnsi="Times New Roman" w:eastAsia="宋体" w:cs="Times New Roman"/>
                <w:b/>
                <w:color w:val="auto"/>
                <w:szCs w:val="24"/>
                <w:highlight w:val="none"/>
                <w:lang w:val="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04" w:type="dxa"/>
            <w:noWrap w:val="0"/>
            <w:vAlign w:val="center"/>
          </w:tcPr>
          <w:p>
            <w:pPr>
              <w:jc w:val="center"/>
              <w:rPr>
                <w:rFonts w:hint="default" w:ascii="Times New Roman" w:hAnsi="Times New Roman" w:eastAsia="宋体" w:cs="Times New Roman"/>
                <w:b w:val="0"/>
                <w:bCs/>
                <w:color w:val="auto"/>
                <w:szCs w:val="24"/>
                <w:highlight w:val="none"/>
                <w:lang w:val="zh-CN"/>
              </w:rPr>
            </w:pPr>
            <w:r>
              <w:rPr>
                <w:rFonts w:hint="default" w:ascii="Times New Roman" w:hAnsi="Times New Roman" w:eastAsia="宋体" w:cs="Times New Roman"/>
                <w:b w:val="0"/>
                <w:bCs/>
                <w:color w:val="auto"/>
                <w:szCs w:val="24"/>
                <w:highlight w:val="none"/>
                <w:lang w:val="zh-CN"/>
              </w:rPr>
              <w:t>4</w:t>
            </w:r>
          </w:p>
        </w:tc>
        <w:tc>
          <w:tcPr>
            <w:tcW w:w="709" w:type="dxa"/>
            <w:noWrap w:val="0"/>
            <w:vAlign w:val="center"/>
          </w:tcPr>
          <w:p>
            <w:pPr>
              <w:jc w:val="center"/>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rPr>
              <w:t>投标产品性能</w:t>
            </w:r>
          </w:p>
        </w:tc>
        <w:tc>
          <w:tcPr>
            <w:tcW w:w="6946" w:type="dxa"/>
            <w:noWrap w:val="0"/>
            <w:vAlign w:val="top"/>
          </w:tcPr>
          <w:p>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评委根据投标产品的相关性能、配置、具体技术参数稳定性、可靠性，根据技术参数的匹配情况进行打分，★为关键性参数条款，不满足则为无效投标，▲为重要参数条款，不满足扣2分。其余项目每一条产生负偏离，扣1分，直至扣完为止。</w:t>
            </w:r>
          </w:p>
        </w:tc>
        <w:tc>
          <w:tcPr>
            <w:tcW w:w="1071" w:type="dxa"/>
            <w:noWrap w:val="0"/>
            <w:vAlign w:val="center"/>
          </w:tcPr>
          <w:p>
            <w:pPr>
              <w:jc w:val="center"/>
              <w:rPr>
                <w:rFonts w:hint="default" w:ascii="Times New Roman" w:hAnsi="Times New Roman" w:eastAsia="宋体" w:cs="Times New Roman"/>
                <w:b/>
                <w:color w:val="auto"/>
                <w:szCs w:val="24"/>
                <w:highlight w:val="none"/>
                <w:lang w:val="zh-CN"/>
              </w:rPr>
            </w:pPr>
            <w:r>
              <w:rPr>
                <w:rFonts w:hint="default" w:ascii="Times New Roman" w:hAnsi="Times New Roman" w:eastAsia="宋体" w:cs="Times New Roman"/>
                <w:b/>
                <w:color w:val="auto"/>
                <w:szCs w:val="24"/>
                <w:highlight w:val="none"/>
                <w:lang w:val="zh-CN"/>
              </w:rPr>
              <w:t>0-22分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04" w:type="dxa"/>
            <w:noWrap w:val="0"/>
            <w:vAlign w:val="center"/>
          </w:tcPr>
          <w:p>
            <w:pPr>
              <w:jc w:val="center"/>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rPr>
              <w:t>5</w:t>
            </w:r>
          </w:p>
        </w:tc>
        <w:tc>
          <w:tcPr>
            <w:tcW w:w="709" w:type="dxa"/>
            <w:noWrap w:val="0"/>
            <w:vAlign w:val="center"/>
          </w:tcPr>
          <w:p>
            <w:pPr>
              <w:jc w:val="center"/>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rPr>
              <w:t>施工方案</w:t>
            </w:r>
          </w:p>
        </w:tc>
        <w:tc>
          <w:tcPr>
            <w:tcW w:w="6946" w:type="dxa"/>
            <w:noWrap w:val="0"/>
            <w:vAlign w:val="top"/>
          </w:tcPr>
          <w:p>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评委对投标单位的施工设计方案进行综合打分。</w:t>
            </w:r>
          </w:p>
          <w:p>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优（4,5]，良(2,4]，差[0,2]；</w:t>
            </w:r>
          </w:p>
        </w:tc>
        <w:tc>
          <w:tcPr>
            <w:tcW w:w="1071" w:type="dxa"/>
            <w:noWrap w:val="0"/>
            <w:vAlign w:val="center"/>
          </w:tcPr>
          <w:p>
            <w:pPr>
              <w:jc w:val="center"/>
              <w:rPr>
                <w:rFonts w:hint="default" w:ascii="Times New Roman" w:hAnsi="Times New Roman" w:eastAsia="宋体" w:cs="Times New Roman"/>
                <w:b/>
                <w:color w:val="auto"/>
                <w:szCs w:val="24"/>
                <w:highlight w:val="none"/>
                <w:lang w:val="zh-CN"/>
              </w:rPr>
            </w:pPr>
            <w:r>
              <w:rPr>
                <w:rFonts w:hint="default" w:ascii="Times New Roman" w:hAnsi="Times New Roman" w:eastAsia="宋体" w:cs="Times New Roman"/>
                <w:b/>
                <w:color w:val="auto"/>
                <w:szCs w:val="24"/>
                <w:highlight w:val="none"/>
                <w:lang w:val="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4" w:type="dxa"/>
            <w:noWrap w:val="0"/>
            <w:vAlign w:val="center"/>
          </w:tcPr>
          <w:p>
            <w:pPr>
              <w:jc w:val="center"/>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rPr>
              <w:t>6</w:t>
            </w:r>
          </w:p>
        </w:tc>
        <w:tc>
          <w:tcPr>
            <w:tcW w:w="709" w:type="dxa"/>
            <w:noWrap w:val="0"/>
            <w:vAlign w:val="center"/>
          </w:tcPr>
          <w:p>
            <w:pPr>
              <w:jc w:val="center"/>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rPr>
              <w:t>投标人资信</w:t>
            </w:r>
          </w:p>
        </w:tc>
        <w:tc>
          <w:tcPr>
            <w:tcW w:w="6946" w:type="dxa"/>
            <w:noWrap w:val="0"/>
            <w:vAlign w:val="top"/>
          </w:tcPr>
          <w:p>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w:t>
            </w:r>
            <w:r>
              <w:rPr>
                <w:rFonts w:hint="default" w:ascii="Times New Roman" w:hAnsi="Times New Roman" w:eastAsia="宋体" w:cs="Times New Roman"/>
                <w:b w:val="0"/>
                <w:bCs/>
                <w:color w:val="auto"/>
                <w:szCs w:val="24"/>
                <w:highlight w:val="none"/>
              </w:rPr>
              <w:t>投标人</w:t>
            </w:r>
            <w:r>
              <w:rPr>
                <w:rFonts w:hint="default" w:ascii="Times New Roman" w:hAnsi="Times New Roman" w:eastAsia="宋体" w:cs="Times New Roman"/>
                <w:color w:val="auto"/>
                <w:szCs w:val="24"/>
                <w:highlight w:val="none"/>
              </w:rPr>
              <w:t>通过ISO9001质量管理体系、ISO14000环境认证体系、ISO18000职业健康管理体系、ISO/IEC27000-1信息安全管理体系认证证书、ISO/IEC20000-1信息技术服务管理体系认证证书每证得1分，齐全得5分。</w:t>
            </w:r>
          </w:p>
          <w:p>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2、投标人有电子与智能化工程专业承包贰级及以上证书的，得1分；</w:t>
            </w:r>
          </w:p>
          <w:p>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3、投标人具有安全生产许可证证书的，得1分；</w:t>
            </w:r>
          </w:p>
          <w:p>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4、投标人为省级及以上高新技术企业的，得1分。</w:t>
            </w:r>
          </w:p>
          <w:p>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（以上各项开标时须提供有效期内的资质证书原件，不提供原件相关项不得分）</w:t>
            </w:r>
          </w:p>
        </w:tc>
        <w:tc>
          <w:tcPr>
            <w:tcW w:w="1071" w:type="dxa"/>
            <w:noWrap w:val="0"/>
            <w:vAlign w:val="center"/>
          </w:tcPr>
          <w:p>
            <w:pPr>
              <w:jc w:val="center"/>
              <w:rPr>
                <w:rFonts w:hint="default" w:ascii="Times New Roman" w:hAnsi="Times New Roman" w:eastAsia="宋体" w:cs="Times New Roman"/>
                <w:b/>
                <w:color w:val="auto"/>
                <w:szCs w:val="24"/>
                <w:highlight w:val="none"/>
                <w:lang w:val="zh-CN"/>
              </w:rPr>
            </w:pPr>
            <w:r>
              <w:rPr>
                <w:rFonts w:hint="default" w:ascii="Times New Roman" w:hAnsi="Times New Roman" w:eastAsia="宋体" w:cs="Times New Roman"/>
                <w:b/>
                <w:color w:val="auto"/>
                <w:szCs w:val="24"/>
                <w:highlight w:val="none"/>
                <w:lang w:val="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704" w:type="dxa"/>
            <w:noWrap w:val="0"/>
            <w:vAlign w:val="center"/>
          </w:tcPr>
          <w:p>
            <w:pPr>
              <w:jc w:val="center"/>
              <w:rPr>
                <w:rFonts w:hint="eastAsia" w:ascii="Times New Roman" w:hAnsi="Times New Roman" w:eastAsia="宋体" w:cs="Times New Roman"/>
                <w:b w:val="0"/>
                <w:bCs/>
                <w:color w:val="auto"/>
                <w:szCs w:val="24"/>
                <w:highlight w:val="none"/>
                <w:lang w:val="en-US" w:eastAsia="zh-CN"/>
              </w:rPr>
            </w:pPr>
            <w:r>
              <w:rPr>
                <w:rFonts w:hint="eastAsia" w:ascii="Times New Roman" w:hAnsi="Times New Roman" w:eastAsia="宋体" w:cs="Times New Roman"/>
                <w:b w:val="0"/>
                <w:bCs/>
                <w:color w:val="auto"/>
                <w:szCs w:val="24"/>
                <w:highlight w:val="none"/>
                <w:lang w:val="en-US" w:eastAsia="zh-CN"/>
              </w:rPr>
              <w:t>7</w:t>
            </w:r>
          </w:p>
        </w:tc>
        <w:tc>
          <w:tcPr>
            <w:tcW w:w="709" w:type="dxa"/>
            <w:noWrap w:val="0"/>
            <w:vAlign w:val="center"/>
          </w:tcPr>
          <w:p>
            <w:pPr>
              <w:jc w:val="center"/>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rPr>
              <w:t>项目小组实力</w:t>
            </w:r>
          </w:p>
        </w:tc>
        <w:tc>
          <w:tcPr>
            <w:tcW w:w="6946" w:type="dxa"/>
            <w:noWrap w:val="0"/>
            <w:vAlign w:val="top"/>
          </w:tcPr>
          <w:p>
            <w:pPr>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投标人项目负责人具有高级工程师职称的得1分。</w:t>
            </w:r>
          </w:p>
          <w:p>
            <w:pPr>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项目组成员具有工程师职称或高级工程师职称的，每人每证得0.5分，最高得4分。</w:t>
            </w:r>
          </w:p>
          <w:p>
            <w:pPr>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（以上各项需提供人员名单、证书原件和投标单位为其缴纳的近6个月内的社保证明原件，不提供或提供不齐的不得分）。</w:t>
            </w:r>
          </w:p>
        </w:tc>
        <w:tc>
          <w:tcPr>
            <w:tcW w:w="1071" w:type="dxa"/>
            <w:noWrap w:val="0"/>
            <w:vAlign w:val="center"/>
          </w:tcPr>
          <w:p>
            <w:pPr>
              <w:jc w:val="center"/>
              <w:rPr>
                <w:rFonts w:hint="default" w:ascii="Times New Roman" w:hAnsi="Times New Roman" w:eastAsia="宋体" w:cs="Times New Roman"/>
                <w:b/>
                <w:color w:val="auto"/>
                <w:szCs w:val="24"/>
                <w:highlight w:val="none"/>
                <w:lang w:val="zh-CN"/>
              </w:rPr>
            </w:pPr>
            <w:r>
              <w:rPr>
                <w:rFonts w:hint="default" w:ascii="Times New Roman" w:hAnsi="Times New Roman" w:eastAsia="宋体" w:cs="Times New Roman"/>
                <w:b/>
                <w:color w:val="auto"/>
                <w:szCs w:val="24"/>
                <w:highlight w:val="none"/>
                <w:lang w:val="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04" w:type="dxa"/>
            <w:vMerge w:val="restart"/>
            <w:noWrap w:val="0"/>
            <w:vAlign w:val="center"/>
          </w:tcPr>
          <w:p>
            <w:pPr>
              <w:jc w:val="center"/>
              <w:rPr>
                <w:rFonts w:hint="eastAsia" w:ascii="Times New Roman" w:hAnsi="Times New Roman" w:eastAsia="宋体" w:cs="Times New Roman"/>
                <w:b w:val="0"/>
                <w:bCs/>
                <w:color w:val="auto"/>
                <w:szCs w:val="24"/>
                <w:highlight w:val="none"/>
                <w:lang w:eastAsia="zh-CN"/>
              </w:rPr>
            </w:pPr>
            <w:r>
              <w:rPr>
                <w:rFonts w:hint="eastAsia" w:ascii="Times New Roman" w:hAnsi="Times New Roman" w:eastAsia="宋体" w:cs="Times New Roman"/>
                <w:b w:val="0"/>
                <w:bCs/>
                <w:color w:val="auto"/>
                <w:szCs w:val="24"/>
                <w:highlight w:val="none"/>
                <w:lang w:val="en-US" w:eastAsia="zh-CN"/>
              </w:rPr>
              <w:t>8</w:t>
            </w:r>
          </w:p>
        </w:tc>
        <w:tc>
          <w:tcPr>
            <w:tcW w:w="709" w:type="dxa"/>
            <w:vMerge w:val="restart"/>
            <w:noWrap w:val="0"/>
            <w:vAlign w:val="center"/>
          </w:tcPr>
          <w:p>
            <w:pPr>
              <w:jc w:val="center"/>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rPr>
              <w:t>售后服务保障</w:t>
            </w:r>
          </w:p>
        </w:tc>
        <w:tc>
          <w:tcPr>
            <w:tcW w:w="6946" w:type="dxa"/>
            <w:noWrap w:val="0"/>
            <w:vAlign w:val="top"/>
          </w:tcPr>
          <w:p>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评委对投标单位的运维服务方案和运维服务能力进行综合打分。</w:t>
            </w:r>
          </w:p>
          <w:p>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优（2,3]，良(1,2]，差[0,1]；</w:t>
            </w:r>
          </w:p>
        </w:tc>
        <w:tc>
          <w:tcPr>
            <w:tcW w:w="1071" w:type="dxa"/>
            <w:noWrap w:val="0"/>
            <w:vAlign w:val="center"/>
          </w:tcPr>
          <w:p>
            <w:pPr>
              <w:jc w:val="center"/>
              <w:rPr>
                <w:rFonts w:hint="default" w:ascii="Times New Roman" w:hAnsi="Times New Roman" w:eastAsia="宋体" w:cs="Times New Roman"/>
                <w:b/>
                <w:color w:val="auto"/>
                <w:szCs w:val="24"/>
                <w:highlight w:val="none"/>
                <w:lang w:val="zh-CN"/>
              </w:rPr>
            </w:pPr>
            <w:r>
              <w:rPr>
                <w:rFonts w:hint="default" w:ascii="Times New Roman" w:hAnsi="Times New Roman" w:eastAsia="宋体" w:cs="Times New Roman"/>
                <w:b/>
                <w:color w:val="auto"/>
                <w:szCs w:val="24"/>
                <w:highlight w:val="none"/>
                <w:lang w:val="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04" w:type="dxa"/>
            <w:vMerge w:val="continue"/>
            <w:noWrap w:val="0"/>
            <w:vAlign w:val="center"/>
          </w:tcPr>
          <w:p>
            <w:pPr>
              <w:jc w:val="center"/>
              <w:rPr>
                <w:rFonts w:hint="default" w:ascii="Times New Roman" w:hAnsi="Times New Roman" w:eastAsia="宋体" w:cs="Times New Roman"/>
                <w:b w:val="0"/>
                <w:bCs/>
                <w:color w:val="auto"/>
                <w:szCs w:val="24"/>
                <w:highlight w:val="none"/>
              </w:rPr>
            </w:pPr>
          </w:p>
        </w:tc>
        <w:tc>
          <w:tcPr>
            <w:tcW w:w="709" w:type="dxa"/>
            <w:vMerge w:val="continue"/>
            <w:noWrap w:val="0"/>
            <w:vAlign w:val="center"/>
          </w:tcPr>
          <w:p>
            <w:pPr>
              <w:jc w:val="center"/>
              <w:rPr>
                <w:rFonts w:hint="default" w:ascii="Times New Roman" w:hAnsi="Times New Roman" w:eastAsia="宋体" w:cs="Times New Roman"/>
                <w:b w:val="0"/>
                <w:bCs/>
                <w:color w:val="auto"/>
                <w:szCs w:val="24"/>
                <w:highlight w:val="none"/>
              </w:rPr>
            </w:pPr>
          </w:p>
        </w:tc>
        <w:tc>
          <w:tcPr>
            <w:tcW w:w="6946" w:type="dxa"/>
            <w:noWrap w:val="0"/>
            <w:vAlign w:val="top"/>
          </w:tcPr>
          <w:p>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主要设备厂商在绍兴市有相应的分公司的得2分，有人员驻扎或办事地点的得1分，提供营业执照证明。</w:t>
            </w:r>
          </w:p>
        </w:tc>
        <w:tc>
          <w:tcPr>
            <w:tcW w:w="1071" w:type="dxa"/>
            <w:noWrap w:val="0"/>
            <w:vAlign w:val="center"/>
          </w:tcPr>
          <w:p>
            <w:pPr>
              <w:jc w:val="center"/>
              <w:rPr>
                <w:rFonts w:hint="default" w:ascii="Times New Roman" w:hAnsi="Times New Roman" w:eastAsia="宋体" w:cs="Times New Roman"/>
                <w:b/>
                <w:color w:val="auto"/>
                <w:szCs w:val="24"/>
                <w:highlight w:val="none"/>
                <w:lang w:val="zh-CN"/>
              </w:rPr>
            </w:pPr>
            <w:r>
              <w:rPr>
                <w:rFonts w:hint="default" w:ascii="Times New Roman" w:hAnsi="Times New Roman" w:eastAsia="宋体" w:cs="Times New Roman"/>
                <w:b/>
                <w:color w:val="auto"/>
                <w:szCs w:val="24"/>
                <w:highlight w:val="none"/>
                <w:lang w:val="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04" w:type="dxa"/>
            <w:vMerge w:val="continue"/>
            <w:noWrap w:val="0"/>
            <w:vAlign w:val="center"/>
          </w:tcPr>
          <w:p>
            <w:pPr>
              <w:jc w:val="center"/>
              <w:rPr>
                <w:rFonts w:hint="default" w:ascii="Times New Roman" w:hAnsi="Times New Roman" w:eastAsia="宋体" w:cs="Times New Roman"/>
                <w:b w:val="0"/>
                <w:bCs/>
                <w:color w:val="auto"/>
                <w:szCs w:val="24"/>
                <w:highlight w:val="none"/>
              </w:rPr>
            </w:pPr>
          </w:p>
        </w:tc>
        <w:tc>
          <w:tcPr>
            <w:tcW w:w="709" w:type="dxa"/>
            <w:vMerge w:val="continue"/>
            <w:noWrap w:val="0"/>
            <w:vAlign w:val="center"/>
          </w:tcPr>
          <w:p>
            <w:pPr>
              <w:jc w:val="center"/>
              <w:rPr>
                <w:rFonts w:hint="default" w:ascii="Times New Roman" w:hAnsi="Times New Roman" w:eastAsia="宋体" w:cs="Times New Roman"/>
                <w:b w:val="0"/>
                <w:bCs/>
                <w:color w:val="auto"/>
                <w:szCs w:val="24"/>
                <w:highlight w:val="none"/>
              </w:rPr>
            </w:pPr>
          </w:p>
        </w:tc>
        <w:tc>
          <w:tcPr>
            <w:tcW w:w="6946" w:type="dxa"/>
            <w:noWrap w:val="0"/>
            <w:vAlign w:val="top"/>
          </w:tcPr>
          <w:p>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项目要求有良好的后期服务，对整体的安全防范要求高，对安装范围每个星期必须安全巡逻一次，评委根据投标人所在注册地或提供售后服务的分支机构所在地酌情打分，最高三分。需提供工商注册证明原件。</w:t>
            </w:r>
          </w:p>
        </w:tc>
        <w:tc>
          <w:tcPr>
            <w:tcW w:w="1071" w:type="dxa"/>
            <w:noWrap w:val="0"/>
            <w:vAlign w:val="center"/>
          </w:tcPr>
          <w:p>
            <w:pPr>
              <w:jc w:val="center"/>
              <w:rPr>
                <w:rFonts w:hint="default" w:ascii="Times New Roman" w:hAnsi="Times New Roman" w:eastAsia="宋体" w:cs="Times New Roman"/>
                <w:b/>
                <w:color w:val="auto"/>
                <w:szCs w:val="24"/>
                <w:highlight w:val="none"/>
                <w:lang w:val="zh-CN"/>
              </w:rPr>
            </w:pPr>
            <w:r>
              <w:rPr>
                <w:rFonts w:hint="default" w:ascii="Times New Roman" w:hAnsi="Times New Roman" w:eastAsia="宋体" w:cs="Times New Roman"/>
                <w:b/>
                <w:color w:val="auto"/>
                <w:szCs w:val="24"/>
                <w:highlight w:val="none"/>
                <w:lang w:val="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pPr>
              <w:jc w:val="center"/>
              <w:rPr>
                <w:rFonts w:hint="eastAsia" w:ascii="Times New Roman" w:hAnsi="Times New Roman" w:eastAsia="宋体" w:cs="Times New Roman"/>
                <w:b w:val="0"/>
                <w:bCs/>
                <w:color w:val="auto"/>
                <w:szCs w:val="24"/>
                <w:highlight w:val="none"/>
                <w:lang w:val="en-US" w:eastAsia="zh-CN"/>
              </w:rPr>
            </w:pPr>
            <w:r>
              <w:rPr>
                <w:rFonts w:hint="eastAsia" w:ascii="Times New Roman" w:hAnsi="Times New Roman" w:eastAsia="宋体" w:cs="Times New Roman"/>
                <w:b w:val="0"/>
                <w:bCs/>
                <w:color w:val="auto"/>
                <w:szCs w:val="24"/>
                <w:highlight w:val="none"/>
                <w:lang w:val="en-US" w:eastAsia="zh-CN"/>
              </w:rPr>
              <w:t>9</w:t>
            </w:r>
          </w:p>
        </w:tc>
        <w:tc>
          <w:tcPr>
            <w:tcW w:w="709" w:type="dxa"/>
            <w:vMerge w:val="continue"/>
            <w:noWrap w:val="0"/>
            <w:vAlign w:val="center"/>
          </w:tcPr>
          <w:p>
            <w:pPr>
              <w:jc w:val="center"/>
              <w:rPr>
                <w:rFonts w:hint="default" w:ascii="Times New Roman" w:hAnsi="Times New Roman" w:eastAsia="宋体" w:cs="Times New Roman"/>
                <w:b w:val="0"/>
                <w:bCs/>
                <w:color w:val="auto"/>
                <w:szCs w:val="24"/>
                <w:highlight w:val="none"/>
              </w:rPr>
            </w:pPr>
          </w:p>
        </w:tc>
        <w:tc>
          <w:tcPr>
            <w:tcW w:w="6946" w:type="dxa"/>
            <w:noWrap w:val="0"/>
            <w:vAlign w:val="top"/>
          </w:tcPr>
          <w:p>
            <w:pPr>
              <w:numPr>
                <w:ilvl w:val="0"/>
                <w:numId w:val="5"/>
              </w:numPr>
              <w:autoSpaceDE/>
              <w:autoSpaceDN/>
              <w:adjustRightInd/>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服务队伍专业化能力；投标人具有ITSS信息技术服务运行维护标准符合性证书的得2分。</w:t>
            </w:r>
          </w:p>
          <w:p>
            <w:pPr>
              <w:numPr>
                <w:ilvl w:val="0"/>
                <w:numId w:val="5"/>
              </w:numPr>
              <w:autoSpaceDE/>
              <w:autoSpaceDN/>
              <w:adjustRightInd/>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服务队伍成员具备特种作业操作证（高处作业）的，每证得0.5分，最高得3分。</w:t>
            </w:r>
          </w:p>
          <w:p>
            <w:pPr>
              <w:numPr>
                <w:ilvl w:val="0"/>
                <w:numId w:val="5"/>
              </w:numPr>
              <w:autoSpaceDE/>
              <w:autoSpaceDN/>
              <w:adjustRightInd/>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服务队伍成员具备特种作业操作证（低压电工），每证得0.5分，最高得2分。</w:t>
            </w: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（以上各项需提供服务队伍人员名单、证书原件和投标单位为其缴纳的近6个月内的社保证明原件，不提供或提供不齐的不得分）。</w:t>
            </w:r>
          </w:p>
        </w:tc>
        <w:tc>
          <w:tcPr>
            <w:tcW w:w="1071" w:type="dxa"/>
            <w:noWrap w:val="0"/>
            <w:vAlign w:val="center"/>
          </w:tcPr>
          <w:p>
            <w:pPr>
              <w:jc w:val="center"/>
              <w:rPr>
                <w:rFonts w:hint="default" w:ascii="Times New Roman" w:hAnsi="Times New Roman" w:eastAsia="宋体" w:cs="Times New Roman"/>
                <w:b/>
                <w:color w:val="auto"/>
                <w:szCs w:val="24"/>
                <w:highlight w:val="none"/>
                <w:lang w:val="zh-CN"/>
              </w:rPr>
            </w:pPr>
            <w:r>
              <w:rPr>
                <w:rFonts w:hint="default" w:ascii="Times New Roman" w:hAnsi="Times New Roman" w:eastAsia="宋体" w:cs="Times New Roman"/>
                <w:b/>
                <w:color w:val="auto"/>
                <w:szCs w:val="24"/>
                <w:highlight w:val="none"/>
                <w:lang w:val="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pPr>
              <w:jc w:val="center"/>
              <w:rPr>
                <w:rFonts w:hint="default" w:ascii="Times New Roman" w:hAnsi="Times New Roman" w:eastAsia="宋体" w:cs="Times New Roman"/>
                <w:b w:val="0"/>
                <w:bCs/>
                <w:color w:val="auto"/>
                <w:szCs w:val="24"/>
                <w:highlight w:val="none"/>
                <w:lang w:val="en-US" w:eastAsia="zh-CN"/>
              </w:rPr>
            </w:pPr>
            <w:r>
              <w:rPr>
                <w:rFonts w:hint="eastAsia" w:ascii="Times New Roman" w:hAnsi="Times New Roman" w:eastAsia="宋体" w:cs="Times New Roman"/>
                <w:b w:val="0"/>
                <w:bCs/>
                <w:color w:val="auto"/>
                <w:szCs w:val="24"/>
                <w:highlight w:val="none"/>
                <w:lang w:val="en-US" w:eastAsia="zh-CN"/>
              </w:rPr>
              <w:t>10</w:t>
            </w:r>
          </w:p>
        </w:tc>
        <w:tc>
          <w:tcPr>
            <w:tcW w:w="709" w:type="dxa"/>
            <w:vMerge w:val="continue"/>
            <w:noWrap w:val="0"/>
            <w:vAlign w:val="center"/>
          </w:tcPr>
          <w:p>
            <w:pPr>
              <w:jc w:val="center"/>
              <w:rPr>
                <w:rFonts w:hint="default" w:ascii="Times New Roman" w:hAnsi="Times New Roman" w:eastAsia="宋体" w:cs="Times New Roman"/>
                <w:b w:val="0"/>
                <w:bCs/>
                <w:color w:val="auto"/>
                <w:szCs w:val="24"/>
                <w:highlight w:val="none"/>
              </w:rPr>
            </w:pPr>
          </w:p>
        </w:tc>
        <w:tc>
          <w:tcPr>
            <w:tcW w:w="6946" w:type="dxa"/>
            <w:noWrap w:val="0"/>
            <w:vAlign w:val="top"/>
          </w:tcPr>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安装队伍需具备登高作业工程车辆（需投标人自有车辆，行驶证名称与投标人名称一致），应提供车辆行驶证原件，安装好升降设备后的车辆照片，每车得0.5分，最高得5分，不提供或提供不齐的不得分。</w:t>
            </w:r>
          </w:p>
        </w:tc>
        <w:tc>
          <w:tcPr>
            <w:tcW w:w="1071" w:type="dxa"/>
            <w:noWrap w:val="0"/>
            <w:vAlign w:val="center"/>
          </w:tcPr>
          <w:p>
            <w:pPr>
              <w:jc w:val="center"/>
              <w:rPr>
                <w:rFonts w:hint="default" w:ascii="Times New Roman" w:hAnsi="Times New Roman" w:eastAsia="宋体" w:cs="Times New Roman"/>
                <w:b/>
                <w:color w:val="auto"/>
                <w:szCs w:val="24"/>
                <w:highlight w:val="none"/>
                <w:lang w:val="zh-CN"/>
              </w:rPr>
            </w:pPr>
            <w:r>
              <w:rPr>
                <w:rFonts w:hint="default" w:ascii="Times New Roman" w:hAnsi="Times New Roman" w:eastAsia="宋体" w:cs="Times New Roman"/>
                <w:b/>
                <w:color w:val="auto"/>
                <w:szCs w:val="24"/>
                <w:highlight w:val="none"/>
                <w:lang w:val="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04" w:type="dxa"/>
            <w:noWrap w:val="0"/>
            <w:vAlign w:val="center"/>
          </w:tcPr>
          <w:p>
            <w:pPr>
              <w:jc w:val="center"/>
              <w:rPr>
                <w:rFonts w:hint="default" w:ascii="Times New Roman" w:hAnsi="Times New Roman" w:eastAsia="宋体" w:cs="Times New Roman"/>
                <w:b w:val="0"/>
                <w:bCs/>
                <w:color w:val="auto"/>
                <w:szCs w:val="24"/>
                <w:highlight w:val="none"/>
                <w:lang w:val="en-US" w:eastAsia="zh-CN"/>
              </w:rPr>
            </w:pPr>
            <w:r>
              <w:rPr>
                <w:rFonts w:hint="eastAsia" w:ascii="Times New Roman" w:hAnsi="Times New Roman" w:eastAsia="宋体" w:cs="Times New Roman"/>
                <w:b w:val="0"/>
                <w:bCs/>
                <w:color w:val="auto"/>
                <w:szCs w:val="24"/>
                <w:highlight w:val="none"/>
                <w:lang w:val="en-US" w:eastAsia="zh-CN"/>
              </w:rPr>
              <w:t>11</w:t>
            </w:r>
          </w:p>
        </w:tc>
        <w:tc>
          <w:tcPr>
            <w:tcW w:w="709" w:type="dxa"/>
            <w:noWrap w:val="0"/>
            <w:vAlign w:val="center"/>
          </w:tcPr>
          <w:p>
            <w:pPr>
              <w:jc w:val="center"/>
              <w:rPr>
                <w:rFonts w:hint="default" w:ascii="Times New Roman" w:hAnsi="Times New Roman" w:eastAsia="宋体" w:cs="Times New Roman"/>
                <w:b w:val="0"/>
                <w:bCs/>
                <w:color w:val="auto"/>
                <w:szCs w:val="24"/>
                <w:highlight w:val="none"/>
              </w:rPr>
            </w:pPr>
            <w:r>
              <w:rPr>
                <w:rFonts w:hint="default" w:ascii="Times New Roman" w:hAnsi="Times New Roman" w:eastAsia="宋体" w:cs="Times New Roman"/>
                <w:b w:val="0"/>
                <w:bCs/>
                <w:color w:val="auto"/>
                <w:szCs w:val="24"/>
                <w:highlight w:val="none"/>
              </w:rPr>
              <w:t>其他</w:t>
            </w:r>
          </w:p>
        </w:tc>
        <w:tc>
          <w:tcPr>
            <w:tcW w:w="6946" w:type="dxa"/>
            <w:noWrap w:val="0"/>
            <w:vAlign w:val="top"/>
          </w:tcPr>
          <w:p>
            <w:pP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投标文件质量（包括投标文件的装订质量、完整性及对招标文件的响应情况等）</w:t>
            </w:r>
          </w:p>
        </w:tc>
        <w:tc>
          <w:tcPr>
            <w:tcW w:w="1071" w:type="dxa"/>
            <w:noWrap w:val="0"/>
            <w:vAlign w:val="center"/>
          </w:tcPr>
          <w:p>
            <w:pPr>
              <w:jc w:val="center"/>
              <w:rPr>
                <w:rFonts w:hint="default" w:ascii="Times New Roman" w:hAnsi="Times New Roman" w:eastAsia="宋体" w:cs="Times New Roman"/>
                <w:b/>
                <w:color w:val="auto"/>
                <w:szCs w:val="24"/>
                <w:highlight w:val="none"/>
                <w:lang w:val="zh-CN"/>
              </w:rPr>
            </w:pPr>
            <w:r>
              <w:rPr>
                <w:rFonts w:hint="default" w:ascii="Times New Roman" w:hAnsi="Times New Roman" w:eastAsia="宋体" w:cs="Times New Roman"/>
                <w:b/>
                <w:color w:val="auto"/>
                <w:szCs w:val="24"/>
                <w:highlight w:val="none"/>
                <w:lang w:val="zh-CN"/>
              </w:rPr>
              <w:t>0-1分</w:t>
            </w:r>
          </w:p>
        </w:tc>
      </w:tr>
    </w:tbl>
    <w:p>
      <w:pPr>
        <w:spacing w:line="360" w:lineRule="auto"/>
        <w:ind w:right="-168" w:rightChars="-80"/>
        <w:rPr>
          <w:rFonts w:hint="eastAsia" w:hAnsi="宋体" w:cs="宋体"/>
          <w:b/>
          <w:bCs/>
          <w:sz w:val="24"/>
        </w:rPr>
      </w:pPr>
      <w:r>
        <w:rPr>
          <w:rFonts w:hint="eastAsia" w:hAnsi="宋体" w:cs="宋体"/>
          <w:b/>
          <w:bCs/>
          <w:sz w:val="24"/>
        </w:rPr>
        <w:t>（5）本次评审采用竞争择优入围方式。参加投标单位六家（含）以下的，取技术分前三</w:t>
      </w:r>
    </w:p>
    <w:p>
      <w:pPr>
        <w:spacing w:line="360" w:lineRule="auto"/>
        <w:ind w:right="-168" w:rightChars="-80"/>
        <w:rPr>
          <w:rFonts w:hint="eastAsia" w:hAnsi="宋体" w:cs="宋体"/>
          <w:b/>
          <w:bCs/>
          <w:sz w:val="24"/>
        </w:rPr>
      </w:pPr>
      <w:r>
        <w:rPr>
          <w:rFonts w:hint="eastAsia" w:hAnsi="宋体" w:cs="宋体"/>
          <w:b/>
          <w:bCs/>
          <w:sz w:val="24"/>
        </w:rPr>
        <w:t>名入围（入围单位末名得分出现并列的，并列单位均入围，下同），进行商务评审（未入围的投标人不再进行商务评分，且不作为中标候选人，下同）；参加投标单位七家（含）以上九家（含）以下的的，取技术分前四名入围，进行商务评审；参加投标单位十家（含）以上，取技术前五名，进行商务评审。</w:t>
      </w:r>
    </w:p>
    <w:p>
      <w:pPr>
        <w:spacing w:line="360" w:lineRule="auto"/>
        <w:ind w:right="-168" w:rightChars="-80"/>
        <w:rPr>
          <w:rFonts w:hint="eastAsia" w:hAnsi="宋体" w:cs="宋体"/>
          <w:b/>
          <w:bCs/>
          <w:sz w:val="24"/>
        </w:rPr>
      </w:pPr>
      <w:r>
        <w:rPr>
          <w:rFonts w:hint="eastAsia" w:hAnsi="宋体" w:cs="宋体"/>
          <w:b/>
          <w:bCs/>
          <w:sz w:val="24"/>
        </w:rPr>
        <w:t>在商务评审环节出现废标的，按上述择优入围办法重新排定入围单位重新进行商务评审。</w:t>
      </w:r>
    </w:p>
    <w:p>
      <w:pPr>
        <w:spacing w:line="360" w:lineRule="auto"/>
        <w:rPr>
          <w:rFonts w:hint="eastAsia"/>
        </w:rPr>
      </w:pPr>
      <w:bookmarkStart w:id="11" w:name="_Toc12534451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spacing w:line="500" w:lineRule="exact"/>
        <w:jc w:val="center"/>
        <w:rPr>
          <w:rFonts w:hint="eastAsia" w:ascii="宋体" w:hAnsi="宋体"/>
          <w:sz w:val="36"/>
          <w:szCs w:val="36"/>
        </w:rPr>
      </w:pPr>
      <w:r>
        <w:rPr>
          <w:rFonts w:hint="eastAsia" w:ascii="宋体" w:hAnsi="宋体"/>
          <w:sz w:val="36"/>
          <w:szCs w:val="36"/>
        </w:rPr>
        <w:t>第四章   采购需求</w:t>
      </w:r>
      <w:bookmarkEnd w:id="11"/>
    </w:p>
    <w:p>
      <w:pPr>
        <w:spacing w:line="360" w:lineRule="auto"/>
        <w:ind w:firstLine="420"/>
        <w:rPr>
          <w:rFonts w:ascii="黑体" w:hAnsi="黑体" w:eastAsia="黑体"/>
          <w:b/>
          <w:bCs/>
          <w:color w:val="auto"/>
          <w:sz w:val="30"/>
          <w:szCs w:val="30"/>
          <w:highlight w:val="none"/>
          <w:u w:val="single"/>
        </w:rPr>
      </w:pPr>
      <w:r>
        <w:rPr>
          <w:rFonts w:hint="eastAsia" w:ascii="黑体" w:hAnsi="黑体" w:eastAsia="黑体"/>
          <w:b/>
          <w:bCs/>
          <w:color w:val="auto"/>
          <w:sz w:val="30"/>
          <w:szCs w:val="30"/>
          <w:highlight w:val="none"/>
          <w:u w:val="single"/>
        </w:rPr>
        <w:t>产品要求中有参考品牌、型号的仅作为投标方案参考，但投标产品品牌、型号至少应与参考品牌、型号相当。</w:t>
      </w:r>
    </w:p>
    <w:p>
      <w:pPr>
        <w:rPr>
          <w:rFonts w:hint="eastAsia" w:ascii="黑体" w:hAnsi="黑体" w:eastAsia="黑体"/>
          <w:b/>
          <w:bCs/>
          <w:color w:val="auto"/>
          <w:sz w:val="30"/>
          <w:szCs w:val="30"/>
          <w:highlight w:val="none"/>
          <w:u w:val="single"/>
        </w:rPr>
      </w:pPr>
      <w:r>
        <w:rPr>
          <w:rFonts w:hint="eastAsia" w:ascii="黑体" w:hAnsi="黑体" w:eastAsia="黑体"/>
          <w:b/>
          <w:bCs/>
          <w:color w:val="auto"/>
          <w:sz w:val="30"/>
          <w:szCs w:val="30"/>
          <w:highlight w:val="none"/>
          <w:u w:val="single"/>
        </w:rPr>
        <w:t xml:space="preserve">   除参考品牌、型号以外，欢迎其它能满足本项目技术需求且性能与参考品牌、型号相当的产品参加。</w:t>
      </w:r>
    </w:p>
    <w:p>
      <w:pPr>
        <w:pStyle w:val="5"/>
        <w:bidi w:val="0"/>
        <w:ind w:left="0" w:leftChars="0" w:firstLine="0" w:firstLineChars="0"/>
        <w:rPr>
          <w:rFonts w:hint="default"/>
          <w:color w:val="auto"/>
          <w:highlight w:val="none"/>
        </w:rPr>
      </w:pPr>
      <w:r>
        <w:rPr>
          <w:rFonts w:hint="default"/>
          <w:color w:val="auto"/>
          <w:highlight w:val="none"/>
        </w:rPr>
        <w:t>采购内容</w:t>
      </w:r>
    </w:p>
    <w:p>
      <w:pPr>
        <w:spacing w:line="360" w:lineRule="auto"/>
        <w:ind w:firstLine="420"/>
        <w:rPr>
          <w:rFonts w:hint="default" w:ascii="Times New Roman" w:hAnsi="Times New Roman" w:eastAsia="宋体" w:cs="Times New Roman"/>
          <w:color w:val="auto"/>
          <w:kern w:val="2"/>
          <w:sz w:val="24"/>
          <w:highlight w:val="none"/>
        </w:rPr>
      </w:pPr>
      <w:bookmarkStart w:id="12" w:name="_Toc455158693"/>
      <w:bookmarkEnd w:id="12"/>
      <w:r>
        <w:rPr>
          <w:rFonts w:hint="default" w:ascii="Times New Roman" w:hAnsi="Times New Roman" w:eastAsia="宋体" w:cs="Times New Roman"/>
          <w:color w:val="auto"/>
          <w:kern w:val="2"/>
          <w:sz w:val="24"/>
          <w:highlight w:val="none"/>
        </w:rPr>
        <w:t>本次项目主要针对诸暨市区及乡镇的重点区域进行治安管控及交通秩序管理，同时对城区进行反向抓拍系统的增补。还包括雪亮工程的建设，“雪亮工程”是新形势下维护国家安全和社会稳定、预防和打击暴力恐怖犯罪的重要手段，是常态化、信息化条件下完善社会治安防控体系、深化平安中国建设的重要基础性工程。</w:t>
      </w:r>
    </w:p>
    <w:p>
      <w:pPr>
        <w:pStyle w:val="6"/>
        <w:bidi w:val="0"/>
        <w:ind w:left="0" w:leftChars="0" w:firstLine="0" w:firstLineChars="0"/>
        <w:rPr>
          <w:rFonts w:hint="default"/>
          <w:color w:val="auto"/>
          <w:highlight w:val="none"/>
        </w:rPr>
      </w:pPr>
      <w:r>
        <w:rPr>
          <w:rFonts w:hint="default"/>
          <w:color w:val="auto"/>
          <w:highlight w:val="none"/>
        </w:rPr>
        <w:t>1、重点区域交通秩序管理需求</w:t>
      </w:r>
    </w:p>
    <w:p>
      <w:pPr>
        <w:pStyle w:val="6"/>
        <w:numPr>
          <w:ilvl w:val="2"/>
          <w:numId w:val="6"/>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总体需求</w:t>
      </w:r>
    </w:p>
    <w:p>
      <w:pPr>
        <w:pStyle w:val="105"/>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块建设内容主要是为诸暨市交警大队针对重点区域交通秩序管理而进行的整体建设，以实现诸暨本地的重大安保项目的保障，如已经举行的“枫桥经验55周年庆”等，同时配合诸暨市公安局实现提升日常警卫安保任务的效率。</w:t>
      </w:r>
    </w:p>
    <w:p>
      <w:pPr>
        <w:pStyle w:val="6"/>
        <w:numPr>
          <w:ilvl w:val="2"/>
          <w:numId w:val="6"/>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建设依据</w:t>
      </w:r>
    </w:p>
    <w:p>
      <w:pPr>
        <w:pStyle w:val="105"/>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本次建设的系统依据国家相关法律规章、国家和行业相关标准、相关研究成果等资料进行规划设计，具体如下：</w:t>
      </w:r>
    </w:p>
    <w:p>
      <w:pPr>
        <w:pStyle w:val="105"/>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建设原则</w:t>
      </w:r>
    </w:p>
    <w:p>
      <w:pPr>
        <w:pStyle w:val="105"/>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本次建设采用高度集成和系统化的设计，将实用性与先进性相结合，新建的智慧安保系统具备安全性、易用性和前瞻性。</w:t>
      </w:r>
    </w:p>
    <w:p>
      <w:pPr>
        <w:pStyle w:val="105"/>
        <w:ind w:firstLine="48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安全性</w:t>
      </w:r>
    </w:p>
    <w:p>
      <w:pPr>
        <w:pStyle w:val="105"/>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整体设计时，各部分关键线路、设备均采用相应的技术措施，充分考虑系统对安全和稳定的需求，保证系统安全可靠运行。</w:t>
      </w:r>
    </w:p>
    <w:p>
      <w:pPr>
        <w:pStyle w:val="105"/>
        <w:ind w:firstLine="48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易用性</w:t>
      </w:r>
    </w:p>
    <w:p>
      <w:pPr>
        <w:pStyle w:val="105"/>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系统不仅能够充分满足客户的功能要求，而且系统界面十分简洁，易于学习和操作，最大限度方便客户。</w:t>
      </w:r>
    </w:p>
    <w:p>
      <w:pPr>
        <w:pStyle w:val="105"/>
        <w:ind w:firstLine="48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前瞻性</w:t>
      </w:r>
    </w:p>
    <w:p>
      <w:pPr>
        <w:pStyle w:val="105"/>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系统具有可扩展性，采用的硬件设备及软件系统具有足够的扩展接口，支持相应的协议和升级能力。随着应用的不断增长，系统在保证技术先进性的基础上，适度超前。</w:t>
      </w:r>
    </w:p>
    <w:p>
      <w:pPr>
        <w:spacing w:line="360" w:lineRule="auto"/>
        <w:rPr>
          <w:rFonts w:hint="default" w:ascii="Times New Roman" w:hAnsi="Times New Roman" w:eastAsia="宋体" w:cs="Times New Roman"/>
          <w:color w:val="auto"/>
          <w:highlight w:val="none"/>
        </w:rPr>
      </w:pPr>
    </w:p>
    <w:p>
      <w:pPr>
        <w:pStyle w:val="6"/>
        <w:numPr>
          <w:ilvl w:val="2"/>
          <w:numId w:val="6"/>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重点线路保障总体需求</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次建设需要针对后续安保的整体路线进行警卫路线监控。警卫线路安保中，指挥中心需要能够实时掌控安保相关区域的道路通行情况和警卫路线安保相关人员和车辆的行进情况，确保安保活动中的交通安全和道路通畅。</w:t>
      </w:r>
    </w:p>
    <w:p>
      <w:pPr>
        <w:pStyle w:val="6"/>
        <w:numPr>
          <w:ilvl w:val="2"/>
          <w:numId w:val="6"/>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重点场站交通秩序管理总体需求</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本次建设系统针对后续重大安保活动中，针对重要的场站需要进行重点管理，在活动过程中需要保证各个场站的整体安全保障，针对重点车辆、人员进行布控，同时防止无关车辆、人员进入场站。</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根据每个场站的特点，需要在每个场站新建或者新增人脸抓拍机、监控相机及后端智能分析设备，以确保场站的安全。</w:t>
      </w:r>
    </w:p>
    <w:p>
      <w:pPr>
        <w:pStyle w:val="6"/>
        <w:numPr>
          <w:ilvl w:val="2"/>
          <w:numId w:val="6"/>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重点区域交通秩序管理需求清单</w:t>
      </w:r>
    </w:p>
    <w:tbl>
      <w:tblPr>
        <w:tblStyle w:val="3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638"/>
        <w:gridCol w:w="846"/>
        <w:gridCol w:w="5834"/>
        <w:gridCol w:w="636"/>
        <w:gridCol w:w="636"/>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设备名称</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参考品牌</w:t>
            </w:r>
          </w:p>
        </w:tc>
        <w:tc>
          <w:tcPr>
            <w:tcW w:w="5834"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参数</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数量</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642" w:type="dxa"/>
            <w:gridSpan w:val="7"/>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1、重点线路交通秩序管理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重点路线球机</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海康威视/大华/英飞拓</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400万像素8寸智能球机；2560×1440@30fps；32倍光学；支持深度学习算法，提升Smart功能和跟踪功能，并支持去误报和目标分类；支持音频、报警；支持3D数字降噪、SmartIR、120dB超宽动态、光学透雾、强光抑制、电子防抖；支持人脸抓拍、区域入侵侦测、越界侦测、进入区域侦测、离开区域侦测、徘徊侦测、人员聚集侦测、快速移动侦测、停车侦测、物品遗留侦测、物品拿取侦测、音频异常侦测、移动侦测、视频遮挡侦测；车牌捕获及检索、混行检测、多场景巡航检测、云存储服务；</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摄像机靶面尺寸不小于1/1.8英寸</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内置GPU芯片</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支持5路码流同时输出，支持同时输出不少于2路高清视频图像，高清视频图像分辨率与帧率不小于2560×1440、60帧/s</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摄像机内置镜头，支持32倍光学变倍，镜头最大焦距不小于192mm</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▲支持最低照度可达彩色0.0002 lx，黑白0.0001 lx，摄像机宽动态范围不小于120dB，支持快速聚焦功能，当设备跟踪行人或机动车等移动目标并录像时，单帧回放录像文件，每1帧画面均应清晰可见。（以公安部检验报告为准）</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可通过IE浏览器设置8个场景进行人脸抓拍，可设置每个场景的布防时间。</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▲可对距设备100米处的人脸进行抓拍。（以公安部检验报告为准）</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支持水平手控速度不小于800°/S，垂直手控速度不小于300°/s。水平旋转范围为360°连续旋转，垂直旋转范围为-20°~90°</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支持300个预置位，可按照所设置的预置位完成不小于8条巡航路径，每条巡航路径可设置不小于32个预置点。</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具有三种滤光片，在白天、夜晚及有雾情况下可自动切换不同的滤光片进行成像。滤光片透过率不小于95%。</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支持7路报警输入接口，2路报警输出接口，支持1路音频输入和输出接口。最大支持512GB的SD卡。可识别不低于170种车辆品牌，车辆品牌识别白天准确率大于98%，晚上准确率大于97%。</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室外球机应具备较好防护性能，支持IP67，具备较好的电磁兼容性，支持空气放电20KV，接触放电10KV，15KV防浪涌。</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具备较好的电源适应性，电压在AC24V±47%或DC24V±47%范围内变化时，设备可正常工作。</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符合《GB/T 28181-2016 公共安全视频监控联网系统信息传输、交换、控制技术要求》中的相关规定。</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水平键控速度最大210°/s，垂直键控速度最大150°/s，垂直范围-20°~90°；H.265/H.264/MJPEG；最大支持256GB Micro SD卡；电源：AC24V，60W max（其中加热5Wmax，红外灯15W max）；支持IP67；工作温度：-40℃-70℃。 </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个</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2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【核心产品】</w:t>
            </w:r>
            <w:r>
              <w:rPr>
                <w:rFonts w:hint="default" w:ascii="Times New Roman" w:hAnsi="Times New Roman" w:eastAsia="宋体" w:cs="Times New Roman"/>
                <w:color w:val="auto"/>
                <w:sz w:val="21"/>
                <w:szCs w:val="21"/>
                <w:highlight w:val="none"/>
              </w:rPr>
              <w:t>人脸摄像机</w:t>
            </w:r>
            <w:r>
              <w:rPr>
                <w:rFonts w:hint="default" w:ascii="Times New Roman" w:hAnsi="Times New Roman" w:eastAsia="宋体" w:cs="Times New Roman"/>
                <w:color w:val="auto"/>
                <w:sz w:val="21"/>
                <w:szCs w:val="21"/>
                <w:highlight w:val="none"/>
              </w:rPr>
              <w:br w:type="textWrapping"/>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海康威视/大华/英飞拓</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600万 1/1.8" CMOS智能筒型网络摄像机</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智能模式:支持混合模式、人脸抓拍、车辆抓拍模式切换</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混合模式（属性采集模式）</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人脸抓拍（正脸抓拍）:支持对运动人脸进行检测、跟踪、抓拍、评分、筛选，输出最优的人脸抓图</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车辆模式:支持车辆抓拍，车型，车牌颜色，车身颜色属性识别；过线计数支持</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具有不小于1/1.8"靶面尺寸。</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▲内置GPU芯片，内置混合补光灯，可对红外灯及白光灯功率进行调节。（公安部检验报告证明）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支持通过浏览器控制设备聚焦及变焦，变焦过程中可自动聚焦。</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信噪比不小于60dB。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在3072x2048 @ 25fps下，清晰度不小于2000TVL。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需支持五码流技术，主码流最高≥3072x2048@25fps；子码流≥704x576@25fps；第三码流最高≥3072x2048@25fps；第四码流最高≥704x576@25fps；第五码流最高≥704x576@25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最低照度彩色：0.001 lx，黑白:0.0001 lx，灰度等级不小于11级。</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支持H.264、H.265、MJPEG视频编码格式，且具有High Profile编码能力。</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支持混合抓拍模式，可同时对行人、非机动车、机动车进行检测、跟踪及抓拍。在混合抓拍模式下，行人、非机动车和机动车目标捕获率不低于99%。在混合抓拍模式下，支持行人、非机动车和机动车的分类计数。在混合抓拍模式下，支持将人脸与人体、车牌与车辆进行关联。（公安部检验报告证明）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支持行人、非机动车属性提取。支持单场景同时检出不少于40张人脸图片，并支持面部跟踪。</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可识别不低于170种车辆品牌。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车辆品牌识别白天准确率大于99%，晚上准确率大于97%。</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可识别不低于3600种车辆子品牌。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设备与客户端之间用200米网线进行传输，数据包丢包数不大于0.1%。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在丢包率设置为20%的网络环境下，可正常显示监视画面。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需支持本地SD卡存储，最大支持256G。</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支持对存储卡进行读写锁定，锁定后的存储卡在移动终端需要密码才能访问。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不低于IP67防尘防水、IK10防暴等级。</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同一静止场景相同图像质量下，设备在H.265编码方式时，开启智能编码功能和不开启智能编码相比，码率节约1/2。 </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64</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3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海康威视/大华/英飞拓</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双400万1/1.8” CMOS网络摄像机</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摄像机集合定点看全景、动点看细节的优势，采用一体化设计，由双镜头相机与高性能GPU模块组成，</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内嵌深度学习算法，以海量图片及视频资源为路基，通过机器自身提取目标特征，形成深层可供学习的人脸人体</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支持背景大图图片字符叠加功能，支持设备编号、抓拍时间、监测点信息</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相机内置高效白光全彩阵列灯，低功耗，夜间能正常进行人体车辆抓拍</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动点相机内置高效红外阵列灯，低功耗，夜间红外灯亮度、角度根据场景智能调整，能正常进行人脸抓拍</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▲设备具有1个RJ45网络接口，可输出两路视频图像：通道1、通道2。摄像机定焦镜头、变焦镜头靶面尺寸均不小于1/1.8英寸。（以公安部检验报告为准）</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▲内置不少于2个GPU芯片。（以公安部检验报告为准）</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两路视频输出分别支持分辨率设置为2560x1440，帧率设置为25fps，分辨力不小于1500线。支持最低照度可达彩色0.0003Lux，黑白0.0001Lux。</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支持水平、垂直旋转，水平手控速度不小于240°/s，定位准确度不大于0.1°。</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支持快速聚焦功能，设备对监控区域内的移动目标进行跟踪录像，录像通过单帧回放时应能保证每帧画面清晰稳定。</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设备可同时对行人、非机动车、机动车进行检测、跟踪及抓拍，可支持人脸、车牌的抠图及人脸与人体、车牌与车辆的关联显示。设备应支持正面/侧面/背面行人的检测、跟踪、抓拍，应支持对骑自行车、骑三轮车、骑电动车、踩平衡车等非机动车的检测、跟踪、抓拍。（以公安部检验报告为准）</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可在监控画面实时显示行人、车辆的信息。</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设备支持看清80米处人体轮廓，并可生成人体小图。</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可通过客户端软件显示行人的属性，包括上衣颜色、下装颜色、是/否戴眼镜、是/否背包、是/否戴帽子。</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在距离设备30米处，人脸抓拍准确率不小于95%，人体抓拍准确率不小于95%。通道1检测到且框出移动目标至通道2摄像机开始转动的时间小于0.3秒。</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支持本机存储功能，支持SD卡热插拔，SD卡最大支持256GB。</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电压在DC36V±25%范围内变化时，设备可正常工作，工作温度范围可达-45℃-70℃，支持IP67。 </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4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海康威视/大华/英飞拓</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400万像素8寸智能球机；2560×1440@30fps；32倍光学；支持深度学习算法，提升Smart功能和跟踪功能，并支持去误报和目标分类；支持音频、报警；支持3D数字降噪、SmartIR、120dB超宽动态、光学透雾、强光抑制、电子防抖；支持人脸抓拍、区域入侵侦测、越界侦测、进入区域侦测、离开区域侦测、徘徊侦测、人员聚集侦测、快速移动侦测、停车侦测、物品遗留侦测、物品拿取侦测、音频异常侦测、移动侦测、视频遮挡侦测；车牌捕获及检索、混行检测、多场景巡航检测、云存储服务；</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摄像机靶面尺寸不小于1/1.8英寸</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内置GPU芯片</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支持5路码流同时输出，支持同时输出不少于2路高清视频图像，高清视频图像分辨率与帧率不小于2560×1440、60帧/s</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摄像机内置镜头，支持32倍光学变倍，镜头最大焦距不小于192mm</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▲支持最低照度可达彩色0.0002 lx，黑白0.0001 lx，摄像机宽动态范围不小于120dB，支持快速聚焦功能，当设备跟踪行人或机动车等移动目标并录像时，单帧回放录像文件，每1帧画面均应清晰可见。（以公安部检验报告为准）</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可通过IE浏览器设置8个场景进行人脸抓拍，可设置每个场景的布防时间。</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▲可对距设备100米处的人脸进行抓拍。（以公安部检验报告为准）</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支持水平手控速度不小于800°/S，垂直手控速度不小于300°/s。水平旋转范围为360°连续旋转，垂直旋转范围为-20°~90°</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支持300个预置位，可按照所设置的预置位完成不小于8条巡航路径，每条巡航路径可设置不小于32个预置点。</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具有三种滤光片，在白天、夜晚及有雾情况下可自动切换不同的滤光片进行成像。滤光片透过率不小于95%。</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支持7路报警输入接口，2路报警输出接口，支持1路音频输入和输出接口。最大支持512GB的SD卡。可识别不低于170种车辆品牌，车辆品牌识别白天准确率大于98%，晚上准确率大于97%。</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室外球机应具备较好防护性能，支持IP67，具备较好的电磁兼容性，支持空气放电20KV，接触放电10KV，15KV防浪涌。</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具备较好的电源适应性，电压在AC24V±47%或DC24V±47%范围内变化时，设备可正常工作。</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符合《GB/T 28181-2016 公共安全视频监控联网系统信息传输、交换、控制技术要求》中的相关规定。</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水平键控速度最大210°/s，垂直键控速度最大150°/s，垂直范围-20°~90°；H.265/H.264/MJPEG；最大支持256GB Micro SD卡；电源：AC24V，60W max（其中加热5Wmax，红外灯15W max）；支持IP67；工作温度：-40℃-70℃。 </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5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LED补光灯</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海康威视/大华/英飞拓</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10W常亮经济型监控补光灯；</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控制方式：光敏控制；3W光源/4颗；最佳投射距离10~25米；发光角度：40度；暖光设计减少光污染(其他色温可定制)；安装方式：自带角度可调节支架；供电电压：AC（170V-264V）；防护等级IP65；工作环境温度-20℃～60℃；工作环境湿度10～90%RH。</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支</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6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违停球机</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海康威视/大华/英飞拓</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 万像素，一体球；1920×1080</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超低照度：0.0002Lux/F1.5(彩色),0.0001Lux/F1.5(黑白)，0 Lux with IR；</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支持宽动态；支持可视域信息上传，球机可响应平台下发的获取可视域信息指令，上报设备视场角、可视距离、安装位置、镜头指向方位；</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室外球达到 IP67 防护等级，8000V 防雷、防浪涌和防突波保护,支持违法停车；支持监视画面中最多检测出的机动车辆为 40 辆。</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▲内置GPU芯片（以公安部检验报告为准）</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视频输出支持1920×1080@60fps，1280×720@60fps ；分辨力不小于1100TVL</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可将视频图像存储至SD卡或客户端，支持SD卡热插拔，最大支持256GB SD卡</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违法停车检测范围，白天有效检测距离不小于260m，且白天和晚上违法停车捕获率、捕获有效率均大于99%</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支持违法停车抓拍间隔功能设置，使得对识别为违法停车行为的同一辆车，在设定的时间间隔内不会重复抓拍。</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支持机动车检测，在白天可最多同时检测出监视画面中40辆机动车辆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可识别不低于170种车辆品牌。</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车辆品牌识别白天准确率不小于99%，晚上准确率不小于97%。</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可识别不低于3600种车辆子品牌。</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车辆子品牌识别白天准确率不小于97%，晚上准确率不小于93%。</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可识别11种车辆颜色。</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车辆车身颜色识别准确率不小于95%。</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可识别10种车型，包括轿车、小型轿车、微型轿车、客车、中型客车、面包车、大货车、小货车、SUV-MPV、皮卡。</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▲车型识别白天准确率不小于99%，晚上准确率不小于95%。设备可识别通过监控画面中的新能源汽车专用号牌信息。（公安部检验报告证明）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室外球机应具备较好防护性能，支持IP67、10KV防浪涌</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具备较好的环境适应性，电压在AC24V±47%范围内变化时，设备可正常工作</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具备较好的环境适应性，工作温度范围可达-45℃-70℃</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套</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7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单点 LED</w:t>
            </w:r>
            <w:r>
              <w:rPr>
                <w:rFonts w:hint="default" w:ascii="Times New Roman" w:hAnsi="Times New Roman" w:eastAsia="宋体" w:cs="Times New Roman"/>
                <w:color w:val="auto"/>
                <w:sz w:val="21"/>
                <w:szCs w:val="21"/>
                <w:highlight w:val="none"/>
              </w:rPr>
              <w:br w:type="textWrapping"/>
            </w:r>
            <w:r>
              <w:rPr>
                <w:rFonts w:hint="default" w:ascii="Times New Roman" w:hAnsi="Times New Roman" w:eastAsia="宋体" w:cs="Times New Roman"/>
                <w:color w:val="auto"/>
                <w:sz w:val="21"/>
                <w:szCs w:val="21"/>
                <w:highlight w:val="none"/>
              </w:rPr>
              <w:t>补光灯</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海康威视/大华/英飞拓</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16颗原装进口大功率白光</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最佳补光距离16m～25m；支持5V电平量触发(可选开关量)，最大功率30W</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补光灯自带光敏控制，在低照度下自动开启，低照度阀值可设</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支持自闪、跟随、自动频闪（外部摄像机触发）模式</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支持通过RS485远程控制补光灯的亮度、开启/关闭</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支持通过RS485对补光灯升级程序</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支持远程显示补光灯故障、正常、开启、关闭等工作状态</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支持倍频设置功能检查，支持倍频1~15可调</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频闪响应时间≤20微秒</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▲当设备占空比设置≤5%时，功耗≤10W（以公安部检验报告为准）</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工作环境-40℃~85℃</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电源电压在AC80V~264V范围内变化时，能正常工作</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防护等级IP66</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可外配光栅可有效减少周边光污染 </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套</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8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5834" w:type="dxa"/>
            <w:noWrap w:val="0"/>
            <w:vAlign w:val="top"/>
          </w:tcPr>
          <w:p>
            <w:pPr>
              <w:widowControl/>
              <w:autoSpaceDE/>
              <w:autoSpaceDN/>
              <w:adjustRightInd/>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立杆高 5.5m（不含覆土）；覆土高度 350mm；含避雷针；悬臂长不小于 4m；件内外热镀锌表面喷黑色塑处理，采用口径（220mm-135mm）,壁厚 6mm，挑臂采用口径（133mm-70mm）,中间圆弧弯曲，壁厚 5mm 的六角杆钢管制作，法兰厚 20mm,采用双面焊接，外焊加强三角钢板 6-8 块，厚 15mm。挑臂与主杆无缝电焊连接一体。</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9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F型八角立杆，高度6米，挑臂6-9米</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套</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10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基础</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1.5*1.5*1.8米，C25混凝土浇筑，含预埋件、接地体</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个</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11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低位立杆</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立杆高3.5米，挑臂0.5米，整体热镀锌，含基础</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套</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12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支架</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壁装或抱杆支架，根据需要选择合适长度，采用热镀锌支架或不锈钢支架</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套</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13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设备箱</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国产</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双层密封箱体，自然散热，防护等级IP55，无风扇设计，尺寸：410MM×382MM×272MM</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个</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14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设备箱前端主机</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4路电源输出，4个千兆网口，支持MAC地址绑定，含空气开关、门磁、温度传感器</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套</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15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过欠压保护器</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自动重合漏电保护器，保护线路电压不稳、前端断零线、感应电压问题等，阻燃塑料，过电压值270-280VAC,欠电压值155-165VAC，额定电流：32/40/63/80A，额定电压230V</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个</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16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辅材</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球机支架、电源、线缆等安装所需的一切辅材</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设备安装调试</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设备安装、中心平台接入及联网调试</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642" w:type="dxa"/>
            <w:gridSpan w:val="7"/>
            <w:noWrap w:val="0"/>
            <w:vAlign w:val="center"/>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2、重要场站交通秩序管理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半球摄像机</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海康威视/大华/英飞拓</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200万1/1.8” CMOS智能人脸日夜半球型网络摄像机</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支持三种智能资源切换：人脸抓拍（默认）、道路监控、Smart事件</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人脸抓拍：支持对运动人脸进行检测、跟踪、抓拍、评分、筛选，输出最优的人脸抓图。</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抓图分辨率：分辨率：1920x1080</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背景大图图片字符叠加功能：支持设备编号、抓拍时间、监测点信息</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抓拍次数：支持抓拍次数（1-10次）可设</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人脸曝光支持</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宽动态：超宽动态范围达120dB，室内逆光环境下监控</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道路监控：支持车辆检测：车牌抓拍，车辆颜色、类型，机非人识别</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Smart事件：支持越界侦测,区域入侵侦测,进入/离开区域侦测,徘徊侦测,人员聚集侦测,快速运动侦测,停车侦测,物品遗留/拿取侦测</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最低照度:彩色:0.002 Lux @(F1.2,AGC ON)；黑白:0.0002Lux @(F1.2,AGC ON)</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▲具有不小于1/1.8""靶面尺寸。（公安部检验报告证明）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▲内置GPU芯片。（公安部检验报告证明）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内置一体化高速电动变焦，自动跟随聚焦镜头，变焦同时快速完成聚焦，变焦过程画面不能完全虚焦。</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支持检出两眼瞳距40像素点以上的人脸图片。</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支持单场景同时检出不少于30张人脸图片，并支持面部跟踪。</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人脸检出率不小于99%。</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支持人脸区域自动曝光功能，可根据外部不同场景和光照变化自动调节人脸区域曝光参数。</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2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筒型摄像机</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海康威视/大华/英飞拓</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200万星光级1/1.8” CMOS智能人脸日夜型筒型网络摄像机</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支持三种智能资源切换：人脸抓拍（默认）、道路监控、Smart事件</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人脸抓拍：支持对运动人脸进行检测、跟踪、抓拍、评分、筛选，输出最优的人脸抓图。</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抓图分辨率：分辨率：1920x1080</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背景大图图片字符叠加功能：支持设备编号、抓拍时间、监测点信息</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抓拍次数：支持抓拍次数（1-10次）可设</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人脸曝光支持</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宽动态：超宽动态范围达120dB，室内逆光环境下监控</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道路监控：支持车辆检测：车牌抓拍，车辆颜色、类型，机非人识别</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Smart事件：支持越界侦测,区域入侵侦测,进入/离开区域侦测,徘徊侦测,人员聚集侦测,快速运动侦测,停车侦测,物品遗留/拿取侦测</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▲具有不小于1/1.8""靶面尺寸。（公安部检验报告证明）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▲内置GPU芯片。（公安部检验报告证明）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内置一体化高速电动变焦，自动跟随聚焦镜头，变焦同时快速完成聚焦，变焦过程画面不能完全虚焦。</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需具有22路取流路数能力，以满足更多用户同时在线访问摄像机视频。</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最低照度彩色：0.0003 lx，黑白:0.0001 lx，灰度等级不小于11级。</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支持检出两眼瞳距40像素点以上的人脸图片。</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支持单场景同时检出不少于30张人脸图片，并支持面部跟踪。（公安部检验报告证明）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人脸检出率不小于99%。</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支持人脸区域自动曝光功能，可根据外部不同场景和光照变化自动调节人脸区域曝光参数。</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需支持车辆捕获功能。（白天和晚上的捕获率均大于99%）</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需支持车牌识别功能。（白天和晚上的识别率均大于99%）</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可识别10种车型，包括轿车、小型轿车、微型轿车、客车、中型客车、面包车、大货车、小货车、SUV-MPV、皮卡。</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车型识别白天准确率大于99%，晚上准确率大95%。</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▲支持捕获、识别新能源汽车专用号牌。（公安部检验报告证明）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需支持16行字符显示，字体颜色可设置，需具有图片叠加到视频画面功能。</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可通过DAV文件或ZIP压缩包进行升级。</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支持录像搜索功能，可按时间进行录像查询，并可将录像类型通过不同颜色在时间轴上进行显示。</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支持录像回放功能，回放录像时可设置播放时间，并可实现抓图、剪辑、电子放大和下载录像功能。</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3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硬盘录像机</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海康威视/大华/英飞拓</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1.5U标准机架式IP存储/嵌入式处理器/嵌入式软硬件设计/16路/256M接入/256M转发/4盘位/关键视频添加标签和加锁保护/断网续传/SMART 2.0/2个千兆以太网口</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4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支架</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壁装或抱杆支架，根据需要选择合适长度，采用热镀锌支架或不锈钢支架</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套</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5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辅材费用</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电源、线缆等安装所需的一切辅材</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6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设备安装调试</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设备安装、中心平台接入及联网调试，以及安全文明施工、环保措施等</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7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人脸执法记录仪</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海康威视/科达/警翼</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支持人脸识别智能功能；</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执法记录仪外形尺寸（背夹、外接设备除外）应小于或等于95*59*25mm（长×宽×高）；</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执法记录仪应具有夜视功能，在开启夜视功能后，有效拍摄距离应满足说明书的要求，且不低于3m，有效拍摄距离处应能看清人物面部特征，具有红外补光功能的设备，红外补光范围3m处应覆盖摄录画面70%以上面积；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执法记录仪可通过无线通信方式以文件或流的形式传输数据，设备需内置无线传输模块；执法记录仪可接收卫星数据并提供定位信息，应优先使用北斗卫星导航定位，设备需内置北斗和GPS模块；（公安部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执法记录仪采用内置可更换电池供电，在更换一次电池条件下，存储的信息未丢失。</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▲视频文件大小检查：样机分辨率为1080P，码率为2Mbps，连续录像1小时，录像文件≤1GB；样机分辨率为720p，码率为1Mbps，连续录像1小时，录像文件≤500MB。（公安部检验报告证明）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执法记录仪可进行常见的文本格式浏览，包括但不限于txt、doc或pdf等格式；</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执法记录仪可连接对讲机，为对讲机提供拾音器和扬声器；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▲执法记录仪的视频的生产厂声明的几何失真率：15.1%（1920*1080）；14.7%(1280*720)（公安部检验报告证明）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▲执法记录仪摄像头的水平视场角在生产厂声明的所有分辨率下均应大于等于105°；（公安部检验报告证明）</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75</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8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人脸分析单元</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海康威视/大华/旷视</w:t>
            </w:r>
          </w:p>
        </w:tc>
        <w:tc>
          <w:tcPr>
            <w:tcW w:w="5834" w:type="dxa"/>
            <w:noWrap w:val="0"/>
            <w:vAlign w:val="top"/>
          </w:tcPr>
          <w:p>
            <w:pPr>
              <w:widowControl/>
              <w:autoSpaceDE/>
              <w:autoSpaceDN/>
              <w:adjustRightInd/>
              <w:spacing w:after="240" w:afterLines="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4U机架式设备，采用模块化、可插拔设计，具有1+1冗余电源；</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8个千兆自适应网络接口，4个VGA接口，8个USB 3.0接口和4个USB 2.0接口；</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两块智能分析版，每块智能分析版集成20颗GPU芯片；</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4颗高性能Intel E5-2600系列 CPU，144G DDR3内存，5个480GB SSD硬盘，7个4TB企业级硬盘；</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支持200张每秒人脸图片分析和建模；</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支持1600W像素人脸图片导入识别；</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支持识别和分析瞳距大于等于40像素的人脸图片；</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支持30万库容的黑名单库；</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黑名单库数量应支持设置16个；</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支持性别、年龄段、是否戴眼镜识别；</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支持1V1比对功能；每台200张/S分析性能，600路人脸，按照每路1张/秒抓拍数计算，共需要3台。集成了图片云存储以及大数据服务器，单台可以存储3000W张图片，5亿人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支持识别人脸是否戴眼镜，人脸戴眼镜检出率不低于99%，戴眼镜识别准确率不低于99%，支持识别人脸是否微笑，微笑识别检出率不低于99%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识别人脸是否高危人群，人脸是否高危人群检出率不低于99%，支持识别人脸是否戴眼镜，人脸戴眼镜检出率不低于99%，戴眼镜识别准确率不低于99%，支持识别人脸是否微笑，微笑识别检出率不低于99%（公安部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▲5000万人脸库以脸搜脸检索响应速度不超过3秒，以脸搜脸首位命中率不低于95%，以脸搜脸前10位命中率不低于99%，以脸搜前50位命中率不低于99.99%；（公安部检验报告证明）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▲支持按照性别、年龄段、是否戴眼镜、是否微笑、是否高危人群、点位信息、抓拍时间对历史抓拍人脸图片进行检索与导出，支持导入两张人脸图片进行一对一比对，输出比对相似度（公安部检验报告证明）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支持按照时间、名称查看检索运行、报警、操作日志，支持日志以文档形式一键导出；</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支持NTP校时服务器配置，并支持手动校时；</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支持网络参数配置功能；</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支持在特定条件下，设备对抓拍的人脸图片进行分析，将分析后的结果与关联的黑名单库进行比较，比对成功时触发报警，并产生报警提示；</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支持单张或批量导入/导出黑名单图片及信息；</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支持对黑名单图片、姓名、性别、省份、城市、身份证号码、起止生日、截止生日、自定义标签4个、报警相似度阈值、报警时间、黑名单库选择进行编辑；</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支持按照姓名、性别、省份、城市、身份证号、起始生日、截止生日查询黑名单库中人脸图片；</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支持黑名单库容量不低于100万；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支持黑名单报警历史信息查询；</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支持报警界面同时显示黑名单图片信息与报警图片结构化信息；</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支持黑名单报警历史信息导出；</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支持添加、删除、修改用户名、密码、用户描述；</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支持用户首次登陆密码更改；</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支持查看设备版本信息、芯片实时使用率；</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支持对校验后的升级文件进行软件升级；</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支持一键恢复默认出厂设置； </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9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接入服务器</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海康威视/大华/DELL</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E5-2620 V4(8核2.1GHz)×2/16GB DDR4×2 /1TB SATA×2/SAS_HBA/DVD/1GbE×4/冗电/导轨/2U  1、电源：高效能550W铂金1+1 冗余电源；2、电源电压 200-240V/50Hz；</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10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云存储节点</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海康威视/大华/英飞拓</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4U 60盘位/冗余电源/SAS硬盘/每控制器配置：两颗CPU(64位多核处理器)，8GB缓存（可扩展到512GB)，4口千兆/768路2M录像+回放/视频、smart、视频文件直存/网络协议："RTSP/ONVIF/PSIA/GB/T28181"/RAID0、1、3、5、6、10、50、JBOD、Hot-Spare</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▲双控制器结构，每个控制器配置：≥2颗64位多核处理器，≥8GB内存，内存支持扩展到≥256GB，≥4个千兆网口，可扩展至12个千兆网口；（以公安部检测报告为准）</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提供RAID0、1、3、4、5、6、7、10、50，60、JBOD、RAIDErasingCode、Raid5EE模式，支持全局、局部等多种热备选择，支持坏盘自动重构；</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应能对视音频、图片及智能分析录像的混合直存，节省存储服务器和图片服务器； </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应能接入并存储2048Mbps视频图像，同时转发2048Mbps的视频图像；同时回放512Mbps的视频图像；</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应能支持不低于600MBps的图片并发输入，同时不低于600MBps图片并发输出</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应能支持RAID误操作恢复，当RAID组中某块硬盘被误拔掉之后，60分钟内再插回，该硬盘能恢复到原RAID组中，系统自动恢复工作，而且会对拔掉的硬盘进行增量数据恢复</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应能支持报警预录功能，可预录报警触发前1-40分钟视频</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实时流检测，丢帧5秒以上则报警，可接入鱼眼、双目等摄像机和全景自拼接摄像机（鹰眼摄像机）的图像以多画面分割方式显示。存储设备组建网络RAID，允许每组RAID中任意1-4个磁盘发生故障，数据不丢失，存储服务不中断；（以公安部检测报告为准）</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支持智能CPU调频。</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可按照事件名称查询所有相关联的不同前端或时间的录像段并进行回放和下载，可通过IE浏览器分别查询样机及每个通道的最早录像时间点，启用短信网关报警功能后，可向添加的手机号码发送电源异常、系统卡容量不足、存储空间异常等报警信息，报警种类可设，支持不同类型数据分层存储到云存储系统的不同介质中：支持热数据以高速SSD为介质进行存储，温数据以SATA/SAS为介质进行存储，冷数据以磁带为介质进行存储。（以公安部检测报告为准）</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管理节点支持单机、HA主备、集群3种工作模式，管理节点支持2N+1个节点构成的All-Active集群方式，最大可支持9个节点，管理节点和存储节点都为对等工作模式对外提供服务，支持元数据（管理节点）最多10个副本。</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云内所有节点根据设备可用容量、设备负载情况、设备内RAID组间、设备接入任务数以及设备读写性能等自动负载均衡，系统定期自动进行均衡负载，自动进行系统资源分配；具有存储节点和硬盘级的双层负载均衡，支持云存储回放的负载均衡，可根据设备的压力（CPU\内存\系统压力等），负载均衡由不同存储节点提供视频回放能力（以公安部检测报告为准）</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支持通过对指定时间段内指定录像类型（包含定时录像、事件录像、手动录像、移动侦测等多种录像类型）进行锁定，锁定时间自定义，在锁定时间内，视频不会被覆盖删除。</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▲支持图片数据在SSD盘中存储，实现热数据从SSD中高速提取，实现图片即存即取，且图片数据可设置按周期或容量进行覆盖（以公安部检测报告为准）</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支持将指定的设备创建为指定的存储空间</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套</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11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硬盘</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西数/希捷/日立</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6TB/128MB（12GB/秒 NCQ）/7200RPM/SAS  3.5HDD</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个</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250</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12 </w:t>
            </w:r>
          </w:p>
        </w:tc>
        <w:tc>
          <w:tcPr>
            <w:tcW w:w="638"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流媒体转发服务器</w:t>
            </w:r>
          </w:p>
        </w:tc>
        <w:tc>
          <w:tcPr>
            <w:tcW w:w="84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浪潮/DELL/海康威视</w:t>
            </w:r>
          </w:p>
        </w:tc>
        <w:tc>
          <w:tcPr>
            <w:tcW w:w="5834" w:type="dxa"/>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1U机架式，配2颗英特尔至强E5-2620V3处理器，内存64G或以上，存储SATA 3.5英寸1T*4，集成双千兆网口，支持Windows2012R2操作系统</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整机五年维保</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63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566" w:type="dxa"/>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★其中在设备名称栏标注【核心产品】的设备为本次招标的核心产品。</w:t>
      </w:r>
    </w:p>
    <w:p>
      <w:pPr>
        <w:pStyle w:val="6"/>
        <w:numPr>
          <w:ilvl w:val="2"/>
          <w:numId w:val="6"/>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重点区域交通秩序管理-安保场站点位</w:t>
      </w: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771"/>
        <w:gridCol w:w="2082"/>
        <w:gridCol w:w="1035"/>
        <w:gridCol w:w="553"/>
        <w:gridCol w:w="772"/>
        <w:gridCol w:w="772"/>
        <w:gridCol w:w="773"/>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blHeader/>
        </w:trPr>
        <w:tc>
          <w:tcPr>
            <w:tcW w:w="77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77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安保区域</w:t>
            </w:r>
          </w:p>
        </w:tc>
        <w:tc>
          <w:tcPr>
            <w:tcW w:w="2082"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监控点位</w:t>
            </w:r>
          </w:p>
        </w:tc>
        <w:tc>
          <w:tcPr>
            <w:tcW w:w="103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产品类别</w:t>
            </w:r>
          </w:p>
        </w:tc>
        <w:tc>
          <w:tcPr>
            <w:tcW w:w="2870"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安装方式</w:t>
            </w:r>
          </w:p>
        </w:tc>
        <w:tc>
          <w:tcPr>
            <w:tcW w:w="76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blHeader/>
        </w:trPr>
        <w:tc>
          <w:tcPr>
            <w:tcW w:w="77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08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55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低位立杆</w:t>
            </w:r>
          </w:p>
        </w:tc>
        <w:tc>
          <w:tcPr>
            <w:tcW w:w="772"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基础立杆</w:t>
            </w:r>
          </w:p>
        </w:tc>
        <w:tc>
          <w:tcPr>
            <w:tcW w:w="772"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支架安装</w:t>
            </w:r>
          </w:p>
        </w:tc>
        <w:tc>
          <w:tcPr>
            <w:tcW w:w="7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设备箱</w:t>
            </w:r>
          </w:p>
        </w:tc>
        <w:tc>
          <w:tcPr>
            <w:tcW w:w="7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枫桥镇政府区域</w:t>
            </w: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ZZF-01义安路绍大线入口</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ZZF-02海魄路电力120线1号杆</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ZZF-03原治安监控杆</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ZZF-04义安路电力杆53号</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ZZF-04义安路电力杆55号</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ZZF-05天洋路镇镇府北面</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ZZF-06兴业路剑灵机械厂门口</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ZZF-07义安路世佳纺织厂门口</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ZZF-08天洋路豪世达保温公司门口</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ZZF-09兴业路齐鲤机械门口</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ZZF-10天洋路与尚仪路西面</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ZZF-11义安路与天洋路西面</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孝义路老街区域</w:t>
            </w: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LJ-01孝义路绍大线入口</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全局人脸摄像机</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LJ-02孝义路开尔大厦对面灯杆</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LJ-03海角路开尔制衣门口左侧</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LJ-04海角路开尔制衣门口右侧</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LJ-05绍大线开尔大厦旁边</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LJ-06海角路弟兄农产品门口</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LJ-07枫江家园南面</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LJ-08桥上街海港超市门口</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LJ-09孝义路桥东面左侧</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LJ-10孝义路桥东面右侧</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LJ-11孝义路桥西朝路面</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LJ-12孝义路桥西沿江</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767"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LJ-13永安家园东侧路面</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全局人脸摄像机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枫源村区域</w:t>
            </w: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FY-01枫谷线035乡道入口</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FY-02 035乡道电力杆</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FY-03 035乡道电力杆</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FY-04 035乡道电力杆</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FY-05 035乡道电力杆</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FY-06枫源村035乡道</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FY-07枫源村035乡道</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FY-08枫源村035乡道</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FY-09电力杆5号朝东</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vMerge w:val="restar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vMerge w:val="restar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FY-10电力杆5号朝南</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767"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FY-11电力杆57号朝东</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vMerge w:val="restar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vMerge w:val="restar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FY-12电力杆57号朝西</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767"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FY-13服务中心楼顶广角球机东面</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vMerge w:val="restar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FY-14服务中心楼顶广角球机南面</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FY-15服务中心楼顶广角球机西北角</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FY-16枫源村进村道路</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67" w:type="dxa"/>
            <w:tcBorders>
              <w:top w:val="nil"/>
              <w:left w:val="nil"/>
              <w:bottom w:val="single" w:color="auto" w:sz="4" w:space="0"/>
              <w:right w:val="single" w:color="auto" w:sz="4" w:space="0"/>
            </w:tcBorders>
            <w:shd w:val="clear" w:color="000000" w:fill="FFFFFF"/>
            <w:noWrap w:val="0"/>
            <w:vAlign w:val="top"/>
          </w:tcPr>
          <w:p>
            <w:pPr>
              <w:widowControl/>
              <w:autoSpaceDE/>
              <w:autoSpaceDN/>
              <w:adjustRightInd/>
              <w:jc w:val="left"/>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FY-17枫源村道路朝北</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FY-18枫源村村东方向</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FY-19枫源村进村道路</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FY-20枫源村河道北面道路</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FY-21枫源村进村道路</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FY-22枫源村东面道地旁电力杆</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FY-23枫源村南面鱼塘旁2号电力杆</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FY-24大沙滩桥头东面</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1" w:type="dxa"/>
            <w:vMerge w:val="restar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陈家村区域</w:t>
            </w: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CJ-01绍大线枫山县红绿灯杆</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全局人脸摄像机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CJ-02新跃路电力杆</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CJ-03陈家村陈家东路道路</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CJ-04老莲路陈家东路路口</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CJ-05老莲路陈家村方向</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全局人脸摄像机</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1"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CJ-06陈家村村委旁</w:t>
            </w:r>
          </w:p>
        </w:tc>
        <w:tc>
          <w:tcPr>
            <w:tcW w:w="103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CJ-07枫山线长道地旁</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全局人脸摄像机</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CJ-08陈家村陈家东路道路</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CJ-09陈家村陈家东路道路</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CJ-10老莲路楼家路口</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1" w:type="dxa"/>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7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208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CJ-11枫山线北面电警杆</w:t>
            </w:r>
          </w:p>
        </w:tc>
        <w:tc>
          <w:tcPr>
            <w:tcW w:w="1035"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人脸摄像机</w:t>
            </w:r>
          </w:p>
        </w:tc>
        <w:tc>
          <w:tcPr>
            <w:tcW w:w="55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772"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73" w:type="dxa"/>
            <w:tcBorders>
              <w:top w:val="nil"/>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9" w:type="dxa"/>
            <w:gridSpan w:val="4"/>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汇   总</w:t>
            </w:r>
          </w:p>
        </w:tc>
        <w:tc>
          <w:tcPr>
            <w:tcW w:w="55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772"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w:t>
            </w:r>
          </w:p>
        </w:tc>
        <w:tc>
          <w:tcPr>
            <w:tcW w:w="773"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w:t>
            </w:r>
          </w:p>
        </w:tc>
        <w:tc>
          <w:tcPr>
            <w:tcW w:w="767"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bl>
    <w:p>
      <w:pPr>
        <w:rPr>
          <w:rFonts w:hint="default" w:ascii="Times New Roman" w:hAnsi="Times New Roman" w:eastAsia="宋体" w:cs="Times New Roman"/>
          <w:color w:val="auto"/>
          <w:highlight w:val="none"/>
        </w:rPr>
      </w:pPr>
    </w:p>
    <w:p>
      <w:pPr>
        <w:pStyle w:val="2"/>
        <w:rPr>
          <w:rFonts w:hint="default"/>
        </w:rPr>
      </w:pPr>
    </w:p>
    <w:p>
      <w:pPr>
        <w:pStyle w:val="6"/>
        <w:numPr>
          <w:ilvl w:val="2"/>
          <w:numId w:val="6"/>
        </w:numPr>
        <w:spacing w:line="24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重点区域交通秩序管理-安保线路点位</w:t>
      </w: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1100"/>
        <w:gridCol w:w="1885"/>
        <w:gridCol w:w="916"/>
        <w:gridCol w:w="1100"/>
        <w:gridCol w:w="1100"/>
        <w:gridCol w:w="879"/>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trPr>
        <w:tc>
          <w:tcPr>
            <w:tcW w:w="658"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100"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安保区域</w:t>
            </w:r>
          </w:p>
        </w:tc>
        <w:tc>
          <w:tcPr>
            <w:tcW w:w="1885"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监控点位</w:t>
            </w:r>
          </w:p>
        </w:tc>
        <w:tc>
          <w:tcPr>
            <w:tcW w:w="916"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产品类别</w:t>
            </w:r>
          </w:p>
        </w:tc>
        <w:tc>
          <w:tcPr>
            <w:tcW w:w="2200" w:type="dxa"/>
            <w:gridSpan w:val="2"/>
            <w:tcBorders>
              <w:top w:val="single" w:color="auto" w:sz="4" w:space="0"/>
              <w:left w:val="nil"/>
              <w:bottom w:val="single" w:color="auto" w:sz="4" w:space="0"/>
              <w:right w:val="single" w:color="000000"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安装方式</w:t>
            </w:r>
          </w:p>
        </w:tc>
        <w:tc>
          <w:tcPr>
            <w:tcW w:w="879"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设备箱</w:t>
            </w:r>
          </w:p>
        </w:tc>
        <w:tc>
          <w:tcPr>
            <w:tcW w:w="658"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110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1885"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916"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110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基础立杆</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支架安装</w:t>
            </w:r>
          </w:p>
        </w:tc>
        <w:tc>
          <w:tcPr>
            <w:tcW w:w="87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65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00" w:type="dxa"/>
            <w:vMerge w:val="restart"/>
            <w:tcBorders>
              <w:top w:val="nil"/>
              <w:left w:val="single" w:color="auto" w:sz="4" w:space="0"/>
              <w:bottom w:val="nil"/>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绍大线古博岭安保线路</w:t>
            </w:r>
          </w:p>
        </w:tc>
        <w:tc>
          <w:tcPr>
            <w:tcW w:w="188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GBL-古博岭诸暨入口球机</w:t>
            </w:r>
          </w:p>
        </w:tc>
        <w:tc>
          <w:tcPr>
            <w:tcW w:w="91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1100" w:type="dxa"/>
            <w:tcBorders>
              <w:top w:val="nil"/>
              <w:left w:val="nil"/>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1100"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879"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100" w:type="dxa"/>
            <w:vMerge w:val="continue"/>
            <w:tcBorders>
              <w:top w:val="nil"/>
              <w:left w:val="single" w:color="auto" w:sz="4" w:space="0"/>
              <w:bottom w:val="nil"/>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188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GBL-绍大线22号路碑旁</w:t>
            </w:r>
          </w:p>
        </w:tc>
        <w:tc>
          <w:tcPr>
            <w:tcW w:w="91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1100" w:type="dxa"/>
            <w:tcBorders>
              <w:top w:val="nil"/>
              <w:left w:val="nil"/>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00"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879"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100" w:type="dxa"/>
            <w:vMerge w:val="continue"/>
            <w:tcBorders>
              <w:top w:val="nil"/>
              <w:left w:val="single" w:color="auto" w:sz="4" w:space="0"/>
              <w:bottom w:val="nil"/>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188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GBL-绍大线尚义坞吴勇门口</w:t>
            </w:r>
          </w:p>
        </w:tc>
        <w:tc>
          <w:tcPr>
            <w:tcW w:w="91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1100" w:type="dxa"/>
            <w:tcBorders>
              <w:top w:val="nil"/>
              <w:left w:val="nil"/>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00"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879"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100" w:type="dxa"/>
            <w:vMerge w:val="continue"/>
            <w:tcBorders>
              <w:top w:val="nil"/>
              <w:left w:val="single" w:color="auto" w:sz="4" w:space="0"/>
              <w:bottom w:val="nil"/>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188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GBL-绍大线杨坞村村口</w:t>
            </w:r>
          </w:p>
        </w:tc>
        <w:tc>
          <w:tcPr>
            <w:tcW w:w="91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1100" w:type="dxa"/>
            <w:tcBorders>
              <w:top w:val="nil"/>
              <w:left w:val="nil"/>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00"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879"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100" w:type="dxa"/>
            <w:vMerge w:val="continue"/>
            <w:tcBorders>
              <w:top w:val="nil"/>
              <w:left w:val="single" w:color="auto" w:sz="4" w:space="0"/>
              <w:bottom w:val="nil"/>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188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GBL-绍大线甘山坞公交站台旁</w:t>
            </w:r>
          </w:p>
        </w:tc>
        <w:tc>
          <w:tcPr>
            <w:tcW w:w="91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1100" w:type="dxa"/>
            <w:tcBorders>
              <w:top w:val="nil"/>
              <w:left w:val="nil"/>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00"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879"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100" w:type="dxa"/>
            <w:vMerge w:val="continue"/>
            <w:tcBorders>
              <w:top w:val="nil"/>
              <w:left w:val="single" w:color="auto" w:sz="4" w:space="0"/>
              <w:bottom w:val="nil"/>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188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GBL-绍大线新杨村村口</w:t>
            </w:r>
          </w:p>
        </w:tc>
        <w:tc>
          <w:tcPr>
            <w:tcW w:w="91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1100" w:type="dxa"/>
            <w:tcBorders>
              <w:top w:val="nil"/>
              <w:left w:val="nil"/>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00"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879"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100" w:type="dxa"/>
            <w:vMerge w:val="continue"/>
            <w:tcBorders>
              <w:top w:val="nil"/>
              <w:left w:val="single" w:color="auto" w:sz="4" w:space="0"/>
              <w:bottom w:val="nil"/>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188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GBL-绍大线外东坞卡口杆</w:t>
            </w:r>
          </w:p>
        </w:tc>
        <w:tc>
          <w:tcPr>
            <w:tcW w:w="91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1100" w:type="dxa"/>
            <w:tcBorders>
              <w:top w:val="nil"/>
              <w:left w:val="nil"/>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1100"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879"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100" w:type="dxa"/>
            <w:vMerge w:val="continue"/>
            <w:tcBorders>
              <w:top w:val="nil"/>
              <w:left w:val="single" w:color="auto" w:sz="4" w:space="0"/>
              <w:bottom w:val="nil"/>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188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GBL-绍大线外东坞干溪桥旁</w:t>
            </w:r>
          </w:p>
        </w:tc>
        <w:tc>
          <w:tcPr>
            <w:tcW w:w="91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1100" w:type="dxa"/>
            <w:tcBorders>
              <w:top w:val="nil"/>
              <w:left w:val="nil"/>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00"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879"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100" w:type="dxa"/>
            <w:vMerge w:val="continue"/>
            <w:tcBorders>
              <w:top w:val="nil"/>
              <w:left w:val="single" w:color="auto" w:sz="4" w:space="0"/>
              <w:bottom w:val="nil"/>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188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GBL-绍大线旺庙测速卡口杆</w:t>
            </w:r>
          </w:p>
        </w:tc>
        <w:tc>
          <w:tcPr>
            <w:tcW w:w="91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1100" w:type="dxa"/>
            <w:tcBorders>
              <w:top w:val="nil"/>
              <w:left w:val="nil"/>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1100"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879"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100" w:type="dxa"/>
            <w:vMerge w:val="continue"/>
            <w:tcBorders>
              <w:top w:val="nil"/>
              <w:left w:val="single" w:color="auto" w:sz="4" w:space="0"/>
              <w:bottom w:val="nil"/>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188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GBL-绍大线鼎植纺织厂门口</w:t>
            </w:r>
          </w:p>
        </w:tc>
        <w:tc>
          <w:tcPr>
            <w:tcW w:w="91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1100" w:type="dxa"/>
            <w:tcBorders>
              <w:top w:val="nil"/>
              <w:left w:val="nil"/>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00"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879"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100" w:type="dxa"/>
            <w:vMerge w:val="continue"/>
            <w:tcBorders>
              <w:top w:val="nil"/>
              <w:left w:val="single" w:color="auto" w:sz="4" w:space="0"/>
              <w:bottom w:val="nil"/>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188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GBL-绍大线东一中化加油站门口</w:t>
            </w:r>
          </w:p>
        </w:tc>
        <w:tc>
          <w:tcPr>
            <w:tcW w:w="91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1100" w:type="dxa"/>
            <w:tcBorders>
              <w:top w:val="nil"/>
              <w:left w:val="nil"/>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00"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879"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100" w:type="dxa"/>
            <w:vMerge w:val="continue"/>
            <w:tcBorders>
              <w:top w:val="nil"/>
              <w:left w:val="single" w:color="auto" w:sz="4" w:space="0"/>
              <w:bottom w:val="nil"/>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c>
          <w:tcPr>
            <w:tcW w:w="188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GBL-绍大线何字门口</w:t>
            </w:r>
          </w:p>
        </w:tc>
        <w:tc>
          <w:tcPr>
            <w:tcW w:w="916"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星光球</w:t>
            </w:r>
          </w:p>
        </w:tc>
        <w:tc>
          <w:tcPr>
            <w:tcW w:w="1100" w:type="dxa"/>
            <w:tcBorders>
              <w:top w:val="nil"/>
              <w:left w:val="nil"/>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00"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c>
          <w:tcPr>
            <w:tcW w:w="879" w:type="dxa"/>
            <w:tcBorders>
              <w:top w:val="nil"/>
              <w:left w:val="single" w:color="auto" w:sz="4" w:space="0"/>
              <w:bottom w:val="single" w:color="auto" w:sz="4" w:space="0"/>
              <w:right w:val="nil"/>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5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59" w:type="dxa"/>
            <w:gridSpan w:val="4"/>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汇   总</w:t>
            </w:r>
          </w:p>
        </w:tc>
        <w:tc>
          <w:tcPr>
            <w:tcW w:w="110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10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879"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658"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bl>
    <w:p>
      <w:pPr>
        <w:spacing w:line="360" w:lineRule="auto"/>
        <w:rPr>
          <w:rFonts w:hint="default" w:ascii="Times New Roman" w:hAnsi="Times New Roman" w:eastAsia="宋体" w:cs="Times New Roman"/>
          <w:color w:val="auto"/>
          <w:highlight w:val="none"/>
        </w:rPr>
      </w:pPr>
    </w:p>
    <w:p>
      <w:pPr>
        <w:pStyle w:val="6"/>
        <w:numPr>
          <w:ilvl w:val="0"/>
          <w:numId w:val="0"/>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2、反向抓拍系统增补需求</w:t>
      </w:r>
    </w:p>
    <w:p>
      <w:pPr>
        <w:pStyle w:val="6"/>
        <w:numPr>
          <w:ilvl w:val="2"/>
          <w:numId w:val="7"/>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总体需求</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本次建设主要针对诸暨市主要交通干道加装反向抓拍系统，主要包括S103省道、十店线、诸安线、S103东复线、绍大线、双金线、诸东线等主干道现有电子警察系统，加装反向抓拍单元。</w:t>
      </w:r>
    </w:p>
    <w:p>
      <w:pPr>
        <w:pStyle w:val="6"/>
        <w:numPr>
          <w:ilvl w:val="2"/>
          <w:numId w:val="7"/>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详情说明</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诸暨市主要交通干道加装反向抓拍系统要求能无缝接入诸暨市交警大队现有智能交通平台应用系统，接入费用由投标人与原平台厂家自行协商，并计入投标总价内。平台接入包括设备登录、平台管理、视频浏览、录像存储播放、视频解码上墙、设备时钟同步、设备故障自动报警系统接入等。现有中心平台建设厂家负责开放数据接入接口，并向中标供应商提供数据接入接口规则，中标供应商需按照现有中心平台建设厂家提供的数据接口规则,将前端设备的数据推送至中心平台内。前端设备数据接入完成后，中标供应商需负责前端设备及为接入中心平台所设置的一切转递软件的维护，平台建设厂家负责中心平台的维护及数据应用。前端设备数据接入现有智能交通平台应用系统是否完成，将作为本次项目通过验收的重要标准之一。</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次招标包括系统建设过程中涉及的一切费用（包含但不仅限于设备购买，运输，安装，调试，包括电力接入施工费用及质保期内的维护维修费用以及施工涉及的道路开挖等所涉及的市政审批、绿化赔补等费用）由中标单位负责，电力接入申请及申请费用，运行过程中前端设备电费由业主负责。</w:t>
      </w:r>
    </w:p>
    <w:p>
      <w:pPr>
        <w:pStyle w:val="6"/>
        <w:numPr>
          <w:ilvl w:val="2"/>
          <w:numId w:val="7"/>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反向抓拍详细清单</w:t>
      </w:r>
    </w:p>
    <w:tbl>
      <w:tblPr>
        <w:tblStyle w:val="3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
        <w:gridCol w:w="708"/>
        <w:gridCol w:w="851"/>
        <w:gridCol w:w="5468"/>
        <w:gridCol w:w="567"/>
        <w:gridCol w:w="567"/>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708"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设备名称</w:t>
            </w:r>
          </w:p>
        </w:tc>
        <w:tc>
          <w:tcPr>
            <w:tcW w:w="851"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参考品牌</w:t>
            </w:r>
          </w:p>
        </w:tc>
        <w:tc>
          <w:tcPr>
            <w:tcW w:w="5468"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参数</w:t>
            </w:r>
          </w:p>
        </w:tc>
        <w:tc>
          <w:tcPr>
            <w:tcW w:w="567"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567"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数量</w:t>
            </w:r>
          </w:p>
        </w:tc>
        <w:tc>
          <w:tcPr>
            <w:tcW w:w="636"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08"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电警抓拍单元</w:t>
            </w:r>
          </w:p>
        </w:tc>
        <w:tc>
          <w:tcPr>
            <w:tcW w:w="851"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海康威视/浙大中控/宇视</w:t>
            </w:r>
          </w:p>
        </w:tc>
        <w:tc>
          <w:tcPr>
            <w:tcW w:w="5468" w:type="dxa"/>
            <w:tcBorders>
              <w:top w:val="nil"/>
              <w:left w:val="nil"/>
              <w:bottom w:val="single" w:color="auto" w:sz="4" w:space="0"/>
              <w:right w:val="single" w:color="auto" w:sz="4" w:space="0"/>
            </w:tcBorders>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包含高清一体化嵌入式摄像机、高清镜头、室外防护罩、相机内置网络信号防雷器、电源适配器等</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图像传感器：采用1英寸GMOS</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最大图像尺寸：≥4096×2160像素；字符叠加时最大可支持4096×2800</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视频帧率：在1～25fps可调</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视频压缩支持H.265、H.264、M-JPEG</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支持后备箱状态开启识别功能</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支持对污损车牌进行判断和识别，并支持污损车牌还原功能</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支持视场倾斜情况下的车辆号牌识别</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支持异常车牌检测功能，可对故意遮挡及污损车牌进行判断和识别</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可支持视频、线圈、雷达、激光、微波、红外对射、地磁、RFID等车辆检测联动功能</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支持复合式线圈卡口抓拍功能（提供公安部出具的检验报告证明）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在处于拥堵车道，可对强行变道加塞的车辆进行检测捕获，图片模式应符合《GA/T832-2014道路交通安全违法行为图像取证技术规范》的相关规定</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护罩玻璃透光率≥99%</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当网络断开时，可将抓拍图片和录像文件存储于设备SD/TF卡或USB外接存储中，网络恢复时，可继续上传抓拍图片到客户端，并支持图片检索，自动覆盖自动上传功能。存储卡最大可支持256G。</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支持按车道属性设置，判定车辆行驶方向，车辆行驶方向包含：东、西、南、北、东南、西南、东北、西北；可判断来向、去向、左转、右转等</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支持13种车身颜色识别，包括：黑、白、灰、红、绿、蓝、黄、粉、紫、棕、青、金、橙；</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在天气晴朗无雾，号牌无遮挡，无污损的条件进行测试，白天测试时的环境光照度不低于200lx，晚上测试时辅助照明光照度不高于30lx。白天车身颜色识别准确率≥99%;晚上车身颜色识别准确率≥97%;</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▲支持三轮车载人检测功能，并可以统计载人人数，支持摩托车、非机动车未带头盔检测（提供公安部出具的检验报告证明）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▲支持车距违章抓拍功能，当两车距离小于50米，则抓拍后车为违章，支持检测抓拍车辆不按规定使用转向灯违法功能（提供公安部出具的检验报告证明）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▲系统应支持行人方向识别，系统所抓拍的违法图片按要求进行组合，组合的图片能体现行人前进方向，支持非机动车占用机动车道违法抓拍，非机动车闯红灯违法抓拍（提供公安部出具的检验报告证明）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▲支持机动车闯导流鱼腹线违章抓拍，支持车流量检测功能，可以区分车辆是直行还是左转（提供公安部出具的检验报告证明）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▲支持抓拍图片压缩ROI功能，通过编码技术能够有效减小图片大小，压缩比0-100可设置，压缩区域个数1-6可配置。支持车辆抓拍位置到立杆架设距离叠加功能（提供公安部出具的检验报告证明） </w:t>
            </w:r>
          </w:p>
        </w:tc>
        <w:tc>
          <w:tcPr>
            <w:tcW w:w="5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套</w:t>
            </w:r>
          </w:p>
        </w:tc>
        <w:tc>
          <w:tcPr>
            <w:tcW w:w="5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136</w:t>
            </w:r>
          </w:p>
        </w:tc>
        <w:tc>
          <w:tcPr>
            <w:tcW w:w="636"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2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708"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车道补光灯</w:t>
            </w:r>
          </w:p>
        </w:tc>
        <w:tc>
          <w:tcPr>
            <w:tcW w:w="851"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国产</w:t>
            </w:r>
          </w:p>
        </w:tc>
        <w:tc>
          <w:tcPr>
            <w:tcW w:w="5468" w:type="dxa"/>
            <w:tcBorders>
              <w:top w:val="nil"/>
              <w:left w:val="nil"/>
              <w:bottom w:val="single" w:color="auto" w:sz="4" w:space="0"/>
              <w:right w:val="single" w:color="auto" w:sz="4" w:space="0"/>
            </w:tcBorders>
            <w:noWrap w:val="0"/>
            <w:vAlign w:val="bottom"/>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▲设备为 LED 光源频闪方式与气体放电光源脉冲方式相结合的交通技术监控成像补光装置，由光源、金属外壳、基座组成（以公安部型式检验报告证明）；</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色温5000K~7000K；发光角度 10°；</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气体爆闪峰值闪光持续时间1/30ms；</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气体爆闪回电时间 ＜67ms</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气体单次闪光能量 200J；</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气体闪光次数 ＞2000 万次；覆盖范围： 单车道；</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最佳补光距离：16 米～30 米；触发方式：</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电平量触发；</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触发信号电平：4V~6V（高电平有效）。</w:t>
            </w:r>
            <w:r>
              <w:rPr>
                <w:rFonts w:hint="default" w:ascii="Times New Roman" w:hAnsi="Times New Roman" w:eastAsia="宋体" w:cs="Times New Roman"/>
                <w:color w:val="auto"/>
                <w:sz w:val="18"/>
                <w:szCs w:val="18"/>
                <w:highlight w:val="none"/>
              </w:rPr>
              <w:br w:type="textWrapping"/>
            </w:r>
            <w:r>
              <w:rPr>
                <w:rFonts w:hint="default" w:ascii="Times New Roman" w:hAnsi="Times New Roman" w:eastAsia="宋体" w:cs="Times New Roman"/>
                <w:color w:val="auto"/>
                <w:sz w:val="18"/>
                <w:szCs w:val="18"/>
                <w:highlight w:val="none"/>
              </w:rPr>
              <w:t xml:space="preserve">1外壳防护等级应不低于IP65. </w:t>
            </w:r>
          </w:p>
        </w:tc>
        <w:tc>
          <w:tcPr>
            <w:tcW w:w="5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个</w:t>
            </w:r>
          </w:p>
        </w:tc>
        <w:tc>
          <w:tcPr>
            <w:tcW w:w="5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272</w:t>
            </w:r>
          </w:p>
        </w:tc>
        <w:tc>
          <w:tcPr>
            <w:tcW w:w="636"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2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708"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安装所需辅材</w:t>
            </w:r>
          </w:p>
        </w:tc>
        <w:tc>
          <w:tcPr>
            <w:tcW w:w="851"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5468" w:type="dxa"/>
            <w:tcBorders>
              <w:top w:val="nil"/>
              <w:left w:val="nil"/>
              <w:bottom w:val="single" w:color="auto" w:sz="4" w:space="0"/>
              <w:right w:val="single" w:color="auto" w:sz="4" w:space="0"/>
            </w:tcBorders>
            <w:noWrap w:val="0"/>
            <w:vAlign w:val="bottom"/>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加装抓拍设备所需交换机、防雷器、电源线、网线等一切辅材</w:t>
            </w:r>
          </w:p>
        </w:tc>
        <w:tc>
          <w:tcPr>
            <w:tcW w:w="5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w:t>
            </w:r>
          </w:p>
        </w:tc>
        <w:tc>
          <w:tcPr>
            <w:tcW w:w="5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136</w:t>
            </w:r>
          </w:p>
        </w:tc>
        <w:tc>
          <w:tcPr>
            <w:tcW w:w="636"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26"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708"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安装调试</w:t>
            </w:r>
          </w:p>
        </w:tc>
        <w:tc>
          <w:tcPr>
            <w:tcW w:w="851"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5468" w:type="dxa"/>
            <w:tcBorders>
              <w:top w:val="nil"/>
              <w:left w:val="nil"/>
              <w:bottom w:val="single" w:color="auto" w:sz="4" w:space="0"/>
              <w:right w:val="single" w:color="auto" w:sz="4" w:space="0"/>
            </w:tcBorders>
            <w:noWrap w:val="0"/>
            <w:vAlign w:val="bottom"/>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前端设备安装、设备调试等</w:t>
            </w:r>
          </w:p>
        </w:tc>
        <w:tc>
          <w:tcPr>
            <w:tcW w:w="5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w:t>
            </w:r>
          </w:p>
        </w:tc>
        <w:tc>
          <w:tcPr>
            <w:tcW w:w="56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136</w:t>
            </w:r>
          </w:p>
        </w:tc>
        <w:tc>
          <w:tcPr>
            <w:tcW w:w="636"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自助违法处理一体机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5468" w:type="dxa"/>
            <w:tcBorders>
              <w:top w:val="single" w:color="auto" w:sz="4" w:space="0"/>
              <w:left w:val="single" w:color="auto" w:sz="4" w:space="0"/>
              <w:bottom w:val="single" w:color="auto" w:sz="4" w:space="0"/>
              <w:right w:val="single" w:color="auto" w:sz="4" w:space="0"/>
            </w:tcBorders>
            <w:noWrap w:val="0"/>
            <w:vAlign w:val="top"/>
          </w:tcPr>
          <w:p>
            <w:pPr>
              <w:widowControl/>
              <w:autoSpaceDE/>
              <w:autoSpaceDN/>
              <w:adjustRightInd/>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可实现自主违法处理。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套</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
              </w:rPr>
              <w:t>系统集成</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定制</w:t>
            </w:r>
          </w:p>
        </w:tc>
        <w:tc>
          <w:tcPr>
            <w:tcW w:w="546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color w:val="auto"/>
                <w:sz w:val="18"/>
                <w:szCs w:val="18"/>
                <w:highlight w:val="none"/>
              </w:rPr>
            </w:pPr>
            <w:r>
              <w:rPr>
                <w:rFonts w:hint="eastAsia" w:ascii="宋体" w:hAnsi="宋体" w:eastAsia="宋体" w:cs="宋体"/>
                <w:i w:val="0"/>
                <w:color w:val="auto"/>
                <w:kern w:val="0"/>
                <w:sz w:val="20"/>
                <w:szCs w:val="20"/>
                <w:highlight w:val="none"/>
                <w:u w:val="none"/>
                <w:lang w:val="en-US" w:eastAsia="zh-CN" w:bidi="ar"/>
              </w:rPr>
              <w:t>项目集成、平台接入、违章处理软件开发等</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p>
        </w:tc>
      </w:tr>
    </w:tbl>
    <w:p>
      <w:pPr>
        <w:spacing w:line="360" w:lineRule="auto"/>
        <w:rPr>
          <w:rFonts w:hint="default" w:ascii="Times New Roman" w:hAnsi="Times New Roman" w:eastAsia="宋体" w:cs="Times New Roman"/>
          <w:color w:val="auto"/>
          <w:kern w:val="2"/>
          <w:sz w:val="24"/>
          <w:highlight w:val="none"/>
        </w:rPr>
      </w:pPr>
    </w:p>
    <w:p>
      <w:pPr>
        <w:pStyle w:val="6"/>
        <w:numPr>
          <w:ilvl w:val="2"/>
          <w:numId w:val="7"/>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反向抓拍系统点位清单</w:t>
      </w: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297"/>
        <w:gridCol w:w="2880"/>
        <w:gridCol w:w="1273"/>
        <w:gridCol w:w="847"/>
        <w:gridCol w:w="1080"/>
        <w:gridCol w:w="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blHeader/>
        </w:trPr>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路段名称</w:t>
            </w:r>
          </w:p>
        </w:tc>
        <w:tc>
          <w:tcPr>
            <w:tcW w:w="2880"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安装位置</w:t>
            </w:r>
          </w:p>
        </w:tc>
        <w:tc>
          <w:tcPr>
            <w:tcW w:w="1273"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控制车道数</w:t>
            </w:r>
          </w:p>
        </w:tc>
        <w:tc>
          <w:tcPr>
            <w:tcW w:w="847"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抓拍机数量</w:t>
            </w:r>
          </w:p>
        </w:tc>
        <w:tc>
          <w:tcPr>
            <w:tcW w:w="1080"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补光灯数量</w:t>
            </w:r>
          </w:p>
        </w:tc>
        <w:tc>
          <w:tcPr>
            <w:tcW w:w="904" w:type="dxa"/>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29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S103省道</w:t>
            </w: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S103省道105K+500M安华镇上新宅村路段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S103省道安华镇巨峰水泥厂门口路段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单向2车道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S103省道安华镇锦仕达路路口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S103省道安华镇丰江周村路段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S103省道94K+400M牌头镇杨傅村路段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S103省道牌头镇站前路路口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S103省道牌头镇中华村路段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S103省道牌头镇丰足路路口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297"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S103省道88K+700M牌头镇双高村路段</w:t>
            </w:r>
          </w:p>
        </w:tc>
        <w:tc>
          <w:tcPr>
            <w:tcW w:w="1273"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单向2车道</w:t>
            </w:r>
          </w:p>
        </w:tc>
        <w:tc>
          <w:tcPr>
            <w:tcW w:w="847"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080"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904"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S103省道王家井镇十三房村路段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S103省道84K+200M市南线交叉口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双向5车道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S103省道大唐镇开元西路路口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双向6车道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S103省道大唐镇西三环路口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双向5车道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S103省道大唐镇上王村路段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S103省道76K+850M大唐镇马店新村路段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S103省道大唐镇冠山村路段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S103省道大唐镇候村路段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S103省道大唐镇分水岭村路段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S103省道应店街十诸线路口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S103省道67K+700M应店街三应村路段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S103省道应店街十店线路口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S103省道应店街应镇西路路口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S103省道应店街应板西村路段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S103省道次坞镇次坞中队门口路段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S103省道次坞镇次大线路口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129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十店线</w:t>
            </w: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十店线0K+700M应店街留下庄村路段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十店线7K+600M应店街云溪村路段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单向2车道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十店线8K+700M次坞镇巽坞村路段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单向2车道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十店线13K+900M次坞镇次大线路口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十店线次坞镇凰桐村路段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十店线店口镇湄池村路段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129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诸安线</w:t>
            </w: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诸安线王家井镇祝家村路口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w:t>
            </w:r>
          </w:p>
        </w:tc>
        <w:tc>
          <w:tcPr>
            <w:tcW w:w="1297"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诸安线王家井镇关湖村路口</w:t>
            </w:r>
          </w:p>
        </w:tc>
        <w:tc>
          <w:tcPr>
            <w:tcW w:w="1273"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诸安线王家井镇箬山下村路段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诸安线牌头镇诸齐线路口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双向6车道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诸安线牌头镇张虚村路段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诸安线安华镇华南路路口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38</w:t>
            </w:r>
          </w:p>
        </w:tc>
        <w:tc>
          <w:tcPr>
            <w:tcW w:w="129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S103东复线</w:t>
            </w: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S103东复线浦阳路路口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S103东复线孙陈村路口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1297"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S103东复线渔江村路口</w:t>
            </w:r>
          </w:p>
        </w:tc>
        <w:tc>
          <w:tcPr>
            <w:tcW w:w="1273"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S103东复线直埠大桥路口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S103东复线珠宝城支线路口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43</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S103东复线丰江路路口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单向2车道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S103东复线湖中路路口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单向2车道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S103东复线支线诸店线路口-加油站</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S103东复线支线诸店线路口-小岭下</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S103东复线支线枫山线路口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48</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S103东复线支线珠宝路路口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49</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S103东复线支线迎宾路路口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c>
          <w:tcPr>
            <w:tcW w:w="129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绍大线</w:t>
            </w: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绍大线浣东街道上章村路段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绍大线枫桥镇新店湾村路段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绍大线枫桥镇郭店村路段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绍大线枫桥镇枫桥南高速出口路段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绍大线枫桥镇地宝机械门口路段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绍大线枫桥镇枫山线路口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56</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绍大线枫桥镇枫店线路口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绍大线枫桥镇尚仪路路口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绍大线枫桥镇全堂村路口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59</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绍大线枫桥镇旺妙村路口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w:t>
            </w:r>
          </w:p>
        </w:tc>
        <w:tc>
          <w:tcPr>
            <w:tcW w:w="129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双金线</w:t>
            </w: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双金线大唐镇龙潭路路口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61</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双金线大唐镇翁家桥村路口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双金线五泄镇五泄小学路口</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w:t>
            </w:r>
          </w:p>
        </w:tc>
        <w:tc>
          <w:tcPr>
            <w:tcW w:w="129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诸东线</w:t>
            </w: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诸东线原回收公司门口路段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64</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诸东线浬浦镇盘山村路段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诸东线璜山镇杜家坞村路段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66</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诸东线璜山镇流霞畈村路段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诸东线璜山镇大东南厂门口路段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诸东线陈宅镇方家村路段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双向2车道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69</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浬斯线东白湖镇下蔡桥路段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街璜线街亭镇周村路段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71</w:t>
            </w:r>
          </w:p>
        </w:tc>
        <w:tc>
          <w:tcPr>
            <w:tcW w:w="12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p>
        </w:tc>
        <w:tc>
          <w:tcPr>
            <w:tcW w:w="28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街璜线璜山镇五灶村路段</w:t>
            </w:r>
          </w:p>
        </w:tc>
        <w:tc>
          <w:tcPr>
            <w:tcW w:w="1273"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双向4车道</w:t>
            </w:r>
          </w:p>
        </w:tc>
        <w:tc>
          <w:tcPr>
            <w:tcW w:w="847"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04" w:type="dxa"/>
            <w:tcBorders>
              <w:top w:val="nil"/>
              <w:left w:val="nil"/>
              <w:bottom w:val="single" w:color="auto" w:sz="4" w:space="0"/>
              <w:right w:val="single" w:color="auto" w:sz="4" w:space="0"/>
            </w:tcBorders>
            <w:shd w:val="clear" w:color="000000" w:fill="FFFFFF"/>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30" w:type="dxa"/>
            <w:gridSpan w:val="4"/>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合    计</w:t>
            </w:r>
          </w:p>
        </w:tc>
        <w:tc>
          <w:tcPr>
            <w:tcW w:w="847"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136</w:t>
            </w:r>
          </w:p>
        </w:tc>
        <w:tc>
          <w:tcPr>
            <w:tcW w:w="108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272</w:t>
            </w:r>
          </w:p>
        </w:tc>
        <w:tc>
          <w:tcPr>
            <w:tcW w:w="904"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　</w:t>
            </w:r>
          </w:p>
        </w:tc>
      </w:tr>
    </w:tbl>
    <w:p>
      <w:pPr>
        <w:spacing w:line="360" w:lineRule="auto"/>
        <w:rPr>
          <w:rFonts w:hint="default" w:ascii="Times New Roman" w:hAnsi="Times New Roman" w:eastAsia="宋体" w:cs="Times New Roman"/>
          <w:color w:val="auto"/>
          <w:kern w:val="2"/>
          <w:sz w:val="24"/>
          <w:highlight w:val="none"/>
        </w:rPr>
      </w:pPr>
    </w:p>
    <w:p>
      <w:pPr>
        <w:pStyle w:val="6"/>
        <w:numPr>
          <w:ilvl w:val="0"/>
          <w:numId w:val="0"/>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3、诸暨雪亮工程第一期联网工程建设项目系统</w:t>
      </w:r>
    </w:p>
    <w:p>
      <w:pPr>
        <w:pStyle w:val="6"/>
        <w:numPr>
          <w:ilvl w:val="2"/>
          <w:numId w:val="8"/>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建设背景概述</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“雪亮工程”是新形势下维护国家安全和社会稳定、预防和打击暴力恐怖犯罪的重要手段，是常态化、信息化条件下完善社会治安防控体系、深化平安中国建设的重要基础性工程。</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诸暨市的雪亮工程建设响应国家针对社会治理的建设要求，基于诸暨市的公共安全视频监控建设联网初级阶段的现状，重点开展在重点区域、重点部位视频监控资源的联网共享等工作，为实现诸暨市各单位间共建、共治、共享的社会治理工作打下坚实基础。</w:t>
      </w:r>
    </w:p>
    <w:p>
      <w:pPr>
        <w:pStyle w:val="6"/>
        <w:numPr>
          <w:ilvl w:val="2"/>
          <w:numId w:val="8"/>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建设内容</w:t>
      </w:r>
    </w:p>
    <w:p>
      <w:pPr>
        <w:spacing w:line="360" w:lineRule="auto"/>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诸暨雪亮工程建设项目由诸暨政法委牵头、诸暨市公安局落实、各局办单位社会单位配合，完成前期的调研工作，本期重点建设</w:t>
      </w:r>
      <w:bookmarkStart w:id="13" w:name="_Toc484679774"/>
      <w:bookmarkStart w:id="14" w:name="_Toc482041524"/>
      <w:r>
        <w:rPr>
          <w:rFonts w:hint="default" w:ascii="Times New Roman" w:hAnsi="Times New Roman" w:eastAsia="宋体" w:cs="Times New Roman"/>
          <w:color w:val="auto"/>
          <w:sz w:val="24"/>
          <w:szCs w:val="24"/>
          <w:highlight w:val="none"/>
        </w:rPr>
        <w:t>内容为雪亮工程部分政府部门及社会视频监控资源联网工程（联网单位详见清单），搭建视频资源整合平台并通过视频网闸与公安现有视频监控平台实现级联，实现视频资源共享。</w:t>
      </w:r>
    </w:p>
    <w:p>
      <w:pPr>
        <w:pStyle w:val="6"/>
        <w:numPr>
          <w:ilvl w:val="2"/>
          <w:numId w:val="8"/>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系统设计</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整个监控系统按照设备、线路的统一性来建设。</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一是设备的统一性：整个系统前端设备和录像设备采取统一系列兼容产品，保证数字存储设备、数字监控管理服务器和控制服务器的统一性，便于中心统一指挥，共享调用，提高工作效率。</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二是组网的统一性：雪亮工程视频资源联网整合部分，要求被整合资源在政务网的，利用政务网统一接入整合平台，其它的通过运营商专线光缆接入整个平台。 </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本项目按照一级安全防范系统工程设计，根据后期高清视频监控系统建设的需要，提出以下系统建设标准：</w:t>
      </w:r>
    </w:p>
    <w:p>
      <w:pPr>
        <w:pStyle w:val="6"/>
        <w:numPr>
          <w:ilvl w:val="2"/>
          <w:numId w:val="8"/>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系统功能需求</w:t>
      </w:r>
    </w:p>
    <w:p>
      <w:pPr>
        <w:pStyle w:val="123"/>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严格遵循GB/T28181联网标准和编码规则，完成</w:t>
      </w:r>
      <w:r>
        <w:rPr>
          <w:rFonts w:hint="default" w:ascii="Times New Roman" w:hAnsi="Times New Roman" w:eastAsia="宋体" w:cs="Times New Roman"/>
          <w:color w:val="auto"/>
          <w:highlight w:val="none"/>
        </w:rPr>
        <w:t>雪亮工程部分政府部门及社会视频监控资源的联网共享，达到联网视频实时预览、录像回放及下载、经纬度标注、统一授时等基本使用要求，实现视频监控资源的联网共享、共建共用。</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实现车辆卡口日均1200万张的图片结构化处理能力，图片分析最高支持至900万像素；支持多设备集群部署；支持车辆实时建模，服务于IVMS8200平台的以车搜车、特征搜车、目标搜寻、涉牌研判等业务应用。</w:t>
      </w:r>
    </w:p>
    <w:bookmarkEnd w:id="13"/>
    <w:bookmarkEnd w:id="14"/>
    <w:p>
      <w:pPr>
        <w:spacing w:line="360" w:lineRule="auto"/>
        <w:rPr>
          <w:rFonts w:hint="default" w:ascii="Times New Roman" w:hAnsi="Times New Roman" w:eastAsia="宋体" w:cs="Times New Roman"/>
          <w:color w:val="auto"/>
          <w:highlight w:val="none"/>
          <w:lang w:val="zh-CN"/>
        </w:rPr>
      </w:pPr>
    </w:p>
    <w:p>
      <w:pPr>
        <w:pStyle w:val="6"/>
        <w:numPr>
          <w:ilvl w:val="2"/>
          <w:numId w:val="8"/>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主要设备参数要求</w:t>
      </w:r>
    </w:p>
    <w:tbl>
      <w:tblPr>
        <w:tblStyle w:val="3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113"/>
        <w:gridCol w:w="1043"/>
        <w:gridCol w:w="4048"/>
        <w:gridCol w:w="759"/>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trPr>
        <w:tc>
          <w:tcPr>
            <w:tcW w:w="8739" w:type="dxa"/>
            <w:gridSpan w:val="6"/>
            <w:shd w:val="clear" w:color="000000" w:fill="FFFFFF"/>
            <w:noWrap w:val="0"/>
            <w:vAlign w:val="center"/>
          </w:tcPr>
          <w:p>
            <w:pPr>
              <w:widowControl/>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一、诸暨市社会视频联网建设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blHeader/>
        </w:trPr>
        <w:tc>
          <w:tcPr>
            <w:tcW w:w="761" w:type="dxa"/>
            <w:shd w:val="clear" w:color="000000" w:fill="FFFFFF"/>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113" w:type="dxa"/>
            <w:shd w:val="clear" w:color="000000" w:fill="FFFFFF"/>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产品名称</w:t>
            </w:r>
          </w:p>
        </w:tc>
        <w:tc>
          <w:tcPr>
            <w:tcW w:w="1043" w:type="dxa"/>
            <w:shd w:val="clear" w:color="000000" w:fill="FFFFFF"/>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参考品牌</w:t>
            </w:r>
          </w:p>
        </w:tc>
        <w:tc>
          <w:tcPr>
            <w:tcW w:w="4048" w:type="dxa"/>
            <w:shd w:val="clear" w:color="000000" w:fill="FFFFFF"/>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技术要求</w:t>
            </w:r>
          </w:p>
        </w:tc>
        <w:tc>
          <w:tcPr>
            <w:tcW w:w="759" w:type="dxa"/>
            <w:shd w:val="clear" w:color="000000" w:fill="FFFFFF"/>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w:t>
            </w:r>
          </w:p>
        </w:tc>
        <w:tc>
          <w:tcPr>
            <w:tcW w:w="1015" w:type="dxa"/>
            <w:shd w:val="clear" w:color="000000" w:fill="FFFFFF"/>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61" w:type="dxa"/>
            <w:shd w:val="clear" w:color="000000" w:fill="EBF1DE"/>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13" w:type="dxa"/>
            <w:shd w:val="clear" w:color="000000" w:fill="EBF1DE"/>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社会面资源接入网关</w:t>
            </w:r>
          </w:p>
        </w:tc>
        <w:tc>
          <w:tcPr>
            <w:tcW w:w="1043" w:type="dxa"/>
            <w:shd w:val="clear" w:color="000000" w:fill="EBF1DE"/>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4048" w:type="dxa"/>
            <w:shd w:val="clear" w:color="000000" w:fill="EBF1DE"/>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★500路接入能力，预中标公示结束前提供诸暨市公安局接入测试报告，不能提供的作废标处理。</w:t>
            </w:r>
          </w:p>
        </w:tc>
        <w:tc>
          <w:tcPr>
            <w:tcW w:w="759" w:type="dxa"/>
            <w:shd w:val="clear" w:color="000000" w:fill="EBF1DE"/>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15" w:type="dxa"/>
            <w:shd w:val="clear" w:color="000000" w:fill="EBF1DE"/>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61" w:type="dxa"/>
            <w:shd w:val="clear" w:color="000000" w:fill="EBF1DE"/>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113" w:type="dxa"/>
            <w:shd w:val="clear" w:color="000000" w:fill="EBF1DE"/>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社会面资源接入网关</w:t>
            </w:r>
          </w:p>
        </w:tc>
        <w:tc>
          <w:tcPr>
            <w:tcW w:w="1043" w:type="dxa"/>
            <w:shd w:val="clear" w:color="000000" w:fill="EBF1DE"/>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4048" w:type="dxa"/>
            <w:shd w:val="clear" w:color="000000" w:fill="EBF1DE"/>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★200路接入能力，预中标公示结束前提供诸暨市公安局接入测试报告，不能提供的作废标处理。</w:t>
            </w:r>
          </w:p>
        </w:tc>
        <w:tc>
          <w:tcPr>
            <w:tcW w:w="759" w:type="dxa"/>
            <w:shd w:val="clear" w:color="000000" w:fill="EBF1DE"/>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15" w:type="dxa"/>
            <w:shd w:val="clear" w:color="000000" w:fill="EBF1DE"/>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1" w:type="dxa"/>
            <w:shd w:val="clear" w:color="000000" w:fill="EBF1DE"/>
            <w:noWrap w:val="0"/>
            <w:vAlign w:val="center"/>
          </w:tcPr>
          <w:p>
            <w:pPr>
              <w:widowControl/>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3</w:t>
            </w:r>
          </w:p>
        </w:tc>
        <w:tc>
          <w:tcPr>
            <w:tcW w:w="1113" w:type="dxa"/>
            <w:shd w:val="clear" w:color="000000" w:fill="EBF1DE"/>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社会面资源接入网关</w:t>
            </w:r>
          </w:p>
        </w:tc>
        <w:tc>
          <w:tcPr>
            <w:tcW w:w="1043" w:type="dxa"/>
            <w:shd w:val="clear" w:color="000000" w:fill="EBF1DE"/>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4048" w:type="dxa"/>
            <w:shd w:val="clear" w:color="000000" w:fill="EBF1DE"/>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★100路接入能力，预中标公示结束前提供诸暨市公安局接入测试报告，不能提供的作废标处理。</w:t>
            </w:r>
          </w:p>
        </w:tc>
        <w:tc>
          <w:tcPr>
            <w:tcW w:w="759" w:type="dxa"/>
            <w:shd w:val="clear" w:color="000000" w:fill="EBF1DE"/>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15" w:type="dxa"/>
            <w:shd w:val="clear" w:color="000000" w:fill="EBF1DE"/>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1" w:type="dxa"/>
            <w:shd w:val="clear" w:color="000000" w:fill="FFFFFF"/>
            <w:noWrap w:val="0"/>
            <w:vAlign w:val="center"/>
          </w:tcPr>
          <w:p>
            <w:pPr>
              <w:widowControl/>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4</w:t>
            </w:r>
          </w:p>
        </w:tc>
        <w:tc>
          <w:tcPr>
            <w:tcW w:w="111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综治视频监控共享平台软件</w:t>
            </w:r>
          </w:p>
        </w:tc>
        <w:tc>
          <w:tcPr>
            <w:tcW w:w="104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4048" w:type="dxa"/>
            <w:shd w:val="clear" w:color="000000" w:fill="FFFFFF"/>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专业的视频图像信息联网管理平台，支持模块化分布式部署及应用，支持GB/T 28181、DB33/T 629等标准化联网，是多业务应用的全方位管理平台，提供视频接入、应用、管理等服务</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套</w:t>
            </w:r>
          </w:p>
        </w:tc>
        <w:tc>
          <w:tcPr>
            <w:tcW w:w="1015"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61" w:type="dxa"/>
            <w:shd w:val="clear" w:color="000000" w:fill="FFFFFF"/>
            <w:noWrap w:val="0"/>
            <w:vAlign w:val="center"/>
          </w:tcPr>
          <w:p>
            <w:pPr>
              <w:widowControl/>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5</w:t>
            </w:r>
          </w:p>
        </w:tc>
        <w:tc>
          <w:tcPr>
            <w:tcW w:w="111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级联网关</w:t>
            </w:r>
          </w:p>
        </w:tc>
        <w:tc>
          <w:tcPr>
            <w:tcW w:w="104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4048" w:type="dxa"/>
            <w:shd w:val="clear" w:color="000000" w:fill="FFFFFF"/>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定制</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15"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61" w:type="dxa"/>
            <w:shd w:val="clear" w:color="000000" w:fill="FFFFFF"/>
            <w:noWrap w:val="0"/>
            <w:vAlign w:val="center"/>
          </w:tcPr>
          <w:p>
            <w:pPr>
              <w:widowControl/>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6</w:t>
            </w:r>
          </w:p>
        </w:tc>
        <w:tc>
          <w:tcPr>
            <w:tcW w:w="1113"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视频网闸</w:t>
            </w:r>
          </w:p>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【核心产品】</w:t>
            </w:r>
          </w:p>
          <w:p>
            <w:pPr>
              <w:widowControl/>
              <w:jc w:val="center"/>
              <w:rPr>
                <w:rFonts w:hint="default" w:ascii="Times New Roman" w:hAnsi="Times New Roman" w:eastAsia="宋体" w:cs="Times New Roman"/>
                <w:color w:val="auto"/>
                <w:sz w:val="21"/>
                <w:szCs w:val="21"/>
                <w:highlight w:val="none"/>
              </w:rPr>
            </w:pPr>
          </w:p>
        </w:tc>
        <w:tc>
          <w:tcPr>
            <w:tcW w:w="1043"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杭州合众、金电网安</w:t>
            </w:r>
          </w:p>
        </w:tc>
        <w:tc>
          <w:tcPr>
            <w:tcW w:w="4048" w:type="dxa"/>
            <w:shd w:val="clear" w:color="000000" w:fill="FFFFFF"/>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硬件配置及性能要求：</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内网2个万兆SFP+光模块槽，4个10/100/1000M RJ45接口（含一个管理口），1个扩展槽，1个串口，2个USB口；</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外网2个万兆SFP+光模块槽，4个10/100/1000M RJ45接口（含一个HA口），1个扩展槽，1个串口，2个USB口；</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视频吞吐量≥6Gbps，至少支持3000路D1图象（2Mbps）或750路高清（8Mbps）图像</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系统基本架构：</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仲裁机对流经信息进行过滤审计，内外端机为TCP/IP网络协议的终点，阻断TCP/IP协议的直接贯通</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仲裁机与内外端机采用专用硬件和专用协议进行连接，不可编程</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以软硬件结合的方式，有效地隔断内外网络间直接的连接，防止信息无限制交换(提供省级或以上测评机构关于三机三系统安全性的测评报告)</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安全体系结构：</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仲裁审计系统部署在独立于内外端机的仲裁机上，具备主动仲裁功能，通用协议无法通过内外端机直接连接到仲裁机；只能通过仲裁机上的仲裁口对网闸进行配置，避免内外端机由于被黑客入侵，导致隔离网闸被黑客完全控制的现象（提供公安部信息安全产品检测中心关于产品概述页的检测报告加盖原厂公章）</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视频安全隔离功能：</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实现视频网络与信息通信网的网络隔离，切断所有基于网络协议的连接；</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支持多种视频硬件平台，如摄像头、DVR（数字硬盘机）、流媒体服务器、视频服务器等设备；</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支持服务端口控制，对访问视频管理服务器的端口进行控制，其它视频端口默认关闭；</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支持标准SIP协议</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支持RTSP协议</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视频隔离模块：视频分辨率支持D1、VGA、2/3D1、1/2D1、SIF等多种分辨率，具有低延迟、低丢包率等特性</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支持SIP、RTSP代理</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支持SIP、RTSP指令控制</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支持静态通道、流媒体通道配置</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支持通道配额分配</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支持用户分级管理，根据用户的IP将用户分为普通用户和特权用户，为特权用户预留通道，保障特权用户的优先访问</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支持通道流量统计，支持按分钟、小时为单位进行通道流量统计</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支持视频压缩标准：MPEG4、H.264等数字图像编解码标准</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支持信令、视频流通道分离，保证各通道可控</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支持视频流通道单向传输</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支持视频管理服务器数据转发，视频管理服务器通道建立</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支持视频SIP服务器数据转发，SIP管理服务器通道建立</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支持用户接入认证</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支持对象接入认证</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支持视频格式过滤</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支持视频动态端口段自定义开放</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支持主流的视频服务厂商（全球眼、千里眼、先进视讯、互信互通、H3C、天视、博康、博路、海康、大华、烽火、中兴力维、公安一所、天地伟业、科达等</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▲支持符合GB/ T28181标准的视频业务，提供公安部信息安全产品检测中心检测报告复印件加盖原厂公章</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产品资质要求：</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具有公安部计算机信息系统安全专用产品销售许可证（三级）</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具有国家保密局涉密信息系统产品检测证书</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具有中国国家信息安全产品认证证书</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具有国家保密局科学技术成果鉴定证书</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具有信息技术产品安全测评证书（EAL3+）</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具有中国人民解放军信息安全测评认证中心的军用信息安全产品B级认证证书</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具有计算机软件著作权登记证书</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具有公安部“接入平台隔离网闸”入围资格</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套</w:t>
            </w:r>
          </w:p>
        </w:tc>
        <w:tc>
          <w:tcPr>
            <w:tcW w:w="1015"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761" w:type="dxa"/>
            <w:shd w:val="clear" w:color="000000" w:fill="FFFFFF"/>
            <w:noWrap w:val="0"/>
            <w:vAlign w:val="center"/>
          </w:tcPr>
          <w:p>
            <w:pPr>
              <w:widowControl/>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w:t>
            </w:r>
          </w:p>
        </w:tc>
        <w:tc>
          <w:tcPr>
            <w:tcW w:w="111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光模块</w:t>
            </w:r>
          </w:p>
        </w:tc>
        <w:tc>
          <w:tcPr>
            <w:tcW w:w="104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4048" w:type="dxa"/>
            <w:shd w:val="clear" w:color="000000" w:fill="FFFFFF"/>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120KM万兆光模块</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块</w:t>
            </w:r>
          </w:p>
        </w:tc>
        <w:tc>
          <w:tcPr>
            <w:tcW w:w="1015"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61" w:type="dxa"/>
            <w:shd w:val="clear" w:color="000000" w:fill="FFFFFF"/>
            <w:noWrap w:val="0"/>
            <w:vAlign w:val="center"/>
          </w:tcPr>
          <w:p>
            <w:pPr>
              <w:widowControl/>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8</w:t>
            </w:r>
          </w:p>
        </w:tc>
        <w:tc>
          <w:tcPr>
            <w:tcW w:w="111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光模块</w:t>
            </w:r>
          </w:p>
        </w:tc>
        <w:tc>
          <w:tcPr>
            <w:tcW w:w="104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4048" w:type="dxa"/>
            <w:shd w:val="clear" w:color="000000" w:fill="FFFFFF"/>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40KM万兆光模块</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块</w:t>
            </w:r>
          </w:p>
        </w:tc>
        <w:tc>
          <w:tcPr>
            <w:tcW w:w="1015"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61" w:type="dxa"/>
            <w:shd w:val="clear" w:color="000000" w:fill="FFFFFF"/>
            <w:noWrap w:val="0"/>
            <w:vAlign w:val="center"/>
          </w:tcPr>
          <w:p>
            <w:pPr>
              <w:widowControl/>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9</w:t>
            </w:r>
          </w:p>
        </w:tc>
        <w:tc>
          <w:tcPr>
            <w:tcW w:w="111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光模块</w:t>
            </w:r>
          </w:p>
        </w:tc>
        <w:tc>
          <w:tcPr>
            <w:tcW w:w="104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4048" w:type="dxa"/>
            <w:shd w:val="clear" w:color="000000" w:fill="FFFFFF"/>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40KM千兆光模块</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块</w:t>
            </w:r>
          </w:p>
        </w:tc>
        <w:tc>
          <w:tcPr>
            <w:tcW w:w="1015"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1"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1113"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社会面接入平台交换机</w:t>
            </w:r>
          </w:p>
        </w:tc>
        <w:tc>
          <w:tcPr>
            <w:tcW w:w="1043"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华三、华为、海康</w:t>
            </w:r>
          </w:p>
        </w:tc>
        <w:tc>
          <w:tcPr>
            <w:tcW w:w="4048" w:type="dxa"/>
            <w:shd w:val="clear" w:color="000000" w:fill="FFFFFF"/>
            <w:noWrap w:val="0"/>
            <w:vAlign w:val="top"/>
          </w:tcPr>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最大支持交换容量≥38Tbps；最大支持整机包转发能力≥12300 Mpps</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业务插槽位数量≥3，主控槽位≥2；支持冗余电源模块≥2；支持主控板1+1冗余；</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以太网支持千兆电口，千兆光口，10GE端口、40G端口、100G端口，提高槽位利用率和业务可靠性</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多虚一技术(N:1)，支持4框虚拟化技术，提供工信部权威第三方测试报告，提供官网配置手册截图和链接；支持多虚一技术和一虚多技术的配合使用，提供工信部权威第三方测试报告，提供官网配置手册截图和链接。支持远程端口扩展，作为控制设备（Controlling Bridge,CB）实现对端口扩展模块（Port Extender,PE）的集中控制，（提供工信部权威第三方测试报告，提供官网配置手册截图和链接）</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支持并配置RRPP（快速环网保护协议）功能。</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每端口支持8个优先级队列，3个丢弃优先级，支持SP、WRR、SP+WRR三种队列调度算法</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支持精细化的流量监管，粒度可达8K；支持流量整形Shapping；支持WRED拥塞避免；支持802.1p、TOS、DSCP、EXP优先级映射</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支持双向ACL，ACL≥4K；支持端口ACL；支持VLAN ACL</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支持FLOGI/PLOGI和DCBX功能，支持OPENFLOW 1.3（提供工信部权威第三方测试报告） </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支持普通模式和Openflow 模式切换；支持多控制器（EQUAL模式、主备模式）；支持多表流水线；支持Group table；支持Meter</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支持VxLAN 网关；</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支持BFD，BFD for VRRP/BGP/IS-IS/OSPF/RSVP/LDP/RIP/静态路由</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为提高网络可靠性并简化运维成本，要求投标设备支持真实业务流的实时检测技术，秒级快速故障定位</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支持双引擎快速倒换，实现50ms的引擎故障主备切换时间，支持热补丁功能，可在线进行补丁升级</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支持IEEE 802.1ae介质访问控制安全技术；</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▲为保障产品代码质量，生产厂商国内研发机构需通过CMMI5认证，提供证书复印件并加盖生产厂商鲜章，其证书必须能在官方网站查询。为保障设备健康度交换机厂商需提供QC 080000有害物质过程管理体系证书。</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实际配置双主控；千兆电口≥48；万兆光口≥8；配置电源≥2。</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15"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1"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w:t>
            </w:r>
          </w:p>
        </w:tc>
        <w:tc>
          <w:tcPr>
            <w:tcW w:w="111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板卡</w:t>
            </w:r>
          </w:p>
        </w:tc>
        <w:tc>
          <w:tcPr>
            <w:tcW w:w="104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华三、华为、海康</w:t>
            </w:r>
          </w:p>
        </w:tc>
        <w:tc>
          <w:tcPr>
            <w:tcW w:w="4048" w:type="dxa"/>
            <w:shd w:val="clear" w:color="000000" w:fill="FFFFFF"/>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交换路由引擎模块,24端口千兆以太网电接口(RJ45)+4端口万兆以太网光接口(SFP+,LC)(SC)</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块</w:t>
            </w:r>
          </w:p>
        </w:tc>
        <w:tc>
          <w:tcPr>
            <w:tcW w:w="1015"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1"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w:t>
            </w:r>
          </w:p>
        </w:tc>
        <w:tc>
          <w:tcPr>
            <w:tcW w:w="111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防火墙</w:t>
            </w:r>
          </w:p>
        </w:tc>
        <w:tc>
          <w:tcPr>
            <w:tcW w:w="104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华三、华为、深信服</w:t>
            </w:r>
          </w:p>
        </w:tc>
        <w:tc>
          <w:tcPr>
            <w:tcW w:w="4048" w:type="dxa"/>
            <w:shd w:val="clear" w:color="000000" w:fill="FFFFFF"/>
            <w:noWrap w:val="0"/>
            <w:vAlign w:val="top"/>
          </w:tcPr>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防火墙主机,16个10/100/1000BASE-T端口,8个100/1000 BASE-X SFP端口,2个Slots</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采用非X86多核架构；千兆电口≥16，千兆光口≥8，扩展插槽≥2。</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大包吞吐量≥2.5G，并发连接数≥400万，每秒新建连接数≥4万，提供第三方权威测试报告。SSL VPN并发用户≥1K；IPSec VPN隧道≥2K。</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投设备须支持虚拟防火墙功能：支持虚拟防火墙的创建、启动、关闭、删除功能；可独立分配CPU/内存等计算资源；虚拟防火墙可独立管理，独立保存配置；虚拟防火墙具备独立会话管理、NAT、路由等功能。上述功能要求须提国家相关部委认可的第三方实验室测试报告证明，提供报告复印件，且必须加盖原厂公章；所投设备支持高可靠性（包含主备/主主模式）部署（要求须提国家相关部委认可的第三方实验室测试报告证明，提供报告复印件，且必须加盖原厂公章）。</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实现路由模式、透明（网桥）模式、混合模式；实现静态路由、策略路由、RIP、OSPF、BGP等路由协议。</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支持IPsec VPN隧道自动建立，无需流量触发；支持IPsec VPN智能选路，根据应用和隧道质量调度流量。。</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可识别应用层协议数量≥3000种，针对微信、QQ等应用可精细化识别文字、语音、文件传输等内容。。</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基于应用协议识别对各类聊天软件进行详细审计，可审计应用类型（如QQ、微信），应用识别账号，应用行为（如登录、发送消息、接收消息），操作时间，终端类型（Android、IOS）等。</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支持超过7000种特征的攻击检测和防御；支持超过37000条病毒规则。</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支持数据防泄露，对传输的文件和内容进行识别过滤，对内容与身份证、信用卡、银行卡、社会安全卡号等类型进行匹配。</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可支持基于应用层协议设置流控策略，包括设置最大带宽、保证带宽、协议流量优先级等。要求支持带宽通道独占以及共享管理模式,支持父子带宽策略。</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支持DNS透明代理功能，可基于负载均衡算法代理内网用户进行DNS请求转发，避免单运营商DNS解析出现单一链路流量过载，平衡多条运营商线路的带宽利用率。（需提供设备功能界面截图证明）</w:t>
            </w:r>
          </w:p>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支持报文示踪功能，可对原始报文进行回放；支持丢包统计，提供详细分析丢包原因。</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▲资质要求：设备制造厂商具备CNNVD（中国国家信息安全漏洞库）一级支撑单位资质，CNVD（中国国家信息安全漏洞共享平台）技术组成员资质；符合欧盟绿色环保RoHS认证，欧盟强制性要求CE，IPv6 第二阶段增强型认证金色证书；具有中华人民共和国公安部的《计算机信息系统安全专用产品销售许可证》，能提供有效证书的复印件；具有中国信息安全认证中心ISCCC颁发的《中国国家信息安全产品认证证书》。 投标产品厂商获得信息安全服务资质（安全工程类）一级，提供证书复印件。</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15"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1"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w:t>
            </w:r>
          </w:p>
        </w:tc>
        <w:tc>
          <w:tcPr>
            <w:tcW w:w="111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工业级路由器</w:t>
            </w:r>
          </w:p>
        </w:tc>
        <w:tc>
          <w:tcPr>
            <w:tcW w:w="104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华三、华为、海康</w:t>
            </w:r>
          </w:p>
        </w:tc>
        <w:tc>
          <w:tcPr>
            <w:tcW w:w="4048" w:type="dxa"/>
            <w:shd w:val="clear" w:color="000000" w:fill="FFFFFF"/>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定制</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15"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1"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w:t>
            </w:r>
          </w:p>
        </w:tc>
        <w:tc>
          <w:tcPr>
            <w:tcW w:w="111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系统集成费用</w:t>
            </w:r>
          </w:p>
        </w:tc>
        <w:tc>
          <w:tcPr>
            <w:tcW w:w="1043" w:type="dxa"/>
            <w:shd w:val="clear" w:color="000000" w:fill="FFFFFF"/>
            <w:noWrap w:val="0"/>
            <w:vAlign w:val="top"/>
          </w:tcPr>
          <w:p>
            <w:pPr>
              <w:widowControl/>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定制</w:t>
            </w:r>
          </w:p>
        </w:tc>
        <w:tc>
          <w:tcPr>
            <w:tcW w:w="4048" w:type="dxa"/>
            <w:shd w:val="clear" w:color="000000" w:fill="FFFFFF"/>
            <w:noWrap w:val="0"/>
            <w:vAlign w:val="top"/>
          </w:tcPr>
          <w:p>
            <w:pPr>
              <w:widowControl/>
              <w:jc w:val="left"/>
              <w:rPr>
                <w:rFonts w:hint="eastAsia" w:ascii="Times New Roman" w:hAnsi="Times New Roman" w:eastAsia="宋体" w:cs="Times New Roman"/>
                <w:color w:val="auto"/>
                <w:sz w:val="18"/>
                <w:szCs w:val="18"/>
                <w:highlight w:val="none"/>
                <w:lang w:eastAsia="zh-CN"/>
              </w:rPr>
            </w:pPr>
            <w:r>
              <w:rPr>
                <w:rFonts w:hint="eastAsia" w:ascii="Times New Roman" w:hAnsi="Times New Roman" w:eastAsia="宋体" w:cs="Times New Roman"/>
                <w:color w:val="auto"/>
                <w:sz w:val="18"/>
                <w:szCs w:val="18"/>
                <w:highlight w:val="none"/>
                <w:lang w:eastAsia="zh-CN"/>
              </w:rPr>
              <w:t>定制</w:t>
            </w:r>
          </w:p>
        </w:tc>
        <w:tc>
          <w:tcPr>
            <w:tcW w:w="759" w:type="dxa"/>
            <w:shd w:val="clear" w:color="000000" w:fill="FFFFFF"/>
            <w:noWrap w:val="0"/>
            <w:vAlign w:val="center"/>
          </w:tcPr>
          <w:p>
            <w:pPr>
              <w:widowControl/>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批</w:t>
            </w:r>
          </w:p>
        </w:tc>
        <w:tc>
          <w:tcPr>
            <w:tcW w:w="1015" w:type="dxa"/>
            <w:shd w:val="clear" w:color="000000" w:fill="FFFFFF"/>
            <w:noWrap w:val="0"/>
            <w:vAlign w:val="center"/>
          </w:tcPr>
          <w:p>
            <w:pPr>
              <w:widowControl/>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61"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w:t>
            </w:r>
          </w:p>
        </w:tc>
        <w:tc>
          <w:tcPr>
            <w:tcW w:w="111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防毒墙3年病毒库升级、服务等费用</w:t>
            </w:r>
          </w:p>
        </w:tc>
        <w:tc>
          <w:tcPr>
            <w:tcW w:w="104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4048" w:type="dxa"/>
            <w:shd w:val="clear" w:color="000000" w:fill="FFFFFF"/>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防毒墙3年病毒库升级、服务等费用</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15"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39" w:type="dxa"/>
            <w:gridSpan w:val="6"/>
            <w:shd w:val="clear" w:color="000000" w:fill="FFFFFF"/>
            <w:noWrap w:val="0"/>
            <w:vAlign w:val="center"/>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bCs/>
                <w:color w:val="auto"/>
                <w:sz w:val="18"/>
                <w:szCs w:val="18"/>
                <w:highlight w:val="none"/>
              </w:rPr>
              <w:t>二、雪亮工程中心平台的建设与升级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1"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113"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产品名称</w:t>
            </w:r>
          </w:p>
        </w:tc>
        <w:tc>
          <w:tcPr>
            <w:tcW w:w="1043"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参考品牌</w:t>
            </w:r>
          </w:p>
        </w:tc>
        <w:tc>
          <w:tcPr>
            <w:tcW w:w="4048" w:type="dxa"/>
            <w:shd w:val="clear" w:color="000000" w:fill="FFFFFF"/>
            <w:noWrap w:val="0"/>
            <w:vAlign w:val="center"/>
          </w:tcPr>
          <w:p>
            <w:pPr>
              <w:widowControl/>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功能描述</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1015"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739" w:type="dxa"/>
            <w:gridSpan w:val="6"/>
            <w:shd w:val="clear" w:color="000000" w:fill="FFFFFF"/>
            <w:noWrap w:val="0"/>
            <w:vAlign w:val="center"/>
          </w:tcPr>
          <w:p>
            <w:pPr>
              <w:widowControl/>
              <w:jc w:val="left"/>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b/>
                <w:bCs/>
                <w:color w:val="auto"/>
                <w:sz w:val="18"/>
                <w:szCs w:val="18"/>
                <w:highlight w:val="none"/>
                <w:lang w:val="en-US" w:eastAsia="zh-CN"/>
              </w:rPr>
              <w:t>1</w:t>
            </w:r>
            <w:r>
              <w:rPr>
                <w:rFonts w:hint="default" w:ascii="Times New Roman" w:hAnsi="Times New Roman" w:eastAsia="宋体" w:cs="Times New Roman"/>
                <w:b/>
                <w:bCs/>
                <w:color w:val="auto"/>
                <w:sz w:val="18"/>
                <w:szCs w:val="18"/>
                <w:highlight w:val="none"/>
              </w:rPr>
              <w:t>、诸暨广电社会面接入平台（扩容及增配）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61"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1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公共安全视频监控整合平台软件</w:t>
            </w:r>
          </w:p>
        </w:tc>
        <w:tc>
          <w:tcPr>
            <w:tcW w:w="104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4048" w:type="dxa"/>
            <w:shd w:val="clear" w:color="000000" w:fill="FFFFFF"/>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专业的视频图像信息联网管理平台，支持模块化分布式部署及应用，支持GB/T 28181、DB33/T 629等标准化联网，是多业务应用的全方位管理平台，提供视频接入、应用、管理等服务</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15"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1"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11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服务器</w:t>
            </w:r>
          </w:p>
        </w:tc>
        <w:tc>
          <w:tcPr>
            <w:tcW w:w="104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4048" w:type="dxa"/>
            <w:shd w:val="clear" w:color="000000" w:fill="FFFFFF"/>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E5-2620 V4(8核2.1GHz)×2/16GB DDR4×2/300G SAS×2/SAS_HBA/DVD/1GbE×4/冗电/2U（Win 2008 R2 简中 标准版）</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15"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1"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11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级联网关服务器</w:t>
            </w:r>
          </w:p>
        </w:tc>
        <w:tc>
          <w:tcPr>
            <w:tcW w:w="104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定制</w:t>
            </w:r>
          </w:p>
        </w:tc>
        <w:tc>
          <w:tcPr>
            <w:tcW w:w="4048" w:type="dxa"/>
            <w:shd w:val="clear" w:color="000000" w:fill="FFFFFF"/>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机箱：7U机箱</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尺寸：443m×286mm×498mm</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电源：AC 100~120V 200~240V， 50/60Hz,内置</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功耗：≤350W</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网络接口：4个，千兆以太网口</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USB接口：8个 USB 3.0</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VGA接口：2个 VGA输出口</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HDMI输出口：4个</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MIC：2个</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音频输入：2个</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音频输出：2个</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功能参数：</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支持GB/T28181标准协议实现平台间联网；</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平台可通过联网网关实现对级联系统的目录查询、实时点播、云台控制、视音频文件检索、视音频文件回放及回放控制、系统布防撤防、设备信息及状态查询、视音频文件下载、系统设备远程启动等功能；</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单台联网网关可同时接入多个异构平台，内置多个千兆网络接口，支持端口聚合绑定、负载均衡；</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支持协议网关与媒体网关分离的工作模式；</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能将国标码流实现无损转发，能将非国标码流转码成国标码流；</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能可将高分辨率、高码率转换成低分辨率、低码率</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性能参数：</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台网关支持20万个监控点的管理，单台网关在万兆网络环境下可同时提供1600M码流转发，单台网关支持48路标准H.264（D1码流，注：720P的24路、1080P的12路）降码率、降分辨率（非标码流转标准H.264为32路）；或者支持8路1080P码流从H.265转为H.264；或者支持16路720P码流从H.265转到H.264</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15"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739" w:type="dxa"/>
            <w:gridSpan w:val="6"/>
            <w:shd w:val="clear" w:color="000000" w:fill="FFFFFF"/>
            <w:noWrap w:val="0"/>
            <w:vAlign w:val="center"/>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bCs/>
                <w:color w:val="auto"/>
                <w:sz w:val="18"/>
                <w:szCs w:val="18"/>
                <w:highlight w:val="none"/>
              </w:rPr>
              <w:t>3、公安平台升级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1"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13"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卡口大数据服务器</w:t>
            </w:r>
          </w:p>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【核心产品】</w:t>
            </w:r>
          </w:p>
        </w:tc>
        <w:tc>
          <w:tcPr>
            <w:tcW w:w="1043" w:type="dxa"/>
            <w:shd w:val="clear" w:color="auto" w:fill="auto"/>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海康、宇视、科度</w:t>
            </w:r>
          </w:p>
        </w:tc>
        <w:tc>
          <w:tcPr>
            <w:tcW w:w="4048" w:type="dxa"/>
            <w:shd w:val="clear" w:color="000000" w:fill="FFFFFF"/>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CPU：2*E5-2620 V3 ，2*6=12核</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内存：4*32G=128G</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硬盘：1*240G SSD，2*4T SATA，6*480G SSD</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网络：4个千兆口</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支持20亿车辆模型存储与分析</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支持每日增量数据300万</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支持20路并发精确及模糊查询时间＜3秒</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单机部署支持2路不进内存以图搜图，符合过滤条件记录数每秒2万条，特征搜图需+20秒处理时间</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15" w:type="dxa"/>
            <w:shd w:val="clear" w:color="000000" w:fill="FFFFFF"/>
            <w:noWrap w:val="0"/>
            <w:vAlign w:val="center"/>
          </w:tcPr>
          <w:p>
            <w:pPr>
              <w:widowControl/>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761"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113"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图片分析服务器</w:t>
            </w:r>
          </w:p>
        </w:tc>
        <w:tc>
          <w:tcPr>
            <w:tcW w:w="1043" w:type="dxa"/>
            <w:shd w:val="clear" w:color="auto" w:fill="auto"/>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海康、宇视、科度</w:t>
            </w:r>
          </w:p>
        </w:tc>
        <w:tc>
          <w:tcPr>
            <w:tcW w:w="4048" w:type="dxa"/>
            <w:shd w:val="clear" w:color="000000" w:fill="FFFFFF"/>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19英寸1U标准机箱</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车辆卡口图片处理能力：600万张图片每天的识别处理</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图片分析最高支持至900万像素</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支持多设备集群部署</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支持车辆实时建模，服务于平台的以车搜车、目标搜寻和涉牌研判等业务应用</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19英寸机架式标准机箱</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支持热拔插高效1+1冗余电源模块</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≥2块硬盘接口</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支持图片背向车辆颜色、车辆类型、车辆子品牌识别</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包括92式民用车牌，警用车牌，左右军车牌，02式个性化车牌,黄色双行尾牌,上下军车牌，04式新军车牌,使馆车牌,一行结构的新武警车牌,两行结构的新武警车牌,黄色1225农用车牌,绿色1325农用车牌,黄色1325农用车牌，摩托车，教练车牌识别，挂车车牌，领馆汽车牌，港澳台车牌，民航车牌</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图片车牌号码识别白天准确率不低于98%；车牌号码识别晚上准确率不低于95%，支持黑、白、蓝、黄、绿、新能源黄绿、渐变绿七种车牌颜色的识别，识别准确率，白天光照正常、夜晚补光正常，车辆类型特征人眼可辨识：白天不低于97%；晚上不低于95%</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支持无车牌车辆的识别，识别准确率，白天不低于95%，晚上不低于90%</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对车辆号牌遮挡、污损状态的检测识别，支持红、黄、绿、青、蓝、紫、粉、棕、白、灰及黑、银、橙、金13种车身颜色识别，识别准确率，白天正向不低于95%；白天背向不低于92%；晚上正向不低于93%；晚上背向不低于90%（提供公安部出具的检验报告证明）</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支持轿车、面包车、皮卡、小货车、大货车、中客车、大客车、SUV/MPV、二轮车、三轮车10种车型的识别，识别准确率，白天正向不低于97%；白天背向不低于95%；晚上正向不低于95%；晚上背向不低于92%</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支持不少于260种机动车车辆品牌的识别（正向），支持不少于200种机动车车辆品牌的识别（背向），识别准确率，白天正向不低于98%，白天背向不低于97%，晚上正向不低于97%，晚上背向不低于95%</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不少于5500种车辆子品牌和年款的识别（正向），支持不少于3100种车辆子品牌和年款的识别（背向），识别准确率，白天正向不低于95%，白天背向不低于93%，晚上正向不低于92%，晚上背向不低于92%（提供公安部出具的检验报告证明）</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支持主、副驾驶未系安全带检测识别。主驾驶未系安全带检测准确率，白天不低于90%，晚上不低于90%，副驾驶未系安全带检测准确率，白天不低于90%，晚上不低于90%</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▲支持主、副驾驶遮阳板打开检测识别。主遮阳板打开检测准确率不低于93%，副遮阳板打开检测准确率不低于93%（提供公安部出具的检验报告证明）</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支持驾驶人打手机检测识别，准确率不低于94%</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支持黄标车的检测识别，准确率不低于95%（提供公安部出具的检验报告证明）</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支持危险品车辆的检测识别，准确率不低于95%</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▲支持车辆中挂件摆件的检测识别(支持对车辆上挂件、摆件的检测识别，能够检测出挂件、摆件的相对坐标位置及个数)，挂件检测检出率不低于95%，摆件检测检出率不低于95%（提供公安部出具的检验报告证明）</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支持临时车牌车辆的识别检测，检测准确率不低于95%</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支持车辆天窗站人检测识别</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支持前排人数检测，准确率不低于91%</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▲支持对主、副驾驶人员抽烟动作进行检测识别，支持对副驾驶是否怀抱婴儿进行检测，支持纸巾盒检测识别,并能够检测出纸巾盒的相对坐标位置及个数（提供公安部出具的检验报告证明）</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支持对渣土车是否盖板进行检测识别（提供公安部出具的检验报告证明）</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支持对是否有天窗、行李架、车身喷字、备胎等特征的检测</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支持对图片中的非机动车进行检测，支持三轮车有棚无棚检测，是否载人检测</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支持车辆标贴检测识别，检测准确率不低于95%（提供公安部出具的检验报告证明）</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支持对图片中的正、背向车辆进行以图搜图建模功能</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以图搜车功能，上传车辆的图片，比对后可输出达到设定相似度的过车图片。车辆以图搜图准确率，正向车辆以图搜图前5个出现目标车辆的命中率不低于97%，正向车辆以图搜图前10个出现目标车辆的命中率不低于98%，背向车辆以图搜图前5个出现目标车辆的命中率不低于94%，背向车辆以图搜图前10个出现目标车辆的命中率不低于97%（提供公安部出具的检验报告证明）</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支持对车辆进行布控，在分析过程中对布控车辆进行报警，输出布控车辆出现的时间及点位</w:t>
            </w:r>
          </w:p>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持通过界面展示查看算法仓库支持的算法列表，包括算法名称、分析类型、分析目标、算法厂商、芯片平台、算法版本和详情信息，在获取相应算法授权情况下算法仓库支持的算法类型包括人脸算法、车辆算法和人体算法等，并支持对算法进行查询（提供公安部出具的检验报告证明）</w:t>
            </w:r>
          </w:p>
          <w:p>
            <w:pPr>
              <w:widowControl/>
              <w:jc w:val="left"/>
              <w:rPr>
                <w:rFonts w:hint="default" w:ascii="Times New Roman" w:hAnsi="Times New Roman" w:eastAsia="宋体" w:cs="Times New Roman"/>
                <w:color w:val="auto"/>
                <w:sz w:val="18"/>
                <w:szCs w:val="18"/>
                <w:highlight w:val="none"/>
              </w:rPr>
            </w:pPr>
          </w:p>
          <w:p>
            <w:pPr>
              <w:widowControl/>
              <w:jc w:val="left"/>
              <w:rPr>
                <w:rFonts w:hint="default" w:ascii="Times New Roman" w:hAnsi="Times New Roman" w:eastAsia="宋体" w:cs="Times New Roman"/>
                <w:color w:val="auto"/>
                <w:sz w:val="18"/>
                <w:szCs w:val="18"/>
                <w:highlight w:val="none"/>
              </w:rPr>
            </w:pP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15" w:type="dxa"/>
            <w:shd w:val="clear" w:color="000000" w:fill="FFFFFF"/>
            <w:noWrap w:val="0"/>
            <w:vAlign w:val="center"/>
          </w:tcPr>
          <w:p>
            <w:pPr>
              <w:widowControl/>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61"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113" w:type="dxa"/>
            <w:shd w:val="clear" w:color="000000" w:fill="FFFFFF"/>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服务器更新</w:t>
            </w:r>
          </w:p>
        </w:tc>
        <w:tc>
          <w:tcPr>
            <w:tcW w:w="1043" w:type="dxa"/>
            <w:shd w:val="clear" w:color="auto" w:fill="auto"/>
            <w:noWrap w:val="0"/>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海康、dell、宇视</w:t>
            </w:r>
          </w:p>
        </w:tc>
        <w:tc>
          <w:tcPr>
            <w:tcW w:w="4048" w:type="dxa"/>
            <w:shd w:val="clear" w:color="000000" w:fill="FFFFFF"/>
            <w:noWrap w:val="0"/>
            <w:vAlign w:val="top"/>
          </w:tcPr>
          <w:p>
            <w:pPr>
              <w:widowControl/>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E5-2620 V4(8核2.1GHz)×2/16GB DDR4×2/300G SAS×2/SAS_HBA/DVD/1GbE×4/冗电/2U（Win 2008 R2 简中 标准版）</w:t>
            </w:r>
          </w:p>
        </w:tc>
        <w:tc>
          <w:tcPr>
            <w:tcW w:w="759"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台</w:t>
            </w:r>
          </w:p>
        </w:tc>
        <w:tc>
          <w:tcPr>
            <w:tcW w:w="1015" w:type="dxa"/>
            <w:shd w:val="clear" w:color="000000" w:fill="FFFFFF"/>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r>
    </w:tbl>
    <w:p>
      <w:pPr>
        <w:pStyle w:val="126"/>
        <w:ind w:firstLine="0" w:firstLineChars="0"/>
        <w:rPr>
          <w:rFonts w:hint="default" w:ascii="Times New Roman" w:hAnsi="Times New Roman" w:eastAsia="宋体" w:cs="Times New Roman"/>
          <w:color w:val="auto"/>
          <w:highlight w:val="none"/>
        </w:rPr>
      </w:pPr>
    </w:p>
    <w:p>
      <w:pPr>
        <w:pStyle w:val="6"/>
        <w:numPr>
          <w:ilvl w:val="0"/>
          <w:numId w:val="0"/>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4、诸暨雪亮工程第一期新增监控点建设项目</w:t>
      </w:r>
    </w:p>
    <w:p>
      <w:pPr>
        <w:pStyle w:val="6"/>
        <w:numPr>
          <w:ilvl w:val="2"/>
          <w:numId w:val="9"/>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建设背景概述</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“雪亮工程”是新形势下维护国家安全和社会稳定、预防和打击暴力恐怖犯罪的重要手段，是常态化、信息化条件下完善社会治安防控体系、深化平安中国建设的重要基础性工程。</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诸暨市的雪亮工程建设响应国家针对社会治理的建设要求，基于诸暨市的公共安全视频监控建设联网初级阶段的现状，重点开展在重点区域搭建视频监控、人脸抓拍设备等工作，为实现诸暨市各单位间共建、共治、共享的社会治理工作打下坚实基础。</w:t>
      </w:r>
    </w:p>
    <w:p>
      <w:pPr>
        <w:pStyle w:val="6"/>
        <w:numPr>
          <w:ilvl w:val="2"/>
          <w:numId w:val="9"/>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建设内容</w:t>
      </w:r>
    </w:p>
    <w:p>
      <w:pPr>
        <w:spacing w:line="360" w:lineRule="auto"/>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诸暨雪亮工程建设项目由诸暨政法委牵头、诸暨市公安局落实、各局办单位社会单位配合，完成前期的调研工作，本期重点建设内容为在诸暨火车站、江边游步道、商场、超市、医院、高速口、国保**重要目标等场景下，根据不同的现场情况配置相应的视频监控设备，实现各场景的下的人员管控。同时配置相应的存储以及后端解析设备，视频存储30天以上，图片存储180天以上，完成日均1200万张过车照片的图片结构化。</w:t>
      </w:r>
    </w:p>
    <w:p>
      <w:pPr>
        <w:pStyle w:val="6"/>
        <w:numPr>
          <w:ilvl w:val="2"/>
          <w:numId w:val="9"/>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系统设计</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整个监控系统按照设备、线路的统一性来建设。</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一是设备的统一性：整个系统前端设备和录像设备采取统一系列兼容产品，保证数字存储设备、数字监控管理服务器和控制服务器的统一性，便于中心统一指挥，共享调用，提高工作效率。</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是组网的统一性：雪亮工程视频资源联网整合部分，要求被整合资源在政务网的，利用政务网统一接入整合平台，其它的通过运营商专线光缆接入整个平台；新建人脸抓拍、监控中心等设备的，按照公安视频专网的建设和网络安全要求，前端监控点至中心机房，统一接入公安监控专网。</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本项目按照一级安全防范系统工程设计，根据后期高清视频监控系统建设的需要，提出以下系统建设标准：</w:t>
      </w:r>
    </w:p>
    <w:p>
      <w:pPr>
        <w:spacing w:line="360" w:lineRule="auto"/>
        <w:ind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系统的全面高清性</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要求前端信息采集点全部采用高清人脸抓拍机，根据不同的场景选择半球或者筒型的配置。</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要求存储系统以高清图像质量实现视频、图片数据的保存。</w:t>
      </w:r>
    </w:p>
    <w:p>
      <w:pPr>
        <w:spacing w:line="360" w:lineRule="auto"/>
        <w:ind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系统的全面IP化</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要求高清摄像机以IP方式接入监控系统，利用网络传递高清视频信号、报警信号和控制信号。</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要求存储系统以IP方式为高清摄像机提供存储服务，并对网内授权用户提供点播服务。</w:t>
      </w:r>
    </w:p>
    <w:p>
      <w:pPr>
        <w:pStyle w:val="6"/>
        <w:numPr>
          <w:ilvl w:val="2"/>
          <w:numId w:val="9"/>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系统功能需求</w:t>
      </w:r>
    </w:p>
    <w:p>
      <w:pPr>
        <w:spacing w:line="360" w:lineRule="auto"/>
        <w:ind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（一）前端功能需求</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人脸抓拍单元功能设计如下：</w:t>
      </w:r>
    </w:p>
    <w:p>
      <w:pPr>
        <w:pStyle w:val="123"/>
        <w:numPr>
          <w:ilvl w:val="0"/>
          <w:numId w:val="10"/>
        </w:numPr>
        <w:ind w:left="0"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支持通道内实时视频采集、预览，以及视频录像；</w:t>
      </w:r>
    </w:p>
    <w:p>
      <w:pPr>
        <w:pStyle w:val="123"/>
        <w:numPr>
          <w:ilvl w:val="0"/>
          <w:numId w:val="10"/>
        </w:numPr>
        <w:ind w:left="0"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支持通道内的人脸检测、分类（年龄段、性别）、捕获；</w:t>
      </w:r>
    </w:p>
    <w:p>
      <w:pPr>
        <w:pStyle w:val="123"/>
        <w:numPr>
          <w:ilvl w:val="0"/>
          <w:numId w:val="10"/>
        </w:numPr>
        <w:ind w:left="0"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支持人脸图像优选功能，输出捕获的最佳人脸图像；</w:t>
      </w:r>
    </w:p>
    <w:p>
      <w:pPr>
        <w:pStyle w:val="123"/>
        <w:numPr>
          <w:ilvl w:val="0"/>
          <w:numId w:val="10"/>
        </w:numPr>
        <w:ind w:left="0"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支持人脸区域自动曝光功能，能够根据外部不同场景以及光照变化自动控制调节曝光参数，确保在逆光等情况下抓拍人脸仍较为清晰；</w:t>
      </w:r>
    </w:p>
    <w:p>
      <w:pPr>
        <w:pStyle w:val="123"/>
        <w:numPr>
          <w:ilvl w:val="0"/>
          <w:numId w:val="10"/>
        </w:numPr>
        <w:ind w:left="0"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支持双码流输出，可分别独立设置不同的高清分辨率、帧率与码率；</w:t>
      </w:r>
    </w:p>
    <w:p>
      <w:pPr>
        <w:pStyle w:val="123"/>
        <w:numPr>
          <w:ilvl w:val="0"/>
          <w:numId w:val="10"/>
        </w:numPr>
        <w:ind w:left="0"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支持TF卡存储，断网本地存储、断网续传；</w:t>
      </w:r>
    </w:p>
    <w:p>
      <w:pPr>
        <w:pStyle w:val="123"/>
        <w:numPr>
          <w:ilvl w:val="0"/>
          <w:numId w:val="10"/>
        </w:numPr>
        <w:ind w:left="0"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支持强光抑制、透雾、3D数字降噪功能；</w:t>
      </w:r>
    </w:p>
    <w:p>
      <w:pPr>
        <w:pStyle w:val="123"/>
        <w:numPr>
          <w:ilvl w:val="0"/>
          <w:numId w:val="10"/>
        </w:numPr>
        <w:ind w:left="0"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具有IP66级防尘、防水滴、网络防雷、防浪涌等功能。</w:t>
      </w:r>
    </w:p>
    <w:p>
      <w:pPr>
        <w:spacing w:line="360" w:lineRule="auto"/>
        <w:ind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（二）人脸解析系统功能需求</w:t>
      </w:r>
    </w:p>
    <w:p>
      <w:pPr>
        <w:spacing w:line="360" w:lineRule="auto"/>
        <w:ind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（1）人脸图片分析</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支持对图片中的人脸进行特征识别、建模、比对预警。</w:t>
      </w:r>
    </w:p>
    <w:p>
      <w:pPr>
        <w:spacing w:line="360" w:lineRule="auto"/>
        <w:ind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（2）人脸特征识别</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支持性别、年龄段、是否戴眼睛等人脸特征的识别。</w:t>
      </w:r>
    </w:p>
    <w:p>
      <w:pPr>
        <w:spacing w:line="360" w:lineRule="auto"/>
        <w:ind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（3）人脸建模</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支持对人脸图片中的目标人脸进行建模，便于后期通过人脸模型实现以脸搜脸应用，即通过搜索图像文本或者视觉特征，在检索系统中通过类似信息的对比，获取目标图片的一种智能搜索方法，可广泛应用于嫌疑人踪迹查询、身份核查等业务场景。</w:t>
      </w:r>
    </w:p>
    <w:p>
      <w:pPr>
        <w:spacing w:line="360" w:lineRule="auto"/>
        <w:ind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（4）模型布控</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支持对黑明单人员的人脸模型进行布控、实时比对、预警。</w:t>
      </w:r>
    </w:p>
    <w:p>
      <w:pPr>
        <w:spacing w:line="360" w:lineRule="auto"/>
        <w:ind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（三）人脸大数据系统功能需求</w:t>
      </w:r>
    </w:p>
    <w:p>
      <w:pPr>
        <w:spacing w:line="360" w:lineRule="auto"/>
        <w:ind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（1）人员踪迹查询</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基于人脸图片中解析出的年龄段、性别等属性结构化数据，以及人脸模型半结构化数据，采用大数据技术，快速从海量人像数据中筛选出相似的人脸信息，还可按时间段、抓拍区域等条件进行组合查询，协助公安机关获取有价值案件信息，锁定人员踪迹，缩短线索查找时间。</w:t>
      </w:r>
    </w:p>
    <w:p>
      <w:pPr>
        <w:spacing w:line="360" w:lineRule="auto"/>
        <w:ind w:left="358"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人脸查询</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支持以过人时段、过人区域、人脸特征属性（包括年龄段、性别、戴眼镜、微笑）、高危人群为查询条件，对案发时间附近的可疑人员进行单一或组合条件的信息搜索，查找历史人脸图片，并可关联录像查看具体情况。</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过人区域支持按目录树选择前端点位，并支持与地理信息系统结合，在地图上选择区域范围，进行人员信息搜索。</w:t>
      </w:r>
    </w:p>
    <w:p>
      <w:pPr>
        <w:spacing w:line="360" w:lineRule="auto"/>
        <w:ind w:left="358"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以脸搜脸</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针对海量人脸图片难以通过人工识别方式进行快速分析、检索的问题，系统满足根据人脸图片自动进行识别、解析，支持一键上传照片，快速识别建模比对，同时可结合过人时段、过人区域、相似度作为辅助条件，进而查找出人像资源库中该人员及相似人员的历史人脸信息。</w:t>
      </w:r>
    </w:p>
    <w:p>
      <w:pPr>
        <w:spacing w:line="360" w:lineRule="auto"/>
        <w:ind w:left="358"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实时抓拍</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支持以人脸卡口为基本查询条件，实时查看前端人员抓拍信息。</w:t>
      </w:r>
    </w:p>
    <w:p>
      <w:pPr>
        <w:spacing w:line="360" w:lineRule="auto"/>
        <w:ind w:left="358"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人员轨迹分析</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针对一些公安民警重点关注的人员或涉案、**人员，可利用已有的人脸图片或者系统检索出的人脸图片，搜索出一定时间段及监控范围内的相似人脸图片，选择目标人员人脸图片，结合电子地图刻画出人员时空轨迹，分析目标人员“从哪里来、到哪里去、沿途经过哪里”。</w:t>
      </w:r>
    </w:p>
    <w:p>
      <w:pPr>
        <w:spacing w:line="360" w:lineRule="auto"/>
        <w:ind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（二）人员身份研判</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系统设计将人脸识别、大数据、云计算技术与公安二代身份证库、在逃人员库等业务数据相结合，形成公安人像资源库，依托人像资源库中海量的人员身份信息，实现目标人员的身份核查、确认，带动传统的“由案到人”单一侦防模式向“由案到人、由人到身份、由身份到人”的多元作战方式转变。</w:t>
      </w:r>
    </w:p>
    <w:p>
      <w:pPr>
        <w:spacing w:line="360" w:lineRule="auto"/>
        <w:ind w:left="358"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身份确认</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系统支持导入公安业务数据库的人员身份信息或民警自建名单库，自建的名单库可设置人员姓名、性别、所在省份、城市，以及证件类型、证件号、生日等信息；在民警侦查办案或者需要确认嫌疑人员身份时，可利用已有的人脸图片从名单库快速确认目标身份信息。</w:t>
      </w:r>
    </w:p>
    <w:p>
      <w:pPr>
        <w:spacing w:line="360" w:lineRule="auto"/>
        <w:ind w:left="358"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人脸查重</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针对一些惯犯或历史在逃人员，为隐藏自身的真实身份，嫌疑人可能会设法获得多个身份信息，本系统支持对某个名单库或者两个名单库进行身份查重分析，反馈一人多重身份的排查结果，便于民警对一人持有多证的人员进行重点关注、排查，深挖背后隐藏信息。</w:t>
      </w:r>
    </w:p>
    <w:p>
      <w:pPr>
        <w:spacing w:line="360" w:lineRule="auto"/>
        <w:ind w:left="358"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人脸1V1比对</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一般犯罪嫌疑人在作案前后，会对自身进行化妆，尽量避免留下相同的影像踪迹。为快速帮助公安机关分析两张嫌疑人人脸图片的相似度，系统支持同时对两张已有的人脸图片进行建模、比对，返回相似度比对值。</w:t>
      </w:r>
    </w:p>
    <w:p>
      <w:pPr>
        <w:spacing w:line="360" w:lineRule="auto"/>
        <w:ind w:left="358"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身份核验</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为便于基层***对辖区内服刑人员、**人员等特殊人群的管理，系统支持外接人脸抓拍单元、身份证读卡器，实现人证比对应用，特殊人群定期前往***进行身份核验，一旦人证不匹配或者过期未进行验证，则可能该人员已不在辖区内，便于民警及时发现不稳定因素。</w:t>
      </w:r>
    </w:p>
    <w:p>
      <w:pPr>
        <w:spacing w:line="360" w:lineRule="auto"/>
        <w:ind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（三）人员布控预警</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基于云解析系统建立的人脸模型，结合公安民警的黑名单库，实现对重点人员的实时布控预警，为指挥调度、案件侦破提供数据支撑。</w:t>
      </w:r>
    </w:p>
    <w:p>
      <w:pPr>
        <w:spacing w:line="360" w:lineRule="auto"/>
        <w:ind w:left="358"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人员布控</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针对在逃、**、涉案等人员的重点管控需求，系统可按布控对象、布控范围、有效期、预警阈值、预警时段提供实时布控功能，一旦在布控范围内出现关注人员，系统立刻产生报警，便于民警展开实时抓捕行动。</w:t>
      </w:r>
    </w:p>
    <w:p>
      <w:pPr>
        <w:spacing w:line="360" w:lineRule="auto"/>
        <w:ind w:left="358"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实时预警</w:t>
      </w:r>
    </w:p>
    <w:p>
      <w:pPr>
        <w:pStyle w:val="123"/>
        <w:ind w:firstLine="48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系统支持接收、显示实时预警信息；支持显示具体预警信息的报警详情，并能将报警详情转发至对应民警的手机中。</w:t>
      </w:r>
    </w:p>
    <w:p>
      <w:pPr>
        <w:spacing w:line="360" w:lineRule="auto"/>
        <w:ind w:left="358"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历史预警</w:t>
      </w:r>
    </w:p>
    <w:p>
      <w:pPr>
        <w:pStyle w:val="123"/>
        <w:ind w:firstLine="480"/>
        <w:rPr>
          <w:rFonts w:hint="default" w:ascii="Times New Roman" w:hAnsi="Times New Roman" w:eastAsia="宋体" w:cs="Times New Roman"/>
          <w:color w:val="auto"/>
          <w:kern w:val="2"/>
          <w:highlight w:val="none"/>
        </w:rPr>
      </w:pPr>
      <w:r>
        <w:rPr>
          <w:rFonts w:hint="default" w:ascii="Times New Roman" w:hAnsi="Times New Roman" w:eastAsia="宋体" w:cs="Times New Roman"/>
          <w:color w:val="auto"/>
          <w:szCs w:val="24"/>
          <w:highlight w:val="none"/>
        </w:rPr>
        <w:t>系统支持按布控任务、布控范围、布控对象、相似度、时间、报警确认情况为条件，进行单一或组合的历史预警信息查询，查询结果支持按相似度/时间/地点/目标进行分组显示；同时，查询结果支持关联视频回放，结果导出。</w:t>
      </w:r>
    </w:p>
    <w:p>
      <w:pPr>
        <w:pStyle w:val="6"/>
        <w:numPr>
          <w:ilvl w:val="2"/>
          <w:numId w:val="9"/>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主要设备参数要求</w:t>
      </w:r>
    </w:p>
    <w:tbl>
      <w:tblPr>
        <w:tblStyle w:val="3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91"/>
        <w:gridCol w:w="766"/>
        <w:gridCol w:w="4048"/>
        <w:gridCol w:w="759"/>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39" w:type="dxa"/>
            <w:gridSpan w:val="6"/>
            <w:shd w:val="clear" w:color="000000" w:fill="FFFFFF"/>
            <w:noWrap w:val="0"/>
            <w:vAlign w:val="center"/>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一、雪亮工程外场建设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39" w:type="dxa"/>
            <w:gridSpan w:val="6"/>
            <w:noWrap w:val="0"/>
            <w:vAlign w:val="center"/>
          </w:tcPr>
          <w:p>
            <w:pPr>
              <w:widowControl/>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1、火车站新建人脸抓拍系统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0" w:type="dxa"/>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391" w:type="dxa"/>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产品名称</w:t>
            </w:r>
          </w:p>
        </w:tc>
        <w:tc>
          <w:tcPr>
            <w:tcW w:w="766" w:type="dxa"/>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参考品牌</w:t>
            </w:r>
          </w:p>
        </w:tc>
        <w:tc>
          <w:tcPr>
            <w:tcW w:w="4048" w:type="dxa"/>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技术要求</w:t>
            </w:r>
          </w:p>
        </w:tc>
        <w:tc>
          <w:tcPr>
            <w:tcW w:w="759" w:type="dxa"/>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w:t>
            </w:r>
          </w:p>
        </w:tc>
        <w:tc>
          <w:tcPr>
            <w:tcW w:w="1015" w:type="dxa"/>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1"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筒型网络摄像机</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海康威视、大华、宇视</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★200万像素1/1.8"靶面尺寸人脸日夜型筒型网络摄像机。（公安部检验报告证明）</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内置一体化高速电动变焦，自动跟随聚焦镜头，变焦同时快速完成聚焦，变焦过程画面不能完全虚焦。</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▲最低照度彩色：0.0003 lx，黑白:0.0001 lx，灰度等级不小于11级。（公安部检验报告证明）</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需支持四码流技术，主码流最高1920x1080@60fps，子码流704x576@50fps，第三码流1920x1080@60fps，第四码流1920x1080@60fps。</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需具不小于106dB宽动态。</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设备与客户端之间用200米网线进行传输，数据包丢包率不大于0.1%。</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不低于IP67防尘防水等级。</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辅材</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安装所需的包括抱箍、支架、接地线、接地体等一切其他材料</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过欠压保护器</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自动重合漏电保护器，保护线路电压不稳、前端断零线、感应电压问题等，阻燃塑料，过电压值270-280VAC,欠电压值155-165VAC，额定电流：32/40/63/80A，额定电压230V</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杆装设备箱</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双层密封箱体，自然散热，防护等级IP55，无风扇设计，尺寸：500mm×400mm ×200mm。</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接电施工</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含线缆、电表箱等辅材。</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安装调试</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设备安装、调试，接入平台配置及平台联网调试等，按接入监控设备计。</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39" w:type="dxa"/>
            <w:gridSpan w:val="6"/>
            <w:noWrap w:val="0"/>
            <w:vAlign w:val="center"/>
          </w:tcPr>
          <w:p>
            <w:pPr>
              <w:widowControl/>
              <w:jc w:val="left"/>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2、江边游步道新建人脸抓拍系统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0"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91"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766"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参考品牌</w:t>
            </w:r>
          </w:p>
        </w:tc>
        <w:tc>
          <w:tcPr>
            <w:tcW w:w="4048" w:type="dxa"/>
            <w:noWrap w:val="0"/>
            <w:vAlign w:val="center"/>
          </w:tcPr>
          <w:p>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技术要求</w:t>
            </w:r>
          </w:p>
        </w:tc>
        <w:tc>
          <w:tcPr>
            <w:tcW w:w="759"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015"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800万像素人脸抓拍机</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海康威视、大华、宇视</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具有双镜头、双通道一体化设计。</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通道1具有不小于800万像素 CMOS传感器，通道2具有不小于400万像素CMOS传感器。</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▲具有两个图像采集模块。（公安部检验报告证明）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具有不小于1/1.8"靶面尺寸。（公安部检验报告证明）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内置GPU芯片。（公安部检验报告证明）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▲内置混合补光灯，可对红外灯及白光灯功率进行调节。（公安部检验报告证明）</w:t>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信噪比不小于60dB。（公安部检验报告证明）</w:t>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通道1在3840x2160 @ 25fps下，清晰度均不小于2000TVL；通道2在2560x1440 @ 25fps下，清晰度均不小于1400TVL。（公安部检验报告证明）</w:t>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▲支持混合抓拍模式，可同时对行人、非机动车、机动车进行检测、跟踪及抓拍。在混合抓拍模式下，行人、非机动车和机动车目标捕获率不低于99%。（公安部检验报告证明）</w:t>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▲在混合抓拍模式下，支持行人、非机动车和机动车的分类计数。（公安部检验报告证明）</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在混合抓拍模式下，支持将人脸与人体、车牌与车辆进行关联。（公安部检验报告证明）</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支持行人、非机动车属性提取。（公安部检验报告证明）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支持检出两眼瞳距20像素点以上的人脸图片。（公安部检验报告证明）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人脸检出率不小于99%。（公安部检验报告证明）</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支持人脸区域自动曝光功能，可根据外部不同场景和光照变化自动调节人脸区域曝光参数。（公安部检验报告证明）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▲支持单场景同时检出不少于40张人脸图片，并支持面部跟踪。（公安部检验报告证明）</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支持批量导入人脸库，人脸库图片信息可更改。（公安部检验报告证明）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▲支持人脸比对，比对准确率不低于99%。可识别不低于300种车辆品牌。（公安部检验报告证明）</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车辆品牌识别白天准确率大于99%，晚上准确率大于97%。（公安部检验报告证明）</w:t>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▲可识别不低于5000种车辆子品牌。（公安部检验报告证明）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车辆子品牌识别白天准确率大于97%，晚上准确率大于93%。（公安部检验报告证明）</w:t>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可识别11种车辆颜色。（公安部检验报告证明</w:t>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车辆车身颜色识别准确率大于95%。（公安部检验报告证明）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可识别10种车型，包括轿车、小型轿车、微型轿车、客车、中型客车、面包车、大货车、小货车、SUV-MPV、皮卡。（公安部检验报告证明）</w:t>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车型识别白天准确率大于99%，晚上准确率大于95%。（公安部检验报告证明）</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▲支持捕获、识别新能源汽车专用号牌。（公安部检验报告证明）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需支持本地SD卡存储，最大支持256G。（公安部检验报告证明）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不低于IP66防护等级、IK10防暴等级。（公安部检验报告证明）</w:t>
            </w:r>
            <w:r>
              <w:rPr>
                <w:rFonts w:hint="eastAsia" w:ascii="宋体" w:hAnsi="宋体" w:eastAsia="宋体" w:cs="宋体"/>
                <w:color w:val="auto"/>
                <w:sz w:val="18"/>
                <w:szCs w:val="18"/>
                <w:highlight w:val="none"/>
              </w:rPr>
              <w:tab/>
            </w:r>
            <w:r>
              <w:rPr>
                <w:rFonts w:hint="eastAsia" w:ascii="宋体" w:hAnsi="宋体" w:cs="宋体"/>
                <w:color w:val="auto"/>
                <w:sz w:val="18"/>
                <w:szCs w:val="18"/>
              </w:rPr>
              <w:tab/>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倒L型立杆</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立杆净高3m（不含覆土）；悬臂长2-6m；件内外热镀锌表面喷黑色塑处理</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立杆基础</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C25混凝土浇筑，含基础，开挖、回填、机械费、人工费、垃圾外运、施工围护、接地,以及立杆基础的道路、绿化挖掘的修复及赔偿等</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过欠压保护器</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自动重合漏电保护器，保护线路电压不稳、前端断零线、感应电压问题等，阻燃塑料，过电压值270-280VAC,欠电压值155-165VAC，额定电流：32/40/63/80A，额定电压230V。</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杆装设备箱</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双层密封箱体，自然散热，防护等级IP55，无风扇设计，尺寸：500mm×400mm ×200mm。</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辅材</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安装所需的包括抱箍、支架、接地线、接地体等一切其他材料。</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安装调试</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设备安装、调试，接入平台配置及平台联网调试等，按接入监控设备计。</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39" w:type="dxa"/>
            <w:gridSpan w:val="6"/>
            <w:noWrap w:val="0"/>
            <w:vAlign w:val="center"/>
          </w:tcPr>
          <w:p>
            <w:pPr>
              <w:widowControl/>
              <w:jc w:val="left"/>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3、商场、超市、医院及高速口新建人脸抓拍系统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0"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91"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766"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参考品牌</w:t>
            </w:r>
          </w:p>
        </w:tc>
        <w:tc>
          <w:tcPr>
            <w:tcW w:w="4048" w:type="dxa"/>
            <w:noWrap w:val="0"/>
            <w:vAlign w:val="center"/>
          </w:tcPr>
          <w:p>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技术要求</w:t>
            </w:r>
          </w:p>
        </w:tc>
        <w:tc>
          <w:tcPr>
            <w:tcW w:w="759"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015"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800万像素人脸抓拍机</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海康威视、大华、宇视</w:t>
            </w:r>
          </w:p>
        </w:tc>
        <w:tc>
          <w:tcPr>
            <w:tcW w:w="4048" w:type="dxa"/>
            <w:noWrap w:val="0"/>
            <w:vAlign w:val="center"/>
          </w:tcPr>
          <w:p>
            <w:pPr>
              <w:widowControl/>
              <w:spacing w:after="240" w:afterLine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800万 1/1.8" CMOSAI筒型网络摄像机 </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xml:space="preserve">智能模式:支持混合目标检测（默认）、人脸抓拍模式切换 </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xml:space="preserve"> 具有不小于1/2"靶面尺寸。（公安部检验报告证明）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内置GPU芯片。（公安部检验报告证明）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▲内置混合补光灯，可对红外灯及白光灯功率进行调节。（公安部检验报告证明）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信噪比不小于60dB。（公安部检验报告证明）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在3840x2160 @ 25fps下，清晰度不小于2000TVL。（公安部检验报告证明）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需支持五码流技术，主码流最高≥3840x2160@30fps；子码流≥704x480@30fps；第三码流最高≥1920x1080@30fps；第四码流最高≥704x480@30fps；第五码流最高≥704x480@30fps。（公安部检验报告证明）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▲支持混合抓拍模式，可同时对行人、非机动车、机动车进行检测、跟踪及抓拍。（公安部检验报告证明）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在混合抓拍模式下，行人、非机动车和机动车目标捕获率不低于99%。在混合抓拍模式下，支持行人、非机动车和机动车的分类计数。在混合抓拍模式下，支持将人脸与人体、车牌与车辆进行关联。（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▲支持行人、非机动车属性提取。（公安部检验报告证明）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支持检出两眼瞳距20像素点以上的人脸图片。（公安部检验报告证明）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▲支持单场景同时检出不少于40张人脸图片，并支持面部跟踪。（公安部检验报告证明）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人脸检出率不小于99%。（公安部检验报告证明）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支持人脸区域自动曝光功能，可根据外部不同场景和光照变化自动调节人脸区域曝光参数。</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可识别不低于170种车辆品牌。（公安部检验报告证明）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车辆品牌识别白天准确率大于99%，晚上准确率大于97%。（公安部检验报告证明）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可识别不低于3600种车辆子品牌。（公安部检验报告证明）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车辆子品牌识别白天准确率大于97%，晚上准确率大于93%。（公安部检验报告证明）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可识别11种车辆颜色。（公安部检验报告证明）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车辆车身颜色识别准确率大于95%。（公安部检验报告证明）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可识别10种车型，包括轿车、小型轿车、微型轿车、客车、中型客车、面包车、大货车、小货车、SUV-MPV、皮卡。（公安部检验报告证明）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车型识别白天准确率大于99%，晚上准确率大于95%。（公安部检验报告证明）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支持捕获、识别新能源汽车专用号牌。（公安部检验报告证明）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不低于IP67防尘防水、IK10防暴等级。（公安部检验报告证明）</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800万像素人脸抓拍机</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海康威视、大华、宇视</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具有双镜头、双通道一体化设计。</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通道1具有不小于800万像素 CMOS传感器，通道2具有不小于400万像素CMOS传感器。</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▲具有两个图像采集模块。（公安部检验报告证明）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具有不小于1/1.8"靶面尺寸。（公安部检验报告证明）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内置GPU芯片。（公安部检验报告证明）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▲内置混合补光灯，可对红外灯及白光灯功率进行调节。（公安部检验报告证明）</w:t>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信噪比不小于60dB。（公安部检验报告证明）</w:t>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通道1在3840x2160 @ 25fps下，清晰度均不小于2000TVL；通道2在2560x1440 @ 25fps下，清晰度均不小于1400TVL。（公安部检验报告证明）</w:t>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▲支持混合抓拍模式，可同时对行人、非机动车、机动车进行检测、跟踪及抓拍。在混合抓拍模式下，行人、非机动车和机动车目标捕获率不低于99%。（公安部检验报告证明）</w:t>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▲在混合抓拍模式下，支持行人、非机动车和机动车的分类计数。（公安部检验报告证明）</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在混合抓拍模式下，支持将人脸与人体、车牌与车辆进行关联。（公安部检验报告证明）</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支持行人、非机动车属性提取。（公安部检验报告证明）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支持检出两眼瞳距20像素点以上的人脸图片。（公安部检验报告证明）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人脸检出率不小于99%。（公安部检验报告证明）</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支持人脸区域自动曝光功能，可根据外部不同场景和光照变化自动调节人脸区域曝光参数。（公安部检验报告证明）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▲支持单场景同时检出不少于40张人脸图片，并支持面部跟踪。（公安部检验报告证明）</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支持批量导入人脸库，人脸库图片信息可更改。（公安部检验报告证明）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▲支持人脸比对，比对准确率不低于99%。可识别不低于300种车辆品牌。（公安部检验报告证明）</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车辆品牌识别白天准确率大于99%，晚上准确率大于97%。（公安部检验报告证明）</w:t>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▲可识别不低于5000种车辆子品牌。（公安部检验报告证明）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车辆子品牌识别白天准确率大于97%，晚上准确率大于93%。（公安部检验报告证明）</w:t>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可识别11种车辆颜色。（公安部检验报告证明</w:t>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车辆车身颜色识别准确率大于95%。（公安部检验报告证明）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可识别10种车型，包括轿车、小型轿车、微型轿车、客车、中型客车、面包车、大货车、小货车、SUV-MPV、皮卡。（公安部检验报告证明）</w:t>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车型识别白天准确率大于99%，晚上准确率大于95%。（公安部检验报告证明）</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▲支持捕获、识别新能源汽车专用号牌。（公安部检验报告证明）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需支持本地SD卡存储，最大支持256G。（公安部检验报告证明）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ab/>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不低于IP66防护等级、IK10防暴等级。（公安部检验报告证明）</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支架或挑臂</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1-6米支架或挑臂，整体热镀锌，直径不低于140mm，壁厚不低于4mm。</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倒L型立杆</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立杆净高3m（不含覆土）；悬臂长2-6m；件内外热镀锌表面喷黑色塑处理</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立杆基础</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C25混凝土浇筑，含基础，开挖、回填、机械费、人工费、垃圾外运、施工围护、接地,以及立杆基础的道路、绿化挖掘的修复及赔偿等</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过欠压保护器</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自动重合漏电保护器，保护线路电压不稳、前端断零线、感应电压问题等，阻燃塑料，过电压值270-280VAC,欠电压值155-165VAC，额定电流：32/40/63/80A，额定电压230V。</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杆装设备箱</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双层密封箱体，自然散热，防护等级IP55，无风扇设计，尺寸：500mm×400mm ×200mm。</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辅材</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安装所需的包括抱箍、支架、接地线、接地体等一切其他材料。</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安装调试</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设备安装、调试，接入平台配置及平台联网调试等，按接入监控设备计。</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739" w:type="dxa"/>
            <w:gridSpan w:val="6"/>
            <w:noWrap w:val="0"/>
            <w:vAlign w:val="center"/>
          </w:tcPr>
          <w:p>
            <w:pPr>
              <w:widowControl/>
              <w:jc w:val="left"/>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4、国保**重要目标新建人脸抓拍系统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0"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91"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766"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参考品牌</w:t>
            </w:r>
          </w:p>
        </w:tc>
        <w:tc>
          <w:tcPr>
            <w:tcW w:w="4048" w:type="dxa"/>
            <w:noWrap w:val="0"/>
            <w:vAlign w:val="center"/>
          </w:tcPr>
          <w:p>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技术要求</w:t>
            </w:r>
          </w:p>
        </w:tc>
        <w:tc>
          <w:tcPr>
            <w:tcW w:w="759"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015"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200万像素人脸抓拍半球</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海康威视、大华、宇视</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★200万像素星光级1/1.8”靶面尺寸CMOS半球型人脸抓拍网络摄像机。（公安部检验报告证明）</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▲内置GPU芯片。（公安部检验报告证明）。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内置电动变焦镜头，支持1.5倍光学变倍。</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最低照度彩色:0.001 Lux @(F1.2,AGC ON)；黑白:0.0003Lux @(F1.2,AGC ON)</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镜头：6mm~9mm: F1.6 水平视场角49°~37°</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调整角度：水平：0-355° ；垂直：0-75°；</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视频压缩标准：H.265/H.264 / MJPEG</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最大图像尺寸：1920×1080</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设备配置2个点阵红外灯，红外补光距离不小于50米。</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支持检出两眼瞳距40像素点以上的人脸图片。</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存储功能：支持Micro SD(128G)断网本地存储,NAS(NFS,SMB/CIFS均支持)</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支持三种智能资源切换：人脸抓拍（默认）、道路监控、Smart事件</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▲人脸抓拍：支持对运动人脸进行检测、跟踪、抓拍、评分、筛选，输出最优的人脸抓图，最多同时检测30张人脸。（公安部检验报告证明）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道路监控：支持车牌、车型、车身颜色。支持行人、非机动车、机动车的混行检测</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smart事件：越界侦测,区域入侵侦测,进入/离开区域侦测,徘徊侦测,人员聚集侦测,快速运动侦测,停车侦测,物品遗留/拿取侦测</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抓图分辨率：分辨率：1920x1080</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背景大图图片字符叠加功能：支持设备编号、抓拍时间、监测点信息</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抓拍次数：支持抓拍次数（1-10次）可设</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人脸曝光：支持</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宽动态：宽动态范围达120dB，室内逆光环境下监控</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无线参数Wi-Fi协议：IEEE 802.11b/g/n</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频率范围：2.4GHz:2.412-2.472GHz</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xml:space="preserve">信道带宽：20/40MHz </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调制方式：802.11g/n：OFDM(BPSK,QPSK,16QAM,64QAM)；802.11b：CCK 11Mbps,5.5Mbp，QPSK 2Mbps ，BPSK 1Mbps</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加密方式：64/128-bit WEP, WPA/WP</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过欠压保护器</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自动重合漏电保护器，保护线路电压不稳、前端断零线、感应电压问题等，阻燃塑料，过电压值270-280VAC,欠电压值155-165VAC，额定电流：32/40/63/80A，额定电压230V。</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杆装设备箱</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双层密封箱体，自然散热，防护等级IP55，无风扇设计，尺寸：500mm×400mm ×200mm。</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辅材</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安装所需的包括抱箍、支架、接地线、接地体等一切其他材料。</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安装调试</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设备安装、调试，接入平台配置及平台联网调试等，按接入监控设备计。</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39" w:type="dxa"/>
            <w:gridSpan w:val="6"/>
            <w:tcBorders>
              <w:top w:val="single" w:color="auto" w:sz="4" w:space="0"/>
            </w:tcBorders>
            <w:noWrap w:val="0"/>
            <w:vAlign w:val="center"/>
          </w:tcPr>
          <w:p>
            <w:pPr>
              <w:widowControl/>
              <w:jc w:val="left"/>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5、中心设备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91"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766"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参考品牌</w:t>
            </w:r>
          </w:p>
        </w:tc>
        <w:tc>
          <w:tcPr>
            <w:tcW w:w="4048" w:type="dxa"/>
            <w:noWrap w:val="0"/>
            <w:vAlign w:val="center"/>
          </w:tcPr>
          <w:p>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技术要求</w:t>
            </w:r>
          </w:p>
        </w:tc>
        <w:tc>
          <w:tcPr>
            <w:tcW w:w="759" w:type="dxa"/>
            <w:noWrap w:val="0"/>
            <w:vAlign w:val="center"/>
          </w:tcPr>
          <w:p>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015" w:type="dxa"/>
            <w:noWrap w:val="0"/>
            <w:vAlign w:val="center"/>
          </w:tcPr>
          <w:p>
            <w:pPr>
              <w:widowControl/>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72盘位视频存储磁盘阵列</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p>
            <w:pPr>
              <w:widowControl/>
              <w:jc w:val="center"/>
              <w:rPr>
                <w:rFonts w:hint="eastAsia" w:ascii="宋体" w:hAnsi="宋体" w:eastAsia="宋体" w:cs="宋体"/>
                <w:color w:val="auto"/>
                <w:sz w:val="21"/>
                <w:szCs w:val="21"/>
                <w:highlight w:val="none"/>
              </w:rPr>
            </w:pP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海康威视、大华、宇视</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机架式/8U72盘位/2048Mbps接入带宽/SATA硬盘/双64位多核处理器，8GB高速缓存4个千兆网口；</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▲单设备应配置≥两颗64位多核处理器，≥8GB内存，内存支持扩展到≥256GB，需配置冗余金牌电源（以公安部检测报告为准，其中电源仅以照片证明即可）</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单设备应标配≥4个千兆网口，可增扩≥2个万兆口或≥4个光纤接口，可增扩2个SSD固态硬盘；</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应能接入并存储2448Mbps视频图像，同时转发2448Mbps的视频图像；同时回放384Mbps的视频图像；</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▲可对指定的录像段或指定事件的1个或多个前端的不同时间段的录像段添加标签，并自动备份到存档卷中，使之不会被覆盖删除；（以公安部检测报告为准）；</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在RAID内丢失2块（含）以上硬盘但至少有1块正常磁盘时，无需等待丢失盘恢复，保留的硬盘中的数据可正常读出，且新数据可正常写入；</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可根据事件名称查询所有相关联的不同前端或时间的录像段并进行回放和下载；</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人脸解析单元</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海康威视、大华、旷视</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设备集成大数据和图片云存储。</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4U机架式设备，采用模块化、可插拔设计，具有1+1冗余电源；</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两块智能分析版，每块智能分析版集成20颗GPU芯片；</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8个千兆自适应网络接口，4个VGA接口，8个USB 3.0接口和4个USB 2.0接口；</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4颗高性能Intel E5-2600系列 CPU，144G DDR3内存，5个480GB SSD硬盘，7个4TB企业级硬盘；</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支持200张每秒人脸图片分析和建模；</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支持1600W像素人脸图片导入识别；</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支持识别和分析瞳距大于等于40像素的人脸图片；</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▲大数据写入情况下,人脸图片建模速度不低于320张/秒；（以公安部检验报告为准）</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人脸图片建模成功率不低于99%；</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支持单场景同时检出不少于20张人脸照片；支持检出两眼瞳距20像素点以上的人脸图片；单人图片的人脸检出率不低于99%；</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支持检出抬头、低头、左右转动、右斜向上、右斜向下、左斜向上、左斜向下等的人脸；</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支持识别人脸是否戴眼镜，人脸戴眼镜检出率不低于99%，戴眼镜识别准确率不低于99%；</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支持识别人脸是否微笑，微笑识别检出率不低于99%；</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支持识别人脸是否高危人群，人脸是否高危人群检出率不低于99%；</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支持将单张待比对图片与抓拍库或静态库中人脸图片进行比对，输出比对的相似人脸图片；</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▲5000万人脸库以脸搜脸检索响应速度不超过3秒；（以公安部检验报告为准）</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▲支持按照性别、年龄段、是否戴眼镜、是否微笑、是否高危人群、点位信息、抓拍时间对历史抓拍人脸图片进行检索与导出；（以公安部检验报告为准）</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支持导入两张人脸图片进行一对一比对，输出比对相似度；比对性能不低于80对/S；1V1比对响应时间不超过1秒；</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支持按照时间、名称查看检索运行、报警、操作日志，支持日志以文档形式一键导出；</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▲要求接入诸暨市公安局知行平台，并实现与省厅云上公安系统进行数据对接。</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接入服务器</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海康威视、浪潮、戴尔</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E5-2620 V4(8核2.1GHz)×2/16GB DDR4×2 /1TB SATA×2/SAS_HBA/DVD/1GbE×4/冗电/导轨/2U/Windows Server 2008 R2简体中文标准版激活码</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48盘位图片存储磁盘阵列</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海康威视、大华、宇视</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8U标准机架式48盘位；双64位多核处理器；16GB缓存；冗余电源；支持SATA硬盘；4个千兆网口；1个系统SSD盘；1个数据SSD盘；支持外接SAS扩展柜。</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 xml:space="preserve">单设备应标配≥4个千兆网口，可增扩≥2个万兆口或≥4个光纤接口，并可增扩2个SSD固态硬盘； </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应能接入并存储2448Mbps视频图像，同时转发2448Mbps的视频图像；同时回放384Mbps的视频图像；</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▲可对指定的录像段或指定事件的1个或多个前端的不同时间段的录像段添加标签，并自动备份到存档卷中，使之不会被覆盖删除；（以公安部检测报告为准）；</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在RAID内丢失2块（含）以上硬盘但至少有1块正常磁盘时，无需等待丢失盘恢复，保留的硬盘中的数据可正常读出，且新数据可正常写入；</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可根据事件名称查询所有相关联的不同前端或时间的录像段并进行回放和下载；</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云存储管理节点</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海康威视、dell、宇视</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E5-2650V2x2/8GB DDR3 ECCx8/480G SSD x4 /热插拔/以太网口1Gx2/冗余电源/2U</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0"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91"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w:t>
            </w:r>
          </w:p>
        </w:tc>
        <w:tc>
          <w:tcPr>
            <w:tcW w:w="766"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西数、希捷、日立</w:t>
            </w:r>
          </w:p>
        </w:tc>
        <w:tc>
          <w:tcPr>
            <w:tcW w:w="4048" w:type="dxa"/>
            <w:noWrap w:val="0"/>
            <w:vAlign w:val="center"/>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6TB/128MB（6GB/秒 NCQ）/7200RPM/SATA 3.5HDD</w:t>
            </w:r>
          </w:p>
        </w:tc>
        <w:tc>
          <w:tcPr>
            <w:tcW w:w="759"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1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348</w:t>
            </w:r>
          </w:p>
        </w:tc>
      </w:tr>
    </w:tbl>
    <w:p>
      <w:pPr>
        <w:pStyle w:val="6"/>
        <w:numPr>
          <w:ilvl w:val="0"/>
          <w:numId w:val="0"/>
        </w:num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⑥系统点位</w:t>
      </w:r>
    </w:p>
    <w:p>
      <w:p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2"/>
          <w:highlight w:val="none"/>
        </w:rPr>
        <w:t>1、火车站新建人脸抓拍系统</w:t>
      </w:r>
    </w:p>
    <w:tbl>
      <w:tblPr>
        <w:tblStyle w:val="3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7"/>
        <w:gridCol w:w="1200"/>
        <w:gridCol w:w="1800"/>
        <w:gridCol w:w="2138"/>
        <w:gridCol w:w="1612"/>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23"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火车站新建人脸抓拍系统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81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2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安装地点</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安装区域名称</w:t>
            </w:r>
          </w:p>
        </w:tc>
        <w:tc>
          <w:tcPr>
            <w:tcW w:w="213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安装部位</w:t>
            </w:r>
          </w:p>
        </w:tc>
        <w:tc>
          <w:tcPr>
            <w:tcW w:w="161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摄像头类型</w:t>
            </w:r>
          </w:p>
        </w:tc>
        <w:tc>
          <w:tcPr>
            <w:tcW w:w="11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1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2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诸暨站</w:t>
            </w:r>
          </w:p>
        </w:tc>
        <w:tc>
          <w:tcPr>
            <w:tcW w:w="1800" w:type="dxa"/>
            <w:tcBorders>
              <w:top w:val="nil"/>
              <w:left w:val="nil"/>
              <w:bottom w:val="nil"/>
              <w:right w:val="nil"/>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进站大厅</w:t>
            </w:r>
          </w:p>
        </w:tc>
        <w:tc>
          <w:tcPr>
            <w:tcW w:w="213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大厅正中立柱上</w:t>
            </w:r>
          </w:p>
        </w:tc>
        <w:tc>
          <w:tcPr>
            <w:tcW w:w="1612"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1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2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诸暨站</w:t>
            </w:r>
          </w:p>
        </w:tc>
        <w:tc>
          <w:tcPr>
            <w:tcW w:w="180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售票大厅</w:t>
            </w:r>
          </w:p>
        </w:tc>
        <w:tc>
          <w:tcPr>
            <w:tcW w:w="213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西南角、东面墙</w:t>
            </w:r>
          </w:p>
        </w:tc>
        <w:tc>
          <w:tcPr>
            <w:tcW w:w="1612"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球机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1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2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诸暨站</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安检大厅</w:t>
            </w:r>
          </w:p>
        </w:tc>
        <w:tc>
          <w:tcPr>
            <w:tcW w:w="213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东面墙正对安检仪</w:t>
            </w:r>
          </w:p>
        </w:tc>
        <w:tc>
          <w:tcPr>
            <w:tcW w:w="1612"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1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2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诸暨站</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贵宾室门口</w:t>
            </w:r>
          </w:p>
        </w:tc>
        <w:tc>
          <w:tcPr>
            <w:tcW w:w="213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一楼大厅西南角</w:t>
            </w:r>
          </w:p>
        </w:tc>
        <w:tc>
          <w:tcPr>
            <w:tcW w:w="1612"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球机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1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2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诸暨站</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行包房停车场内</w:t>
            </w:r>
          </w:p>
        </w:tc>
        <w:tc>
          <w:tcPr>
            <w:tcW w:w="213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p>
        </w:tc>
        <w:tc>
          <w:tcPr>
            <w:tcW w:w="1612"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球机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1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2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诸暨站</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诸暨站下广场</w:t>
            </w:r>
          </w:p>
        </w:tc>
        <w:tc>
          <w:tcPr>
            <w:tcW w:w="213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灯塔</w:t>
            </w:r>
          </w:p>
        </w:tc>
        <w:tc>
          <w:tcPr>
            <w:tcW w:w="1612"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球机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1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2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诸暨站</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天桥楼梯口下方</w:t>
            </w:r>
          </w:p>
        </w:tc>
        <w:tc>
          <w:tcPr>
            <w:tcW w:w="213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楼梯南侧</w:t>
            </w:r>
          </w:p>
        </w:tc>
        <w:tc>
          <w:tcPr>
            <w:tcW w:w="1612"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1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2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诸暨站</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西华海立交</w:t>
            </w:r>
          </w:p>
        </w:tc>
        <w:tc>
          <w:tcPr>
            <w:tcW w:w="213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k226+116</w:t>
            </w:r>
          </w:p>
        </w:tc>
        <w:tc>
          <w:tcPr>
            <w:tcW w:w="1612"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567"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总计</w:t>
            </w:r>
          </w:p>
        </w:tc>
        <w:tc>
          <w:tcPr>
            <w:tcW w:w="115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r>
    </w:tbl>
    <w:p>
      <w:pPr>
        <w:pStyle w:val="3"/>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2、江边游步道新建人脸抓拍系统</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94"/>
        <w:gridCol w:w="4741"/>
        <w:gridCol w:w="1078"/>
        <w:gridCol w:w="86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gridSpan w:val="2"/>
            <w:noWrap w:val="0"/>
            <w:vAlign w:val="center"/>
          </w:tcPr>
          <w:p>
            <w:pPr>
              <w:jc w:val="center"/>
              <w:rPr>
                <w:rFonts w:hint="default" w:ascii="Times New Roman" w:hAnsi="Times New Roman" w:eastAsia="宋体" w:cs="Times New Roman"/>
                <w:b/>
                <w:bCs/>
                <w:color w:val="auto"/>
                <w:sz w:val="21"/>
                <w:szCs w:val="21"/>
                <w:highlight w:val="none"/>
              </w:rPr>
            </w:pPr>
          </w:p>
        </w:tc>
        <w:tc>
          <w:tcPr>
            <w:tcW w:w="7547" w:type="dxa"/>
            <w:gridSpan w:val="4"/>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江边游步道新建人脸抓拍系统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编号</w:t>
            </w:r>
          </w:p>
        </w:tc>
        <w:tc>
          <w:tcPr>
            <w:tcW w:w="4835" w:type="dxa"/>
            <w:gridSpan w:val="2"/>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监控点</w:t>
            </w:r>
          </w:p>
        </w:tc>
        <w:tc>
          <w:tcPr>
            <w:tcW w:w="1078"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机型</w:t>
            </w:r>
          </w:p>
        </w:tc>
        <w:tc>
          <w:tcPr>
            <w:tcW w:w="864" w:type="dxa"/>
            <w:noWrap w:val="0"/>
            <w:vAlign w:val="center"/>
          </w:tcPr>
          <w:p>
            <w:pPr>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数量</w:t>
            </w:r>
          </w:p>
        </w:tc>
        <w:tc>
          <w:tcPr>
            <w:tcW w:w="864"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浣纱北路靠电力大楼向西过道口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浣纱北路靠健康路向北过道口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浣纱北路靠梦泽办公超市向南过道口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浣纱北路靠云海钓鱼世界向南过道口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滨江南路靠太平桥向北过道口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浣纱北路靠54号与55号之间向北过道口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浣纱北路靠61幢珈庭美容院向南过道口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浣纱北路靠浣纱支路交叉口向北过道口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滨江南路靠滨江路9号向北过道口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滨江南路靠广播电视台向北过道口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滨江中路靠暨阳桥向北过道口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滨江北路靠暨阳岗亭向南过道口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滨江北路靠福门新村23幢向南过道口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滨江北路靠御品茶楼向北过道口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滨江北路靠35号与37号之间向北过道口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滨江北路靠永昌桥向东过道口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滨江北路靠江东路向东过道口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滨江北路靠祥生宏宇向东北过道口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浦阳江一号靠和济桥向东过道口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浦阳江一号靠电配房向西过道口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浦阳江一号靠中间花园向西过道口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浦阳江一号靠中间花园向东过道口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浦阳江一号靠东江大桥向东过道口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东江大桥靠体育公园向西过道口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暨阳北路靠公园向西过道口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暨阳北路靠郭家停车场向西过道口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东江路靠东江公园向西过道口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东江路靠永昌桥向东过道口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东江路靠体育公园向北过道口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东江路靠体育公园向南过道口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东江路靠体育公园凉亭向南过道口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东江路靠体育公园竹林处向东过道口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暨阳北路靠茅诸埠桥向东过道口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西江路靠江味馆向南过道口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西江路靠中源国际29号向北过道口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浣纱北路靠128号店面向北过道口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浣纱北路靠锦江路向南过道口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38</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浣纱中路靠红旗路向西过道口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浣纱南路靠古城墙向西过道口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浣纱南路靠南屏路浣江公园向南过道口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浣纱南路靠浣纱横路浣江公园向北过道口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浣纱南路靠南兴路儿童游乐设施向北过道口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43</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浣纱南路靠浣纱大桥向北过道口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浣纱南路靠浣纱大桥墩下向南江边</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浣纱南路靠原人民医院水文站向南江边</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浣纱南路靠西施殿凉亭下向北江边</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西施故里游船码头靠便桥向西江边</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48</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西施故里游船码头靠便桥向北江边</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49</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滨江花苑江边公园向南过道口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滨江花苑江边公园向北过道口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滨江南路靠新岛国际向南过道口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滨江南路靠建设大厦向北过道口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tabs>
                <w:tab w:val="center" w:pos="383"/>
                <w:tab w:val="left" w:pos="520"/>
              </w:tabs>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滨江南路靠雄风超市向北过道口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w:t>
            </w:r>
          </w:p>
        </w:tc>
        <w:tc>
          <w:tcPr>
            <w:tcW w:w="4835"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滨江南路靠农商总行向北过道口</w:t>
            </w:r>
          </w:p>
        </w:tc>
        <w:tc>
          <w:tcPr>
            <w:tcW w:w="107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枪机</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p>
        </w:tc>
        <w:tc>
          <w:tcPr>
            <w:tcW w:w="86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立杆</w:t>
            </w:r>
          </w:p>
        </w:tc>
      </w:tr>
    </w:tbl>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3、商场、超市、医院及高速口新建人脸抓拍系统　</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774"/>
        <w:gridCol w:w="1899"/>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88" w:type="dxa"/>
            <w:gridSpan w:val="4"/>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雪亮工程人脸点位（商场超市医院等）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3774"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安装位置</w:t>
            </w:r>
          </w:p>
        </w:tc>
        <w:tc>
          <w:tcPr>
            <w:tcW w:w="1899"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c>
          <w:tcPr>
            <w:tcW w:w="1618"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江东分院急诊门口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江东分院门诊大厅门口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江东分院侧门电梯口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新中医院1号楼门诊正门口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新中医院1号楼西1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新中医院1号楼西2放射科旁</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新中医院1号楼急诊门口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新中医院2号楼住院部北门</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福田花园雄风超市门口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一百超市城东店二楼超市入口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一百超市城东店嘉年华影城入口一楼</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雄风新天地超市主入口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雄风新天地超市西面入口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雄风新天地泰和影城吧台前</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永利吾悦广场物美超市入口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永利吾悦广场四楼明星时代影城入口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大润发超市入口二楼</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印象城物美超市入口（朝电梯）</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印象城保利国际影城检票口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第一百货总店东湖菜场朝南</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第一百货总店东湖菜场朝北</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第一百货总店一百电影城电梯口1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第一百货总店一百电影城电梯口2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第一百货总店一百超市</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暨阳路中医院门诊大厅</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暨阳路雄风超市前门入口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暨阳路雄风超市后门入口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暨阳路世纪联华超市入口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暨阳路妇保院夜间急诊入口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暨阳路妇保院正门入口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暨阳路雄风百货正门</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暨阳路雄风百货南门入口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朱公路市中心医院门诊入口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朱公路市中心医院急诊入口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朱公路市中心医院住院部电梯入口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朱公路一百超市入口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朱公路朱公湖农贸市场正门入口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朱公路朱公湖农贸市场北入口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朱公路世纪联华入口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詹家山路雄风超市城北店入口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一百超市上海城店入口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一百超市跨湖路1号店入口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雄风超市望云路店入口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w:t>
            </w:r>
          </w:p>
        </w:tc>
        <w:tc>
          <w:tcPr>
            <w:tcW w:w="3774" w:type="dxa"/>
            <w:vMerge w:val="restar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人民医院门诊正门口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w:t>
            </w:r>
          </w:p>
        </w:tc>
        <w:tc>
          <w:tcPr>
            <w:tcW w:w="3774" w:type="dxa"/>
            <w:vMerge w:val="continue"/>
            <w:noWrap w:val="0"/>
            <w:vAlign w:val="center"/>
          </w:tcPr>
          <w:p>
            <w:pPr>
              <w:jc w:val="center"/>
              <w:rPr>
                <w:rFonts w:hint="default" w:ascii="Times New Roman" w:hAnsi="Times New Roman" w:eastAsia="宋体" w:cs="Times New Roman"/>
                <w:color w:val="auto"/>
                <w:sz w:val="21"/>
                <w:szCs w:val="21"/>
                <w:highlight w:val="none"/>
              </w:rPr>
            </w:pP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w:t>
            </w:r>
          </w:p>
        </w:tc>
        <w:tc>
          <w:tcPr>
            <w:tcW w:w="3774" w:type="dxa"/>
            <w:vMerge w:val="continue"/>
            <w:noWrap w:val="0"/>
            <w:vAlign w:val="center"/>
          </w:tcPr>
          <w:p>
            <w:pPr>
              <w:jc w:val="center"/>
              <w:rPr>
                <w:rFonts w:hint="default" w:ascii="Times New Roman" w:hAnsi="Times New Roman" w:eastAsia="宋体" w:cs="Times New Roman"/>
                <w:color w:val="auto"/>
                <w:sz w:val="21"/>
                <w:szCs w:val="21"/>
                <w:highlight w:val="none"/>
              </w:rPr>
            </w:pP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w:t>
            </w:r>
          </w:p>
        </w:tc>
        <w:tc>
          <w:tcPr>
            <w:tcW w:w="3774" w:type="dxa"/>
            <w:vMerge w:val="continue"/>
            <w:noWrap w:val="0"/>
            <w:vAlign w:val="center"/>
          </w:tcPr>
          <w:p>
            <w:pPr>
              <w:jc w:val="center"/>
              <w:rPr>
                <w:rFonts w:hint="default" w:ascii="Times New Roman" w:hAnsi="Times New Roman" w:eastAsia="宋体" w:cs="Times New Roman"/>
                <w:color w:val="auto"/>
                <w:sz w:val="21"/>
                <w:szCs w:val="21"/>
                <w:highlight w:val="none"/>
              </w:rPr>
            </w:pP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人民医院急诊入口1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人民医院急诊入口2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人民医院住院部门口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火车站出口1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火车站出口2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火车站进口1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火车站进口2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一百城西商业广场和泰店</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三都东旺农贸市场入口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三都东旺新远影院二楼转角</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三都东旺新远影院前一楼楼梯</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雄风超市三都店</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西施故里景区入口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西施故里郑旦路岗亭</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西施故里江边游步道入口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西施故里丰球对面游步道入口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西施故里鸬鹚草堂入口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西施殿入口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人民南路190-3号一百超市仓储店入口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雄风超市南门店入口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南门苎萝影城</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人民南路81-3号南门市场入口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南门菜场鲜肉区入口33号摊位</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南门菜场006号摊位</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一百超市城市广场店</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江东路103号雄风超市江东路店</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江东路115号一百超市淘宝城店</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滨江北路30号一百超市永福店</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一百超市永昌店（人事局对面）</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汽车站旅客出口1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汽车站旅客出口2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汽车站安检口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汽车站快客入口1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汽车站快客入口2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不夜城二楼百联吉买盛超市入口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不夜城四楼横店影城3-6号厅</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不夜城四楼横店影城1-2号厅</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万达广场二楼永辉超市入口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万达广场影城检票口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暨东路87-1号一百超市浣东店</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市公共服务中心西门1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市公共服务中心西门2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市公共服务中心东门1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市公共服务中心东门2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市公共服务中心南门</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市政府大门口1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市政府大门口2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东一路市信访局大门口1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市信访局2靠儿童公园</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体育馆明显时代检票口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郞臻漫游未来影院检票口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东三路侧雄风超市应山店</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环城东路侧雄风超市应山店</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郭家停车场东江路入口1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郭家停车场东江路入口2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郭家停车场暨阳北路1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郭家停车场暨阳北路2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茅渚埠农贸市场春江路入口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茅渚埠农贸市场南门入口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茅渚埠农贸市场北门入口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雄风超市郭家店入口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环城北路农贸市场入口1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环城北路农贸市场入口2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朱公湖停车场入口1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朱公湖停车场入口2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朱公湖停车场出口1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朱公湖停车场出口2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枫桥大润发超市入口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枫桥第二人医急诊</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枫桥第二人医门诊</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枫桥第二人医住院部电梯口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枫桥家家乐超市入口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枫桥一百超市店</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枫桥嘉凯城蓝天国际影城入口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枫桥嘉凯城易嘉利超市入口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枫桥汽车站入口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枫桥汽车站南出口1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枫桥汽车站南出口2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枫桥汽车站北出口1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枫桥汽车站北出口2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大唐广粤荟二楼物美超市入口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大唐广粤荟四楼大地影院检票口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大唐开元东路一百超市大唐1店</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大唐唐人广场横店电影城检票口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大唐永新中传国际影城检票口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大唐永新1楼大润发电梯口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大唐第六人医门诊大厅门口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大唐第六人医急诊门口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大唐第六人医住院部电梯口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大唐农贸市场大门1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大唐农贸市场大门2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大唐农贸市场西门</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大唐农贸市场东门</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大唐农贸市场北门1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大唐农贸市场北门2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大唐劳务市场向阳超市二店南门</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大唐劳务市场向阳超市二店北门</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大唐劳务市场二楼楼梯口1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大唐劳务市场二楼楼梯口2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店口第四人医门诊大厅1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店口第四人医门诊大厅2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店口第四人医急诊大厅1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店口第四人医急诊大厅2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店口汽车站售票处</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店口文昌路向阳超市昌盛店</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店口嘉凯城物美超市一楼入口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店口嘉凯城星美国际影商城检票口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店口铭士广场世纪联华入口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店口铭士广场铭士电影院检票口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阮市白塔湖景区入口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山下湖米果果景区入口1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山下湖米果果景区入口2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东白湖海景沙滩景区入口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牌头第三人医急诊入口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牌头第三人医门诊入口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牌头第三人医住院部入口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牌头向阳超市入口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牌头雄风超市入口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牌头一百超市入口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牌头斗岩景区入口1</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牌头斗岩景区入口2</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安华雄风超市入口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安华一百超市入口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次坞向阳超市</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次坞雄风超市</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草塔一百超市入口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草塔雄风超市入口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草塔向阳超市入口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五洩风景区游船渡口入口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五洩农贸市场大门入口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五洩农贸市场侧门入口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1"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小计</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178</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88" w:type="dxa"/>
            <w:gridSpan w:val="4"/>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雪亮工程人脸点位（高速出口）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3774"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高速出口</w:t>
            </w:r>
          </w:p>
        </w:tc>
        <w:tc>
          <w:tcPr>
            <w:tcW w:w="1899"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c>
          <w:tcPr>
            <w:tcW w:w="1618" w:type="dxa"/>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杭金衢高速三都出口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表示4个常规出口+2个ETC出口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诸永高速诸暨北出口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诸永高速诸暨东出口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绍诸高速浣东出口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绍诸高速枫桥南出口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绍诸高速枫桥北出口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诸永高速璜山出口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杭金衢高速次坞出口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杭金衢高速牌头出口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绍诸高速诸暨南出口(王家井)</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杭金衢高速安华出口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诸永高速陈宅出口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绍诸高速街亭出口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3774"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诸永高速直埠出口</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1"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小计</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1" w:type="dxa"/>
            <w:gridSpan w:val="2"/>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c>
          <w:tcPr>
            <w:tcW w:w="1899"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224</w:t>
            </w:r>
          </w:p>
        </w:tc>
        <w:tc>
          <w:tcPr>
            <w:tcW w:w="1618" w:type="dxa"/>
            <w:noWrap w:val="0"/>
            <w:vAlign w:val="center"/>
          </w:tcPr>
          <w:p>
            <w:pPr>
              <w:jc w:val="center"/>
              <w:rPr>
                <w:rFonts w:hint="default" w:ascii="Times New Roman" w:hAnsi="Times New Roman" w:eastAsia="宋体" w:cs="Times New Roman"/>
                <w:color w:val="auto"/>
                <w:sz w:val="21"/>
                <w:szCs w:val="21"/>
                <w:highlight w:val="none"/>
              </w:rPr>
            </w:pPr>
          </w:p>
        </w:tc>
      </w:tr>
    </w:tbl>
    <w:p>
      <w:pPr>
        <w:spacing w:line="360" w:lineRule="auto"/>
        <w:rPr>
          <w:rFonts w:hint="default" w:ascii="Times New Roman" w:hAnsi="Times New Roman" w:eastAsia="宋体" w:cs="Times New Roman"/>
          <w:color w:val="auto"/>
          <w:sz w:val="24"/>
          <w:szCs w:val="24"/>
          <w:highlight w:val="none"/>
        </w:rPr>
      </w:pPr>
    </w:p>
    <w:p>
      <w:pPr>
        <w:pStyle w:val="2"/>
        <w:rPr>
          <w:rFonts w:hint="default"/>
        </w:rPr>
      </w:pP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4、国保**重要目标新建人脸抓拍系统　</w:t>
      </w: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6"/>
        <w:gridCol w:w="1973"/>
        <w:gridCol w:w="1787"/>
        <w:gridCol w:w="2157"/>
        <w:gridCol w:w="1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blHead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国保**重要目标新建人脸抓拍系统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blHeader/>
        </w:trPr>
        <w:tc>
          <w:tcPr>
            <w:tcW w:w="65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973"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单位、场所名称</w:t>
            </w:r>
          </w:p>
        </w:tc>
        <w:tc>
          <w:tcPr>
            <w:tcW w:w="178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地址</w:t>
            </w:r>
          </w:p>
        </w:tc>
        <w:tc>
          <w:tcPr>
            <w:tcW w:w="215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c>
          <w:tcPr>
            <w:tcW w:w="1949"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73"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市委市政府大楼</w:t>
            </w:r>
          </w:p>
        </w:tc>
        <w:tc>
          <w:tcPr>
            <w:tcW w:w="178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东一路19号</w:t>
            </w:r>
          </w:p>
        </w:tc>
        <w:tc>
          <w:tcPr>
            <w:tcW w:w="215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49"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5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973"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市广电大楼</w:t>
            </w:r>
          </w:p>
        </w:tc>
        <w:tc>
          <w:tcPr>
            <w:tcW w:w="178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江东路39号</w:t>
            </w:r>
          </w:p>
        </w:tc>
        <w:tc>
          <w:tcPr>
            <w:tcW w:w="215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49"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5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973"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市火车站</w:t>
            </w:r>
          </w:p>
        </w:tc>
        <w:tc>
          <w:tcPr>
            <w:tcW w:w="178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艮塔西路168号</w:t>
            </w:r>
          </w:p>
        </w:tc>
        <w:tc>
          <w:tcPr>
            <w:tcW w:w="215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49"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5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973"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水务集团</w:t>
            </w:r>
          </w:p>
        </w:tc>
        <w:tc>
          <w:tcPr>
            <w:tcW w:w="178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环城东路968号</w:t>
            </w:r>
          </w:p>
        </w:tc>
        <w:tc>
          <w:tcPr>
            <w:tcW w:w="215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49"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5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973"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海越石油基地</w:t>
            </w:r>
          </w:p>
        </w:tc>
        <w:tc>
          <w:tcPr>
            <w:tcW w:w="178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西二环路553号</w:t>
            </w:r>
          </w:p>
        </w:tc>
        <w:tc>
          <w:tcPr>
            <w:tcW w:w="215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49"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5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973"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汽车站</w:t>
            </w:r>
          </w:p>
        </w:tc>
        <w:tc>
          <w:tcPr>
            <w:tcW w:w="178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暨东路38号</w:t>
            </w:r>
          </w:p>
        </w:tc>
        <w:tc>
          <w:tcPr>
            <w:tcW w:w="215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49"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5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973"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八方热电厂</w:t>
            </w:r>
          </w:p>
        </w:tc>
        <w:tc>
          <w:tcPr>
            <w:tcW w:w="178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苎萝东路66弄18号</w:t>
            </w:r>
          </w:p>
        </w:tc>
        <w:tc>
          <w:tcPr>
            <w:tcW w:w="215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49"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5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973"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人民医院</w:t>
            </w:r>
          </w:p>
        </w:tc>
        <w:tc>
          <w:tcPr>
            <w:tcW w:w="178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健民路9号</w:t>
            </w:r>
          </w:p>
        </w:tc>
        <w:tc>
          <w:tcPr>
            <w:tcW w:w="215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49"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65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973"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五泄水库</w:t>
            </w:r>
          </w:p>
        </w:tc>
        <w:tc>
          <w:tcPr>
            <w:tcW w:w="178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五泄景区内</w:t>
            </w:r>
          </w:p>
        </w:tc>
        <w:tc>
          <w:tcPr>
            <w:tcW w:w="215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49"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5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973"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陈蔡水库</w:t>
            </w:r>
          </w:p>
        </w:tc>
        <w:tc>
          <w:tcPr>
            <w:tcW w:w="178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东白湖镇休闲度假中心</w:t>
            </w:r>
          </w:p>
        </w:tc>
        <w:tc>
          <w:tcPr>
            <w:tcW w:w="215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49"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5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973"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石壁水库</w:t>
            </w:r>
          </w:p>
        </w:tc>
        <w:tc>
          <w:tcPr>
            <w:tcW w:w="178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振兴路23号</w:t>
            </w:r>
          </w:p>
        </w:tc>
        <w:tc>
          <w:tcPr>
            <w:tcW w:w="215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49"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5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973"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电信大厦</w:t>
            </w:r>
          </w:p>
        </w:tc>
        <w:tc>
          <w:tcPr>
            <w:tcW w:w="178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东二路59号</w:t>
            </w:r>
          </w:p>
        </w:tc>
        <w:tc>
          <w:tcPr>
            <w:tcW w:w="215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49"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5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973"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天然气公司</w:t>
            </w:r>
          </w:p>
        </w:tc>
        <w:tc>
          <w:tcPr>
            <w:tcW w:w="178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暨阳街道高湖路59号</w:t>
            </w:r>
          </w:p>
        </w:tc>
        <w:tc>
          <w:tcPr>
            <w:tcW w:w="215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49"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973"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安华水库</w:t>
            </w:r>
          </w:p>
        </w:tc>
        <w:tc>
          <w:tcPr>
            <w:tcW w:w="178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安华镇</w:t>
            </w:r>
          </w:p>
        </w:tc>
        <w:tc>
          <w:tcPr>
            <w:tcW w:w="215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49"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color w:val="auto"/>
                <w:sz w:val="21"/>
                <w:szCs w:val="21"/>
                <w:highlight w:val="none"/>
              </w:rPr>
            </w:pPr>
          </w:p>
        </w:tc>
      </w:tr>
    </w:tbl>
    <w:p>
      <w:pPr>
        <w:pStyle w:val="3"/>
        <w:rPr>
          <w:rFonts w:hint="eastAsia" w:ascii="Times New Roman" w:hAnsi="Times New Roman" w:eastAsia="宋体" w:cs="Times New Roman"/>
          <w:color w:val="auto"/>
          <w:kern w:val="2"/>
          <w:sz w:val="24"/>
          <w:highlight w:val="none"/>
          <w:lang w:val="en-US" w:eastAsia="zh-CN"/>
        </w:rPr>
      </w:pPr>
    </w:p>
    <w:p>
      <w:pPr>
        <w:pStyle w:val="3"/>
        <w:rPr>
          <w:rFonts w:hint="eastAsia" w:ascii="Times New Roman" w:hAnsi="Times New Roman" w:eastAsia="宋体" w:cs="Times New Roman"/>
          <w:color w:val="auto"/>
          <w:kern w:val="2"/>
          <w:sz w:val="24"/>
          <w:highlight w:val="none"/>
          <w:lang w:val="en-US" w:eastAsia="zh-CN"/>
        </w:rPr>
      </w:pPr>
    </w:p>
    <w:p>
      <w:pPr>
        <w:pStyle w:val="3"/>
        <w:rPr>
          <w:rFonts w:hint="eastAsia" w:ascii="Times New Roman" w:hAnsi="Times New Roman" w:eastAsia="宋体" w:cs="Times New Roman"/>
          <w:color w:val="auto"/>
          <w:kern w:val="2"/>
          <w:sz w:val="24"/>
          <w:highlight w:val="none"/>
          <w:lang w:val="en-US" w:eastAsia="zh-CN"/>
        </w:rPr>
      </w:pPr>
    </w:p>
    <w:p>
      <w:pPr>
        <w:pStyle w:val="3"/>
        <w:rPr>
          <w:rFonts w:hint="eastAsia" w:ascii="Times New Roman" w:hAnsi="Times New Roman" w:eastAsia="宋体" w:cs="Times New Roman"/>
          <w:color w:val="auto"/>
          <w:kern w:val="2"/>
          <w:sz w:val="24"/>
          <w:highlight w:val="none"/>
          <w:lang w:val="en-US" w:eastAsia="zh-CN"/>
        </w:rPr>
      </w:pPr>
    </w:p>
    <w:p>
      <w:pPr>
        <w:pStyle w:val="3"/>
        <w:rPr>
          <w:rFonts w:hint="eastAsia" w:ascii="Times New Roman" w:hAnsi="Times New Roman" w:eastAsia="宋体" w:cs="Times New Roman"/>
          <w:color w:val="auto"/>
          <w:kern w:val="2"/>
          <w:sz w:val="24"/>
          <w:highlight w:val="none"/>
          <w:lang w:val="en-US" w:eastAsia="zh-CN"/>
        </w:rPr>
      </w:pPr>
    </w:p>
    <w:p>
      <w:pPr>
        <w:rPr>
          <w:rFonts w:hint="default" w:ascii="Times New Roman" w:hAnsi="Times New Roman" w:eastAsia="宋体" w:cs="Times New Roman"/>
          <w:kern w:val="2"/>
          <w:sz w:val="24"/>
          <w:lang w:val="zh-CN"/>
        </w:rPr>
      </w:pPr>
      <w:r>
        <w:rPr>
          <w:rFonts w:hint="eastAsia" w:ascii="Times New Roman" w:hAnsi="Times New Roman" w:eastAsia="宋体" w:cs="Times New Roman"/>
          <w:color w:val="auto"/>
          <w:kern w:val="2"/>
          <w:sz w:val="24"/>
          <w:highlight w:val="none"/>
          <w:lang w:val="en-US" w:eastAsia="zh-CN"/>
        </w:rPr>
        <w:t>5</w:t>
      </w:r>
      <w:r>
        <w:rPr>
          <w:rFonts w:hint="default" w:ascii="Times New Roman" w:hAnsi="Times New Roman" w:eastAsia="宋体" w:cs="Times New Roman"/>
          <w:color w:val="auto"/>
          <w:kern w:val="2"/>
          <w:sz w:val="24"/>
          <w:highlight w:val="none"/>
          <w:lang w:val="zh-CN"/>
        </w:rPr>
        <w:t>、</w:t>
      </w:r>
      <w:r>
        <w:rPr>
          <w:rFonts w:hint="default" w:ascii="Times New Roman" w:hAnsi="Times New Roman" w:eastAsia="宋体" w:cs="Times New Roman"/>
          <w:kern w:val="2"/>
          <w:sz w:val="24"/>
          <w:lang w:val="zh-CN"/>
        </w:rPr>
        <w:t>2019年度广电视频监控材料</w:t>
      </w: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1328"/>
        <w:gridCol w:w="4575"/>
        <w:gridCol w:w="690"/>
        <w:gridCol w:w="64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blHeader/>
        </w:trPr>
        <w:tc>
          <w:tcPr>
            <w:tcW w:w="8679" w:type="dxa"/>
            <w:gridSpan w:val="6"/>
            <w:tcBorders>
              <w:top w:val="single" w:color="auto" w:sz="8" w:space="0"/>
              <w:left w:val="single" w:color="auto" w:sz="8" w:space="0"/>
              <w:bottom w:val="single" w:color="auto" w:sz="8" w:space="0"/>
              <w:right w:val="single" w:color="000000" w:sz="8" w:space="0"/>
            </w:tcBorders>
            <w:noWrap w:val="0"/>
            <w:vAlign w:val="center"/>
          </w:tcPr>
          <w:p>
            <w:pPr>
              <w:widowControl/>
              <w:autoSpaceDE/>
              <w:autoSpaceDN/>
              <w:adjustRightIn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2019年度广电视频监控材料清单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blHeader/>
        </w:trPr>
        <w:tc>
          <w:tcPr>
            <w:tcW w:w="691" w:type="dxa"/>
            <w:tcBorders>
              <w:top w:val="nil"/>
              <w:left w:val="single" w:color="auto" w:sz="8" w:space="0"/>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328"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产品</w:t>
            </w:r>
            <w:r>
              <w:rPr>
                <w:rFonts w:hint="default" w:ascii="Times New Roman" w:hAnsi="Times New Roman" w:eastAsia="宋体" w:cs="Times New Roman"/>
                <w:b/>
                <w:bCs/>
                <w:color w:val="auto"/>
                <w:sz w:val="21"/>
                <w:szCs w:val="21"/>
                <w:lang w:eastAsia="zh-CN"/>
              </w:rPr>
              <w:t>名称</w:t>
            </w:r>
          </w:p>
        </w:tc>
        <w:tc>
          <w:tcPr>
            <w:tcW w:w="4575"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参数</w:t>
            </w:r>
          </w:p>
        </w:tc>
        <w:tc>
          <w:tcPr>
            <w:tcW w:w="690"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w:t>
            </w:r>
          </w:p>
        </w:tc>
        <w:tc>
          <w:tcPr>
            <w:tcW w:w="645"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数量</w:t>
            </w:r>
          </w:p>
        </w:tc>
        <w:tc>
          <w:tcPr>
            <w:tcW w:w="750" w:type="dxa"/>
            <w:tcBorders>
              <w:top w:val="nil"/>
              <w:left w:val="nil"/>
              <w:bottom w:val="single" w:color="auto" w:sz="8" w:space="0"/>
              <w:right w:val="single" w:color="auto" w:sz="8"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1" w:type="dxa"/>
            <w:tcBorders>
              <w:top w:val="nil"/>
              <w:left w:val="single" w:color="auto" w:sz="8" w:space="0"/>
              <w:bottom w:val="single" w:color="auto" w:sz="8" w:space="0"/>
              <w:right w:val="single" w:color="auto" w:sz="4" w:space="0"/>
            </w:tcBorders>
            <w:noWrap w:val="0"/>
            <w:vAlign w:val="center"/>
          </w:tcPr>
          <w:p>
            <w:pPr>
              <w:widowControl/>
              <w:autoSpaceDE/>
              <w:autoSpaceDN/>
              <w:adjustRightInd/>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1</w:t>
            </w:r>
          </w:p>
        </w:tc>
        <w:tc>
          <w:tcPr>
            <w:tcW w:w="1328"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sz w:val="21"/>
                <w:szCs w:val="21"/>
              </w:rPr>
              <w:t>热成像筒型摄像机</w:t>
            </w:r>
          </w:p>
        </w:tc>
        <w:tc>
          <w:tcPr>
            <w:tcW w:w="4575"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sz w:val="18"/>
                <w:szCs w:val="18"/>
              </w:rPr>
              <w:t>"热成像双光谱网络筒型摄像机；最大图像尺寸：160 ×120；焦距（热成像镜头）：7mm；人员周界报警有效距离：70m；火源探测距离（以2m×2m的火源为准）：280m；视场角：33.9°x25°；可见光镜头：6mm，红外照射距离：30米；帧率：50Hz:25fps(1920×1080)、25fps(1280×960)、25fps(1280×720)（可见光）；50Hz:25fps(160×120)(热成像)；电源：AC24V/DC12V/POE+，8W；工作温度和湿度：-40℃-70℃，湿度小于90%；防护等级：IP67"</w:t>
            </w:r>
          </w:p>
        </w:tc>
        <w:tc>
          <w:tcPr>
            <w:tcW w:w="690"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套</w:t>
            </w:r>
          </w:p>
        </w:tc>
        <w:tc>
          <w:tcPr>
            <w:tcW w:w="645"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1</w:t>
            </w:r>
          </w:p>
        </w:tc>
        <w:tc>
          <w:tcPr>
            <w:tcW w:w="750" w:type="dxa"/>
            <w:tcBorders>
              <w:top w:val="nil"/>
              <w:left w:val="nil"/>
              <w:bottom w:val="single" w:color="auto" w:sz="8" w:space="0"/>
              <w:right w:val="single" w:color="auto" w:sz="8"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1" w:type="dxa"/>
            <w:tcBorders>
              <w:top w:val="nil"/>
              <w:left w:val="single" w:color="auto" w:sz="8" w:space="0"/>
              <w:bottom w:val="single" w:color="auto" w:sz="8" w:space="0"/>
              <w:right w:val="single" w:color="auto" w:sz="4" w:space="0"/>
            </w:tcBorders>
            <w:noWrap w:val="0"/>
            <w:vAlign w:val="center"/>
          </w:tcPr>
          <w:p>
            <w:pPr>
              <w:widowControl/>
              <w:autoSpaceDE/>
              <w:autoSpaceDN/>
              <w:adjustRightInd/>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2</w:t>
            </w:r>
          </w:p>
        </w:tc>
        <w:tc>
          <w:tcPr>
            <w:tcW w:w="1328"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sz w:val="21"/>
                <w:szCs w:val="21"/>
              </w:rPr>
              <w:t>普通摄像机抓拍</w:t>
            </w:r>
          </w:p>
        </w:tc>
        <w:tc>
          <w:tcPr>
            <w:tcW w:w="4575"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sz w:val="18"/>
                <w:szCs w:val="18"/>
              </w:rPr>
              <w:t>200万像素7寸红外网络高清智能球机；1920×1080@60fps；</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彩色：0.005Lux @ (F1.6，AGC ON)；黑白：0.001Lux @(F1.6，AGC ON) ；0 Lux with IR；150米红外照射距离；</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焦距：4.8-110mm，23倍光学；支持深度学习算法，有效提升Smart和跟踪能力；</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支持人脸抓拍功能，支持对运动人脸进行检测、跟踪、抓拍；</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支持人脸抓拍场景手动选择，大场景监控和抓拍人脸灵活切换；</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支持8个场景下的轮巡人脸抓拍，每个场景的时间可设；支持音频、报警;支持自动跟踪；支持120dB超宽动态、透雾、强光抑制、电子防抖、Smart IR；支持萤石云；</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区域入侵侦测、越界侦测、音频异常侦测、移动侦测；</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水平键控速度最大160°/s，垂直键控速度最大120°/s，垂直范围-15°~90°；H.265/H.264/MJPEG；</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最大支持256GB Micro SD卡；内置EMCC存储，支持人脸断电续传；AC24V，40W max(其中红外灯15W max)；支持IP66；工作温度：-30℃-65℃。</w:t>
            </w:r>
          </w:p>
        </w:tc>
        <w:tc>
          <w:tcPr>
            <w:tcW w:w="690"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套</w:t>
            </w:r>
          </w:p>
        </w:tc>
        <w:tc>
          <w:tcPr>
            <w:tcW w:w="645"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sz w:val="21"/>
                <w:szCs w:val="21"/>
                <w:lang w:val="en-US" w:eastAsia="zh-CN"/>
              </w:rPr>
              <w:t>43</w:t>
            </w:r>
          </w:p>
        </w:tc>
        <w:tc>
          <w:tcPr>
            <w:tcW w:w="750" w:type="dxa"/>
            <w:tcBorders>
              <w:top w:val="nil"/>
              <w:left w:val="nil"/>
              <w:bottom w:val="single" w:color="auto" w:sz="8" w:space="0"/>
              <w:right w:val="single" w:color="auto" w:sz="8"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1" w:type="dxa"/>
            <w:tcBorders>
              <w:top w:val="nil"/>
              <w:left w:val="single" w:color="auto" w:sz="8" w:space="0"/>
              <w:bottom w:val="single" w:color="auto" w:sz="8" w:space="0"/>
              <w:right w:val="single" w:color="auto" w:sz="4" w:space="0"/>
            </w:tcBorders>
            <w:noWrap w:val="0"/>
            <w:vAlign w:val="center"/>
          </w:tcPr>
          <w:p>
            <w:pPr>
              <w:widowControl/>
              <w:autoSpaceDE/>
              <w:autoSpaceDN/>
              <w:adjustRightInd/>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3</w:t>
            </w:r>
          </w:p>
        </w:tc>
        <w:tc>
          <w:tcPr>
            <w:tcW w:w="1328"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sz w:val="21"/>
                <w:szCs w:val="21"/>
              </w:rPr>
              <w:t>智能高速球型红外摄像机</w:t>
            </w:r>
          </w:p>
        </w:tc>
        <w:tc>
          <w:tcPr>
            <w:tcW w:w="4575"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sz w:val="18"/>
                <w:szCs w:val="18"/>
              </w:rPr>
              <w:t>智能高速球型红外摄像机 200万像素7寸红外网络高清智能球机；1920×1080@60fps；</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彩色：0.005Lux @ (F1.6，AGC ON)；黑白：0.001Lux @(F1.6，AGC ON) ；</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0 Lux with IR；150米红外照射距离；</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焦距：4.8-110mm，23倍光学；</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支持深度学习算法，有效提升Smart和跟踪能力；</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支持人脸抓拍功能，支持对运动人脸进行检测、跟踪、抓拍；</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支持人脸抓拍场景手动选择，大场景监控和抓拍人脸灵活切换；</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支持8个场景下的轮巡人脸抓拍，每个场景的时间可设；</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支持音频、报警;支持自动跟踪；</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支持120dB超宽动态、透雾、强光抑制、电子防抖、Smart IR；支持萤石云；</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区域入侵侦测、越界侦测、音频异常侦测、移动侦测；</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水平键控速度最大160°/s，垂直键控速度最大120°/s，垂直范围-15°~90°；</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H.265/H.264/MJPEG；最大支持256GB Micro SD卡；内置EMCC存储，支持人脸断电续传；</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AC24V，40W max(其中红外灯15W max)；支持IP66；</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工作温度：-30℃-65℃。</w:t>
            </w:r>
          </w:p>
        </w:tc>
        <w:tc>
          <w:tcPr>
            <w:tcW w:w="690"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台</w:t>
            </w:r>
          </w:p>
        </w:tc>
        <w:tc>
          <w:tcPr>
            <w:tcW w:w="645"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15</w:t>
            </w:r>
          </w:p>
        </w:tc>
        <w:tc>
          <w:tcPr>
            <w:tcW w:w="750" w:type="dxa"/>
            <w:tcBorders>
              <w:top w:val="nil"/>
              <w:left w:val="nil"/>
              <w:bottom w:val="single" w:color="auto" w:sz="8" w:space="0"/>
              <w:right w:val="single" w:color="auto" w:sz="8"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1" w:type="dxa"/>
            <w:tcBorders>
              <w:top w:val="nil"/>
              <w:left w:val="single" w:color="auto" w:sz="8" w:space="0"/>
              <w:bottom w:val="single" w:color="auto" w:sz="8" w:space="0"/>
              <w:right w:val="single" w:color="auto" w:sz="4" w:space="0"/>
            </w:tcBorders>
            <w:noWrap w:val="0"/>
            <w:vAlign w:val="center"/>
          </w:tcPr>
          <w:p>
            <w:pPr>
              <w:widowControl/>
              <w:autoSpaceDE/>
              <w:autoSpaceDN/>
              <w:adjustRightInd/>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4</w:t>
            </w:r>
          </w:p>
        </w:tc>
        <w:tc>
          <w:tcPr>
            <w:tcW w:w="1328"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sz w:val="21"/>
                <w:szCs w:val="21"/>
              </w:rPr>
              <w:t>摄像机+立杆</w:t>
            </w:r>
          </w:p>
        </w:tc>
        <w:tc>
          <w:tcPr>
            <w:tcW w:w="4575"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sz w:val="18"/>
                <w:szCs w:val="18"/>
              </w:rPr>
              <w:t>200万工业级摄像头（原有视频系统接入和改造）</w:t>
            </w:r>
          </w:p>
        </w:tc>
        <w:tc>
          <w:tcPr>
            <w:tcW w:w="690"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套</w:t>
            </w:r>
          </w:p>
        </w:tc>
        <w:tc>
          <w:tcPr>
            <w:tcW w:w="645"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1</w:t>
            </w:r>
          </w:p>
        </w:tc>
        <w:tc>
          <w:tcPr>
            <w:tcW w:w="750" w:type="dxa"/>
            <w:tcBorders>
              <w:top w:val="nil"/>
              <w:left w:val="nil"/>
              <w:bottom w:val="single" w:color="auto" w:sz="8" w:space="0"/>
              <w:right w:val="single" w:color="auto" w:sz="8"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1" w:type="dxa"/>
            <w:tcBorders>
              <w:top w:val="nil"/>
              <w:left w:val="single" w:color="auto" w:sz="8" w:space="0"/>
              <w:bottom w:val="single" w:color="auto" w:sz="8" w:space="0"/>
              <w:right w:val="single" w:color="auto" w:sz="4" w:space="0"/>
            </w:tcBorders>
            <w:noWrap w:val="0"/>
            <w:vAlign w:val="center"/>
          </w:tcPr>
          <w:p>
            <w:pPr>
              <w:widowControl/>
              <w:autoSpaceDE/>
              <w:autoSpaceDN/>
              <w:adjustRightInd/>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5</w:t>
            </w:r>
          </w:p>
        </w:tc>
        <w:tc>
          <w:tcPr>
            <w:tcW w:w="1328"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sz w:val="21"/>
                <w:szCs w:val="21"/>
              </w:rPr>
            </w:pPr>
            <w:r>
              <w:rPr>
                <w:rFonts w:hint="eastAsia" w:ascii="宋体" w:hAnsi="宋体" w:cs="宋体"/>
                <w:color w:val="auto"/>
                <w:szCs w:val="21"/>
              </w:rPr>
              <w:t>设备箱</w:t>
            </w:r>
          </w:p>
        </w:tc>
        <w:tc>
          <w:tcPr>
            <w:tcW w:w="4575"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不锈钢板制作，内置电气设备</w:t>
            </w:r>
          </w:p>
          <w:p>
            <w:pPr>
              <w:widowControl/>
              <w:autoSpaceDE/>
              <w:autoSpaceDN/>
              <w:adjustRightInd/>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双层密封箱体，自然散热，防护等级IP55，无风扇设计，尺寸：500mm×400mm ×200mm</w:t>
            </w:r>
          </w:p>
        </w:tc>
        <w:tc>
          <w:tcPr>
            <w:tcW w:w="690"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只</w:t>
            </w:r>
          </w:p>
        </w:tc>
        <w:tc>
          <w:tcPr>
            <w:tcW w:w="645"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60</w:t>
            </w:r>
          </w:p>
        </w:tc>
        <w:tc>
          <w:tcPr>
            <w:tcW w:w="750" w:type="dxa"/>
            <w:tcBorders>
              <w:top w:val="nil"/>
              <w:left w:val="nil"/>
              <w:bottom w:val="single" w:color="auto" w:sz="8" w:space="0"/>
              <w:right w:val="single" w:color="auto" w:sz="8"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1" w:type="dxa"/>
            <w:tcBorders>
              <w:top w:val="nil"/>
              <w:left w:val="single" w:color="auto" w:sz="8" w:space="0"/>
              <w:bottom w:val="single" w:color="auto" w:sz="8" w:space="0"/>
              <w:right w:val="single" w:color="auto" w:sz="4" w:space="0"/>
            </w:tcBorders>
            <w:noWrap w:val="0"/>
            <w:vAlign w:val="center"/>
          </w:tcPr>
          <w:p>
            <w:pPr>
              <w:widowControl/>
              <w:autoSpaceDE/>
              <w:autoSpaceDN/>
              <w:adjustRightInd/>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6</w:t>
            </w:r>
          </w:p>
        </w:tc>
        <w:tc>
          <w:tcPr>
            <w:tcW w:w="1328"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sz w:val="21"/>
                <w:szCs w:val="21"/>
              </w:rPr>
            </w:pPr>
            <w:r>
              <w:rPr>
                <w:rFonts w:hint="eastAsia" w:ascii="宋体" w:hAnsi="宋体" w:cs="宋体"/>
                <w:color w:val="auto"/>
                <w:szCs w:val="21"/>
              </w:rPr>
              <w:t>过欠压保护器</w:t>
            </w:r>
          </w:p>
        </w:tc>
        <w:tc>
          <w:tcPr>
            <w:tcW w:w="4575"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自动重合漏电保护器，保护线路电压不稳、前端断零线、感应电压问题等，阻燃塑料，过电压值270-280VAC,欠电压值155-165VAC，额定电流：32/40/63/80A，额定电压230V</w:t>
            </w:r>
          </w:p>
        </w:tc>
        <w:tc>
          <w:tcPr>
            <w:tcW w:w="690"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个</w:t>
            </w:r>
          </w:p>
        </w:tc>
        <w:tc>
          <w:tcPr>
            <w:tcW w:w="645"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60</w:t>
            </w:r>
          </w:p>
        </w:tc>
        <w:tc>
          <w:tcPr>
            <w:tcW w:w="750" w:type="dxa"/>
            <w:tcBorders>
              <w:top w:val="nil"/>
              <w:left w:val="nil"/>
              <w:bottom w:val="single" w:color="auto" w:sz="8" w:space="0"/>
              <w:right w:val="single" w:color="auto" w:sz="8"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1" w:type="dxa"/>
            <w:tcBorders>
              <w:top w:val="nil"/>
              <w:left w:val="single" w:color="auto" w:sz="8" w:space="0"/>
              <w:bottom w:val="single" w:color="auto" w:sz="8" w:space="0"/>
              <w:right w:val="single" w:color="auto" w:sz="4" w:space="0"/>
            </w:tcBorders>
            <w:noWrap w:val="0"/>
            <w:vAlign w:val="center"/>
          </w:tcPr>
          <w:p>
            <w:pPr>
              <w:widowControl/>
              <w:autoSpaceDE/>
              <w:autoSpaceDN/>
              <w:adjustRightInd/>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7</w:t>
            </w:r>
          </w:p>
        </w:tc>
        <w:tc>
          <w:tcPr>
            <w:tcW w:w="1328"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sz w:val="21"/>
                <w:szCs w:val="21"/>
              </w:rPr>
            </w:pPr>
            <w:r>
              <w:rPr>
                <w:rFonts w:hint="eastAsia" w:ascii="宋体" w:hAnsi="宋体" w:cs="宋体"/>
                <w:color w:val="auto"/>
                <w:szCs w:val="21"/>
              </w:rPr>
              <w:t>安装与调试</w:t>
            </w:r>
          </w:p>
        </w:tc>
        <w:tc>
          <w:tcPr>
            <w:tcW w:w="4575"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一套安装与调试含设备安装、调试、配件等工程内容，以及接入平台配置及平台联网调试等，保证系统无缝接入平台，按设备计</w:t>
            </w:r>
          </w:p>
        </w:tc>
        <w:tc>
          <w:tcPr>
            <w:tcW w:w="690"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套</w:t>
            </w:r>
          </w:p>
        </w:tc>
        <w:tc>
          <w:tcPr>
            <w:tcW w:w="645" w:type="dxa"/>
            <w:tcBorders>
              <w:top w:val="nil"/>
              <w:left w:val="nil"/>
              <w:bottom w:val="single" w:color="auto" w:sz="8"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60</w:t>
            </w:r>
          </w:p>
        </w:tc>
        <w:tc>
          <w:tcPr>
            <w:tcW w:w="750" w:type="dxa"/>
            <w:tcBorders>
              <w:top w:val="nil"/>
              <w:left w:val="nil"/>
              <w:bottom w:val="single" w:color="auto" w:sz="8" w:space="0"/>
              <w:right w:val="single" w:color="auto" w:sz="8" w:space="0"/>
            </w:tcBorders>
            <w:noWrap w:val="0"/>
            <w:vAlign w:val="center"/>
          </w:tcPr>
          <w:p>
            <w:pPr>
              <w:widowControl/>
              <w:autoSpaceDE/>
              <w:autoSpaceDN/>
              <w:adjustRightInd/>
              <w:jc w:val="center"/>
              <w:rPr>
                <w:rFonts w:hint="default" w:ascii="Times New Roman" w:hAnsi="Times New Roman" w:eastAsia="宋体" w:cs="Times New Roman"/>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8" w:hRule="atLeast"/>
        </w:trPr>
        <w:tc>
          <w:tcPr>
            <w:tcW w:w="691" w:type="dxa"/>
            <w:tcBorders>
              <w:top w:val="nil"/>
              <w:left w:val="single" w:color="auto" w:sz="8" w:space="0"/>
              <w:bottom w:val="single" w:color="auto" w:sz="4" w:space="0"/>
              <w:right w:val="single" w:color="auto" w:sz="4" w:space="0"/>
            </w:tcBorders>
            <w:noWrap w:val="0"/>
            <w:vAlign w:val="center"/>
          </w:tcPr>
          <w:p>
            <w:pPr>
              <w:widowControl/>
              <w:autoSpaceDE/>
              <w:autoSpaceDN/>
              <w:adjustRightInd/>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8</w:t>
            </w:r>
          </w:p>
        </w:tc>
        <w:tc>
          <w:tcPr>
            <w:tcW w:w="132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筒型摄像机</w:t>
            </w:r>
          </w:p>
        </w:tc>
        <w:tc>
          <w:tcPr>
            <w:tcW w:w="457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200万 1/1.8" 星光级CMOS超宽动态 ICR日夜型筒型网络摄像机；支持H.265/H.264编码；宽动态范围 120dB；</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▲具有不小于1/1.8"靶面尺寸。（公安部型式检验报告证明）</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内置一体化高速电动变焦，自动跟随聚焦镜头，变焦同时快速完成聚焦，变焦过程画面不能完全虚焦。</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需具有22路取流路数能力，以满足更多用户同时在线访问摄像机视频。最低照度彩色：0.0005lx，黑白:0.0001lx，灰度等级不小于11级。红外补光距离不小于160米。（公安部型式检验报告证明）</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支持H.264、H.265、MJPEG视频编码格式，且具有HighProfile编码能力。（公安部型式检验报告证明）</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▲同一静止场景相同图像质量下，设备在H.265编码方式时，开启智能编码功能和不开启智能编码相比，码率节约1/2。（公安部型式检验报告证明）</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视频图像传输至客户端的延时不大于100ms。信噪比不小于60dB。需具不小于106dB宽动态。（公安部型式检验报告证明）</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需支持车辆捕获功能。（白天和晚上的捕获率均大于99%）（公安部型式检验报告证明）</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需支持车牌识别功能。（白天和晚上的识别率均大于99%）（公安部型式检验报告证明）</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需支持12行字符显示，字体颜色可设置，需具有图片叠加到视频画面功能。设备与客户端之间用200米网线进行传输，数据包丢包率不大于0.1%。（在丢包率设置为20%的网络环境下，可正常显示监视画面。</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需具备区域入侵检测、越界检测、进入区域、离开区域、徘徊、停车、快速移动、物品遗留、物品移除、监控区域内出现人脸、人员聚集、场景变更、虚焦检测、音频异常检测等功能。（公安部型式检验报告证明）</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需具有实时视频透雾、电子防抖、ROI感兴趣区域、视频水印等功能。（公安部型式检验报告证明）</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▲需具有区域裁剪功能，且裁剪区域支持不小于7种分辨率显示。（公安部型式检验报告证明）</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▲需支持本地SD卡存储，最大支持256G，并支持存储卡损坏程度显示。支持对存储卡进行读写锁定，锁定后的存储卡在移动终端需要密码才能访问。（公安部型式检验报告证明）</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设备可对检测区域内的单辆自行车、三轮车、电瓶车、摩托车进行抓拍。需具有客流量、车流量统计功能。</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▲客流统计准确率不小于99%。（公安部型式检验报告证明）</w:t>
            </w:r>
          </w:p>
        </w:tc>
        <w:tc>
          <w:tcPr>
            <w:tcW w:w="69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64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280</w:t>
            </w:r>
          </w:p>
        </w:tc>
        <w:tc>
          <w:tcPr>
            <w:tcW w:w="7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1" w:type="dxa"/>
            <w:tcBorders>
              <w:top w:val="single" w:color="auto" w:sz="4" w:space="0"/>
              <w:left w:val="single" w:color="auto" w:sz="8"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9</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网络球机</w:t>
            </w:r>
          </w:p>
        </w:tc>
        <w:tc>
          <w:tcPr>
            <w:tcW w:w="4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200万像素7寸红外网络高清智能球</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eastAsia="zh-CN"/>
              </w:rPr>
              <w:t>1920×1080@60fps；</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▲支持快速聚焦功能，设备对监控区域内的移动目标进行跟踪录像，录像通过单帧回放时应能保证每帧画面清晰稳定。（以公安部检验报告为准）</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支持300个预置位，支持35条巡航路径，支持7条以上的模式路径设置，支持预置位视频冻结功能；可实现RS485接口优先或RJ45网络接口优先控制功能</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信噪比≥61dB，网络延时不大于100ms</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动态范围不小于106dB，照度适应范围不小于138dB，宽动态能力综合得分不小于135（以公安部检验报告为准）</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样机与客户端之间用300m五类非屏蔽网线直接连接，网络传输能力满足发送2000个数据包，重复测试3次，每次丢包数不大于1个（以公安部检验报告为准）</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具备较强的网络适应能力，在丢包率为30%的网络环境下，仍可正常显示监视画面。（以公安部检验报告为准）</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支持智能红外、透雾、强光抑制、电子防抖、数字降噪、防红外过曝功能</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支持区域遮盖功能，支持设置不少于24个不规则四边形区域，可设置不同颜色；支持3D定位、断电记忆功能；支持IP地址访问控制功能，支持定时抓拍或报警联动抓图上传ftp功能</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球机应具备本机存储功能，支持SD卡热插拔，最大支持256GB。（以公安部检验报告为准）</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支持采用H.265、H.264视频编码标准，H.264编码支持Baseline/Main/High Profile，音频编码支持G.711ulaw/G.711alaw/G.726/G.722.1/AAC</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支持区域入侵、越界入侵、徘徊、物品移除、物品遗留、人员聚集、停车，并联动报警</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具备较好的防护性能环境适应性，支持IP67，8kV防浪涌，工作温度范围可达-45℃-70℃</w:t>
            </w:r>
          </w:p>
          <w:p>
            <w:pPr>
              <w:widowControl/>
              <w:autoSpaceDE/>
              <w:autoSpaceDN/>
              <w:adjustRightInd/>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▲具备较好的电源适应性，电压在AC24V±45%或DC24V±45%范围内变化时，设备可正常工作（以公安部检验报告为准）</w:t>
            </w:r>
          </w:p>
        </w:tc>
        <w:tc>
          <w:tcPr>
            <w:tcW w:w="69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64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55</w:t>
            </w:r>
          </w:p>
        </w:tc>
        <w:tc>
          <w:tcPr>
            <w:tcW w:w="750"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91" w:type="dxa"/>
            <w:tcBorders>
              <w:top w:val="nil"/>
              <w:left w:val="single" w:color="auto" w:sz="8"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制高点球机</w:t>
            </w:r>
          </w:p>
        </w:tc>
        <w:tc>
          <w:tcPr>
            <w:tcW w:w="457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200万像素星光级8寸红外网络高清高速智能球机</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摄像机靶面尺寸不小于1/1.8英寸（以公安部型式检验报告为准）</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▲内置GPU芯片（以公安部型式检验报告为准）</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摄像机内置镜头，支持37倍光学变倍，镜头最大焦距不小于208mm（以公安部检验报告为准）</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支持最低照度可达彩色0.0002Lux，黑白0.0001Lux（以公安部型式检验报告为准）</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▲照度适应范围不小于145dB，宽动态能力综合得分不小于139，信噪比不小于64dB（以公安部型式检验报告为准）</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支持水平手控速度不小于800°/S,垂直手控速度不小于300°/s。水平旋转范围为360°连续旋转，垂直旋转范围为-20°~90°（以公安部型式检验报告为准）</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可识别不低于170种车辆品牌，车辆品牌识别白天准确率大于98%，晚上准确率大于97%。（公安部型式检验报告证明）</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eastAsia="zh-CN"/>
              </w:rPr>
              <w:t>可识别不低于3600种车辆子品牌，车辆子品牌识别白天准确率大于96%，晚上准确率大于93%（公安部型式检验报告证明）</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eastAsia="zh-CN"/>
              </w:rPr>
              <w:t>可识别11种车辆颜色，车辆车身颜色识别准确率大于97%（公安部型式检验报告证明）</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eastAsia="zh-CN"/>
              </w:rPr>
              <w:t>可识别10种车型，包括轿车、小型轿车、微型轿车、客车、中型客车、面包车、大货车、小货车、SUV-MPV、皮卡。车型识别白天准确率大于98%，晚上准确率大于97%（公安部型式检验报告证明）</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▲可用过内置电子罗盘在监视画面上叠加设备镜头当前指向方位和角度（以公安部型式检验报告为准）</w:t>
            </w:r>
          </w:p>
          <w:p>
            <w:pPr>
              <w:widowControl/>
              <w:autoSpaceDE/>
              <w:autoSpaceDN/>
              <w:adjustRightInd/>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▲室外球机应具备较好防护性能，支持IP67；具备较好的电磁兼容性，支持空气放电20KV，接触放电10KV，15KV防浪涌（以公安部型式检验报告为准）</w:t>
            </w:r>
          </w:p>
          <w:p>
            <w:pPr>
              <w:widowControl/>
              <w:autoSpaceDE/>
              <w:autoSpaceDN/>
              <w:adjustRightInd/>
              <w:jc w:val="center"/>
              <w:rPr>
                <w:rFonts w:hint="default" w:ascii="Times New Roman" w:hAnsi="Times New Roman" w:eastAsia="宋体" w:cs="Times New Roman"/>
                <w:color w:val="auto"/>
                <w:sz w:val="18"/>
                <w:szCs w:val="18"/>
                <w:highlight w:val="none"/>
                <w:shd w:val="clear" w:color="auto" w:fill="auto"/>
              </w:rPr>
            </w:pPr>
            <w:r>
              <w:rPr>
                <w:rFonts w:hint="default" w:ascii="Times New Roman" w:hAnsi="Times New Roman" w:eastAsia="宋体" w:cs="Times New Roman"/>
                <w:color w:val="auto"/>
                <w:sz w:val="18"/>
                <w:szCs w:val="18"/>
                <w:lang w:eastAsia="zh-CN"/>
              </w:rPr>
              <w:t>具备较好的电源适应性，电压在AC24V±47%或DC24V±47%范围内变化时，设备可正常工作（以公安部型式检验报告为准）</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lang w:eastAsia="zh-CN"/>
              </w:rPr>
              <w:t>具备较好的环境适应性，工作温度范围可达-45℃到70℃</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lang w:eastAsia="zh-CN"/>
              </w:rPr>
              <w:t>符合《GB/T28181-2016公共安全视频监控联网系统信息传输、交换、控制技术要求》中的相关规定。（以公安部型式检验报告为准）</w:t>
            </w:r>
          </w:p>
        </w:tc>
        <w:tc>
          <w:tcPr>
            <w:tcW w:w="69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sz w:val="21"/>
                <w:szCs w:val="21"/>
                <w:highlight w:val="none"/>
                <w:shd w:val="clear" w:color="auto" w:fill="auto"/>
              </w:rPr>
              <w:t>台</w:t>
            </w:r>
          </w:p>
        </w:tc>
        <w:tc>
          <w:tcPr>
            <w:tcW w:w="64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13</w:t>
            </w:r>
          </w:p>
        </w:tc>
        <w:tc>
          <w:tcPr>
            <w:tcW w:w="750"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91" w:type="dxa"/>
            <w:tcBorders>
              <w:top w:val="nil"/>
              <w:left w:val="single" w:color="auto" w:sz="8"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半球机</w:t>
            </w:r>
          </w:p>
        </w:tc>
        <w:tc>
          <w:tcPr>
            <w:tcW w:w="457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18"/>
                <w:szCs w:val="18"/>
                <w:shd w:val="clear" w:color="auto" w:fill="auto"/>
              </w:rPr>
            </w:pPr>
            <w:r>
              <w:rPr>
                <w:rFonts w:hint="default" w:ascii="Times New Roman" w:hAnsi="Times New Roman" w:eastAsia="宋体" w:cs="Times New Roman"/>
                <w:color w:val="auto"/>
                <w:sz w:val="18"/>
                <w:szCs w:val="18"/>
                <w:shd w:val="clear" w:color="auto" w:fill="auto"/>
              </w:rPr>
              <w:t>200万1/3” CMOS 超宽动态 ICR日夜型半球型网络摄像机</w:t>
            </w:r>
            <w:r>
              <w:rPr>
                <w:rFonts w:hint="eastAsia" w:ascii="Times New Roman" w:hAnsi="Times New Roman" w:eastAsia="宋体" w:cs="Times New Roman"/>
                <w:color w:val="auto"/>
                <w:sz w:val="18"/>
                <w:szCs w:val="18"/>
                <w:shd w:val="clear" w:color="auto" w:fill="auto"/>
                <w:lang w:eastAsia="zh-CN"/>
              </w:rPr>
              <w:t>；</w:t>
            </w:r>
            <w:r>
              <w:rPr>
                <w:rFonts w:hint="default" w:ascii="Times New Roman" w:hAnsi="Times New Roman" w:eastAsia="宋体" w:cs="Times New Roman"/>
                <w:color w:val="auto"/>
                <w:sz w:val="18"/>
                <w:szCs w:val="18"/>
                <w:shd w:val="clear" w:color="auto" w:fill="auto"/>
              </w:rPr>
              <w:t>水平视场角: 105.4°-33.6°;电动镜头</w:t>
            </w:r>
          </w:p>
          <w:p>
            <w:pPr>
              <w:widowControl/>
              <w:autoSpaceDE/>
              <w:autoSpaceDN/>
              <w:adjustRightInd/>
              <w:jc w:val="center"/>
              <w:rPr>
                <w:rFonts w:hint="default" w:ascii="Times New Roman" w:hAnsi="Times New Roman" w:eastAsia="宋体" w:cs="Times New Roman"/>
                <w:color w:val="auto"/>
                <w:sz w:val="18"/>
                <w:szCs w:val="18"/>
                <w:shd w:val="clear" w:color="auto" w:fill="auto"/>
              </w:rPr>
            </w:pPr>
            <w:r>
              <w:rPr>
                <w:rFonts w:hint="default" w:ascii="Times New Roman" w:hAnsi="Times New Roman" w:eastAsia="宋体" w:cs="Times New Roman"/>
                <w:color w:val="auto"/>
                <w:sz w:val="18"/>
                <w:szCs w:val="18"/>
                <w:shd w:val="clear" w:color="auto" w:fill="auto"/>
              </w:rPr>
              <w:t>调整角度:水平:0°~355°,垂直:0°~75°,旋转0°~355°</w:t>
            </w:r>
          </w:p>
          <w:p>
            <w:pPr>
              <w:widowControl/>
              <w:autoSpaceDE/>
              <w:autoSpaceDN/>
              <w:adjustRightInd/>
              <w:jc w:val="center"/>
              <w:rPr>
                <w:rFonts w:hint="default" w:ascii="Times New Roman" w:hAnsi="Times New Roman" w:eastAsia="宋体" w:cs="Times New Roman"/>
                <w:color w:val="auto"/>
                <w:sz w:val="18"/>
                <w:szCs w:val="18"/>
                <w:shd w:val="clear" w:color="auto" w:fill="auto"/>
              </w:rPr>
            </w:pPr>
            <w:r>
              <w:rPr>
                <w:rFonts w:hint="default" w:ascii="Times New Roman" w:hAnsi="Times New Roman" w:eastAsia="宋体" w:cs="Times New Roman"/>
                <w:color w:val="auto"/>
                <w:sz w:val="18"/>
                <w:szCs w:val="18"/>
                <w:shd w:val="clear" w:color="auto" w:fill="auto"/>
              </w:rPr>
              <w:t>宽动态范围:120dB</w:t>
            </w:r>
            <w:r>
              <w:rPr>
                <w:rFonts w:hint="eastAsia" w:ascii="Times New Roman" w:hAnsi="Times New Roman" w:eastAsia="宋体" w:cs="Times New Roman"/>
                <w:color w:val="auto"/>
                <w:sz w:val="18"/>
                <w:szCs w:val="18"/>
                <w:shd w:val="clear" w:color="auto" w:fill="auto"/>
                <w:lang w:eastAsia="zh-CN"/>
              </w:rPr>
              <w:t>；</w:t>
            </w:r>
            <w:r>
              <w:rPr>
                <w:rFonts w:hint="default" w:ascii="Times New Roman" w:hAnsi="Times New Roman" w:eastAsia="宋体" w:cs="Times New Roman"/>
                <w:color w:val="auto"/>
                <w:sz w:val="18"/>
                <w:szCs w:val="18"/>
                <w:shd w:val="clear" w:color="auto" w:fill="auto"/>
              </w:rPr>
              <w:t>视频压缩标准:H.265/H.264 / MJPEG</w:t>
            </w:r>
            <w:r>
              <w:rPr>
                <w:rFonts w:hint="eastAsia" w:ascii="Times New Roman" w:hAnsi="Times New Roman" w:eastAsia="宋体" w:cs="Times New Roman"/>
                <w:color w:val="auto"/>
                <w:sz w:val="18"/>
                <w:szCs w:val="18"/>
                <w:shd w:val="clear" w:color="auto" w:fill="auto"/>
                <w:lang w:eastAsia="zh-CN"/>
              </w:rPr>
              <w:t>；</w:t>
            </w:r>
            <w:r>
              <w:rPr>
                <w:rFonts w:hint="default" w:ascii="Times New Roman" w:hAnsi="Times New Roman" w:eastAsia="宋体" w:cs="Times New Roman"/>
                <w:color w:val="auto"/>
                <w:sz w:val="18"/>
                <w:szCs w:val="18"/>
                <w:shd w:val="clear" w:color="auto" w:fill="auto"/>
              </w:rPr>
              <w:t>最大图像尺寸:1920×1080</w:t>
            </w:r>
          </w:p>
          <w:p>
            <w:pPr>
              <w:widowControl/>
              <w:autoSpaceDE/>
              <w:autoSpaceDN/>
              <w:adjustRightInd/>
              <w:jc w:val="center"/>
              <w:rPr>
                <w:rFonts w:hint="default" w:ascii="Times New Roman" w:hAnsi="Times New Roman" w:eastAsia="宋体" w:cs="Times New Roman"/>
                <w:color w:val="auto"/>
                <w:sz w:val="18"/>
                <w:szCs w:val="18"/>
                <w:shd w:val="clear" w:color="auto" w:fill="auto"/>
              </w:rPr>
            </w:pPr>
            <w:r>
              <w:rPr>
                <w:rFonts w:hint="default" w:ascii="Times New Roman" w:hAnsi="Times New Roman" w:eastAsia="宋体" w:cs="Times New Roman"/>
                <w:color w:val="auto"/>
                <w:sz w:val="18"/>
                <w:szCs w:val="18"/>
                <w:shd w:val="clear" w:color="auto" w:fill="auto"/>
              </w:rPr>
              <w:t>音频接口:1对3.5mm音频输入(Line in)/输出外部接口</w:t>
            </w:r>
          </w:p>
          <w:p>
            <w:pPr>
              <w:widowControl/>
              <w:autoSpaceDE/>
              <w:autoSpaceDN/>
              <w:adjustRightInd/>
              <w:jc w:val="center"/>
              <w:rPr>
                <w:rFonts w:hint="default" w:ascii="Times New Roman" w:hAnsi="Times New Roman" w:eastAsia="宋体" w:cs="Times New Roman"/>
                <w:color w:val="auto"/>
                <w:sz w:val="18"/>
                <w:szCs w:val="18"/>
                <w:shd w:val="clear" w:color="auto" w:fill="auto"/>
              </w:rPr>
            </w:pPr>
            <w:r>
              <w:rPr>
                <w:rFonts w:hint="default" w:ascii="Times New Roman" w:hAnsi="Times New Roman" w:eastAsia="宋体" w:cs="Times New Roman"/>
                <w:color w:val="auto"/>
                <w:sz w:val="18"/>
                <w:szCs w:val="18"/>
                <w:shd w:val="clear" w:color="auto" w:fill="auto"/>
              </w:rPr>
              <w:t>通讯接口:1 个RJ45 10M / 100M自适应以太网口,1个RS-485接口</w:t>
            </w:r>
          </w:p>
          <w:p>
            <w:pPr>
              <w:widowControl/>
              <w:autoSpaceDE/>
              <w:autoSpaceDN/>
              <w:adjustRightInd/>
              <w:jc w:val="center"/>
              <w:rPr>
                <w:rFonts w:hint="default" w:ascii="Times New Roman" w:hAnsi="Times New Roman" w:eastAsia="宋体" w:cs="Times New Roman"/>
                <w:color w:val="auto"/>
                <w:sz w:val="18"/>
                <w:szCs w:val="18"/>
                <w:shd w:val="clear" w:color="auto" w:fill="auto"/>
              </w:rPr>
            </w:pPr>
            <w:r>
              <w:rPr>
                <w:rFonts w:hint="default" w:ascii="Times New Roman" w:hAnsi="Times New Roman" w:eastAsia="宋体" w:cs="Times New Roman"/>
                <w:color w:val="auto"/>
                <w:sz w:val="18"/>
                <w:szCs w:val="18"/>
                <w:shd w:val="clear" w:color="auto" w:fill="auto"/>
              </w:rPr>
              <w:t>电源输出:支持1路两线式DC12V 100mA电源输出</w:t>
            </w:r>
          </w:p>
          <w:p>
            <w:pPr>
              <w:widowControl/>
              <w:autoSpaceDE/>
              <w:autoSpaceDN/>
              <w:adjustRightInd/>
              <w:jc w:val="center"/>
              <w:rPr>
                <w:rFonts w:hint="default" w:ascii="Times New Roman" w:hAnsi="Times New Roman" w:eastAsia="宋体" w:cs="Times New Roman"/>
                <w:color w:val="auto"/>
                <w:sz w:val="18"/>
                <w:szCs w:val="18"/>
                <w:shd w:val="clear" w:color="auto" w:fill="auto"/>
              </w:rPr>
            </w:pPr>
            <w:r>
              <w:rPr>
                <w:rFonts w:hint="default" w:ascii="Times New Roman" w:hAnsi="Times New Roman" w:eastAsia="宋体" w:cs="Times New Roman"/>
                <w:color w:val="auto"/>
                <w:sz w:val="18"/>
                <w:szCs w:val="18"/>
                <w:shd w:val="clear" w:color="auto" w:fill="auto"/>
              </w:rPr>
              <w:t>报警输入:1路</w:t>
            </w:r>
          </w:p>
          <w:p>
            <w:pPr>
              <w:widowControl/>
              <w:autoSpaceDE/>
              <w:autoSpaceDN/>
              <w:adjustRightInd/>
              <w:jc w:val="center"/>
              <w:rPr>
                <w:rFonts w:hint="default" w:ascii="Times New Roman" w:hAnsi="Times New Roman" w:eastAsia="宋体" w:cs="Times New Roman"/>
                <w:color w:val="auto"/>
                <w:sz w:val="18"/>
                <w:szCs w:val="18"/>
                <w:shd w:val="clear" w:color="auto" w:fill="auto"/>
              </w:rPr>
            </w:pPr>
            <w:r>
              <w:rPr>
                <w:rFonts w:hint="default" w:ascii="Times New Roman" w:hAnsi="Times New Roman" w:eastAsia="宋体" w:cs="Times New Roman"/>
                <w:color w:val="auto"/>
                <w:sz w:val="18"/>
                <w:szCs w:val="18"/>
                <w:shd w:val="clear" w:color="auto" w:fill="auto"/>
              </w:rPr>
              <w:t>报警输出:1路,最大支持DC24V 1A或AC110V 500mA</w:t>
            </w:r>
          </w:p>
          <w:p>
            <w:pPr>
              <w:widowControl/>
              <w:autoSpaceDE/>
              <w:autoSpaceDN/>
              <w:adjustRightInd/>
              <w:jc w:val="center"/>
              <w:rPr>
                <w:rFonts w:hint="default" w:ascii="Times New Roman" w:hAnsi="Times New Roman" w:eastAsia="宋体" w:cs="Times New Roman"/>
                <w:color w:val="auto"/>
                <w:sz w:val="18"/>
                <w:szCs w:val="18"/>
                <w:shd w:val="clear" w:color="auto" w:fill="auto"/>
              </w:rPr>
            </w:pPr>
            <w:r>
              <w:rPr>
                <w:rFonts w:hint="default" w:ascii="Times New Roman" w:hAnsi="Times New Roman" w:eastAsia="宋体" w:cs="Times New Roman"/>
                <w:color w:val="auto"/>
                <w:sz w:val="18"/>
                <w:szCs w:val="18"/>
                <w:shd w:val="clear" w:color="auto" w:fill="auto"/>
              </w:rPr>
              <w:t>视频输出:1Vp-p Composite Output(75Ω/CVBS)</w:t>
            </w:r>
          </w:p>
          <w:p>
            <w:pPr>
              <w:widowControl/>
              <w:autoSpaceDE/>
              <w:autoSpaceDN/>
              <w:adjustRightInd/>
              <w:jc w:val="center"/>
              <w:rPr>
                <w:rFonts w:hint="default" w:ascii="Times New Roman" w:hAnsi="Times New Roman" w:eastAsia="宋体" w:cs="Times New Roman"/>
                <w:color w:val="auto"/>
                <w:sz w:val="18"/>
                <w:szCs w:val="18"/>
                <w:shd w:val="clear" w:color="auto" w:fill="auto"/>
              </w:rPr>
            </w:pPr>
            <w:r>
              <w:rPr>
                <w:rFonts w:hint="default" w:ascii="Times New Roman" w:hAnsi="Times New Roman" w:eastAsia="宋体" w:cs="Times New Roman"/>
                <w:color w:val="auto"/>
                <w:sz w:val="18"/>
                <w:szCs w:val="18"/>
                <w:shd w:val="clear" w:color="auto" w:fill="auto"/>
              </w:rPr>
              <w:t>工作温度和湿度:-30℃~60℃,湿度小于95%(无凝结)</w:t>
            </w:r>
          </w:p>
          <w:p>
            <w:pPr>
              <w:widowControl/>
              <w:autoSpaceDE/>
              <w:autoSpaceDN/>
              <w:adjustRightInd/>
              <w:jc w:val="center"/>
              <w:rPr>
                <w:rFonts w:hint="default" w:ascii="Times New Roman" w:hAnsi="Times New Roman" w:eastAsia="宋体" w:cs="Times New Roman"/>
                <w:color w:val="auto"/>
                <w:sz w:val="18"/>
                <w:szCs w:val="18"/>
                <w:shd w:val="clear" w:color="auto" w:fill="auto"/>
              </w:rPr>
            </w:pPr>
            <w:r>
              <w:rPr>
                <w:rFonts w:hint="default" w:ascii="Times New Roman" w:hAnsi="Times New Roman" w:eastAsia="宋体" w:cs="Times New Roman"/>
                <w:color w:val="auto"/>
                <w:sz w:val="18"/>
                <w:szCs w:val="18"/>
                <w:shd w:val="clear" w:color="auto" w:fill="auto"/>
              </w:rPr>
              <w:t>电源供应:DC12V±20%/PoE(802.3af)</w:t>
            </w:r>
          </w:p>
          <w:p>
            <w:pPr>
              <w:widowControl/>
              <w:autoSpaceDE/>
              <w:autoSpaceDN/>
              <w:adjustRightInd/>
              <w:jc w:val="center"/>
              <w:rPr>
                <w:rFonts w:hint="default" w:ascii="Times New Roman" w:hAnsi="Times New Roman" w:eastAsia="宋体" w:cs="Times New Roman"/>
                <w:color w:val="auto"/>
                <w:sz w:val="18"/>
                <w:szCs w:val="18"/>
                <w:shd w:val="clear" w:color="auto" w:fill="auto"/>
              </w:rPr>
            </w:pPr>
            <w:r>
              <w:rPr>
                <w:rFonts w:hint="default" w:ascii="Times New Roman" w:hAnsi="Times New Roman" w:eastAsia="宋体" w:cs="Times New Roman"/>
                <w:color w:val="auto"/>
                <w:sz w:val="18"/>
                <w:szCs w:val="18"/>
                <w:shd w:val="clear" w:color="auto" w:fill="auto"/>
              </w:rPr>
              <w:t>电源接口类型:两线式电源接口</w:t>
            </w:r>
          </w:p>
          <w:p>
            <w:pPr>
              <w:widowControl/>
              <w:autoSpaceDE/>
              <w:autoSpaceDN/>
              <w:adjustRightInd/>
              <w:jc w:val="center"/>
              <w:rPr>
                <w:rFonts w:hint="default" w:ascii="Times New Roman" w:hAnsi="Times New Roman" w:eastAsia="宋体" w:cs="Times New Roman"/>
                <w:color w:val="auto"/>
                <w:sz w:val="18"/>
                <w:szCs w:val="18"/>
                <w:shd w:val="clear" w:color="auto" w:fill="auto"/>
              </w:rPr>
            </w:pPr>
            <w:r>
              <w:rPr>
                <w:rFonts w:hint="default" w:ascii="Times New Roman" w:hAnsi="Times New Roman" w:eastAsia="宋体" w:cs="Times New Roman"/>
                <w:color w:val="auto"/>
                <w:sz w:val="18"/>
                <w:szCs w:val="18"/>
                <w:shd w:val="clear" w:color="auto" w:fill="auto"/>
              </w:rPr>
              <w:t>功耗:8W MAX</w:t>
            </w:r>
          </w:p>
          <w:p>
            <w:pPr>
              <w:widowControl/>
              <w:autoSpaceDE/>
              <w:autoSpaceDN/>
              <w:adjustRightInd/>
              <w:jc w:val="center"/>
              <w:rPr>
                <w:rFonts w:hint="default" w:ascii="Times New Roman" w:hAnsi="Times New Roman" w:eastAsia="宋体" w:cs="Times New Roman"/>
                <w:color w:val="auto"/>
                <w:sz w:val="18"/>
                <w:szCs w:val="18"/>
                <w:shd w:val="clear" w:color="auto" w:fill="auto"/>
              </w:rPr>
            </w:pPr>
            <w:r>
              <w:rPr>
                <w:rFonts w:hint="default" w:ascii="Times New Roman" w:hAnsi="Times New Roman" w:eastAsia="宋体" w:cs="Times New Roman"/>
                <w:color w:val="auto"/>
                <w:sz w:val="18"/>
                <w:szCs w:val="18"/>
                <w:shd w:val="clear" w:color="auto" w:fill="auto"/>
              </w:rPr>
              <w:t>红外照射距离:支持红外10-30米</w:t>
            </w:r>
          </w:p>
          <w:p>
            <w:pPr>
              <w:widowControl/>
              <w:autoSpaceDE/>
              <w:autoSpaceDN/>
              <w:adjustRightInd/>
              <w:jc w:val="center"/>
              <w:rPr>
                <w:rFonts w:hint="default" w:ascii="Times New Roman" w:hAnsi="Times New Roman" w:eastAsia="宋体" w:cs="Times New Roman"/>
                <w:color w:val="auto"/>
                <w:sz w:val="18"/>
                <w:szCs w:val="18"/>
                <w:shd w:val="clear" w:color="auto" w:fill="auto"/>
              </w:rPr>
            </w:pPr>
            <w:r>
              <w:rPr>
                <w:rFonts w:hint="default" w:ascii="Times New Roman" w:hAnsi="Times New Roman" w:eastAsia="宋体" w:cs="Times New Roman"/>
                <w:color w:val="auto"/>
                <w:sz w:val="18"/>
                <w:szCs w:val="18"/>
                <w:shd w:val="clear" w:color="auto" w:fill="auto"/>
              </w:rPr>
              <w:t>防暴等级:防暴等级支持IK10</w:t>
            </w:r>
          </w:p>
        </w:tc>
        <w:tc>
          <w:tcPr>
            <w:tcW w:w="69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color w:val="auto"/>
                <w:sz w:val="21"/>
                <w:szCs w:val="21"/>
                <w:shd w:val="clear" w:color="auto" w:fill="auto"/>
              </w:rPr>
              <w:t>台</w:t>
            </w:r>
          </w:p>
        </w:tc>
        <w:tc>
          <w:tcPr>
            <w:tcW w:w="64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shd w:val="clear" w:color="auto" w:fill="auto"/>
              </w:rPr>
            </w:pPr>
            <w:r>
              <w:rPr>
                <w:rFonts w:hint="default" w:ascii="Times New Roman" w:hAnsi="Times New Roman" w:eastAsia="宋体" w:cs="Times New Roman"/>
                <w:color w:val="auto"/>
                <w:sz w:val="21"/>
                <w:szCs w:val="21"/>
                <w:shd w:val="clear" w:color="auto" w:fill="auto"/>
              </w:rPr>
              <w:t>20</w:t>
            </w:r>
          </w:p>
        </w:tc>
        <w:tc>
          <w:tcPr>
            <w:tcW w:w="750" w:type="dxa"/>
            <w:tcBorders>
              <w:top w:val="nil"/>
              <w:left w:val="nil"/>
              <w:bottom w:val="single" w:color="auto" w:sz="4" w:space="0"/>
              <w:right w:val="single" w:color="auto" w:sz="4" w:space="0"/>
            </w:tcBorders>
            <w:noWrap w:val="0"/>
            <w:vAlign w:val="center"/>
          </w:tcPr>
          <w:p>
            <w:pPr>
              <w:widowControl/>
              <w:autoSpaceDE/>
              <w:autoSpaceDN/>
              <w:adjustRightInd/>
              <w:jc w:val="left"/>
              <w:rPr>
                <w:rFonts w:hint="default" w:ascii="Times New Roman" w:hAnsi="Times New Roman" w:eastAsia="宋体" w:cs="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91" w:type="dxa"/>
            <w:tcBorders>
              <w:top w:val="nil"/>
              <w:left w:val="single" w:color="auto" w:sz="8"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328"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服务器</w:t>
            </w:r>
          </w:p>
        </w:tc>
        <w:tc>
          <w:tcPr>
            <w:tcW w:w="457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sz w:val="18"/>
                <w:szCs w:val="18"/>
              </w:rPr>
              <w:t>4110(8核2.1GHz)×1/16GB DDR4/1TB SATA×2/SAS_HBA/1GbE×2/550W(1+1)/2U/16DIMM</w:t>
            </w:r>
          </w:p>
        </w:tc>
        <w:tc>
          <w:tcPr>
            <w:tcW w:w="69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64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75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1" w:type="dxa"/>
            <w:tcBorders>
              <w:top w:val="nil"/>
              <w:left w:val="single" w:color="auto" w:sz="8"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w:t>
            </w:r>
          </w:p>
        </w:tc>
        <w:tc>
          <w:tcPr>
            <w:tcW w:w="1328" w:type="dxa"/>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过欠压保护器</w:t>
            </w:r>
          </w:p>
        </w:tc>
        <w:tc>
          <w:tcPr>
            <w:tcW w:w="457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sz w:val="18"/>
                <w:szCs w:val="18"/>
              </w:rPr>
              <w:t>自动重合漏电保护器，保护线路电压不稳、前端断零线、感应电压问题等，阻燃塑料，过电压值270-280VAC,欠电压值155-165VAC，额定电流：32/40/63/80A，额定电压230V</w:t>
            </w:r>
          </w:p>
        </w:tc>
        <w:tc>
          <w:tcPr>
            <w:tcW w:w="69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只</w:t>
            </w:r>
          </w:p>
        </w:tc>
        <w:tc>
          <w:tcPr>
            <w:tcW w:w="64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00</w:t>
            </w:r>
          </w:p>
        </w:tc>
        <w:tc>
          <w:tcPr>
            <w:tcW w:w="75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1" w:type="dxa"/>
            <w:tcBorders>
              <w:top w:val="nil"/>
              <w:left w:val="single" w:color="auto" w:sz="8"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电源适配器</w:t>
            </w:r>
          </w:p>
        </w:tc>
        <w:tc>
          <w:tcPr>
            <w:tcW w:w="4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12V/2A两线、两端带线式，国标，输入线长500mm，输出线长1000mm</w:t>
            </w:r>
          </w:p>
        </w:tc>
        <w:tc>
          <w:tcPr>
            <w:tcW w:w="69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只</w:t>
            </w:r>
          </w:p>
        </w:tc>
        <w:tc>
          <w:tcPr>
            <w:tcW w:w="64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4500</w:t>
            </w:r>
          </w:p>
        </w:tc>
        <w:tc>
          <w:tcPr>
            <w:tcW w:w="75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1" w:type="dxa"/>
            <w:tcBorders>
              <w:top w:val="nil"/>
              <w:left w:val="single" w:color="auto" w:sz="8"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球机</w:t>
            </w:r>
            <w:r>
              <w:rPr>
                <w:rFonts w:hint="default" w:ascii="Times New Roman" w:hAnsi="Times New Roman" w:eastAsia="宋体" w:cs="Times New Roman"/>
                <w:color w:val="auto"/>
                <w:sz w:val="21"/>
                <w:szCs w:val="21"/>
              </w:rPr>
              <w:t>电源适配器</w:t>
            </w:r>
          </w:p>
        </w:tc>
        <w:tc>
          <w:tcPr>
            <w:tcW w:w="4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通用型球机适配线性电源,线性电源,AC24V/5A,国标，输入线长1.0m，输出线长0.75m</w:t>
            </w:r>
          </w:p>
        </w:tc>
        <w:tc>
          <w:tcPr>
            <w:tcW w:w="69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只</w:t>
            </w:r>
          </w:p>
        </w:tc>
        <w:tc>
          <w:tcPr>
            <w:tcW w:w="645"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w:t>
            </w:r>
          </w:p>
        </w:tc>
        <w:tc>
          <w:tcPr>
            <w:tcW w:w="750" w:type="dxa"/>
            <w:tcBorders>
              <w:top w:val="nil"/>
              <w:left w:val="nil"/>
              <w:bottom w:val="single" w:color="auto" w:sz="4" w:space="0"/>
              <w:right w:val="single" w:color="auto" w:sz="4" w:space="0"/>
            </w:tcBorders>
            <w:noWrap w:val="0"/>
            <w:vAlign w:val="center"/>
          </w:tcPr>
          <w:p>
            <w:pPr>
              <w:widowControl/>
              <w:autoSpaceDE/>
              <w:autoSpaceDN/>
              <w:adjustRightInd/>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w:t>
            </w:r>
          </w:p>
        </w:tc>
      </w:tr>
    </w:tbl>
    <w:p>
      <w:pPr>
        <w:pStyle w:val="5"/>
        <w:bidi w:val="0"/>
        <w:ind w:left="0" w:leftChars="0" w:firstLine="0" w:firstLineChars="0"/>
        <w:rPr>
          <w:rFonts w:hint="default"/>
          <w:color w:val="auto"/>
          <w:highlight w:val="none"/>
        </w:rPr>
      </w:pPr>
      <w:r>
        <w:rPr>
          <w:rFonts w:hint="eastAsia"/>
          <w:color w:val="auto"/>
          <w:highlight w:val="none"/>
          <w:lang w:val="en-US" w:eastAsia="zh-CN"/>
        </w:rPr>
        <w:t>7、</w:t>
      </w:r>
      <w:r>
        <w:rPr>
          <w:rFonts w:hint="default"/>
          <w:color w:val="auto"/>
          <w:highlight w:val="none"/>
        </w:rPr>
        <w:t>供货范围及要求</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（1）成交供应商须保证提供货物为全新的、先进的、成熟的、完整的和安全可靠的，且货物的技术经济性能符合本项目采购要求。</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（2）成交供应商应提供详细供货清单，清单中依次说明型号、数量、产地、生产厂家等内容。</w:t>
      </w:r>
    </w:p>
    <w:p>
      <w:pPr>
        <w:pStyle w:val="110"/>
        <w:spacing w:before="120" w:beforeLines="0" w:after="120" w:afterLines="0"/>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3）除有特别注明外，所列设备及数量为建设本项目必需但不一定是全部。对于属于整套系统运行和施工所必需的部件，即使在本项目采购中未列出或数目不足，成交供应商应在投标时应充分考虑并须在执行合同时无偿补足。</w:t>
      </w:r>
    </w:p>
    <w:p>
      <w:pPr>
        <w:spacing w:line="360" w:lineRule="auto"/>
        <w:ind w:firstLine="480" w:firstLineChars="200"/>
        <w:rPr>
          <w:rFonts w:hint="default" w:ascii="Times New Roman" w:hAnsi="Times New Roman" w:eastAsia="宋体" w:cs="Times New Roman"/>
          <w:color w:val="auto"/>
          <w:kern w:val="2"/>
          <w:sz w:val="24"/>
          <w:highlight w:val="none"/>
          <w:lang w:val="en-US" w:eastAsia="zh-CN"/>
        </w:rPr>
      </w:pPr>
      <w:r>
        <w:rPr>
          <w:rFonts w:hint="default" w:ascii="Times New Roman" w:hAnsi="Times New Roman" w:eastAsia="宋体" w:cs="Times New Roman"/>
          <w:color w:val="auto"/>
          <w:kern w:val="2"/>
          <w:sz w:val="24"/>
          <w:highlight w:val="none"/>
        </w:rPr>
        <w:t>（4）中标</w:t>
      </w:r>
      <w:r>
        <w:rPr>
          <w:rFonts w:hint="eastAsia" w:ascii="Times New Roman" w:hAnsi="Times New Roman" w:eastAsia="宋体" w:cs="Times New Roman"/>
          <w:color w:val="auto"/>
          <w:kern w:val="2"/>
          <w:sz w:val="24"/>
          <w:highlight w:val="none"/>
          <w:lang w:eastAsia="zh-CN"/>
        </w:rPr>
        <w:t>方</w:t>
      </w:r>
      <w:r>
        <w:rPr>
          <w:rFonts w:hint="default" w:ascii="Times New Roman" w:hAnsi="Times New Roman" w:eastAsia="宋体" w:cs="Times New Roman"/>
          <w:color w:val="auto"/>
          <w:kern w:val="2"/>
          <w:sz w:val="24"/>
          <w:highlight w:val="none"/>
        </w:rPr>
        <w:t>需提供</w:t>
      </w:r>
      <w:r>
        <w:rPr>
          <w:rFonts w:hint="eastAsia" w:ascii="Times New Roman" w:hAnsi="Times New Roman" w:eastAsia="宋体" w:cs="Times New Roman"/>
          <w:color w:val="auto"/>
          <w:kern w:val="2"/>
          <w:sz w:val="24"/>
          <w:highlight w:val="none"/>
          <w:lang w:val="en-US" w:eastAsia="zh-CN"/>
        </w:rPr>
        <w:t>5</w:t>
      </w:r>
      <w:r>
        <w:rPr>
          <w:rFonts w:hint="default" w:ascii="Times New Roman" w:hAnsi="Times New Roman" w:eastAsia="宋体" w:cs="Times New Roman"/>
          <w:color w:val="auto"/>
          <w:kern w:val="2"/>
          <w:sz w:val="24"/>
          <w:highlight w:val="none"/>
        </w:rPr>
        <w:t>%的外场相关带电设备</w:t>
      </w:r>
      <w:r>
        <w:rPr>
          <w:rFonts w:hint="default" w:ascii="Times New Roman" w:hAnsi="Times New Roman" w:eastAsia="宋体" w:cs="Times New Roman"/>
          <w:color w:val="auto"/>
          <w:kern w:val="2"/>
          <w:sz w:val="24"/>
          <w:highlight w:val="none"/>
          <w:lang w:eastAsia="zh-CN"/>
        </w:rPr>
        <w:t>的</w:t>
      </w:r>
      <w:r>
        <w:rPr>
          <w:rFonts w:hint="default" w:ascii="Times New Roman" w:hAnsi="Times New Roman" w:eastAsia="宋体" w:cs="Times New Roman"/>
          <w:color w:val="auto"/>
          <w:kern w:val="2"/>
          <w:sz w:val="24"/>
          <w:highlight w:val="none"/>
        </w:rPr>
        <w:t>备品备件</w:t>
      </w:r>
      <w:r>
        <w:rPr>
          <w:rFonts w:hint="eastAsia" w:ascii="Times New Roman" w:hAnsi="Times New Roman" w:eastAsia="宋体" w:cs="Times New Roman"/>
          <w:color w:val="auto"/>
          <w:kern w:val="2"/>
          <w:sz w:val="24"/>
          <w:highlight w:val="none"/>
          <w:lang w:eastAsia="zh-CN"/>
        </w:rPr>
        <w:t>，其中</w:t>
      </w:r>
      <w:r>
        <w:rPr>
          <w:rFonts w:hint="default" w:ascii="Times New Roman" w:hAnsi="Times New Roman" w:eastAsia="宋体" w:cs="Times New Roman"/>
          <w:color w:val="auto"/>
          <w:kern w:val="2"/>
          <w:sz w:val="24"/>
          <w:highlight w:val="none"/>
          <w:lang w:val="en-US" w:eastAsia="zh-CN"/>
        </w:rPr>
        <w:t>质保期内中标</w:t>
      </w:r>
      <w:r>
        <w:rPr>
          <w:rFonts w:hint="eastAsia" w:ascii="Times New Roman" w:hAnsi="Times New Roman" w:eastAsia="宋体" w:cs="Times New Roman"/>
          <w:color w:val="auto"/>
          <w:kern w:val="2"/>
          <w:sz w:val="24"/>
          <w:highlight w:val="none"/>
          <w:lang w:val="en-US" w:eastAsia="zh-CN"/>
        </w:rPr>
        <w:t>方</w:t>
      </w:r>
      <w:r>
        <w:rPr>
          <w:rFonts w:hint="default" w:ascii="Times New Roman" w:hAnsi="Times New Roman" w:eastAsia="宋体" w:cs="Times New Roman"/>
          <w:color w:val="auto"/>
          <w:kern w:val="2"/>
          <w:sz w:val="24"/>
          <w:highlight w:val="none"/>
          <w:lang w:val="en-US" w:eastAsia="zh-CN"/>
        </w:rPr>
        <w:t>需</w:t>
      </w:r>
      <w:r>
        <w:rPr>
          <w:rFonts w:hint="eastAsia" w:ascii="Times New Roman" w:hAnsi="Times New Roman" w:eastAsia="宋体" w:cs="Times New Roman"/>
          <w:color w:val="auto"/>
          <w:kern w:val="2"/>
          <w:sz w:val="24"/>
          <w:highlight w:val="none"/>
          <w:lang w:val="en-US" w:eastAsia="zh-CN"/>
        </w:rPr>
        <w:t>对</w:t>
      </w:r>
      <w:r>
        <w:rPr>
          <w:rFonts w:hint="default" w:ascii="Times New Roman" w:hAnsi="Times New Roman" w:eastAsia="宋体" w:cs="Times New Roman"/>
          <w:color w:val="auto"/>
          <w:kern w:val="2"/>
          <w:sz w:val="24"/>
          <w:highlight w:val="none"/>
          <w:lang w:val="en-US" w:eastAsia="zh-CN"/>
        </w:rPr>
        <w:t>电源适配器和过欠压保护器提供</w:t>
      </w:r>
      <w:r>
        <w:rPr>
          <w:rFonts w:hint="eastAsia" w:ascii="Times New Roman" w:hAnsi="Times New Roman" w:eastAsia="宋体" w:cs="Times New Roman"/>
          <w:color w:val="auto"/>
          <w:kern w:val="2"/>
          <w:sz w:val="24"/>
          <w:highlight w:val="none"/>
          <w:lang w:val="en-US" w:eastAsia="zh-CN"/>
        </w:rPr>
        <w:t>以旧</w:t>
      </w:r>
      <w:r>
        <w:rPr>
          <w:rFonts w:hint="default" w:ascii="Times New Roman" w:hAnsi="Times New Roman" w:eastAsia="宋体" w:cs="Times New Roman"/>
          <w:color w:val="auto"/>
          <w:kern w:val="2"/>
          <w:sz w:val="24"/>
          <w:highlight w:val="none"/>
          <w:lang w:val="en-US" w:eastAsia="zh-CN"/>
        </w:rPr>
        <w:t>换新服务，招标方有权要求中标人提供代用件。</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（5）成交供应商应提供所有安装和检修所需专用工具和消耗材料等，并提供详细供货清单。</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（6）提供所供货物中的进口件清单。</w:t>
      </w:r>
    </w:p>
    <w:p>
      <w:pPr>
        <w:pStyle w:val="5"/>
        <w:numPr>
          <w:ilvl w:val="0"/>
          <w:numId w:val="0"/>
        </w:numPr>
        <w:spacing w:line="360" w:lineRule="auto"/>
        <w:ind w:leftChars="0"/>
        <w:rPr>
          <w:rFonts w:hint="default" w:ascii="Times New Roman" w:hAnsi="Times New Roman" w:eastAsia="宋体" w:cs="Times New Roman"/>
          <w:color w:val="auto"/>
          <w:highlight w:val="none"/>
        </w:rPr>
      </w:pPr>
      <w:r>
        <w:rPr>
          <w:rFonts w:hint="eastAsia" w:ascii="Times New Roman" w:hAnsi="Times New Roman" w:cs="Times New Roman"/>
          <w:color w:val="auto"/>
          <w:highlight w:val="none"/>
          <w:lang w:val="en-US" w:eastAsia="zh-CN"/>
        </w:rPr>
        <w:t>8、</w:t>
      </w:r>
      <w:r>
        <w:rPr>
          <w:rFonts w:hint="default" w:ascii="Times New Roman" w:hAnsi="Times New Roman" w:eastAsia="宋体" w:cs="Times New Roman"/>
          <w:color w:val="auto"/>
          <w:highlight w:val="none"/>
        </w:rPr>
        <w:t>质量标准和技术服务条件</w:t>
      </w:r>
    </w:p>
    <w:p>
      <w:pPr>
        <w:pStyle w:val="6"/>
        <w:bidi w:val="0"/>
        <w:ind w:left="0" w:leftChars="0" w:firstLine="0" w:firstLineChars="0"/>
        <w:rPr>
          <w:rFonts w:hint="default"/>
          <w:color w:val="auto"/>
          <w:highlight w:val="none"/>
        </w:rPr>
      </w:pPr>
      <w:r>
        <w:rPr>
          <w:rFonts w:hint="eastAsia"/>
          <w:color w:val="auto"/>
          <w:highlight w:val="none"/>
          <w:lang w:val="en-US" w:eastAsia="zh-CN"/>
        </w:rPr>
        <w:t xml:space="preserve">   </w:t>
      </w:r>
      <w:r>
        <w:rPr>
          <w:rFonts w:hint="default"/>
          <w:color w:val="auto"/>
          <w:highlight w:val="none"/>
        </w:rPr>
        <w:t>质量标准要求</w:t>
      </w:r>
      <w:r>
        <w:rPr>
          <w:rFonts w:hint="default"/>
          <w:color w:val="auto"/>
          <w:highlight w:val="none"/>
        </w:rPr>
        <w:tab/>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（1）本项目的所有软、硬件(如电源适配器、线缆、软件、硬件模块等，包括未列出而系统实施又必需的软件、硬件)需配齐以构成一套完整实用系统，如有任何遗漏，由投标人免费补齐。</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（2）投标方案中的硬件设备如需使用特别接头、插座等，由投标人免费提供。</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（3）所投设备需为原厂设备，符合国家技术规范和质量标准，通过国家有关部门检测合格的原产地设备，能够与</w:t>
      </w:r>
      <w:r>
        <w:rPr>
          <w:rFonts w:hint="default" w:ascii="Times New Roman" w:hAnsi="Times New Roman" w:eastAsia="宋体" w:cs="Times New Roman"/>
          <w:color w:val="auto"/>
          <w:highlight w:val="none"/>
          <w:lang w:eastAsia="zh-CN"/>
        </w:rPr>
        <w:t>招标方</w:t>
      </w:r>
      <w:r>
        <w:rPr>
          <w:rFonts w:hint="default" w:ascii="Times New Roman" w:hAnsi="Times New Roman" w:eastAsia="宋体" w:cs="Times New Roman"/>
          <w:color w:val="auto"/>
          <w:highlight w:val="none"/>
        </w:rPr>
        <w:t>现有设备正常连接；设备安装调试完毕后，能在其功能范围内保障用户的系统安全、稳定运行。</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（4）所投设备及主要部件均须非停产设备，并提供备件、附件和耗材的供应。</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本次采购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（6）验收条件：开箱验收：清点设备装箱内容符合装箱单所列并符合招标文件要求和承诺书承诺；开机验收：设备应通电开机后进行所规定时间的试验运行后方可验收。</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（7）对所有的设备等只能作为本项目使用，不得转借其他项目。</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（8）本系统产生的任何照片、视频、文字等信息数据产权归招标人所有，不得擅自截留，用作商业开发利用。</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（9）投标人供货产品必须是原厂商、正宗品牌、正规渠道的产品，不得用假冒及伪劣产品替代；如出现上述质量问题，</w:t>
      </w:r>
      <w:r>
        <w:rPr>
          <w:rFonts w:hint="default" w:ascii="Times New Roman" w:hAnsi="Times New Roman" w:eastAsia="宋体" w:cs="Times New Roman"/>
          <w:color w:val="auto"/>
          <w:highlight w:val="none"/>
          <w:lang w:eastAsia="zh-CN"/>
        </w:rPr>
        <w:t>招标方</w:t>
      </w:r>
      <w:r>
        <w:rPr>
          <w:rFonts w:hint="default" w:ascii="Times New Roman" w:hAnsi="Times New Roman" w:eastAsia="宋体" w:cs="Times New Roman"/>
          <w:color w:val="auto"/>
          <w:highlight w:val="none"/>
        </w:rPr>
        <w:t>有权退货；如造成损失的，</w:t>
      </w:r>
      <w:r>
        <w:rPr>
          <w:rFonts w:hint="default" w:ascii="Times New Roman" w:hAnsi="Times New Roman" w:eastAsia="宋体" w:cs="Times New Roman"/>
          <w:color w:val="auto"/>
          <w:highlight w:val="none"/>
          <w:lang w:eastAsia="zh-CN"/>
        </w:rPr>
        <w:t>招标方</w:t>
      </w:r>
      <w:r>
        <w:rPr>
          <w:rFonts w:hint="default" w:ascii="Times New Roman" w:hAnsi="Times New Roman" w:eastAsia="宋体" w:cs="Times New Roman"/>
          <w:color w:val="auto"/>
          <w:highlight w:val="none"/>
        </w:rPr>
        <w:t>可要求中标人给予赔偿。</w:t>
      </w:r>
    </w:p>
    <w:p>
      <w:pPr>
        <w:pStyle w:val="6"/>
        <w:bidi w:val="0"/>
        <w:ind w:left="0" w:leftChars="0" w:firstLine="0" w:firstLineChars="0"/>
        <w:rPr>
          <w:rFonts w:hint="default"/>
          <w:color w:val="auto"/>
          <w:highlight w:val="none"/>
        </w:rPr>
      </w:pPr>
      <w:r>
        <w:rPr>
          <w:rFonts w:hint="eastAsia"/>
          <w:color w:val="auto"/>
          <w:highlight w:val="none"/>
          <w:lang w:val="en-US" w:eastAsia="zh-CN"/>
        </w:rPr>
        <w:t xml:space="preserve">   </w:t>
      </w:r>
      <w:r>
        <w:rPr>
          <w:rFonts w:hint="default"/>
          <w:color w:val="auto"/>
          <w:highlight w:val="none"/>
        </w:rPr>
        <w:t>技术服务要求</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投标人应确保其技术建议以及所提供的产品的完整性、实用性，保证全部系统及时投入正常运行。否则若出现因投标人提供的设备不满足要求、不合理，或者其所提供的技术支持和服务不全面，而导致系统无法实现或不能完全实现的状况，投标人负全部责任。</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（2）如果产品在服务期内发生设备故障，投标人应及时予以响应（免费上门服务），否则</w:t>
      </w:r>
      <w:r>
        <w:rPr>
          <w:rFonts w:hint="default" w:ascii="Times New Roman" w:hAnsi="Times New Roman" w:eastAsia="宋体" w:cs="Times New Roman"/>
          <w:color w:val="auto"/>
          <w:highlight w:val="none"/>
          <w:lang w:eastAsia="zh-CN"/>
        </w:rPr>
        <w:t>招标方</w:t>
      </w:r>
      <w:r>
        <w:rPr>
          <w:rFonts w:hint="default" w:ascii="Times New Roman" w:hAnsi="Times New Roman" w:eastAsia="宋体" w:cs="Times New Roman"/>
          <w:color w:val="auto"/>
          <w:highlight w:val="none"/>
        </w:rPr>
        <w:t>将自行采取必要的措施，由此产生风险和费用由投标人承担。</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★（3）如招标文件中遗漏了必须具备的设备、配件或服务，投标人有义务保证</w:t>
      </w:r>
      <w:r>
        <w:rPr>
          <w:rFonts w:hint="default" w:ascii="Times New Roman" w:hAnsi="Times New Roman" w:eastAsia="宋体" w:cs="Times New Roman"/>
          <w:color w:val="auto"/>
          <w:highlight w:val="none"/>
          <w:lang w:eastAsia="zh-CN"/>
        </w:rPr>
        <w:t>招标方</w:t>
      </w:r>
      <w:r>
        <w:rPr>
          <w:rFonts w:hint="default" w:ascii="Times New Roman" w:hAnsi="Times New Roman" w:eastAsia="宋体" w:cs="Times New Roman"/>
          <w:color w:val="auto"/>
          <w:highlight w:val="none"/>
        </w:rPr>
        <w:t>系统的完整性，如项目实施过程中因缺少设备、配件或服务导致</w:t>
      </w:r>
      <w:r>
        <w:rPr>
          <w:rFonts w:hint="default" w:ascii="Times New Roman" w:hAnsi="Times New Roman" w:eastAsia="宋体" w:cs="Times New Roman"/>
          <w:color w:val="auto"/>
          <w:highlight w:val="none"/>
          <w:lang w:eastAsia="zh-CN"/>
        </w:rPr>
        <w:t>招标方</w:t>
      </w:r>
      <w:r>
        <w:rPr>
          <w:rFonts w:hint="default" w:ascii="Times New Roman" w:hAnsi="Times New Roman" w:eastAsia="宋体" w:cs="Times New Roman"/>
          <w:color w:val="auto"/>
          <w:highlight w:val="none"/>
        </w:rPr>
        <w:t>系统无法正常运行，投标人须承诺免费提供。</w:t>
      </w:r>
    </w:p>
    <w:p>
      <w:pPr>
        <w:pStyle w:val="6"/>
        <w:bidi w:val="0"/>
        <w:ind w:left="0" w:leftChars="0" w:firstLine="0" w:firstLineChars="0"/>
        <w:rPr>
          <w:rFonts w:hint="default"/>
          <w:color w:val="auto"/>
          <w:highlight w:val="none"/>
        </w:rPr>
      </w:pPr>
      <w:r>
        <w:rPr>
          <w:rFonts w:hint="eastAsia"/>
          <w:color w:val="auto"/>
          <w:highlight w:val="none"/>
          <w:lang w:val="en-US" w:eastAsia="zh-CN"/>
        </w:rPr>
        <w:t>9、</w:t>
      </w:r>
      <w:r>
        <w:rPr>
          <w:rFonts w:hint="default"/>
          <w:color w:val="auto"/>
          <w:highlight w:val="none"/>
        </w:rPr>
        <w:t>售后服务</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（1）中标人应保证系统按招标书所提要求时间投入正常运行。</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（2）售后维护方面，需有定期回访、维护。保修条款严格按国家规定/厂商规定（两者取高标准为准）执行。</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（3）售后服务、保修服务齐全，且均按有关国家标准规定执行。除特殊说明外，所有设备按原厂提供的要求保修。</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（4）在规定的服务期限内，中标人应提供系统维护所需的工作人员和材料，对产品进行定期或不定期的预防维护，使其系统保持良好的运行状态。</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（5）投标人应明确系统完善、免费维护期满后的维护方案和费用等。</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（6）中标人应提供完整的设备资料如设备说明书、系统设置与操作步骤等，应包含纸质资料与电子文档。</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（7）中标人要提供两次的免费培训（不限人数），保证甲方技术人员达到熟练操作、维护的程度，能进行一般的日常维护管理和检修，并能够处理简单的软、硬件故障。</w:t>
      </w:r>
    </w:p>
    <w:p>
      <w:pPr>
        <w:pStyle w:val="110"/>
        <w:spacing w:before="120" w:beforeLines="0" w:after="120" w:afterLines="0"/>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（8）中标人对其提供的所有设备均提供5年原厂商质保，终身维护，质保期内每一个月巡检1次。</w:t>
      </w:r>
      <w:r>
        <w:rPr>
          <w:rFonts w:hint="default" w:ascii="Times New Roman" w:hAnsi="Times New Roman" w:eastAsia="宋体" w:cs="Times New Roman"/>
          <w:color w:val="auto"/>
          <w:highlight w:val="none"/>
          <w:lang w:eastAsia="zh-CN"/>
        </w:rPr>
        <w:t>质保期</w:t>
      </w:r>
      <w:r>
        <w:rPr>
          <w:rFonts w:hint="default" w:ascii="Times New Roman" w:hAnsi="Times New Roman" w:eastAsia="宋体" w:cs="Times New Roman"/>
          <w:color w:val="auto"/>
          <w:highlight w:val="none"/>
        </w:rPr>
        <w:t>期从产品验收合格之日起开始计算。</w:t>
      </w:r>
      <w:r>
        <w:rPr>
          <w:rFonts w:hint="default" w:ascii="Times New Roman" w:hAnsi="Times New Roman" w:eastAsia="宋体" w:cs="Times New Roman"/>
          <w:color w:val="auto"/>
          <w:highlight w:val="none"/>
          <w:lang w:eastAsia="zh-CN"/>
        </w:rPr>
        <w:t>中标人</w:t>
      </w:r>
      <w:r>
        <w:rPr>
          <w:rFonts w:hint="default" w:ascii="Times New Roman" w:hAnsi="Times New Roman" w:eastAsia="宋体" w:cs="Times New Roman"/>
          <w:color w:val="auto"/>
          <w:highlight w:val="none"/>
        </w:rPr>
        <w:t>提供7*24小时技术支持服务，接到故障报修后2工作小时内到达现场，前端故障恢复时间小于24小时，监控中心和分中心故障恢复时间小于4小时。系统软件提供终身免费升级，或提供代用件。</w:t>
      </w:r>
      <w:r>
        <w:rPr>
          <w:rFonts w:hint="eastAsia" w:ascii="Times New Roman" w:hAnsi="Times New Roman" w:eastAsia="宋体" w:cs="Times New Roman"/>
          <w:color w:val="auto"/>
          <w:highlight w:val="none"/>
          <w:lang w:eastAsia="zh-CN"/>
        </w:rPr>
        <w:t>验收合格后，中标人免费提供一年售后维保。</w:t>
      </w:r>
    </w:p>
    <w:p>
      <w:pPr>
        <w:spacing w:line="440" w:lineRule="exact"/>
        <w:ind w:firstLine="480" w:firstLineChars="200"/>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9</w:t>
      </w:r>
      <w:r>
        <w:rPr>
          <w:rFonts w:hint="eastAsia" w:ascii="Times New Roman" w:hAnsi="Times New Roman" w:eastAsia="宋体" w:cs="Times New Roman"/>
          <w:color w:val="auto"/>
          <w:kern w:val="0"/>
          <w:sz w:val="24"/>
          <w:highlight w:val="none"/>
          <w:lang w:eastAsia="zh-CN"/>
        </w:rPr>
        <w:t>）中标人应保证平台运作过程中采集到的所有数据及信息的安全性；保证数据及信息不外泄，不另作他用。如果因数据及信息外泄或另作他用而引发的第三方投诉、追诉、要求赔偿等纠纷而造成甲方损失的，所有经济损失全部由乙方负责承担。</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（10）中标人派至少2名专业人员在招标方指定地点提供五年驻场服务，由招标方负责考核。</w:t>
      </w:r>
    </w:p>
    <w:p>
      <w:pPr>
        <w:spacing w:line="440" w:lineRule="exact"/>
        <w:ind w:firstLine="480" w:firstLineChars="20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kern w:val="2"/>
          <w:sz w:val="24"/>
          <w:szCs w:val="21"/>
          <w:highlight w:val="none"/>
          <w:lang w:val="en-US" w:eastAsia="zh-CN" w:bidi="ar-SA"/>
        </w:rPr>
        <w:t>（11）</w:t>
      </w:r>
      <w:r>
        <w:rPr>
          <w:rFonts w:hint="default" w:ascii="Times New Roman" w:hAnsi="Times New Roman" w:eastAsia="宋体" w:cs="Times New Roman"/>
          <w:color w:val="auto"/>
          <w:kern w:val="0"/>
          <w:sz w:val="24"/>
          <w:highlight w:val="none"/>
        </w:rPr>
        <w:t>外场施工中投标人必须有施工区域的隔离措施，投标时提供隔离设施的设计图纸。在施工中可根据</w:t>
      </w:r>
      <w:r>
        <w:rPr>
          <w:rFonts w:hint="default" w:ascii="Times New Roman" w:hAnsi="Times New Roman" w:eastAsia="宋体" w:cs="Times New Roman"/>
          <w:color w:val="auto"/>
          <w:kern w:val="0"/>
          <w:sz w:val="24"/>
          <w:highlight w:val="none"/>
          <w:lang w:eastAsia="zh-CN"/>
        </w:rPr>
        <w:t>招标方</w:t>
      </w:r>
      <w:r>
        <w:rPr>
          <w:rFonts w:hint="default" w:ascii="Times New Roman" w:hAnsi="Times New Roman" w:eastAsia="宋体" w:cs="Times New Roman"/>
          <w:color w:val="auto"/>
          <w:kern w:val="0"/>
          <w:sz w:val="24"/>
          <w:highlight w:val="none"/>
        </w:rPr>
        <w:t>要求，对隔离设施进行灵活、免费更改。本项目执行完后，投标人将隔离设施全部免费移交</w:t>
      </w:r>
      <w:r>
        <w:rPr>
          <w:rFonts w:hint="default" w:ascii="Times New Roman" w:hAnsi="Times New Roman" w:eastAsia="宋体" w:cs="Times New Roman"/>
          <w:color w:val="auto"/>
          <w:kern w:val="0"/>
          <w:sz w:val="24"/>
          <w:highlight w:val="none"/>
          <w:lang w:eastAsia="zh-CN"/>
        </w:rPr>
        <w:t>招标方。</w:t>
      </w:r>
    </w:p>
    <w:p>
      <w:pPr>
        <w:spacing w:line="440" w:lineRule="exact"/>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（12）</w:t>
      </w:r>
      <w:r>
        <w:rPr>
          <w:rFonts w:hint="default" w:ascii="Times New Roman" w:hAnsi="Times New Roman" w:eastAsia="宋体" w:cs="Times New Roman"/>
          <w:color w:val="auto"/>
          <w:kern w:val="0"/>
          <w:sz w:val="24"/>
          <w:highlight w:val="none"/>
        </w:rPr>
        <w:t>投标人应在投标文件中详细对质量保证及售后服务方案做出承诺，并加盖投标人有效公章。</w:t>
      </w:r>
    </w:p>
    <w:p>
      <w:pPr>
        <w:pStyle w:val="5"/>
        <w:numPr>
          <w:ilvl w:val="0"/>
          <w:numId w:val="0"/>
        </w:numPr>
        <w:spacing w:line="360" w:lineRule="auto"/>
        <w:ind w:leftChars="0"/>
        <w:rPr>
          <w:rFonts w:hint="default" w:ascii="Times New Roman" w:hAnsi="Times New Roman" w:eastAsia="宋体" w:cs="Times New Roman"/>
          <w:color w:val="auto"/>
          <w:highlight w:val="none"/>
        </w:rPr>
      </w:pPr>
      <w:r>
        <w:rPr>
          <w:rFonts w:hint="eastAsia" w:ascii="Times New Roman" w:hAnsi="Times New Roman" w:cs="Times New Roman"/>
          <w:color w:val="auto"/>
          <w:highlight w:val="none"/>
          <w:lang w:val="en-US" w:eastAsia="zh-CN"/>
        </w:rPr>
        <w:t>10、</w:t>
      </w:r>
      <w:r>
        <w:rPr>
          <w:rFonts w:hint="default" w:ascii="Times New Roman" w:hAnsi="Times New Roman" w:eastAsia="宋体" w:cs="Times New Roman"/>
          <w:color w:val="auto"/>
          <w:highlight w:val="none"/>
        </w:rPr>
        <w:t>其他要求</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（1）特别说明:</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标注为★是必须实质性响应，不满足则做废标处理。设备质保期为5年。</w:t>
      </w:r>
      <w:r>
        <w:rPr>
          <w:rFonts w:hint="eastAsia" w:ascii="Times New Roman" w:hAnsi="Times New Roman" w:eastAsia="宋体" w:cs="Times New Roman"/>
          <w:color w:val="auto"/>
          <w:highlight w:val="none"/>
          <w:lang w:eastAsia="zh-CN"/>
        </w:rPr>
        <w:t>中标</w:t>
      </w:r>
      <w:r>
        <w:rPr>
          <w:rFonts w:hint="default" w:ascii="Times New Roman" w:hAnsi="Times New Roman" w:eastAsia="宋体" w:cs="Times New Roman"/>
          <w:color w:val="auto"/>
          <w:highlight w:val="none"/>
        </w:rPr>
        <w:t>的供应商实际供货量由</w:t>
      </w:r>
      <w:r>
        <w:rPr>
          <w:rFonts w:hint="default" w:ascii="Times New Roman" w:hAnsi="Times New Roman" w:eastAsia="宋体" w:cs="Times New Roman"/>
          <w:color w:val="auto"/>
          <w:highlight w:val="none"/>
          <w:lang w:eastAsia="zh-CN"/>
        </w:rPr>
        <w:t>招标方</w:t>
      </w:r>
      <w:r>
        <w:rPr>
          <w:rFonts w:hint="default" w:ascii="Times New Roman" w:hAnsi="Times New Roman" w:eastAsia="宋体" w:cs="Times New Roman"/>
          <w:color w:val="auto"/>
          <w:highlight w:val="none"/>
        </w:rPr>
        <w:t>选定供货量。</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（2）供货及安装调试时间要求：</w:t>
      </w:r>
    </w:p>
    <w:p>
      <w:pPr>
        <w:pStyle w:val="110"/>
        <w:spacing w:before="120" w:beforeLines="0" w:after="120" w:afterLines="0"/>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所有工程项目需按</w:t>
      </w:r>
      <w:r>
        <w:rPr>
          <w:rFonts w:hint="default" w:ascii="Times New Roman" w:hAnsi="Times New Roman" w:eastAsia="宋体" w:cs="Times New Roman"/>
          <w:color w:val="auto"/>
          <w:highlight w:val="none"/>
          <w:lang w:eastAsia="zh-CN"/>
        </w:rPr>
        <w:t>招标方</w:t>
      </w:r>
      <w:r>
        <w:rPr>
          <w:rFonts w:hint="default" w:ascii="Times New Roman" w:hAnsi="Times New Roman" w:eastAsia="宋体" w:cs="Times New Roman"/>
          <w:color w:val="auto"/>
          <w:highlight w:val="none"/>
        </w:rPr>
        <w:t>要求安装调试完成，具体以</w:t>
      </w:r>
      <w:r>
        <w:rPr>
          <w:rFonts w:hint="default" w:ascii="Times New Roman" w:hAnsi="Times New Roman" w:eastAsia="宋体" w:cs="Times New Roman"/>
          <w:color w:val="auto"/>
          <w:highlight w:val="none"/>
          <w:lang w:eastAsia="zh-CN"/>
        </w:rPr>
        <w:t>招标方</w:t>
      </w:r>
      <w:r>
        <w:rPr>
          <w:rFonts w:hint="default" w:ascii="Times New Roman" w:hAnsi="Times New Roman" w:eastAsia="宋体" w:cs="Times New Roman"/>
          <w:color w:val="auto"/>
          <w:highlight w:val="none"/>
        </w:rPr>
        <w:t>公函为准（</w:t>
      </w:r>
      <w:r>
        <w:rPr>
          <w:rFonts w:hint="default" w:ascii="Times New Roman" w:hAnsi="Times New Roman" w:eastAsia="宋体" w:cs="Times New Roman"/>
          <w:color w:val="auto"/>
          <w:highlight w:val="none"/>
          <w:lang w:eastAsia="zh-CN"/>
        </w:rPr>
        <w:t>招标方</w:t>
      </w:r>
      <w:r>
        <w:rPr>
          <w:rFonts w:hint="default" w:ascii="Times New Roman" w:hAnsi="Times New Roman" w:eastAsia="宋体" w:cs="Times New Roman"/>
          <w:color w:val="auto"/>
          <w:highlight w:val="none"/>
        </w:rPr>
        <w:t>原因除外）。2019年度广电视频监控材料</w:t>
      </w:r>
      <w:r>
        <w:rPr>
          <w:rFonts w:hint="eastAsia" w:ascii="Times New Roman" w:hAnsi="Times New Roman" w:eastAsia="宋体" w:cs="Times New Roman"/>
          <w:color w:val="auto"/>
          <w:highlight w:val="none"/>
          <w:lang w:eastAsia="zh-CN"/>
        </w:rPr>
        <w:t>部分供货时间由招标方实际下单为准。</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（3）验收方式</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按照国家相关质量标准、技术规范要求、合同规定的验收标准及招、投标文件的要求，招标方组织相关部门、人员进行验收。</w:t>
      </w:r>
      <w:r>
        <w:rPr>
          <w:rFonts w:hint="default" w:ascii="Times New Roman" w:hAnsi="Times New Roman" w:eastAsia="宋体" w:cs="Times New Roman"/>
          <w:color w:val="auto"/>
          <w:highlight w:val="none"/>
          <w:lang w:eastAsia="zh-CN"/>
        </w:rPr>
        <w:t>本项目中有部分硬件属于智慧交管项目，</w:t>
      </w:r>
      <w:r>
        <w:rPr>
          <w:rFonts w:hint="default" w:ascii="Times New Roman" w:hAnsi="Times New Roman" w:eastAsia="宋体" w:cs="Times New Roman"/>
          <w:color w:val="auto"/>
          <w:highlight w:val="none"/>
        </w:rPr>
        <w:t>为确保智慧交管项目的整体建设效果，项目所含标段整体验收，不单独验收任何标段。</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（4）投标报价</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投标人以人民币报价且投标报价含设备费、运至买方指定地点的运输费、保险费、伴随服务费、调试费用、软件、上线、软件升级、培训、售后服务等一切费用，报价方式为交钥匙价格。</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（5）履约保证金</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签订合同前，中标人需向采购单位缴纳合同金额10%的履约保证金，项目整体验收合格无任何问题一个月内退回，不计息。</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（6）工期</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合同签订后</w:t>
      </w:r>
      <w:r>
        <w:rPr>
          <w:rFonts w:hint="eastAsia" w:ascii="Times New Roman" w:hAnsi="Times New Roman" w:eastAsia="宋体" w:cs="Times New Roman"/>
          <w:color w:val="auto"/>
          <w:highlight w:val="none"/>
          <w:lang w:val="en-US" w:eastAsia="zh-CN"/>
        </w:rPr>
        <w:t>180</w:t>
      </w:r>
      <w:r>
        <w:rPr>
          <w:rFonts w:hint="default" w:ascii="Times New Roman" w:hAnsi="Times New Roman" w:eastAsia="宋体" w:cs="Times New Roman"/>
          <w:color w:val="auto"/>
          <w:highlight w:val="none"/>
        </w:rPr>
        <w:t>天内完成安装调试，系统试运行15天后，组织验收。</w:t>
      </w:r>
    </w:p>
    <w:p>
      <w:pPr>
        <w:pStyle w:val="110"/>
        <w:spacing w:before="120" w:beforeLines="0" w:after="120" w:afterLines="0"/>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（7）付款方式：</w:t>
      </w:r>
      <w:r>
        <w:rPr>
          <w:rFonts w:hint="eastAsia" w:ascii="Times New Roman" w:hAnsi="Times New Roman" w:eastAsia="宋体" w:cs="Times New Roman"/>
          <w:color w:val="auto"/>
          <w:highlight w:val="none"/>
          <w:lang w:val="en-US" w:eastAsia="zh-CN"/>
        </w:rPr>
        <w:t>·</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经诸暨市公安局组织的相关设备上线验收合格后方才认定产品合格。由招标方组织综合验收合格后，该项目所涉费用开始给付，具体为费用验收合格后1个月内给付70%，验收合格后一年内给付20%，验收合格后三年内给付5%，验收合格后五年内给付5%（均无息）。</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（8）最高限价</w:t>
      </w:r>
    </w:p>
    <w:p>
      <w:pPr>
        <w:pStyle w:val="110"/>
        <w:spacing w:before="120" w:beforeLines="0" w:after="120" w:afterLine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本次采购最高限价为人民币</w:t>
      </w:r>
      <w:r>
        <w:rPr>
          <w:rFonts w:hint="eastAsia" w:ascii="Times New Roman" w:hAnsi="Times New Roman" w:eastAsia="宋体" w:cs="Times New Roman"/>
          <w:color w:val="auto"/>
          <w:highlight w:val="none"/>
          <w:lang w:eastAsia="zh-CN"/>
        </w:rPr>
        <w:t>壹仟陆佰伍拾肆万柒仟零伍拾陆元</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16547056.00</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整</w:t>
      </w:r>
      <w:r>
        <w:rPr>
          <w:rFonts w:hint="default" w:ascii="Times New Roman" w:hAnsi="Times New Roman" w:eastAsia="宋体" w:cs="Times New Roman"/>
          <w:color w:val="auto"/>
          <w:highlight w:val="none"/>
        </w:rPr>
        <w:t>，任何超过最高限价的报价将被认定为无效报价。</w:t>
      </w: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jc w:val="center"/>
        <w:rPr>
          <w:rFonts w:hint="eastAsia" w:ascii="黑体" w:eastAsia="黑体"/>
          <w:sz w:val="44"/>
          <w:szCs w:val="44"/>
        </w:rPr>
      </w:pPr>
      <w:r>
        <w:rPr>
          <w:rFonts w:hint="eastAsia" w:ascii="黑体" w:hAnsi="宋体" w:eastAsia="黑体"/>
          <w:sz w:val="44"/>
          <w:szCs w:val="44"/>
        </w:rPr>
        <w:t xml:space="preserve">第四章  </w:t>
      </w:r>
      <w:r>
        <w:rPr>
          <w:rFonts w:hint="eastAsia" w:ascii="黑体" w:eastAsia="黑体"/>
          <w:sz w:val="44"/>
          <w:szCs w:val="44"/>
        </w:rPr>
        <w:t>采购合同（通用条款）</w:t>
      </w:r>
    </w:p>
    <w:p>
      <w:pPr>
        <w:jc w:val="center"/>
        <w:rPr>
          <w:rFonts w:hint="eastAsia"/>
        </w:rPr>
      </w:pPr>
      <w:r>
        <w:rPr>
          <w:rFonts w:hint="eastAsia"/>
        </w:rPr>
        <w:t>合同编号：</w:t>
      </w:r>
    </w:p>
    <w:p>
      <w:pPr>
        <w:rPr>
          <w:rFonts w:hint="eastAsia"/>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rPr>
          <w:rFonts w:hint="eastAsia"/>
        </w:rPr>
      </w:pPr>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rPr>
          <w:rFonts w:hint="eastAsia"/>
        </w:rPr>
      </w:pPr>
      <w:r>
        <w:rPr>
          <w:rFonts w:hint="eastAsia"/>
        </w:rPr>
        <w:t>根据《中华人民共和国合同法》、《中华人民共和国</w:t>
      </w:r>
      <w:r>
        <w:rPr>
          <w:rFonts w:hint="eastAsia"/>
          <w:lang w:eastAsia="zh-CN"/>
        </w:rPr>
        <w:t>招标投标</w:t>
      </w:r>
      <w:r>
        <w:rPr>
          <w:rFonts w:hint="eastAsia"/>
        </w:rPr>
        <w:t>法》等有关规定，以及</w:t>
      </w:r>
      <w:r>
        <w:rPr>
          <w:rFonts w:hint="eastAsia"/>
          <w:lang w:eastAsia="zh-CN"/>
        </w:rPr>
        <w:t>浙江华元工程咨询有限公司</w:t>
      </w:r>
      <w:r>
        <w:rPr>
          <w:rFonts w:hint="eastAsia"/>
        </w:rPr>
        <w:t>（编号：</w:t>
      </w:r>
      <w:r>
        <w:rPr>
          <w:rFonts w:hint="eastAsia"/>
          <w:lang w:eastAsia="zh-CN"/>
        </w:rPr>
        <w:t>浙华元</w:t>
      </w:r>
      <w:r>
        <w:rPr>
          <w:rFonts w:hint="eastAsia"/>
          <w:lang w:val="en-US" w:eastAsia="zh-CN"/>
        </w:rPr>
        <w:t>-</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r>
        <w:rPr>
          <w:rFonts w:hint="eastAsia"/>
          <w:lang w:val="en-US" w:eastAsia="zh-CN"/>
        </w:rPr>
        <w:t xml:space="preserve"> </w:t>
      </w:r>
      <w:r>
        <w:rPr>
          <w:rFonts w:hint="eastAsia"/>
        </w:rPr>
        <w:t>）招标文件相关要求，经法定程序采购，双方同意签订以下合同条款，以便双方共同遵守、履行合同。</w:t>
      </w:r>
    </w:p>
    <w:p>
      <w:pPr>
        <w:rPr>
          <w:rFonts w:hint="eastAsia"/>
          <w:b/>
        </w:rPr>
      </w:pPr>
      <w:r>
        <w:rPr>
          <w:rFonts w:hint="eastAsia"/>
        </w:rPr>
        <w:t xml:space="preserve">   </w:t>
      </w:r>
      <w:r>
        <w:rPr>
          <w:rFonts w:hint="eastAsia"/>
          <w:b/>
        </w:rPr>
        <w:t xml:space="preserve"> 一、采购产品</w:t>
      </w:r>
    </w:p>
    <w:tbl>
      <w:tblPr>
        <w:tblStyle w:val="3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noWrap w:val="0"/>
            <w:vAlign w:val="center"/>
          </w:tcPr>
          <w:p>
            <w:pPr>
              <w:jc w:val="center"/>
              <w:rPr>
                <w:rFonts w:hint="eastAsia"/>
              </w:rPr>
            </w:pPr>
            <w:r>
              <w:rPr>
                <w:rFonts w:hint="eastAsia"/>
              </w:rPr>
              <w:t>产品名称</w:t>
            </w:r>
          </w:p>
        </w:tc>
        <w:tc>
          <w:tcPr>
            <w:tcW w:w="3960" w:type="dxa"/>
            <w:noWrap w:val="0"/>
            <w:vAlign w:val="center"/>
          </w:tcPr>
          <w:p>
            <w:pPr>
              <w:jc w:val="center"/>
              <w:rPr>
                <w:rFonts w:hint="eastAsia"/>
              </w:rPr>
            </w:pPr>
            <w:r>
              <w:rPr>
                <w:rFonts w:hint="eastAsia"/>
              </w:rPr>
              <w:t>规格、型号</w:t>
            </w:r>
          </w:p>
        </w:tc>
        <w:tc>
          <w:tcPr>
            <w:tcW w:w="1080" w:type="dxa"/>
            <w:noWrap w:val="0"/>
            <w:vAlign w:val="center"/>
          </w:tcPr>
          <w:p>
            <w:pPr>
              <w:jc w:val="center"/>
              <w:rPr>
                <w:rFonts w:hint="eastAsia"/>
              </w:rPr>
            </w:pPr>
            <w:r>
              <w:rPr>
                <w:rFonts w:hint="eastAsia"/>
              </w:rPr>
              <w:t>数量</w:t>
            </w:r>
          </w:p>
        </w:tc>
        <w:tc>
          <w:tcPr>
            <w:tcW w:w="1260" w:type="dxa"/>
            <w:noWrap w:val="0"/>
            <w:vAlign w:val="center"/>
          </w:tcPr>
          <w:p>
            <w:pPr>
              <w:jc w:val="center"/>
              <w:rPr>
                <w:rFonts w:hint="eastAsia"/>
              </w:rPr>
            </w:pPr>
            <w:r>
              <w:rPr>
                <w:rFonts w:hint="eastAsia"/>
              </w:rPr>
              <w:t>单价（元）</w:t>
            </w:r>
          </w:p>
        </w:tc>
        <w:tc>
          <w:tcPr>
            <w:tcW w:w="1440" w:type="dxa"/>
            <w:noWrap w:val="0"/>
            <w:vAlign w:val="center"/>
          </w:tcPr>
          <w:p>
            <w:pPr>
              <w:jc w:val="center"/>
              <w:rPr>
                <w:rFonts w:hint="eastAsia"/>
              </w:rP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noWrap w:val="0"/>
            <w:vAlign w:val="top"/>
          </w:tcPr>
          <w:p>
            <w:pPr>
              <w:rPr>
                <w:rFonts w:hint="eastAsia"/>
              </w:rPr>
            </w:pPr>
          </w:p>
        </w:tc>
        <w:tc>
          <w:tcPr>
            <w:tcW w:w="3960" w:type="dxa"/>
            <w:noWrap w:val="0"/>
            <w:vAlign w:val="top"/>
          </w:tcPr>
          <w:p>
            <w:pPr>
              <w:rPr>
                <w:rFonts w:hint="eastAsia"/>
              </w:rPr>
            </w:pPr>
          </w:p>
        </w:tc>
        <w:tc>
          <w:tcPr>
            <w:tcW w:w="1080" w:type="dxa"/>
            <w:noWrap w:val="0"/>
            <w:vAlign w:val="top"/>
          </w:tcPr>
          <w:p>
            <w:pPr>
              <w:rPr>
                <w:rFonts w:hint="eastAsia"/>
              </w:rPr>
            </w:pPr>
          </w:p>
        </w:tc>
        <w:tc>
          <w:tcPr>
            <w:tcW w:w="1260" w:type="dxa"/>
            <w:noWrap w:val="0"/>
            <w:vAlign w:val="top"/>
          </w:tcPr>
          <w:p>
            <w:pPr>
              <w:rPr>
                <w:rFonts w:hint="eastAsia"/>
              </w:rPr>
            </w:pPr>
          </w:p>
        </w:tc>
        <w:tc>
          <w:tcPr>
            <w:tcW w:w="14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noWrap w:val="0"/>
            <w:vAlign w:val="top"/>
          </w:tcPr>
          <w:p>
            <w:pPr>
              <w:rPr>
                <w:rFonts w:hint="eastAsia"/>
              </w:rPr>
            </w:pPr>
          </w:p>
        </w:tc>
        <w:tc>
          <w:tcPr>
            <w:tcW w:w="3960" w:type="dxa"/>
            <w:noWrap w:val="0"/>
            <w:vAlign w:val="top"/>
          </w:tcPr>
          <w:p>
            <w:pPr>
              <w:rPr>
                <w:rFonts w:hint="eastAsia"/>
              </w:rPr>
            </w:pPr>
          </w:p>
        </w:tc>
        <w:tc>
          <w:tcPr>
            <w:tcW w:w="1080" w:type="dxa"/>
            <w:noWrap w:val="0"/>
            <w:vAlign w:val="top"/>
          </w:tcPr>
          <w:p>
            <w:pPr>
              <w:rPr>
                <w:rFonts w:hint="eastAsia"/>
              </w:rPr>
            </w:pPr>
          </w:p>
        </w:tc>
        <w:tc>
          <w:tcPr>
            <w:tcW w:w="1260" w:type="dxa"/>
            <w:noWrap w:val="0"/>
            <w:vAlign w:val="top"/>
          </w:tcPr>
          <w:p>
            <w:pPr>
              <w:rPr>
                <w:rFonts w:hint="eastAsia"/>
              </w:rPr>
            </w:pPr>
          </w:p>
        </w:tc>
        <w:tc>
          <w:tcPr>
            <w:tcW w:w="14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noWrap w:val="0"/>
            <w:vAlign w:val="top"/>
          </w:tcPr>
          <w:p>
            <w:pPr>
              <w:rPr>
                <w:rFonts w:hint="eastAsia"/>
              </w:rPr>
            </w:pPr>
          </w:p>
        </w:tc>
        <w:tc>
          <w:tcPr>
            <w:tcW w:w="3960" w:type="dxa"/>
            <w:noWrap w:val="0"/>
            <w:vAlign w:val="top"/>
          </w:tcPr>
          <w:p>
            <w:pPr>
              <w:rPr>
                <w:rFonts w:hint="eastAsia"/>
              </w:rPr>
            </w:pPr>
          </w:p>
        </w:tc>
        <w:tc>
          <w:tcPr>
            <w:tcW w:w="1080" w:type="dxa"/>
            <w:noWrap w:val="0"/>
            <w:vAlign w:val="top"/>
          </w:tcPr>
          <w:p>
            <w:pPr>
              <w:rPr>
                <w:rFonts w:hint="eastAsia"/>
              </w:rPr>
            </w:pPr>
          </w:p>
        </w:tc>
        <w:tc>
          <w:tcPr>
            <w:tcW w:w="1260" w:type="dxa"/>
            <w:noWrap w:val="0"/>
            <w:vAlign w:val="top"/>
          </w:tcPr>
          <w:p>
            <w:pPr>
              <w:rPr>
                <w:rFonts w:hint="eastAsia"/>
              </w:rPr>
            </w:pPr>
          </w:p>
        </w:tc>
        <w:tc>
          <w:tcPr>
            <w:tcW w:w="14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noWrap w:val="0"/>
            <w:vAlign w:val="center"/>
          </w:tcPr>
          <w:p>
            <w:pPr>
              <w:rPr>
                <w:rFonts w:hint="eastAsia"/>
              </w:rPr>
            </w:pPr>
            <w:r>
              <w:rPr>
                <w:rFonts w:hint="eastAsia"/>
              </w:rPr>
              <w:t xml:space="preserve">合计人民币（大写）：  佰   拾   万   仟   佰   拾   元    角    分  </w:t>
            </w:r>
            <w:r>
              <w:rPr>
                <w:rFonts w:hint="eastAsia" w:ascii="宋体" w:hAnsi="宋体"/>
              </w:rPr>
              <w:t>￥：</w:t>
            </w:r>
          </w:p>
        </w:tc>
      </w:tr>
    </w:tbl>
    <w:p>
      <w:pPr>
        <w:rPr>
          <w:rFonts w:hint="eastAsia"/>
          <w:b/>
        </w:rPr>
      </w:pPr>
      <w:r>
        <w:rPr>
          <w:rFonts w:hint="eastAsia"/>
        </w:rPr>
        <w:t xml:space="preserve">    </w:t>
      </w:r>
      <w:r>
        <w:rPr>
          <w:rFonts w:hint="eastAsia"/>
          <w:b/>
        </w:rPr>
        <w:t>二、供货要求</w:t>
      </w:r>
    </w:p>
    <w:p>
      <w:pPr>
        <w:ind w:firstLine="420" w:firstLineChars="200"/>
        <w:rPr>
          <w:rFonts w:hint="eastAsia"/>
        </w:rPr>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rPr>
          <w:rFonts w:hint="eastAsia"/>
        </w:rPr>
      </w:pPr>
      <w:r>
        <w:rPr>
          <w:rFonts w:hint="eastAsia"/>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rPr>
          <w:rFonts w:hint="eastAsia"/>
        </w:rPr>
      </w:pPr>
      <w:r>
        <w:rPr>
          <w:rFonts w:hint="eastAsia"/>
        </w:rPr>
        <w:t>3、乙方不得将采购产品转包给其他供应商，否则视为违约，并将追究其违约责任，甲方有权解除采购合同，所造成的损失由乙方承担。</w:t>
      </w:r>
    </w:p>
    <w:p>
      <w:pPr>
        <w:ind w:firstLine="420" w:firstLineChars="200"/>
        <w:rPr>
          <w:rFonts w:hint="eastAsia"/>
        </w:rPr>
      </w:pPr>
      <w:r>
        <w:rPr>
          <w:rFonts w:hint="eastAsia"/>
        </w:rPr>
        <w:t>4、如本合同采购产品在合同履约过程中出现产品更新或厂家停产等情况，须由乙方书面提出更换要求，并提供充分理由或依据，经甲方和浙江浣江传媒集团核实或认可，并报浙江浣江传媒集团审批同意后，方可更换替代性能参数指标比原采购产品高的其他产品，但产品价格不变。</w:t>
      </w:r>
    </w:p>
    <w:p>
      <w:pPr>
        <w:ind w:firstLine="422" w:firstLineChars="200"/>
        <w:rPr>
          <w:rFonts w:hint="eastAsia"/>
          <w:b/>
        </w:rPr>
      </w:pPr>
      <w:r>
        <w:rPr>
          <w:rFonts w:hint="eastAsia"/>
          <w:b/>
        </w:rPr>
        <w:t>三、质量要求</w:t>
      </w:r>
    </w:p>
    <w:p>
      <w:pPr>
        <w:ind w:firstLine="420" w:firstLineChars="200"/>
        <w:rPr>
          <w:rFonts w:hint="eastAsia"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rPr>
          <w:rFonts w:hint="eastAsia"/>
        </w:rPr>
      </w:pPr>
      <w:r>
        <w:rPr>
          <w:rFonts w:hint="eastAsia" w:ascii="宋体" w:hAnsi="宋体"/>
        </w:rPr>
        <w:t>2、乙方应保证设备经正确安装、正常运转和保养，保证在在其使用寿命内应具有满意的性能。</w:t>
      </w:r>
    </w:p>
    <w:p>
      <w:pPr>
        <w:ind w:firstLine="420" w:firstLineChars="200"/>
        <w:rPr>
          <w:rFonts w:hint="eastAsia"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hint="eastAsia" w:ascii="宋体" w:hAnsi="宋体"/>
          <w:b/>
        </w:rPr>
      </w:pPr>
      <w:r>
        <w:rPr>
          <w:rFonts w:hint="eastAsia" w:ascii="宋体" w:hAnsi="宋体"/>
          <w:b/>
        </w:rPr>
        <w:t>四、产品验收</w:t>
      </w:r>
    </w:p>
    <w:p>
      <w:pPr>
        <w:ind w:firstLine="420" w:firstLineChars="200"/>
        <w:rPr>
          <w:rFonts w:hint="eastAsia"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w:t>
      </w:r>
      <w:r>
        <w:rPr>
          <w:rFonts w:hint="eastAsia" w:ascii="宋体" w:hAnsi="宋体"/>
          <w:lang w:eastAsia="zh-CN"/>
        </w:rPr>
        <w:t>有关规定</w:t>
      </w:r>
      <w:r>
        <w:rPr>
          <w:rFonts w:hint="eastAsia" w:ascii="宋体" w:hAnsi="宋体"/>
        </w:rPr>
        <w:t>执行。</w:t>
      </w:r>
    </w:p>
    <w:p>
      <w:pPr>
        <w:ind w:firstLine="422" w:firstLineChars="200"/>
        <w:rPr>
          <w:rFonts w:hint="eastAsia" w:ascii="宋体" w:hAnsi="宋体"/>
          <w:b/>
        </w:rPr>
      </w:pPr>
      <w:r>
        <w:rPr>
          <w:rFonts w:hint="eastAsia" w:ascii="宋体" w:hAnsi="宋体"/>
          <w:b/>
        </w:rPr>
        <w:t>五、付款方式</w:t>
      </w:r>
    </w:p>
    <w:p>
      <w:pPr>
        <w:ind w:firstLine="420" w:firstLineChars="200"/>
        <w:rPr>
          <w:rFonts w:hint="eastAsia" w:ascii="宋体" w:hAnsi="宋体"/>
        </w:rPr>
      </w:pPr>
      <w:r>
        <w:rPr>
          <w:rFonts w:hint="eastAsia" w:ascii="宋体" w:hAnsi="宋体"/>
        </w:rPr>
        <w:t>1、中标产品经验收合格后，按照招标文件规定，甲方首次支付给乙方合同款的</w:t>
      </w:r>
      <w:r>
        <w:rPr>
          <w:rFonts w:hint="eastAsia" w:ascii="宋体" w:hAnsi="宋体"/>
          <w:u w:val="single"/>
        </w:rPr>
        <w:t xml:space="preserve">     </w:t>
      </w:r>
      <w:r>
        <w:rPr>
          <w:rFonts w:hint="eastAsia" w:ascii="宋体" w:hAnsi="宋体"/>
        </w:rPr>
        <w:t>%，即</w:t>
      </w:r>
    </w:p>
    <w:p>
      <w:pPr>
        <w:rPr>
          <w:rFonts w:hint="eastAsia"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hint="eastAsia" w:ascii="宋体" w:hAnsi="宋体"/>
        </w:rPr>
      </w:pPr>
      <w:r>
        <w:rPr>
          <w:rFonts w:hint="eastAsia" w:ascii="宋体" w:hAnsi="宋体"/>
        </w:rPr>
        <w:t>2、甲方凭乙方提供的发票、验收结算书、合同，将合同款直接拨入乙方开户银行。</w:t>
      </w:r>
    </w:p>
    <w:p>
      <w:pPr>
        <w:ind w:firstLine="422" w:firstLineChars="200"/>
        <w:rPr>
          <w:rFonts w:hint="eastAsia" w:ascii="宋体" w:hAnsi="宋体"/>
          <w:b/>
        </w:rPr>
      </w:pPr>
      <w:r>
        <w:rPr>
          <w:rFonts w:hint="eastAsia" w:ascii="宋体" w:hAnsi="宋体"/>
          <w:b/>
        </w:rPr>
        <w:t>六、履约保证金</w:t>
      </w:r>
    </w:p>
    <w:p>
      <w:pPr>
        <w:ind w:firstLine="420" w:firstLineChars="200"/>
        <w:rPr>
          <w:rFonts w:hint="eastAsia" w:ascii="宋体" w:hAnsi="宋体"/>
        </w:rPr>
      </w:pPr>
      <w:r>
        <w:rPr>
          <w:rFonts w:hint="eastAsia" w:ascii="宋体" w:hAnsi="宋体"/>
        </w:rPr>
        <w:t>1、乙方在签订合同之前，须向甲方缴纳合同款10%的履约保证金。</w:t>
      </w:r>
    </w:p>
    <w:p>
      <w:pPr>
        <w:ind w:firstLine="420" w:firstLineChars="200"/>
        <w:rPr>
          <w:rFonts w:hint="eastAsia" w:ascii="宋体" w:hAnsi="宋体"/>
        </w:rPr>
      </w:pPr>
      <w:r>
        <w:rPr>
          <w:rFonts w:hint="eastAsia" w:ascii="宋体" w:hAnsi="宋体"/>
        </w:rPr>
        <w:t>2、履约保证金在甲方将货物验收合格后，无息退还给乙方。</w:t>
      </w:r>
    </w:p>
    <w:p>
      <w:pPr>
        <w:ind w:firstLine="420" w:firstLineChars="200"/>
        <w:rPr>
          <w:rFonts w:hint="eastAsia" w:ascii="宋体" w:hAnsi="宋体"/>
        </w:rPr>
      </w:pPr>
      <w:r>
        <w:rPr>
          <w:rFonts w:hint="eastAsia" w:ascii="宋体" w:hAnsi="宋体"/>
        </w:rPr>
        <w:t>3、如乙方未能履行合同规定的义务，甲方有权在履约保证金中取得补偿。</w:t>
      </w:r>
    </w:p>
    <w:p>
      <w:pPr>
        <w:ind w:firstLine="422" w:firstLineChars="200"/>
        <w:rPr>
          <w:rFonts w:hint="eastAsia" w:ascii="宋体" w:hAnsi="宋体"/>
          <w:b/>
        </w:rPr>
      </w:pPr>
      <w:r>
        <w:rPr>
          <w:rFonts w:hint="eastAsia" w:ascii="宋体" w:hAnsi="宋体"/>
          <w:b/>
        </w:rPr>
        <w:t>七、产品数量变更</w:t>
      </w:r>
    </w:p>
    <w:p>
      <w:pPr>
        <w:ind w:firstLine="420" w:firstLineChars="200"/>
        <w:rPr>
          <w:rFonts w:hint="eastAsia"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浙江浣江传媒集团招管办审核备案。</w:t>
      </w:r>
    </w:p>
    <w:p>
      <w:pPr>
        <w:ind w:firstLine="422" w:firstLineChars="200"/>
        <w:rPr>
          <w:rFonts w:hint="eastAsia" w:ascii="宋体" w:hAnsi="宋体"/>
          <w:b/>
        </w:rPr>
      </w:pPr>
      <w:r>
        <w:rPr>
          <w:rFonts w:hint="eastAsia" w:ascii="宋体" w:hAnsi="宋体"/>
          <w:b/>
        </w:rPr>
        <w:t>八、售后服务</w:t>
      </w:r>
    </w:p>
    <w:p>
      <w:pPr>
        <w:ind w:firstLine="420" w:firstLineChars="200"/>
        <w:rPr>
          <w:rFonts w:hint="eastAsia" w:ascii="宋体" w:hAnsi="宋体"/>
        </w:rPr>
      </w:pPr>
      <w:r>
        <w:rPr>
          <w:rFonts w:hint="eastAsia" w:ascii="宋体" w:hAnsi="宋体"/>
        </w:rPr>
        <w:t>具体售后服务条款参照招标文件及乙方投标文件中的售后服务承诺。</w:t>
      </w:r>
    </w:p>
    <w:p>
      <w:pPr>
        <w:ind w:firstLine="422" w:firstLineChars="200"/>
        <w:rPr>
          <w:rFonts w:hint="eastAsia" w:ascii="宋体" w:hAnsi="宋体"/>
          <w:b/>
        </w:rPr>
      </w:pPr>
      <w:r>
        <w:rPr>
          <w:rFonts w:hint="eastAsia" w:ascii="宋体" w:hAnsi="宋体"/>
          <w:b/>
        </w:rPr>
        <w:t>九、违约责任</w:t>
      </w:r>
    </w:p>
    <w:p>
      <w:pPr>
        <w:ind w:firstLine="420" w:firstLineChars="200"/>
        <w:rPr>
          <w:rFonts w:hint="eastAsia" w:ascii="宋体" w:hAnsi="宋体"/>
        </w:rPr>
      </w:pPr>
      <w:r>
        <w:rPr>
          <w:rFonts w:hint="eastAsia" w:ascii="宋体" w:hAnsi="宋体"/>
        </w:rPr>
        <w:t>1、甲方无正当理由拒收货物，由甲方向乙方偿付合同总价的5%违约金。</w:t>
      </w:r>
    </w:p>
    <w:p>
      <w:pPr>
        <w:ind w:firstLine="420" w:firstLineChars="200"/>
        <w:rPr>
          <w:rFonts w:hint="eastAsia"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hint="eastAsia"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hint="eastAsia"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hint="eastAsia" w:ascii="宋体" w:hAnsi="宋体"/>
          <w:b/>
        </w:rPr>
      </w:pPr>
      <w:r>
        <w:rPr>
          <w:rFonts w:hint="eastAsia" w:ascii="宋体" w:hAnsi="宋体"/>
          <w:b/>
        </w:rPr>
        <w:t>十、其他约定事项</w:t>
      </w:r>
    </w:p>
    <w:p>
      <w:pPr>
        <w:ind w:firstLine="420" w:firstLineChars="200"/>
        <w:rPr>
          <w:rFonts w:hint="eastAsia" w:ascii="宋体" w:hAnsi="宋体"/>
          <w:u w:val="single"/>
        </w:rPr>
      </w:pPr>
      <w:r>
        <w:rPr>
          <w:rFonts w:hint="eastAsia" w:ascii="宋体" w:hAnsi="宋体"/>
          <w:u w:val="single"/>
        </w:rPr>
        <w:t xml:space="preserve">                                                                                         </w:t>
      </w:r>
    </w:p>
    <w:p>
      <w:pPr>
        <w:rPr>
          <w:rFonts w:hint="eastAsia" w:ascii="宋体" w:hAnsi="宋体"/>
          <w:u w:val="single"/>
        </w:rPr>
      </w:pPr>
      <w:r>
        <w:rPr>
          <w:rFonts w:hint="eastAsia" w:ascii="宋体" w:hAnsi="宋体"/>
          <w:u w:val="single"/>
        </w:rPr>
        <w:t xml:space="preserve">                                                                                       </w:t>
      </w:r>
    </w:p>
    <w:p>
      <w:pPr>
        <w:ind w:firstLine="422" w:firstLineChars="200"/>
        <w:rPr>
          <w:rFonts w:hint="eastAsia" w:ascii="宋体" w:hAnsi="宋体"/>
          <w:b/>
        </w:rPr>
      </w:pPr>
      <w:r>
        <w:rPr>
          <w:rFonts w:hint="eastAsia" w:ascii="宋体" w:hAnsi="宋体"/>
          <w:b/>
        </w:rPr>
        <w:t>十一、解决合同纠纷方式</w:t>
      </w:r>
    </w:p>
    <w:p>
      <w:pPr>
        <w:ind w:firstLine="420" w:firstLineChars="200"/>
        <w:rPr>
          <w:rFonts w:hint="eastAsia"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hint="eastAsia" w:ascii="宋体" w:hAnsi="宋体"/>
          <w:b/>
        </w:rPr>
      </w:pPr>
      <w:r>
        <w:rPr>
          <w:rFonts w:hint="eastAsia" w:ascii="宋体" w:hAnsi="宋体"/>
          <w:b/>
        </w:rPr>
        <w:t>十二、其它</w:t>
      </w:r>
    </w:p>
    <w:p>
      <w:pPr>
        <w:ind w:left="420"/>
        <w:rPr>
          <w:rFonts w:hint="eastAsia" w:ascii="宋体" w:hAnsi="宋体"/>
        </w:rPr>
      </w:pPr>
      <w:r>
        <w:rPr>
          <w:rFonts w:hint="eastAsia" w:ascii="宋体" w:hAnsi="宋体"/>
        </w:rPr>
        <w:t>1、本项目的招标文件、投标文件、中标通知书作为合同的附件，具有同等法律效力。</w:t>
      </w:r>
    </w:p>
    <w:p>
      <w:pPr>
        <w:ind w:left="420"/>
        <w:rPr>
          <w:rFonts w:hint="eastAsia" w:ascii="宋体" w:hAnsi="宋体"/>
        </w:rPr>
      </w:pPr>
      <w:r>
        <w:rPr>
          <w:rFonts w:hint="eastAsia" w:ascii="宋体" w:hAnsi="宋体"/>
        </w:rPr>
        <w:t>2、本合同自签订之日起生效。</w:t>
      </w:r>
    </w:p>
    <w:p>
      <w:pPr>
        <w:ind w:left="420"/>
        <w:rPr>
          <w:rFonts w:hint="eastAsia" w:ascii="宋体" w:hAnsi="宋体"/>
        </w:rPr>
      </w:pPr>
      <w:r>
        <w:rPr>
          <w:rFonts w:hint="eastAsia" w:ascii="宋体" w:hAnsi="宋体"/>
        </w:rPr>
        <w:t>3、本合同一式</w:t>
      </w:r>
      <w:r>
        <w:rPr>
          <w:rFonts w:hint="eastAsia" w:ascii="宋体" w:hAnsi="宋体"/>
          <w:lang w:eastAsia="zh-CN"/>
        </w:rPr>
        <w:t>四</w:t>
      </w:r>
      <w:r>
        <w:rPr>
          <w:rFonts w:hint="eastAsia" w:ascii="宋体" w:hAnsi="宋体"/>
        </w:rPr>
        <w:t>份，甲乙双方各执一份，</w:t>
      </w:r>
      <w:r>
        <w:rPr>
          <w:rFonts w:hint="eastAsia" w:ascii="宋体" w:hAnsi="宋体"/>
          <w:lang w:eastAsia="zh-CN"/>
        </w:rPr>
        <w:t>代理机构、</w:t>
      </w:r>
      <w:r>
        <w:rPr>
          <w:rFonts w:hint="eastAsia" w:ascii="宋体" w:hAnsi="宋体"/>
        </w:rPr>
        <w:t>浙江浣江传媒集团招投标办公室备案一份。</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36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700" w:type="dxa"/>
            <w:noWrap w:val="0"/>
            <w:vAlign w:val="center"/>
          </w:tcPr>
          <w:p>
            <w:pPr>
              <w:jc w:val="center"/>
              <w:rPr>
                <w:rFonts w:hint="eastAsia"/>
              </w:rPr>
            </w:pPr>
            <w:r>
              <w:rPr>
                <w:rFonts w:hint="eastAsia"/>
              </w:rPr>
              <w:t>采购单位</w:t>
            </w:r>
          </w:p>
        </w:tc>
        <w:tc>
          <w:tcPr>
            <w:tcW w:w="3600" w:type="dxa"/>
            <w:noWrap w:val="0"/>
            <w:vAlign w:val="center"/>
          </w:tcPr>
          <w:p>
            <w:pPr>
              <w:jc w:val="center"/>
              <w:rPr>
                <w:rFonts w:hint="eastAsia"/>
              </w:rPr>
            </w:pPr>
            <w:r>
              <w:rPr>
                <w:rFonts w:hint="eastAsia"/>
              </w:rPr>
              <w:t>供货单位</w:t>
            </w:r>
          </w:p>
        </w:tc>
        <w:tc>
          <w:tcPr>
            <w:tcW w:w="3060" w:type="dxa"/>
            <w:noWrap w:val="0"/>
            <w:vAlign w:val="center"/>
          </w:tcPr>
          <w:p>
            <w:pPr>
              <w:jc w:val="center"/>
              <w:rPr>
                <w:rFonts w:hint="eastAsia"/>
              </w:rPr>
            </w:pPr>
            <w:r>
              <w:rPr>
                <w:rFonts w:hint="eastAsia"/>
              </w:rPr>
              <w:t>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700" w:type="dxa"/>
            <w:noWrap w:val="0"/>
            <w:vAlign w:val="top"/>
          </w:tcPr>
          <w:p>
            <w:pPr>
              <w:rPr>
                <w:rFonts w:hint="eastAsia"/>
              </w:rPr>
            </w:pPr>
            <w:r>
              <w:rPr>
                <w:rFonts w:hint="eastAsia"/>
              </w:rPr>
              <w:t>单位名称（盖章）</w:t>
            </w:r>
          </w:p>
          <w:p>
            <w:pPr>
              <w:rPr>
                <w:rFonts w:hint="eastAsia"/>
              </w:rPr>
            </w:pPr>
            <w:r>
              <w:rPr>
                <w:rFonts w:hint="eastAsia"/>
              </w:rPr>
              <w:t>单位地址：</w:t>
            </w:r>
          </w:p>
          <w:p>
            <w:pPr>
              <w:rPr>
                <w:rFonts w:hint="eastAsia"/>
              </w:rPr>
            </w:pPr>
            <w:r>
              <w:rPr>
                <w:rFonts w:hint="eastAsia"/>
              </w:rPr>
              <w:t>法定代表人：</w:t>
            </w:r>
          </w:p>
          <w:p>
            <w:pPr>
              <w:rPr>
                <w:rFonts w:hint="eastAsia"/>
              </w:rPr>
            </w:pPr>
            <w:r>
              <w:rPr>
                <w:rFonts w:hint="eastAsia"/>
              </w:rPr>
              <w:t>委托代理人：</w:t>
            </w:r>
          </w:p>
          <w:p>
            <w:pPr>
              <w:rPr>
                <w:rFonts w:hint="eastAsia"/>
              </w:rPr>
            </w:pPr>
            <w:r>
              <w:rPr>
                <w:rFonts w:hint="eastAsia"/>
              </w:rPr>
              <w:t>联系电话：</w:t>
            </w:r>
          </w:p>
          <w:p>
            <w:pPr>
              <w:rPr>
                <w:rFonts w:hint="eastAsia"/>
              </w:rPr>
            </w:pPr>
            <w:r>
              <w:rPr>
                <w:rFonts w:hint="eastAsia"/>
              </w:rPr>
              <w:t>传真号码：</w:t>
            </w:r>
          </w:p>
          <w:p>
            <w:pPr>
              <w:rPr>
                <w:rFonts w:hint="eastAsia"/>
              </w:rPr>
            </w:pPr>
            <w:r>
              <w:rPr>
                <w:rFonts w:hint="eastAsia"/>
              </w:rPr>
              <w:t>邮政编码：</w:t>
            </w:r>
          </w:p>
        </w:tc>
        <w:tc>
          <w:tcPr>
            <w:tcW w:w="3600" w:type="dxa"/>
            <w:noWrap w:val="0"/>
            <w:vAlign w:val="top"/>
          </w:tcPr>
          <w:p>
            <w:pPr>
              <w:rPr>
                <w:rFonts w:hint="eastAsia"/>
              </w:rPr>
            </w:pPr>
            <w:r>
              <w:rPr>
                <w:rFonts w:hint="eastAsia"/>
              </w:rPr>
              <w:t>单位名称（盖章）</w:t>
            </w:r>
          </w:p>
          <w:p>
            <w:pPr>
              <w:rPr>
                <w:rFonts w:hint="eastAsia"/>
              </w:rPr>
            </w:pPr>
            <w:r>
              <w:rPr>
                <w:rFonts w:hint="eastAsia"/>
              </w:rPr>
              <w:t>单位地址：</w:t>
            </w:r>
          </w:p>
          <w:p>
            <w:pPr>
              <w:rPr>
                <w:rFonts w:hint="eastAsia"/>
              </w:rPr>
            </w:pPr>
            <w:r>
              <w:rPr>
                <w:rFonts w:hint="eastAsia"/>
              </w:rPr>
              <w:t>法定代表人：</w:t>
            </w:r>
          </w:p>
          <w:p>
            <w:pPr>
              <w:rPr>
                <w:rFonts w:hint="eastAsia"/>
              </w:rPr>
            </w:pPr>
            <w:r>
              <w:rPr>
                <w:rFonts w:hint="eastAsia"/>
              </w:rPr>
              <w:t>委托代理人：</w:t>
            </w:r>
          </w:p>
          <w:p>
            <w:pPr>
              <w:rPr>
                <w:rFonts w:hint="eastAsia"/>
              </w:rPr>
            </w:pPr>
            <w:r>
              <w:rPr>
                <w:rFonts w:hint="eastAsia"/>
              </w:rPr>
              <w:t>联系电话：</w:t>
            </w:r>
          </w:p>
          <w:p>
            <w:pPr>
              <w:rPr>
                <w:rFonts w:hint="eastAsia"/>
              </w:rPr>
            </w:pPr>
            <w:r>
              <w:rPr>
                <w:rFonts w:hint="eastAsia"/>
              </w:rPr>
              <w:t>传真号码：</w:t>
            </w:r>
          </w:p>
          <w:p>
            <w:pPr>
              <w:rPr>
                <w:rFonts w:hint="eastAsia"/>
              </w:rPr>
            </w:pPr>
            <w:r>
              <w:rPr>
                <w:rFonts w:hint="eastAsia"/>
              </w:rPr>
              <w:t>邮政编码：</w:t>
            </w:r>
          </w:p>
          <w:p>
            <w:pPr>
              <w:rPr>
                <w:rFonts w:hint="eastAsia"/>
              </w:rPr>
            </w:pPr>
            <w:r>
              <w:rPr>
                <w:rFonts w:hint="eastAsia"/>
              </w:rPr>
              <w:t>开户银行：</w:t>
            </w:r>
          </w:p>
          <w:p>
            <w:pPr>
              <w:rPr>
                <w:rFonts w:hint="eastAsia"/>
              </w:rPr>
            </w:pPr>
            <w:r>
              <w:rPr>
                <w:rFonts w:hint="eastAsia"/>
              </w:rPr>
              <w:t>账    号：</w:t>
            </w:r>
          </w:p>
        </w:tc>
        <w:tc>
          <w:tcPr>
            <w:tcW w:w="3060" w:type="dxa"/>
            <w:noWrap w:val="0"/>
            <w:vAlign w:val="top"/>
          </w:tcPr>
          <w:p>
            <w:pPr>
              <w:rPr>
                <w:rFonts w:hint="eastAsia"/>
              </w:rPr>
            </w:pPr>
          </w:p>
          <w:p>
            <w:pPr>
              <w:rPr>
                <w:rFonts w:hint="eastAsia"/>
              </w:rPr>
            </w:pPr>
          </w:p>
          <w:p>
            <w:pPr>
              <w:rPr>
                <w:rFonts w:hint="eastAsia"/>
              </w:rPr>
            </w:pPr>
          </w:p>
          <w:p>
            <w:pPr>
              <w:rPr>
                <w:rFonts w:hint="eastAsia"/>
              </w:rPr>
            </w:pPr>
          </w:p>
          <w:p>
            <w:pPr>
              <w:ind w:firstLine="1050" w:firstLineChars="500"/>
              <w:rPr>
                <w:rFonts w:hint="eastAsia"/>
              </w:rPr>
            </w:pPr>
            <w:r>
              <w:rPr>
                <w:rFonts w:hint="eastAsia"/>
              </w:rPr>
              <w:t>（备案单位盖章）</w:t>
            </w:r>
          </w:p>
          <w:p>
            <w:pPr>
              <w:ind w:firstLine="1050" w:firstLineChars="500"/>
              <w:rPr>
                <w:rFonts w:hint="eastAsia"/>
              </w:rPr>
            </w:pPr>
          </w:p>
          <w:p>
            <w:pPr>
              <w:ind w:firstLine="1050" w:firstLineChars="500"/>
              <w:rPr>
                <w:rFonts w:hint="eastAsia"/>
              </w:rPr>
            </w:pPr>
          </w:p>
          <w:p>
            <w:pPr>
              <w:rPr>
                <w:rFonts w:hint="eastAsia"/>
              </w:rPr>
            </w:pPr>
            <w:r>
              <w:rPr>
                <w:rFonts w:hint="eastAsia"/>
              </w:rPr>
              <w:t>经办人（签字）：</w:t>
            </w:r>
          </w:p>
          <w:p>
            <w:pPr>
              <w:rPr>
                <w:rFonts w:hint="eastAsia"/>
              </w:rPr>
            </w:pPr>
            <w:r>
              <w:rPr>
                <w:rFonts w:hint="eastAsia"/>
              </w:rPr>
              <w:t>备案日期：     年  月  日</w:t>
            </w:r>
          </w:p>
        </w:tc>
      </w:tr>
    </w:tbl>
    <w:p>
      <w:pPr>
        <w:jc w:val="center"/>
        <w:rPr>
          <w:rFonts w:hint="eastAsia" w:ascii="黑体" w:hAnsi="宋体" w:eastAsia="黑体"/>
          <w:sz w:val="44"/>
          <w:szCs w:val="44"/>
        </w:rPr>
      </w:pPr>
    </w:p>
    <w:p>
      <w:pPr>
        <w:jc w:val="center"/>
        <w:rPr>
          <w:rFonts w:hint="eastAsia" w:ascii="黑体" w:hAnsi="宋体" w:eastAsia="黑体"/>
          <w:sz w:val="44"/>
          <w:szCs w:val="44"/>
        </w:rPr>
      </w:pPr>
    </w:p>
    <w:p>
      <w:pPr>
        <w:jc w:val="center"/>
        <w:rPr>
          <w:rFonts w:hint="eastAsia" w:ascii="黑体" w:hAnsi="宋体" w:eastAsia="黑体"/>
          <w:sz w:val="44"/>
          <w:szCs w:val="44"/>
        </w:rPr>
      </w:pPr>
    </w:p>
    <w:p>
      <w:pPr>
        <w:jc w:val="center"/>
        <w:rPr>
          <w:rFonts w:hint="eastAsia" w:ascii="黑体" w:hAnsi="宋体" w:eastAsia="黑体"/>
          <w:sz w:val="44"/>
          <w:szCs w:val="44"/>
        </w:rPr>
      </w:pPr>
      <w:r>
        <w:rPr>
          <w:rFonts w:hint="eastAsia" w:ascii="黑体" w:hAnsi="宋体" w:eastAsia="黑体"/>
          <w:sz w:val="44"/>
          <w:szCs w:val="44"/>
        </w:rPr>
        <w:t xml:space="preserve"> 第五章  应提交的有关格式范例</w:t>
      </w:r>
    </w:p>
    <w:p>
      <w:pPr>
        <w:widowControl/>
        <w:tabs>
          <w:tab w:val="left" w:pos="450"/>
          <w:tab w:val="left" w:pos="8280"/>
        </w:tabs>
        <w:spacing w:line="360" w:lineRule="auto"/>
        <w:ind w:firstLine="480"/>
        <w:jc w:val="center"/>
        <w:rPr>
          <w:rFonts w:hint="eastAsia" w:ascii="黑体" w:hAnsi="黑体" w:eastAsia="黑体"/>
          <w:sz w:val="32"/>
          <w:szCs w:val="32"/>
        </w:rPr>
      </w:pPr>
    </w:p>
    <w:p>
      <w:pPr>
        <w:widowControl/>
        <w:tabs>
          <w:tab w:val="left" w:pos="450"/>
          <w:tab w:val="left" w:pos="8280"/>
        </w:tabs>
        <w:spacing w:line="360" w:lineRule="auto"/>
        <w:ind w:firstLine="480"/>
        <w:jc w:val="center"/>
        <w:rPr>
          <w:rFonts w:hint="eastAsia" w:ascii="黑体" w:hAnsi="黑体" w:eastAsia="黑体"/>
          <w:color w:val="auto"/>
          <w:sz w:val="32"/>
          <w:szCs w:val="32"/>
          <w:shd w:val="clear" w:color="auto" w:fill="auto"/>
        </w:rPr>
      </w:pPr>
    </w:p>
    <w:p>
      <w:pPr>
        <w:widowControl/>
        <w:tabs>
          <w:tab w:val="left" w:pos="450"/>
          <w:tab w:val="left" w:pos="2520"/>
          <w:tab w:val="left" w:pos="8280"/>
        </w:tabs>
        <w:spacing w:line="360" w:lineRule="auto"/>
        <w:ind w:firstLine="480"/>
        <w:jc w:val="center"/>
        <w:rPr>
          <w:rFonts w:hint="eastAsia" w:ascii="黑体" w:hAnsi="宋体" w:eastAsia="黑体" w:cs="宋体"/>
          <w:color w:val="auto"/>
          <w:sz w:val="32"/>
          <w:szCs w:val="32"/>
          <w:shd w:val="clear" w:color="auto" w:fill="auto"/>
        </w:rPr>
      </w:pPr>
      <w:r>
        <w:rPr>
          <w:rFonts w:hint="eastAsia" w:ascii="黑体" w:hAnsi="黑体" w:eastAsia="黑体"/>
          <w:color w:val="auto"/>
          <w:sz w:val="32"/>
          <w:szCs w:val="32"/>
          <w:shd w:val="clear" w:color="auto" w:fill="auto"/>
        </w:rPr>
        <w:t>一、外包装封面格式</w:t>
      </w:r>
    </w:p>
    <w:p>
      <w:pPr>
        <w:widowControl/>
        <w:tabs>
          <w:tab w:val="left" w:pos="8280"/>
        </w:tabs>
        <w:spacing w:line="360" w:lineRule="auto"/>
        <w:ind w:firstLine="480"/>
        <w:jc w:val="center"/>
        <w:rPr>
          <w:rFonts w:hint="eastAsia" w:ascii="仿宋_GB2312" w:hAnsi="宋体" w:eastAsia="仿宋_GB2312" w:cs="宋体"/>
          <w:b/>
          <w:color w:val="auto"/>
          <w:sz w:val="32"/>
          <w:szCs w:val="32"/>
          <w:shd w:val="clear" w:color="auto" w:fill="auto"/>
        </w:rPr>
      </w:pPr>
    </w:p>
    <w:p>
      <w:pPr>
        <w:widowControl/>
        <w:tabs>
          <w:tab w:val="left" w:pos="8280"/>
        </w:tabs>
        <w:spacing w:line="360" w:lineRule="auto"/>
        <w:ind w:firstLine="480"/>
        <w:jc w:val="center"/>
        <w:rPr>
          <w:rFonts w:hint="eastAsia" w:ascii="仿宋_GB2312" w:hAnsi="宋体" w:eastAsia="仿宋_GB2312" w:cs="宋体"/>
          <w:b/>
          <w:color w:val="auto"/>
          <w:sz w:val="32"/>
          <w:szCs w:val="32"/>
          <w:shd w:val="clear" w:color="auto" w:fill="auto"/>
        </w:rPr>
      </w:pPr>
      <w:r>
        <w:rPr>
          <w:rFonts w:hint="eastAsia" w:ascii="仿宋_GB2312" w:hAnsi="宋体" w:eastAsia="仿宋_GB2312" w:cs="宋体"/>
          <w:b/>
          <w:color w:val="auto"/>
          <w:sz w:val="32"/>
          <w:szCs w:val="32"/>
          <w:shd w:val="clear" w:color="auto" w:fill="auto"/>
        </w:rPr>
        <w:t>技术文件或商务文件</w:t>
      </w:r>
    </w:p>
    <w:p>
      <w:pPr>
        <w:widowControl/>
        <w:tabs>
          <w:tab w:val="left" w:pos="275"/>
          <w:tab w:val="left" w:pos="8280"/>
        </w:tabs>
        <w:spacing w:line="360" w:lineRule="auto"/>
        <w:ind w:firstLine="480"/>
        <w:jc w:val="left"/>
        <w:rPr>
          <w:rFonts w:hint="eastAsia" w:ascii="仿宋_GB2312" w:hAnsi="宋体" w:eastAsia="仿宋_GB2312" w:cs="宋体"/>
          <w:b/>
          <w:color w:val="auto"/>
          <w:sz w:val="36"/>
          <w:szCs w:val="36"/>
          <w:shd w:val="clear" w:color="auto" w:fill="auto"/>
        </w:rPr>
      </w:pPr>
      <w:r>
        <w:rPr>
          <w:rFonts w:hint="eastAsia" w:ascii="仿宋_GB2312" w:hAnsi="宋体" w:eastAsia="仿宋_GB2312" w:cs="宋体"/>
          <w:b/>
          <w:color w:val="auto"/>
          <w:sz w:val="36"/>
          <w:szCs w:val="36"/>
          <w:shd w:val="clear" w:color="auto" w:fill="auto"/>
        </w:rPr>
        <w:tab/>
      </w:r>
    </w:p>
    <w:p>
      <w:pPr>
        <w:widowControl/>
        <w:tabs>
          <w:tab w:val="left" w:pos="275"/>
          <w:tab w:val="left" w:pos="8280"/>
        </w:tabs>
        <w:spacing w:line="360" w:lineRule="auto"/>
        <w:jc w:val="left"/>
        <w:rPr>
          <w:rFonts w:hint="eastAsia" w:ascii="仿宋_GB2312" w:hAnsi="宋体" w:eastAsia="仿宋_GB2312" w:cs="宋体"/>
          <w:b/>
          <w:color w:val="auto"/>
          <w:sz w:val="32"/>
          <w:szCs w:val="32"/>
          <w:u w:val="single"/>
          <w:shd w:val="clear" w:color="auto" w:fill="auto"/>
        </w:rPr>
      </w:pPr>
      <w:r>
        <w:rPr>
          <w:rFonts w:hint="eastAsia" w:ascii="仿宋_GB2312" w:hAnsi="宋体" w:eastAsia="仿宋_GB2312" w:cs="宋体"/>
          <w:b/>
          <w:color w:val="auto"/>
          <w:sz w:val="32"/>
          <w:szCs w:val="32"/>
          <w:shd w:val="clear" w:color="auto" w:fill="auto"/>
        </w:rPr>
        <w:t>项目名称：</w:t>
      </w:r>
      <w:r>
        <w:rPr>
          <w:rFonts w:hint="eastAsia" w:ascii="仿宋_GB2312" w:hAnsi="宋体" w:eastAsia="仿宋_GB2312" w:cs="宋体"/>
          <w:b/>
          <w:color w:val="auto"/>
          <w:sz w:val="32"/>
          <w:szCs w:val="32"/>
          <w:u w:val="single"/>
          <w:shd w:val="clear" w:color="auto" w:fill="auto"/>
        </w:rPr>
        <w:t xml:space="preserve">                                      </w:t>
      </w:r>
    </w:p>
    <w:p>
      <w:pPr>
        <w:widowControl/>
        <w:tabs>
          <w:tab w:val="left" w:pos="275"/>
          <w:tab w:val="left" w:pos="8280"/>
        </w:tabs>
        <w:spacing w:line="360" w:lineRule="auto"/>
        <w:ind w:firstLine="472" w:firstLineChars="147"/>
        <w:jc w:val="left"/>
        <w:rPr>
          <w:rFonts w:hint="eastAsia" w:ascii="仿宋_GB2312" w:hAnsi="宋体" w:eastAsia="仿宋_GB2312" w:cs="宋体"/>
          <w:b/>
          <w:color w:val="auto"/>
          <w:sz w:val="32"/>
          <w:szCs w:val="32"/>
          <w:shd w:val="clear" w:color="auto" w:fill="auto"/>
        </w:rPr>
      </w:pPr>
    </w:p>
    <w:p>
      <w:pPr>
        <w:widowControl/>
        <w:tabs>
          <w:tab w:val="left" w:pos="275"/>
          <w:tab w:val="left" w:pos="8280"/>
        </w:tabs>
        <w:spacing w:line="360" w:lineRule="auto"/>
        <w:jc w:val="left"/>
        <w:rPr>
          <w:rFonts w:hint="eastAsia" w:ascii="仿宋_GB2312" w:hAnsi="宋体" w:eastAsia="仿宋_GB2312" w:cs="宋体"/>
          <w:b/>
          <w:color w:val="auto"/>
          <w:sz w:val="36"/>
          <w:szCs w:val="36"/>
          <w:shd w:val="clear" w:color="auto" w:fill="auto"/>
        </w:rPr>
      </w:pPr>
      <w:r>
        <w:rPr>
          <w:rFonts w:hint="eastAsia" w:ascii="仿宋_GB2312" w:hAnsi="宋体" w:eastAsia="仿宋_GB2312" w:cs="宋体"/>
          <w:b/>
          <w:color w:val="auto"/>
          <w:sz w:val="32"/>
          <w:szCs w:val="32"/>
          <w:shd w:val="clear" w:color="auto" w:fill="auto"/>
        </w:rPr>
        <w:t>项目编号：</w:t>
      </w:r>
      <w:r>
        <w:rPr>
          <w:rFonts w:hint="eastAsia" w:ascii="仿宋_GB2312" w:hAnsi="宋体" w:eastAsia="仿宋_GB2312" w:cs="宋体"/>
          <w:b/>
          <w:color w:val="auto"/>
          <w:sz w:val="32"/>
          <w:szCs w:val="32"/>
          <w:u w:val="single"/>
          <w:shd w:val="clear" w:color="auto" w:fill="auto"/>
        </w:rPr>
        <w:t xml:space="preserve">                                      </w:t>
      </w:r>
      <w:r>
        <w:rPr>
          <w:rFonts w:hint="eastAsia" w:ascii="仿宋_GB2312" w:hAnsi="宋体" w:eastAsia="仿宋_GB2312" w:cs="宋体"/>
          <w:b/>
          <w:color w:val="auto"/>
          <w:sz w:val="32"/>
          <w:szCs w:val="32"/>
          <w:shd w:val="clear" w:color="auto" w:fill="auto"/>
        </w:rPr>
        <w:t xml:space="preserve">   </w:t>
      </w:r>
    </w:p>
    <w:p>
      <w:pPr>
        <w:widowControl/>
        <w:tabs>
          <w:tab w:val="left" w:pos="765"/>
          <w:tab w:val="left" w:pos="8280"/>
        </w:tabs>
        <w:spacing w:line="360" w:lineRule="auto"/>
        <w:ind w:firstLine="480"/>
        <w:jc w:val="left"/>
        <w:rPr>
          <w:rFonts w:hint="eastAsia" w:ascii="仿宋_GB2312" w:hAnsi="宋体" w:eastAsia="仿宋_GB2312" w:cs="宋体"/>
          <w:b/>
          <w:color w:val="auto"/>
          <w:sz w:val="36"/>
          <w:szCs w:val="36"/>
          <w:shd w:val="clear" w:color="auto" w:fill="auto"/>
        </w:rPr>
      </w:pPr>
      <w:r>
        <w:rPr>
          <w:rFonts w:hint="eastAsia" w:ascii="仿宋_GB2312" w:hAnsi="宋体" w:eastAsia="仿宋_GB2312" w:cs="宋体"/>
          <w:b/>
          <w:color w:val="auto"/>
          <w:sz w:val="36"/>
          <w:szCs w:val="36"/>
          <w:shd w:val="clear" w:color="auto" w:fill="auto"/>
        </w:rPr>
        <w:tab/>
      </w:r>
    </w:p>
    <w:p>
      <w:pPr>
        <w:widowControl/>
        <w:tabs>
          <w:tab w:val="left" w:pos="765"/>
          <w:tab w:val="left" w:pos="8280"/>
        </w:tabs>
        <w:spacing w:line="360" w:lineRule="auto"/>
        <w:jc w:val="left"/>
        <w:rPr>
          <w:rFonts w:hint="eastAsia" w:ascii="仿宋_GB2312" w:hAnsi="宋体" w:eastAsia="仿宋_GB2312" w:cs="宋体"/>
          <w:b/>
          <w:color w:val="auto"/>
          <w:sz w:val="36"/>
          <w:szCs w:val="36"/>
          <w:u w:val="single"/>
          <w:shd w:val="clear" w:color="auto" w:fill="auto"/>
        </w:rPr>
      </w:pPr>
      <w:r>
        <w:rPr>
          <w:rFonts w:hint="eastAsia" w:ascii="仿宋_GB2312" w:hAnsi="宋体" w:eastAsia="仿宋_GB2312" w:cs="宋体"/>
          <w:b/>
          <w:color w:val="auto"/>
          <w:sz w:val="32"/>
          <w:szCs w:val="32"/>
          <w:shd w:val="clear" w:color="auto" w:fill="auto"/>
        </w:rPr>
        <w:t>投标人：</w:t>
      </w:r>
      <w:r>
        <w:rPr>
          <w:rFonts w:hint="eastAsia" w:ascii="仿宋_GB2312" w:hAnsi="宋体" w:eastAsia="仿宋_GB2312" w:cs="宋体"/>
          <w:b/>
          <w:color w:val="auto"/>
          <w:sz w:val="32"/>
          <w:szCs w:val="32"/>
          <w:u w:val="single"/>
          <w:shd w:val="clear" w:color="auto" w:fill="auto"/>
        </w:rPr>
        <w:t xml:space="preserve">           （盖公章）              </w:t>
      </w:r>
    </w:p>
    <w:p>
      <w:pPr>
        <w:widowControl/>
        <w:tabs>
          <w:tab w:val="left" w:pos="8280"/>
        </w:tabs>
        <w:spacing w:line="360" w:lineRule="auto"/>
        <w:ind w:firstLine="480"/>
        <w:jc w:val="center"/>
        <w:rPr>
          <w:rFonts w:hint="eastAsia" w:ascii="仿宋_GB2312" w:hAnsi="宋体" w:eastAsia="仿宋_GB2312" w:cs="宋体"/>
          <w:b/>
          <w:color w:val="auto"/>
          <w:sz w:val="32"/>
          <w:szCs w:val="32"/>
          <w:shd w:val="clear" w:color="auto" w:fill="auto"/>
        </w:rPr>
      </w:pPr>
    </w:p>
    <w:p>
      <w:pPr>
        <w:widowControl/>
        <w:tabs>
          <w:tab w:val="left" w:pos="350"/>
          <w:tab w:val="left" w:pos="8280"/>
        </w:tabs>
        <w:spacing w:line="360" w:lineRule="auto"/>
        <w:jc w:val="left"/>
        <w:rPr>
          <w:rFonts w:hint="eastAsia" w:ascii="仿宋_GB2312" w:hAnsi="宋体" w:eastAsia="仿宋_GB2312" w:cs="宋体"/>
          <w:b/>
          <w:color w:val="auto"/>
          <w:sz w:val="36"/>
          <w:szCs w:val="36"/>
          <w:u w:val="single"/>
          <w:shd w:val="clear" w:color="auto" w:fill="auto"/>
        </w:rPr>
      </w:pPr>
      <w:r>
        <w:rPr>
          <w:rFonts w:hint="eastAsia" w:ascii="仿宋_GB2312" w:hAnsi="宋体" w:eastAsia="仿宋_GB2312" w:cs="宋体"/>
          <w:b/>
          <w:color w:val="auto"/>
          <w:sz w:val="32"/>
          <w:szCs w:val="32"/>
          <w:shd w:val="clear" w:color="auto" w:fill="auto"/>
        </w:rPr>
        <w:t>法定代表人或委托代理人：</w:t>
      </w:r>
      <w:r>
        <w:rPr>
          <w:rFonts w:hint="eastAsia" w:ascii="仿宋_GB2312" w:hAnsi="宋体" w:eastAsia="仿宋_GB2312" w:cs="宋体"/>
          <w:b/>
          <w:color w:val="auto"/>
          <w:sz w:val="32"/>
          <w:szCs w:val="32"/>
          <w:u w:val="single"/>
          <w:shd w:val="clear" w:color="auto" w:fill="auto"/>
        </w:rPr>
        <w:t xml:space="preserve">   （签字或盖章）  </w:t>
      </w:r>
      <w:r>
        <w:rPr>
          <w:rFonts w:hint="eastAsia" w:ascii="仿宋_GB2312" w:hAnsi="宋体" w:eastAsia="仿宋_GB2312" w:cs="宋体"/>
          <w:b/>
          <w:color w:val="auto"/>
          <w:sz w:val="32"/>
          <w:szCs w:val="32"/>
          <w:shd w:val="clear" w:color="auto" w:fill="auto"/>
        </w:rPr>
        <w:t xml:space="preserve">   </w:t>
      </w:r>
    </w:p>
    <w:p>
      <w:pPr>
        <w:widowControl/>
        <w:tabs>
          <w:tab w:val="left" w:pos="8280"/>
        </w:tabs>
        <w:spacing w:line="360" w:lineRule="auto"/>
        <w:ind w:firstLine="480"/>
        <w:jc w:val="center"/>
        <w:rPr>
          <w:rFonts w:hint="eastAsia" w:ascii="仿宋_GB2312" w:hAnsi="宋体" w:eastAsia="仿宋_GB2312" w:cs="宋体"/>
          <w:b/>
          <w:color w:val="auto"/>
          <w:sz w:val="32"/>
          <w:szCs w:val="32"/>
          <w:shd w:val="clear" w:color="auto" w:fill="auto"/>
        </w:rPr>
      </w:pPr>
    </w:p>
    <w:p>
      <w:pPr>
        <w:widowControl/>
        <w:tabs>
          <w:tab w:val="left" w:pos="350"/>
          <w:tab w:val="left" w:pos="8280"/>
        </w:tabs>
        <w:spacing w:line="360" w:lineRule="auto"/>
        <w:jc w:val="left"/>
        <w:rPr>
          <w:rFonts w:hint="eastAsia" w:ascii="仿宋_GB2312" w:hAnsi="宋体" w:eastAsia="仿宋_GB2312" w:cs="宋体"/>
          <w:b/>
          <w:color w:val="auto"/>
          <w:sz w:val="32"/>
          <w:szCs w:val="32"/>
          <w:shd w:val="clear" w:color="auto" w:fill="auto"/>
        </w:rPr>
      </w:pPr>
      <w:r>
        <w:rPr>
          <w:rFonts w:hint="eastAsia" w:ascii="仿宋_GB2312" w:hAnsi="宋体" w:eastAsia="仿宋_GB2312" w:cs="宋体"/>
          <w:b/>
          <w:color w:val="auto"/>
          <w:sz w:val="32"/>
          <w:szCs w:val="32"/>
          <w:shd w:val="clear" w:color="auto" w:fill="auto"/>
        </w:rPr>
        <w:t xml:space="preserve">日期：      </w:t>
      </w:r>
      <w:r>
        <w:rPr>
          <w:rFonts w:hint="eastAsia" w:ascii="仿宋_GB2312" w:hAnsi="宋体" w:eastAsia="仿宋_GB2312" w:cs="宋体"/>
          <w:b/>
          <w:color w:val="auto"/>
          <w:sz w:val="36"/>
          <w:szCs w:val="36"/>
          <w:shd w:val="clear" w:color="auto" w:fill="auto"/>
        </w:rPr>
        <w:t xml:space="preserve"> </w:t>
      </w:r>
      <w:r>
        <w:rPr>
          <w:rFonts w:hint="eastAsia" w:ascii="仿宋_GB2312" w:hAnsi="宋体" w:eastAsia="仿宋_GB2312" w:cs="宋体"/>
          <w:b/>
          <w:color w:val="auto"/>
          <w:sz w:val="32"/>
          <w:szCs w:val="32"/>
          <w:shd w:val="clear" w:color="auto" w:fill="auto"/>
        </w:rPr>
        <w:t>年</w:t>
      </w:r>
      <w:r>
        <w:rPr>
          <w:rFonts w:hint="eastAsia" w:ascii="仿宋_GB2312" w:hAnsi="宋体" w:eastAsia="仿宋_GB2312" w:cs="宋体"/>
          <w:b/>
          <w:color w:val="auto"/>
          <w:sz w:val="36"/>
          <w:szCs w:val="36"/>
          <w:shd w:val="clear" w:color="auto" w:fill="auto"/>
        </w:rPr>
        <w:t xml:space="preserve">     </w:t>
      </w:r>
      <w:r>
        <w:rPr>
          <w:rFonts w:hint="eastAsia" w:ascii="仿宋_GB2312" w:hAnsi="宋体" w:eastAsia="仿宋_GB2312" w:cs="宋体"/>
          <w:b/>
          <w:color w:val="auto"/>
          <w:sz w:val="32"/>
          <w:szCs w:val="32"/>
          <w:shd w:val="clear" w:color="auto" w:fill="auto"/>
        </w:rPr>
        <w:t>月</w:t>
      </w:r>
      <w:r>
        <w:rPr>
          <w:rFonts w:hint="eastAsia" w:ascii="仿宋_GB2312" w:hAnsi="宋体" w:eastAsia="仿宋_GB2312" w:cs="宋体"/>
          <w:b/>
          <w:color w:val="auto"/>
          <w:sz w:val="36"/>
          <w:szCs w:val="36"/>
          <w:shd w:val="clear" w:color="auto" w:fill="auto"/>
        </w:rPr>
        <w:t xml:space="preserve">     </w:t>
      </w:r>
      <w:r>
        <w:rPr>
          <w:rFonts w:hint="eastAsia" w:ascii="仿宋_GB2312" w:hAnsi="宋体" w:eastAsia="仿宋_GB2312" w:cs="宋体"/>
          <w:b/>
          <w:color w:val="auto"/>
          <w:sz w:val="32"/>
          <w:szCs w:val="32"/>
          <w:shd w:val="clear" w:color="auto" w:fill="auto"/>
        </w:rPr>
        <w:t>日</w:t>
      </w:r>
    </w:p>
    <w:p>
      <w:pPr>
        <w:widowControl/>
        <w:tabs>
          <w:tab w:val="left" w:pos="350"/>
          <w:tab w:val="left" w:pos="8280"/>
        </w:tabs>
        <w:spacing w:line="360" w:lineRule="auto"/>
        <w:ind w:firstLine="480"/>
        <w:jc w:val="left"/>
        <w:rPr>
          <w:rFonts w:hint="eastAsia" w:ascii="仿宋_GB2312" w:hAnsi="宋体" w:eastAsia="仿宋_GB2312" w:cs="宋体"/>
          <w:b/>
          <w:color w:val="auto"/>
          <w:sz w:val="32"/>
          <w:szCs w:val="32"/>
          <w:shd w:val="clear" w:color="auto" w:fill="auto"/>
        </w:rPr>
      </w:pPr>
    </w:p>
    <w:p>
      <w:pPr>
        <w:pStyle w:val="5"/>
        <w:spacing w:line="500" w:lineRule="exact"/>
        <w:jc w:val="center"/>
        <w:rPr>
          <w:rFonts w:hint="eastAsia" w:ascii="黑体" w:hAnsi="黑体"/>
          <w:b w:val="0"/>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widowControl/>
        <w:tabs>
          <w:tab w:val="left" w:pos="450"/>
          <w:tab w:val="left" w:pos="2520"/>
          <w:tab w:val="left" w:pos="8280"/>
        </w:tabs>
        <w:spacing w:line="360" w:lineRule="auto"/>
        <w:ind w:firstLine="480"/>
        <w:jc w:val="center"/>
        <w:rPr>
          <w:rFonts w:hint="eastAsia" w:ascii="黑体" w:hAnsi="宋体" w:eastAsia="黑体" w:cs="宋体"/>
          <w:color w:val="auto"/>
          <w:sz w:val="32"/>
          <w:szCs w:val="32"/>
          <w:shd w:val="clear" w:color="auto" w:fill="auto"/>
        </w:rPr>
      </w:pPr>
      <w:r>
        <w:rPr>
          <w:rFonts w:hint="eastAsia" w:ascii="黑体" w:hAnsi="黑体" w:eastAsia="黑体"/>
          <w:color w:val="auto"/>
          <w:sz w:val="32"/>
          <w:szCs w:val="32"/>
          <w:shd w:val="clear" w:color="auto" w:fill="auto"/>
        </w:rPr>
        <w:t>二、内包装封面格式</w:t>
      </w:r>
    </w:p>
    <w:p>
      <w:pPr>
        <w:widowControl/>
        <w:tabs>
          <w:tab w:val="left" w:pos="8280"/>
        </w:tabs>
        <w:spacing w:line="360" w:lineRule="auto"/>
        <w:ind w:firstLine="480"/>
        <w:jc w:val="center"/>
        <w:rPr>
          <w:rFonts w:hint="eastAsia" w:ascii="仿宋_GB2312" w:hAnsi="宋体" w:eastAsia="仿宋_GB2312" w:cs="宋体"/>
          <w:b/>
          <w:color w:val="auto"/>
          <w:sz w:val="32"/>
          <w:szCs w:val="32"/>
          <w:shd w:val="clear" w:color="auto" w:fill="auto"/>
        </w:rPr>
      </w:pPr>
      <w:r>
        <w:rPr>
          <w:rFonts w:hint="eastAsia" w:ascii="仿宋_GB2312" w:hAnsi="宋体" w:eastAsia="仿宋_GB2312" w:cs="宋体"/>
          <w:b/>
          <w:color w:val="auto"/>
          <w:sz w:val="32"/>
          <w:szCs w:val="32"/>
          <w:shd w:val="clear" w:color="auto" w:fill="auto"/>
        </w:rPr>
        <w:t xml:space="preserve">                                          正本/副本</w:t>
      </w:r>
    </w:p>
    <w:p>
      <w:pPr>
        <w:widowControl/>
        <w:tabs>
          <w:tab w:val="left" w:pos="8280"/>
        </w:tabs>
        <w:spacing w:line="360" w:lineRule="auto"/>
        <w:ind w:firstLine="480"/>
        <w:jc w:val="center"/>
        <w:rPr>
          <w:rFonts w:hint="eastAsia" w:ascii="仿宋_GB2312" w:hAnsi="宋体" w:eastAsia="仿宋_GB2312" w:cs="宋体"/>
          <w:b/>
          <w:color w:val="auto"/>
          <w:sz w:val="32"/>
          <w:szCs w:val="32"/>
          <w:shd w:val="clear" w:color="auto" w:fill="auto"/>
        </w:rPr>
      </w:pPr>
      <w:r>
        <w:rPr>
          <w:rFonts w:hint="eastAsia" w:ascii="仿宋_GB2312" w:hAnsi="宋体" w:eastAsia="仿宋_GB2312" w:cs="宋体"/>
          <w:b/>
          <w:color w:val="auto"/>
          <w:sz w:val="32"/>
          <w:szCs w:val="32"/>
          <w:shd w:val="clear" w:color="auto" w:fill="auto"/>
        </w:rPr>
        <w:t>技术文件或商务文件</w:t>
      </w:r>
    </w:p>
    <w:p>
      <w:pPr>
        <w:widowControl/>
        <w:tabs>
          <w:tab w:val="left" w:pos="275"/>
          <w:tab w:val="left" w:pos="8280"/>
        </w:tabs>
        <w:spacing w:line="360" w:lineRule="auto"/>
        <w:ind w:firstLine="480"/>
        <w:jc w:val="left"/>
        <w:rPr>
          <w:rFonts w:hint="eastAsia" w:ascii="仿宋_GB2312" w:hAnsi="宋体" w:eastAsia="仿宋_GB2312" w:cs="宋体"/>
          <w:b/>
          <w:color w:val="auto"/>
          <w:sz w:val="36"/>
          <w:szCs w:val="36"/>
          <w:shd w:val="clear" w:color="auto" w:fill="auto"/>
        </w:rPr>
      </w:pPr>
      <w:r>
        <w:rPr>
          <w:rFonts w:hint="eastAsia" w:ascii="仿宋_GB2312" w:hAnsi="宋体" w:eastAsia="仿宋_GB2312" w:cs="宋体"/>
          <w:b/>
          <w:color w:val="auto"/>
          <w:sz w:val="36"/>
          <w:szCs w:val="36"/>
          <w:shd w:val="clear" w:color="auto" w:fill="auto"/>
        </w:rPr>
        <w:tab/>
      </w:r>
    </w:p>
    <w:p>
      <w:pPr>
        <w:widowControl/>
        <w:tabs>
          <w:tab w:val="left" w:pos="275"/>
          <w:tab w:val="left" w:pos="8280"/>
        </w:tabs>
        <w:spacing w:line="360" w:lineRule="auto"/>
        <w:jc w:val="left"/>
        <w:rPr>
          <w:rFonts w:hint="eastAsia" w:ascii="仿宋_GB2312" w:hAnsi="宋体" w:eastAsia="仿宋_GB2312" w:cs="宋体"/>
          <w:b/>
          <w:color w:val="auto"/>
          <w:sz w:val="32"/>
          <w:szCs w:val="32"/>
          <w:u w:val="single"/>
          <w:shd w:val="clear" w:color="auto" w:fill="auto"/>
        </w:rPr>
      </w:pPr>
      <w:r>
        <w:rPr>
          <w:rFonts w:hint="eastAsia" w:ascii="仿宋_GB2312" w:hAnsi="宋体" w:eastAsia="仿宋_GB2312" w:cs="宋体"/>
          <w:b/>
          <w:color w:val="auto"/>
          <w:sz w:val="32"/>
          <w:szCs w:val="32"/>
          <w:shd w:val="clear" w:color="auto" w:fill="auto"/>
        </w:rPr>
        <w:t>项目名称：</w:t>
      </w:r>
      <w:r>
        <w:rPr>
          <w:rFonts w:hint="eastAsia" w:ascii="仿宋_GB2312" w:hAnsi="宋体" w:eastAsia="仿宋_GB2312" w:cs="宋体"/>
          <w:b/>
          <w:color w:val="auto"/>
          <w:sz w:val="32"/>
          <w:szCs w:val="32"/>
          <w:u w:val="single"/>
          <w:shd w:val="clear" w:color="auto" w:fill="auto"/>
        </w:rPr>
        <w:t xml:space="preserve">                                      </w:t>
      </w:r>
    </w:p>
    <w:p>
      <w:pPr>
        <w:widowControl/>
        <w:tabs>
          <w:tab w:val="left" w:pos="275"/>
          <w:tab w:val="left" w:pos="8280"/>
        </w:tabs>
        <w:spacing w:line="360" w:lineRule="auto"/>
        <w:ind w:firstLine="472" w:firstLineChars="147"/>
        <w:jc w:val="left"/>
        <w:rPr>
          <w:rFonts w:hint="eastAsia" w:ascii="仿宋_GB2312" w:hAnsi="宋体" w:eastAsia="仿宋_GB2312" w:cs="宋体"/>
          <w:b/>
          <w:color w:val="auto"/>
          <w:sz w:val="32"/>
          <w:szCs w:val="32"/>
          <w:shd w:val="clear" w:color="auto" w:fill="auto"/>
        </w:rPr>
      </w:pPr>
    </w:p>
    <w:p>
      <w:pPr>
        <w:widowControl/>
        <w:tabs>
          <w:tab w:val="left" w:pos="275"/>
          <w:tab w:val="left" w:pos="8280"/>
        </w:tabs>
        <w:spacing w:line="360" w:lineRule="auto"/>
        <w:jc w:val="left"/>
        <w:rPr>
          <w:rFonts w:hint="eastAsia" w:ascii="仿宋_GB2312" w:hAnsi="宋体" w:eastAsia="仿宋_GB2312" w:cs="宋体"/>
          <w:b/>
          <w:color w:val="auto"/>
          <w:sz w:val="36"/>
          <w:szCs w:val="36"/>
          <w:shd w:val="clear" w:color="auto" w:fill="auto"/>
        </w:rPr>
      </w:pPr>
      <w:r>
        <w:rPr>
          <w:rFonts w:hint="eastAsia" w:ascii="仿宋_GB2312" w:hAnsi="宋体" w:eastAsia="仿宋_GB2312" w:cs="宋体"/>
          <w:b/>
          <w:color w:val="auto"/>
          <w:sz w:val="32"/>
          <w:szCs w:val="32"/>
          <w:shd w:val="clear" w:color="auto" w:fill="auto"/>
        </w:rPr>
        <w:t>项目编号：</w:t>
      </w:r>
      <w:r>
        <w:rPr>
          <w:rFonts w:hint="eastAsia" w:ascii="仿宋_GB2312" w:hAnsi="宋体" w:eastAsia="仿宋_GB2312" w:cs="宋体"/>
          <w:b/>
          <w:color w:val="auto"/>
          <w:sz w:val="32"/>
          <w:szCs w:val="32"/>
          <w:u w:val="single"/>
          <w:shd w:val="clear" w:color="auto" w:fill="auto"/>
        </w:rPr>
        <w:t xml:space="preserve">                                      </w:t>
      </w:r>
      <w:r>
        <w:rPr>
          <w:rFonts w:hint="eastAsia" w:ascii="仿宋_GB2312" w:hAnsi="宋体" w:eastAsia="仿宋_GB2312" w:cs="宋体"/>
          <w:b/>
          <w:color w:val="auto"/>
          <w:sz w:val="32"/>
          <w:szCs w:val="32"/>
          <w:shd w:val="clear" w:color="auto" w:fill="auto"/>
        </w:rPr>
        <w:t xml:space="preserve">   </w:t>
      </w:r>
    </w:p>
    <w:p>
      <w:pPr>
        <w:widowControl/>
        <w:tabs>
          <w:tab w:val="left" w:pos="765"/>
          <w:tab w:val="left" w:pos="8280"/>
        </w:tabs>
        <w:spacing w:line="360" w:lineRule="auto"/>
        <w:ind w:firstLine="480"/>
        <w:jc w:val="left"/>
        <w:rPr>
          <w:rFonts w:hint="eastAsia" w:ascii="仿宋_GB2312" w:hAnsi="宋体" w:eastAsia="仿宋_GB2312" w:cs="宋体"/>
          <w:b/>
          <w:color w:val="auto"/>
          <w:sz w:val="36"/>
          <w:szCs w:val="36"/>
          <w:shd w:val="clear" w:color="auto" w:fill="auto"/>
        </w:rPr>
      </w:pPr>
      <w:r>
        <w:rPr>
          <w:rFonts w:hint="eastAsia" w:ascii="仿宋_GB2312" w:hAnsi="宋体" w:eastAsia="仿宋_GB2312" w:cs="宋体"/>
          <w:b/>
          <w:color w:val="auto"/>
          <w:sz w:val="36"/>
          <w:szCs w:val="36"/>
          <w:shd w:val="clear" w:color="auto" w:fill="auto"/>
        </w:rPr>
        <w:tab/>
      </w:r>
    </w:p>
    <w:p>
      <w:pPr>
        <w:widowControl/>
        <w:tabs>
          <w:tab w:val="left" w:pos="765"/>
          <w:tab w:val="left" w:pos="8280"/>
        </w:tabs>
        <w:spacing w:line="360" w:lineRule="auto"/>
        <w:jc w:val="left"/>
        <w:rPr>
          <w:rFonts w:hint="eastAsia" w:ascii="仿宋_GB2312" w:hAnsi="宋体" w:eastAsia="仿宋_GB2312" w:cs="宋体"/>
          <w:b/>
          <w:color w:val="auto"/>
          <w:sz w:val="36"/>
          <w:szCs w:val="36"/>
          <w:u w:val="single"/>
          <w:shd w:val="clear" w:color="auto" w:fill="auto"/>
        </w:rPr>
      </w:pPr>
      <w:r>
        <w:rPr>
          <w:rFonts w:hint="eastAsia" w:ascii="仿宋_GB2312" w:hAnsi="宋体" w:eastAsia="仿宋_GB2312" w:cs="宋体"/>
          <w:b/>
          <w:color w:val="auto"/>
          <w:sz w:val="32"/>
          <w:szCs w:val="32"/>
          <w:shd w:val="clear" w:color="auto" w:fill="auto"/>
        </w:rPr>
        <w:t>投标人：</w:t>
      </w:r>
      <w:r>
        <w:rPr>
          <w:rFonts w:hint="eastAsia" w:ascii="仿宋_GB2312" w:hAnsi="宋体" w:eastAsia="仿宋_GB2312" w:cs="宋体"/>
          <w:b/>
          <w:color w:val="auto"/>
          <w:sz w:val="32"/>
          <w:szCs w:val="32"/>
          <w:u w:val="single"/>
          <w:shd w:val="clear" w:color="auto" w:fill="auto"/>
        </w:rPr>
        <w:t xml:space="preserve">           （盖公章）              </w:t>
      </w:r>
    </w:p>
    <w:p>
      <w:pPr>
        <w:widowControl/>
        <w:tabs>
          <w:tab w:val="left" w:pos="8280"/>
        </w:tabs>
        <w:spacing w:line="360" w:lineRule="auto"/>
        <w:ind w:firstLine="480"/>
        <w:jc w:val="center"/>
        <w:rPr>
          <w:rFonts w:hint="eastAsia" w:ascii="仿宋_GB2312" w:hAnsi="宋体" w:eastAsia="仿宋_GB2312" w:cs="宋体"/>
          <w:b/>
          <w:color w:val="auto"/>
          <w:sz w:val="32"/>
          <w:szCs w:val="32"/>
          <w:shd w:val="clear" w:color="auto" w:fill="auto"/>
        </w:rPr>
      </w:pPr>
    </w:p>
    <w:p>
      <w:pPr>
        <w:widowControl/>
        <w:tabs>
          <w:tab w:val="left" w:pos="350"/>
          <w:tab w:val="left" w:pos="8280"/>
        </w:tabs>
        <w:spacing w:line="360" w:lineRule="auto"/>
        <w:jc w:val="left"/>
        <w:rPr>
          <w:rFonts w:hint="eastAsia" w:ascii="仿宋_GB2312" w:hAnsi="宋体" w:eastAsia="仿宋_GB2312" w:cs="宋体"/>
          <w:b/>
          <w:color w:val="auto"/>
          <w:sz w:val="36"/>
          <w:szCs w:val="36"/>
          <w:u w:val="single"/>
          <w:shd w:val="clear" w:color="auto" w:fill="auto"/>
        </w:rPr>
      </w:pPr>
      <w:r>
        <w:rPr>
          <w:rFonts w:hint="eastAsia" w:ascii="仿宋_GB2312" w:hAnsi="宋体" w:eastAsia="仿宋_GB2312" w:cs="宋体"/>
          <w:b/>
          <w:color w:val="auto"/>
          <w:sz w:val="32"/>
          <w:szCs w:val="32"/>
          <w:shd w:val="clear" w:color="auto" w:fill="auto"/>
        </w:rPr>
        <w:t>法定代表人或委托代理人：</w:t>
      </w:r>
      <w:r>
        <w:rPr>
          <w:rFonts w:hint="eastAsia" w:ascii="仿宋_GB2312" w:hAnsi="宋体" w:eastAsia="仿宋_GB2312" w:cs="宋体"/>
          <w:b/>
          <w:color w:val="auto"/>
          <w:sz w:val="32"/>
          <w:szCs w:val="32"/>
          <w:u w:val="single"/>
          <w:shd w:val="clear" w:color="auto" w:fill="auto"/>
        </w:rPr>
        <w:t xml:space="preserve">   （签字或盖章）  </w:t>
      </w:r>
      <w:r>
        <w:rPr>
          <w:rFonts w:hint="eastAsia" w:ascii="仿宋_GB2312" w:hAnsi="宋体" w:eastAsia="仿宋_GB2312" w:cs="宋体"/>
          <w:b/>
          <w:color w:val="auto"/>
          <w:sz w:val="32"/>
          <w:szCs w:val="32"/>
          <w:shd w:val="clear" w:color="auto" w:fill="auto"/>
        </w:rPr>
        <w:t xml:space="preserve">   </w:t>
      </w:r>
    </w:p>
    <w:p>
      <w:pPr>
        <w:widowControl/>
        <w:tabs>
          <w:tab w:val="left" w:pos="8280"/>
        </w:tabs>
        <w:spacing w:line="360" w:lineRule="auto"/>
        <w:ind w:firstLine="480"/>
        <w:jc w:val="center"/>
        <w:rPr>
          <w:rFonts w:hint="eastAsia" w:ascii="仿宋_GB2312" w:hAnsi="宋体" w:eastAsia="仿宋_GB2312" w:cs="宋体"/>
          <w:b/>
          <w:color w:val="auto"/>
          <w:sz w:val="32"/>
          <w:szCs w:val="32"/>
          <w:shd w:val="clear" w:color="auto" w:fill="auto"/>
        </w:rPr>
      </w:pPr>
    </w:p>
    <w:p>
      <w:pPr>
        <w:widowControl/>
        <w:tabs>
          <w:tab w:val="left" w:pos="350"/>
          <w:tab w:val="left" w:pos="8280"/>
        </w:tabs>
        <w:spacing w:line="360" w:lineRule="auto"/>
        <w:jc w:val="left"/>
        <w:rPr>
          <w:rFonts w:hint="eastAsia" w:ascii="仿宋_GB2312" w:hAnsi="宋体" w:eastAsia="仿宋_GB2312" w:cs="宋体"/>
          <w:b/>
          <w:color w:val="auto"/>
          <w:sz w:val="32"/>
          <w:szCs w:val="32"/>
          <w:shd w:val="clear" w:color="auto" w:fill="auto"/>
        </w:rPr>
      </w:pPr>
      <w:r>
        <w:rPr>
          <w:rFonts w:hint="eastAsia" w:ascii="仿宋_GB2312" w:hAnsi="宋体" w:eastAsia="仿宋_GB2312" w:cs="宋体"/>
          <w:b/>
          <w:color w:val="auto"/>
          <w:sz w:val="32"/>
          <w:szCs w:val="32"/>
          <w:shd w:val="clear" w:color="auto" w:fill="auto"/>
        </w:rPr>
        <w:t xml:space="preserve">日期：      </w:t>
      </w:r>
      <w:r>
        <w:rPr>
          <w:rFonts w:hint="eastAsia" w:ascii="仿宋_GB2312" w:hAnsi="宋体" w:eastAsia="仿宋_GB2312" w:cs="宋体"/>
          <w:b/>
          <w:color w:val="auto"/>
          <w:sz w:val="36"/>
          <w:szCs w:val="36"/>
          <w:shd w:val="clear" w:color="auto" w:fill="auto"/>
        </w:rPr>
        <w:t xml:space="preserve"> </w:t>
      </w:r>
      <w:r>
        <w:rPr>
          <w:rFonts w:hint="eastAsia" w:ascii="仿宋_GB2312" w:hAnsi="宋体" w:eastAsia="仿宋_GB2312" w:cs="宋体"/>
          <w:b/>
          <w:color w:val="auto"/>
          <w:sz w:val="32"/>
          <w:szCs w:val="32"/>
          <w:shd w:val="clear" w:color="auto" w:fill="auto"/>
        </w:rPr>
        <w:t>年</w:t>
      </w:r>
      <w:r>
        <w:rPr>
          <w:rFonts w:hint="eastAsia" w:ascii="仿宋_GB2312" w:hAnsi="宋体" w:eastAsia="仿宋_GB2312" w:cs="宋体"/>
          <w:b/>
          <w:color w:val="auto"/>
          <w:sz w:val="36"/>
          <w:szCs w:val="36"/>
          <w:shd w:val="clear" w:color="auto" w:fill="auto"/>
        </w:rPr>
        <w:t xml:space="preserve">     </w:t>
      </w:r>
      <w:r>
        <w:rPr>
          <w:rFonts w:hint="eastAsia" w:ascii="仿宋_GB2312" w:hAnsi="宋体" w:eastAsia="仿宋_GB2312" w:cs="宋体"/>
          <w:b/>
          <w:color w:val="auto"/>
          <w:sz w:val="32"/>
          <w:szCs w:val="32"/>
          <w:shd w:val="clear" w:color="auto" w:fill="auto"/>
        </w:rPr>
        <w:t>月</w:t>
      </w:r>
      <w:r>
        <w:rPr>
          <w:rFonts w:hint="eastAsia" w:ascii="仿宋_GB2312" w:hAnsi="宋体" w:eastAsia="仿宋_GB2312" w:cs="宋体"/>
          <w:b/>
          <w:color w:val="auto"/>
          <w:sz w:val="36"/>
          <w:szCs w:val="36"/>
          <w:shd w:val="clear" w:color="auto" w:fill="auto"/>
        </w:rPr>
        <w:t xml:space="preserve">     </w:t>
      </w:r>
      <w:r>
        <w:rPr>
          <w:rFonts w:hint="eastAsia" w:ascii="仿宋_GB2312" w:hAnsi="宋体" w:eastAsia="仿宋_GB2312" w:cs="宋体"/>
          <w:b/>
          <w:color w:val="auto"/>
          <w:sz w:val="32"/>
          <w:szCs w:val="32"/>
          <w:shd w:val="clear" w:color="auto" w:fill="auto"/>
        </w:rPr>
        <w:t>日</w:t>
      </w:r>
    </w:p>
    <w:p>
      <w:pPr>
        <w:widowControl/>
        <w:tabs>
          <w:tab w:val="left" w:pos="350"/>
          <w:tab w:val="left" w:pos="8280"/>
        </w:tabs>
        <w:spacing w:line="360" w:lineRule="auto"/>
        <w:ind w:firstLine="480"/>
        <w:jc w:val="left"/>
        <w:rPr>
          <w:rFonts w:hint="eastAsia" w:ascii="仿宋_GB2312" w:hAnsi="宋体" w:eastAsia="仿宋_GB2312" w:cs="宋体"/>
          <w:b/>
          <w:color w:val="auto"/>
          <w:sz w:val="32"/>
          <w:szCs w:val="32"/>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pStyle w:val="5"/>
        <w:spacing w:line="500" w:lineRule="exact"/>
        <w:jc w:val="center"/>
        <w:rPr>
          <w:rFonts w:hint="eastAsia" w:ascii="黑体" w:hAnsi="黑体"/>
          <w:b w:val="0"/>
          <w:color w:val="auto"/>
          <w:shd w:val="clear" w:color="auto" w:fill="auto"/>
        </w:rPr>
      </w:pPr>
      <w:r>
        <w:rPr>
          <w:rFonts w:hint="eastAsia" w:ascii="黑体" w:hAnsi="黑体"/>
          <w:b w:val="0"/>
          <w:color w:val="auto"/>
          <w:shd w:val="clear" w:color="auto" w:fill="auto"/>
        </w:rPr>
        <w:t>三、投标函（格式）</w:t>
      </w:r>
    </w:p>
    <w:p>
      <w:pPr>
        <w:spacing w:line="660" w:lineRule="exact"/>
        <w:rPr>
          <w:rFonts w:hint="eastAsia" w:ascii="宋体" w:hAnsi="宋体" w:eastAsia="宋体"/>
          <w:color w:val="auto"/>
          <w:spacing w:val="8"/>
          <w:sz w:val="24"/>
          <w:szCs w:val="24"/>
          <w:shd w:val="clear" w:color="auto" w:fill="auto"/>
          <w:lang w:eastAsia="zh-CN"/>
        </w:rPr>
      </w:pPr>
      <w:r>
        <w:rPr>
          <w:rFonts w:hint="eastAsia" w:ascii="宋体" w:hAnsi="宋体"/>
          <w:color w:val="auto"/>
          <w:spacing w:val="8"/>
          <w:sz w:val="24"/>
          <w:szCs w:val="24"/>
          <w:shd w:val="clear" w:color="auto" w:fill="auto"/>
        </w:rPr>
        <w:t>致：</w:t>
      </w:r>
      <w:r>
        <w:rPr>
          <w:rFonts w:hint="eastAsia" w:ascii="宋体" w:hAnsi="宋体"/>
          <w:color w:val="auto"/>
          <w:sz w:val="24"/>
          <w:szCs w:val="24"/>
          <w:shd w:val="clear" w:color="auto" w:fill="auto"/>
          <w:lang w:eastAsia="zh-CN"/>
        </w:rPr>
        <w:t>浙江华元工程咨询有限公司</w:t>
      </w:r>
    </w:p>
    <w:p>
      <w:pPr>
        <w:spacing w:line="360" w:lineRule="auto"/>
        <w:ind w:firstLine="384" w:firstLineChars="150"/>
        <w:rPr>
          <w:rFonts w:hint="eastAsia" w:ascii="宋体" w:hAnsi="宋体"/>
          <w:color w:val="auto"/>
          <w:sz w:val="24"/>
          <w:szCs w:val="24"/>
          <w:shd w:val="clear" w:color="auto" w:fill="auto"/>
        </w:rPr>
      </w:pPr>
      <w:r>
        <w:rPr>
          <w:rFonts w:hint="eastAsia" w:ascii="宋体" w:hAnsi="宋体"/>
          <w:color w:val="auto"/>
          <w:spacing w:val="8"/>
          <w:sz w:val="24"/>
          <w:szCs w:val="24"/>
          <w:shd w:val="clear" w:color="auto" w:fill="auto"/>
        </w:rPr>
        <w:t>根据贵方</w:t>
      </w:r>
      <w:r>
        <w:rPr>
          <w:rFonts w:hint="eastAsia" w:ascii="宋体" w:hAnsi="宋体"/>
          <w:color w:val="auto"/>
          <w:spacing w:val="8"/>
          <w:sz w:val="24"/>
          <w:szCs w:val="24"/>
          <w:u w:val="single"/>
          <w:shd w:val="clear" w:color="auto" w:fill="auto"/>
        </w:rPr>
        <w:t xml:space="preserve">                           项目的</w:t>
      </w:r>
      <w:r>
        <w:rPr>
          <w:rFonts w:hint="eastAsia" w:ascii="宋体" w:hAnsi="宋体"/>
          <w:color w:val="auto"/>
          <w:spacing w:val="8"/>
          <w:sz w:val="24"/>
          <w:szCs w:val="24"/>
          <w:shd w:val="clear" w:color="auto" w:fill="auto"/>
        </w:rPr>
        <w:t>招标文件（编号：</w:t>
      </w:r>
      <w:r>
        <w:rPr>
          <w:rFonts w:hint="eastAsia" w:ascii="宋体" w:hAnsi="宋体"/>
          <w:color w:val="auto"/>
          <w:spacing w:val="8"/>
          <w:sz w:val="24"/>
          <w:szCs w:val="24"/>
          <w:shd w:val="clear" w:color="auto" w:fill="auto"/>
          <w:lang w:eastAsia="zh-CN"/>
        </w:rPr>
        <w:t>浙华元</w:t>
      </w:r>
      <w:r>
        <w:rPr>
          <w:rFonts w:ascii="宋体" w:hAnsi="宋体"/>
          <w:color w:val="auto"/>
          <w:spacing w:val="8"/>
          <w:sz w:val="24"/>
          <w:szCs w:val="24"/>
          <w:shd w:val="clear" w:color="auto" w:fill="auto"/>
        </w:rPr>
        <w:t xml:space="preserve"> </w:t>
      </w:r>
      <w:r>
        <w:rPr>
          <w:rFonts w:hint="eastAsia" w:ascii="宋体" w:hAnsi="宋体"/>
          <w:color w:val="auto"/>
          <w:spacing w:val="8"/>
          <w:sz w:val="24"/>
          <w:szCs w:val="24"/>
          <w:shd w:val="clear" w:color="auto" w:fill="auto"/>
          <w:lang w:val="en-US" w:eastAsia="zh-CN"/>
        </w:rPr>
        <w:t>2019</w:t>
      </w:r>
      <w:r>
        <w:rPr>
          <w:rFonts w:hint="eastAsia" w:ascii="宋体" w:hAnsi="宋体"/>
          <w:color w:val="auto"/>
          <w:spacing w:val="8"/>
          <w:sz w:val="24"/>
          <w:szCs w:val="24"/>
          <w:shd w:val="clear" w:color="auto" w:fill="auto"/>
          <w:lang w:eastAsia="zh-CN"/>
        </w:rPr>
        <w:t>-**-**</w:t>
      </w:r>
      <w:r>
        <w:rPr>
          <w:rFonts w:hint="eastAsia" w:ascii="宋体" w:hAnsi="宋体"/>
          <w:color w:val="auto"/>
          <w:spacing w:val="8"/>
          <w:sz w:val="24"/>
          <w:szCs w:val="24"/>
          <w:shd w:val="clear" w:color="auto" w:fill="auto"/>
        </w:rPr>
        <w:t xml:space="preserve">）有关要求， </w:t>
      </w:r>
      <w:r>
        <w:rPr>
          <w:rFonts w:hint="eastAsia" w:ascii="宋体" w:hAnsi="宋体"/>
          <w:color w:val="auto"/>
          <w:spacing w:val="8"/>
          <w:sz w:val="24"/>
          <w:szCs w:val="24"/>
          <w:u w:val="single"/>
          <w:shd w:val="clear" w:color="auto" w:fill="auto"/>
        </w:rPr>
        <w:t xml:space="preserve">   　　（投标人全称）       </w:t>
      </w:r>
      <w:r>
        <w:rPr>
          <w:rFonts w:hint="eastAsia" w:ascii="宋体" w:hAnsi="宋体"/>
          <w:color w:val="auto"/>
          <w:spacing w:val="8"/>
          <w:sz w:val="24"/>
          <w:szCs w:val="24"/>
          <w:shd w:val="clear" w:color="auto" w:fill="auto"/>
        </w:rPr>
        <w:t>授权</w:t>
      </w:r>
      <w:r>
        <w:rPr>
          <w:rFonts w:hint="eastAsia" w:ascii="宋体" w:hAnsi="宋体"/>
          <w:color w:val="auto"/>
          <w:spacing w:val="8"/>
          <w:sz w:val="24"/>
          <w:szCs w:val="24"/>
          <w:u w:val="single"/>
          <w:shd w:val="clear" w:color="auto" w:fill="auto"/>
        </w:rPr>
        <w:t xml:space="preserve">     （委托代理人姓名）   </w:t>
      </w:r>
      <w:r>
        <w:rPr>
          <w:rFonts w:hint="eastAsia" w:ascii="宋体" w:hAnsi="宋体"/>
          <w:color w:val="auto"/>
          <w:sz w:val="24"/>
          <w:szCs w:val="24"/>
          <w:shd w:val="clear" w:color="auto" w:fill="auto"/>
        </w:rPr>
        <w:t>为全权代表，参加贵方组织的招标采购活动，并进行投标。为此：</w:t>
      </w:r>
    </w:p>
    <w:p>
      <w:pPr>
        <w:snapToGrid w:val="0"/>
        <w:spacing w:line="360" w:lineRule="auto"/>
        <w:ind w:firstLine="480" w:firstLineChars="200"/>
        <w:rPr>
          <w:rFonts w:hint="eastAsia" w:ascii="宋体" w:hAnsi="宋体"/>
          <w:bCs/>
          <w:color w:val="auto"/>
          <w:sz w:val="24"/>
          <w:szCs w:val="24"/>
          <w:shd w:val="clear" w:color="auto" w:fill="auto"/>
        </w:rPr>
      </w:pPr>
      <w:r>
        <w:rPr>
          <w:rFonts w:hint="eastAsia" w:ascii="宋体" w:hAnsi="宋体"/>
          <w:color w:val="auto"/>
          <w:sz w:val="24"/>
          <w:szCs w:val="24"/>
          <w:shd w:val="clear" w:color="auto" w:fill="auto"/>
        </w:rPr>
        <w:t>1、我方已详细研读了全部招标文件，包括修改文件（如有的话）以及全部参考资料和有关附件等，</w:t>
      </w:r>
      <w:r>
        <w:rPr>
          <w:rFonts w:hint="eastAsia" w:ascii="宋体" w:hAnsi="宋体"/>
          <w:bCs/>
          <w:color w:val="auto"/>
          <w:sz w:val="24"/>
          <w:szCs w:val="24"/>
          <w:shd w:val="clear" w:color="auto" w:fill="auto"/>
        </w:rPr>
        <w:t>完全理解并接受招标文件的各项规定和要求，对招标文件的合理性、合法性不再有异议。</w:t>
      </w:r>
    </w:p>
    <w:p>
      <w:pPr>
        <w:tabs>
          <w:tab w:val="left" w:pos="900"/>
        </w:tabs>
        <w:spacing w:line="360" w:lineRule="auto"/>
        <w:ind w:firstLine="480" w:firstLineChars="200"/>
        <w:rPr>
          <w:rFonts w:hint="eastAsia" w:ascii="宋体" w:hAnsi="宋体"/>
          <w:color w:val="auto"/>
          <w:sz w:val="24"/>
          <w:szCs w:val="24"/>
          <w:shd w:val="clear" w:color="auto" w:fill="auto"/>
        </w:rPr>
      </w:pPr>
      <w:r>
        <w:rPr>
          <w:rFonts w:hint="eastAsia" w:ascii="宋体" w:hAnsi="宋体"/>
          <w:color w:val="auto"/>
          <w:sz w:val="24"/>
          <w:szCs w:val="24"/>
          <w:shd w:val="clear" w:color="auto" w:fill="auto"/>
        </w:rPr>
        <w:t>2、我方承诺本投标文件在开标之日起至投标有效期满均具有约束力，并严格遵守投标文件中的承诺。</w:t>
      </w:r>
    </w:p>
    <w:p>
      <w:pPr>
        <w:spacing w:line="360" w:lineRule="auto"/>
        <w:ind w:firstLine="480" w:firstLineChars="200"/>
        <w:rPr>
          <w:rFonts w:hint="eastAsia" w:ascii="宋体" w:hAnsi="宋体"/>
          <w:color w:val="auto"/>
          <w:sz w:val="24"/>
          <w:szCs w:val="24"/>
          <w:shd w:val="clear" w:color="auto" w:fill="auto"/>
        </w:rPr>
      </w:pPr>
      <w:r>
        <w:rPr>
          <w:rFonts w:hint="eastAsia" w:ascii="宋体" w:hAnsi="宋体"/>
          <w:color w:val="auto"/>
          <w:sz w:val="24"/>
          <w:szCs w:val="24"/>
          <w:shd w:val="clear" w:color="auto" w:fill="auto"/>
        </w:rPr>
        <w:t>3、我方承诺已经具备《中华人民共和国</w:t>
      </w:r>
      <w:r>
        <w:rPr>
          <w:rFonts w:hint="eastAsia" w:ascii="宋体" w:hAnsi="宋体"/>
          <w:color w:val="auto"/>
          <w:sz w:val="24"/>
          <w:szCs w:val="24"/>
          <w:shd w:val="clear" w:color="auto" w:fill="auto"/>
          <w:lang w:eastAsia="zh-CN"/>
        </w:rPr>
        <w:t>招标投标</w:t>
      </w:r>
      <w:r>
        <w:rPr>
          <w:rFonts w:hint="eastAsia" w:ascii="宋体" w:hAnsi="宋体"/>
          <w:color w:val="auto"/>
          <w:sz w:val="24"/>
          <w:szCs w:val="24"/>
          <w:shd w:val="clear" w:color="auto" w:fill="auto"/>
        </w:rPr>
        <w:t>法》及招标文件中规定的参加本项目的供应商资格条件。</w:t>
      </w:r>
    </w:p>
    <w:p>
      <w:pPr>
        <w:snapToGrid w:val="0"/>
        <w:spacing w:line="360" w:lineRule="auto"/>
        <w:ind w:firstLine="480" w:firstLineChars="200"/>
        <w:rPr>
          <w:rFonts w:ascii="宋体" w:hAnsi="宋体"/>
          <w:color w:val="auto"/>
          <w:sz w:val="24"/>
          <w:szCs w:val="24"/>
          <w:shd w:val="clear" w:color="auto" w:fill="auto"/>
        </w:rPr>
      </w:pPr>
      <w:r>
        <w:rPr>
          <w:rFonts w:hint="eastAsia" w:ascii="宋体" w:hAnsi="宋体"/>
          <w:color w:val="auto"/>
          <w:sz w:val="24"/>
          <w:szCs w:val="24"/>
          <w:shd w:val="clear" w:color="auto" w:fill="auto"/>
        </w:rPr>
        <w:t>4、我方严格按照招标文件的规定报价，并提供招标文件规定的全部投标文件。</w:t>
      </w:r>
    </w:p>
    <w:p>
      <w:pPr>
        <w:spacing w:line="360" w:lineRule="auto"/>
        <w:ind w:firstLine="480" w:firstLineChars="200"/>
        <w:rPr>
          <w:rFonts w:ascii="宋体" w:hAnsi="宋体"/>
          <w:color w:val="auto"/>
          <w:sz w:val="24"/>
          <w:szCs w:val="24"/>
          <w:shd w:val="clear" w:color="auto" w:fill="auto"/>
        </w:rPr>
      </w:pPr>
      <w:r>
        <w:rPr>
          <w:rFonts w:hint="eastAsia" w:ascii="宋体" w:hAnsi="宋体"/>
          <w:color w:val="auto"/>
          <w:sz w:val="24"/>
          <w:szCs w:val="24"/>
          <w:shd w:val="clear" w:color="auto" w:fill="auto"/>
        </w:rPr>
        <w:t>5、如我方中标，投标文件将作为本项目合同的组成部分，直到合同履行完毕均保持有效，我方将按招标文件及</w:t>
      </w:r>
      <w:r>
        <w:rPr>
          <w:rFonts w:hint="eastAsia" w:ascii="宋体" w:hAnsi="宋体"/>
          <w:color w:val="auto"/>
          <w:sz w:val="24"/>
          <w:szCs w:val="24"/>
          <w:shd w:val="clear" w:color="auto" w:fill="auto"/>
          <w:lang w:eastAsia="zh-CN"/>
        </w:rPr>
        <w:t>招投标</w:t>
      </w:r>
      <w:r>
        <w:rPr>
          <w:rFonts w:hint="eastAsia" w:ascii="宋体" w:hAnsi="宋体"/>
          <w:color w:val="auto"/>
          <w:sz w:val="24"/>
          <w:szCs w:val="24"/>
          <w:shd w:val="clear" w:color="auto" w:fill="auto"/>
        </w:rPr>
        <w:t>法律、法规的规定履行合同责任和义务。</w:t>
      </w:r>
    </w:p>
    <w:p>
      <w:pPr>
        <w:spacing w:line="360" w:lineRule="auto"/>
        <w:ind w:firstLine="480" w:firstLineChars="200"/>
        <w:rPr>
          <w:rFonts w:hint="eastAsia" w:ascii="宋体" w:hAnsi="宋体"/>
          <w:color w:val="auto"/>
          <w:sz w:val="24"/>
          <w:szCs w:val="24"/>
          <w:shd w:val="clear" w:color="auto" w:fill="auto"/>
        </w:rPr>
      </w:pPr>
      <w:r>
        <w:rPr>
          <w:rFonts w:hint="eastAsia" w:ascii="宋体" w:hAnsi="宋体"/>
          <w:color w:val="auto"/>
          <w:sz w:val="24"/>
          <w:szCs w:val="24"/>
          <w:shd w:val="clear" w:color="auto" w:fill="auto"/>
        </w:rPr>
        <w:t>6、我方完全理解贵方不一定接受最低价的投标。</w:t>
      </w:r>
    </w:p>
    <w:p>
      <w:pPr>
        <w:spacing w:line="360" w:lineRule="auto"/>
        <w:ind w:firstLine="480" w:firstLineChars="200"/>
        <w:rPr>
          <w:rFonts w:hint="eastAsia" w:ascii="宋体" w:hAnsi="宋体"/>
          <w:color w:val="auto"/>
          <w:sz w:val="24"/>
          <w:szCs w:val="24"/>
          <w:shd w:val="clear" w:color="auto" w:fill="auto"/>
        </w:rPr>
      </w:pPr>
      <w:r>
        <w:rPr>
          <w:rFonts w:hint="eastAsia" w:ascii="宋体" w:hAnsi="宋体"/>
          <w:color w:val="auto"/>
          <w:sz w:val="24"/>
          <w:szCs w:val="24"/>
          <w:shd w:val="clear" w:color="auto" w:fill="auto"/>
        </w:rPr>
        <w:t>7、我方同意向贵方提供任何与该项投标有关的一切数据或资料。若贵方需要，我方愿意提供我方作出的一切承诺的证明材料。</w:t>
      </w:r>
    </w:p>
    <w:p>
      <w:pPr>
        <w:spacing w:line="360" w:lineRule="auto"/>
        <w:ind w:firstLine="480" w:firstLineChars="200"/>
        <w:rPr>
          <w:rFonts w:hint="eastAsia" w:ascii="宋体" w:hAnsi="宋体"/>
          <w:color w:val="auto"/>
          <w:sz w:val="24"/>
          <w:szCs w:val="24"/>
          <w:shd w:val="clear" w:color="auto" w:fill="auto"/>
        </w:rPr>
      </w:pPr>
      <w:r>
        <w:rPr>
          <w:rFonts w:hint="eastAsia" w:ascii="宋体" w:hAnsi="宋体"/>
          <w:color w:val="auto"/>
          <w:sz w:val="24"/>
          <w:szCs w:val="24"/>
          <w:shd w:val="clear" w:color="auto" w:fill="auto"/>
        </w:rPr>
        <w:t>8、与本次投标有关的一切正式往来通讯，请寄：</w:t>
      </w:r>
    </w:p>
    <w:p>
      <w:pPr>
        <w:spacing w:line="360" w:lineRule="auto"/>
        <w:ind w:firstLine="425"/>
        <w:rPr>
          <w:rFonts w:hint="eastAsia" w:ascii="宋体" w:hAnsi="宋体"/>
          <w:color w:val="auto"/>
          <w:sz w:val="24"/>
          <w:szCs w:val="24"/>
          <w:u w:val="single"/>
          <w:shd w:val="clear" w:color="auto" w:fill="auto"/>
        </w:rPr>
      </w:pPr>
      <w:r>
        <w:rPr>
          <w:rFonts w:hint="eastAsia" w:ascii="宋体" w:hAnsi="宋体"/>
          <w:color w:val="auto"/>
          <w:sz w:val="24"/>
          <w:szCs w:val="24"/>
          <w:shd w:val="clear" w:color="auto" w:fill="auto"/>
        </w:rPr>
        <w:t xml:space="preserve"> 地址：</w:t>
      </w:r>
      <w:r>
        <w:rPr>
          <w:rFonts w:hint="eastAsia" w:ascii="宋体" w:hAnsi="宋体"/>
          <w:color w:val="auto"/>
          <w:sz w:val="24"/>
          <w:szCs w:val="24"/>
          <w:u w:val="single"/>
          <w:shd w:val="clear" w:color="auto" w:fill="auto"/>
        </w:rPr>
        <w:t xml:space="preserve">                          </w:t>
      </w:r>
      <w:r>
        <w:rPr>
          <w:rFonts w:hint="eastAsia" w:ascii="宋体" w:hAnsi="宋体"/>
          <w:color w:val="auto"/>
          <w:sz w:val="24"/>
          <w:szCs w:val="24"/>
          <w:shd w:val="clear" w:color="auto" w:fill="auto"/>
        </w:rPr>
        <w:t>邮编：</w:t>
      </w:r>
      <w:r>
        <w:rPr>
          <w:rFonts w:hint="eastAsia" w:ascii="宋体" w:hAnsi="宋体"/>
          <w:color w:val="auto"/>
          <w:sz w:val="24"/>
          <w:szCs w:val="24"/>
          <w:u w:val="single"/>
          <w:shd w:val="clear" w:color="auto" w:fill="auto"/>
        </w:rPr>
        <w:t xml:space="preserve">                     </w:t>
      </w:r>
    </w:p>
    <w:p>
      <w:pPr>
        <w:spacing w:line="360" w:lineRule="auto"/>
        <w:ind w:firstLine="425"/>
        <w:rPr>
          <w:rFonts w:hint="eastAsia" w:ascii="宋体" w:hAnsi="宋体"/>
          <w:color w:val="auto"/>
          <w:sz w:val="24"/>
          <w:szCs w:val="24"/>
          <w:u w:val="single"/>
          <w:shd w:val="clear" w:color="auto" w:fill="auto"/>
        </w:rPr>
      </w:pPr>
      <w:r>
        <w:rPr>
          <w:rFonts w:hint="eastAsia" w:ascii="宋体" w:hAnsi="宋体"/>
          <w:color w:val="auto"/>
          <w:sz w:val="24"/>
          <w:szCs w:val="24"/>
          <w:shd w:val="clear" w:color="auto" w:fill="auto"/>
        </w:rPr>
        <w:t xml:space="preserve"> 电话：</w:t>
      </w:r>
      <w:r>
        <w:rPr>
          <w:rFonts w:hint="eastAsia" w:ascii="宋体" w:hAnsi="宋体"/>
          <w:color w:val="auto"/>
          <w:sz w:val="24"/>
          <w:szCs w:val="24"/>
          <w:u w:val="single"/>
          <w:shd w:val="clear" w:color="auto" w:fill="auto"/>
        </w:rPr>
        <w:t xml:space="preserve">                          </w:t>
      </w:r>
      <w:r>
        <w:rPr>
          <w:rFonts w:hint="eastAsia" w:ascii="宋体" w:hAnsi="宋体"/>
          <w:color w:val="auto"/>
          <w:sz w:val="24"/>
          <w:szCs w:val="24"/>
          <w:shd w:val="clear" w:color="auto" w:fill="auto"/>
        </w:rPr>
        <w:t>传真：</w:t>
      </w:r>
      <w:r>
        <w:rPr>
          <w:rFonts w:hint="eastAsia" w:ascii="宋体" w:hAnsi="宋体"/>
          <w:color w:val="auto"/>
          <w:sz w:val="24"/>
          <w:szCs w:val="24"/>
          <w:u w:val="single"/>
          <w:shd w:val="clear" w:color="auto" w:fill="auto"/>
        </w:rPr>
        <w:t xml:space="preserve">                     </w:t>
      </w:r>
    </w:p>
    <w:p>
      <w:pPr>
        <w:spacing w:line="360" w:lineRule="auto"/>
        <w:ind w:firstLine="425"/>
        <w:rPr>
          <w:rFonts w:hint="eastAsia" w:ascii="宋体" w:hAnsi="宋体"/>
          <w:color w:val="auto"/>
          <w:sz w:val="24"/>
          <w:szCs w:val="24"/>
          <w:shd w:val="clear" w:color="auto" w:fill="auto"/>
        </w:rPr>
      </w:pPr>
    </w:p>
    <w:p>
      <w:pPr>
        <w:spacing w:line="360" w:lineRule="auto"/>
        <w:ind w:firstLine="425"/>
        <w:rPr>
          <w:rFonts w:hint="eastAsia" w:ascii="宋体" w:hAnsi="宋体"/>
          <w:color w:val="auto"/>
          <w:sz w:val="24"/>
          <w:szCs w:val="24"/>
          <w:shd w:val="clear" w:color="auto" w:fill="auto"/>
        </w:rPr>
      </w:pPr>
      <w:r>
        <w:rPr>
          <w:rFonts w:hint="eastAsia" w:ascii="宋体" w:hAnsi="宋体"/>
          <w:color w:val="auto"/>
          <w:sz w:val="24"/>
          <w:szCs w:val="24"/>
          <w:shd w:val="clear" w:color="auto" w:fill="auto"/>
        </w:rPr>
        <w:t xml:space="preserve"> 投标人名称：</w:t>
      </w:r>
      <w:r>
        <w:rPr>
          <w:rFonts w:hint="eastAsia" w:ascii="宋体" w:hAnsi="宋体"/>
          <w:color w:val="auto"/>
          <w:sz w:val="24"/>
          <w:szCs w:val="24"/>
          <w:u w:val="single"/>
          <w:shd w:val="clear" w:color="auto" w:fill="auto"/>
        </w:rPr>
        <w:t xml:space="preserve">             （盖章）          </w:t>
      </w:r>
    </w:p>
    <w:p>
      <w:pPr>
        <w:spacing w:line="360" w:lineRule="auto"/>
        <w:ind w:firstLine="425"/>
        <w:rPr>
          <w:rFonts w:hint="eastAsia" w:ascii="宋体" w:hAnsi="宋体"/>
          <w:color w:val="auto"/>
          <w:sz w:val="24"/>
          <w:szCs w:val="24"/>
          <w:shd w:val="clear" w:color="auto" w:fill="auto"/>
        </w:rPr>
      </w:pPr>
    </w:p>
    <w:p>
      <w:pPr>
        <w:spacing w:line="360" w:lineRule="auto"/>
        <w:ind w:firstLine="425"/>
        <w:rPr>
          <w:rFonts w:hint="eastAsia" w:ascii="宋体" w:hAnsi="宋体"/>
          <w:color w:val="auto"/>
          <w:sz w:val="24"/>
          <w:szCs w:val="24"/>
          <w:u w:val="single"/>
          <w:shd w:val="clear" w:color="auto" w:fill="auto"/>
        </w:rPr>
      </w:pPr>
      <w:r>
        <w:rPr>
          <w:rFonts w:hint="eastAsia" w:ascii="宋体" w:hAnsi="宋体"/>
          <w:color w:val="auto"/>
          <w:sz w:val="24"/>
          <w:szCs w:val="24"/>
          <w:shd w:val="clear" w:color="auto" w:fill="auto"/>
        </w:rPr>
        <w:t xml:space="preserve"> 法定代表人或委托代理人：</w:t>
      </w:r>
      <w:r>
        <w:rPr>
          <w:rFonts w:hint="eastAsia" w:ascii="宋体" w:hAnsi="宋体"/>
          <w:color w:val="auto"/>
          <w:sz w:val="24"/>
          <w:szCs w:val="24"/>
          <w:u w:val="single"/>
          <w:shd w:val="clear" w:color="auto" w:fill="auto"/>
        </w:rPr>
        <w:t xml:space="preserve">     签字或盖章    </w:t>
      </w:r>
    </w:p>
    <w:p>
      <w:pPr>
        <w:spacing w:line="360" w:lineRule="auto"/>
        <w:ind w:firstLine="425"/>
        <w:rPr>
          <w:rFonts w:hint="eastAsia" w:ascii="宋体" w:hAnsi="宋体"/>
          <w:color w:val="auto"/>
          <w:sz w:val="24"/>
          <w:szCs w:val="24"/>
          <w:u w:val="single"/>
          <w:shd w:val="clear" w:color="auto" w:fill="auto"/>
        </w:rPr>
      </w:pPr>
    </w:p>
    <w:p>
      <w:pPr>
        <w:spacing w:line="360" w:lineRule="auto"/>
        <w:ind w:firstLine="480" w:firstLineChars="200"/>
        <w:rPr>
          <w:rFonts w:hint="eastAsia" w:ascii="宋体" w:hAnsi="宋体"/>
          <w:color w:val="auto"/>
          <w:sz w:val="24"/>
          <w:szCs w:val="24"/>
          <w:shd w:val="clear" w:color="auto" w:fill="auto"/>
        </w:rPr>
      </w:pPr>
      <w:r>
        <w:rPr>
          <w:rFonts w:hint="eastAsia" w:ascii="宋体" w:hAnsi="宋体"/>
          <w:color w:val="auto"/>
          <w:sz w:val="24"/>
          <w:szCs w:val="24"/>
          <w:shd w:val="clear" w:color="auto" w:fill="auto"/>
        </w:rPr>
        <w:t>日期：</w:t>
      </w:r>
      <w:r>
        <w:rPr>
          <w:rFonts w:hint="eastAsia" w:ascii="宋体" w:hAnsi="宋体"/>
          <w:color w:val="auto"/>
          <w:sz w:val="24"/>
          <w:szCs w:val="24"/>
          <w:u w:val="single"/>
          <w:shd w:val="clear" w:color="auto" w:fill="auto"/>
        </w:rPr>
        <w:t xml:space="preserve">        </w:t>
      </w:r>
      <w:r>
        <w:rPr>
          <w:rFonts w:hint="eastAsia" w:ascii="宋体" w:hAnsi="宋体"/>
          <w:color w:val="auto"/>
          <w:sz w:val="24"/>
          <w:szCs w:val="24"/>
          <w:shd w:val="clear" w:color="auto" w:fill="auto"/>
        </w:rPr>
        <w:t>年</w:t>
      </w:r>
      <w:r>
        <w:rPr>
          <w:rFonts w:hint="eastAsia" w:ascii="宋体" w:hAnsi="宋体"/>
          <w:color w:val="auto"/>
          <w:sz w:val="24"/>
          <w:szCs w:val="24"/>
          <w:u w:val="single"/>
          <w:shd w:val="clear" w:color="auto" w:fill="auto"/>
        </w:rPr>
        <w:t xml:space="preserve">       </w:t>
      </w:r>
      <w:r>
        <w:rPr>
          <w:rFonts w:hint="eastAsia" w:ascii="宋体" w:hAnsi="宋体"/>
          <w:color w:val="auto"/>
          <w:sz w:val="24"/>
          <w:szCs w:val="24"/>
          <w:shd w:val="clear" w:color="auto" w:fill="auto"/>
        </w:rPr>
        <w:t>月</w:t>
      </w:r>
      <w:r>
        <w:rPr>
          <w:rFonts w:hint="eastAsia" w:ascii="宋体" w:hAnsi="宋体"/>
          <w:color w:val="auto"/>
          <w:sz w:val="24"/>
          <w:szCs w:val="24"/>
          <w:u w:val="single"/>
          <w:shd w:val="clear" w:color="auto" w:fill="auto"/>
        </w:rPr>
        <w:t xml:space="preserve">       </w:t>
      </w:r>
      <w:r>
        <w:rPr>
          <w:rFonts w:hint="eastAsia" w:ascii="宋体" w:hAnsi="宋体"/>
          <w:color w:val="auto"/>
          <w:sz w:val="24"/>
          <w:szCs w:val="24"/>
          <w:shd w:val="clear" w:color="auto" w:fill="auto"/>
        </w:rPr>
        <w:t>日</w:t>
      </w:r>
    </w:p>
    <w:p>
      <w:pPr>
        <w:spacing w:line="360" w:lineRule="auto"/>
        <w:ind w:firstLine="480" w:firstLineChars="200"/>
        <w:rPr>
          <w:rFonts w:hint="eastAsia" w:ascii="宋体" w:hAnsi="宋体"/>
          <w:color w:val="auto"/>
          <w:sz w:val="24"/>
          <w:szCs w:val="24"/>
          <w:shd w:val="clear" w:color="auto" w:fill="auto"/>
        </w:rPr>
      </w:pPr>
    </w:p>
    <w:p>
      <w:pPr>
        <w:spacing w:line="360" w:lineRule="auto"/>
        <w:ind w:firstLine="480" w:firstLineChars="200"/>
        <w:rPr>
          <w:rFonts w:hint="eastAsia" w:ascii="宋体" w:hAnsi="宋体"/>
          <w:color w:val="auto"/>
          <w:sz w:val="24"/>
          <w:szCs w:val="24"/>
          <w:shd w:val="clear" w:color="auto" w:fill="auto"/>
        </w:rPr>
      </w:pPr>
    </w:p>
    <w:p>
      <w:pPr>
        <w:pStyle w:val="5"/>
        <w:spacing w:line="500" w:lineRule="exact"/>
        <w:jc w:val="center"/>
        <w:rPr>
          <w:rFonts w:hint="eastAsia" w:ascii="黑体" w:hAnsi="黑体"/>
          <w:b w:val="0"/>
          <w:color w:val="auto"/>
          <w:shd w:val="clear" w:color="auto" w:fill="auto"/>
        </w:rPr>
      </w:pPr>
      <w:r>
        <w:rPr>
          <w:rFonts w:hint="eastAsia" w:ascii="黑体" w:hAnsi="黑体"/>
          <w:b w:val="0"/>
          <w:color w:val="auto"/>
          <w:shd w:val="clear" w:color="auto" w:fill="auto"/>
        </w:rPr>
        <w:t>四、授权委托书（格式）</w:t>
      </w:r>
    </w:p>
    <w:p>
      <w:pPr>
        <w:spacing w:line="360" w:lineRule="auto"/>
        <w:rPr>
          <w:rFonts w:hint="eastAsia" w:ascii="宋体" w:hAnsi="宋体" w:eastAsia="宋体"/>
          <w:color w:val="auto"/>
          <w:sz w:val="24"/>
          <w:szCs w:val="24"/>
          <w:shd w:val="clear" w:color="auto" w:fill="auto"/>
          <w:lang w:eastAsia="zh-CN"/>
        </w:rPr>
      </w:pPr>
      <w:r>
        <w:rPr>
          <w:rFonts w:hint="eastAsia" w:ascii="宋体" w:hAnsi="宋体"/>
          <w:color w:val="auto"/>
          <w:sz w:val="24"/>
          <w:szCs w:val="24"/>
          <w:shd w:val="clear" w:color="auto" w:fill="auto"/>
        </w:rPr>
        <w:t>致：</w:t>
      </w:r>
      <w:r>
        <w:rPr>
          <w:rFonts w:hint="eastAsia" w:ascii="宋体" w:hAnsi="宋体"/>
          <w:color w:val="auto"/>
          <w:sz w:val="24"/>
          <w:szCs w:val="24"/>
          <w:shd w:val="clear" w:color="auto" w:fill="auto"/>
          <w:lang w:eastAsia="zh-CN"/>
        </w:rPr>
        <w:t>浙江华元工程咨询有限公司</w:t>
      </w:r>
    </w:p>
    <w:p>
      <w:pPr>
        <w:spacing w:line="360" w:lineRule="auto"/>
        <w:ind w:firstLine="480" w:firstLineChars="200"/>
        <w:rPr>
          <w:rFonts w:ascii="宋体" w:hAnsi="宋体"/>
          <w:color w:val="auto"/>
          <w:sz w:val="24"/>
          <w:szCs w:val="24"/>
          <w:shd w:val="clear" w:color="auto" w:fill="auto"/>
        </w:rPr>
      </w:pPr>
      <w:r>
        <w:rPr>
          <w:rFonts w:hint="eastAsia" w:ascii="宋体" w:hAnsi="宋体"/>
          <w:color w:val="auto"/>
          <w:sz w:val="24"/>
          <w:szCs w:val="24"/>
          <w:shd w:val="clear" w:color="auto" w:fill="auto"/>
        </w:rPr>
        <w:t>我</w:t>
      </w:r>
      <w:r>
        <w:rPr>
          <w:rFonts w:ascii="宋体" w:hAnsi="宋体"/>
          <w:color w:val="auto"/>
          <w:sz w:val="24"/>
          <w:szCs w:val="24"/>
          <w:u w:val="single"/>
          <w:shd w:val="clear" w:color="auto" w:fill="auto"/>
        </w:rPr>
        <w:t xml:space="preserve">   (</w:t>
      </w:r>
      <w:r>
        <w:rPr>
          <w:rFonts w:hint="eastAsia" w:ascii="宋体" w:hAnsi="宋体"/>
          <w:color w:val="auto"/>
          <w:sz w:val="24"/>
          <w:szCs w:val="24"/>
          <w:u w:val="single"/>
          <w:shd w:val="clear" w:color="auto" w:fill="auto"/>
        </w:rPr>
        <w:t>姓名</w:t>
      </w:r>
      <w:r>
        <w:rPr>
          <w:rFonts w:ascii="宋体" w:hAnsi="宋体"/>
          <w:color w:val="auto"/>
          <w:sz w:val="24"/>
          <w:szCs w:val="24"/>
          <w:u w:val="single"/>
          <w:shd w:val="clear" w:color="auto" w:fill="auto"/>
        </w:rPr>
        <w:t>)</w:t>
      </w:r>
      <w:r>
        <w:rPr>
          <w:rFonts w:hint="eastAsia" w:ascii="宋体" w:hAnsi="宋体"/>
          <w:color w:val="auto"/>
          <w:sz w:val="24"/>
          <w:szCs w:val="24"/>
          <w:u w:val="single"/>
          <w:shd w:val="clear" w:color="auto" w:fill="auto"/>
        </w:rPr>
        <w:t>　</w:t>
      </w:r>
      <w:r>
        <w:rPr>
          <w:rFonts w:hint="eastAsia" w:ascii="宋体" w:hAnsi="宋体"/>
          <w:color w:val="auto"/>
          <w:sz w:val="24"/>
          <w:szCs w:val="24"/>
          <w:shd w:val="clear" w:color="auto" w:fill="auto"/>
        </w:rPr>
        <w:t>系</w:t>
      </w:r>
      <w:r>
        <w:rPr>
          <w:rFonts w:ascii="宋体" w:hAnsi="宋体"/>
          <w:color w:val="auto"/>
          <w:sz w:val="24"/>
          <w:szCs w:val="24"/>
          <w:u w:val="single"/>
          <w:shd w:val="clear" w:color="auto" w:fill="auto"/>
        </w:rPr>
        <w:t xml:space="preserve">        (</w:t>
      </w:r>
      <w:r>
        <w:rPr>
          <w:rFonts w:hint="eastAsia" w:ascii="宋体" w:hAnsi="宋体"/>
          <w:color w:val="auto"/>
          <w:sz w:val="24"/>
          <w:szCs w:val="24"/>
          <w:u w:val="single"/>
          <w:shd w:val="clear" w:color="auto" w:fill="auto"/>
        </w:rPr>
        <w:t>投标人名称</w:t>
      </w:r>
      <w:r>
        <w:rPr>
          <w:rFonts w:ascii="宋体" w:hAnsi="宋体"/>
          <w:color w:val="auto"/>
          <w:sz w:val="24"/>
          <w:szCs w:val="24"/>
          <w:u w:val="single"/>
          <w:shd w:val="clear" w:color="auto" w:fill="auto"/>
        </w:rPr>
        <w:t>)</w:t>
      </w:r>
      <w:r>
        <w:rPr>
          <w:rFonts w:hint="eastAsia" w:ascii="宋体" w:hAnsi="宋体"/>
          <w:color w:val="auto"/>
          <w:sz w:val="24"/>
          <w:szCs w:val="24"/>
          <w:u w:val="single"/>
          <w:shd w:val="clear" w:color="auto" w:fill="auto"/>
        </w:rPr>
        <w:t>　　　</w:t>
      </w:r>
      <w:r>
        <w:rPr>
          <w:rFonts w:hint="eastAsia" w:ascii="宋体" w:hAnsi="宋体"/>
          <w:color w:val="auto"/>
          <w:sz w:val="24"/>
          <w:szCs w:val="24"/>
          <w:shd w:val="clear" w:color="auto" w:fill="auto"/>
        </w:rPr>
        <w:t>的法定代表人，现授权委托本单位在职职工</w:t>
      </w:r>
      <w:r>
        <w:rPr>
          <w:rFonts w:ascii="宋体" w:hAnsi="宋体"/>
          <w:color w:val="auto"/>
          <w:sz w:val="24"/>
          <w:szCs w:val="24"/>
          <w:u w:val="single"/>
          <w:shd w:val="clear" w:color="auto" w:fill="auto"/>
        </w:rPr>
        <w:t xml:space="preserve">   (</w:t>
      </w:r>
      <w:r>
        <w:rPr>
          <w:rFonts w:hint="eastAsia" w:ascii="宋体" w:hAnsi="宋体"/>
          <w:color w:val="auto"/>
          <w:sz w:val="24"/>
          <w:szCs w:val="24"/>
          <w:u w:val="single"/>
          <w:shd w:val="clear" w:color="auto" w:fill="auto"/>
        </w:rPr>
        <w:t>姓名</w:t>
      </w:r>
      <w:r>
        <w:rPr>
          <w:rFonts w:ascii="宋体" w:hAnsi="宋体"/>
          <w:color w:val="auto"/>
          <w:sz w:val="24"/>
          <w:szCs w:val="24"/>
          <w:u w:val="single"/>
          <w:shd w:val="clear" w:color="auto" w:fill="auto"/>
        </w:rPr>
        <w:t>)</w:t>
      </w:r>
      <w:r>
        <w:rPr>
          <w:rFonts w:hint="eastAsia" w:ascii="宋体" w:hAnsi="宋体"/>
          <w:color w:val="auto"/>
          <w:sz w:val="24"/>
          <w:szCs w:val="24"/>
          <w:u w:val="single"/>
          <w:shd w:val="clear" w:color="auto" w:fill="auto"/>
        </w:rPr>
        <w:t xml:space="preserve">  　</w:t>
      </w:r>
      <w:r>
        <w:rPr>
          <w:rFonts w:hint="eastAsia" w:ascii="宋体" w:hAnsi="宋体"/>
          <w:color w:val="auto"/>
          <w:sz w:val="24"/>
          <w:szCs w:val="24"/>
          <w:shd w:val="clear" w:color="auto" w:fill="auto"/>
        </w:rPr>
        <w:t>以我方的名义参加贵中心组织的</w:t>
      </w:r>
      <w:r>
        <w:rPr>
          <w:rFonts w:hint="eastAsia" w:ascii="宋体" w:hAnsi="宋体"/>
          <w:color w:val="auto"/>
          <w:sz w:val="24"/>
          <w:szCs w:val="24"/>
          <w:u w:val="single"/>
          <w:shd w:val="clear" w:color="auto" w:fill="auto"/>
        </w:rPr>
        <w:t>诸暨市</w:t>
      </w:r>
      <w:r>
        <w:rPr>
          <w:rFonts w:ascii="宋体" w:hAnsi="宋体"/>
          <w:color w:val="auto"/>
          <w:sz w:val="24"/>
          <w:szCs w:val="24"/>
          <w:u w:val="single"/>
          <w:shd w:val="clear" w:color="auto" w:fill="auto"/>
        </w:rPr>
        <w:t xml:space="preserve">    </w:t>
      </w:r>
      <w:r>
        <w:rPr>
          <w:rFonts w:hint="eastAsia" w:ascii="宋体" w:hAnsi="宋体"/>
          <w:color w:val="auto"/>
          <w:sz w:val="24"/>
          <w:szCs w:val="24"/>
          <w:u w:val="single"/>
          <w:shd w:val="clear" w:color="auto" w:fill="auto"/>
        </w:rPr>
        <w:t>　</w:t>
      </w:r>
      <w:r>
        <w:rPr>
          <w:rFonts w:ascii="宋体" w:hAnsi="宋体"/>
          <w:color w:val="auto"/>
          <w:sz w:val="24"/>
          <w:szCs w:val="24"/>
          <w:u w:val="single"/>
          <w:shd w:val="clear" w:color="auto" w:fill="auto"/>
        </w:rPr>
        <w:t>(</w:t>
      </w:r>
      <w:r>
        <w:rPr>
          <w:rFonts w:hint="eastAsia" w:ascii="宋体" w:hAnsi="宋体"/>
          <w:color w:val="auto"/>
          <w:sz w:val="24"/>
          <w:szCs w:val="24"/>
          <w:u w:val="single"/>
          <w:shd w:val="clear" w:color="auto" w:fill="auto"/>
        </w:rPr>
        <w:t>招标项目</w:t>
      </w:r>
      <w:r>
        <w:rPr>
          <w:rFonts w:ascii="宋体" w:hAnsi="宋体"/>
          <w:color w:val="auto"/>
          <w:sz w:val="24"/>
          <w:szCs w:val="24"/>
          <w:u w:val="single"/>
          <w:shd w:val="clear" w:color="auto" w:fill="auto"/>
        </w:rPr>
        <w:t xml:space="preserve">)        </w:t>
      </w:r>
      <w:r>
        <w:rPr>
          <w:rFonts w:hint="eastAsia" w:ascii="宋体" w:hAnsi="宋体"/>
          <w:color w:val="auto"/>
          <w:sz w:val="24"/>
          <w:szCs w:val="24"/>
          <w:u w:val="single"/>
          <w:shd w:val="clear" w:color="auto" w:fill="auto"/>
        </w:rPr>
        <w:t>项目</w:t>
      </w:r>
      <w:r>
        <w:rPr>
          <w:rFonts w:hint="eastAsia" w:ascii="宋体" w:hAnsi="宋体"/>
          <w:color w:val="auto"/>
          <w:sz w:val="24"/>
          <w:szCs w:val="24"/>
          <w:shd w:val="clear" w:color="auto" w:fill="auto"/>
        </w:rPr>
        <w:t>的投标活动，并代表我方全权办理针对上述项目的投标、开标、评标、签约等具体事务和签署相关文件。</w:t>
      </w:r>
    </w:p>
    <w:p>
      <w:pPr>
        <w:snapToGrid w:val="0"/>
        <w:spacing w:line="360" w:lineRule="auto"/>
        <w:rPr>
          <w:rFonts w:ascii="宋体" w:hAnsi="宋体"/>
          <w:color w:val="auto"/>
          <w:sz w:val="24"/>
          <w:szCs w:val="24"/>
          <w:shd w:val="clear" w:color="auto" w:fill="auto"/>
        </w:rPr>
      </w:pPr>
      <w:r>
        <w:rPr>
          <w:rFonts w:ascii="宋体" w:hAnsi="宋体"/>
          <w:color w:val="auto"/>
          <w:sz w:val="24"/>
          <w:szCs w:val="24"/>
          <w:shd w:val="clear" w:color="auto" w:fill="auto"/>
        </w:rPr>
        <w:t xml:space="preserve">    </w:t>
      </w:r>
      <w:r>
        <w:rPr>
          <w:rFonts w:hint="eastAsia" w:ascii="宋体" w:hAnsi="宋体"/>
          <w:color w:val="auto"/>
          <w:sz w:val="24"/>
          <w:szCs w:val="24"/>
          <w:shd w:val="clear" w:color="auto" w:fill="auto"/>
        </w:rPr>
        <w:t>我方对被授权人的签名事项负全部责任。</w:t>
      </w:r>
    </w:p>
    <w:p>
      <w:pPr>
        <w:snapToGrid w:val="0"/>
        <w:spacing w:line="360" w:lineRule="auto"/>
        <w:ind w:firstLine="480"/>
        <w:rPr>
          <w:rFonts w:ascii="宋体" w:hAnsi="宋体"/>
          <w:color w:val="auto"/>
          <w:sz w:val="24"/>
          <w:szCs w:val="24"/>
          <w:shd w:val="clear" w:color="auto" w:fill="auto"/>
        </w:rPr>
      </w:pPr>
      <w:r>
        <w:rPr>
          <w:rFonts w:hint="eastAsia" w:ascii="宋体" w:hAnsi="宋体"/>
          <w:color w:val="auto"/>
          <w:sz w:val="24"/>
          <w:szCs w:val="24"/>
          <w:shd w:val="clear" w:color="auto" w:fill="auto"/>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olor w:val="auto"/>
          <w:sz w:val="24"/>
          <w:szCs w:val="24"/>
          <w:shd w:val="clear" w:color="auto" w:fill="auto"/>
        </w:rPr>
      </w:pPr>
      <w:r>
        <w:rPr>
          <w:rFonts w:hint="eastAsia" w:ascii="宋体" w:hAnsi="宋体"/>
          <w:color w:val="auto"/>
          <w:sz w:val="24"/>
          <w:szCs w:val="24"/>
          <w:shd w:val="clear" w:color="auto" w:fill="auto"/>
        </w:rPr>
        <w:t>被授权人无转委托权，特此委托。</w:t>
      </w:r>
    </w:p>
    <w:p>
      <w:pPr>
        <w:spacing w:line="360" w:lineRule="auto"/>
        <w:rPr>
          <w:rFonts w:hint="eastAsia" w:ascii="宋体" w:hAnsi="宋体"/>
          <w:color w:val="auto"/>
          <w:sz w:val="24"/>
          <w:szCs w:val="24"/>
          <w:shd w:val="clear" w:color="auto" w:fill="auto"/>
        </w:rPr>
      </w:pPr>
    </w:p>
    <w:p>
      <w:pPr>
        <w:spacing w:line="360" w:lineRule="auto"/>
        <w:rPr>
          <w:rFonts w:hint="eastAsia" w:ascii="宋体" w:hAnsi="宋体"/>
          <w:color w:val="auto"/>
          <w:sz w:val="24"/>
          <w:szCs w:val="24"/>
          <w:shd w:val="clear" w:color="auto" w:fill="auto"/>
        </w:rPr>
      </w:pPr>
    </w:p>
    <w:p>
      <w:pPr>
        <w:spacing w:line="360" w:lineRule="auto"/>
        <w:rPr>
          <w:rFonts w:hint="eastAsia" w:ascii="宋体" w:hAnsi="宋体"/>
          <w:color w:val="auto"/>
          <w:sz w:val="24"/>
          <w:szCs w:val="24"/>
          <w:shd w:val="clear" w:color="auto" w:fill="auto"/>
        </w:rPr>
      </w:pPr>
      <w:r>
        <w:rPr>
          <w:rFonts w:hint="eastAsia" w:ascii="宋体" w:hAnsi="宋体"/>
          <w:color w:val="auto"/>
          <w:sz w:val="24"/>
          <w:szCs w:val="24"/>
          <w:shd w:val="clear" w:color="auto" w:fill="auto"/>
        </w:rPr>
        <w:t>法定代表人：</w:t>
      </w:r>
      <w:r>
        <w:rPr>
          <w:rFonts w:ascii="宋体" w:hAnsi="宋体"/>
          <w:color w:val="auto"/>
          <w:sz w:val="24"/>
          <w:szCs w:val="24"/>
          <w:u w:val="single"/>
          <w:shd w:val="clear" w:color="auto" w:fill="auto"/>
        </w:rPr>
        <w:t>(</w:t>
      </w:r>
      <w:r>
        <w:rPr>
          <w:rFonts w:hint="eastAsia" w:ascii="宋体" w:hAnsi="宋体"/>
          <w:color w:val="auto"/>
          <w:sz w:val="24"/>
          <w:szCs w:val="24"/>
          <w:u w:val="single"/>
          <w:shd w:val="clear" w:color="auto" w:fill="auto"/>
        </w:rPr>
        <w:t>签字或盖章</w:t>
      </w:r>
      <w:r>
        <w:rPr>
          <w:rFonts w:ascii="宋体" w:hAnsi="宋体"/>
          <w:color w:val="auto"/>
          <w:sz w:val="24"/>
          <w:szCs w:val="24"/>
          <w:u w:val="single"/>
          <w:shd w:val="clear" w:color="auto" w:fill="auto"/>
        </w:rPr>
        <w:t>)</w:t>
      </w:r>
      <w:r>
        <w:rPr>
          <w:rFonts w:hint="eastAsia" w:ascii="宋体" w:hAnsi="宋体"/>
          <w:color w:val="auto"/>
          <w:sz w:val="24"/>
          <w:szCs w:val="24"/>
          <w:shd w:val="clear" w:color="auto" w:fill="auto"/>
        </w:rPr>
        <w:t xml:space="preserve">                   被授权人：</w:t>
      </w:r>
      <w:r>
        <w:rPr>
          <w:rFonts w:ascii="宋体" w:hAnsi="宋体"/>
          <w:color w:val="auto"/>
          <w:sz w:val="24"/>
          <w:szCs w:val="24"/>
          <w:u w:val="single"/>
          <w:shd w:val="clear" w:color="auto" w:fill="auto"/>
        </w:rPr>
        <w:t>(</w:t>
      </w:r>
      <w:r>
        <w:rPr>
          <w:rFonts w:hint="eastAsia" w:ascii="宋体" w:hAnsi="宋体"/>
          <w:color w:val="auto"/>
          <w:sz w:val="24"/>
          <w:szCs w:val="24"/>
          <w:u w:val="single"/>
          <w:shd w:val="clear" w:color="auto" w:fill="auto"/>
        </w:rPr>
        <w:t>签字或盖章</w:t>
      </w:r>
      <w:r>
        <w:rPr>
          <w:rFonts w:ascii="宋体" w:hAnsi="宋体"/>
          <w:color w:val="auto"/>
          <w:sz w:val="24"/>
          <w:szCs w:val="24"/>
          <w:u w:val="single"/>
          <w:shd w:val="clear" w:color="auto" w:fill="auto"/>
        </w:rPr>
        <w:t>)</w:t>
      </w:r>
      <w:r>
        <w:rPr>
          <w:rFonts w:hint="eastAsia" w:ascii="宋体" w:hAnsi="宋体"/>
          <w:color w:val="auto"/>
          <w:sz w:val="24"/>
          <w:szCs w:val="24"/>
          <w:u w:val="single"/>
          <w:shd w:val="clear" w:color="auto" w:fill="auto"/>
        </w:rPr>
        <w:t xml:space="preserve"> </w:t>
      </w:r>
      <w:r>
        <w:rPr>
          <w:rFonts w:hint="eastAsia" w:ascii="宋体" w:hAnsi="宋体"/>
          <w:color w:val="auto"/>
          <w:sz w:val="24"/>
          <w:szCs w:val="24"/>
          <w:shd w:val="clear" w:color="auto" w:fill="auto"/>
        </w:rPr>
        <w:t xml:space="preserve">　 </w:t>
      </w:r>
    </w:p>
    <w:p>
      <w:pPr>
        <w:spacing w:line="360" w:lineRule="auto"/>
        <w:rPr>
          <w:rFonts w:hint="eastAsia" w:ascii="宋体" w:hAnsi="宋体"/>
          <w:color w:val="auto"/>
          <w:sz w:val="24"/>
          <w:szCs w:val="24"/>
          <w:shd w:val="clear" w:color="auto" w:fill="auto"/>
        </w:rPr>
      </w:pPr>
      <w:r>
        <w:rPr>
          <w:rFonts w:hint="eastAsia" w:ascii="宋体" w:hAnsi="宋体"/>
          <w:color w:val="auto"/>
          <w:sz w:val="24"/>
          <w:szCs w:val="24"/>
          <w:shd w:val="clear" w:color="auto" w:fill="auto"/>
        </w:rPr>
        <w:t xml:space="preserve"> 职     务：</w:t>
      </w:r>
      <w:r>
        <w:rPr>
          <w:rFonts w:ascii="宋体" w:hAnsi="宋体"/>
          <w:color w:val="auto"/>
          <w:sz w:val="24"/>
          <w:szCs w:val="24"/>
          <w:u w:val="single"/>
          <w:shd w:val="clear" w:color="auto" w:fill="auto"/>
        </w:rPr>
        <w:t xml:space="preserve">        </w:t>
      </w:r>
      <w:r>
        <w:rPr>
          <w:rFonts w:hint="eastAsia" w:ascii="宋体" w:hAnsi="宋体"/>
          <w:color w:val="auto"/>
          <w:sz w:val="24"/>
          <w:szCs w:val="24"/>
          <w:u w:val="single"/>
          <w:shd w:val="clear" w:color="auto" w:fill="auto"/>
        </w:rPr>
        <w:t xml:space="preserve">  </w:t>
      </w:r>
      <w:r>
        <w:rPr>
          <w:rFonts w:ascii="宋体" w:hAnsi="宋体"/>
          <w:color w:val="auto"/>
          <w:sz w:val="24"/>
          <w:szCs w:val="24"/>
          <w:u w:val="single"/>
          <w:shd w:val="clear" w:color="auto" w:fill="auto"/>
        </w:rPr>
        <w:t xml:space="preserve">  </w:t>
      </w:r>
      <w:r>
        <w:rPr>
          <w:rFonts w:ascii="宋体" w:hAnsi="宋体"/>
          <w:color w:val="auto"/>
          <w:sz w:val="24"/>
          <w:szCs w:val="24"/>
          <w:shd w:val="clear" w:color="auto" w:fill="auto"/>
        </w:rPr>
        <w:t xml:space="preserve"> </w:t>
      </w:r>
      <w:r>
        <w:rPr>
          <w:rFonts w:hint="eastAsia" w:ascii="宋体" w:hAnsi="宋体"/>
          <w:color w:val="auto"/>
          <w:sz w:val="24"/>
          <w:szCs w:val="24"/>
          <w:shd w:val="clear" w:color="auto" w:fill="auto"/>
        </w:rPr>
        <w:t xml:space="preserve">                    职  务：</w:t>
      </w:r>
      <w:r>
        <w:rPr>
          <w:rFonts w:ascii="宋体" w:hAnsi="宋体"/>
          <w:color w:val="auto"/>
          <w:sz w:val="24"/>
          <w:szCs w:val="24"/>
          <w:u w:val="single"/>
          <w:shd w:val="clear" w:color="auto" w:fill="auto"/>
        </w:rPr>
        <w:t xml:space="preserve">       </w:t>
      </w:r>
      <w:r>
        <w:rPr>
          <w:rFonts w:hint="eastAsia" w:ascii="宋体" w:hAnsi="宋体"/>
          <w:color w:val="auto"/>
          <w:sz w:val="24"/>
          <w:szCs w:val="24"/>
          <w:u w:val="single"/>
          <w:shd w:val="clear" w:color="auto" w:fill="auto"/>
        </w:rPr>
        <w:t xml:space="preserve">  </w:t>
      </w:r>
      <w:r>
        <w:rPr>
          <w:rFonts w:ascii="宋体" w:hAnsi="宋体"/>
          <w:color w:val="auto"/>
          <w:sz w:val="24"/>
          <w:szCs w:val="24"/>
          <w:u w:val="single"/>
          <w:shd w:val="clear" w:color="auto" w:fill="auto"/>
        </w:rPr>
        <w:t xml:space="preserve"> </w:t>
      </w:r>
      <w:r>
        <w:rPr>
          <w:rFonts w:hint="eastAsia" w:ascii="宋体" w:hAnsi="宋体"/>
          <w:color w:val="auto"/>
          <w:sz w:val="24"/>
          <w:szCs w:val="24"/>
          <w:u w:val="single"/>
          <w:shd w:val="clear" w:color="auto" w:fill="auto"/>
        </w:rPr>
        <w:t xml:space="preserve">   </w:t>
      </w:r>
    </w:p>
    <w:p>
      <w:pPr>
        <w:spacing w:line="360" w:lineRule="auto"/>
        <w:ind w:firstLine="3960" w:firstLineChars="1650"/>
        <w:rPr>
          <w:rFonts w:hint="eastAsia" w:ascii="宋体" w:hAnsi="宋体"/>
          <w:color w:val="auto"/>
          <w:sz w:val="24"/>
          <w:szCs w:val="24"/>
          <w:shd w:val="clear" w:color="auto" w:fill="auto"/>
        </w:rPr>
      </w:pPr>
      <w:r>
        <w:rPr>
          <w:rFonts w:hint="eastAsia" w:ascii="宋体" w:hAnsi="宋体"/>
          <w:color w:val="auto"/>
          <w:sz w:val="24"/>
          <w:szCs w:val="24"/>
          <w:shd w:val="clear" w:color="auto" w:fill="auto"/>
        </w:rPr>
        <w:t>被授权人身份证号码：</w:t>
      </w:r>
      <w:r>
        <w:rPr>
          <w:rFonts w:ascii="宋体" w:hAnsi="宋体"/>
          <w:color w:val="auto"/>
          <w:sz w:val="24"/>
          <w:szCs w:val="24"/>
          <w:u w:val="single"/>
          <w:shd w:val="clear" w:color="auto" w:fill="auto"/>
        </w:rPr>
        <w:t xml:space="preserve">           </w:t>
      </w:r>
      <w:r>
        <w:rPr>
          <w:rFonts w:hint="eastAsia" w:ascii="宋体" w:hAnsi="宋体"/>
          <w:color w:val="auto"/>
          <w:sz w:val="24"/>
          <w:szCs w:val="24"/>
          <w:u w:val="single"/>
          <w:shd w:val="clear" w:color="auto" w:fill="auto"/>
        </w:rPr>
        <w:t xml:space="preserve"> </w:t>
      </w:r>
      <w:r>
        <w:rPr>
          <w:rFonts w:ascii="宋体" w:hAnsi="宋体"/>
          <w:color w:val="auto"/>
          <w:sz w:val="24"/>
          <w:szCs w:val="24"/>
          <w:u w:val="single"/>
          <w:shd w:val="clear" w:color="auto" w:fill="auto"/>
        </w:rPr>
        <w:t xml:space="preserve">    </w:t>
      </w:r>
    </w:p>
    <w:p>
      <w:pPr>
        <w:spacing w:line="360" w:lineRule="auto"/>
        <w:rPr>
          <w:rFonts w:hint="eastAsia" w:ascii="宋体" w:hAnsi="宋体"/>
          <w:color w:val="auto"/>
          <w:sz w:val="24"/>
          <w:szCs w:val="24"/>
          <w:shd w:val="clear" w:color="auto" w:fill="auto"/>
        </w:rPr>
      </w:pPr>
    </w:p>
    <w:p>
      <w:pPr>
        <w:spacing w:line="360" w:lineRule="auto"/>
        <w:rPr>
          <w:rFonts w:hint="eastAsia" w:ascii="宋体" w:hAnsi="宋体"/>
          <w:color w:val="auto"/>
          <w:sz w:val="24"/>
          <w:szCs w:val="24"/>
          <w:shd w:val="clear" w:color="auto" w:fill="auto"/>
        </w:rPr>
      </w:pPr>
    </w:p>
    <w:p>
      <w:pPr>
        <w:spacing w:line="360" w:lineRule="auto"/>
        <w:rPr>
          <w:rFonts w:hint="eastAsia" w:ascii="宋体" w:hAnsi="宋体"/>
          <w:color w:val="auto"/>
          <w:sz w:val="24"/>
          <w:szCs w:val="24"/>
          <w:shd w:val="clear" w:color="auto" w:fill="auto"/>
        </w:rPr>
      </w:pPr>
    </w:p>
    <w:p>
      <w:pPr>
        <w:spacing w:line="360" w:lineRule="auto"/>
        <w:rPr>
          <w:rFonts w:hint="eastAsia" w:ascii="宋体" w:hAnsi="宋体"/>
          <w:color w:val="auto"/>
          <w:sz w:val="24"/>
          <w:szCs w:val="24"/>
          <w:shd w:val="clear" w:color="auto" w:fill="auto"/>
        </w:rPr>
      </w:pPr>
    </w:p>
    <w:p>
      <w:pPr>
        <w:spacing w:line="360" w:lineRule="auto"/>
        <w:ind w:firstLine="4440" w:firstLineChars="1850"/>
        <w:rPr>
          <w:rFonts w:ascii="宋体" w:hAnsi="宋体"/>
          <w:color w:val="auto"/>
          <w:sz w:val="24"/>
          <w:szCs w:val="24"/>
          <w:shd w:val="clear" w:color="auto" w:fill="auto"/>
        </w:rPr>
      </w:pPr>
      <w:r>
        <w:rPr>
          <w:rFonts w:hint="eastAsia" w:ascii="宋体" w:hAnsi="宋体"/>
          <w:color w:val="auto"/>
          <w:sz w:val="24"/>
          <w:szCs w:val="24"/>
          <w:shd w:val="clear" w:color="auto" w:fill="auto"/>
        </w:rPr>
        <w:t>投标人：</w:t>
      </w:r>
      <w:r>
        <w:rPr>
          <w:rFonts w:ascii="宋体" w:hAnsi="宋体"/>
          <w:color w:val="auto"/>
          <w:sz w:val="24"/>
          <w:szCs w:val="24"/>
          <w:u w:val="single"/>
          <w:shd w:val="clear" w:color="auto" w:fill="auto"/>
        </w:rPr>
        <w:t xml:space="preserve">           </w:t>
      </w:r>
      <w:r>
        <w:rPr>
          <w:rFonts w:hint="eastAsia" w:ascii="宋体" w:hAnsi="宋体"/>
          <w:color w:val="auto"/>
          <w:sz w:val="24"/>
          <w:szCs w:val="24"/>
          <w:u w:val="single"/>
          <w:shd w:val="clear" w:color="auto" w:fill="auto"/>
        </w:rPr>
        <w:t>　　　</w:t>
      </w:r>
      <w:r>
        <w:rPr>
          <w:rFonts w:ascii="宋体" w:hAnsi="宋体"/>
          <w:color w:val="auto"/>
          <w:sz w:val="24"/>
          <w:szCs w:val="24"/>
          <w:u w:val="single"/>
          <w:shd w:val="clear" w:color="auto" w:fill="auto"/>
        </w:rPr>
        <w:t xml:space="preserve"> (</w:t>
      </w:r>
      <w:r>
        <w:rPr>
          <w:rFonts w:hint="eastAsia" w:ascii="宋体" w:hAnsi="宋体"/>
          <w:color w:val="auto"/>
          <w:sz w:val="24"/>
          <w:szCs w:val="24"/>
          <w:u w:val="single"/>
          <w:shd w:val="clear" w:color="auto" w:fill="auto"/>
        </w:rPr>
        <w:t>盖章</w:t>
      </w:r>
      <w:r>
        <w:rPr>
          <w:rFonts w:ascii="宋体" w:hAnsi="宋体"/>
          <w:color w:val="auto"/>
          <w:sz w:val="24"/>
          <w:szCs w:val="24"/>
          <w:u w:val="single"/>
          <w:shd w:val="clear" w:color="auto" w:fill="auto"/>
        </w:rPr>
        <w:t>)</w:t>
      </w:r>
    </w:p>
    <w:p>
      <w:pPr>
        <w:spacing w:line="360" w:lineRule="auto"/>
        <w:rPr>
          <w:rFonts w:hint="eastAsia" w:ascii="宋体" w:hAnsi="宋体"/>
          <w:color w:val="auto"/>
          <w:sz w:val="24"/>
          <w:szCs w:val="24"/>
          <w:shd w:val="clear" w:color="auto" w:fill="auto"/>
        </w:rPr>
      </w:pPr>
    </w:p>
    <w:p>
      <w:pPr>
        <w:spacing w:line="360" w:lineRule="auto"/>
        <w:rPr>
          <w:rFonts w:ascii="宋体" w:hAnsi="宋体"/>
          <w:color w:val="auto"/>
          <w:sz w:val="24"/>
          <w:szCs w:val="24"/>
          <w:shd w:val="clear" w:color="auto" w:fill="auto"/>
        </w:rPr>
      </w:pPr>
      <w:r>
        <w:rPr>
          <w:rFonts w:ascii="宋体" w:hAnsi="宋体"/>
          <w:color w:val="auto"/>
          <w:sz w:val="24"/>
          <w:szCs w:val="24"/>
          <w:shd w:val="clear" w:color="auto" w:fill="auto"/>
        </w:rPr>
        <w:t xml:space="preserve">                        </w:t>
      </w:r>
      <w:r>
        <w:rPr>
          <w:rFonts w:hint="eastAsia" w:ascii="宋体" w:hAnsi="宋体"/>
          <w:color w:val="auto"/>
          <w:sz w:val="24"/>
          <w:szCs w:val="24"/>
          <w:shd w:val="clear" w:color="auto" w:fill="auto"/>
        </w:rPr>
        <w:t xml:space="preserve">                         </w:t>
      </w:r>
      <w:r>
        <w:rPr>
          <w:rFonts w:ascii="宋体" w:hAnsi="宋体"/>
          <w:color w:val="auto"/>
          <w:sz w:val="24"/>
          <w:szCs w:val="24"/>
          <w:u w:val="single"/>
          <w:shd w:val="clear" w:color="auto" w:fill="auto"/>
        </w:rPr>
        <w:t xml:space="preserve">  </w:t>
      </w:r>
      <w:r>
        <w:rPr>
          <w:rFonts w:hint="eastAsia" w:ascii="宋体" w:hAnsi="宋体"/>
          <w:color w:val="auto"/>
          <w:sz w:val="24"/>
          <w:szCs w:val="24"/>
          <w:u w:val="single"/>
          <w:shd w:val="clear" w:color="auto" w:fill="auto"/>
        </w:rPr>
        <w:t xml:space="preserve">  </w:t>
      </w:r>
      <w:r>
        <w:rPr>
          <w:rFonts w:ascii="宋体" w:hAnsi="宋体"/>
          <w:color w:val="auto"/>
          <w:sz w:val="24"/>
          <w:szCs w:val="24"/>
          <w:u w:val="single"/>
          <w:shd w:val="clear" w:color="auto" w:fill="auto"/>
        </w:rPr>
        <w:t xml:space="preserve">  </w:t>
      </w:r>
      <w:r>
        <w:rPr>
          <w:rFonts w:hint="eastAsia" w:ascii="宋体" w:hAnsi="宋体"/>
          <w:color w:val="auto"/>
          <w:sz w:val="24"/>
          <w:szCs w:val="24"/>
          <w:shd w:val="clear" w:color="auto" w:fill="auto"/>
        </w:rPr>
        <w:t>年</w:t>
      </w:r>
      <w:r>
        <w:rPr>
          <w:rFonts w:ascii="宋体" w:hAnsi="宋体"/>
          <w:color w:val="auto"/>
          <w:sz w:val="24"/>
          <w:szCs w:val="24"/>
          <w:u w:val="single"/>
          <w:shd w:val="clear" w:color="auto" w:fill="auto"/>
        </w:rPr>
        <w:t xml:space="preserve">    </w:t>
      </w:r>
      <w:r>
        <w:rPr>
          <w:rFonts w:hint="eastAsia" w:ascii="宋体" w:hAnsi="宋体"/>
          <w:color w:val="auto"/>
          <w:sz w:val="24"/>
          <w:szCs w:val="24"/>
          <w:shd w:val="clear" w:color="auto" w:fill="auto"/>
        </w:rPr>
        <w:t>月</w:t>
      </w:r>
      <w:r>
        <w:rPr>
          <w:rFonts w:ascii="宋体" w:hAnsi="宋体"/>
          <w:color w:val="auto"/>
          <w:sz w:val="24"/>
          <w:szCs w:val="24"/>
          <w:u w:val="single"/>
          <w:shd w:val="clear" w:color="auto" w:fill="auto"/>
        </w:rPr>
        <w:t xml:space="preserve">   </w:t>
      </w:r>
      <w:r>
        <w:rPr>
          <w:rFonts w:hint="eastAsia" w:ascii="宋体" w:hAnsi="宋体"/>
          <w:color w:val="auto"/>
          <w:sz w:val="24"/>
          <w:szCs w:val="24"/>
          <w:shd w:val="clear" w:color="auto" w:fill="auto"/>
        </w:rPr>
        <w:t>日</w:t>
      </w:r>
    </w:p>
    <w:p>
      <w:pPr>
        <w:pStyle w:val="5"/>
        <w:numPr>
          <w:ilvl w:val="0"/>
          <w:numId w:val="11"/>
        </w:numPr>
        <w:spacing w:line="500" w:lineRule="exact"/>
        <w:jc w:val="center"/>
        <w:rPr>
          <w:rFonts w:hint="eastAsia"/>
          <w:color w:val="auto"/>
          <w:shd w:val="clear" w:color="auto" w:fill="auto"/>
        </w:rPr>
      </w:pPr>
      <w:r>
        <w:rPr>
          <w:rFonts w:ascii="宋体" w:hAnsi="宋体"/>
          <w:color w:val="auto"/>
          <w:sz w:val="24"/>
          <w:szCs w:val="24"/>
          <w:shd w:val="clear" w:color="auto" w:fill="auto"/>
        </w:rPr>
        <w:br w:type="page"/>
      </w:r>
      <w:r>
        <w:rPr>
          <w:rFonts w:hint="eastAsia" w:ascii="黑体" w:hAnsi="黑体"/>
          <w:b w:val="0"/>
          <w:color w:val="auto"/>
          <w:shd w:val="clear" w:color="auto" w:fill="auto"/>
        </w:rPr>
        <w:t>开标一览表（格式）</w:t>
      </w:r>
    </w:p>
    <w:p>
      <w:pPr>
        <w:ind w:left="279" w:leftChars="133" w:firstLine="0" w:firstLineChars="0"/>
        <w:rPr>
          <w:rFonts w:hint="eastAsia"/>
          <w:color w:val="auto"/>
          <w:sz w:val="28"/>
          <w:shd w:val="clear" w:color="auto" w:fill="auto"/>
        </w:rPr>
      </w:pPr>
    </w:p>
    <w:p>
      <w:pPr>
        <w:ind w:left="279" w:leftChars="133" w:firstLine="0" w:firstLineChars="0"/>
        <w:rPr>
          <w:rFonts w:hint="eastAsia" w:ascii="宋体" w:hAnsi="宋体"/>
          <w:color w:val="auto"/>
          <w:sz w:val="24"/>
          <w:szCs w:val="24"/>
          <w:shd w:val="clear" w:color="auto" w:fill="auto"/>
        </w:rPr>
      </w:pPr>
      <w:r>
        <w:rPr>
          <w:rFonts w:hint="eastAsia"/>
          <w:color w:val="auto"/>
          <w:sz w:val="28"/>
          <w:shd w:val="clear" w:color="auto" w:fill="auto"/>
        </w:rPr>
        <w:t>项目名称：</w:t>
      </w:r>
      <w:r>
        <w:rPr>
          <w:color w:val="auto"/>
          <w:sz w:val="28"/>
          <w:shd w:val="clear" w:color="auto" w:fill="auto"/>
        </w:rPr>
        <w:br w:type="textWrapping"/>
      </w:r>
      <w:r>
        <w:rPr>
          <w:rFonts w:hint="eastAsia"/>
          <w:color w:val="auto"/>
          <w:sz w:val="28"/>
          <w:shd w:val="clear" w:color="auto" w:fill="auto"/>
        </w:rPr>
        <w:t>项目编号：</w:t>
      </w:r>
      <w:r>
        <w:rPr>
          <w:rFonts w:hint="eastAsia" w:ascii="宋体" w:hAnsi="宋体"/>
          <w:color w:val="auto"/>
          <w:sz w:val="24"/>
          <w:szCs w:val="24"/>
          <w:shd w:val="clear" w:color="auto" w:fill="auto"/>
          <w:lang w:eastAsia="zh-CN"/>
        </w:rPr>
        <w:t>浙华元</w:t>
      </w:r>
      <w:r>
        <w:rPr>
          <w:rFonts w:ascii="宋体" w:hAnsi="宋体"/>
          <w:color w:val="auto"/>
          <w:sz w:val="24"/>
          <w:szCs w:val="24"/>
          <w:shd w:val="clear" w:color="auto" w:fill="auto"/>
        </w:rPr>
        <w:t xml:space="preserve"> 20</w:t>
      </w:r>
      <w:r>
        <w:rPr>
          <w:rFonts w:hint="eastAsia" w:ascii="宋体" w:hAnsi="宋体"/>
          <w:color w:val="auto"/>
          <w:sz w:val="24"/>
          <w:szCs w:val="24"/>
          <w:shd w:val="clear" w:color="auto" w:fill="auto"/>
        </w:rPr>
        <w:t>**</w:t>
      </w:r>
      <w:r>
        <w:rPr>
          <w:rFonts w:ascii="宋体" w:hAnsi="宋体"/>
          <w:color w:val="auto"/>
          <w:sz w:val="24"/>
          <w:szCs w:val="24"/>
          <w:shd w:val="clear" w:color="auto" w:fill="auto"/>
        </w:rPr>
        <w:t>-</w:t>
      </w:r>
      <w:r>
        <w:rPr>
          <w:rFonts w:hint="eastAsia" w:ascii="宋体" w:hAnsi="宋体"/>
          <w:color w:val="auto"/>
          <w:sz w:val="24"/>
          <w:szCs w:val="24"/>
          <w:shd w:val="clear" w:color="auto" w:fill="auto"/>
        </w:rPr>
        <w:t>**</w:t>
      </w:r>
      <w:r>
        <w:rPr>
          <w:rFonts w:ascii="宋体" w:hAnsi="宋体"/>
          <w:color w:val="auto"/>
          <w:sz w:val="24"/>
          <w:szCs w:val="24"/>
          <w:shd w:val="clear" w:color="auto" w:fill="auto"/>
        </w:rPr>
        <w:t>-</w:t>
      </w:r>
      <w:r>
        <w:rPr>
          <w:rFonts w:hint="eastAsia" w:ascii="宋体" w:hAnsi="宋体"/>
          <w:color w:val="auto"/>
          <w:sz w:val="24"/>
          <w:szCs w:val="24"/>
          <w:shd w:val="clear" w:color="auto" w:fill="auto"/>
        </w:rPr>
        <w:t>**</w:t>
      </w:r>
    </w:p>
    <w:tbl>
      <w:tblPr>
        <w:tblStyle w:val="38"/>
        <w:tblpPr w:leftFromText="180" w:rightFromText="180" w:vertAnchor="text" w:horzAnchor="page" w:tblpX="1404" w:tblpY="30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30"/>
        <w:gridCol w:w="889"/>
        <w:gridCol w:w="1486"/>
        <w:gridCol w:w="1415"/>
        <w:gridCol w:w="1465"/>
        <w:gridCol w:w="108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r>
              <w:rPr>
                <w:rFonts w:hint="eastAsia" w:ascii="宋体" w:hAnsi="宋体" w:cs="Arial Unicode MS"/>
                <w:sz w:val="20"/>
              </w:rPr>
              <w:t>货物名称</w:t>
            </w: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hint="eastAsia" w:ascii="宋体" w:hAnsi="宋体" w:eastAsia="宋体"/>
              </w:rPr>
            </w:pPr>
            <w:r>
              <w:rPr>
                <w:rFonts w:hint="eastAsia" w:ascii="宋体" w:hAnsi="宋体" w:eastAsia="宋体"/>
              </w:rPr>
              <w:t>数量</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ascii="宋体" w:hAnsi="宋体" w:eastAsia="宋体"/>
              </w:rPr>
            </w:pPr>
            <w:r>
              <w:rPr>
                <w:rFonts w:hint="eastAsia" w:ascii="宋体" w:hAnsi="宋体" w:eastAsia="宋体"/>
              </w:rPr>
              <w:t>产地</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ascii="宋体" w:hAnsi="宋体" w:eastAsia="宋体"/>
              </w:rPr>
            </w:pPr>
            <w:r>
              <w:rPr>
                <w:rFonts w:hint="eastAsia" w:ascii="宋体" w:hAnsi="宋体" w:eastAsia="宋体"/>
              </w:rPr>
              <w:t>品牌/制造商</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ascii="宋体" w:hAnsi="宋体" w:eastAsia="宋体"/>
              </w:rPr>
            </w:pPr>
            <w:r>
              <w:rPr>
                <w:rFonts w:hint="eastAsia" w:ascii="宋体" w:hAnsi="宋体" w:eastAsia="宋体"/>
              </w:rPr>
              <w:t>型号和规格</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ascii="宋体" w:hAnsi="宋体" w:eastAsia="宋体"/>
              </w:rPr>
            </w:pPr>
            <w:r>
              <w:rPr>
                <w:rFonts w:hint="eastAsia" w:ascii="宋体" w:hAnsi="宋体" w:eastAsia="宋体"/>
              </w:rPr>
              <w:t>单价</w:t>
            </w:r>
          </w:p>
        </w:tc>
        <w:tc>
          <w:tcPr>
            <w:tcW w:w="1440" w:type="dxa"/>
            <w:tcBorders>
              <w:top w:val="single" w:color="auto" w:sz="4" w:space="0"/>
              <w:left w:val="nil"/>
              <w:bottom w:val="single" w:color="auto" w:sz="4" w:space="0"/>
              <w:right w:val="single" w:color="auto" w:sz="4" w:space="0"/>
            </w:tcBorders>
            <w:noWrap w:val="0"/>
            <w:vAlign w:val="center"/>
          </w:tcPr>
          <w:p>
            <w:pPr>
              <w:pStyle w:val="83"/>
              <w:ind w:left="63" w:right="63"/>
              <w:rPr>
                <w:rFonts w:ascii="宋体" w:hAnsi="宋体" w:eastAsia="宋体"/>
              </w:rPr>
            </w:pPr>
            <w:r>
              <w:rPr>
                <w:rFonts w:hint="eastAsia" w:ascii="宋体" w:hAnsi="宋体" w:eastAsia="宋体"/>
              </w:rPr>
              <w:t>投标报价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hint="eastAsia"/>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hint="eastAsia"/>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hint="eastAsia"/>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hint="eastAsi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hint="eastAsia"/>
              </w:rPr>
            </w:pPr>
          </w:p>
        </w:tc>
        <w:tc>
          <w:tcPr>
            <w:tcW w:w="1440" w:type="dxa"/>
            <w:tcBorders>
              <w:top w:val="single" w:color="auto" w:sz="4" w:space="0"/>
              <w:left w:val="nil"/>
              <w:bottom w:val="single" w:color="auto" w:sz="4" w:space="0"/>
              <w:right w:val="single" w:color="auto" w:sz="4" w:space="0"/>
            </w:tcBorders>
            <w:noWrap w:val="0"/>
            <w:vAlign w:val="center"/>
          </w:tcPr>
          <w:p>
            <w:pPr>
              <w:pStyle w:val="83"/>
              <w:ind w:left="63" w:right="63"/>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hint="eastAsia"/>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hint="eastAsia"/>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hint="eastAsia"/>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hint="eastAsi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hint="eastAsia"/>
              </w:rPr>
            </w:pPr>
          </w:p>
        </w:tc>
        <w:tc>
          <w:tcPr>
            <w:tcW w:w="1440" w:type="dxa"/>
            <w:tcBorders>
              <w:top w:val="single" w:color="auto" w:sz="4" w:space="0"/>
              <w:left w:val="nil"/>
              <w:bottom w:val="single" w:color="auto" w:sz="4" w:space="0"/>
              <w:right w:val="single" w:color="auto" w:sz="4" w:space="0"/>
            </w:tcBorders>
            <w:noWrap w:val="0"/>
            <w:vAlign w:val="center"/>
          </w:tcPr>
          <w:p>
            <w:pPr>
              <w:pStyle w:val="83"/>
              <w:ind w:left="63" w:right="63"/>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hint="eastAsia"/>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hint="eastAsia"/>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hint="eastAsia"/>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hint="eastAsi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83"/>
              <w:ind w:left="63" w:right="63"/>
              <w:rPr>
                <w:rFonts w:hint="eastAsia"/>
              </w:rPr>
            </w:pPr>
          </w:p>
        </w:tc>
        <w:tc>
          <w:tcPr>
            <w:tcW w:w="1440" w:type="dxa"/>
            <w:tcBorders>
              <w:top w:val="single" w:color="auto" w:sz="4" w:space="0"/>
              <w:left w:val="nil"/>
              <w:bottom w:val="single" w:color="auto" w:sz="4" w:space="0"/>
              <w:right w:val="single" w:color="auto" w:sz="4" w:space="0"/>
            </w:tcBorders>
            <w:noWrap w:val="0"/>
            <w:vAlign w:val="center"/>
          </w:tcPr>
          <w:p>
            <w:pPr>
              <w:pStyle w:val="83"/>
              <w:ind w:left="63" w:right="63"/>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9005" w:type="dxa"/>
            <w:gridSpan w:val="7"/>
            <w:tcBorders>
              <w:top w:val="single" w:color="auto" w:sz="4" w:space="0"/>
              <w:left w:val="single" w:color="auto" w:sz="4" w:space="0"/>
              <w:bottom w:val="single" w:color="auto" w:sz="4" w:space="0"/>
              <w:right w:val="single" w:color="auto" w:sz="4" w:space="0"/>
            </w:tcBorders>
            <w:noWrap w:val="0"/>
            <w:vAlign w:val="center"/>
          </w:tcPr>
          <w:p>
            <w:pPr>
              <w:ind w:right="400"/>
              <w:jc w:val="left"/>
              <w:rPr>
                <w:rFonts w:ascii="宋体" w:hAnsi="宋体" w:cs="Arial Unicode MS"/>
                <w:sz w:val="20"/>
                <w:u w:val="single"/>
              </w:rPr>
            </w:pPr>
            <w:r>
              <w:rPr>
                <w:rFonts w:hint="eastAsia" w:ascii="宋体" w:hAnsi="宋体"/>
                <w:sz w:val="20"/>
              </w:rPr>
              <w:t>合</w:t>
            </w:r>
            <w:r>
              <w:rPr>
                <w:rFonts w:hint="eastAsia" w:ascii="宋体" w:hAnsi="宋体"/>
              </w:rPr>
              <w:t>计金额</w:t>
            </w:r>
            <w:r>
              <w:rPr>
                <w:rFonts w:hint="eastAsia" w:ascii="宋体" w:hAnsi="宋体" w:cs="Arial Unicode MS"/>
              </w:rPr>
              <w:t>大写：                                      ￥</w:t>
            </w:r>
            <w:r>
              <w:rPr>
                <w:rFonts w:hint="eastAsia" w:ascii="宋体" w:hAnsi="宋体" w:cs="Arial Unicode MS"/>
                <w:u w:val="single"/>
              </w:rPr>
              <w:t xml:space="preserve">                   </w:t>
            </w:r>
          </w:p>
        </w:tc>
      </w:tr>
    </w:tbl>
    <w:p>
      <w:pPr>
        <w:jc w:val="right"/>
        <w:rPr>
          <w:rFonts w:hint="eastAsia" w:eastAsia="宋体"/>
          <w:color w:val="auto"/>
          <w:sz w:val="24"/>
          <w:szCs w:val="20"/>
          <w:shd w:val="clear" w:color="auto" w:fill="auto"/>
          <w:lang w:val="en-US" w:eastAsia="zh-CN"/>
        </w:rPr>
      </w:pPr>
      <w:r>
        <w:rPr>
          <w:color w:val="auto"/>
          <w:sz w:val="24"/>
          <w:szCs w:val="20"/>
          <w:shd w:val="clear" w:color="auto" w:fill="auto"/>
        </w:rPr>
        <w:t>单位：</w:t>
      </w:r>
      <w:r>
        <w:rPr>
          <w:rFonts w:hint="eastAsia" w:ascii="宋体" w:hAnsi="宋体" w:cs="宋体"/>
          <w:kern w:val="1"/>
          <w:sz w:val="24"/>
          <w:szCs w:val="24"/>
        </w:rPr>
        <w:t>元</w:t>
      </w:r>
    </w:p>
    <w:p>
      <w:pPr>
        <w:spacing w:line="440" w:lineRule="exact"/>
        <w:rPr>
          <w:rFonts w:hint="eastAsia" w:ascii="黑体" w:hAnsi="仿宋_GB2312" w:eastAsia="黑体"/>
          <w:color w:val="auto"/>
          <w:sz w:val="32"/>
          <w:szCs w:val="24"/>
        </w:rPr>
      </w:pPr>
      <w:r>
        <w:rPr>
          <w:rFonts w:hint="eastAsia" w:ascii="黑体" w:hAnsi="仿宋_GB2312" w:eastAsia="黑体"/>
          <w:color w:val="auto"/>
          <w:sz w:val="32"/>
          <w:szCs w:val="24"/>
        </w:rPr>
        <w:t>上述表格样式供参考，投标人根据项目实际情况自行调整。</w:t>
      </w:r>
    </w:p>
    <w:p>
      <w:pPr>
        <w:rPr>
          <w:rFonts w:hint="eastAsia"/>
          <w:color w:val="auto"/>
          <w:sz w:val="28"/>
          <w:shd w:val="clear" w:color="auto" w:fill="auto"/>
        </w:rPr>
      </w:pPr>
    </w:p>
    <w:p>
      <w:pPr>
        <w:rPr>
          <w:rFonts w:hint="eastAsia"/>
          <w:color w:val="auto"/>
          <w:sz w:val="28"/>
          <w:shd w:val="clear" w:color="auto" w:fill="auto"/>
        </w:rPr>
      </w:pPr>
      <w:r>
        <w:rPr>
          <w:rFonts w:hint="eastAsia"/>
          <w:color w:val="auto"/>
          <w:sz w:val="28"/>
          <w:shd w:val="clear" w:color="auto" w:fill="auto"/>
        </w:rPr>
        <w:t xml:space="preserve">                  </w:t>
      </w:r>
    </w:p>
    <w:p>
      <w:pPr>
        <w:rPr>
          <w:rFonts w:hint="eastAsia"/>
          <w:color w:val="auto"/>
          <w:sz w:val="28"/>
          <w:shd w:val="clear" w:color="auto" w:fill="auto"/>
        </w:rPr>
      </w:pPr>
      <w:r>
        <w:rPr>
          <w:rFonts w:hint="eastAsia"/>
          <w:color w:val="auto"/>
          <w:sz w:val="28"/>
          <w:shd w:val="clear" w:color="auto" w:fill="auto"/>
        </w:rPr>
        <w:t xml:space="preserve">                                   </w:t>
      </w:r>
    </w:p>
    <w:p>
      <w:pPr>
        <w:rPr>
          <w:rFonts w:hint="eastAsia"/>
          <w:color w:val="auto"/>
          <w:sz w:val="28"/>
          <w:shd w:val="clear" w:color="auto" w:fill="auto"/>
        </w:rPr>
      </w:pPr>
    </w:p>
    <w:p>
      <w:pPr>
        <w:rPr>
          <w:color w:val="auto"/>
          <w:sz w:val="28"/>
          <w:shd w:val="clear" w:color="auto" w:fill="auto"/>
        </w:rPr>
      </w:pPr>
      <w:r>
        <w:rPr>
          <w:rFonts w:hint="eastAsia"/>
          <w:color w:val="auto"/>
          <w:sz w:val="28"/>
          <w:shd w:val="clear" w:color="auto" w:fill="auto"/>
        </w:rPr>
        <w:t>投标人：</w:t>
      </w:r>
      <w:r>
        <w:rPr>
          <w:color w:val="auto"/>
          <w:sz w:val="28"/>
          <w:u w:val="single"/>
          <w:shd w:val="clear" w:color="auto" w:fill="auto"/>
        </w:rPr>
        <w:t xml:space="preserve">         </w:t>
      </w:r>
      <w:r>
        <w:rPr>
          <w:rFonts w:hint="eastAsia"/>
          <w:color w:val="auto"/>
          <w:sz w:val="28"/>
          <w:u w:val="single"/>
          <w:shd w:val="clear" w:color="auto" w:fill="auto"/>
        </w:rPr>
        <w:t xml:space="preserve">   </w:t>
      </w:r>
      <w:r>
        <w:rPr>
          <w:color w:val="auto"/>
          <w:sz w:val="28"/>
          <w:u w:val="single"/>
          <w:shd w:val="clear" w:color="auto" w:fill="auto"/>
        </w:rPr>
        <w:t xml:space="preserve">      </w:t>
      </w:r>
      <w:r>
        <w:rPr>
          <w:rFonts w:hint="eastAsia"/>
          <w:color w:val="auto"/>
          <w:sz w:val="28"/>
          <w:u w:val="single"/>
          <w:shd w:val="clear" w:color="auto" w:fill="auto"/>
        </w:rPr>
        <w:t>（盖章）</w:t>
      </w:r>
      <w:r>
        <w:rPr>
          <w:color w:val="auto"/>
          <w:sz w:val="28"/>
          <w:u w:val="single"/>
          <w:shd w:val="clear" w:color="auto" w:fill="auto"/>
        </w:rPr>
        <w:t xml:space="preserve">     </w:t>
      </w:r>
      <w:r>
        <w:rPr>
          <w:rFonts w:hint="eastAsia"/>
          <w:color w:val="auto"/>
          <w:sz w:val="28"/>
          <w:u w:val="single"/>
          <w:shd w:val="clear" w:color="auto" w:fill="auto"/>
        </w:rPr>
        <w:t xml:space="preserve">  </w:t>
      </w:r>
      <w:r>
        <w:rPr>
          <w:color w:val="auto"/>
          <w:sz w:val="28"/>
          <w:u w:val="single"/>
          <w:shd w:val="clear" w:color="auto" w:fill="auto"/>
        </w:rPr>
        <w:t xml:space="preserve">           </w:t>
      </w:r>
      <w:r>
        <w:rPr>
          <w:color w:val="auto"/>
          <w:sz w:val="28"/>
          <w:shd w:val="clear" w:color="auto" w:fill="auto"/>
        </w:rPr>
        <w:t xml:space="preserve">      </w:t>
      </w:r>
    </w:p>
    <w:p>
      <w:pPr>
        <w:rPr>
          <w:rFonts w:hint="eastAsia"/>
          <w:color w:val="auto"/>
          <w:sz w:val="28"/>
          <w:shd w:val="clear" w:color="auto" w:fill="auto"/>
        </w:rPr>
      </w:pPr>
    </w:p>
    <w:p>
      <w:pPr>
        <w:rPr>
          <w:rFonts w:hint="eastAsia"/>
          <w:color w:val="auto"/>
          <w:sz w:val="28"/>
          <w:shd w:val="clear" w:color="auto" w:fill="auto"/>
        </w:rPr>
      </w:pPr>
    </w:p>
    <w:p>
      <w:pPr>
        <w:rPr>
          <w:color w:val="auto"/>
          <w:sz w:val="28"/>
          <w:shd w:val="clear" w:color="auto" w:fill="auto"/>
        </w:rPr>
      </w:pPr>
      <w:r>
        <w:rPr>
          <w:rFonts w:hint="eastAsia"/>
          <w:color w:val="auto"/>
          <w:sz w:val="28"/>
          <w:shd w:val="clear" w:color="auto" w:fill="auto"/>
        </w:rPr>
        <w:t>法定代表人或委托代理人：</w:t>
      </w:r>
      <w:r>
        <w:rPr>
          <w:rFonts w:hint="eastAsia"/>
          <w:color w:val="auto"/>
          <w:sz w:val="28"/>
          <w:u w:val="single"/>
          <w:shd w:val="clear" w:color="auto" w:fill="auto"/>
        </w:rPr>
        <w:t xml:space="preserve">        签字或盖章        </w:t>
      </w:r>
      <w:r>
        <w:rPr>
          <w:color w:val="auto"/>
          <w:sz w:val="28"/>
          <w:u w:val="single"/>
          <w:shd w:val="clear" w:color="auto" w:fill="auto"/>
        </w:rPr>
        <w:t xml:space="preserve">  </w:t>
      </w:r>
      <w:r>
        <w:rPr>
          <w:color w:val="auto"/>
          <w:sz w:val="28"/>
          <w:shd w:val="clear" w:color="auto" w:fill="auto"/>
        </w:rPr>
        <w:t xml:space="preserve">    </w:t>
      </w:r>
    </w:p>
    <w:p>
      <w:pPr>
        <w:spacing w:line="340" w:lineRule="exact"/>
        <w:rPr>
          <w:rFonts w:hint="eastAsia"/>
          <w:color w:val="auto"/>
          <w:sz w:val="28"/>
          <w:shd w:val="clear" w:color="auto" w:fill="auto"/>
        </w:rPr>
      </w:pPr>
    </w:p>
    <w:p>
      <w:pPr>
        <w:spacing w:line="340" w:lineRule="exact"/>
        <w:rPr>
          <w:rFonts w:hint="eastAsia"/>
          <w:color w:val="auto"/>
          <w:sz w:val="28"/>
          <w:shd w:val="clear" w:color="auto" w:fill="auto"/>
        </w:rPr>
      </w:pPr>
      <w:r>
        <w:rPr>
          <w:rFonts w:hint="eastAsia"/>
          <w:color w:val="auto"/>
          <w:sz w:val="28"/>
          <w:shd w:val="clear" w:color="auto" w:fill="auto"/>
        </w:rPr>
        <w:t>日      期：     年    月    日</w:t>
      </w:r>
    </w:p>
    <w:p>
      <w:pPr>
        <w:spacing w:line="360" w:lineRule="auto"/>
        <w:ind w:firstLine="480" w:firstLineChars="200"/>
        <w:rPr>
          <w:rFonts w:hint="eastAsia" w:ascii="宋体" w:hAnsi="宋体"/>
          <w:color w:val="auto"/>
          <w:sz w:val="24"/>
          <w:szCs w:val="24"/>
          <w:shd w:val="clear" w:color="auto" w:fill="auto"/>
        </w:rPr>
      </w:pPr>
    </w:p>
    <w:p>
      <w:pPr>
        <w:spacing w:line="360" w:lineRule="auto"/>
        <w:ind w:firstLine="480" w:firstLineChars="200"/>
        <w:rPr>
          <w:rFonts w:hint="eastAsia" w:ascii="宋体" w:hAnsi="宋体"/>
          <w:color w:val="auto"/>
          <w:sz w:val="24"/>
          <w:szCs w:val="24"/>
          <w:shd w:val="clear" w:color="auto" w:fill="auto"/>
        </w:rPr>
      </w:pPr>
    </w:p>
    <w:p>
      <w:pPr>
        <w:spacing w:line="440" w:lineRule="exact"/>
        <w:jc w:val="both"/>
        <w:rPr>
          <w:rFonts w:hint="eastAsia" w:ascii="黑体" w:eastAsia="黑体"/>
          <w:b/>
          <w:color w:val="auto"/>
          <w:sz w:val="44"/>
          <w:szCs w:val="44"/>
          <w:shd w:val="clear" w:color="auto" w:fill="auto"/>
        </w:rPr>
      </w:pPr>
    </w:p>
    <w:p>
      <w:pPr>
        <w:pStyle w:val="5"/>
        <w:numPr>
          <w:ilvl w:val="0"/>
          <w:numId w:val="0"/>
        </w:numPr>
        <w:spacing w:line="500" w:lineRule="exact"/>
        <w:jc w:val="center"/>
        <w:rPr>
          <w:rFonts w:hint="eastAsia" w:ascii="黑体" w:hAnsi="黑体"/>
          <w:b/>
          <w:color w:val="auto"/>
          <w:shd w:val="clear" w:color="auto" w:fill="auto"/>
        </w:rPr>
      </w:pPr>
      <w:r>
        <w:rPr>
          <w:rFonts w:hint="eastAsia" w:ascii="黑体" w:hAnsi="黑体"/>
          <w:b/>
          <w:color w:val="auto"/>
          <w:shd w:val="clear" w:color="auto" w:fill="auto"/>
        </w:rPr>
        <w:t>六、投标承诺书（格式）</w:t>
      </w:r>
    </w:p>
    <w:p>
      <w:pPr>
        <w:spacing w:line="340" w:lineRule="exact"/>
        <w:ind w:firstLine="420" w:firstLineChars="200"/>
        <w:rPr>
          <w:rFonts w:hint="eastAsia"/>
          <w:color w:val="auto"/>
          <w:shd w:val="clear" w:color="auto" w:fill="auto"/>
        </w:rPr>
      </w:pPr>
    </w:p>
    <w:p>
      <w:pPr>
        <w:spacing w:line="340" w:lineRule="exact"/>
        <w:ind w:firstLine="420" w:firstLineChars="200"/>
        <w:rPr>
          <w:rFonts w:hint="eastAsia"/>
          <w:color w:val="auto"/>
          <w:shd w:val="clear" w:color="auto" w:fill="auto"/>
        </w:rPr>
      </w:pPr>
      <w:r>
        <w:rPr>
          <w:rFonts w:hint="eastAsia"/>
          <w:color w:val="auto"/>
          <w:shd w:val="clear" w:color="auto" w:fill="auto"/>
        </w:rPr>
        <w:t>我公司已详细阅读了</w:t>
      </w:r>
      <w:r>
        <w:rPr>
          <w:rFonts w:hint="eastAsia"/>
          <w:color w:val="auto"/>
          <w:u w:val="single"/>
          <w:shd w:val="clear" w:color="auto" w:fill="auto"/>
        </w:rPr>
        <w:t xml:space="preserve">                     </w:t>
      </w:r>
      <w:r>
        <w:rPr>
          <w:rFonts w:hint="eastAsia"/>
          <w:color w:val="auto"/>
          <w:shd w:val="clear" w:color="auto" w:fill="auto"/>
        </w:rPr>
        <w:t>项目（项目编号：</w:t>
      </w:r>
      <w:r>
        <w:rPr>
          <w:rFonts w:hint="eastAsia"/>
          <w:color w:val="auto"/>
          <w:u w:val="single"/>
          <w:shd w:val="clear" w:color="auto" w:fill="auto"/>
          <w:lang w:eastAsia="zh-CN"/>
        </w:rPr>
        <w:t>浙华元</w:t>
      </w:r>
      <w:r>
        <w:rPr>
          <w:rFonts w:hint="eastAsia"/>
          <w:color w:val="auto"/>
          <w:u w:val="single"/>
          <w:shd w:val="clear" w:color="auto" w:fill="auto"/>
        </w:rPr>
        <w:t xml:space="preserve">         </w:t>
      </w:r>
      <w:r>
        <w:rPr>
          <w:rFonts w:hint="eastAsia"/>
          <w:color w:val="auto"/>
          <w:shd w:val="clear" w:color="auto" w:fill="auto"/>
        </w:rPr>
        <w:t>）招标文件，现参加该项目投标，并就有关事项作出如下承诺：</w:t>
      </w:r>
    </w:p>
    <w:p>
      <w:pPr>
        <w:spacing w:line="340" w:lineRule="exact"/>
        <w:ind w:firstLine="420" w:firstLineChars="200"/>
        <w:rPr>
          <w:rFonts w:hint="eastAsia"/>
          <w:color w:val="auto"/>
          <w:shd w:val="clear" w:color="auto" w:fill="auto"/>
        </w:rPr>
      </w:pPr>
      <w:r>
        <w:rPr>
          <w:rFonts w:hint="eastAsia"/>
          <w:color w:val="auto"/>
          <w:shd w:val="clear" w:color="auto" w:fill="auto"/>
        </w:rPr>
        <w:t>一、我公司在该项目招投标及合同履约过程中，不会出现以下行为，否则我公司愿意接受该行为被记录为不良行为，并在不良行为记录时限内放弃</w:t>
      </w:r>
      <w:r>
        <w:rPr>
          <w:rFonts w:hint="eastAsia"/>
          <w:color w:val="auto"/>
          <w:shd w:val="clear" w:color="auto" w:fill="auto"/>
          <w:lang w:eastAsia="zh-CN"/>
        </w:rPr>
        <w:t>浙江浣江传媒集团有限公司项目</w:t>
      </w:r>
      <w:r>
        <w:rPr>
          <w:rFonts w:hint="eastAsia"/>
          <w:color w:val="auto"/>
          <w:shd w:val="clear" w:color="auto" w:fill="auto"/>
        </w:rPr>
        <w:t>投标的资格。</w:t>
      </w:r>
    </w:p>
    <w:p>
      <w:pPr>
        <w:spacing w:line="340" w:lineRule="exact"/>
        <w:ind w:firstLine="420" w:firstLineChars="200"/>
        <w:rPr>
          <w:color w:val="auto"/>
          <w:shd w:val="clear" w:color="auto" w:fill="auto"/>
        </w:rPr>
      </w:pPr>
      <w:r>
        <w:rPr>
          <w:rFonts w:hint="eastAsia"/>
          <w:color w:val="auto"/>
          <w:shd w:val="clear" w:color="auto" w:fill="auto"/>
        </w:rPr>
        <w:t>（</w:t>
      </w:r>
      <w:r>
        <w:rPr>
          <w:color w:val="auto"/>
          <w:shd w:val="clear" w:color="auto" w:fill="auto"/>
        </w:rPr>
        <w:t>1</w:t>
      </w:r>
      <w:r>
        <w:rPr>
          <w:rFonts w:hint="eastAsia"/>
          <w:color w:val="auto"/>
          <w:shd w:val="clear" w:color="auto" w:fill="auto"/>
        </w:rPr>
        <w:t>）已报名但无故放弃投标(开标前已有书面说明并证实的除外)一年内累计3次以上的；</w:t>
      </w:r>
    </w:p>
    <w:p>
      <w:pPr>
        <w:spacing w:line="340" w:lineRule="exact"/>
        <w:ind w:firstLine="420" w:firstLineChars="200"/>
        <w:rPr>
          <w:rFonts w:hint="eastAsia"/>
          <w:color w:val="auto"/>
          <w:shd w:val="clear" w:color="auto" w:fill="auto"/>
        </w:rPr>
      </w:pPr>
      <w:r>
        <w:rPr>
          <w:rFonts w:hint="eastAsia"/>
          <w:color w:val="auto"/>
          <w:shd w:val="clear" w:color="auto" w:fill="auto"/>
        </w:rPr>
        <w:t>（</w:t>
      </w:r>
      <w:r>
        <w:rPr>
          <w:color w:val="auto"/>
          <w:shd w:val="clear" w:color="auto" w:fill="auto"/>
        </w:rPr>
        <w:t>2</w:t>
      </w:r>
      <w:r>
        <w:rPr>
          <w:rFonts w:hint="eastAsia"/>
          <w:color w:val="auto"/>
          <w:shd w:val="clear" w:color="auto" w:fill="auto"/>
        </w:rPr>
        <w:t>）在招标采购过程中，与采购人进行协商谈判的；</w:t>
      </w:r>
    </w:p>
    <w:p>
      <w:pPr>
        <w:spacing w:line="340" w:lineRule="exact"/>
        <w:ind w:firstLine="420" w:firstLineChars="200"/>
        <w:rPr>
          <w:rFonts w:hint="eastAsia"/>
          <w:color w:val="auto"/>
          <w:shd w:val="clear" w:color="auto" w:fill="auto"/>
        </w:rPr>
      </w:pPr>
      <w:r>
        <w:rPr>
          <w:rFonts w:hint="eastAsia"/>
          <w:color w:val="auto"/>
          <w:shd w:val="clear" w:color="auto" w:fill="auto"/>
        </w:rPr>
        <w:t>（</w:t>
      </w:r>
      <w:r>
        <w:rPr>
          <w:color w:val="auto"/>
          <w:shd w:val="clear" w:color="auto" w:fill="auto"/>
        </w:rPr>
        <w:t>3</w:t>
      </w:r>
      <w:r>
        <w:rPr>
          <w:rFonts w:hint="eastAsia"/>
          <w:color w:val="auto"/>
          <w:shd w:val="clear" w:color="auto" w:fill="auto"/>
        </w:rPr>
        <w:t>）投标有效期内撤回其投标文件的；</w:t>
      </w:r>
    </w:p>
    <w:p>
      <w:pPr>
        <w:spacing w:line="340" w:lineRule="exact"/>
        <w:ind w:firstLine="420" w:firstLineChars="200"/>
        <w:rPr>
          <w:rFonts w:hint="eastAsia"/>
          <w:color w:val="auto"/>
          <w:shd w:val="clear" w:color="auto" w:fill="auto"/>
        </w:rPr>
      </w:pPr>
      <w:r>
        <w:rPr>
          <w:rFonts w:hint="eastAsia"/>
          <w:color w:val="auto"/>
          <w:shd w:val="clear" w:color="auto" w:fill="auto"/>
        </w:rPr>
        <w:t>（4）拒绝有关部门监督检查或提供虚假情况的；</w:t>
      </w:r>
    </w:p>
    <w:p>
      <w:pPr>
        <w:spacing w:line="340" w:lineRule="exact"/>
        <w:ind w:firstLine="420" w:firstLineChars="200"/>
        <w:rPr>
          <w:rFonts w:hint="eastAsia"/>
          <w:color w:val="auto"/>
          <w:shd w:val="clear" w:color="auto" w:fill="auto"/>
        </w:rPr>
      </w:pPr>
      <w:r>
        <w:rPr>
          <w:rFonts w:hint="eastAsia"/>
          <w:color w:val="auto"/>
          <w:shd w:val="clear" w:color="auto" w:fill="auto"/>
        </w:rPr>
        <w:t>（5）不积极配合采购单位做好标的验收工作的；</w:t>
      </w:r>
    </w:p>
    <w:p>
      <w:pPr>
        <w:spacing w:line="340" w:lineRule="exact"/>
        <w:ind w:firstLine="420" w:firstLineChars="200"/>
        <w:rPr>
          <w:rFonts w:hint="eastAsia"/>
          <w:color w:val="auto"/>
          <w:shd w:val="clear" w:color="auto" w:fill="auto"/>
        </w:rPr>
      </w:pPr>
      <w:r>
        <w:rPr>
          <w:rFonts w:hint="eastAsia"/>
          <w:color w:val="auto"/>
          <w:shd w:val="clear" w:color="auto" w:fill="auto"/>
        </w:rPr>
        <w:t>（6）在有关部门的监督检查或考核中被通报批评或处以警告及以上处罚的；</w:t>
      </w:r>
    </w:p>
    <w:p>
      <w:pPr>
        <w:spacing w:line="340" w:lineRule="exact"/>
        <w:ind w:firstLine="420" w:firstLineChars="200"/>
        <w:rPr>
          <w:color w:val="auto"/>
          <w:shd w:val="clear" w:color="auto" w:fill="auto"/>
        </w:rPr>
      </w:pPr>
      <w:r>
        <w:rPr>
          <w:rFonts w:hint="eastAsia"/>
          <w:color w:val="auto"/>
          <w:shd w:val="clear" w:color="auto" w:fill="auto"/>
        </w:rPr>
        <w:t>（7）不遵守投标会场纪律，无理取闹，扰乱交易秩序的；</w:t>
      </w:r>
    </w:p>
    <w:p>
      <w:pPr>
        <w:spacing w:line="340" w:lineRule="exact"/>
        <w:ind w:firstLine="420" w:firstLineChars="200"/>
        <w:rPr>
          <w:rFonts w:hint="eastAsia"/>
          <w:color w:val="auto"/>
          <w:shd w:val="clear" w:color="auto" w:fill="auto"/>
        </w:rPr>
      </w:pPr>
      <w:r>
        <w:rPr>
          <w:rFonts w:hint="eastAsia"/>
          <w:color w:val="auto"/>
          <w:shd w:val="clear" w:color="auto" w:fill="auto"/>
        </w:rPr>
        <w:t>（8）中标后无正当理由放弃中标，或不与采购人签订采购合同，或在签订合同时提出附加条件或更改合同实质性内容，或拒不提交所要求的履约保证金的；</w:t>
      </w:r>
    </w:p>
    <w:p>
      <w:pPr>
        <w:spacing w:line="340" w:lineRule="exact"/>
        <w:ind w:firstLine="420" w:firstLineChars="200"/>
        <w:rPr>
          <w:rFonts w:hint="eastAsia"/>
          <w:color w:val="auto"/>
          <w:shd w:val="clear" w:color="auto" w:fill="auto"/>
        </w:rPr>
      </w:pPr>
      <w:r>
        <w:rPr>
          <w:rFonts w:hint="eastAsia"/>
          <w:color w:val="auto"/>
          <w:shd w:val="clear" w:color="auto" w:fill="auto"/>
        </w:rPr>
        <w:t>（</w:t>
      </w:r>
      <w:r>
        <w:rPr>
          <w:color w:val="auto"/>
          <w:shd w:val="clear" w:color="auto" w:fill="auto"/>
        </w:rPr>
        <w:t>9</w:t>
      </w:r>
      <w:r>
        <w:rPr>
          <w:rFonts w:hint="eastAsia"/>
          <w:color w:val="auto"/>
          <w:shd w:val="clear" w:color="auto" w:fill="auto"/>
        </w:rPr>
        <w:t>）虚假投诉、恶意投诉或未按层级和相关程序逐级质疑、投诉而影响采购工作正常进行或造成不良影响的；</w:t>
      </w:r>
    </w:p>
    <w:p>
      <w:pPr>
        <w:spacing w:line="340" w:lineRule="exact"/>
        <w:ind w:firstLine="420" w:firstLineChars="200"/>
        <w:rPr>
          <w:rFonts w:hint="eastAsia"/>
          <w:color w:val="auto"/>
          <w:shd w:val="clear" w:color="auto" w:fill="auto"/>
        </w:rPr>
      </w:pPr>
      <w:r>
        <w:rPr>
          <w:rFonts w:hint="eastAsia"/>
          <w:color w:val="auto"/>
          <w:shd w:val="clear" w:color="auto" w:fill="auto"/>
        </w:rPr>
        <w:t>（</w:t>
      </w:r>
      <w:r>
        <w:rPr>
          <w:color w:val="auto"/>
          <w:shd w:val="clear" w:color="auto" w:fill="auto"/>
        </w:rPr>
        <w:t>10</w:t>
      </w:r>
      <w:r>
        <w:rPr>
          <w:rFonts w:hint="eastAsia"/>
          <w:color w:val="auto"/>
          <w:shd w:val="clear" w:color="auto" w:fill="auto"/>
        </w:rPr>
        <w:t>）不按照与采购人订立的合同履行义务（包括提供标的、售后服务、技术支持等），严重违反合同规定和廉政合同要求的；</w:t>
      </w:r>
    </w:p>
    <w:p>
      <w:pPr>
        <w:spacing w:line="340" w:lineRule="exact"/>
        <w:ind w:firstLine="420" w:firstLineChars="200"/>
        <w:rPr>
          <w:color w:val="auto"/>
          <w:shd w:val="clear" w:color="auto" w:fill="auto"/>
        </w:rPr>
      </w:pPr>
      <w:r>
        <w:rPr>
          <w:rFonts w:hint="eastAsia"/>
          <w:color w:val="auto"/>
          <w:shd w:val="clear" w:color="auto" w:fill="auto"/>
        </w:rPr>
        <w:t>（11）项目负责人不到位，或擅自变换项目负责人，或不认真履行职责造成采购人损失的；</w:t>
      </w:r>
    </w:p>
    <w:p>
      <w:pPr>
        <w:spacing w:line="340" w:lineRule="exact"/>
        <w:ind w:firstLine="420" w:firstLineChars="200"/>
        <w:rPr>
          <w:rFonts w:hint="eastAsia"/>
          <w:color w:val="auto"/>
          <w:shd w:val="clear" w:color="auto" w:fill="auto"/>
        </w:rPr>
      </w:pPr>
      <w:r>
        <w:rPr>
          <w:rFonts w:hint="eastAsia"/>
          <w:color w:val="auto"/>
          <w:shd w:val="clear" w:color="auto" w:fill="auto"/>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rPr>
          <w:rFonts w:hint="eastAsia"/>
          <w:color w:val="auto"/>
          <w:shd w:val="clear" w:color="auto" w:fill="auto"/>
        </w:rPr>
      </w:pPr>
      <w:r>
        <w:rPr>
          <w:rFonts w:hint="eastAsia"/>
          <w:color w:val="auto"/>
          <w:shd w:val="clear" w:color="auto" w:fill="auto"/>
        </w:rPr>
        <w:t>（13）与采购人、其他供应商或者采购代理机构相互串通的；</w:t>
      </w:r>
    </w:p>
    <w:p>
      <w:pPr>
        <w:spacing w:line="340" w:lineRule="exact"/>
        <w:ind w:firstLine="420" w:firstLineChars="200"/>
        <w:rPr>
          <w:rFonts w:hint="eastAsia"/>
          <w:color w:val="auto"/>
          <w:shd w:val="clear" w:color="auto" w:fill="auto"/>
        </w:rPr>
      </w:pPr>
      <w:r>
        <w:rPr>
          <w:rFonts w:hint="eastAsia"/>
          <w:color w:val="auto"/>
          <w:shd w:val="clear" w:color="auto" w:fill="auto"/>
        </w:rPr>
        <w:t>（14）采取不正当手段排挤其他供应商，进行不公平竞争的；</w:t>
      </w:r>
    </w:p>
    <w:p>
      <w:pPr>
        <w:spacing w:line="340" w:lineRule="exact"/>
        <w:ind w:firstLine="420" w:firstLineChars="200"/>
        <w:rPr>
          <w:rFonts w:hint="eastAsia"/>
          <w:color w:val="auto"/>
          <w:shd w:val="clear" w:color="auto" w:fill="auto"/>
        </w:rPr>
      </w:pPr>
      <w:r>
        <w:rPr>
          <w:rFonts w:hint="eastAsia"/>
          <w:color w:val="auto"/>
          <w:shd w:val="clear" w:color="auto" w:fill="auto"/>
        </w:rPr>
        <w:t>（15）中标后与采购人另行订立背离合同实质内容的协议的；</w:t>
      </w:r>
    </w:p>
    <w:p>
      <w:pPr>
        <w:spacing w:line="340" w:lineRule="exact"/>
        <w:ind w:firstLine="420" w:firstLineChars="200"/>
        <w:rPr>
          <w:rFonts w:hint="eastAsia"/>
          <w:color w:val="auto"/>
          <w:shd w:val="clear" w:color="auto" w:fill="auto"/>
        </w:rPr>
      </w:pPr>
      <w:r>
        <w:rPr>
          <w:rFonts w:hint="eastAsia"/>
          <w:color w:val="auto"/>
          <w:shd w:val="clear" w:color="auto" w:fill="auto"/>
        </w:rPr>
        <w:t>（</w:t>
      </w:r>
      <w:r>
        <w:rPr>
          <w:color w:val="auto"/>
          <w:shd w:val="clear" w:color="auto" w:fill="auto"/>
        </w:rPr>
        <w:t>1</w:t>
      </w:r>
      <w:r>
        <w:rPr>
          <w:rFonts w:hint="eastAsia"/>
          <w:color w:val="auto"/>
          <w:shd w:val="clear" w:color="auto" w:fill="auto"/>
        </w:rPr>
        <w:t>6）事先有承诺，而事后违反承诺内容的；</w:t>
      </w:r>
    </w:p>
    <w:p>
      <w:pPr>
        <w:spacing w:line="340" w:lineRule="exact"/>
        <w:ind w:firstLine="420" w:firstLineChars="200"/>
        <w:rPr>
          <w:rFonts w:hint="eastAsia"/>
          <w:color w:val="auto"/>
          <w:shd w:val="clear" w:color="auto" w:fill="auto"/>
        </w:rPr>
      </w:pPr>
      <w:r>
        <w:rPr>
          <w:rFonts w:hint="eastAsia"/>
          <w:color w:val="auto"/>
          <w:shd w:val="clear" w:color="auto" w:fill="auto"/>
        </w:rPr>
        <w:t>（17）将中标项目转包或违反规定进行分包的；</w:t>
      </w:r>
    </w:p>
    <w:p>
      <w:pPr>
        <w:spacing w:line="340" w:lineRule="exact"/>
        <w:ind w:firstLine="420" w:firstLineChars="200"/>
        <w:rPr>
          <w:rFonts w:hint="eastAsia"/>
          <w:color w:val="auto"/>
          <w:shd w:val="clear" w:color="auto" w:fill="auto"/>
        </w:rPr>
      </w:pPr>
      <w:r>
        <w:rPr>
          <w:rFonts w:hint="eastAsia"/>
          <w:color w:val="auto"/>
          <w:shd w:val="clear" w:color="auto" w:fill="auto"/>
        </w:rPr>
        <w:t>（18）以他人名义投标或允许他人以自己名义投标，或者以其他方式弄虚作假的；</w:t>
      </w:r>
    </w:p>
    <w:p>
      <w:pPr>
        <w:spacing w:line="340" w:lineRule="exact"/>
        <w:ind w:firstLine="420" w:firstLineChars="200"/>
        <w:rPr>
          <w:rFonts w:hint="eastAsia"/>
          <w:color w:val="auto"/>
          <w:shd w:val="clear" w:color="auto" w:fill="auto"/>
        </w:rPr>
      </w:pPr>
      <w:r>
        <w:rPr>
          <w:rFonts w:hint="eastAsia"/>
          <w:color w:val="auto"/>
          <w:shd w:val="clear" w:color="auto" w:fill="auto"/>
        </w:rPr>
        <w:t>（19）未按照采购合同约定及时提供全部货物的，或无故拖延工期的；</w:t>
      </w:r>
    </w:p>
    <w:p>
      <w:pPr>
        <w:spacing w:line="340" w:lineRule="exact"/>
        <w:ind w:firstLine="420" w:firstLineChars="200"/>
        <w:rPr>
          <w:rFonts w:hint="eastAsia"/>
          <w:color w:val="auto"/>
          <w:shd w:val="clear" w:color="auto" w:fill="auto"/>
        </w:rPr>
      </w:pPr>
      <w:r>
        <w:rPr>
          <w:rFonts w:hint="eastAsia"/>
          <w:color w:val="auto"/>
          <w:shd w:val="clear" w:color="auto" w:fill="auto"/>
        </w:rPr>
        <w:t>（20）无故不提供中标要求的型号、配置等产品的，或有拆换、调换、截留产品零部件和备品备件的行为的；</w:t>
      </w:r>
    </w:p>
    <w:p>
      <w:pPr>
        <w:spacing w:line="340" w:lineRule="exact"/>
        <w:ind w:firstLine="420" w:firstLineChars="200"/>
        <w:rPr>
          <w:rFonts w:hint="eastAsia"/>
          <w:color w:val="auto"/>
          <w:shd w:val="clear" w:color="auto" w:fill="auto"/>
        </w:rPr>
      </w:pPr>
      <w:r>
        <w:rPr>
          <w:rFonts w:hint="eastAsia"/>
          <w:color w:val="auto"/>
          <w:shd w:val="clear" w:color="auto" w:fill="auto"/>
        </w:rPr>
        <w:t>（21）为获取自身利益，向采购人及其他有利害关系的单位或个人提供不正当利益的；</w:t>
      </w:r>
    </w:p>
    <w:p>
      <w:pPr>
        <w:spacing w:line="340" w:lineRule="exact"/>
        <w:ind w:firstLine="420" w:firstLineChars="200"/>
        <w:rPr>
          <w:rFonts w:hint="eastAsia"/>
          <w:color w:val="auto"/>
          <w:shd w:val="clear" w:color="auto" w:fill="auto"/>
        </w:rPr>
      </w:pPr>
      <w:r>
        <w:rPr>
          <w:rFonts w:hint="eastAsia"/>
          <w:color w:val="auto"/>
          <w:shd w:val="clear" w:color="auto" w:fill="auto"/>
        </w:rPr>
        <w:t>（22）提供假冒伪劣产品或走私物品的；</w:t>
      </w:r>
    </w:p>
    <w:p>
      <w:pPr>
        <w:spacing w:line="340" w:lineRule="exact"/>
        <w:ind w:firstLine="420" w:firstLineChars="200"/>
        <w:rPr>
          <w:rFonts w:hint="eastAsia"/>
          <w:color w:val="auto"/>
          <w:shd w:val="clear" w:color="auto" w:fill="auto"/>
        </w:rPr>
      </w:pPr>
      <w:r>
        <w:rPr>
          <w:rFonts w:hint="eastAsia"/>
          <w:color w:val="auto"/>
          <w:shd w:val="clear" w:color="auto" w:fill="auto"/>
        </w:rPr>
        <w:t>（23）擅自变更、中止、终止或解除采购合同的；</w:t>
      </w:r>
    </w:p>
    <w:p>
      <w:pPr>
        <w:spacing w:line="340" w:lineRule="exact"/>
        <w:ind w:firstLine="420" w:firstLineChars="200"/>
        <w:rPr>
          <w:rFonts w:hint="eastAsia"/>
          <w:color w:val="auto"/>
          <w:shd w:val="clear" w:color="auto" w:fill="auto"/>
        </w:rPr>
      </w:pPr>
      <w:r>
        <w:rPr>
          <w:rFonts w:hint="eastAsia"/>
          <w:color w:val="auto"/>
          <w:shd w:val="clear" w:color="auto" w:fill="auto"/>
        </w:rPr>
        <w:t>（24）向有关人员行贿或者提供不正当利益谋取中标的；</w:t>
      </w:r>
    </w:p>
    <w:p>
      <w:pPr>
        <w:spacing w:line="340" w:lineRule="exact"/>
        <w:ind w:firstLine="420" w:firstLineChars="200"/>
        <w:rPr>
          <w:rFonts w:hint="eastAsia"/>
          <w:color w:val="auto"/>
          <w:shd w:val="clear" w:color="auto" w:fill="auto"/>
        </w:rPr>
      </w:pPr>
      <w:r>
        <w:rPr>
          <w:rFonts w:hint="eastAsia"/>
          <w:color w:val="auto"/>
          <w:shd w:val="clear" w:color="auto" w:fill="auto"/>
        </w:rPr>
        <w:t>（25）在采购活动期间，对管理机构、采购人、其他投标人、评标专家、中介机构等采购相关机构和人员，采取诋毁、诽谤、胁迫、暴力等不正当手段的；</w:t>
      </w:r>
    </w:p>
    <w:p>
      <w:pPr>
        <w:spacing w:line="340" w:lineRule="exact"/>
        <w:ind w:firstLine="420" w:firstLineChars="200"/>
        <w:rPr>
          <w:rFonts w:hint="eastAsia"/>
          <w:color w:val="auto"/>
          <w:shd w:val="clear" w:color="auto" w:fill="auto"/>
        </w:rPr>
      </w:pPr>
      <w:r>
        <w:rPr>
          <w:rFonts w:hint="eastAsia"/>
          <w:color w:val="auto"/>
          <w:shd w:val="clear" w:color="auto" w:fill="auto"/>
        </w:rPr>
        <w:t>（26）市公管办认定的其他违反采购管理的行为。</w:t>
      </w:r>
    </w:p>
    <w:p>
      <w:pPr>
        <w:spacing w:line="340" w:lineRule="exact"/>
        <w:ind w:firstLine="420" w:firstLineChars="200"/>
        <w:rPr>
          <w:color w:val="auto"/>
          <w:shd w:val="clear" w:color="auto" w:fill="auto"/>
        </w:rPr>
      </w:pPr>
      <w:r>
        <w:rPr>
          <w:rFonts w:hint="eastAsia"/>
          <w:color w:val="auto"/>
          <w:shd w:val="clear" w:color="auto" w:fill="auto"/>
        </w:rPr>
        <w:t>出现（</w:t>
      </w:r>
      <w:r>
        <w:rPr>
          <w:color w:val="auto"/>
          <w:shd w:val="clear" w:color="auto" w:fill="auto"/>
        </w:rPr>
        <w:t>1</w:t>
      </w:r>
      <w:r>
        <w:rPr>
          <w:rFonts w:hint="eastAsia"/>
          <w:color w:val="auto"/>
          <w:shd w:val="clear" w:color="auto" w:fill="auto"/>
        </w:rPr>
        <w:t>）</w:t>
      </w:r>
      <w:r>
        <w:rPr>
          <w:color w:val="auto"/>
          <w:shd w:val="clear" w:color="auto" w:fill="auto"/>
        </w:rPr>
        <w:t>~</w:t>
      </w:r>
      <w:r>
        <w:rPr>
          <w:rFonts w:hint="eastAsia"/>
          <w:color w:val="auto"/>
          <w:shd w:val="clear" w:color="auto" w:fill="auto"/>
        </w:rPr>
        <w:t>（6）行为之一，记录时限为6个月；出现（7）</w:t>
      </w:r>
      <w:r>
        <w:rPr>
          <w:color w:val="auto"/>
          <w:shd w:val="clear" w:color="auto" w:fill="auto"/>
        </w:rPr>
        <w:t>~</w:t>
      </w:r>
      <w:r>
        <w:rPr>
          <w:rFonts w:hint="eastAsia"/>
          <w:color w:val="auto"/>
          <w:shd w:val="clear" w:color="auto" w:fill="auto"/>
        </w:rPr>
        <w:t>（12）行为之一，记录时限为1年；出现（13）</w:t>
      </w:r>
      <w:r>
        <w:rPr>
          <w:color w:val="auto"/>
          <w:shd w:val="clear" w:color="auto" w:fill="auto"/>
        </w:rPr>
        <w:t>~</w:t>
      </w:r>
      <w:r>
        <w:rPr>
          <w:rFonts w:hint="eastAsia"/>
          <w:color w:val="auto"/>
          <w:shd w:val="clear" w:color="auto" w:fill="auto"/>
        </w:rPr>
        <w:t>（17）行为之一，记录时限为2年；出现（18）</w:t>
      </w:r>
      <w:r>
        <w:rPr>
          <w:color w:val="auto"/>
          <w:shd w:val="clear" w:color="auto" w:fill="auto"/>
        </w:rPr>
        <w:t>~</w:t>
      </w:r>
      <w:r>
        <w:rPr>
          <w:rFonts w:hint="eastAsia"/>
          <w:color w:val="auto"/>
          <w:shd w:val="clear" w:color="auto" w:fill="auto"/>
        </w:rPr>
        <w:t>（21）行为之一，记录时限为3年；出现（22）</w:t>
      </w:r>
      <w:r>
        <w:rPr>
          <w:color w:val="auto"/>
          <w:shd w:val="clear" w:color="auto" w:fill="auto"/>
        </w:rPr>
        <w:t>~</w:t>
      </w:r>
      <w:r>
        <w:rPr>
          <w:rFonts w:hint="eastAsia"/>
          <w:color w:val="auto"/>
          <w:shd w:val="clear" w:color="auto" w:fill="auto"/>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rPr>
          <w:rFonts w:hint="eastAsia"/>
          <w:color w:val="auto"/>
          <w:shd w:val="clear" w:color="auto" w:fill="auto"/>
        </w:rPr>
      </w:pPr>
      <w:r>
        <w:rPr>
          <w:rFonts w:hint="eastAsia"/>
          <w:color w:val="auto"/>
          <w:shd w:val="clear" w:color="auto" w:fill="auto"/>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据采购法第77条第1款做出的处罚决定。</w:t>
      </w:r>
    </w:p>
    <w:p>
      <w:pPr>
        <w:spacing w:line="340" w:lineRule="exact"/>
        <w:ind w:firstLine="420" w:firstLineChars="200"/>
        <w:rPr>
          <w:rFonts w:hint="eastAsia"/>
          <w:color w:val="auto"/>
          <w:shd w:val="clear" w:color="auto" w:fill="auto"/>
        </w:rPr>
      </w:pPr>
      <w:r>
        <w:rPr>
          <w:rFonts w:hint="eastAsia"/>
          <w:color w:val="auto"/>
          <w:shd w:val="clear" w:color="auto" w:fill="auto"/>
        </w:rPr>
        <w:t>三、我公司及其他利害关系人如对该项目的中标公示有异议，将在采购文件规定的公示期限内提出符合以下条件的有效质疑，否则我公司愿意接受相关部门不予受理的决定。</w:t>
      </w:r>
    </w:p>
    <w:p>
      <w:pPr>
        <w:spacing w:line="340" w:lineRule="exact"/>
        <w:ind w:firstLine="420" w:firstLineChars="200"/>
        <w:rPr>
          <w:rFonts w:hint="eastAsia"/>
          <w:color w:val="auto"/>
          <w:shd w:val="clear" w:color="auto" w:fill="auto"/>
        </w:rPr>
      </w:pPr>
      <w:r>
        <w:rPr>
          <w:rFonts w:hint="eastAsia"/>
          <w:color w:val="auto"/>
          <w:shd w:val="clear" w:color="auto" w:fill="auto"/>
        </w:rPr>
        <w:t>1、质疑人须为采购响应人和其他利害关系人；</w:t>
      </w:r>
    </w:p>
    <w:p>
      <w:pPr>
        <w:spacing w:line="340" w:lineRule="exact"/>
        <w:ind w:firstLine="420" w:firstLineChars="200"/>
        <w:rPr>
          <w:rFonts w:hint="eastAsia"/>
          <w:color w:val="auto"/>
          <w:shd w:val="clear" w:color="auto" w:fill="auto"/>
        </w:rPr>
      </w:pPr>
      <w:r>
        <w:rPr>
          <w:rFonts w:hint="eastAsia"/>
          <w:color w:val="auto"/>
          <w:shd w:val="clear" w:color="auto" w:fill="auto"/>
        </w:rPr>
        <w:t>2、投诉时，应当递交质疑书，质疑书应当包括下列内容：</w:t>
      </w:r>
    </w:p>
    <w:p>
      <w:pPr>
        <w:spacing w:line="340" w:lineRule="exact"/>
        <w:ind w:firstLine="420" w:firstLineChars="200"/>
        <w:rPr>
          <w:rFonts w:hint="eastAsia"/>
          <w:color w:val="auto"/>
          <w:shd w:val="clear" w:color="auto" w:fill="auto"/>
        </w:rPr>
      </w:pPr>
      <w:r>
        <w:rPr>
          <w:rFonts w:hint="eastAsia"/>
          <w:color w:val="auto"/>
          <w:shd w:val="clear" w:color="auto" w:fill="auto"/>
        </w:rPr>
        <w:t>（</w:t>
      </w:r>
      <w:r>
        <w:rPr>
          <w:color w:val="auto"/>
          <w:shd w:val="clear" w:color="auto" w:fill="auto"/>
        </w:rPr>
        <w:t>1</w:t>
      </w:r>
      <w:r>
        <w:rPr>
          <w:rFonts w:hint="eastAsia"/>
          <w:color w:val="auto"/>
          <w:shd w:val="clear" w:color="auto" w:fill="auto"/>
        </w:rPr>
        <w:t>）质疑人的名称、地址及有效联系方式；</w:t>
      </w:r>
    </w:p>
    <w:p>
      <w:pPr>
        <w:spacing w:line="340" w:lineRule="exact"/>
        <w:ind w:firstLine="420" w:firstLineChars="200"/>
        <w:rPr>
          <w:rFonts w:hint="eastAsia"/>
          <w:color w:val="auto"/>
          <w:shd w:val="clear" w:color="auto" w:fill="auto"/>
        </w:rPr>
      </w:pPr>
      <w:r>
        <w:rPr>
          <w:rFonts w:hint="eastAsia"/>
          <w:color w:val="auto"/>
          <w:shd w:val="clear" w:color="auto" w:fill="auto"/>
        </w:rPr>
        <w:t>（</w:t>
      </w:r>
      <w:r>
        <w:rPr>
          <w:color w:val="auto"/>
          <w:shd w:val="clear" w:color="auto" w:fill="auto"/>
        </w:rPr>
        <w:t>2</w:t>
      </w:r>
      <w:r>
        <w:rPr>
          <w:rFonts w:hint="eastAsia"/>
          <w:color w:val="auto"/>
          <w:shd w:val="clear" w:color="auto" w:fill="auto"/>
        </w:rPr>
        <w:t>）被质疑人的名称、地址及联系方式；</w:t>
      </w:r>
    </w:p>
    <w:p>
      <w:pPr>
        <w:spacing w:line="340" w:lineRule="exact"/>
        <w:ind w:firstLine="420" w:firstLineChars="200"/>
        <w:rPr>
          <w:rFonts w:hint="eastAsia"/>
          <w:color w:val="auto"/>
          <w:shd w:val="clear" w:color="auto" w:fill="auto"/>
        </w:rPr>
      </w:pPr>
      <w:r>
        <w:rPr>
          <w:rFonts w:hint="eastAsia"/>
          <w:color w:val="auto"/>
          <w:shd w:val="clear" w:color="auto" w:fill="auto"/>
        </w:rPr>
        <w:t>（</w:t>
      </w:r>
      <w:r>
        <w:rPr>
          <w:color w:val="auto"/>
          <w:shd w:val="clear" w:color="auto" w:fill="auto"/>
        </w:rPr>
        <w:t>3</w:t>
      </w:r>
      <w:r>
        <w:rPr>
          <w:rFonts w:hint="eastAsia"/>
          <w:color w:val="auto"/>
          <w:shd w:val="clear" w:color="auto" w:fill="auto"/>
        </w:rPr>
        <w:t>）质疑事项的基本事实；</w:t>
      </w:r>
    </w:p>
    <w:p>
      <w:pPr>
        <w:spacing w:line="340" w:lineRule="exact"/>
        <w:ind w:firstLine="420" w:firstLineChars="200"/>
        <w:rPr>
          <w:rFonts w:hint="eastAsia"/>
          <w:color w:val="auto"/>
          <w:shd w:val="clear" w:color="auto" w:fill="auto"/>
        </w:rPr>
      </w:pPr>
      <w:r>
        <w:rPr>
          <w:rFonts w:hint="eastAsia"/>
          <w:color w:val="auto"/>
          <w:shd w:val="clear" w:color="auto" w:fill="auto"/>
        </w:rPr>
        <w:t>（</w:t>
      </w:r>
      <w:r>
        <w:rPr>
          <w:color w:val="auto"/>
          <w:shd w:val="clear" w:color="auto" w:fill="auto"/>
        </w:rPr>
        <w:t>4</w:t>
      </w:r>
      <w:r>
        <w:rPr>
          <w:rFonts w:hint="eastAsia"/>
          <w:color w:val="auto"/>
          <w:shd w:val="clear" w:color="auto" w:fill="auto"/>
        </w:rPr>
        <w:t>）相关请求及主张；</w:t>
      </w:r>
    </w:p>
    <w:p>
      <w:pPr>
        <w:spacing w:line="340" w:lineRule="exact"/>
        <w:ind w:firstLine="420" w:firstLineChars="200"/>
        <w:rPr>
          <w:rFonts w:hint="eastAsia"/>
          <w:color w:val="auto"/>
          <w:shd w:val="clear" w:color="auto" w:fill="auto"/>
        </w:rPr>
      </w:pPr>
      <w:r>
        <w:rPr>
          <w:rFonts w:hint="eastAsia"/>
          <w:color w:val="auto"/>
          <w:shd w:val="clear" w:color="auto" w:fill="auto"/>
        </w:rPr>
        <w:t>（</w:t>
      </w:r>
      <w:r>
        <w:rPr>
          <w:color w:val="auto"/>
          <w:shd w:val="clear" w:color="auto" w:fill="auto"/>
        </w:rPr>
        <w:t>5</w:t>
      </w:r>
      <w:r>
        <w:rPr>
          <w:rFonts w:hint="eastAsia"/>
          <w:color w:val="auto"/>
          <w:shd w:val="clear" w:color="auto" w:fill="auto"/>
        </w:rPr>
        <w:t>）有效线索和相关证明材料；</w:t>
      </w:r>
    </w:p>
    <w:p>
      <w:pPr>
        <w:spacing w:line="340" w:lineRule="exact"/>
        <w:ind w:firstLine="420" w:firstLineChars="200"/>
        <w:rPr>
          <w:rFonts w:hint="eastAsia"/>
          <w:color w:val="auto"/>
          <w:shd w:val="clear" w:color="auto" w:fill="auto"/>
        </w:rPr>
      </w:pPr>
      <w:r>
        <w:rPr>
          <w:rFonts w:hint="eastAsia"/>
          <w:color w:val="auto"/>
          <w:shd w:val="clear" w:color="auto" w:fill="auto"/>
        </w:rPr>
        <w:t>（</w:t>
      </w:r>
      <w:r>
        <w:rPr>
          <w:color w:val="auto"/>
          <w:shd w:val="clear" w:color="auto" w:fill="auto"/>
        </w:rPr>
        <w:t>6</w:t>
      </w:r>
      <w:r>
        <w:rPr>
          <w:rFonts w:hint="eastAsia"/>
          <w:color w:val="auto"/>
          <w:shd w:val="clear" w:color="auto" w:fill="auto"/>
        </w:rPr>
        <w:t>）质疑人是法人的，质疑书必须由其法定代表人或者授权代表签字并加盖公章；其他组织或者个人质疑的，质疑书必须由其主要负责人或者质疑人本人签字，并附有效身份证明复印件。</w:t>
      </w:r>
    </w:p>
    <w:p>
      <w:pPr>
        <w:spacing w:line="340" w:lineRule="exact"/>
        <w:ind w:firstLine="723" w:firstLineChars="400"/>
        <w:rPr>
          <w:rFonts w:hint="eastAsia"/>
          <w:b/>
          <w:color w:val="auto"/>
          <w:sz w:val="18"/>
          <w:szCs w:val="18"/>
          <w:shd w:val="clear" w:color="auto" w:fill="auto"/>
        </w:rPr>
      </w:pPr>
    </w:p>
    <w:p>
      <w:pPr>
        <w:spacing w:line="340" w:lineRule="exact"/>
        <w:ind w:firstLine="840" w:firstLineChars="400"/>
        <w:rPr>
          <w:rFonts w:hint="eastAsia"/>
          <w:color w:val="auto"/>
          <w:shd w:val="clear" w:color="auto" w:fill="auto"/>
        </w:rPr>
      </w:pPr>
    </w:p>
    <w:p>
      <w:pPr>
        <w:spacing w:line="340" w:lineRule="exact"/>
        <w:ind w:firstLine="840" w:firstLineChars="400"/>
        <w:rPr>
          <w:rFonts w:hint="eastAsia"/>
          <w:color w:val="auto"/>
          <w:shd w:val="clear" w:color="auto" w:fill="auto"/>
        </w:rPr>
      </w:pPr>
    </w:p>
    <w:p>
      <w:pPr>
        <w:rPr>
          <w:color w:val="auto"/>
          <w:sz w:val="28"/>
          <w:shd w:val="clear" w:color="auto" w:fill="auto"/>
        </w:rPr>
      </w:pPr>
      <w:r>
        <w:rPr>
          <w:rFonts w:hint="eastAsia"/>
          <w:color w:val="auto"/>
          <w:sz w:val="28"/>
          <w:shd w:val="clear" w:color="auto" w:fill="auto"/>
        </w:rPr>
        <w:t>投标人（盖章）：</w:t>
      </w:r>
      <w:r>
        <w:rPr>
          <w:color w:val="auto"/>
          <w:sz w:val="28"/>
          <w:u w:val="single"/>
          <w:shd w:val="clear" w:color="auto" w:fill="auto"/>
        </w:rPr>
        <w:t xml:space="preserve">                                      </w:t>
      </w:r>
      <w:r>
        <w:rPr>
          <w:color w:val="auto"/>
          <w:sz w:val="28"/>
          <w:shd w:val="clear" w:color="auto" w:fill="auto"/>
        </w:rPr>
        <w:t xml:space="preserve">      </w:t>
      </w:r>
    </w:p>
    <w:p>
      <w:pPr>
        <w:rPr>
          <w:rFonts w:hint="eastAsia"/>
          <w:color w:val="auto"/>
          <w:sz w:val="28"/>
          <w:shd w:val="clear" w:color="auto" w:fill="auto"/>
        </w:rPr>
      </w:pPr>
    </w:p>
    <w:p>
      <w:pPr>
        <w:spacing w:line="340" w:lineRule="exact"/>
        <w:rPr>
          <w:rFonts w:hint="eastAsia"/>
          <w:color w:val="auto"/>
          <w:shd w:val="clear" w:color="auto" w:fill="auto"/>
        </w:rPr>
      </w:pPr>
      <w:r>
        <w:rPr>
          <w:rFonts w:hint="eastAsia"/>
          <w:color w:val="auto"/>
          <w:sz w:val="28"/>
          <w:shd w:val="clear" w:color="auto" w:fill="auto"/>
        </w:rPr>
        <w:t>法定代表人或委托代理人：</w:t>
      </w:r>
      <w:r>
        <w:rPr>
          <w:rFonts w:hint="eastAsia"/>
          <w:color w:val="auto"/>
          <w:sz w:val="28"/>
          <w:u w:val="single"/>
          <w:shd w:val="clear" w:color="auto" w:fill="auto"/>
        </w:rPr>
        <w:t xml:space="preserve">          签字或盖章        </w:t>
      </w:r>
      <w:r>
        <w:rPr>
          <w:color w:val="auto"/>
          <w:sz w:val="28"/>
          <w:u w:val="single"/>
          <w:shd w:val="clear" w:color="auto" w:fill="auto"/>
        </w:rPr>
        <w:t xml:space="preserve">  </w:t>
      </w:r>
      <w:r>
        <w:rPr>
          <w:color w:val="auto"/>
          <w:sz w:val="28"/>
          <w:shd w:val="clear" w:color="auto" w:fill="auto"/>
        </w:rPr>
        <w:t xml:space="preserve"> </w:t>
      </w:r>
    </w:p>
    <w:p>
      <w:pPr>
        <w:spacing w:line="340" w:lineRule="exact"/>
        <w:rPr>
          <w:rFonts w:hint="eastAsia"/>
          <w:color w:val="auto"/>
          <w:sz w:val="28"/>
          <w:shd w:val="clear" w:color="auto" w:fill="auto"/>
        </w:rPr>
      </w:pPr>
    </w:p>
    <w:p>
      <w:pPr>
        <w:spacing w:line="340" w:lineRule="exact"/>
        <w:rPr>
          <w:rFonts w:hint="eastAsia"/>
          <w:color w:val="auto"/>
          <w:sz w:val="28"/>
          <w:shd w:val="clear" w:color="auto" w:fill="auto"/>
        </w:rPr>
      </w:pPr>
      <w:r>
        <w:rPr>
          <w:rFonts w:hint="eastAsia"/>
          <w:color w:val="auto"/>
          <w:sz w:val="28"/>
          <w:shd w:val="clear" w:color="auto" w:fill="auto"/>
        </w:rPr>
        <w:t>日      期：     年    月    日</w:t>
      </w:r>
    </w:p>
    <w:p>
      <w:pPr>
        <w:spacing w:line="560" w:lineRule="exact"/>
        <w:ind w:firstLine="560" w:firstLineChars="200"/>
        <w:rPr>
          <w:rFonts w:hint="eastAsia" w:ascii="仿宋_GB2312" w:hAnsi="仿宋_GB2312" w:eastAsia="仿宋_GB2312"/>
          <w:color w:val="auto"/>
          <w:sz w:val="28"/>
          <w:shd w:val="clear" w:color="auto" w:fill="auto"/>
        </w:rPr>
      </w:pPr>
    </w:p>
    <w:p>
      <w:pPr>
        <w:spacing w:line="360" w:lineRule="auto"/>
        <w:ind w:firstLine="480" w:firstLineChars="200"/>
        <w:rPr>
          <w:rFonts w:hint="eastAsia" w:ascii="宋体" w:hAnsi="宋体"/>
          <w:color w:val="auto"/>
          <w:sz w:val="24"/>
          <w:szCs w:val="24"/>
          <w:shd w:val="clear" w:color="auto" w:fill="auto"/>
        </w:rPr>
      </w:pPr>
    </w:p>
    <w:p>
      <w:pPr>
        <w:rPr>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rPr>
          <w:rFonts w:hint="eastAsia"/>
          <w:color w:val="auto"/>
          <w:shd w:val="clear" w:color="auto" w:fill="auto"/>
        </w:rPr>
      </w:pPr>
    </w:p>
    <w:p>
      <w:pPr>
        <w:pStyle w:val="5"/>
        <w:numPr>
          <w:ilvl w:val="0"/>
          <w:numId w:val="0"/>
        </w:numPr>
        <w:spacing w:line="500" w:lineRule="exact"/>
        <w:jc w:val="center"/>
        <w:rPr>
          <w:rFonts w:hint="eastAsia" w:ascii="黑体" w:hAnsi="黑体"/>
          <w:b/>
          <w:color w:val="auto"/>
          <w:shd w:val="clear" w:color="auto" w:fill="auto"/>
        </w:rPr>
      </w:pPr>
      <w:r>
        <w:rPr>
          <w:rFonts w:hint="eastAsia" w:ascii="黑体" w:hAnsi="黑体"/>
          <w:b/>
          <w:color w:val="auto"/>
          <w:shd w:val="clear" w:color="auto" w:fill="auto"/>
        </w:rPr>
        <w:t>七、技 术 偏 离 表</w:t>
      </w:r>
    </w:p>
    <w:tbl>
      <w:tblPr>
        <w:tblStyle w:val="3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9"/>
              <w:spacing w:line="400" w:lineRule="atLeast"/>
              <w:jc w:val="center"/>
              <w:rPr>
                <w:rFonts w:hint="eastAsia" w:ascii="仿宋_GB2312" w:eastAsia="仿宋_GB2312"/>
                <w:color w:val="auto"/>
                <w:szCs w:val="24"/>
                <w:shd w:val="clear" w:color="auto" w:fill="auto"/>
              </w:rPr>
            </w:pPr>
            <w:r>
              <w:rPr>
                <w:rFonts w:hint="eastAsia" w:ascii="仿宋_GB2312" w:eastAsia="仿宋_GB2312"/>
                <w:color w:val="auto"/>
                <w:szCs w:val="24"/>
                <w:shd w:val="clear" w:color="auto" w:fill="auto"/>
              </w:rPr>
              <w:t>内容</w:t>
            </w:r>
          </w:p>
        </w:tc>
        <w:tc>
          <w:tcPr>
            <w:tcW w:w="2340" w:type="dxa"/>
            <w:noWrap w:val="0"/>
            <w:vAlign w:val="center"/>
          </w:tcPr>
          <w:p>
            <w:pPr>
              <w:pStyle w:val="19"/>
              <w:spacing w:line="400" w:lineRule="atLeast"/>
              <w:jc w:val="center"/>
              <w:rPr>
                <w:rFonts w:hint="eastAsia" w:ascii="仿宋_GB2312" w:eastAsia="仿宋_GB2312"/>
                <w:color w:val="auto"/>
                <w:szCs w:val="24"/>
                <w:shd w:val="clear" w:color="auto" w:fill="auto"/>
              </w:rPr>
            </w:pPr>
            <w:r>
              <w:rPr>
                <w:rFonts w:hint="eastAsia" w:ascii="仿宋_GB2312" w:eastAsia="仿宋_GB2312"/>
                <w:color w:val="auto"/>
                <w:szCs w:val="24"/>
                <w:shd w:val="clear" w:color="auto" w:fill="auto"/>
              </w:rPr>
              <w:t>招标文件</w:t>
            </w:r>
          </w:p>
          <w:p>
            <w:pPr>
              <w:pStyle w:val="19"/>
              <w:spacing w:line="400" w:lineRule="atLeast"/>
              <w:jc w:val="center"/>
              <w:rPr>
                <w:rFonts w:hint="eastAsia" w:ascii="仿宋_GB2312" w:eastAsia="仿宋_GB2312"/>
                <w:color w:val="auto"/>
                <w:szCs w:val="24"/>
                <w:shd w:val="clear" w:color="auto" w:fill="auto"/>
              </w:rPr>
            </w:pPr>
            <w:r>
              <w:rPr>
                <w:rFonts w:hint="eastAsia" w:ascii="仿宋_GB2312" w:eastAsia="仿宋_GB2312"/>
                <w:color w:val="auto"/>
                <w:szCs w:val="24"/>
                <w:shd w:val="clear" w:color="auto" w:fill="auto"/>
              </w:rPr>
              <w:t>规范要求</w:t>
            </w: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r>
              <w:rPr>
                <w:rFonts w:hint="eastAsia" w:ascii="仿宋_GB2312" w:eastAsia="仿宋_GB2312"/>
                <w:color w:val="auto"/>
                <w:szCs w:val="24"/>
                <w:shd w:val="clear" w:color="auto" w:fill="auto"/>
              </w:rPr>
              <w:t>投标文件</w:t>
            </w:r>
          </w:p>
          <w:p>
            <w:pPr>
              <w:pStyle w:val="19"/>
              <w:spacing w:line="400" w:lineRule="atLeast"/>
              <w:jc w:val="center"/>
              <w:rPr>
                <w:rFonts w:hint="eastAsia" w:ascii="仿宋_GB2312" w:eastAsia="仿宋_GB2312"/>
                <w:color w:val="auto"/>
                <w:szCs w:val="24"/>
                <w:shd w:val="clear" w:color="auto" w:fill="auto"/>
              </w:rPr>
            </w:pPr>
            <w:r>
              <w:rPr>
                <w:rFonts w:hint="eastAsia" w:ascii="仿宋_GB2312" w:eastAsia="仿宋_GB2312"/>
                <w:color w:val="auto"/>
                <w:szCs w:val="24"/>
                <w:shd w:val="clear" w:color="auto" w:fill="auto"/>
              </w:rPr>
              <w:t>对应规范</w:t>
            </w: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r>
              <w:rPr>
                <w:rFonts w:hint="eastAsia" w:ascii="仿宋_GB2312" w:eastAsia="仿宋_GB2312"/>
                <w:color w:val="auto"/>
                <w:szCs w:val="24"/>
                <w:shd w:val="clear" w:color="auto" w:fill="auto"/>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34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34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34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34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34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34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34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34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34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34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c>
          <w:tcPr>
            <w:tcW w:w="2160" w:type="dxa"/>
            <w:noWrap w:val="0"/>
            <w:vAlign w:val="center"/>
          </w:tcPr>
          <w:p>
            <w:pPr>
              <w:pStyle w:val="19"/>
              <w:spacing w:line="400" w:lineRule="atLeast"/>
              <w:jc w:val="center"/>
              <w:rPr>
                <w:rFonts w:hint="eastAsia" w:ascii="仿宋_GB2312" w:eastAsia="仿宋_GB2312"/>
                <w:color w:val="auto"/>
                <w:szCs w:val="24"/>
                <w:shd w:val="clear" w:color="auto" w:fill="auto"/>
              </w:rPr>
            </w:pPr>
          </w:p>
        </w:tc>
      </w:tr>
    </w:tbl>
    <w:p>
      <w:pPr>
        <w:pStyle w:val="19"/>
        <w:spacing w:line="400" w:lineRule="atLeast"/>
        <w:rPr>
          <w:rFonts w:hint="eastAsia" w:ascii="宋体" w:hAnsi="宋体"/>
          <w:color w:val="auto"/>
          <w:szCs w:val="24"/>
          <w:shd w:val="clear" w:color="auto" w:fill="auto"/>
        </w:rPr>
      </w:pPr>
      <w:r>
        <w:rPr>
          <w:rFonts w:hint="eastAsia" w:ascii="宋体" w:hAnsi="宋体"/>
          <w:color w:val="auto"/>
          <w:szCs w:val="24"/>
          <w:shd w:val="clear" w:color="auto" w:fill="auto"/>
        </w:rPr>
        <w:t>注：</w:t>
      </w:r>
    </w:p>
    <w:p>
      <w:pPr>
        <w:pStyle w:val="19"/>
        <w:spacing w:line="400" w:lineRule="atLeast"/>
        <w:rPr>
          <w:rFonts w:hint="eastAsia" w:ascii="宋体" w:hAnsi="宋体"/>
          <w:color w:val="auto"/>
          <w:szCs w:val="24"/>
          <w:shd w:val="clear" w:color="auto" w:fill="auto"/>
        </w:rPr>
      </w:pPr>
      <w:r>
        <w:rPr>
          <w:rFonts w:hint="eastAsia" w:ascii="宋体" w:hAnsi="宋体"/>
          <w:color w:val="auto"/>
          <w:szCs w:val="24"/>
          <w:shd w:val="clear" w:color="auto" w:fill="auto"/>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9"/>
        <w:spacing w:line="400" w:lineRule="atLeast"/>
        <w:rPr>
          <w:rFonts w:hint="eastAsia" w:ascii="宋体" w:hAnsi="宋体"/>
          <w:color w:val="auto"/>
          <w:szCs w:val="24"/>
          <w:shd w:val="clear" w:color="auto" w:fill="auto"/>
        </w:rPr>
      </w:pPr>
      <w:r>
        <w:rPr>
          <w:rFonts w:hint="eastAsia" w:ascii="宋体" w:hAnsi="宋体"/>
          <w:color w:val="auto"/>
          <w:szCs w:val="24"/>
          <w:shd w:val="clear" w:color="auto" w:fill="auto"/>
        </w:rPr>
        <w:t>2、投标人递交的技术规格书中必须真实逐条列明，否则由投标人自行承担相关风险。</w:t>
      </w:r>
    </w:p>
    <w:p>
      <w:pPr>
        <w:pStyle w:val="19"/>
        <w:spacing w:line="400" w:lineRule="atLeast"/>
        <w:rPr>
          <w:rFonts w:hint="eastAsia" w:ascii="宋体" w:hAnsi="宋体"/>
          <w:color w:val="auto"/>
          <w:szCs w:val="24"/>
          <w:shd w:val="clear" w:color="auto" w:fill="auto"/>
        </w:rPr>
      </w:pPr>
      <w:r>
        <w:rPr>
          <w:rFonts w:hint="eastAsia" w:ascii="宋体" w:hAnsi="宋体"/>
          <w:color w:val="auto"/>
          <w:szCs w:val="24"/>
          <w:shd w:val="clear" w:color="auto" w:fill="auto"/>
        </w:rPr>
        <w:t>3、此表在不改变格式的情况下可自行制作。</w:t>
      </w:r>
    </w:p>
    <w:p>
      <w:pPr>
        <w:pStyle w:val="19"/>
        <w:spacing w:line="400" w:lineRule="atLeast"/>
        <w:rPr>
          <w:rFonts w:hint="eastAsia" w:ascii="宋体" w:hAnsi="宋体"/>
          <w:color w:val="auto"/>
          <w:szCs w:val="24"/>
          <w:shd w:val="clear" w:color="auto" w:fill="auto"/>
        </w:rPr>
      </w:pPr>
      <w:r>
        <w:rPr>
          <w:rFonts w:hint="eastAsia" w:ascii="宋体" w:hAnsi="宋体"/>
          <w:color w:val="auto"/>
          <w:szCs w:val="24"/>
          <w:shd w:val="clear" w:color="auto" w:fill="auto"/>
        </w:rPr>
        <w:t>4、此表置于技术标书中。</w:t>
      </w:r>
    </w:p>
    <w:p>
      <w:pPr>
        <w:rPr>
          <w:rFonts w:hint="eastAsia"/>
          <w:color w:val="auto"/>
          <w:sz w:val="28"/>
          <w:shd w:val="clear" w:color="auto" w:fill="auto"/>
        </w:rPr>
      </w:pPr>
    </w:p>
    <w:p>
      <w:pPr>
        <w:rPr>
          <w:color w:val="auto"/>
          <w:sz w:val="28"/>
          <w:shd w:val="clear" w:color="auto" w:fill="auto"/>
        </w:rPr>
      </w:pPr>
      <w:r>
        <w:rPr>
          <w:rFonts w:hint="eastAsia"/>
          <w:color w:val="auto"/>
          <w:sz w:val="28"/>
          <w:shd w:val="clear" w:color="auto" w:fill="auto"/>
        </w:rPr>
        <w:t>投标人（盖章）：</w:t>
      </w:r>
      <w:r>
        <w:rPr>
          <w:color w:val="auto"/>
          <w:sz w:val="28"/>
          <w:u w:val="single"/>
          <w:shd w:val="clear" w:color="auto" w:fill="auto"/>
        </w:rPr>
        <w:t xml:space="preserve">                                      </w:t>
      </w:r>
      <w:r>
        <w:rPr>
          <w:color w:val="auto"/>
          <w:sz w:val="28"/>
          <w:shd w:val="clear" w:color="auto" w:fill="auto"/>
        </w:rPr>
        <w:t xml:space="preserve">      </w:t>
      </w:r>
    </w:p>
    <w:p>
      <w:pPr>
        <w:rPr>
          <w:rFonts w:hint="eastAsia"/>
          <w:color w:val="auto"/>
          <w:sz w:val="28"/>
          <w:shd w:val="clear" w:color="auto" w:fill="auto"/>
        </w:rPr>
      </w:pPr>
    </w:p>
    <w:p>
      <w:pPr>
        <w:spacing w:line="340" w:lineRule="exact"/>
        <w:rPr>
          <w:rFonts w:hint="eastAsia"/>
          <w:color w:val="auto"/>
          <w:shd w:val="clear" w:color="auto" w:fill="auto"/>
        </w:rPr>
      </w:pPr>
      <w:r>
        <w:rPr>
          <w:rFonts w:hint="eastAsia"/>
          <w:color w:val="auto"/>
          <w:sz w:val="28"/>
          <w:shd w:val="clear" w:color="auto" w:fill="auto"/>
        </w:rPr>
        <w:t>法定代表人或委托代理人：</w:t>
      </w:r>
      <w:r>
        <w:rPr>
          <w:rFonts w:hint="eastAsia"/>
          <w:color w:val="auto"/>
          <w:sz w:val="28"/>
          <w:u w:val="single"/>
          <w:shd w:val="clear" w:color="auto" w:fill="auto"/>
        </w:rPr>
        <w:t xml:space="preserve">          签字或盖章        </w:t>
      </w:r>
      <w:r>
        <w:rPr>
          <w:color w:val="auto"/>
          <w:sz w:val="28"/>
          <w:u w:val="single"/>
          <w:shd w:val="clear" w:color="auto" w:fill="auto"/>
        </w:rPr>
        <w:t xml:space="preserve">  </w:t>
      </w:r>
      <w:r>
        <w:rPr>
          <w:color w:val="auto"/>
          <w:sz w:val="28"/>
          <w:shd w:val="clear" w:color="auto" w:fill="auto"/>
        </w:rPr>
        <w:t xml:space="preserve"> </w:t>
      </w:r>
    </w:p>
    <w:p>
      <w:pPr>
        <w:spacing w:line="340" w:lineRule="exact"/>
        <w:rPr>
          <w:rFonts w:hint="eastAsia"/>
          <w:color w:val="auto"/>
          <w:shd w:val="clear" w:color="auto" w:fill="auto"/>
        </w:rPr>
      </w:pPr>
    </w:p>
    <w:p>
      <w:pPr>
        <w:spacing w:line="340" w:lineRule="exact"/>
        <w:rPr>
          <w:rFonts w:hint="eastAsia"/>
          <w:color w:val="auto"/>
          <w:shd w:val="clear" w:color="auto" w:fill="auto"/>
        </w:rPr>
      </w:pPr>
      <w:r>
        <w:rPr>
          <w:rFonts w:hint="eastAsia"/>
          <w:color w:val="auto"/>
          <w:sz w:val="28"/>
          <w:shd w:val="clear" w:color="auto" w:fill="auto"/>
        </w:rPr>
        <w:t>日      期：     年    月    日</w:t>
      </w:r>
    </w:p>
    <w:p>
      <w:pPr>
        <w:rPr>
          <w:rFonts w:hint="eastAsia"/>
          <w:color w:val="auto"/>
          <w:shd w:val="clear" w:color="auto" w:fill="auto"/>
        </w:rPr>
      </w:pPr>
      <w:r>
        <w:rPr>
          <w:color w:val="auto"/>
          <w:sz w:val="28"/>
          <w:shd w:val="clear" w:color="auto" w:fill="auto"/>
        </w:rPr>
        <w:t xml:space="preserve">             </w:t>
      </w:r>
    </w:p>
    <w:p>
      <w:pPr>
        <w:jc w:val="center"/>
        <w:rPr>
          <w:rFonts w:hint="eastAsia"/>
          <w:color w:val="auto"/>
          <w:shd w:val="clear" w:color="auto" w:fill="auto"/>
        </w:rPr>
      </w:pPr>
      <w:r>
        <w:rPr>
          <w:color w:val="auto"/>
          <w:shd w:val="clear" w:color="auto" w:fill="auto"/>
        </w:rPr>
        <w:t xml:space="preserve"> </w:t>
      </w:r>
    </w:p>
    <w:p>
      <w:pPr>
        <w:spacing w:line="440" w:lineRule="exact"/>
        <w:jc w:val="center"/>
        <w:rPr>
          <w:rFonts w:hint="eastAsia" w:ascii="黑体" w:eastAsia="黑体"/>
          <w:b/>
          <w:color w:val="auto"/>
          <w:sz w:val="28"/>
          <w:szCs w:val="28"/>
        </w:rPr>
      </w:pPr>
    </w:p>
    <w:sectPr>
      <w:footerReference r:id="rId5" w:type="first"/>
      <w:footerReference r:id="rId3" w:type="default"/>
      <w:footerReference r:id="rId4" w:type="even"/>
      <w:pgSz w:w="11906" w:h="16838"/>
      <w:pgMar w:top="1247" w:right="1418" w:bottom="1247" w:left="1418" w:header="851" w:footer="907" w:gutter="0"/>
      <w:pgBorders>
        <w:top w:val="none" w:sz="0" w:space="0"/>
        <w:left w:val="none" w:sz="0" w:space="0"/>
        <w:bottom w:val="none" w:sz="0" w:space="0"/>
        <w:right w:val="none" w:sz="0" w:space="0"/>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_5b8b_4f53">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3</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1"/>
    <w:multiLevelType w:val="multilevel"/>
    <w:tmpl w:val="00000001"/>
    <w:lvl w:ilvl="0" w:tentative="0">
      <w:start w:val="1"/>
      <w:numFmt w:val="decimal"/>
      <w:lvlText w:val="%1、"/>
      <w:lvlJc w:val="left"/>
      <w:pPr>
        <w:tabs>
          <w:tab w:val="left" w:pos="360"/>
        </w:tabs>
        <w:ind w:left="360" w:hanging="360"/>
      </w:pPr>
      <w:rPr>
        <w:rFonts w:ascii="Times New Roman" w:hAnsi="Times New Roman" w:eastAsia="黑体" w:cs="Times New Roman"/>
      </w:rPr>
    </w:lvl>
    <w:lvl w:ilvl="1" w:tentative="0">
      <w:start w:val="2005"/>
      <w:numFmt w:val="decimal"/>
      <w:pStyle w:val="26"/>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multilevel"/>
    <w:tmpl w:val="00000002"/>
    <w:lvl w:ilvl="0" w:tentative="0">
      <w:start w:val="1"/>
      <w:numFmt w:val="decimal"/>
      <w:pStyle w:val="10"/>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3"/>
    <w:multiLevelType w:val="multilevel"/>
    <w:tmpl w:val="0000000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00000004"/>
    <w:multiLevelType w:val="multilevel"/>
    <w:tmpl w:val="00000004"/>
    <w:lvl w:ilvl="0" w:tentative="0">
      <w:start w:val="1"/>
      <w:numFmt w:val="chineseCountingThousand"/>
      <w:lvlText w:val="第%1章."/>
      <w:lvlJc w:val="left"/>
      <w:pPr>
        <w:ind w:left="224" w:hanging="420"/>
      </w:pPr>
      <w:rPr>
        <w:rFonts w:hint="eastAsia"/>
        <w:b/>
        <w:i w:val="0"/>
        <w:sz w:val="44"/>
        <w:szCs w:val="44"/>
      </w:rPr>
    </w:lvl>
    <w:lvl w:ilvl="1" w:tentative="0">
      <w:start w:val="1"/>
      <w:numFmt w:val="decimal"/>
      <w:isLgl/>
      <w:suff w:val="space"/>
      <w:lvlText w:val="%1.%2"/>
      <w:lvlJc w:val="left"/>
      <w:pPr>
        <w:ind w:left="366" w:hanging="420"/>
      </w:pPr>
      <w:rPr>
        <w:b w:val="0"/>
        <w:bCs w:val="0"/>
        <w:i w:val="0"/>
        <w:iCs w:val="0"/>
        <w:caps w:val="0"/>
        <w:smallCaps w:val="0"/>
        <w:strike w:val="0"/>
        <w:dstrike w:val="0"/>
        <w:vanish w:val="0"/>
        <w:color w:val="000000"/>
        <w:spacing w:val="0"/>
        <w:position w:val="0"/>
        <w:u w:val="none"/>
        <w:vertAlign w:val="baseline"/>
      </w:rPr>
    </w:lvl>
    <w:lvl w:ilvl="2" w:tentative="0">
      <w:start w:val="1"/>
      <w:numFmt w:val="decimalEnclosedCircle"/>
      <w:lvlText w:val="%3"/>
      <w:lvlJc w:val="left"/>
      <w:pPr>
        <w:ind w:left="846" w:hanging="420"/>
      </w:pPr>
      <w:rPr>
        <w:rFonts w:hint="default"/>
        <w:b/>
        <w:i w:val="0"/>
        <w:sz w:val="32"/>
        <w:szCs w:val="32"/>
      </w:rPr>
    </w:lvl>
    <w:lvl w:ilvl="3" w:tentative="0">
      <w:start w:val="1"/>
      <w:numFmt w:val="decimal"/>
      <w:isLgl/>
      <w:suff w:val="space"/>
      <w:lvlText w:val="%1.%2.%3.%4"/>
      <w:lvlJc w:val="left"/>
      <w:pPr>
        <w:ind w:left="2492" w:hanging="2688"/>
      </w:pPr>
      <w:rPr>
        <w:rFonts w:hint="default" w:ascii="Cambria" w:hAnsi="Cambria" w:eastAsia="仿宋_GB2312"/>
        <w:b/>
        <w:i w:val="0"/>
      </w:rPr>
    </w:lvl>
    <w:lvl w:ilvl="4" w:tentative="0">
      <w:start w:val="1"/>
      <w:numFmt w:val="decimal"/>
      <w:isLgl/>
      <w:suff w:val="space"/>
      <w:lvlText w:val="%1.%2.%3.%4.%5"/>
      <w:lvlJc w:val="left"/>
      <w:pPr>
        <w:ind w:left="224" w:hanging="420"/>
      </w:pPr>
      <w:rPr>
        <w:rFonts w:hint="default" w:ascii="Cambria" w:hAnsi="Cambria" w:eastAsia="仿宋_GB2312"/>
        <w:b/>
        <w:i w:val="0"/>
      </w:rPr>
    </w:lvl>
    <w:lvl w:ilvl="5" w:tentative="0">
      <w:start w:val="1"/>
      <w:numFmt w:val="decimal"/>
      <w:isLgl/>
      <w:suff w:val="space"/>
      <w:lvlText w:val="%1.%2.%3.%4.%5.%6"/>
      <w:lvlJc w:val="left"/>
      <w:pPr>
        <w:ind w:left="224" w:hanging="420"/>
      </w:pPr>
      <w:rPr>
        <w:rFonts w:hint="default" w:ascii="Cambria" w:hAnsi="Cambria" w:eastAsia="仿宋_GB2312"/>
        <w:b/>
        <w:i w:val="0"/>
      </w:rPr>
    </w:lvl>
    <w:lvl w:ilvl="6" w:tentative="0">
      <w:start w:val="1"/>
      <w:numFmt w:val="decimal"/>
      <w:isLgl/>
      <w:suff w:val="space"/>
      <w:lvlText w:val="%1.%2.%3.%4.%5.%6.%7"/>
      <w:lvlJc w:val="left"/>
      <w:pPr>
        <w:ind w:left="224" w:hanging="420"/>
      </w:pPr>
      <w:rPr>
        <w:rFonts w:hint="default" w:ascii="Cambria" w:hAnsi="Cambria" w:eastAsia="仿宋_GB2312"/>
        <w:b/>
      </w:rPr>
    </w:lvl>
    <w:lvl w:ilvl="7" w:tentative="0">
      <w:start w:val="1"/>
      <w:numFmt w:val="decimal"/>
      <w:isLgl/>
      <w:suff w:val="space"/>
      <w:lvlText w:val="%1.%2.%3.%4.%5.%6.%7.%8"/>
      <w:lvlJc w:val="left"/>
      <w:pPr>
        <w:ind w:left="224" w:hanging="420"/>
      </w:pPr>
      <w:rPr>
        <w:rFonts w:hint="default" w:ascii="Cambria" w:hAnsi="Cambria" w:eastAsia="仿宋_GB2312"/>
      </w:rPr>
    </w:lvl>
    <w:lvl w:ilvl="8" w:tentative="0">
      <w:start w:val="1"/>
      <w:numFmt w:val="decimal"/>
      <w:isLgl/>
      <w:suff w:val="space"/>
      <w:lvlText w:val="%1.%2.%3.%4.%5.%6.%7.%8.%9"/>
      <w:lvlJc w:val="left"/>
      <w:pPr>
        <w:ind w:left="224" w:hanging="420"/>
      </w:pPr>
      <w:rPr>
        <w:rFonts w:hint="default" w:ascii="Cambria" w:hAnsi="Cambria" w:eastAsia="仿宋_GB2312"/>
      </w:rPr>
    </w:lvl>
  </w:abstractNum>
  <w:abstractNum w:abstractNumId="5">
    <w:nsid w:val="00000005"/>
    <w:multiLevelType w:val="singleLevel"/>
    <w:tmpl w:val="00000005"/>
    <w:lvl w:ilvl="0" w:tentative="0">
      <w:start w:val="5"/>
      <w:numFmt w:val="chineseCounting"/>
      <w:suff w:val="nothing"/>
      <w:lvlText w:val="%1、"/>
      <w:lvlJc w:val="left"/>
      <w:rPr>
        <w:rFonts w:hint="eastAsia"/>
      </w:rPr>
    </w:lvl>
  </w:abstractNum>
  <w:abstractNum w:abstractNumId="6">
    <w:nsid w:val="00000006"/>
    <w:multiLevelType w:val="multilevel"/>
    <w:tmpl w:val="00000006"/>
    <w:lvl w:ilvl="0" w:tentative="0">
      <w:start w:val="1"/>
      <w:numFmt w:val="chineseCountingThousand"/>
      <w:lvlText w:val="第%1章."/>
      <w:lvlJc w:val="left"/>
      <w:pPr>
        <w:ind w:left="224" w:hanging="420"/>
      </w:pPr>
      <w:rPr>
        <w:rFonts w:hint="eastAsia"/>
        <w:b/>
        <w:i w:val="0"/>
        <w:sz w:val="44"/>
        <w:szCs w:val="44"/>
      </w:rPr>
    </w:lvl>
    <w:lvl w:ilvl="1" w:tentative="0">
      <w:start w:val="1"/>
      <w:numFmt w:val="decimal"/>
      <w:isLgl/>
      <w:suff w:val="space"/>
      <w:lvlText w:val="%1.%2"/>
      <w:lvlJc w:val="left"/>
      <w:pPr>
        <w:ind w:left="366" w:hanging="420"/>
      </w:pPr>
      <w:rPr>
        <w:b w:val="0"/>
        <w:bCs w:val="0"/>
        <w:i w:val="0"/>
        <w:iCs w:val="0"/>
        <w:caps w:val="0"/>
        <w:smallCaps w:val="0"/>
        <w:strike w:val="0"/>
        <w:dstrike w:val="0"/>
        <w:vanish w:val="0"/>
        <w:color w:val="000000"/>
        <w:spacing w:val="0"/>
        <w:position w:val="0"/>
        <w:u w:val="none"/>
        <w:vertAlign w:val="baseline"/>
      </w:rPr>
    </w:lvl>
    <w:lvl w:ilvl="2" w:tentative="0">
      <w:start w:val="1"/>
      <w:numFmt w:val="decimalEnclosedCircle"/>
      <w:lvlText w:val="%3"/>
      <w:lvlJc w:val="left"/>
      <w:pPr>
        <w:ind w:left="846" w:hanging="420"/>
      </w:pPr>
      <w:rPr>
        <w:rFonts w:hint="default"/>
        <w:b/>
        <w:i w:val="0"/>
        <w:sz w:val="32"/>
        <w:szCs w:val="32"/>
      </w:rPr>
    </w:lvl>
    <w:lvl w:ilvl="3" w:tentative="0">
      <w:start w:val="1"/>
      <w:numFmt w:val="decimal"/>
      <w:isLgl/>
      <w:suff w:val="space"/>
      <w:lvlText w:val="%1.%2.%3.%4"/>
      <w:lvlJc w:val="left"/>
      <w:pPr>
        <w:ind w:left="2492" w:hanging="2688"/>
      </w:pPr>
      <w:rPr>
        <w:rFonts w:hint="default" w:ascii="Cambria" w:hAnsi="Cambria" w:eastAsia="仿宋_GB2312"/>
        <w:b/>
        <w:i w:val="0"/>
      </w:rPr>
    </w:lvl>
    <w:lvl w:ilvl="4" w:tentative="0">
      <w:start w:val="1"/>
      <w:numFmt w:val="decimal"/>
      <w:isLgl/>
      <w:suff w:val="space"/>
      <w:lvlText w:val="%1.%2.%3.%4.%5"/>
      <w:lvlJc w:val="left"/>
      <w:pPr>
        <w:ind w:left="224" w:hanging="420"/>
      </w:pPr>
      <w:rPr>
        <w:rFonts w:hint="default" w:ascii="Cambria" w:hAnsi="Cambria" w:eastAsia="仿宋_GB2312"/>
        <w:b/>
        <w:i w:val="0"/>
      </w:rPr>
    </w:lvl>
    <w:lvl w:ilvl="5" w:tentative="0">
      <w:start w:val="1"/>
      <w:numFmt w:val="decimal"/>
      <w:isLgl/>
      <w:suff w:val="space"/>
      <w:lvlText w:val="%1.%2.%3.%4.%5.%6"/>
      <w:lvlJc w:val="left"/>
      <w:pPr>
        <w:ind w:left="224" w:hanging="420"/>
      </w:pPr>
      <w:rPr>
        <w:rFonts w:hint="default" w:ascii="Cambria" w:hAnsi="Cambria" w:eastAsia="仿宋_GB2312"/>
        <w:b/>
        <w:i w:val="0"/>
      </w:rPr>
    </w:lvl>
    <w:lvl w:ilvl="6" w:tentative="0">
      <w:start w:val="1"/>
      <w:numFmt w:val="decimal"/>
      <w:isLgl/>
      <w:suff w:val="space"/>
      <w:lvlText w:val="%1.%2.%3.%4.%5.%6.%7"/>
      <w:lvlJc w:val="left"/>
      <w:pPr>
        <w:ind w:left="224" w:hanging="420"/>
      </w:pPr>
      <w:rPr>
        <w:rFonts w:hint="default" w:ascii="Cambria" w:hAnsi="Cambria" w:eastAsia="仿宋_GB2312"/>
        <w:b/>
      </w:rPr>
    </w:lvl>
    <w:lvl w:ilvl="7" w:tentative="0">
      <w:start w:val="1"/>
      <w:numFmt w:val="decimal"/>
      <w:isLgl/>
      <w:suff w:val="space"/>
      <w:lvlText w:val="%1.%2.%3.%4.%5.%6.%7.%8"/>
      <w:lvlJc w:val="left"/>
      <w:pPr>
        <w:ind w:left="224" w:hanging="420"/>
      </w:pPr>
      <w:rPr>
        <w:rFonts w:hint="default" w:ascii="Cambria" w:hAnsi="Cambria" w:eastAsia="仿宋_GB2312"/>
      </w:rPr>
    </w:lvl>
    <w:lvl w:ilvl="8" w:tentative="0">
      <w:start w:val="1"/>
      <w:numFmt w:val="decimal"/>
      <w:isLgl/>
      <w:suff w:val="space"/>
      <w:lvlText w:val="%1.%2.%3.%4.%5.%6.%7.%8.%9"/>
      <w:lvlJc w:val="left"/>
      <w:pPr>
        <w:ind w:left="224" w:hanging="420"/>
      </w:pPr>
      <w:rPr>
        <w:rFonts w:hint="default" w:ascii="Cambria" w:hAnsi="Cambria" w:eastAsia="仿宋_GB2312"/>
      </w:rPr>
    </w:lvl>
  </w:abstractNum>
  <w:abstractNum w:abstractNumId="7">
    <w:nsid w:val="00000007"/>
    <w:multiLevelType w:val="multilevel"/>
    <w:tmpl w:val="00000007"/>
    <w:lvl w:ilvl="0" w:tentative="0">
      <w:start w:val="1"/>
      <w:numFmt w:val="chineseCountingThousand"/>
      <w:lvlText w:val="第%1章."/>
      <w:lvlJc w:val="left"/>
      <w:pPr>
        <w:ind w:left="224" w:hanging="420"/>
      </w:pPr>
      <w:rPr>
        <w:rFonts w:hint="eastAsia"/>
        <w:b/>
        <w:i w:val="0"/>
        <w:sz w:val="44"/>
        <w:szCs w:val="44"/>
      </w:rPr>
    </w:lvl>
    <w:lvl w:ilvl="1" w:tentative="0">
      <w:start w:val="1"/>
      <w:numFmt w:val="decimal"/>
      <w:isLgl/>
      <w:suff w:val="space"/>
      <w:lvlText w:val="%1.%2"/>
      <w:lvlJc w:val="left"/>
      <w:pPr>
        <w:ind w:left="366" w:hanging="420"/>
      </w:pPr>
      <w:rPr>
        <w:b w:val="0"/>
        <w:bCs w:val="0"/>
        <w:i w:val="0"/>
        <w:iCs w:val="0"/>
        <w:caps w:val="0"/>
        <w:smallCaps w:val="0"/>
        <w:strike w:val="0"/>
        <w:dstrike w:val="0"/>
        <w:vanish w:val="0"/>
        <w:color w:val="000000"/>
        <w:spacing w:val="0"/>
        <w:position w:val="0"/>
        <w:u w:val="none"/>
        <w:vertAlign w:val="baseline"/>
      </w:rPr>
    </w:lvl>
    <w:lvl w:ilvl="2" w:tentative="0">
      <w:start w:val="1"/>
      <w:numFmt w:val="decimalEnclosedCircle"/>
      <w:lvlText w:val="%3"/>
      <w:lvlJc w:val="left"/>
      <w:pPr>
        <w:ind w:left="846" w:hanging="420"/>
      </w:pPr>
      <w:rPr>
        <w:rFonts w:hint="default"/>
        <w:b/>
        <w:i w:val="0"/>
        <w:sz w:val="32"/>
        <w:szCs w:val="32"/>
      </w:rPr>
    </w:lvl>
    <w:lvl w:ilvl="3" w:tentative="0">
      <w:start w:val="1"/>
      <w:numFmt w:val="decimal"/>
      <w:isLgl/>
      <w:suff w:val="space"/>
      <w:lvlText w:val="%1.%2.%3.%4"/>
      <w:lvlJc w:val="left"/>
      <w:pPr>
        <w:ind w:left="2492" w:hanging="2688"/>
      </w:pPr>
      <w:rPr>
        <w:rFonts w:hint="default" w:ascii="Cambria" w:hAnsi="Cambria" w:eastAsia="仿宋_GB2312"/>
        <w:b/>
        <w:i w:val="0"/>
      </w:rPr>
    </w:lvl>
    <w:lvl w:ilvl="4" w:tentative="0">
      <w:start w:val="1"/>
      <w:numFmt w:val="decimal"/>
      <w:isLgl/>
      <w:suff w:val="space"/>
      <w:lvlText w:val="%1.%2.%3.%4.%5"/>
      <w:lvlJc w:val="left"/>
      <w:pPr>
        <w:ind w:left="224" w:hanging="420"/>
      </w:pPr>
      <w:rPr>
        <w:rFonts w:hint="default" w:ascii="Cambria" w:hAnsi="Cambria" w:eastAsia="仿宋_GB2312"/>
        <w:b/>
        <w:i w:val="0"/>
      </w:rPr>
    </w:lvl>
    <w:lvl w:ilvl="5" w:tentative="0">
      <w:start w:val="1"/>
      <w:numFmt w:val="decimal"/>
      <w:isLgl/>
      <w:suff w:val="space"/>
      <w:lvlText w:val="%1.%2.%3.%4.%5.%6"/>
      <w:lvlJc w:val="left"/>
      <w:pPr>
        <w:ind w:left="224" w:hanging="420"/>
      </w:pPr>
      <w:rPr>
        <w:rFonts w:hint="default" w:ascii="Cambria" w:hAnsi="Cambria" w:eastAsia="仿宋_GB2312"/>
        <w:b/>
        <w:i w:val="0"/>
      </w:rPr>
    </w:lvl>
    <w:lvl w:ilvl="6" w:tentative="0">
      <w:start w:val="1"/>
      <w:numFmt w:val="decimal"/>
      <w:isLgl/>
      <w:suff w:val="space"/>
      <w:lvlText w:val="%1.%2.%3.%4.%5.%6.%7"/>
      <w:lvlJc w:val="left"/>
      <w:pPr>
        <w:ind w:left="224" w:hanging="420"/>
      </w:pPr>
      <w:rPr>
        <w:rFonts w:hint="default" w:ascii="Cambria" w:hAnsi="Cambria" w:eastAsia="仿宋_GB2312"/>
        <w:b/>
      </w:rPr>
    </w:lvl>
    <w:lvl w:ilvl="7" w:tentative="0">
      <w:start w:val="1"/>
      <w:numFmt w:val="decimal"/>
      <w:isLgl/>
      <w:suff w:val="space"/>
      <w:lvlText w:val="%1.%2.%3.%4.%5.%6.%7.%8"/>
      <w:lvlJc w:val="left"/>
      <w:pPr>
        <w:ind w:left="224" w:hanging="420"/>
      </w:pPr>
      <w:rPr>
        <w:rFonts w:hint="default" w:ascii="Cambria" w:hAnsi="Cambria" w:eastAsia="仿宋_GB2312"/>
      </w:rPr>
    </w:lvl>
    <w:lvl w:ilvl="8" w:tentative="0">
      <w:start w:val="1"/>
      <w:numFmt w:val="decimal"/>
      <w:isLgl/>
      <w:suff w:val="space"/>
      <w:lvlText w:val="%1.%2.%3.%4.%5.%6.%7.%8.%9"/>
      <w:lvlJc w:val="left"/>
      <w:pPr>
        <w:ind w:left="224" w:hanging="420"/>
      </w:pPr>
      <w:rPr>
        <w:rFonts w:hint="default" w:ascii="Cambria" w:hAnsi="Cambria" w:eastAsia="仿宋_GB2312"/>
      </w:rPr>
    </w:lvl>
  </w:abstractNum>
  <w:abstractNum w:abstractNumId="8">
    <w:nsid w:val="00000008"/>
    <w:multiLevelType w:val="multilevel"/>
    <w:tmpl w:val="00000008"/>
    <w:lvl w:ilvl="0" w:tentative="0">
      <w:start w:val="1"/>
      <w:numFmt w:val="bullet"/>
      <w:pStyle w:val="116"/>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00000009"/>
    <w:multiLevelType w:val="singleLevel"/>
    <w:tmpl w:val="00000009"/>
    <w:lvl w:ilvl="0" w:tentative="0">
      <w:start w:val="1"/>
      <w:numFmt w:val="decimal"/>
      <w:pStyle w:val="16"/>
      <w:lvlText w:val="%1."/>
      <w:lvlJc w:val="left"/>
      <w:pPr>
        <w:tabs>
          <w:tab w:val="left" w:pos="1200"/>
        </w:tabs>
        <w:ind w:left="1200" w:hanging="360"/>
      </w:pPr>
    </w:lvl>
  </w:abstractNum>
  <w:abstractNum w:abstractNumId="10">
    <w:nsid w:val="0000000A"/>
    <w:multiLevelType w:val="multilevel"/>
    <w:tmpl w:val="0000000A"/>
    <w:lvl w:ilvl="0" w:tentative="0">
      <w:start w:val="1"/>
      <w:numFmt w:val="chineseCountingThousand"/>
      <w:lvlText w:val="第%1章."/>
      <w:lvlJc w:val="left"/>
      <w:pPr>
        <w:ind w:left="224" w:hanging="420"/>
      </w:pPr>
      <w:rPr>
        <w:rFonts w:hint="eastAsia"/>
        <w:b/>
        <w:i w:val="0"/>
        <w:sz w:val="44"/>
        <w:szCs w:val="44"/>
      </w:rPr>
    </w:lvl>
    <w:lvl w:ilvl="1" w:tentative="0">
      <w:start w:val="1"/>
      <w:numFmt w:val="decimal"/>
      <w:isLgl/>
      <w:suff w:val="space"/>
      <w:lvlText w:val="%1.%2"/>
      <w:lvlJc w:val="left"/>
      <w:pPr>
        <w:ind w:left="366" w:hanging="420"/>
      </w:pPr>
      <w:rPr>
        <w:b w:val="0"/>
        <w:bCs w:val="0"/>
        <w:i w:val="0"/>
        <w:iCs w:val="0"/>
        <w:caps w:val="0"/>
        <w:smallCaps w:val="0"/>
        <w:strike w:val="0"/>
        <w:dstrike w:val="0"/>
        <w:vanish w:val="0"/>
        <w:color w:val="000000"/>
        <w:spacing w:val="0"/>
        <w:position w:val="0"/>
        <w:u w:val="none"/>
        <w:vertAlign w:val="baseline"/>
      </w:rPr>
    </w:lvl>
    <w:lvl w:ilvl="2" w:tentative="0">
      <w:start w:val="1"/>
      <w:numFmt w:val="decimalEnclosedCircle"/>
      <w:lvlText w:val="%3"/>
      <w:lvlJc w:val="left"/>
      <w:pPr>
        <w:ind w:left="846" w:hanging="420"/>
      </w:pPr>
      <w:rPr>
        <w:rFonts w:hint="default"/>
        <w:b/>
        <w:i w:val="0"/>
        <w:sz w:val="32"/>
        <w:szCs w:val="32"/>
      </w:rPr>
    </w:lvl>
    <w:lvl w:ilvl="3" w:tentative="0">
      <w:start w:val="1"/>
      <w:numFmt w:val="decimal"/>
      <w:isLgl/>
      <w:suff w:val="space"/>
      <w:lvlText w:val="%1.%2.%3.%4"/>
      <w:lvlJc w:val="left"/>
      <w:pPr>
        <w:ind w:left="2492" w:hanging="2688"/>
      </w:pPr>
      <w:rPr>
        <w:rFonts w:hint="default" w:ascii="Cambria" w:hAnsi="Cambria" w:eastAsia="仿宋_GB2312"/>
        <w:b/>
        <w:i w:val="0"/>
      </w:rPr>
    </w:lvl>
    <w:lvl w:ilvl="4" w:tentative="0">
      <w:start w:val="1"/>
      <w:numFmt w:val="decimal"/>
      <w:isLgl/>
      <w:suff w:val="space"/>
      <w:lvlText w:val="%1.%2.%3.%4.%5"/>
      <w:lvlJc w:val="left"/>
      <w:pPr>
        <w:ind w:left="224" w:hanging="420"/>
      </w:pPr>
      <w:rPr>
        <w:rFonts w:hint="default" w:ascii="Cambria" w:hAnsi="Cambria" w:eastAsia="仿宋_GB2312"/>
        <w:b/>
        <w:i w:val="0"/>
      </w:rPr>
    </w:lvl>
    <w:lvl w:ilvl="5" w:tentative="0">
      <w:start w:val="1"/>
      <w:numFmt w:val="decimal"/>
      <w:isLgl/>
      <w:suff w:val="space"/>
      <w:lvlText w:val="%1.%2.%3.%4.%5.%6"/>
      <w:lvlJc w:val="left"/>
      <w:pPr>
        <w:ind w:left="224" w:hanging="420"/>
      </w:pPr>
      <w:rPr>
        <w:rFonts w:hint="default" w:ascii="Cambria" w:hAnsi="Cambria" w:eastAsia="仿宋_GB2312"/>
        <w:b/>
        <w:i w:val="0"/>
      </w:rPr>
    </w:lvl>
    <w:lvl w:ilvl="6" w:tentative="0">
      <w:start w:val="1"/>
      <w:numFmt w:val="decimal"/>
      <w:isLgl/>
      <w:suff w:val="space"/>
      <w:lvlText w:val="%1.%2.%3.%4.%5.%6.%7"/>
      <w:lvlJc w:val="left"/>
      <w:pPr>
        <w:ind w:left="224" w:hanging="420"/>
      </w:pPr>
      <w:rPr>
        <w:rFonts w:hint="default" w:ascii="Cambria" w:hAnsi="Cambria" w:eastAsia="仿宋_GB2312"/>
        <w:b/>
      </w:rPr>
    </w:lvl>
    <w:lvl w:ilvl="7" w:tentative="0">
      <w:start w:val="1"/>
      <w:numFmt w:val="decimal"/>
      <w:isLgl/>
      <w:suff w:val="space"/>
      <w:lvlText w:val="%1.%2.%3.%4.%5.%6.%7.%8"/>
      <w:lvlJc w:val="left"/>
      <w:pPr>
        <w:ind w:left="224" w:hanging="420"/>
      </w:pPr>
      <w:rPr>
        <w:rFonts w:hint="default" w:ascii="Cambria" w:hAnsi="Cambria" w:eastAsia="仿宋_GB2312"/>
      </w:rPr>
    </w:lvl>
    <w:lvl w:ilvl="8" w:tentative="0">
      <w:start w:val="1"/>
      <w:numFmt w:val="decimal"/>
      <w:isLgl/>
      <w:suff w:val="space"/>
      <w:lvlText w:val="%1.%2.%3.%4.%5.%6.%7.%8.%9"/>
      <w:lvlJc w:val="left"/>
      <w:pPr>
        <w:ind w:left="224" w:hanging="420"/>
      </w:pPr>
      <w:rPr>
        <w:rFonts w:hint="default" w:ascii="Cambria" w:hAnsi="Cambria" w:eastAsia="仿宋_GB2312"/>
      </w:rPr>
    </w:lvl>
  </w:abstractNum>
  <w:num w:numId="1">
    <w:abstractNumId w:val="2"/>
  </w:num>
  <w:num w:numId="2">
    <w:abstractNumId w:val="9"/>
  </w:num>
  <w:num w:numId="3">
    <w:abstractNumId w:val="1"/>
  </w:num>
  <w:num w:numId="4">
    <w:abstractNumId w:val="8"/>
  </w:num>
  <w:num w:numId="5">
    <w:abstractNumId w:val="0"/>
  </w:num>
  <w:num w:numId="6">
    <w:abstractNumId w:val="6"/>
  </w:num>
  <w:num w:numId="7">
    <w:abstractNumId w:val="4"/>
  </w:num>
  <w:num w:numId="8">
    <w:abstractNumId w:val="10"/>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604428"/>
    <w:rsid w:val="28220A27"/>
    <w:rsid w:val="2D433D1D"/>
    <w:rsid w:val="353A7CFA"/>
    <w:rsid w:val="51EF1CF9"/>
    <w:rsid w:val="765057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4">
    <w:name w:val="heading 1"/>
    <w:basedOn w:val="1"/>
    <w:next w:val="1"/>
    <w:link w:val="87"/>
    <w:uiPriority w:val="0"/>
    <w:pPr>
      <w:keepNext/>
      <w:keepLines/>
      <w:spacing w:before="340" w:beforeLines="0" w:after="330" w:afterLines="0" w:line="576" w:lineRule="auto"/>
      <w:outlineLvl w:val="0"/>
    </w:pPr>
    <w:rPr>
      <w:rFonts w:eastAsia="宋体"/>
      <w:b/>
      <w:color w:val="000000"/>
      <w:kern w:val="44"/>
      <w:sz w:val="44"/>
      <w:szCs w:val="21"/>
      <w:lang w:val="en-US" w:eastAsia="zh-CN" w:bidi="ar-SA"/>
    </w:rPr>
  </w:style>
  <w:style w:type="paragraph" w:styleId="5">
    <w:name w:val="heading 2"/>
    <w:basedOn w:val="1"/>
    <w:next w:val="1"/>
    <w:link w:val="76"/>
    <w:uiPriority w:val="0"/>
    <w:pPr>
      <w:keepNext/>
      <w:keepLines/>
      <w:autoSpaceDE/>
      <w:autoSpaceDN/>
      <w:adjustRightInd/>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6">
    <w:name w:val="heading 3"/>
    <w:basedOn w:val="1"/>
    <w:next w:val="1"/>
    <w:link w:val="68"/>
    <w:uiPriority w:val="0"/>
    <w:pPr>
      <w:keepNext/>
      <w:keepLines/>
      <w:spacing w:before="260" w:beforeLines="0" w:after="260" w:afterLines="0" w:line="413" w:lineRule="auto"/>
      <w:outlineLvl w:val="2"/>
    </w:pPr>
    <w:rPr>
      <w:rFonts w:eastAsia="宋体"/>
      <w:b/>
      <w:bCs/>
      <w:color w:val="000000"/>
      <w:sz w:val="32"/>
      <w:szCs w:val="32"/>
      <w:lang w:val="en-US" w:eastAsia="zh-CN" w:bidi="ar-SA"/>
    </w:rPr>
  </w:style>
  <w:style w:type="paragraph" w:styleId="7">
    <w:name w:val="heading 4"/>
    <w:next w:val="1"/>
    <w:uiPriority w:val="0"/>
    <w:pPr>
      <w:keepNext/>
      <w:keepLines/>
      <w:spacing w:before="280" w:beforeLines="0" w:after="290" w:afterLines="0" w:line="377" w:lineRule="auto"/>
      <w:outlineLvl w:val="3"/>
    </w:pPr>
    <w:rPr>
      <w:rFonts w:ascii="Cambria" w:hAnsi="Cambria" w:eastAsia="黑体" w:cs="Times New Roman"/>
      <w:b/>
      <w:bCs/>
      <w:kern w:val="2"/>
      <w:sz w:val="24"/>
      <w:szCs w:val="28"/>
      <w:lang w:val="en-US" w:eastAsia="zh-CN" w:bidi="ar-SA"/>
    </w:rPr>
  </w:style>
  <w:style w:type="paragraph" w:styleId="8">
    <w:name w:val="heading 5"/>
    <w:basedOn w:val="1"/>
    <w:next w:val="1"/>
    <w:uiPriority w:val="0"/>
    <w:pPr>
      <w:keepNext/>
      <w:keepLines/>
      <w:autoSpaceDE/>
      <w:autoSpaceDN/>
      <w:adjustRightInd/>
      <w:spacing w:before="280" w:beforeLines="0" w:after="290" w:afterLines="0" w:line="372" w:lineRule="auto"/>
      <w:outlineLvl w:val="4"/>
    </w:pPr>
    <w:rPr>
      <w:rFonts w:ascii="Calibri" w:hAnsi="Calibri"/>
      <w:b/>
      <w:bCs/>
      <w:color w:val="auto"/>
      <w:kern w:val="2"/>
      <w:sz w:val="28"/>
      <w:szCs w:val="28"/>
    </w:rPr>
  </w:style>
  <w:style w:type="character" w:default="1" w:styleId="39">
    <w:name w:val="Default Paragraph Font"/>
    <w:uiPriority w:val="0"/>
  </w:style>
  <w:style w:type="table" w:default="1" w:styleId="38">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uiPriority w:val="0"/>
    <w:pPr>
      <w:adjustRightInd w:val="0"/>
      <w:spacing w:line="420" w:lineRule="atLeast"/>
      <w:jc w:val="left"/>
      <w:textAlignment w:val="baseline"/>
    </w:pPr>
    <w:rPr>
      <w:rFonts w:ascii="Times New Roman" w:hAnsi="Times New Roman" w:cs="Times New Roman"/>
      <w:kern w:val="0"/>
      <w:szCs w:val="24"/>
    </w:rPr>
  </w:style>
  <w:style w:type="paragraph" w:styleId="3">
    <w:name w:val="Body Text"/>
    <w:basedOn w:val="1"/>
    <w:uiPriority w:val="0"/>
    <w:pPr>
      <w:spacing w:after="120" w:afterLines="0"/>
    </w:pPr>
  </w:style>
  <w:style w:type="paragraph" w:styleId="9">
    <w:name w:val="toc 7"/>
    <w:basedOn w:val="1"/>
    <w:next w:val="1"/>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0">
    <w:name w:val="List Number"/>
    <w:basedOn w:val="1"/>
    <w:uiPriority w:val="0"/>
    <w:pPr>
      <w:widowControl/>
      <w:numPr>
        <w:ilvl w:val="0"/>
        <w:numId w:val="1"/>
      </w:numPr>
      <w:tabs>
        <w:tab w:val="left" w:pos="720"/>
        <w:tab w:val="clear" w:pos="360"/>
      </w:tabs>
      <w:autoSpaceDE/>
      <w:autoSpaceDN/>
      <w:adjustRightInd/>
      <w:spacing w:after="156" w:afterLines="50"/>
      <w:jc w:val="left"/>
    </w:pPr>
    <w:rPr>
      <w:color w:val="auto"/>
      <w:sz w:val="24"/>
      <w:szCs w:val="20"/>
    </w:rPr>
  </w:style>
  <w:style w:type="paragraph" w:styleId="11">
    <w:name w:val="Normal Indent"/>
    <w:basedOn w:val="1"/>
    <w:link w:val="77"/>
    <w:uiPriority w:val="0"/>
    <w:pPr>
      <w:autoSpaceDE/>
      <w:autoSpaceDN/>
      <w:adjustRightInd/>
      <w:ind w:firstLine="420"/>
    </w:pPr>
    <w:rPr>
      <w:rFonts w:eastAsia="宋体"/>
      <w:kern w:val="2"/>
      <w:sz w:val="21"/>
      <w:lang w:val="en-US" w:eastAsia="zh-CN" w:bidi="ar-SA"/>
    </w:rPr>
  </w:style>
  <w:style w:type="paragraph" w:styleId="12">
    <w:name w:val="caption"/>
    <w:basedOn w:val="1"/>
    <w:next w:val="1"/>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3">
    <w:name w:val="Document Map"/>
    <w:basedOn w:val="1"/>
    <w:autoRedefine/>
    <w:qFormat/>
    <w:uiPriority w:val="0"/>
    <w:pPr>
      <w:shd w:val="clear" w:color="auto" w:fill="000080"/>
      <w:autoSpaceDE/>
      <w:autoSpaceDN/>
      <w:adjustRightInd/>
    </w:pPr>
    <w:rPr>
      <w:color w:val="auto"/>
      <w:kern w:val="2"/>
      <w:szCs w:val="24"/>
    </w:rPr>
  </w:style>
  <w:style w:type="paragraph" w:styleId="14">
    <w:name w:val="annotation text"/>
    <w:basedOn w:val="1"/>
    <w:uiPriority w:val="0"/>
    <w:pPr>
      <w:autoSpaceDE/>
      <w:autoSpaceDN/>
      <w:adjustRightInd/>
      <w:spacing w:line="360" w:lineRule="auto"/>
      <w:ind w:firstLine="200" w:firstLineChars="200"/>
      <w:jc w:val="left"/>
    </w:pPr>
    <w:rPr>
      <w:color w:val="auto"/>
      <w:sz w:val="20"/>
      <w:szCs w:val="20"/>
    </w:rPr>
  </w:style>
  <w:style w:type="paragraph" w:styleId="15">
    <w:name w:val="Body Text Indent"/>
    <w:basedOn w:val="1"/>
    <w:link w:val="63"/>
    <w:uiPriority w:val="0"/>
    <w:pPr>
      <w:spacing w:after="120" w:afterLines="0"/>
      <w:ind w:left="420" w:leftChars="200"/>
    </w:pPr>
    <w:rPr>
      <w:rFonts w:eastAsia="宋体"/>
      <w:color w:val="000000"/>
      <w:sz w:val="21"/>
      <w:szCs w:val="21"/>
      <w:lang w:val="en-US" w:eastAsia="zh-CN" w:bidi="ar-SA"/>
    </w:rPr>
  </w:style>
  <w:style w:type="paragraph" w:styleId="16">
    <w:name w:val="List Number 3"/>
    <w:basedOn w:val="1"/>
    <w:uiPriority w:val="0"/>
    <w:pPr>
      <w:numPr>
        <w:ilvl w:val="0"/>
        <w:numId w:val="2"/>
      </w:numPr>
    </w:pPr>
  </w:style>
  <w:style w:type="paragraph" w:styleId="17">
    <w:name w:val="toc 5"/>
    <w:basedOn w:val="1"/>
    <w:next w:val="1"/>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18">
    <w:name w:val="toc 3"/>
    <w:basedOn w:val="1"/>
    <w:next w:val="1"/>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19">
    <w:name w:val="Plain Text"/>
    <w:basedOn w:val="1"/>
    <w:link w:val="89"/>
    <w:uiPriority w:val="0"/>
    <w:pPr>
      <w:autoSpaceDE/>
      <w:autoSpaceDN/>
      <w:adjustRightInd/>
    </w:pPr>
    <w:rPr>
      <w:rFonts w:eastAsia="宋体"/>
      <w:kern w:val="2"/>
      <w:sz w:val="24"/>
      <w:lang w:val="en-US" w:eastAsia="zh-CN" w:bidi="ar-SA"/>
    </w:rPr>
  </w:style>
  <w:style w:type="paragraph" w:styleId="20">
    <w:name w:val="toc 8"/>
    <w:basedOn w:val="1"/>
    <w:next w:val="1"/>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1">
    <w:name w:val="Date"/>
    <w:basedOn w:val="1"/>
    <w:next w:val="1"/>
    <w:link w:val="58"/>
    <w:uiPriority w:val="0"/>
    <w:pPr>
      <w:ind w:left="100" w:leftChars="2500"/>
    </w:pPr>
    <w:rPr>
      <w:rFonts w:eastAsia="宋体"/>
      <w:color w:val="000000"/>
      <w:sz w:val="21"/>
      <w:szCs w:val="21"/>
      <w:lang w:val="en-US" w:eastAsia="zh-CN" w:bidi="ar-SA"/>
    </w:rPr>
  </w:style>
  <w:style w:type="paragraph" w:styleId="22">
    <w:name w:val="Body Text Indent 2"/>
    <w:basedOn w:val="1"/>
    <w:autoRedefine/>
    <w:qFormat/>
    <w:uiPriority w:val="0"/>
    <w:pPr>
      <w:autoSpaceDE/>
      <w:autoSpaceDN/>
      <w:adjustRightInd/>
      <w:spacing w:after="120" w:afterLines="0" w:line="480" w:lineRule="auto"/>
      <w:ind w:left="420" w:leftChars="200" w:firstLine="200" w:firstLineChars="200"/>
    </w:pPr>
    <w:rPr>
      <w:rFonts w:ascii="仿宋_GB2312" w:eastAsia="仿宋_GB2312"/>
      <w:color w:val="auto"/>
      <w:kern w:val="2"/>
      <w:sz w:val="28"/>
      <w:szCs w:val="28"/>
    </w:rPr>
  </w:style>
  <w:style w:type="paragraph" w:styleId="23">
    <w:name w:val="Balloon Text"/>
    <w:basedOn w:val="1"/>
    <w:uiPriority w:val="0"/>
    <w:pPr>
      <w:autoSpaceDE/>
      <w:autoSpaceDN/>
      <w:adjustRightInd/>
    </w:pPr>
    <w:rPr>
      <w:color w:val="auto"/>
      <w:kern w:val="2"/>
      <w:sz w:val="18"/>
      <w:szCs w:val="18"/>
    </w:rPr>
  </w:style>
  <w:style w:type="paragraph" w:styleId="24">
    <w:name w:val="footer"/>
    <w:basedOn w:val="1"/>
    <w:link w:val="81"/>
    <w:uiPriority w:val="0"/>
    <w:pPr>
      <w:tabs>
        <w:tab w:val="center" w:pos="4153"/>
        <w:tab w:val="right" w:pos="8306"/>
      </w:tabs>
      <w:snapToGrid w:val="0"/>
      <w:jc w:val="left"/>
    </w:pPr>
    <w:rPr>
      <w:rFonts w:eastAsia="宋体"/>
      <w:color w:val="000000"/>
      <w:sz w:val="18"/>
      <w:szCs w:val="18"/>
      <w:lang w:val="en-US" w:eastAsia="zh-CN" w:bidi="ar-SA"/>
    </w:rPr>
  </w:style>
  <w:style w:type="paragraph" w:styleId="25">
    <w:name w:val="header"/>
    <w:basedOn w:val="1"/>
    <w:link w:val="64"/>
    <w:uiPriority w:val="0"/>
    <w:pPr>
      <w:pBdr>
        <w:bottom w:val="single" w:color="auto" w:sz="6" w:space="1"/>
      </w:pBdr>
      <w:tabs>
        <w:tab w:val="center" w:pos="4153"/>
        <w:tab w:val="right" w:pos="8306"/>
      </w:tabs>
      <w:snapToGrid w:val="0"/>
      <w:jc w:val="center"/>
    </w:pPr>
    <w:rPr>
      <w:rFonts w:eastAsia="宋体"/>
      <w:color w:val="000000"/>
      <w:sz w:val="18"/>
      <w:szCs w:val="18"/>
      <w:lang w:val="en-US" w:eastAsia="zh-CN" w:bidi="ar-SA"/>
    </w:rPr>
  </w:style>
  <w:style w:type="paragraph" w:styleId="26">
    <w:name w:val="Signature"/>
    <w:basedOn w:val="1"/>
    <w:next w:val="1"/>
    <w:link w:val="88"/>
    <w:uiPriority w:val="0"/>
    <w:pPr>
      <w:keepNext/>
      <w:widowControl/>
      <w:numPr>
        <w:ilvl w:val="1"/>
        <w:numId w:val="3"/>
      </w:numPr>
      <w:autoSpaceDE/>
      <w:autoSpaceDN/>
      <w:spacing w:line="220" w:lineRule="atLeast"/>
      <w:jc w:val="right"/>
      <w:textAlignment w:val="baseline"/>
    </w:pPr>
    <w:rPr>
      <w:rFonts w:ascii="Arial" w:hAnsi="Arial" w:eastAsia="宋体"/>
      <w:spacing w:val="-5"/>
      <w:sz w:val="24"/>
      <w:lang w:bidi="ar-SA"/>
    </w:rPr>
  </w:style>
  <w:style w:type="paragraph" w:styleId="27">
    <w:name w:val="toc 1"/>
    <w:basedOn w:val="1"/>
    <w:next w:val="1"/>
    <w:uiPriority w:val="0"/>
    <w:pPr>
      <w:spacing w:line="360" w:lineRule="auto"/>
    </w:pPr>
    <w:rPr>
      <w:rFonts w:eastAsia="黑体"/>
      <w:sz w:val="24"/>
    </w:rPr>
  </w:style>
  <w:style w:type="paragraph" w:styleId="28">
    <w:name w:val="toc 4"/>
    <w:basedOn w:val="1"/>
    <w:next w:val="1"/>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29">
    <w:name w:val="toc 6"/>
    <w:basedOn w:val="1"/>
    <w:next w:val="1"/>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0">
    <w:name w:val="Body Text Indent 3"/>
    <w:basedOn w:val="1"/>
    <w:link w:val="59"/>
    <w:autoRedefine/>
    <w:uiPriority w:val="0"/>
    <w:pPr>
      <w:autoSpaceDE/>
      <w:autoSpaceDN/>
      <w:adjustRightInd/>
      <w:ind w:firstLine="435"/>
    </w:pPr>
    <w:rPr>
      <w:rFonts w:eastAsia="宋体"/>
      <w:kern w:val="2"/>
      <w:sz w:val="21"/>
      <w:szCs w:val="24"/>
      <w:lang w:val="en-US" w:eastAsia="zh-CN" w:bidi="ar-SA"/>
    </w:rPr>
  </w:style>
  <w:style w:type="paragraph" w:styleId="31">
    <w:name w:val="index 7"/>
    <w:basedOn w:val="1"/>
    <w:next w:val="1"/>
    <w:uiPriority w:val="0"/>
    <w:pPr>
      <w:autoSpaceDE/>
      <w:autoSpaceDN/>
      <w:adjustRightInd/>
      <w:ind w:left="1200" w:leftChars="1200"/>
    </w:pPr>
    <w:rPr>
      <w:color w:val="auto"/>
      <w:kern w:val="2"/>
      <w:szCs w:val="24"/>
    </w:rPr>
  </w:style>
  <w:style w:type="paragraph" w:styleId="32">
    <w:name w:val="toc 2"/>
    <w:basedOn w:val="1"/>
    <w:next w:val="1"/>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33">
    <w:name w:val="toc 9"/>
    <w:basedOn w:val="1"/>
    <w:next w:val="1"/>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34">
    <w:name w:val="HTML Preformatted"/>
    <w:basedOn w:val="1"/>
    <w:link w:val="67"/>
    <w:uiPriority w:val="0"/>
    <w:pPr>
      <w:autoSpaceDE/>
      <w:autoSpaceDN/>
      <w:adjustRightInd/>
    </w:pPr>
    <w:rPr>
      <w:rFonts w:ascii="Arial Unicode MS" w:hAnsi="Arial Unicode MS" w:eastAsia="Arial Unicode MS"/>
      <w:lang w:bidi="ar-SA"/>
    </w:rPr>
  </w:style>
  <w:style w:type="paragraph" w:styleId="35">
    <w:name w:val="Normal (Web)"/>
    <w:basedOn w:val="1"/>
    <w:link w:val="86"/>
    <w:uiPriority w:val="0"/>
    <w:pPr>
      <w:widowControl/>
      <w:autoSpaceDE/>
      <w:autoSpaceDN/>
      <w:adjustRightInd/>
      <w:spacing w:before="100" w:beforeLines="0" w:beforeAutospacing="1" w:after="100" w:afterLines="0" w:afterAutospacing="1"/>
      <w:jc w:val="left"/>
    </w:pPr>
    <w:rPr>
      <w:rFonts w:ascii="宋体" w:hAnsi="宋体" w:eastAsia="宋体"/>
      <w:color w:val="000000"/>
      <w:sz w:val="24"/>
      <w:szCs w:val="24"/>
      <w:lang w:bidi="ar-SA"/>
    </w:rPr>
  </w:style>
  <w:style w:type="paragraph" w:styleId="36">
    <w:name w:val="annotation subject"/>
    <w:basedOn w:val="14"/>
    <w:next w:val="14"/>
    <w:uiPriority w:val="0"/>
    <w:pPr>
      <w:spacing w:line="240" w:lineRule="auto"/>
      <w:ind w:firstLine="0" w:firstLineChars="0"/>
    </w:pPr>
    <w:rPr>
      <w:b/>
      <w:bCs/>
      <w:kern w:val="2"/>
      <w:sz w:val="21"/>
      <w:szCs w:val="24"/>
    </w:rPr>
  </w:style>
  <w:style w:type="paragraph" w:styleId="37">
    <w:name w:val="Body Text First Indent 2"/>
    <w:basedOn w:val="15"/>
    <w:uiPriority w:val="0"/>
    <w:pPr>
      <w:autoSpaceDE/>
      <w:autoSpaceDN/>
      <w:adjustRightInd/>
      <w:spacing w:line="360" w:lineRule="auto"/>
      <w:ind w:firstLine="420" w:firstLineChars="200"/>
    </w:pPr>
    <w:rPr>
      <w:rFonts w:ascii="Calibri" w:hAnsi="Calibri"/>
      <w:color w:val="auto"/>
      <w:kern w:val="2"/>
      <w:sz w:val="24"/>
      <w:szCs w:val="22"/>
    </w:rPr>
  </w:style>
  <w:style w:type="character" w:styleId="40">
    <w:name w:val="Strong"/>
    <w:basedOn w:val="39"/>
    <w:uiPriority w:val="0"/>
    <w:rPr>
      <w:b/>
      <w:bCs/>
    </w:rPr>
  </w:style>
  <w:style w:type="character" w:styleId="41">
    <w:name w:val="page number"/>
    <w:basedOn w:val="39"/>
    <w:uiPriority w:val="0"/>
  </w:style>
  <w:style w:type="character" w:styleId="42">
    <w:name w:val="FollowedHyperlink"/>
    <w:basedOn w:val="39"/>
    <w:uiPriority w:val="0"/>
    <w:rPr>
      <w:color w:val="555555"/>
      <w:u w:val="none"/>
    </w:rPr>
  </w:style>
  <w:style w:type="character" w:styleId="43">
    <w:name w:val="Emphasis"/>
    <w:uiPriority w:val="0"/>
    <w:rPr>
      <w:color w:val="CC0000"/>
    </w:rPr>
  </w:style>
  <w:style w:type="character" w:styleId="44">
    <w:name w:val="HTML Definition"/>
    <w:basedOn w:val="39"/>
    <w:uiPriority w:val="0"/>
  </w:style>
  <w:style w:type="character" w:styleId="45">
    <w:name w:val="HTML Typewriter"/>
    <w:basedOn w:val="39"/>
    <w:uiPriority w:val="0"/>
    <w:rPr>
      <w:rFonts w:hint="default" w:ascii="monospace" w:hAnsi="monospace" w:eastAsia="monospace" w:cs="monospace"/>
      <w:sz w:val="20"/>
    </w:rPr>
  </w:style>
  <w:style w:type="character" w:styleId="46">
    <w:name w:val="HTML Acronym"/>
    <w:basedOn w:val="39"/>
    <w:uiPriority w:val="0"/>
  </w:style>
  <w:style w:type="character" w:styleId="47">
    <w:name w:val="HTML Variable"/>
    <w:basedOn w:val="39"/>
    <w:uiPriority w:val="0"/>
  </w:style>
  <w:style w:type="character" w:styleId="48">
    <w:name w:val="Hyperlink"/>
    <w:basedOn w:val="39"/>
    <w:uiPriority w:val="0"/>
    <w:rPr>
      <w:color w:val="555555"/>
      <w:u w:val="none"/>
    </w:rPr>
  </w:style>
  <w:style w:type="character" w:styleId="49">
    <w:name w:val="HTML Code"/>
    <w:basedOn w:val="39"/>
    <w:uiPriority w:val="0"/>
    <w:rPr>
      <w:rFonts w:hint="default" w:ascii="monospace" w:hAnsi="monospace" w:eastAsia="monospace" w:cs="monospace"/>
      <w:sz w:val="20"/>
    </w:rPr>
  </w:style>
  <w:style w:type="character" w:styleId="50">
    <w:name w:val="annotation reference"/>
    <w:uiPriority w:val="0"/>
    <w:rPr>
      <w:sz w:val="21"/>
      <w:szCs w:val="21"/>
    </w:rPr>
  </w:style>
  <w:style w:type="character" w:styleId="51">
    <w:name w:val="HTML Cite"/>
    <w:basedOn w:val="39"/>
    <w:uiPriority w:val="0"/>
  </w:style>
  <w:style w:type="character" w:styleId="52">
    <w:name w:val="HTML Keyboard"/>
    <w:basedOn w:val="39"/>
    <w:uiPriority w:val="0"/>
    <w:rPr>
      <w:rFonts w:ascii="monospace" w:hAnsi="monospace" w:eastAsia="monospace" w:cs="monospace"/>
      <w:sz w:val="20"/>
    </w:rPr>
  </w:style>
  <w:style w:type="character" w:styleId="53">
    <w:name w:val="HTML Sample"/>
    <w:basedOn w:val="39"/>
    <w:autoRedefine/>
    <w:qFormat/>
    <w:uiPriority w:val="0"/>
    <w:rPr>
      <w:rFonts w:hint="default" w:ascii="monospace" w:hAnsi="monospace" w:eastAsia="monospace" w:cs="monospace"/>
    </w:rPr>
  </w:style>
  <w:style w:type="character" w:customStyle="1" w:styleId="54">
    <w:name w:val="p0 Char"/>
    <w:link w:val="55"/>
    <w:autoRedefine/>
    <w:qFormat/>
    <w:uiPriority w:val="0"/>
    <w:rPr>
      <w:rFonts w:eastAsia="宋体"/>
      <w:sz w:val="21"/>
      <w:szCs w:val="21"/>
      <w:lang w:val="en-US" w:eastAsia="zh-CN" w:bidi="ar-SA"/>
    </w:rPr>
  </w:style>
  <w:style w:type="paragraph" w:customStyle="1" w:styleId="55">
    <w:name w:val="p0"/>
    <w:next w:val="31"/>
    <w:link w:val="54"/>
    <w:uiPriority w:val="0"/>
    <w:pPr>
      <w:snapToGrid w:val="0"/>
    </w:pPr>
    <w:rPr>
      <w:rFonts w:ascii="Times New Roman" w:hAnsi="Times New Roman" w:eastAsia="宋体" w:cs="Times New Roman"/>
      <w:sz w:val="21"/>
      <w:szCs w:val="21"/>
      <w:lang w:val="en-US" w:eastAsia="zh-CN" w:bidi="ar-SA"/>
    </w:rPr>
  </w:style>
  <w:style w:type="character" w:customStyle="1" w:styleId="56">
    <w:name w:val="jtz2 Char1"/>
    <w:uiPriority w:val="0"/>
    <w:rPr>
      <w:rFonts w:ascii="Cambria" w:hAnsi="Cambria" w:eastAsia="宋体"/>
      <w:b/>
      <w:bCs/>
      <w:kern w:val="2"/>
      <w:sz w:val="30"/>
      <w:szCs w:val="32"/>
      <w:lang w:val="en-US" w:eastAsia="zh-CN" w:bidi="ar-SA"/>
    </w:rPr>
  </w:style>
  <w:style w:type="character" w:customStyle="1" w:styleId="57">
    <w:name w:val="jtz2 Char"/>
    <w:uiPriority w:val="0"/>
    <w:rPr>
      <w:rFonts w:ascii="Arial" w:hAnsi="Arial" w:eastAsia="宋体"/>
      <w:b/>
      <w:bCs/>
      <w:kern w:val="2"/>
      <w:sz w:val="30"/>
      <w:szCs w:val="32"/>
      <w:lang w:val="en-US" w:eastAsia="zh-CN" w:bidi="ar-SA"/>
    </w:rPr>
  </w:style>
  <w:style w:type="character" w:customStyle="1" w:styleId="58">
    <w:name w:val=" Char Char4"/>
    <w:basedOn w:val="39"/>
    <w:link w:val="21"/>
    <w:uiPriority w:val="0"/>
    <w:rPr>
      <w:rFonts w:eastAsia="宋体"/>
      <w:color w:val="000000"/>
      <w:sz w:val="21"/>
      <w:szCs w:val="21"/>
      <w:lang w:val="en-US" w:eastAsia="zh-CN" w:bidi="ar-SA"/>
    </w:rPr>
  </w:style>
  <w:style w:type="character" w:customStyle="1" w:styleId="59">
    <w:name w:val=" Char Char7"/>
    <w:basedOn w:val="39"/>
    <w:link w:val="30"/>
    <w:uiPriority w:val="0"/>
    <w:rPr>
      <w:rFonts w:eastAsia="宋体"/>
      <w:kern w:val="2"/>
      <w:sz w:val="21"/>
      <w:szCs w:val="24"/>
      <w:lang w:val="en-US" w:eastAsia="zh-CN" w:bidi="ar-SA"/>
    </w:rPr>
  </w:style>
  <w:style w:type="character" w:customStyle="1" w:styleId="60">
    <w:name w:val=" Char Char11"/>
    <w:basedOn w:val="39"/>
    <w:uiPriority w:val="0"/>
    <w:rPr>
      <w:rFonts w:ascii="Arial" w:hAnsi="Arial" w:eastAsia="黑体"/>
      <w:b/>
      <w:kern w:val="2"/>
      <w:sz w:val="32"/>
      <w:szCs w:val="32"/>
      <w:lang w:val="en-US" w:eastAsia="zh-CN" w:bidi="ar-SA"/>
    </w:rPr>
  </w:style>
  <w:style w:type="character" w:customStyle="1" w:styleId="61">
    <w:name w:val="正文 1.5 倍行距 Char"/>
    <w:link w:val="62"/>
    <w:uiPriority w:val="0"/>
    <w:rPr>
      <w:rFonts w:eastAsia="宋体"/>
      <w:sz w:val="24"/>
      <w:lang w:bidi="ar-SA"/>
    </w:rPr>
  </w:style>
  <w:style w:type="paragraph" w:customStyle="1" w:styleId="62">
    <w:name w:val="正文 1.5 倍行距"/>
    <w:basedOn w:val="1"/>
    <w:link w:val="61"/>
    <w:qFormat/>
    <w:uiPriority w:val="0"/>
    <w:pPr>
      <w:spacing w:line="360" w:lineRule="auto"/>
      <w:ind w:firstLine="480" w:firstLineChars="200"/>
      <w:textAlignment w:val="baseline"/>
    </w:pPr>
    <w:rPr>
      <w:rFonts w:eastAsia="宋体"/>
      <w:sz w:val="24"/>
      <w:lang w:bidi="ar-SA"/>
    </w:rPr>
  </w:style>
  <w:style w:type="character" w:customStyle="1" w:styleId="63">
    <w:name w:val=" Char Char6"/>
    <w:basedOn w:val="39"/>
    <w:link w:val="15"/>
    <w:uiPriority w:val="0"/>
    <w:rPr>
      <w:rFonts w:eastAsia="宋体"/>
      <w:color w:val="000000"/>
      <w:sz w:val="21"/>
      <w:szCs w:val="21"/>
      <w:lang w:val="en-US" w:eastAsia="zh-CN" w:bidi="ar-SA"/>
    </w:rPr>
  </w:style>
  <w:style w:type="character" w:customStyle="1" w:styleId="64">
    <w:name w:val=" Char Char5"/>
    <w:basedOn w:val="39"/>
    <w:link w:val="25"/>
    <w:uiPriority w:val="0"/>
    <w:rPr>
      <w:rFonts w:eastAsia="宋体"/>
      <w:color w:val="000000"/>
      <w:sz w:val="18"/>
      <w:szCs w:val="18"/>
      <w:lang w:val="en-US" w:eastAsia="zh-CN" w:bidi="ar-SA"/>
    </w:rPr>
  </w:style>
  <w:style w:type="character" w:customStyle="1" w:styleId="65">
    <w:name w:val="jtz3 Char"/>
    <w:uiPriority w:val="0"/>
    <w:rPr>
      <w:rFonts w:eastAsia="宋体"/>
      <w:b/>
      <w:bCs/>
      <w:kern w:val="2"/>
      <w:sz w:val="28"/>
      <w:szCs w:val="32"/>
      <w:lang w:val="en-US" w:eastAsia="zh-CN" w:bidi="ar-SA"/>
    </w:rPr>
  </w:style>
  <w:style w:type="character" w:customStyle="1" w:styleId="66">
    <w:name w:val="纯文本 Char1"/>
    <w:uiPriority w:val="0"/>
    <w:rPr>
      <w:rFonts w:ascii="宋体" w:hAnsi="Courier New" w:cs="Courier New"/>
      <w:kern w:val="2"/>
      <w:sz w:val="21"/>
      <w:szCs w:val="21"/>
    </w:rPr>
  </w:style>
  <w:style w:type="character" w:customStyle="1" w:styleId="67">
    <w:name w:val=" Char Char"/>
    <w:basedOn w:val="39"/>
    <w:link w:val="34"/>
    <w:uiPriority w:val="0"/>
    <w:rPr>
      <w:rFonts w:ascii="Arial Unicode MS" w:hAnsi="Arial Unicode MS" w:eastAsia="Arial Unicode MS"/>
      <w:lang w:bidi="ar-SA"/>
    </w:rPr>
  </w:style>
  <w:style w:type="character" w:customStyle="1" w:styleId="68">
    <w:name w:val=" Char Char9"/>
    <w:basedOn w:val="39"/>
    <w:link w:val="6"/>
    <w:uiPriority w:val="0"/>
    <w:rPr>
      <w:rFonts w:eastAsia="宋体"/>
      <w:b/>
      <w:bCs/>
      <w:color w:val="000000"/>
      <w:sz w:val="32"/>
      <w:szCs w:val="32"/>
      <w:lang w:val="en-US" w:eastAsia="zh-CN" w:bidi="ar-SA"/>
    </w:rPr>
  </w:style>
  <w:style w:type="character" w:customStyle="1" w:styleId="69">
    <w:name w:val="列出段落 Char"/>
    <w:link w:val="70"/>
    <w:uiPriority w:val="0"/>
    <w:rPr>
      <w:rFonts w:ascii="Calibri" w:hAnsi="Calibri" w:eastAsia="宋体"/>
      <w:kern w:val="2"/>
      <w:sz w:val="21"/>
      <w:szCs w:val="22"/>
      <w:lang w:val="en-US" w:eastAsia="zh-CN" w:bidi="ar-SA"/>
    </w:rPr>
  </w:style>
  <w:style w:type="paragraph" w:customStyle="1" w:styleId="70">
    <w:name w:val="列出段落"/>
    <w:basedOn w:val="1"/>
    <w:link w:val="69"/>
    <w:uiPriority w:val="0"/>
    <w:pPr>
      <w:autoSpaceDE/>
      <w:autoSpaceDN/>
      <w:adjustRightInd/>
      <w:ind w:firstLine="420" w:firstLineChars="200"/>
    </w:pPr>
    <w:rPr>
      <w:rFonts w:ascii="Calibri" w:hAnsi="Calibri" w:eastAsia="宋体"/>
      <w:kern w:val="2"/>
      <w:sz w:val="21"/>
      <w:szCs w:val="22"/>
      <w:lang w:val="en-US" w:eastAsia="zh-CN" w:bidi="ar-SA"/>
    </w:rPr>
  </w:style>
  <w:style w:type="character" w:customStyle="1" w:styleId="71">
    <w:name w:val="param-name"/>
    <w:uiPriority w:val="0"/>
  </w:style>
  <w:style w:type="character" w:customStyle="1" w:styleId="72">
    <w:name w:val="15"/>
    <w:basedOn w:val="39"/>
    <w:uiPriority w:val="0"/>
    <w:rPr>
      <w:rFonts w:hint="default" w:ascii="Lucida Sans" w:hAnsi="Lucida Sans"/>
    </w:rPr>
  </w:style>
  <w:style w:type="character" w:customStyle="1" w:styleId="73">
    <w:name w:val="01 正文样式 Char"/>
    <w:link w:val="74"/>
    <w:autoRedefine/>
    <w:uiPriority w:val="0"/>
    <w:rPr>
      <w:kern w:val="2"/>
      <w:sz w:val="24"/>
      <w:lang w:bidi="ar-SA"/>
    </w:rPr>
  </w:style>
  <w:style w:type="paragraph" w:customStyle="1" w:styleId="74">
    <w:name w:val="01 正文样式"/>
    <w:basedOn w:val="1"/>
    <w:link w:val="73"/>
    <w:uiPriority w:val="0"/>
    <w:pPr>
      <w:autoSpaceDE/>
      <w:autoSpaceDN/>
      <w:adjustRightInd/>
      <w:spacing w:line="560" w:lineRule="exact"/>
      <w:ind w:firstLine="480" w:firstLineChars="200"/>
    </w:pPr>
    <w:rPr>
      <w:kern w:val="2"/>
      <w:sz w:val="24"/>
      <w:lang w:bidi="ar-SA"/>
    </w:rPr>
  </w:style>
  <w:style w:type="character" w:customStyle="1" w:styleId="75">
    <w:name w:val="日期 Char1"/>
    <w:uiPriority w:val="0"/>
    <w:rPr>
      <w:kern w:val="2"/>
      <w:sz w:val="21"/>
      <w:szCs w:val="24"/>
    </w:rPr>
  </w:style>
  <w:style w:type="character" w:customStyle="1" w:styleId="76">
    <w:name w:val="jtz2 Char2"/>
    <w:link w:val="5"/>
    <w:uiPriority w:val="0"/>
    <w:rPr>
      <w:rFonts w:ascii="Arial" w:hAnsi="Arial" w:eastAsia="黑体"/>
      <w:b/>
      <w:bCs/>
      <w:kern w:val="2"/>
      <w:sz w:val="32"/>
      <w:szCs w:val="32"/>
      <w:lang w:val="en-US" w:eastAsia="zh-CN" w:bidi="ar-SA"/>
    </w:rPr>
  </w:style>
  <w:style w:type="character" w:customStyle="1" w:styleId="77">
    <w:name w:val="正文对齐 Char"/>
    <w:basedOn w:val="39"/>
    <w:link w:val="11"/>
    <w:uiPriority w:val="0"/>
    <w:rPr>
      <w:rFonts w:eastAsia="宋体"/>
      <w:kern w:val="2"/>
      <w:sz w:val="21"/>
      <w:lang w:val="en-US" w:eastAsia="zh-CN" w:bidi="ar-SA"/>
    </w:rPr>
  </w:style>
  <w:style w:type="character" w:customStyle="1" w:styleId="78">
    <w:name w:val=" Char Char3"/>
    <w:basedOn w:val="39"/>
    <w:uiPriority w:val="0"/>
    <w:rPr>
      <w:rFonts w:ascii="宋体" w:hAnsi="Courier New" w:eastAsia="宋体"/>
      <w:sz w:val="24"/>
      <w:szCs w:val="24"/>
      <w:lang w:bidi="ar-SA"/>
    </w:rPr>
  </w:style>
  <w:style w:type="character" w:customStyle="1" w:styleId="79">
    <w:name w:val="列出段落 Char Char"/>
    <w:link w:val="80"/>
    <w:uiPriority w:val="0"/>
    <w:rPr>
      <w:rFonts w:ascii="Calibri" w:hAnsi="Calibri"/>
      <w:szCs w:val="22"/>
      <w:lang w:bidi="ar-SA"/>
    </w:rPr>
  </w:style>
  <w:style w:type="paragraph" w:customStyle="1" w:styleId="80">
    <w:name w:val="List Paragraph"/>
    <w:basedOn w:val="1"/>
    <w:link w:val="79"/>
    <w:uiPriority w:val="0"/>
    <w:pPr>
      <w:autoSpaceDE/>
      <w:autoSpaceDN/>
      <w:adjustRightInd/>
      <w:ind w:firstLine="420" w:firstLineChars="200"/>
    </w:pPr>
    <w:rPr>
      <w:rFonts w:ascii="Calibri" w:hAnsi="Calibri"/>
      <w:szCs w:val="22"/>
      <w:lang w:bidi="ar-SA"/>
    </w:rPr>
  </w:style>
  <w:style w:type="character" w:customStyle="1" w:styleId="81">
    <w:name w:val=" Char Char8"/>
    <w:basedOn w:val="39"/>
    <w:link w:val="24"/>
    <w:uiPriority w:val="0"/>
    <w:rPr>
      <w:rFonts w:eastAsia="宋体"/>
      <w:color w:val="000000"/>
      <w:sz w:val="18"/>
      <w:szCs w:val="18"/>
      <w:lang w:val="en-US" w:eastAsia="zh-CN" w:bidi="ar-SA"/>
    </w:rPr>
  </w:style>
  <w:style w:type="character" w:customStyle="1" w:styleId="82">
    <w:name w:val="正文文字2 Char"/>
    <w:link w:val="83"/>
    <w:uiPriority w:val="0"/>
    <w:rPr>
      <w:rFonts w:ascii="Arial" w:eastAsia="黑体"/>
      <w:sz w:val="21"/>
      <w:lang w:val="en-US" w:eastAsia="zh-CN" w:bidi="ar-SA"/>
    </w:rPr>
  </w:style>
  <w:style w:type="paragraph" w:customStyle="1" w:styleId="83">
    <w:name w:val="正文文字2"/>
    <w:basedOn w:val="3"/>
    <w:link w:val="82"/>
    <w:uiPriority w:val="0"/>
    <w:pPr>
      <w:autoSpaceDE/>
      <w:autoSpaceDN/>
      <w:spacing w:after="60" w:afterLines="0" w:line="360" w:lineRule="atLeast"/>
      <w:ind w:left="72" w:right="72"/>
      <w:jc w:val="center"/>
      <w:textAlignment w:val="baseline"/>
    </w:pPr>
    <w:rPr>
      <w:rFonts w:ascii="Arial" w:eastAsia="黑体"/>
      <w:sz w:val="21"/>
      <w:lang w:val="en-US" w:eastAsia="zh-CN" w:bidi="ar-SA"/>
    </w:rPr>
  </w:style>
  <w:style w:type="character" w:customStyle="1" w:styleId="84">
    <w:name w:val="01正文样式 Char"/>
    <w:link w:val="85"/>
    <w:uiPriority w:val="0"/>
    <w:rPr>
      <w:rFonts w:ascii="Tahoma" w:hAnsi="Tahoma" w:eastAsia="仿宋_GB2312"/>
      <w:sz w:val="28"/>
      <w:lang w:bidi="ar-SA"/>
    </w:rPr>
  </w:style>
  <w:style w:type="paragraph" w:customStyle="1" w:styleId="85">
    <w:name w:val="01正文样式"/>
    <w:basedOn w:val="1"/>
    <w:link w:val="84"/>
    <w:uiPriority w:val="0"/>
    <w:pPr>
      <w:autoSpaceDE/>
      <w:autoSpaceDN/>
      <w:adjustRightInd/>
      <w:ind w:firstLine="480"/>
    </w:pPr>
    <w:rPr>
      <w:rFonts w:ascii="Tahoma" w:hAnsi="Tahoma" w:eastAsia="仿宋_GB2312"/>
      <w:sz w:val="28"/>
      <w:lang w:bidi="ar-SA"/>
    </w:rPr>
  </w:style>
  <w:style w:type="character" w:customStyle="1" w:styleId="86">
    <w:name w:val=" Char Char2"/>
    <w:basedOn w:val="39"/>
    <w:link w:val="35"/>
    <w:uiPriority w:val="0"/>
    <w:rPr>
      <w:rFonts w:ascii="宋体" w:hAnsi="宋体" w:eastAsia="宋体"/>
      <w:color w:val="000000"/>
      <w:sz w:val="24"/>
      <w:szCs w:val="24"/>
      <w:lang w:bidi="ar-SA"/>
    </w:rPr>
  </w:style>
  <w:style w:type="character" w:customStyle="1" w:styleId="87">
    <w:name w:val=" Char Char10"/>
    <w:basedOn w:val="39"/>
    <w:link w:val="4"/>
    <w:uiPriority w:val="0"/>
    <w:rPr>
      <w:rFonts w:eastAsia="宋体"/>
      <w:b/>
      <w:color w:val="000000"/>
      <w:kern w:val="44"/>
      <w:sz w:val="44"/>
      <w:szCs w:val="21"/>
      <w:lang w:val="en-US" w:eastAsia="zh-CN" w:bidi="ar-SA"/>
    </w:rPr>
  </w:style>
  <w:style w:type="character" w:customStyle="1" w:styleId="88">
    <w:name w:val=" Char Char1"/>
    <w:basedOn w:val="39"/>
    <w:link w:val="26"/>
    <w:uiPriority w:val="0"/>
    <w:rPr>
      <w:rFonts w:ascii="Arial" w:hAnsi="Arial" w:eastAsia="宋体"/>
      <w:spacing w:val="-5"/>
      <w:sz w:val="24"/>
      <w:lang w:bidi="ar-SA"/>
    </w:rPr>
  </w:style>
  <w:style w:type="character" w:customStyle="1" w:styleId="89">
    <w:name w:val="普通文字 Char Char1"/>
    <w:basedOn w:val="39"/>
    <w:link w:val="19"/>
    <w:uiPriority w:val="0"/>
    <w:rPr>
      <w:rFonts w:eastAsia="宋体"/>
      <w:kern w:val="2"/>
      <w:sz w:val="24"/>
      <w:lang w:val="en-US" w:eastAsia="zh-CN" w:bidi="ar-SA"/>
    </w:rPr>
  </w:style>
  <w:style w:type="character" w:customStyle="1" w:styleId="90">
    <w:name w:val="font01"/>
    <w:basedOn w:val="39"/>
    <w:uiPriority w:val="0"/>
    <w:rPr>
      <w:rFonts w:hint="eastAsia" w:ascii="宋体" w:hAnsi="宋体" w:eastAsia="宋体" w:cs="宋体"/>
      <w:color w:val="000000"/>
      <w:sz w:val="24"/>
      <w:szCs w:val="24"/>
    </w:rPr>
  </w:style>
  <w:style w:type="character" w:customStyle="1" w:styleId="91">
    <w:name w:val="正文文本缩进 2 Char1"/>
    <w:uiPriority w:val="0"/>
    <w:rPr>
      <w:kern w:val="2"/>
      <w:sz w:val="21"/>
      <w:szCs w:val="24"/>
    </w:rPr>
  </w:style>
  <w:style w:type="character" w:customStyle="1" w:styleId="92">
    <w:name w:val=" Char Char13"/>
    <w:uiPriority w:val="0"/>
    <w:rPr>
      <w:rFonts w:eastAsia="宋体"/>
      <w:b/>
      <w:bCs/>
      <w:kern w:val="44"/>
      <w:sz w:val="44"/>
      <w:szCs w:val="44"/>
      <w:lang w:val="en-US" w:eastAsia="zh-CN" w:bidi="ar-SA"/>
    </w:rPr>
  </w:style>
  <w:style w:type="character" w:customStyle="1" w:styleId="93">
    <w:name w:val=" Char Char17"/>
    <w:uiPriority w:val="0"/>
    <w:rPr>
      <w:rFonts w:ascii="Calibri" w:hAnsi="Calibri" w:eastAsia="宋体" w:cs="Times New Roman"/>
    </w:rPr>
  </w:style>
  <w:style w:type="paragraph" w:customStyle="1" w:styleId="94">
    <w:name w:val="p20"/>
    <w:basedOn w:val="1"/>
    <w:uiPriority w:val="0"/>
    <w:pPr>
      <w:widowControl/>
      <w:autoSpaceDE/>
      <w:autoSpaceDN/>
      <w:adjustRightInd/>
      <w:ind w:left="425" w:firstLine="420"/>
    </w:pPr>
    <w:rPr>
      <w:rFonts w:ascii="Calibri" w:hAnsi="Calibri" w:cs="宋体"/>
      <w:color w:val="auto"/>
    </w:rPr>
  </w:style>
  <w:style w:type="paragraph" w:customStyle="1" w:styleId="95">
    <w:name w:val="列出段落1"/>
    <w:basedOn w:val="1"/>
    <w:uiPriority w:val="0"/>
    <w:pPr>
      <w:autoSpaceDE/>
      <w:autoSpaceDN/>
      <w:adjustRightInd/>
      <w:ind w:firstLine="420" w:firstLineChars="200"/>
    </w:pPr>
    <w:rPr>
      <w:color w:val="auto"/>
      <w:kern w:val="2"/>
      <w:szCs w:val="24"/>
    </w:rPr>
  </w:style>
  <w:style w:type="paragraph" w:customStyle="1" w:styleId="96">
    <w:name w:val="文档正文"/>
    <w:basedOn w:val="1"/>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97">
    <w:name w:val="标题1"/>
    <w:basedOn w:val="1"/>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98">
    <w:name w:val="p15"/>
    <w:basedOn w:val="1"/>
    <w:uiPriority w:val="0"/>
    <w:pPr>
      <w:widowControl/>
      <w:autoSpaceDE/>
      <w:autoSpaceDN/>
      <w:adjustRightInd/>
      <w:snapToGrid w:val="0"/>
    </w:pPr>
  </w:style>
  <w:style w:type="paragraph" w:customStyle="1" w:styleId="99">
    <w:name w:val="无间隔2"/>
    <w:uiPriority w:val="0"/>
    <w:pPr>
      <w:widowControl w:val="0"/>
      <w:jc w:val="both"/>
    </w:pPr>
    <w:rPr>
      <w:rFonts w:ascii="Times New Roman" w:hAnsi="Times New Roman" w:eastAsia="楷体_GB2312" w:cs="Times New Roman"/>
      <w:kern w:val="2"/>
      <w:sz w:val="24"/>
      <w:szCs w:val="22"/>
      <w:lang w:val="en-US" w:eastAsia="zh-CN" w:bidi="ar-SA"/>
    </w:rPr>
  </w:style>
  <w:style w:type="paragraph" w:customStyle="1" w:styleId="100">
    <w:name w:val="ces正文"/>
    <w:basedOn w:val="1"/>
    <w:uiPriority w:val="0"/>
    <w:pPr>
      <w:ind w:firstLine="480"/>
    </w:pPr>
    <w:rPr>
      <w:rFonts w:ascii="Calibri" w:hAnsi="Calibri" w:eastAsia="宋体" w:cs="Times New Roman"/>
      <w:szCs w:val="24"/>
      <w:lang w:val="zh-CN" w:eastAsia="zh-CN"/>
    </w:rPr>
  </w:style>
  <w:style w:type="paragraph" w:customStyle="1" w:styleId="101">
    <w:name w:val="正式正文样式"/>
    <w:basedOn w:val="1"/>
    <w:uiPriority w:val="0"/>
    <w:pPr>
      <w:widowControl/>
      <w:autoSpaceDE/>
      <w:autoSpaceDN/>
      <w:adjustRightInd/>
      <w:spacing w:line="360" w:lineRule="auto"/>
      <w:ind w:firstLine="480" w:firstLineChars="200"/>
      <w:jc w:val="left"/>
    </w:pPr>
    <w:rPr>
      <w:rFonts w:ascii="宋体" w:hAnsi="宋体" w:cs="Arial"/>
      <w:color w:val="auto"/>
      <w:sz w:val="24"/>
      <w:szCs w:val="24"/>
    </w:rPr>
  </w:style>
  <w:style w:type="paragraph" w:customStyle="1" w:styleId="102">
    <w:name w:val="Char Char Char Char1"/>
    <w:basedOn w:val="1"/>
    <w:uiPriority w:val="0"/>
    <w:pPr>
      <w:autoSpaceDE/>
      <w:autoSpaceDN/>
      <w:adjustRightInd/>
    </w:pPr>
    <w:rPr>
      <w:rFonts w:ascii="Tahoma" w:hAnsi="Tahoma"/>
      <w:color w:val="auto"/>
      <w:kern w:val="2"/>
      <w:sz w:val="24"/>
      <w:szCs w:val="20"/>
    </w:rPr>
  </w:style>
  <w:style w:type="paragraph" w:customStyle="1" w:styleId="103">
    <w:name w:val=" Char Char Char Char Char Char"/>
    <w:basedOn w:val="1"/>
    <w:uiPriority w:val="0"/>
    <w:pPr>
      <w:widowControl/>
      <w:autoSpaceDE/>
      <w:autoSpaceDN/>
      <w:adjustRightInd/>
      <w:spacing w:after="160" w:afterLines="0" w:line="240" w:lineRule="exact"/>
      <w:jc w:val="left"/>
    </w:pPr>
    <w:rPr>
      <w:color w:val="auto"/>
      <w:kern w:val="2"/>
      <w:szCs w:val="24"/>
    </w:rPr>
  </w:style>
  <w:style w:type="paragraph" w:customStyle="1" w:styleId="104">
    <w:name w:val="正文01"/>
    <w:basedOn w:val="1"/>
    <w:uiPriority w:val="0"/>
    <w:pPr>
      <w:spacing w:before="60" w:beforeLines="0" w:line="460" w:lineRule="exact"/>
      <w:ind w:firstLine="200" w:firstLineChars="200"/>
    </w:pPr>
    <w:rPr>
      <w:bCs/>
      <w:sz w:val="24"/>
      <w:szCs w:val="24"/>
    </w:rPr>
  </w:style>
  <w:style w:type="paragraph" w:customStyle="1" w:styleId="105">
    <w:name w:val="!我的正文 Ctr+Q"/>
    <w:basedOn w:val="1"/>
    <w:uiPriority w:val="0"/>
    <w:pPr>
      <w:autoSpaceDE/>
      <w:autoSpaceDN/>
      <w:adjustRightInd/>
      <w:spacing w:line="360" w:lineRule="auto"/>
      <w:ind w:firstLine="480" w:firstLineChars="200"/>
    </w:pPr>
    <w:rPr>
      <w:sz w:val="24"/>
      <w:szCs w:val="24"/>
    </w:rPr>
  </w:style>
  <w:style w:type="paragraph" w:customStyle="1" w:styleId="106">
    <w:name w:val=" Char"/>
    <w:basedOn w:val="1"/>
    <w:uiPriority w:val="0"/>
    <w:pPr>
      <w:widowControl/>
      <w:autoSpaceDE/>
      <w:autoSpaceDN/>
      <w:adjustRightInd/>
      <w:spacing w:after="160" w:afterLines="0" w:line="240" w:lineRule="exact"/>
      <w:jc w:val="left"/>
    </w:pPr>
    <w:rPr>
      <w:rFonts w:ascii="Verdana" w:hAnsi="Verdana"/>
      <w:color w:val="auto"/>
      <w:szCs w:val="20"/>
      <w:lang w:eastAsia="en-US"/>
    </w:rPr>
  </w:style>
  <w:style w:type="paragraph" w:customStyle="1" w:styleId="107">
    <w:name w:val="样式 正文缩进首行缩进两字 + 小四 首行缩进:  2 字符"/>
    <w:basedOn w:val="11"/>
    <w:uiPriority w:val="0"/>
    <w:pPr>
      <w:spacing w:line="360" w:lineRule="auto"/>
      <w:ind w:firstLine="200" w:firstLineChars="200"/>
    </w:pPr>
    <w:rPr>
      <w:rFonts w:cs="宋体"/>
      <w:sz w:val="24"/>
    </w:rPr>
  </w:style>
  <w:style w:type="paragraph" w:customStyle="1" w:styleId="108">
    <w:name w:val="p22"/>
    <w:basedOn w:val="1"/>
    <w:uiPriority w:val="0"/>
    <w:pPr>
      <w:widowControl/>
      <w:autoSpaceDE/>
      <w:autoSpaceDN/>
      <w:adjustRightInd/>
      <w:jc w:val="left"/>
    </w:pPr>
    <w:rPr>
      <w:color w:val="auto"/>
      <w:sz w:val="18"/>
      <w:szCs w:val="18"/>
    </w:rPr>
  </w:style>
  <w:style w:type="paragraph" w:customStyle="1" w:styleId="109">
    <w:name w:val="p17"/>
    <w:basedOn w:val="1"/>
    <w:uiPriority w:val="0"/>
    <w:pPr>
      <w:widowControl/>
      <w:autoSpaceDE/>
      <w:autoSpaceDN/>
      <w:adjustRightInd/>
      <w:ind w:left="2520"/>
    </w:pPr>
    <w:rPr>
      <w:color w:val="auto"/>
    </w:rPr>
  </w:style>
  <w:style w:type="paragraph" w:customStyle="1" w:styleId="110">
    <w:name w:val="文本正文宋体缩进"/>
    <w:basedOn w:val="1"/>
    <w:next w:val="1"/>
    <w:uiPriority w:val="0"/>
    <w:pPr>
      <w:autoSpaceDE/>
      <w:autoSpaceDN/>
      <w:adjustRightInd/>
      <w:spacing w:line="360" w:lineRule="auto"/>
      <w:ind w:firstLine="480" w:firstLineChars="200"/>
    </w:pPr>
    <w:rPr>
      <w:color w:val="auto"/>
      <w:kern w:val="2"/>
      <w:sz w:val="24"/>
    </w:rPr>
  </w:style>
  <w:style w:type="paragraph" w:customStyle="1" w:styleId="111">
    <w:name w:val=" Char Char Char Char Char Char Char Char Char Char Char Char Char Char Char Char Char Char Char"/>
    <w:basedOn w:val="1"/>
    <w:uiPriority w:val="0"/>
    <w:pPr>
      <w:autoSpaceDE/>
      <w:autoSpaceDN/>
      <w:adjustRightInd/>
    </w:pPr>
    <w:rPr>
      <w:color w:val="auto"/>
      <w:kern w:val="2"/>
      <w:szCs w:val="24"/>
    </w:rPr>
  </w:style>
  <w:style w:type="paragraph" w:customStyle="1" w:styleId="112">
    <w:name w:val="p18"/>
    <w:basedOn w:val="1"/>
    <w:uiPriority w:val="0"/>
    <w:pPr>
      <w:widowControl/>
      <w:autoSpaceDE/>
      <w:autoSpaceDN/>
      <w:adjustRightInd/>
      <w:snapToGrid w:val="0"/>
      <w:jc w:val="left"/>
    </w:pPr>
    <w:rPr>
      <w:sz w:val="24"/>
      <w:szCs w:val="24"/>
    </w:rPr>
  </w:style>
  <w:style w:type="paragraph" w:customStyle="1" w:styleId="113">
    <w:name w:val="Char Char"/>
    <w:basedOn w:val="1"/>
    <w:uiPriority w:val="0"/>
    <w:pPr>
      <w:autoSpaceDE/>
      <w:autoSpaceDN/>
      <w:adjustRightInd/>
    </w:pPr>
    <w:rPr>
      <w:rFonts w:ascii="仿宋_GB2312" w:eastAsia="仿宋_GB2312"/>
      <w:b/>
      <w:color w:val="auto"/>
      <w:kern w:val="2"/>
      <w:sz w:val="32"/>
      <w:szCs w:val="32"/>
    </w:rPr>
  </w:style>
  <w:style w:type="paragraph" w:customStyle="1" w:styleId="114">
    <w:name w:val="p19"/>
    <w:basedOn w:val="1"/>
    <w:uiPriority w:val="0"/>
    <w:pPr>
      <w:widowControl/>
      <w:autoSpaceDE/>
      <w:autoSpaceDN/>
      <w:adjustRightInd/>
      <w:spacing w:before="156" w:beforeLines="0" w:after="156" w:afterLines="0" w:line="360" w:lineRule="auto"/>
      <w:ind w:firstLine="420"/>
    </w:pPr>
    <w:rPr>
      <w:color w:val="auto"/>
      <w:sz w:val="24"/>
      <w:szCs w:val="24"/>
    </w:rPr>
  </w:style>
  <w:style w:type="paragraph" w:customStyle="1" w:styleId="115">
    <w:name w:val="自动更正"/>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列项"/>
    <w:basedOn w:val="1"/>
    <w:next w:val="1"/>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17">
    <w:name w:val="p23"/>
    <w:basedOn w:val="1"/>
    <w:uiPriority w:val="0"/>
    <w:pPr>
      <w:widowControl/>
      <w:pBdr>
        <w:bottom w:val="single" w:color="000000" w:sz="6" w:space="1"/>
      </w:pBdr>
      <w:autoSpaceDE/>
      <w:autoSpaceDN/>
      <w:adjustRightInd/>
      <w:jc w:val="center"/>
    </w:pPr>
    <w:rPr>
      <w:color w:val="auto"/>
      <w:sz w:val="18"/>
      <w:szCs w:val="18"/>
    </w:rPr>
  </w:style>
  <w:style w:type="paragraph" w:customStyle="1" w:styleId="118">
    <w:name w:val="题注居中"/>
    <w:basedOn w:val="12"/>
    <w:next w:val="1"/>
    <w:uiPriority w:val="0"/>
    <w:pPr>
      <w:spacing w:after="120" w:afterLines="0" w:line="240" w:lineRule="exact"/>
      <w:ind w:firstLine="0" w:firstLineChars="0"/>
      <w:jc w:val="center"/>
    </w:pPr>
    <w:rPr>
      <w:rFonts w:ascii="宋体" w:hAnsi="宋体" w:eastAsia="宋体" w:cs="宋体"/>
      <w:b/>
      <w:sz w:val="21"/>
    </w:rPr>
  </w:style>
  <w:style w:type="paragraph" w:customStyle="1" w:styleId="119">
    <w:name w:val="正文段"/>
    <w:basedOn w:val="1"/>
    <w:next w:val="120"/>
    <w:uiPriority w:val="0"/>
    <w:pPr>
      <w:widowControl/>
      <w:autoSpaceDE/>
      <w:autoSpaceDN/>
      <w:adjustRightInd/>
      <w:snapToGrid w:val="0"/>
      <w:spacing w:after="156" w:afterLines="50"/>
      <w:ind w:firstLine="200" w:firstLineChars="200"/>
    </w:pPr>
    <w:rPr>
      <w:color w:val="auto"/>
      <w:sz w:val="24"/>
      <w:szCs w:val="20"/>
    </w:rPr>
  </w:style>
  <w:style w:type="paragraph" w:customStyle="1" w:styleId="120">
    <w:name w:val="index 5"/>
    <w:basedOn w:val="1"/>
    <w:next w:val="1"/>
    <w:uiPriority w:val="0"/>
    <w:pPr>
      <w:ind w:left="800" w:leftChars="800"/>
    </w:pPr>
  </w:style>
  <w:style w:type="paragraph" w:customStyle="1" w:styleId="121">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22">
    <w:name w:val="p21"/>
    <w:basedOn w:val="1"/>
    <w:uiPriority w:val="0"/>
    <w:pPr>
      <w:widowControl/>
      <w:autoSpaceDE/>
      <w:autoSpaceDN/>
      <w:adjustRightInd/>
      <w:jc w:val="left"/>
    </w:pPr>
    <w:rPr>
      <w:color w:val="auto"/>
    </w:rPr>
  </w:style>
  <w:style w:type="paragraph" w:customStyle="1" w:styleId="123">
    <w:name w:val="样式 首行缩进:  0 字符"/>
    <w:basedOn w:val="1"/>
    <w:uiPriority w:val="0"/>
    <w:pPr>
      <w:autoSpaceDE/>
      <w:autoSpaceDN/>
      <w:adjustRightInd/>
      <w:spacing w:line="360" w:lineRule="auto"/>
      <w:ind w:firstLine="200" w:firstLineChars="200"/>
    </w:pPr>
    <w:rPr>
      <w:rFonts w:ascii="Arial" w:hAnsi="Arial" w:eastAsia="宋体" w:cs="Times New Roman"/>
      <w:sz w:val="24"/>
      <w:szCs w:val="20"/>
      <w:lang w:val="zh-CN" w:eastAsia="zh-CN"/>
    </w:rPr>
  </w:style>
  <w:style w:type="paragraph" w:customStyle="1" w:styleId="124">
    <w:name w:val="样式4"/>
    <w:basedOn w:val="4"/>
    <w:uiPriority w:val="0"/>
    <w:pPr>
      <w:autoSpaceDE/>
      <w:autoSpaceDN/>
      <w:adjustRightInd/>
      <w:spacing w:line="480" w:lineRule="auto"/>
    </w:pPr>
    <w:rPr>
      <w:bCs/>
      <w:color w:val="auto"/>
      <w:sz w:val="32"/>
      <w:szCs w:val="44"/>
    </w:rPr>
  </w:style>
  <w:style w:type="paragraph" w:customStyle="1" w:styleId="125">
    <w:name w:val="p16"/>
    <w:basedOn w:val="1"/>
    <w:autoRedefine/>
    <w:qFormat/>
    <w:uiPriority w:val="0"/>
    <w:pPr>
      <w:widowControl/>
      <w:autoSpaceDE/>
      <w:autoSpaceDN/>
      <w:adjustRightInd/>
    </w:pPr>
    <w:rPr>
      <w:color w:val="auto"/>
      <w:sz w:val="24"/>
      <w:szCs w:val="24"/>
    </w:rPr>
  </w:style>
  <w:style w:type="paragraph" w:customStyle="1" w:styleId="126">
    <w:name w:val="hik-正文"/>
    <w:basedOn w:val="1"/>
    <w:uiPriority w:val="0"/>
    <w:pPr>
      <w:autoSpaceDE/>
      <w:autoSpaceDN/>
      <w:adjustRightInd/>
      <w:spacing w:line="360" w:lineRule="auto"/>
      <w:ind w:firstLine="480" w:firstLineChars="200"/>
    </w:pPr>
    <w:rPr>
      <w:rFonts w:ascii="Arial" w:hAnsi="Arial" w:eastAsia="宋体" w:cs="Times New Roman"/>
      <w:snapToGrid w:val="0"/>
      <w:sz w:val="24"/>
      <w:szCs w:val="20"/>
      <w:lang w:val="zh-CN" w:eastAsia="zh-CN"/>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34</Pages>
  <Words>4174</Words>
  <Characters>23797</Characters>
  <Lines>198</Lines>
  <Paragraphs>55</Paragraphs>
  <TotalTime>11</TotalTime>
  <ScaleCrop>false</ScaleCrop>
  <LinksUpToDate>false</LinksUpToDate>
  <CharactersWithSpaces>27916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2014-05-25T06:33:00Z</dcterms:created>
  <dc:creator>微软中国</dc:creator>
  <cp:lastModifiedBy>WPS_1701756769</cp:lastModifiedBy>
  <cp:lastPrinted>2018-11-23T07:27:00Z</cp:lastPrinted>
  <dcterms:modified xsi:type="dcterms:W3CDTF">2024-02-22T06:03:59Z</dcterms:modified>
  <cp:revision>248</cp:revision>
  <dc:title>诸暨市　　　　　　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BD2F30D9530D4AC698D9F7F298E6D355_13</vt:lpwstr>
  </property>
</Properties>
</file>