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138" w:firstLineChars="49"/>
        <w:rPr>
          <w:rFonts w:hint="eastAsia" w:ascii="宋体" w:hAnsi="宋体" w:eastAsia="宋体" w:cs="宋体"/>
          <w:b/>
          <w:sz w:val="28"/>
          <w:szCs w:val="28"/>
        </w:rPr>
      </w:pPr>
      <w:bookmarkStart w:id="1" w:name="_GoBack"/>
      <w:bookmarkEnd w:id="1"/>
      <w:r>
        <w:rPr>
          <w:rFonts w:hint="eastAsia" w:ascii="宋体" w:hAnsi="宋体" w:eastAsia="宋体" w:cs="宋体"/>
          <w:b/>
          <w:sz w:val="28"/>
          <w:szCs w:val="28"/>
        </w:rPr>
        <w:t>基本格式：</w:t>
      </w:r>
    </w:p>
    <w:p>
      <w:pPr>
        <w:rPr>
          <w:rFonts w:hint="eastAsia" w:ascii="宋体" w:hAnsi="宋体" w:eastAsia="宋体" w:cs="宋体"/>
          <w:b/>
          <w:sz w:val="32"/>
          <w:szCs w:val="32"/>
        </w:rPr>
      </w:pPr>
      <w:r>
        <w:rPr>
          <w:rFonts w:hint="eastAsia" w:ascii="宋体" w:hAnsi="宋体" w:eastAsia="宋体" w:cs="宋体"/>
          <w:b/>
          <w:sz w:val="32"/>
          <w:szCs w:val="32"/>
        </w:rPr>
        <w:t>关于对★★★★★★★★★★★★★★项目的意见建议</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致：浙江明业项目管理有限公司</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对于贵公司于201</w:t>
      </w:r>
      <w:r>
        <w:rPr>
          <w:rFonts w:hint="eastAsia" w:ascii="宋体" w:hAnsi="宋体" w:eastAsia="宋体" w:cs="宋体"/>
          <w:sz w:val="28"/>
          <w:szCs w:val="28"/>
          <w:lang w:val="en-US" w:eastAsia="zh-CN"/>
        </w:rPr>
        <w:t>9</w:t>
      </w:r>
      <w:r>
        <w:rPr>
          <w:rFonts w:hint="eastAsia" w:ascii="宋体" w:hAnsi="宋体" w:eastAsia="宋体" w:cs="宋体"/>
          <w:sz w:val="28"/>
          <w:szCs w:val="28"/>
        </w:rPr>
        <w:t>年★月★日公示的★★★★★★★★★★★★★★★★★★★★★项目采购要素，我公司有如下意见建议：</w:t>
      </w:r>
    </w:p>
    <w:tbl>
      <w:tblPr>
        <w:tblStyle w:val="15"/>
        <w:tblW w:w="0" w:type="auto"/>
        <w:tblInd w:w="0" w:type="dxa"/>
        <w:tblLayout w:type="fixed"/>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rPr>
          <w:wBefore w:w="0" w:type="dxa"/>
        </w:trPr>
        <w:tc>
          <w:tcPr>
            <w:tcW w:w="426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8"/>
                <w:szCs w:val="28"/>
              </w:rPr>
            </w:pPr>
            <w:r>
              <w:rPr>
                <w:rFonts w:hint="eastAsia" w:ascii="宋体" w:hAnsi="宋体" w:cs="宋体"/>
                <w:sz w:val="28"/>
                <w:szCs w:val="28"/>
              </w:rPr>
              <w:t>原条款</w:t>
            </w:r>
          </w:p>
        </w:tc>
        <w:tc>
          <w:tcPr>
            <w:tcW w:w="426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8"/>
                <w:szCs w:val="28"/>
              </w:rPr>
            </w:pPr>
            <w:r>
              <w:rPr>
                <w:rFonts w:hint="eastAsia" w:ascii="宋体" w:hAnsi="宋体" w:cs="宋体"/>
                <w:sz w:val="28"/>
                <w:szCs w:val="28"/>
              </w:rPr>
              <w:t>本公司意见建议</w:t>
            </w:r>
          </w:p>
        </w:tc>
      </w:tr>
      <w:tr>
        <w:tblPrEx>
          <w:tblCellMar>
            <w:top w:w="0" w:type="dxa"/>
            <w:left w:w="108" w:type="dxa"/>
            <w:bottom w:w="0" w:type="dxa"/>
            <w:right w:w="108" w:type="dxa"/>
          </w:tblCellMar>
        </w:tblPrEx>
        <w:trPr>
          <w:wBefore w:w="0" w:type="dxa"/>
        </w:trPr>
        <w:tc>
          <w:tcPr>
            <w:tcW w:w="426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8"/>
                <w:szCs w:val="28"/>
              </w:rPr>
            </w:pPr>
          </w:p>
        </w:tc>
        <w:tc>
          <w:tcPr>
            <w:tcW w:w="426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8"/>
                <w:szCs w:val="28"/>
              </w:rPr>
            </w:pPr>
          </w:p>
        </w:tc>
      </w:tr>
      <w:tr>
        <w:tblPrEx>
          <w:tblCellMar>
            <w:top w:w="0" w:type="dxa"/>
            <w:left w:w="108" w:type="dxa"/>
            <w:bottom w:w="0" w:type="dxa"/>
            <w:right w:w="108" w:type="dxa"/>
          </w:tblCellMar>
        </w:tblPrEx>
        <w:trPr>
          <w:wBefore w:w="0" w:type="dxa"/>
        </w:trPr>
        <w:tc>
          <w:tcPr>
            <w:tcW w:w="426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8"/>
                <w:szCs w:val="28"/>
              </w:rPr>
            </w:pPr>
          </w:p>
        </w:tc>
        <w:tc>
          <w:tcPr>
            <w:tcW w:w="426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8"/>
                <w:szCs w:val="28"/>
              </w:rPr>
            </w:pPr>
          </w:p>
        </w:tc>
      </w:tr>
      <w:tr>
        <w:tblPrEx>
          <w:tblCellMar>
            <w:top w:w="0" w:type="dxa"/>
            <w:left w:w="108" w:type="dxa"/>
            <w:bottom w:w="0" w:type="dxa"/>
            <w:right w:w="108" w:type="dxa"/>
          </w:tblCellMar>
        </w:tblPrEx>
        <w:trPr>
          <w:wBefore w:w="0" w:type="dxa"/>
        </w:trPr>
        <w:tc>
          <w:tcPr>
            <w:tcW w:w="426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8"/>
                <w:szCs w:val="28"/>
              </w:rPr>
            </w:pPr>
          </w:p>
        </w:tc>
        <w:tc>
          <w:tcPr>
            <w:tcW w:w="426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8"/>
                <w:szCs w:val="28"/>
              </w:rPr>
            </w:pPr>
          </w:p>
        </w:tc>
      </w:tr>
    </w:tbl>
    <w:p>
      <w:pPr>
        <w:rPr>
          <w:rFonts w:hint="eastAsia" w:ascii="宋体" w:hAnsi="宋体" w:eastAsia="宋体" w:cs="宋体"/>
          <w:sz w:val="28"/>
          <w:szCs w:val="28"/>
        </w:rPr>
      </w:pPr>
      <w:r>
        <w:rPr>
          <w:rFonts w:hint="eastAsia" w:ascii="宋体" w:hAnsi="宋体" w:eastAsia="宋体" w:cs="宋体"/>
          <w:sz w:val="28"/>
          <w:szCs w:val="28"/>
        </w:rPr>
        <w:t>传    真：★★★★★★★★</w:t>
      </w:r>
    </w:p>
    <w:p>
      <w:pPr>
        <w:rPr>
          <w:rFonts w:hint="eastAsia" w:ascii="宋体" w:hAnsi="宋体" w:eastAsia="宋体" w:cs="宋体"/>
          <w:sz w:val="28"/>
          <w:szCs w:val="28"/>
        </w:rPr>
      </w:pPr>
      <w:r>
        <w:rPr>
          <w:rFonts w:hint="eastAsia" w:ascii="宋体" w:hAnsi="宋体" w:eastAsia="宋体" w:cs="宋体"/>
          <w:sz w:val="28"/>
          <w:szCs w:val="28"/>
        </w:rPr>
        <w:t>联 系 人：★★★★★★★★</w:t>
      </w:r>
    </w:p>
    <w:p>
      <w:pPr>
        <w:rPr>
          <w:rFonts w:hint="eastAsia" w:ascii="宋体" w:hAnsi="宋体" w:eastAsia="宋体" w:cs="宋体"/>
          <w:sz w:val="28"/>
          <w:szCs w:val="28"/>
        </w:rPr>
      </w:pPr>
      <w:r>
        <w:rPr>
          <w:rFonts w:hint="eastAsia" w:ascii="宋体" w:hAnsi="宋体" w:eastAsia="宋体" w:cs="宋体"/>
          <w:sz w:val="28"/>
          <w:szCs w:val="28"/>
        </w:rPr>
        <w:t>联系电话：★★★★★★★★</w:t>
      </w:r>
    </w:p>
    <w:p>
      <w:pPr>
        <w:rPr>
          <w:rFonts w:hint="eastAsia" w:ascii="宋体" w:hAnsi="宋体" w:eastAsia="宋体" w:cs="宋体"/>
          <w:sz w:val="28"/>
          <w:szCs w:val="28"/>
        </w:rPr>
      </w:pPr>
      <w:r>
        <w:rPr>
          <w:rFonts w:hint="eastAsia" w:ascii="宋体" w:hAnsi="宋体" w:eastAsia="宋体" w:cs="宋体"/>
          <w:sz w:val="28"/>
          <w:szCs w:val="28"/>
        </w:rPr>
        <w:t>联系手机：★★★★★★★★</w:t>
      </w:r>
    </w:p>
    <w:p>
      <w:pPr>
        <w:ind w:left="4480" w:hanging="4480" w:hangingChars="1600"/>
        <w:rPr>
          <w:rFonts w:hint="eastAsia" w:ascii="宋体" w:hAnsi="宋体" w:eastAsia="宋体" w:cs="宋体"/>
          <w:sz w:val="28"/>
          <w:szCs w:val="28"/>
        </w:rPr>
      </w:pPr>
      <w:r>
        <w:rPr>
          <w:rFonts w:hint="eastAsia" w:ascii="宋体" w:hAnsi="宋体" w:eastAsia="宋体" w:cs="宋体"/>
          <w:sz w:val="28"/>
          <w:szCs w:val="28"/>
        </w:rPr>
        <w:t xml:space="preserve">电子邮箱：★★★★★★★★                       </w:t>
      </w:r>
    </w:p>
    <w:p>
      <w:pPr>
        <w:ind w:left="4481" w:leftChars="2134" w:firstLine="140" w:firstLineChars="50"/>
        <w:rPr>
          <w:rFonts w:hint="eastAsia" w:ascii="宋体" w:hAnsi="宋体" w:eastAsia="宋体" w:cs="宋体"/>
          <w:sz w:val="28"/>
          <w:szCs w:val="28"/>
        </w:rPr>
      </w:pPr>
      <w:r>
        <w:rPr>
          <w:rFonts w:hint="eastAsia" w:ascii="宋体" w:hAnsi="宋体" w:eastAsia="宋体" w:cs="宋体"/>
          <w:sz w:val="28"/>
          <w:szCs w:val="28"/>
        </w:rPr>
        <w:t xml:space="preserve"> 单位名称：（加盖公章）</w:t>
      </w:r>
    </w:p>
    <w:p>
      <w:pPr>
        <w:ind w:left="4760" w:hanging="4760" w:hangingChars="1700"/>
        <w:rPr>
          <w:rFonts w:hint="eastAsia" w:ascii="宋体" w:hAnsi="宋体" w:eastAsia="宋体" w:cs="宋体"/>
          <w:sz w:val="28"/>
          <w:szCs w:val="28"/>
        </w:rPr>
      </w:pPr>
      <w:r>
        <w:rPr>
          <w:rFonts w:hint="eastAsia" w:ascii="宋体" w:hAnsi="宋体" w:eastAsia="宋体" w:cs="宋体"/>
          <w:sz w:val="28"/>
          <w:szCs w:val="28"/>
        </w:rPr>
        <w:t xml:space="preserve">                                              二O一</w:t>
      </w:r>
      <w:r>
        <w:rPr>
          <w:rFonts w:hint="eastAsia" w:ascii="宋体" w:hAnsi="宋体" w:eastAsia="宋体" w:cs="宋体"/>
          <w:sz w:val="28"/>
          <w:szCs w:val="28"/>
          <w:lang w:eastAsia="zh-CN"/>
        </w:rPr>
        <w:t>九</w:t>
      </w:r>
      <w:r>
        <w:rPr>
          <w:rFonts w:hint="eastAsia" w:ascii="宋体" w:hAnsi="宋体" w:eastAsia="宋体" w:cs="宋体"/>
          <w:sz w:val="28"/>
          <w:szCs w:val="28"/>
        </w:rPr>
        <w:t>年★月★日</w:t>
      </w:r>
    </w:p>
    <w:p>
      <w:pPr>
        <w:rPr>
          <w:rFonts w:hint="eastAsia" w:ascii="宋体" w:hAnsi="宋体" w:eastAsia="宋体" w:cs="宋体"/>
        </w:rPr>
      </w:pPr>
    </w:p>
    <w:p>
      <w:pPr>
        <w:rPr>
          <w:rFonts w:hint="eastAsia" w:ascii="宋体" w:hAnsi="宋体" w:eastAsia="宋体" w:cs="宋体"/>
          <w:sz w:val="24"/>
        </w:rPr>
      </w:pPr>
      <w:r>
        <w:rPr>
          <w:rFonts w:hint="eastAsia" w:ascii="宋体" w:hAnsi="宋体" w:eastAsia="宋体" w:cs="宋体"/>
          <w:sz w:val="24"/>
        </w:rPr>
        <w:t>注：</w:t>
      </w:r>
    </w:p>
    <w:p>
      <w:pPr>
        <w:rPr>
          <w:rFonts w:hint="eastAsia" w:ascii="宋体" w:hAnsi="宋体" w:eastAsia="宋体" w:cs="宋体"/>
          <w:sz w:val="24"/>
        </w:rPr>
      </w:pPr>
      <w:r>
        <w:rPr>
          <w:rFonts w:hint="eastAsia" w:ascii="宋体" w:hAnsi="宋体" w:eastAsia="宋体" w:cs="宋体"/>
          <w:sz w:val="24"/>
        </w:rPr>
        <w:t>1、针对本项目的意见建议仅供采购人完善采购需求参考所用！</w:t>
      </w:r>
    </w:p>
    <w:p>
      <w:pPr>
        <w:rPr>
          <w:rFonts w:hint="eastAsia" w:ascii="宋体" w:hAnsi="宋体" w:eastAsia="宋体" w:cs="宋体"/>
          <w:sz w:val="24"/>
        </w:rPr>
      </w:pPr>
      <w:r>
        <w:rPr>
          <w:rFonts w:hint="eastAsia" w:ascii="宋体" w:hAnsi="宋体" w:eastAsia="宋体" w:cs="宋体"/>
          <w:sz w:val="24"/>
        </w:rPr>
        <w:t>2、意见建议以书面（含传真）为准，供应商必须同时提供WORD版电子稿，并电话与公司项目联系人确认接收，否则视为供应商未提交书面意见建议。</w:t>
      </w:r>
    </w:p>
    <w:p>
      <w:pPr>
        <w:rPr>
          <w:rFonts w:hint="eastAsia" w:ascii="宋体" w:hAnsi="宋体" w:eastAsia="宋体" w:cs="宋体"/>
          <w:b/>
          <w:sz w:val="32"/>
          <w:szCs w:val="32"/>
        </w:rPr>
      </w:pPr>
    </w:p>
    <w:p>
      <w:pPr>
        <w:rPr>
          <w:rFonts w:hint="eastAsia" w:ascii="宋体" w:hAnsi="宋体" w:eastAsia="宋体" w:cs="宋体"/>
          <w:b/>
          <w:sz w:val="32"/>
          <w:szCs w:val="32"/>
        </w:rPr>
      </w:pPr>
    </w:p>
    <w:p>
      <w:pPr>
        <w:rPr>
          <w:rFonts w:hint="eastAsia" w:ascii="宋体" w:hAnsi="宋体" w:eastAsia="宋体" w:cs="宋体"/>
          <w:b/>
          <w:sz w:val="32"/>
          <w:szCs w:val="32"/>
        </w:rPr>
      </w:pPr>
    </w:p>
    <w:p>
      <w:pPr>
        <w:snapToGrid w:val="0"/>
        <w:spacing w:line="360" w:lineRule="auto"/>
        <w:jc w:val="center"/>
        <w:rPr>
          <w:rFonts w:hint="eastAsia" w:ascii="宋体" w:hAnsi="宋体" w:eastAsia="宋体" w:cs="宋体"/>
          <w:b/>
          <w:sz w:val="32"/>
          <w:szCs w:val="32"/>
        </w:rPr>
      </w:pPr>
      <w:r>
        <w:rPr>
          <w:rFonts w:hint="eastAsia" w:ascii="宋体" w:hAnsi="宋体" w:eastAsia="宋体" w:cs="宋体"/>
          <w:b/>
          <w:bCs/>
          <w:kern w:val="0"/>
          <w:sz w:val="32"/>
          <w:szCs w:val="32"/>
          <w:lang w:eastAsia="zh-CN"/>
        </w:rPr>
        <w:t>诸暨市公安局大唐***指挥调度中心中央空调采购项</w:t>
      </w:r>
      <w:r>
        <w:rPr>
          <w:rFonts w:hint="eastAsia" w:ascii="宋体" w:hAnsi="宋体" w:eastAsia="宋体" w:cs="宋体"/>
          <w:b/>
          <w:bCs/>
          <w:kern w:val="0"/>
          <w:sz w:val="32"/>
          <w:szCs w:val="32"/>
          <w:lang w:eastAsia="zh-CN"/>
        </w:rPr>
        <w:t>目</w:t>
      </w:r>
      <w:r>
        <w:rPr>
          <w:rFonts w:hint="eastAsia" w:ascii="宋体" w:hAnsi="宋体" w:eastAsia="宋体" w:cs="宋体"/>
          <w:b/>
          <w:sz w:val="32"/>
          <w:szCs w:val="32"/>
        </w:rPr>
        <w:t>要素</w:t>
      </w:r>
    </w:p>
    <w:p>
      <w:pPr>
        <w:spacing w:line="360" w:lineRule="auto"/>
        <w:rPr>
          <w:rFonts w:hint="eastAsia" w:ascii="宋体" w:hAnsi="宋体" w:eastAsia="宋体" w:cs="宋体"/>
          <w:b/>
          <w:color w:val="auto"/>
          <w:sz w:val="24"/>
          <w:lang w:eastAsia="zh-CN"/>
        </w:rPr>
      </w:pPr>
      <w:r>
        <w:rPr>
          <w:rFonts w:hint="eastAsia" w:ascii="宋体" w:hAnsi="宋体" w:eastAsia="宋体" w:cs="宋体"/>
          <w:b/>
          <w:sz w:val="24"/>
        </w:rPr>
        <w:t xml:space="preserve"> 一、项目名称：</w:t>
      </w:r>
      <w:r>
        <w:rPr>
          <w:rFonts w:hint="eastAsia" w:ascii="宋体" w:hAnsi="宋体" w:eastAsia="宋体" w:cs="宋体"/>
          <w:color w:val="auto"/>
          <w:sz w:val="24"/>
          <w:lang w:eastAsia="zh-CN"/>
        </w:rPr>
        <w:t>诸暨市公安局大唐***指挥调度中心中央空调采购项目</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 xml:space="preserve"> 二、项目内容及规模：</w:t>
      </w:r>
      <w:r>
        <w:rPr>
          <w:rFonts w:hint="eastAsia" w:ascii="宋体" w:hAnsi="宋体" w:eastAsia="宋体" w:cs="宋体"/>
          <w:color w:val="auto"/>
          <w:sz w:val="24"/>
          <w:lang w:eastAsia="zh-CN"/>
        </w:rPr>
        <w:t>诸暨市公安局大唐***指挥调度中心中央空调采购</w:t>
      </w:r>
      <w:r>
        <w:rPr>
          <w:rFonts w:hint="eastAsia" w:ascii="宋体" w:hAnsi="宋体" w:eastAsia="宋体" w:cs="宋体"/>
          <w:color w:val="auto"/>
          <w:sz w:val="24"/>
        </w:rPr>
        <w:t>，最高限价为</w:t>
      </w:r>
      <w:r>
        <w:rPr>
          <w:rFonts w:hint="eastAsia" w:ascii="宋体" w:hAnsi="宋体" w:eastAsia="宋体" w:cs="宋体"/>
          <w:color w:val="auto"/>
          <w:sz w:val="24"/>
          <w:u w:val="single"/>
          <w:lang w:val="en-US" w:eastAsia="zh-CN"/>
        </w:rPr>
        <w:t>97</w:t>
      </w:r>
      <w:r>
        <w:rPr>
          <w:rFonts w:hint="eastAsia" w:ascii="宋体" w:hAnsi="宋体" w:eastAsia="宋体" w:cs="宋体"/>
          <w:color w:val="auto"/>
          <w:sz w:val="24"/>
        </w:rPr>
        <w:t>万元。</w:t>
      </w:r>
    </w:p>
    <w:p>
      <w:pPr>
        <w:rPr>
          <w:rFonts w:hint="eastAsia" w:ascii="宋体" w:hAnsi="宋体" w:eastAsia="宋体" w:cs="宋体"/>
          <w:b/>
          <w:color w:val="auto"/>
          <w:sz w:val="24"/>
        </w:rPr>
      </w:pPr>
      <w:r>
        <w:rPr>
          <w:rFonts w:hint="eastAsia" w:ascii="宋体" w:hAnsi="宋体" w:eastAsia="宋体" w:cs="宋体"/>
          <w:b/>
          <w:color w:val="auto"/>
          <w:sz w:val="24"/>
        </w:rPr>
        <w:t>三、投标人（供应商）资格要求：</w:t>
      </w:r>
    </w:p>
    <w:p>
      <w:pPr>
        <w:spacing w:line="360" w:lineRule="auto"/>
        <w:rPr>
          <w:rFonts w:hint="eastAsia" w:ascii="宋体" w:hAnsi="宋体" w:eastAsia="宋体" w:cs="宋体"/>
          <w:color w:val="FF0000"/>
          <w:sz w:val="24"/>
        </w:rPr>
      </w:pPr>
      <w:r>
        <w:rPr>
          <w:rFonts w:hint="eastAsia" w:ascii="宋体" w:hAnsi="宋体" w:eastAsia="宋体" w:cs="宋体"/>
          <w:color w:val="auto"/>
          <w:sz w:val="24"/>
          <w:szCs w:val="20"/>
        </w:rPr>
        <w:t xml:space="preserve">    1、</w:t>
      </w:r>
      <w:r>
        <w:rPr>
          <w:rFonts w:hint="eastAsia" w:ascii="宋体" w:hAnsi="宋体" w:eastAsia="宋体" w:cs="宋体"/>
          <w:color w:val="auto"/>
          <w:kern w:val="1"/>
          <w:sz w:val="24"/>
        </w:rPr>
        <w:t>符合《中华人民共和国政府采购法》</w:t>
      </w:r>
      <w:r>
        <w:rPr>
          <w:rFonts w:hint="eastAsia" w:ascii="宋体" w:hAnsi="宋体" w:eastAsia="宋体" w:cs="宋体"/>
          <w:kern w:val="1"/>
          <w:sz w:val="24"/>
        </w:rPr>
        <w:t>第二十二条之规定；</w:t>
      </w:r>
    </w:p>
    <w:p>
      <w:pPr>
        <w:spacing w:line="360" w:lineRule="auto"/>
        <w:ind w:firstLine="480" w:firstLineChars="200"/>
        <w:rPr>
          <w:rFonts w:hint="eastAsia" w:ascii="宋体" w:hAnsi="宋体" w:eastAsia="宋体" w:cs="宋体"/>
          <w:sz w:val="24"/>
          <w:szCs w:val="20"/>
        </w:rPr>
      </w:pPr>
      <w:r>
        <w:rPr>
          <w:rFonts w:hint="eastAsia" w:ascii="宋体" w:hAnsi="宋体" w:eastAsia="宋体" w:cs="宋体"/>
          <w:sz w:val="24"/>
          <w:szCs w:val="20"/>
        </w:rPr>
        <w:t>2、</w:t>
      </w:r>
      <w:r>
        <w:rPr>
          <w:rFonts w:hint="eastAsia" w:ascii="宋体" w:hAnsi="宋体" w:eastAsia="宋体" w:cs="宋体"/>
          <w:sz w:val="24"/>
        </w:rPr>
        <w:t>具有良好信誉的独立法人</w:t>
      </w:r>
      <w:r>
        <w:rPr>
          <w:rFonts w:hint="eastAsia" w:ascii="宋体" w:hAnsi="宋体" w:eastAsia="宋体" w:cs="宋体"/>
          <w:sz w:val="24"/>
          <w:szCs w:val="20"/>
        </w:rPr>
        <w:t>；</w:t>
      </w:r>
    </w:p>
    <w:p>
      <w:pPr>
        <w:spacing w:line="360" w:lineRule="auto"/>
        <w:ind w:firstLine="480" w:firstLineChars="200"/>
        <w:rPr>
          <w:rFonts w:hint="eastAsia" w:ascii="宋体" w:hAnsi="宋体" w:eastAsia="宋体" w:cs="宋体"/>
          <w:kern w:val="1"/>
          <w:sz w:val="24"/>
        </w:rPr>
      </w:pPr>
      <w:r>
        <w:rPr>
          <w:rFonts w:hint="eastAsia" w:ascii="宋体" w:hAnsi="宋体" w:eastAsia="宋体" w:cs="宋体"/>
          <w:sz w:val="24"/>
          <w:szCs w:val="20"/>
        </w:rPr>
        <w:t>3、</w:t>
      </w:r>
      <w:r>
        <w:rPr>
          <w:rFonts w:hint="eastAsia" w:ascii="宋体" w:hAnsi="宋体" w:eastAsia="宋体" w:cs="宋体"/>
          <w:kern w:val="1"/>
          <w:sz w:val="24"/>
        </w:rPr>
        <w:t>本项目不接受联合体投标。</w:t>
      </w:r>
    </w:p>
    <w:p>
      <w:pPr>
        <w:spacing w:line="360" w:lineRule="auto"/>
        <w:rPr>
          <w:rFonts w:hint="eastAsia" w:ascii="宋体" w:hAnsi="宋体" w:eastAsia="宋体" w:cs="宋体"/>
          <w:sz w:val="24"/>
        </w:rPr>
      </w:pPr>
      <w:r>
        <w:rPr>
          <w:rFonts w:hint="eastAsia" w:ascii="宋体" w:hAnsi="宋体" w:eastAsia="宋体" w:cs="宋体"/>
          <w:b/>
          <w:sz w:val="24"/>
        </w:rPr>
        <w:t xml:space="preserve">  四、评标办法：</w:t>
      </w:r>
      <w:r>
        <w:rPr>
          <w:rFonts w:hint="eastAsia" w:ascii="宋体" w:hAnsi="宋体" w:eastAsia="宋体" w:cs="宋体"/>
          <w:sz w:val="24"/>
        </w:rPr>
        <w:t>综</w:t>
      </w:r>
      <w:r>
        <w:rPr>
          <w:rFonts w:hint="eastAsia" w:ascii="宋体" w:hAnsi="宋体" w:eastAsia="宋体" w:cs="宋体"/>
          <w:kern w:val="0"/>
          <w:sz w:val="24"/>
        </w:rPr>
        <w:t>合评分法</w:t>
      </w:r>
    </w:p>
    <w:p>
      <w:pPr>
        <w:spacing w:line="360" w:lineRule="auto"/>
        <w:rPr>
          <w:rFonts w:hint="eastAsia" w:ascii="宋体" w:hAnsi="宋体" w:eastAsia="宋体" w:cs="宋体"/>
          <w:b/>
          <w:sz w:val="24"/>
        </w:rPr>
      </w:pPr>
      <w:r>
        <w:rPr>
          <w:rFonts w:hint="eastAsia" w:ascii="宋体" w:hAnsi="宋体" w:eastAsia="宋体" w:cs="宋体"/>
          <w:b/>
          <w:sz w:val="24"/>
        </w:rPr>
        <w:t xml:space="preserve">  五、评分标准：</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1、评分办法</w:t>
      </w:r>
    </w:p>
    <w:p>
      <w:pPr>
        <w:spacing w:line="380" w:lineRule="exact"/>
        <w:ind w:firstLine="200"/>
        <w:rPr>
          <w:rFonts w:hint="eastAsia" w:ascii="宋体" w:hAnsi="宋体" w:eastAsia="宋体" w:cs="宋体"/>
          <w:color w:val="auto"/>
          <w:sz w:val="24"/>
        </w:rPr>
      </w:pPr>
      <w:r>
        <w:rPr>
          <w:rFonts w:hint="eastAsia" w:ascii="宋体" w:hAnsi="宋体" w:eastAsia="宋体" w:cs="宋体"/>
          <w:sz w:val="24"/>
        </w:rPr>
        <w:t>（1）满分为100分。总得分</w:t>
      </w:r>
      <w:r>
        <w:rPr>
          <w:rFonts w:hint="eastAsia" w:ascii="宋体" w:hAnsi="宋体" w:eastAsia="宋体" w:cs="宋体"/>
          <w:color w:val="auto"/>
          <w:sz w:val="24"/>
        </w:rPr>
        <w:t>=技术得分+商务得分。</w:t>
      </w:r>
    </w:p>
    <w:p>
      <w:pPr>
        <w:spacing w:line="380" w:lineRule="exact"/>
        <w:ind w:firstLine="200"/>
        <w:rPr>
          <w:rFonts w:hint="eastAsia" w:ascii="宋体" w:hAnsi="宋体" w:eastAsia="宋体" w:cs="宋体"/>
          <w:color w:val="auto"/>
          <w:sz w:val="24"/>
        </w:rPr>
      </w:pPr>
      <w:r>
        <w:rPr>
          <w:rFonts w:hint="eastAsia" w:ascii="宋体" w:hAnsi="宋体" w:eastAsia="宋体" w:cs="宋体"/>
          <w:color w:val="auto"/>
          <w:sz w:val="24"/>
        </w:rPr>
        <w:t>（2）技术得分=技术评分，技术评分=所有评委的有效评分的算术平均数。</w:t>
      </w:r>
    </w:p>
    <w:p>
      <w:pPr>
        <w:spacing w:line="400" w:lineRule="exact"/>
        <w:rPr>
          <w:rFonts w:hint="eastAsia" w:ascii="宋体" w:hAnsi="宋体" w:eastAsia="宋体" w:cs="宋体"/>
          <w:color w:val="auto"/>
          <w:sz w:val="24"/>
        </w:rPr>
      </w:pPr>
      <w:r>
        <w:rPr>
          <w:rFonts w:hint="eastAsia" w:ascii="宋体" w:hAnsi="宋体" w:eastAsia="宋体" w:cs="宋体"/>
          <w:color w:val="auto"/>
          <w:sz w:val="24"/>
        </w:rPr>
        <w:t xml:space="preserve"> （3）商务得分=（评标基准价/投标报价）*价格权值*100，评标基准价=通过技术评审入围的最低投标报价，价格权值=</w:t>
      </w:r>
      <w:r>
        <w:rPr>
          <w:rFonts w:hint="eastAsia" w:ascii="宋体" w:hAnsi="宋体" w:eastAsia="宋体" w:cs="宋体"/>
          <w:color w:val="auto"/>
          <w:sz w:val="24"/>
          <w:lang w:val="en-US" w:eastAsia="zh-CN"/>
        </w:rPr>
        <w:t>35</w:t>
      </w:r>
      <w:r>
        <w:rPr>
          <w:rFonts w:hint="eastAsia" w:ascii="宋体" w:hAnsi="宋体" w:eastAsia="宋体" w:cs="宋体"/>
          <w:color w:val="auto"/>
          <w:sz w:val="24"/>
        </w:rPr>
        <w:t>%；</w:t>
      </w:r>
    </w:p>
    <w:p>
      <w:pPr>
        <w:spacing w:line="400" w:lineRule="exact"/>
        <w:rPr>
          <w:rFonts w:hint="eastAsia" w:ascii="宋体" w:hAnsi="宋体" w:eastAsia="宋体" w:cs="宋体"/>
          <w:color w:val="auto"/>
          <w:sz w:val="24"/>
          <w:highlight w:val="yellow"/>
          <w:lang w:val="en-US" w:eastAsia="zh-CN"/>
        </w:rPr>
      </w:pPr>
      <w:r>
        <w:rPr>
          <w:rFonts w:hint="eastAsia" w:ascii="宋体" w:hAnsi="宋体" w:eastAsia="宋体" w:cs="宋体"/>
          <w:color w:val="auto"/>
          <w:sz w:val="24"/>
        </w:rPr>
        <w:t xml:space="preserve"> （4）技术评分细则（</w:t>
      </w:r>
      <w:r>
        <w:rPr>
          <w:rFonts w:hint="eastAsia" w:ascii="宋体" w:hAnsi="宋体" w:eastAsia="宋体" w:cs="宋体"/>
          <w:color w:val="auto"/>
          <w:sz w:val="24"/>
          <w:lang w:val="en-US" w:eastAsia="zh-CN"/>
        </w:rPr>
        <w:t>65</w:t>
      </w:r>
      <w:r>
        <w:rPr>
          <w:rFonts w:hint="eastAsia" w:ascii="宋体" w:hAnsi="宋体" w:eastAsia="宋体" w:cs="宋体"/>
          <w:color w:val="auto"/>
          <w:sz w:val="24"/>
        </w:rPr>
        <w:t>分）</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159"/>
        <w:gridCol w:w="1773"/>
        <w:gridCol w:w="5171"/>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86" w:type="dxa"/>
            <w:tcBorders>
              <w:top w:val="single" w:color="auto" w:sz="4" w:space="0"/>
              <w:left w:val="single" w:color="auto" w:sz="4" w:space="0"/>
              <w:right w:val="single" w:color="auto" w:sz="4" w:space="0"/>
            </w:tcBorders>
            <w:noWrap w:val="0"/>
            <w:vAlign w:val="center"/>
          </w:tcPr>
          <w:p>
            <w:pPr>
              <w:jc w:val="center"/>
              <w:rPr>
                <w:rFonts w:ascii="宋体" w:hAnsi="宋体" w:cs="宋体"/>
                <w:b/>
                <w:bCs/>
                <w:color w:val="auto"/>
                <w:sz w:val="24"/>
              </w:rPr>
            </w:pPr>
            <w:r>
              <w:rPr>
                <w:rFonts w:hint="eastAsia" w:ascii="宋体" w:hAnsi="宋体" w:cs="宋体"/>
                <w:b/>
                <w:bCs/>
                <w:color w:val="auto"/>
                <w:sz w:val="24"/>
              </w:rPr>
              <w:t>序号</w:t>
            </w:r>
          </w:p>
        </w:tc>
        <w:tc>
          <w:tcPr>
            <w:tcW w:w="1159" w:type="dxa"/>
            <w:tcBorders>
              <w:top w:val="single" w:color="auto" w:sz="4" w:space="0"/>
              <w:left w:val="single" w:color="auto" w:sz="4" w:space="0"/>
              <w:right w:val="single" w:color="auto" w:sz="4" w:space="0"/>
            </w:tcBorders>
            <w:noWrap w:val="0"/>
            <w:vAlign w:val="center"/>
          </w:tcPr>
          <w:p>
            <w:pPr>
              <w:jc w:val="center"/>
              <w:rPr>
                <w:rFonts w:ascii="宋体" w:hAnsi="宋体" w:cs="宋体"/>
                <w:b/>
                <w:bCs/>
                <w:color w:val="auto"/>
                <w:sz w:val="24"/>
              </w:rPr>
            </w:pPr>
            <w:r>
              <w:rPr>
                <w:rFonts w:hint="eastAsia" w:ascii="宋体" w:hAnsi="宋体" w:cs="宋体"/>
                <w:b/>
                <w:bCs/>
                <w:color w:val="auto"/>
                <w:sz w:val="24"/>
              </w:rPr>
              <w:t>项目内容</w:t>
            </w:r>
          </w:p>
        </w:tc>
        <w:tc>
          <w:tcPr>
            <w:tcW w:w="6944" w:type="dxa"/>
            <w:gridSpan w:val="2"/>
            <w:tcBorders>
              <w:top w:val="single" w:color="auto" w:sz="4" w:space="0"/>
              <w:left w:val="single" w:color="auto" w:sz="4" w:space="0"/>
              <w:right w:val="single" w:color="auto" w:sz="4" w:space="0"/>
            </w:tcBorders>
            <w:noWrap w:val="0"/>
            <w:vAlign w:val="center"/>
          </w:tcPr>
          <w:p>
            <w:pPr>
              <w:ind w:firstLine="241" w:firstLineChars="100"/>
              <w:jc w:val="center"/>
              <w:rPr>
                <w:rFonts w:ascii="宋体" w:hAnsi="宋体" w:cs="宋体"/>
                <w:b/>
                <w:bCs/>
                <w:color w:val="auto"/>
                <w:sz w:val="24"/>
              </w:rPr>
            </w:pPr>
            <w:r>
              <w:rPr>
                <w:rFonts w:hint="eastAsia" w:ascii="宋体" w:hAnsi="宋体" w:cs="宋体"/>
                <w:b/>
                <w:bCs/>
                <w:color w:val="auto"/>
                <w:sz w:val="24"/>
              </w:rPr>
              <w:t>评分准则</w:t>
            </w:r>
          </w:p>
        </w:tc>
        <w:tc>
          <w:tcPr>
            <w:tcW w:w="786" w:type="dxa"/>
            <w:tcBorders>
              <w:top w:val="single" w:color="auto" w:sz="4" w:space="0"/>
              <w:left w:val="single" w:color="auto" w:sz="4" w:space="0"/>
              <w:right w:val="single" w:color="auto" w:sz="4" w:space="0"/>
            </w:tcBorders>
            <w:noWrap w:val="0"/>
            <w:vAlign w:val="center"/>
          </w:tcPr>
          <w:p>
            <w:pPr>
              <w:jc w:val="center"/>
              <w:rPr>
                <w:rFonts w:ascii="宋体" w:hAnsi="宋体" w:cs="宋体"/>
                <w:b/>
                <w:bCs/>
                <w:color w:val="auto"/>
                <w:sz w:val="24"/>
              </w:rPr>
            </w:pPr>
            <w:r>
              <w:rPr>
                <w:rFonts w:hint="eastAsia" w:ascii="宋体" w:hAnsi="宋体" w:cs="宋体"/>
                <w:b/>
                <w:bCs/>
                <w:color w:val="auto"/>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686" w:type="dxa"/>
            <w:vMerge w:val="restart"/>
            <w:tcBorders>
              <w:top w:val="single" w:color="auto" w:sz="4" w:space="0"/>
              <w:left w:val="single" w:color="auto" w:sz="4" w:space="0"/>
              <w:right w:val="single" w:color="auto" w:sz="4" w:space="0"/>
            </w:tcBorders>
            <w:noWrap w:val="0"/>
            <w:vAlign w:val="center"/>
          </w:tcPr>
          <w:p>
            <w:pPr>
              <w:spacing w:line="400" w:lineRule="exact"/>
              <w:rPr>
                <w:rFonts w:ascii="宋体" w:hAnsi="宋体"/>
                <w:color w:val="auto"/>
                <w:sz w:val="24"/>
              </w:rPr>
            </w:pPr>
            <w:r>
              <w:rPr>
                <w:rFonts w:hint="eastAsia" w:ascii="宋体" w:hAnsi="宋体"/>
                <w:color w:val="auto"/>
                <w:sz w:val="24"/>
              </w:rPr>
              <w:t>1</w:t>
            </w:r>
          </w:p>
        </w:tc>
        <w:tc>
          <w:tcPr>
            <w:tcW w:w="1159" w:type="dxa"/>
            <w:vMerge w:val="restart"/>
            <w:tcBorders>
              <w:top w:val="single" w:color="auto" w:sz="4" w:space="0"/>
              <w:left w:val="single" w:color="auto" w:sz="4" w:space="0"/>
              <w:right w:val="single" w:color="auto" w:sz="4" w:space="0"/>
            </w:tcBorders>
            <w:noWrap w:val="0"/>
            <w:vAlign w:val="center"/>
          </w:tcPr>
          <w:p>
            <w:pPr>
              <w:spacing w:line="400" w:lineRule="exact"/>
              <w:rPr>
                <w:rFonts w:ascii="宋体" w:hAnsi="宋体"/>
                <w:color w:val="auto"/>
                <w:sz w:val="24"/>
              </w:rPr>
            </w:pPr>
            <w:r>
              <w:rPr>
                <w:rFonts w:hint="eastAsia" w:ascii="宋体" w:hAnsi="宋体"/>
                <w:color w:val="auto"/>
                <w:sz w:val="24"/>
              </w:rPr>
              <w:t>投标人及投标产品情况</w:t>
            </w:r>
          </w:p>
        </w:tc>
        <w:tc>
          <w:tcPr>
            <w:tcW w:w="1773" w:type="dxa"/>
            <w:tcBorders>
              <w:top w:val="single" w:color="auto" w:sz="4" w:space="0"/>
              <w:left w:val="single" w:color="auto" w:sz="4" w:space="0"/>
              <w:right w:val="single" w:color="auto" w:sz="4" w:space="0"/>
            </w:tcBorders>
            <w:noWrap w:val="0"/>
            <w:vAlign w:val="center"/>
          </w:tcPr>
          <w:p>
            <w:pPr>
              <w:spacing w:line="400" w:lineRule="exact"/>
              <w:rPr>
                <w:rFonts w:ascii="宋体" w:hAnsi="宋体"/>
                <w:color w:val="auto"/>
                <w:sz w:val="24"/>
              </w:rPr>
            </w:pPr>
            <w:r>
              <w:rPr>
                <w:rFonts w:hint="eastAsia" w:ascii="宋体" w:hAnsi="宋体"/>
                <w:color w:val="auto"/>
                <w:sz w:val="24"/>
              </w:rPr>
              <w:t>投标企业情况</w:t>
            </w:r>
          </w:p>
        </w:tc>
        <w:tc>
          <w:tcPr>
            <w:tcW w:w="5171" w:type="dxa"/>
            <w:tcBorders>
              <w:top w:val="single" w:color="auto" w:sz="4" w:space="0"/>
              <w:left w:val="single" w:color="auto" w:sz="4" w:space="0"/>
              <w:right w:val="single" w:color="auto" w:sz="4" w:space="0"/>
            </w:tcBorders>
            <w:noWrap w:val="0"/>
            <w:vAlign w:val="center"/>
          </w:tcPr>
          <w:p>
            <w:pPr>
              <w:spacing w:line="400" w:lineRule="exact"/>
              <w:rPr>
                <w:rFonts w:ascii="宋体" w:hAnsi="宋体"/>
                <w:color w:val="auto"/>
                <w:sz w:val="24"/>
              </w:rPr>
            </w:pPr>
            <w:r>
              <w:rPr>
                <w:rFonts w:hint="eastAsia" w:ascii="宋体" w:hAnsi="宋体"/>
                <w:color w:val="auto"/>
                <w:sz w:val="24"/>
              </w:rPr>
              <w:t>投标人财务状况、投标产品企业实力及全球性知名度、当地行业市场知名度等情况酌情打分。</w:t>
            </w:r>
          </w:p>
        </w:tc>
        <w:tc>
          <w:tcPr>
            <w:tcW w:w="786" w:type="dxa"/>
            <w:tcBorders>
              <w:top w:val="single" w:color="auto" w:sz="4" w:space="0"/>
              <w:left w:val="single" w:color="auto" w:sz="4" w:space="0"/>
              <w:right w:val="single" w:color="auto" w:sz="4" w:space="0"/>
            </w:tcBorders>
            <w:noWrap w:val="0"/>
            <w:vAlign w:val="center"/>
          </w:tcPr>
          <w:p>
            <w:pPr>
              <w:spacing w:line="400" w:lineRule="exact"/>
              <w:rPr>
                <w:rFonts w:ascii="宋体" w:hAnsi="宋体"/>
                <w:color w:val="auto"/>
                <w:sz w:val="24"/>
              </w:rPr>
            </w:pPr>
            <w:r>
              <w:rPr>
                <w:rFonts w:hint="eastAsia" w:ascii="宋体" w:hAnsi="宋体"/>
                <w:color w:val="auto"/>
                <w:sz w:val="24"/>
                <w:lang w:val="en-US" w:eastAsia="zh-CN"/>
              </w:rPr>
              <w:t>1</w:t>
            </w:r>
            <w:r>
              <w:rPr>
                <w:rFonts w:hint="eastAsia" w:ascii="宋体" w:hAnsi="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86" w:type="dxa"/>
            <w:vMerge w:val="continue"/>
            <w:tcBorders>
              <w:left w:val="single" w:color="auto" w:sz="4" w:space="0"/>
              <w:right w:val="single" w:color="auto" w:sz="4" w:space="0"/>
            </w:tcBorders>
            <w:noWrap w:val="0"/>
            <w:vAlign w:val="center"/>
          </w:tcPr>
          <w:p>
            <w:pPr>
              <w:spacing w:line="400" w:lineRule="exact"/>
              <w:rPr>
                <w:rFonts w:ascii="宋体" w:hAnsi="宋体"/>
                <w:color w:val="auto"/>
                <w:sz w:val="24"/>
              </w:rPr>
            </w:pPr>
          </w:p>
        </w:tc>
        <w:tc>
          <w:tcPr>
            <w:tcW w:w="1159" w:type="dxa"/>
            <w:vMerge w:val="continue"/>
            <w:tcBorders>
              <w:left w:val="single" w:color="auto" w:sz="4" w:space="0"/>
              <w:right w:val="single" w:color="auto" w:sz="4" w:space="0"/>
            </w:tcBorders>
            <w:noWrap w:val="0"/>
            <w:vAlign w:val="center"/>
          </w:tcPr>
          <w:p>
            <w:pPr>
              <w:spacing w:line="400" w:lineRule="exact"/>
              <w:rPr>
                <w:rFonts w:ascii="宋体" w:hAnsi="宋体"/>
                <w:color w:val="auto"/>
                <w:sz w:val="24"/>
              </w:rPr>
            </w:pPr>
          </w:p>
        </w:tc>
        <w:tc>
          <w:tcPr>
            <w:tcW w:w="1773" w:type="dxa"/>
            <w:tcBorders>
              <w:left w:val="single" w:color="auto" w:sz="4" w:space="0"/>
              <w:right w:val="single" w:color="auto" w:sz="4" w:space="0"/>
            </w:tcBorders>
            <w:noWrap w:val="0"/>
            <w:vAlign w:val="center"/>
          </w:tcPr>
          <w:p>
            <w:pPr>
              <w:spacing w:line="400" w:lineRule="exact"/>
              <w:rPr>
                <w:rFonts w:ascii="宋体" w:hAnsi="宋体"/>
                <w:color w:val="auto"/>
                <w:sz w:val="24"/>
              </w:rPr>
            </w:pPr>
            <w:r>
              <w:rPr>
                <w:rFonts w:hint="eastAsia" w:ascii="宋体" w:hAnsi="宋体"/>
                <w:color w:val="auto"/>
                <w:sz w:val="24"/>
              </w:rPr>
              <w:t>投标人或制造商证书</w:t>
            </w:r>
          </w:p>
        </w:tc>
        <w:tc>
          <w:tcPr>
            <w:tcW w:w="517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 w:val="24"/>
              </w:rPr>
            </w:pPr>
            <w:r>
              <w:rPr>
                <w:rFonts w:hint="eastAsia" w:ascii="宋体" w:hAnsi="宋体"/>
                <w:color w:val="auto"/>
                <w:sz w:val="24"/>
              </w:rPr>
              <w:t>投标人或多联机制造商具备ISO9001、GB/T28001-2011、ISO14001认证证书（须在有效期内）：每通过一项认证得1分，最高得3分。（提供中国国家认证认可监督管理委员会网站查询截图证明材料，否则不得分）</w:t>
            </w:r>
          </w:p>
        </w:tc>
        <w:tc>
          <w:tcPr>
            <w:tcW w:w="78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 w:val="24"/>
              </w:rPr>
            </w:pPr>
            <w:r>
              <w:rPr>
                <w:rFonts w:hint="eastAsia" w:ascii="宋体" w:hAnsi="宋体"/>
                <w:color w:val="auto"/>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686" w:type="dxa"/>
            <w:vMerge w:val="continue"/>
            <w:tcBorders>
              <w:left w:val="single" w:color="auto" w:sz="4" w:space="0"/>
              <w:right w:val="single" w:color="auto" w:sz="4" w:space="0"/>
            </w:tcBorders>
            <w:noWrap w:val="0"/>
            <w:vAlign w:val="center"/>
          </w:tcPr>
          <w:p>
            <w:pPr>
              <w:spacing w:line="400" w:lineRule="exact"/>
              <w:rPr>
                <w:rFonts w:ascii="宋体" w:hAnsi="宋体"/>
                <w:color w:val="auto"/>
                <w:sz w:val="24"/>
              </w:rPr>
            </w:pPr>
          </w:p>
        </w:tc>
        <w:tc>
          <w:tcPr>
            <w:tcW w:w="1159" w:type="dxa"/>
            <w:vMerge w:val="continue"/>
            <w:tcBorders>
              <w:left w:val="single" w:color="auto" w:sz="4" w:space="0"/>
              <w:right w:val="single" w:color="auto" w:sz="4" w:space="0"/>
            </w:tcBorders>
            <w:noWrap w:val="0"/>
            <w:vAlign w:val="center"/>
          </w:tcPr>
          <w:p>
            <w:pPr>
              <w:spacing w:line="400" w:lineRule="exact"/>
              <w:rPr>
                <w:rFonts w:ascii="宋体" w:hAnsi="宋体"/>
                <w:color w:val="auto"/>
                <w:sz w:val="24"/>
              </w:rPr>
            </w:pPr>
          </w:p>
        </w:tc>
        <w:tc>
          <w:tcPr>
            <w:tcW w:w="1773" w:type="dxa"/>
            <w:tcBorders>
              <w:left w:val="single" w:color="auto" w:sz="4" w:space="0"/>
              <w:right w:val="single" w:color="auto" w:sz="4" w:space="0"/>
            </w:tcBorders>
            <w:noWrap w:val="0"/>
            <w:vAlign w:val="center"/>
          </w:tcPr>
          <w:p>
            <w:pPr>
              <w:spacing w:line="400" w:lineRule="exact"/>
              <w:rPr>
                <w:rFonts w:ascii="宋体" w:hAnsi="宋体"/>
                <w:color w:val="auto"/>
                <w:sz w:val="24"/>
              </w:rPr>
            </w:pPr>
            <w:r>
              <w:rPr>
                <w:rFonts w:hint="eastAsia" w:ascii="宋体" w:hAnsi="宋体"/>
                <w:color w:val="auto"/>
                <w:sz w:val="24"/>
              </w:rPr>
              <w:t>投标人业绩</w:t>
            </w:r>
          </w:p>
        </w:tc>
        <w:tc>
          <w:tcPr>
            <w:tcW w:w="5171" w:type="dxa"/>
            <w:tcBorders>
              <w:top w:val="single" w:color="auto" w:sz="4" w:space="0"/>
              <w:left w:val="single" w:color="auto" w:sz="4" w:space="0"/>
              <w:right w:val="single" w:color="auto" w:sz="4" w:space="0"/>
            </w:tcBorders>
            <w:noWrap w:val="0"/>
            <w:vAlign w:val="center"/>
          </w:tcPr>
          <w:p>
            <w:pPr>
              <w:spacing w:line="400" w:lineRule="exact"/>
              <w:rPr>
                <w:rFonts w:ascii="宋体" w:hAnsi="宋体"/>
                <w:color w:val="FF0000"/>
                <w:sz w:val="24"/>
              </w:rPr>
            </w:pPr>
            <w:r>
              <w:rPr>
                <w:rFonts w:hint="eastAsia" w:ascii="宋体" w:hAnsi="宋体"/>
                <w:color w:val="000000"/>
                <w:sz w:val="24"/>
              </w:rPr>
              <w:t>投标人</w:t>
            </w:r>
            <w:r>
              <w:rPr>
                <w:rFonts w:hint="eastAsia" w:ascii="宋体" w:hAnsi="宋体"/>
                <w:color w:val="000000"/>
                <w:sz w:val="24"/>
                <w:lang w:eastAsia="zh-CN"/>
              </w:rPr>
              <w:t>近两年来承接过相关</w:t>
            </w:r>
            <w:r>
              <w:rPr>
                <w:rFonts w:hint="eastAsia" w:ascii="宋体" w:hAnsi="宋体"/>
                <w:color w:val="000000"/>
                <w:sz w:val="24"/>
              </w:rPr>
              <w:t>空调</w:t>
            </w:r>
            <w:r>
              <w:rPr>
                <w:rFonts w:hint="eastAsia" w:ascii="宋体" w:hAnsi="宋体"/>
                <w:color w:val="000000"/>
                <w:sz w:val="24"/>
                <w:lang w:eastAsia="zh-CN"/>
              </w:rPr>
              <w:t>项目的</w:t>
            </w:r>
            <w:r>
              <w:rPr>
                <w:rFonts w:hint="eastAsia" w:ascii="宋体" w:hAnsi="宋体"/>
                <w:color w:val="000000"/>
                <w:sz w:val="24"/>
              </w:rPr>
              <w:t>，</w:t>
            </w:r>
            <w:r>
              <w:rPr>
                <w:rFonts w:hint="eastAsia" w:ascii="宋体" w:hAnsi="宋体"/>
                <w:color w:val="000000"/>
                <w:sz w:val="24"/>
                <w:lang w:eastAsia="zh-CN"/>
              </w:rPr>
              <w:t>每个业绩</w:t>
            </w:r>
            <w:r>
              <w:rPr>
                <w:rFonts w:hint="eastAsia" w:ascii="宋体" w:hAnsi="宋体"/>
                <w:color w:val="000000"/>
                <w:sz w:val="24"/>
              </w:rPr>
              <w:t>得1分，最高得3分。（提供中标通知书或合同原件，不提供不得分)</w:t>
            </w:r>
          </w:p>
        </w:tc>
        <w:tc>
          <w:tcPr>
            <w:tcW w:w="78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FF0000"/>
                <w:sz w:val="24"/>
              </w:rPr>
            </w:pPr>
            <w:r>
              <w:rPr>
                <w:rFonts w:hint="eastAsia" w:ascii="宋体" w:hAnsi="宋体"/>
                <w:color w:val="000000"/>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686" w:type="dxa"/>
            <w:vMerge w:val="continue"/>
            <w:tcBorders>
              <w:left w:val="single" w:color="auto" w:sz="4" w:space="0"/>
              <w:right w:val="single" w:color="auto" w:sz="4" w:space="0"/>
            </w:tcBorders>
            <w:noWrap w:val="0"/>
            <w:vAlign w:val="center"/>
          </w:tcPr>
          <w:p>
            <w:pPr>
              <w:spacing w:line="400" w:lineRule="exact"/>
              <w:rPr>
                <w:rFonts w:ascii="宋体" w:hAnsi="宋体"/>
                <w:color w:val="auto"/>
                <w:sz w:val="24"/>
              </w:rPr>
            </w:pPr>
          </w:p>
        </w:tc>
        <w:tc>
          <w:tcPr>
            <w:tcW w:w="1159" w:type="dxa"/>
            <w:vMerge w:val="continue"/>
            <w:tcBorders>
              <w:left w:val="single" w:color="auto" w:sz="4" w:space="0"/>
              <w:right w:val="single" w:color="auto" w:sz="4" w:space="0"/>
            </w:tcBorders>
            <w:noWrap w:val="0"/>
            <w:vAlign w:val="center"/>
          </w:tcPr>
          <w:p>
            <w:pPr>
              <w:spacing w:line="400" w:lineRule="exact"/>
              <w:rPr>
                <w:rFonts w:ascii="宋体" w:hAnsi="宋体"/>
                <w:color w:val="auto"/>
                <w:sz w:val="24"/>
              </w:rPr>
            </w:pPr>
          </w:p>
        </w:tc>
        <w:tc>
          <w:tcPr>
            <w:tcW w:w="1773" w:type="dxa"/>
            <w:tcBorders>
              <w:left w:val="single" w:color="auto" w:sz="4" w:space="0"/>
              <w:right w:val="single" w:color="auto" w:sz="4" w:space="0"/>
            </w:tcBorders>
            <w:noWrap w:val="0"/>
            <w:vAlign w:val="center"/>
          </w:tcPr>
          <w:p>
            <w:pPr>
              <w:spacing w:line="400" w:lineRule="exact"/>
              <w:rPr>
                <w:rFonts w:ascii="宋体" w:hAnsi="宋体"/>
                <w:color w:val="auto"/>
                <w:sz w:val="24"/>
              </w:rPr>
            </w:pPr>
            <w:r>
              <w:rPr>
                <w:rFonts w:hint="eastAsia" w:ascii="宋体" w:hAnsi="宋体"/>
                <w:color w:val="auto"/>
                <w:sz w:val="24"/>
              </w:rPr>
              <w:t>投标人获奖情况</w:t>
            </w:r>
          </w:p>
        </w:tc>
        <w:tc>
          <w:tcPr>
            <w:tcW w:w="5171" w:type="dxa"/>
            <w:tcBorders>
              <w:top w:val="single" w:color="auto" w:sz="4" w:space="0"/>
              <w:left w:val="single" w:color="auto" w:sz="4" w:space="0"/>
              <w:right w:val="single" w:color="auto" w:sz="4" w:space="0"/>
            </w:tcBorders>
            <w:noWrap w:val="0"/>
            <w:vAlign w:val="center"/>
          </w:tcPr>
          <w:p>
            <w:pPr>
              <w:spacing w:line="400" w:lineRule="exact"/>
              <w:rPr>
                <w:rFonts w:ascii="宋体" w:hAnsi="宋体"/>
                <w:color w:val="auto"/>
                <w:sz w:val="24"/>
              </w:rPr>
            </w:pPr>
            <w:r>
              <w:rPr>
                <w:rFonts w:hint="eastAsia" w:ascii="宋体" w:hAnsi="宋体"/>
                <w:color w:val="auto"/>
                <w:sz w:val="24"/>
              </w:rPr>
              <w:t>投标人在2014年1月1日起至今获得地市级优秀工程奖的，得1分。获得省级优秀工程奖的，得2分。获得国家级优秀工程奖的，得</w:t>
            </w:r>
            <w:r>
              <w:rPr>
                <w:rFonts w:hint="eastAsia" w:ascii="宋体" w:hAnsi="宋体"/>
                <w:color w:val="auto"/>
                <w:sz w:val="24"/>
                <w:lang w:val="en-US" w:eastAsia="zh-CN"/>
              </w:rPr>
              <w:t>3</w:t>
            </w:r>
            <w:r>
              <w:rPr>
                <w:rFonts w:hint="eastAsia" w:ascii="宋体" w:hAnsi="宋体"/>
                <w:color w:val="auto"/>
                <w:sz w:val="24"/>
              </w:rPr>
              <w:t>分。（投标时需提供以上相关证书原件，无原件不得分）</w:t>
            </w:r>
          </w:p>
        </w:tc>
        <w:tc>
          <w:tcPr>
            <w:tcW w:w="78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 w:val="24"/>
              </w:rPr>
            </w:pPr>
            <w:r>
              <w:rPr>
                <w:rFonts w:hint="eastAsia" w:ascii="宋体" w:hAnsi="宋体"/>
                <w:color w:val="auto"/>
                <w:sz w:val="24"/>
                <w:lang w:val="en-US" w:eastAsia="zh-CN"/>
              </w:rPr>
              <w:t>3</w:t>
            </w:r>
            <w:r>
              <w:rPr>
                <w:rFonts w:hint="eastAsia" w:ascii="宋体" w:hAnsi="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68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 w:val="24"/>
              </w:rPr>
            </w:pPr>
            <w:r>
              <w:rPr>
                <w:rFonts w:hint="eastAsia" w:ascii="宋体" w:hAnsi="宋体"/>
                <w:color w:val="auto"/>
                <w:sz w:val="24"/>
              </w:rPr>
              <w:t>2</w:t>
            </w:r>
          </w:p>
        </w:tc>
        <w:tc>
          <w:tcPr>
            <w:tcW w:w="1159" w:type="dxa"/>
            <w:vMerge w:val="restart"/>
            <w:tcBorders>
              <w:top w:val="single" w:color="auto" w:sz="4" w:space="0"/>
              <w:left w:val="single" w:color="auto" w:sz="4" w:space="0"/>
              <w:right w:val="single" w:color="auto" w:sz="4" w:space="0"/>
            </w:tcBorders>
            <w:noWrap w:val="0"/>
            <w:vAlign w:val="center"/>
          </w:tcPr>
          <w:p>
            <w:pPr>
              <w:spacing w:line="400" w:lineRule="exact"/>
              <w:rPr>
                <w:rFonts w:ascii="宋体" w:hAnsi="宋体"/>
                <w:color w:val="auto"/>
                <w:sz w:val="24"/>
              </w:rPr>
            </w:pPr>
            <w:r>
              <w:rPr>
                <w:rFonts w:hint="eastAsia" w:ascii="宋体" w:hAnsi="宋体"/>
                <w:color w:val="auto"/>
                <w:sz w:val="24"/>
              </w:rPr>
              <w:t>产品综合技术性能</w:t>
            </w:r>
          </w:p>
        </w:tc>
        <w:tc>
          <w:tcPr>
            <w:tcW w:w="177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 w:val="24"/>
              </w:rPr>
            </w:pPr>
            <w:r>
              <w:rPr>
                <w:rFonts w:hint="eastAsia" w:ascii="宋体" w:hAnsi="宋体"/>
                <w:color w:val="auto"/>
                <w:sz w:val="24"/>
              </w:rPr>
              <w:t>多联机制冷量/制热量合理性、满足性</w:t>
            </w:r>
          </w:p>
        </w:tc>
        <w:tc>
          <w:tcPr>
            <w:tcW w:w="517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 w:val="24"/>
              </w:rPr>
            </w:pPr>
            <w:r>
              <w:rPr>
                <w:rFonts w:hint="eastAsia" w:ascii="宋体" w:hAnsi="宋体"/>
                <w:color w:val="auto"/>
                <w:sz w:val="24"/>
              </w:rPr>
              <w:t>全部满足招标要求（制冷量正偏离视为满足招标要求）得</w:t>
            </w:r>
            <w:r>
              <w:rPr>
                <w:rFonts w:hint="eastAsia" w:ascii="宋体" w:hAnsi="宋体"/>
                <w:color w:val="auto"/>
                <w:sz w:val="24"/>
                <w:lang w:val="en-US" w:eastAsia="zh-CN"/>
              </w:rPr>
              <w:t>4</w:t>
            </w:r>
            <w:r>
              <w:rPr>
                <w:rFonts w:hint="eastAsia" w:ascii="宋体" w:hAnsi="宋体"/>
                <w:color w:val="auto"/>
                <w:sz w:val="24"/>
              </w:rPr>
              <w:t>分；负偏离≤3%，每偏离一项扣1分，负偏离＞3%视为不满足招标文件。</w:t>
            </w:r>
          </w:p>
        </w:tc>
        <w:tc>
          <w:tcPr>
            <w:tcW w:w="78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 w:val="24"/>
              </w:rPr>
            </w:pPr>
            <w:r>
              <w:rPr>
                <w:rFonts w:hint="eastAsia" w:ascii="宋体" w:hAnsi="宋体"/>
                <w:color w:val="auto"/>
                <w:sz w:val="24"/>
                <w:lang w:val="en-US" w:eastAsia="zh-CN"/>
              </w:rPr>
              <w:t>4</w:t>
            </w:r>
            <w:r>
              <w:rPr>
                <w:rFonts w:hint="eastAsia" w:ascii="宋体" w:hAnsi="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8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 w:val="24"/>
              </w:rPr>
            </w:pPr>
          </w:p>
        </w:tc>
        <w:tc>
          <w:tcPr>
            <w:tcW w:w="1159" w:type="dxa"/>
            <w:vMerge w:val="continue"/>
            <w:tcBorders>
              <w:left w:val="single" w:color="auto" w:sz="4" w:space="0"/>
              <w:right w:val="single" w:color="auto" w:sz="4" w:space="0"/>
            </w:tcBorders>
            <w:noWrap w:val="0"/>
            <w:vAlign w:val="center"/>
          </w:tcPr>
          <w:p>
            <w:pPr>
              <w:spacing w:line="400" w:lineRule="exact"/>
              <w:rPr>
                <w:rFonts w:ascii="宋体" w:hAnsi="宋体"/>
                <w:color w:val="auto"/>
                <w:sz w:val="24"/>
              </w:rPr>
            </w:pPr>
          </w:p>
        </w:tc>
        <w:tc>
          <w:tcPr>
            <w:tcW w:w="177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 w:val="24"/>
              </w:rPr>
            </w:pPr>
            <w:r>
              <w:rPr>
                <w:rFonts w:hint="eastAsia" w:ascii="宋体" w:hAnsi="宋体"/>
                <w:color w:val="auto"/>
                <w:sz w:val="24"/>
              </w:rPr>
              <w:t>空调系统的节能情况对比</w:t>
            </w:r>
          </w:p>
        </w:tc>
        <w:tc>
          <w:tcPr>
            <w:tcW w:w="517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 w:val="24"/>
              </w:rPr>
            </w:pPr>
            <w:r>
              <w:rPr>
                <w:rFonts w:hint="eastAsia" w:ascii="宋体" w:hAnsi="宋体"/>
                <w:color w:val="auto"/>
                <w:sz w:val="24"/>
              </w:rPr>
              <w:t>变冷媒流量空调系统的节能性：本次投标产品8HP-16HP室外机组基本模块均具有中国质量认证中心颁发的节能产品认证证书，超高节能5星的得6分，超高节能4星的得4分，超高节能3星的得2分，其余得1分。（要求提供中国质量认证中心节能产品认证（超高能效星级）证书复印件）</w:t>
            </w:r>
          </w:p>
        </w:tc>
        <w:tc>
          <w:tcPr>
            <w:tcW w:w="78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 w:val="24"/>
              </w:rPr>
            </w:pPr>
            <w:r>
              <w:rPr>
                <w:rFonts w:hint="eastAsia" w:ascii="宋体" w:hAnsi="宋体"/>
                <w:color w:val="auto"/>
                <w:sz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68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 w:val="24"/>
              </w:rPr>
            </w:pPr>
          </w:p>
        </w:tc>
        <w:tc>
          <w:tcPr>
            <w:tcW w:w="1159" w:type="dxa"/>
            <w:vMerge w:val="continue"/>
            <w:tcBorders>
              <w:left w:val="single" w:color="auto" w:sz="4" w:space="0"/>
              <w:right w:val="single" w:color="auto" w:sz="4" w:space="0"/>
            </w:tcBorders>
            <w:noWrap w:val="0"/>
            <w:vAlign w:val="center"/>
          </w:tcPr>
          <w:p>
            <w:pPr>
              <w:spacing w:line="400" w:lineRule="exact"/>
              <w:rPr>
                <w:rFonts w:ascii="宋体" w:hAnsi="宋体"/>
                <w:color w:val="auto"/>
                <w:sz w:val="24"/>
              </w:rPr>
            </w:pPr>
          </w:p>
        </w:tc>
        <w:tc>
          <w:tcPr>
            <w:tcW w:w="177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 w:val="24"/>
              </w:rPr>
            </w:pPr>
            <w:r>
              <w:rPr>
                <w:rFonts w:hint="eastAsia" w:ascii="宋体" w:hAnsi="宋体"/>
                <w:color w:val="auto"/>
                <w:sz w:val="24"/>
              </w:rPr>
              <w:t>主要零部件的品牌及产地</w:t>
            </w:r>
          </w:p>
        </w:tc>
        <w:tc>
          <w:tcPr>
            <w:tcW w:w="517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 w:val="24"/>
              </w:rPr>
            </w:pPr>
            <w:r>
              <w:rPr>
                <w:rFonts w:hint="eastAsia" w:ascii="宋体" w:hAnsi="宋体"/>
                <w:color w:val="auto"/>
                <w:sz w:val="24"/>
              </w:rPr>
              <w:t>对主要设备零部件品牌、产地及性能进行评价（如压缩机、变频器、电磁阀、电子膨胀阀、压力传感器、线圈等）。主要零部件采用品牌原产地且知名度高的得5分、主要零部件品牌知名度良好的得3分、品牌产地不明确的</w:t>
            </w:r>
            <w:r>
              <w:rPr>
                <w:rFonts w:hint="eastAsia" w:ascii="宋体" w:hAnsi="宋体"/>
                <w:color w:val="auto"/>
                <w:sz w:val="24"/>
                <w:lang w:val="zh-CN"/>
              </w:rPr>
              <w:t>不得分。</w:t>
            </w:r>
            <w:r>
              <w:rPr>
                <w:rFonts w:hint="eastAsia" w:ascii="宋体" w:hAnsi="宋体"/>
                <w:color w:val="auto"/>
                <w:sz w:val="24"/>
              </w:rPr>
              <w:t>（如为进口零部件需提供报关单加盖制造商公章）</w:t>
            </w:r>
          </w:p>
        </w:tc>
        <w:tc>
          <w:tcPr>
            <w:tcW w:w="78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 w:val="24"/>
              </w:rPr>
            </w:pPr>
            <w:r>
              <w:rPr>
                <w:rFonts w:hint="eastAsia" w:ascii="宋体" w:hAnsi="宋体"/>
                <w:color w:val="auto"/>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68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 w:val="24"/>
              </w:rPr>
            </w:pPr>
          </w:p>
        </w:tc>
        <w:tc>
          <w:tcPr>
            <w:tcW w:w="1159" w:type="dxa"/>
            <w:vMerge w:val="continue"/>
            <w:tcBorders>
              <w:left w:val="single" w:color="auto" w:sz="4" w:space="0"/>
              <w:right w:val="single" w:color="auto" w:sz="4" w:space="0"/>
            </w:tcBorders>
            <w:noWrap w:val="0"/>
            <w:vAlign w:val="center"/>
          </w:tcPr>
          <w:p>
            <w:pPr>
              <w:spacing w:line="400" w:lineRule="exact"/>
              <w:rPr>
                <w:rFonts w:ascii="宋体" w:hAnsi="宋体"/>
                <w:color w:val="auto"/>
                <w:sz w:val="24"/>
              </w:rPr>
            </w:pPr>
          </w:p>
        </w:tc>
        <w:tc>
          <w:tcPr>
            <w:tcW w:w="177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 w:val="24"/>
              </w:rPr>
            </w:pPr>
            <w:r>
              <w:rPr>
                <w:rFonts w:hint="eastAsia" w:ascii="宋体" w:hAnsi="宋体"/>
                <w:color w:val="auto"/>
                <w:sz w:val="24"/>
              </w:rPr>
              <w:t>多联机室内机出风形式先进性</w:t>
            </w:r>
          </w:p>
        </w:tc>
        <w:tc>
          <w:tcPr>
            <w:tcW w:w="517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 w:val="24"/>
              </w:rPr>
            </w:pPr>
            <w:r>
              <w:rPr>
                <w:rFonts w:hint="eastAsia" w:ascii="宋体" w:hAnsi="宋体"/>
                <w:color w:val="auto"/>
                <w:sz w:val="24"/>
              </w:rPr>
              <w:t>以嵌入式室内机为例，具有3D气流或全方位环绕气流送风方式的5分，其余得1-2分。（以投标产品样本</w:t>
            </w:r>
            <w:r>
              <w:rPr>
                <w:rFonts w:hint="eastAsia" w:ascii="宋体" w:hAnsi="宋体"/>
                <w:color w:val="auto"/>
                <w:sz w:val="24"/>
                <w:lang w:eastAsia="zh-CN"/>
              </w:rPr>
              <w:t>图册</w:t>
            </w:r>
            <w:r>
              <w:rPr>
                <w:rFonts w:hint="eastAsia" w:ascii="宋体" w:hAnsi="宋体"/>
                <w:color w:val="auto"/>
                <w:sz w:val="24"/>
              </w:rPr>
              <w:t>描述或制造商说明为准）</w:t>
            </w:r>
          </w:p>
        </w:tc>
        <w:tc>
          <w:tcPr>
            <w:tcW w:w="78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 w:val="24"/>
              </w:rPr>
            </w:pPr>
            <w:r>
              <w:rPr>
                <w:rFonts w:hint="eastAsia" w:ascii="宋体" w:hAnsi="宋体"/>
                <w:color w:val="auto"/>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 w:val="24"/>
              </w:rPr>
            </w:pPr>
          </w:p>
        </w:tc>
        <w:tc>
          <w:tcPr>
            <w:tcW w:w="1159" w:type="dxa"/>
            <w:vMerge w:val="continue"/>
            <w:tcBorders>
              <w:left w:val="single" w:color="auto" w:sz="4" w:space="0"/>
              <w:right w:val="single" w:color="auto" w:sz="4" w:space="0"/>
            </w:tcBorders>
            <w:noWrap w:val="0"/>
            <w:vAlign w:val="center"/>
          </w:tcPr>
          <w:p>
            <w:pPr>
              <w:spacing w:line="400" w:lineRule="exact"/>
              <w:rPr>
                <w:rFonts w:ascii="宋体" w:hAnsi="宋体"/>
                <w:color w:val="auto"/>
                <w:sz w:val="24"/>
              </w:rPr>
            </w:pPr>
          </w:p>
        </w:tc>
        <w:tc>
          <w:tcPr>
            <w:tcW w:w="177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 w:val="24"/>
              </w:rPr>
            </w:pPr>
            <w:r>
              <w:rPr>
                <w:rFonts w:hint="eastAsia" w:ascii="宋体" w:hAnsi="宋体"/>
                <w:color w:val="auto"/>
                <w:sz w:val="24"/>
              </w:rPr>
              <w:t>缩机形式的先进性</w:t>
            </w:r>
          </w:p>
        </w:tc>
        <w:tc>
          <w:tcPr>
            <w:tcW w:w="517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 w:val="24"/>
              </w:rPr>
            </w:pPr>
            <w:r>
              <w:rPr>
                <w:rFonts w:hint="eastAsia" w:ascii="宋体" w:hAnsi="宋体"/>
                <w:color w:val="auto"/>
                <w:sz w:val="24"/>
              </w:rPr>
              <w:t>投标变频多联机产品压缩机采用直流变频压缩机的得</w:t>
            </w:r>
            <w:r>
              <w:rPr>
                <w:rFonts w:hint="eastAsia" w:ascii="宋体" w:hAnsi="宋体"/>
                <w:color w:val="auto"/>
                <w:sz w:val="24"/>
                <w:lang w:val="en-US" w:eastAsia="zh-CN"/>
              </w:rPr>
              <w:t>4</w:t>
            </w:r>
            <w:r>
              <w:rPr>
                <w:rFonts w:hint="eastAsia" w:ascii="宋体" w:hAnsi="宋体"/>
                <w:color w:val="auto"/>
                <w:sz w:val="24"/>
              </w:rPr>
              <w:t>分，其余得1-2分；（以投标产品样本</w:t>
            </w:r>
            <w:r>
              <w:rPr>
                <w:rFonts w:hint="eastAsia" w:ascii="宋体" w:hAnsi="宋体"/>
                <w:color w:val="auto"/>
                <w:sz w:val="24"/>
                <w:lang w:eastAsia="zh-CN"/>
              </w:rPr>
              <w:t>图册</w:t>
            </w:r>
            <w:r>
              <w:rPr>
                <w:rFonts w:hint="eastAsia" w:ascii="宋体" w:hAnsi="宋体"/>
                <w:color w:val="auto"/>
                <w:sz w:val="24"/>
              </w:rPr>
              <w:t>描述或制造商说明为准）</w:t>
            </w:r>
          </w:p>
        </w:tc>
        <w:tc>
          <w:tcPr>
            <w:tcW w:w="78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 w:val="24"/>
              </w:rPr>
            </w:pPr>
            <w:r>
              <w:rPr>
                <w:rFonts w:hint="eastAsia" w:ascii="宋体" w:hAnsi="宋体"/>
                <w:color w:val="auto"/>
                <w:sz w:val="24"/>
                <w:lang w:val="en-US" w:eastAsia="zh-CN"/>
              </w:rPr>
              <w:t>4</w:t>
            </w:r>
            <w:r>
              <w:rPr>
                <w:rFonts w:hint="eastAsia" w:ascii="宋体" w:hAnsi="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68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 w:val="24"/>
              </w:rPr>
            </w:pPr>
          </w:p>
        </w:tc>
        <w:tc>
          <w:tcPr>
            <w:tcW w:w="1159" w:type="dxa"/>
            <w:vMerge w:val="continue"/>
            <w:tcBorders>
              <w:left w:val="single" w:color="auto" w:sz="4" w:space="0"/>
              <w:right w:val="single" w:color="auto" w:sz="4" w:space="0"/>
            </w:tcBorders>
            <w:noWrap w:val="0"/>
            <w:vAlign w:val="center"/>
          </w:tcPr>
          <w:p>
            <w:pPr>
              <w:spacing w:line="400" w:lineRule="exact"/>
              <w:rPr>
                <w:rFonts w:ascii="宋体" w:hAnsi="宋体"/>
                <w:color w:val="auto"/>
                <w:sz w:val="24"/>
              </w:rPr>
            </w:pPr>
          </w:p>
        </w:tc>
        <w:tc>
          <w:tcPr>
            <w:tcW w:w="177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 w:val="24"/>
              </w:rPr>
            </w:pPr>
            <w:r>
              <w:rPr>
                <w:rFonts w:hint="eastAsia" w:ascii="宋体" w:hAnsi="宋体"/>
                <w:color w:val="auto"/>
                <w:sz w:val="24"/>
              </w:rPr>
              <w:t>投标产品压缩机与多联机空调品牌一致性</w:t>
            </w:r>
          </w:p>
        </w:tc>
        <w:tc>
          <w:tcPr>
            <w:tcW w:w="517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 w:val="24"/>
              </w:rPr>
            </w:pPr>
            <w:r>
              <w:rPr>
                <w:rFonts w:hint="eastAsia" w:ascii="宋体" w:hAnsi="宋体" w:cs="宋体"/>
                <w:bCs/>
                <w:color w:val="auto"/>
                <w:sz w:val="24"/>
              </w:rPr>
              <w:t>投标品牌空调室内、外机及压缩机品牌一致性，全部一致的得5分，其余得1-2分。（提供本次投标产品所含同类压缩机的生产许可证（指国产压缩机）或报关单或中国电子口岸打印的报关单证明联复印件（指进口压缩机）（OEM生产得1分。）</w:t>
            </w:r>
          </w:p>
        </w:tc>
        <w:tc>
          <w:tcPr>
            <w:tcW w:w="78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 w:val="24"/>
              </w:rPr>
            </w:pPr>
            <w:r>
              <w:rPr>
                <w:rFonts w:hint="eastAsia" w:ascii="宋体" w:hAnsi="宋体"/>
                <w:color w:val="auto"/>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68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 w:val="24"/>
              </w:rPr>
            </w:pPr>
          </w:p>
        </w:tc>
        <w:tc>
          <w:tcPr>
            <w:tcW w:w="1159" w:type="dxa"/>
            <w:vMerge w:val="continue"/>
            <w:tcBorders>
              <w:left w:val="single" w:color="auto" w:sz="4" w:space="0"/>
              <w:right w:val="single" w:color="auto" w:sz="4" w:space="0"/>
            </w:tcBorders>
            <w:noWrap w:val="0"/>
            <w:vAlign w:val="center"/>
          </w:tcPr>
          <w:p>
            <w:pPr>
              <w:spacing w:line="400" w:lineRule="exact"/>
              <w:rPr>
                <w:rFonts w:ascii="宋体" w:hAnsi="宋体"/>
                <w:color w:val="auto"/>
                <w:sz w:val="24"/>
              </w:rPr>
            </w:pPr>
          </w:p>
        </w:tc>
        <w:tc>
          <w:tcPr>
            <w:tcW w:w="177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 w:val="24"/>
              </w:rPr>
            </w:pPr>
            <w:r>
              <w:rPr>
                <w:rFonts w:hint="eastAsia" w:ascii="宋体" w:hAnsi="宋体"/>
                <w:color w:val="auto"/>
                <w:sz w:val="24"/>
              </w:rPr>
              <w:t>变冷媒流量空调设备室外机的散热性能</w:t>
            </w:r>
          </w:p>
        </w:tc>
        <w:tc>
          <w:tcPr>
            <w:tcW w:w="517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 w:val="24"/>
              </w:rPr>
            </w:pPr>
            <w:r>
              <w:rPr>
                <w:rFonts w:hint="eastAsia" w:ascii="宋体" w:hAnsi="宋体"/>
                <w:color w:val="auto"/>
                <w:sz w:val="24"/>
              </w:rPr>
              <w:t>本次投标产品8HP、10HP、12HP、14HP、16HP室外机组基本模块均采用一体式四面热交换器的得5分，其余得1-2分；提供产品样本</w:t>
            </w:r>
            <w:r>
              <w:rPr>
                <w:rFonts w:hint="eastAsia" w:ascii="宋体" w:hAnsi="宋体"/>
                <w:color w:val="auto"/>
                <w:sz w:val="24"/>
                <w:lang w:eastAsia="zh-CN"/>
              </w:rPr>
              <w:t>图册</w:t>
            </w:r>
            <w:r>
              <w:rPr>
                <w:rFonts w:hint="eastAsia" w:ascii="宋体" w:hAnsi="宋体"/>
                <w:color w:val="auto"/>
                <w:sz w:val="24"/>
              </w:rPr>
              <w:t>描述，不提供不得分。</w:t>
            </w:r>
          </w:p>
        </w:tc>
        <w:tc>
          <w:tcPr>
            <w:tcW w:w="78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 w:val="24"/>
              </w:rPr>
            </w:pPr>
            <w:r>
              <w:rPr>
                <w:rFonts w:hint="eastAsia" w:ascii="宋体" w:hAnsi="宋体"/>
                <w:color w:val="auto"/>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68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 w:val="24"/>
              </w:rPr>
            </w:pPr>
          </w:p>
        </w:tc>
        <w:tc>
          <w:tcPr>
            <w:tcW w:w="1159" w:type="dxa"/>
            <w:vMerge w:val="continue"/>
            <w:tcBorders>
              <w:left w:val="single" w:color="auto" w:sz="4" w:space="0"/>
              <w:right w:val="single" w:color="auto" w:sz="4" w:space="0"/>
            </w:tcBorders>
            <w:noWrap w:val="0"/>
            <w:vAlign w:val="center"/>
          </w:tcPr>
          <w:p>
            <w:pPr>
              <w:spacing w:line="400" w:lineRule="exact"/>
              <w:rPr>
                <w:rFonts w:ascii="宋体" w:hAnsi="宋体"/>
                <w:color w:val="auto"/>
                <w:sz w:val="24"/>
              </w:rPr>
            </w:pPr>
          </w:p>
        </w:tc>
        <w:tc>
          <w:tcPr>
            <w:tcW w:w="177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空气净化设备性能</w:t>
            </w:r>
          </w:p>
        </w:tc>
        <w:tc>
          <w:tcPr>
            <w:tcW w:w="517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rPr>
            </w:pPr>
            <w:r>
              <w:rPr>
                <w:rFonts w:hint="eastAsia" w:ascii="宋体" w:hAnsi="宋体"/>
                <w:color w:val="auto"/>
                <w:sz w:val="24"/>
              </w:rPr>
              <w:t>净化效率检测：在30m³测试舱内，测试舱内温度为（23-27）℃，湿度为（40-60）%RH，时间为2小时，浓度≤0.07㎎/m³，甲醛净化效率≥92%，得5分；其余得1-2分。 (由国家权威部门出具检测报告并有国家认证标识CMA或国家质量监督检验认证标识CAL，复印件加盖制造商公章）</w:t>
            </w:r>
          </w:p>
        </w:tc>
        <w:tc>
          <w:tcPr>
            <w:tcW w:w="78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4"/>
              </w:rPr>
            </w:pPr>
            <w:r>
              <w:rPr>
                <w:rFonts w:hint="eastAsia" w:ascii="宋体" w:hAnsi="宋体"/>
                <w:color w:val="auto"/>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86" w:type="dxa"/>
            <w:vMerge w:val="restart"/>
            <w:tcBorders>
              <w:top w:val="single" w:color="auto" w:sz="4" w:space="0"/>
              <w:left w:val="single" w:color="auto" w:sz="4" w:space="0"/>
              <w:right w:val="single" w:color="auto" w:sz="4" w:space="0"/>
            </w:tcBorders>
            <w:noWrap w:val="0"/>
            <w:vAlign w:val="center"/>
          </w:tcPr>
          <w:p>
            <w:pPr>
              <w:spacing w:line="400" w:lineRule="exact"/>
              <w:rPr>
                <w:rFonts w:ascii="宋体" w:hAnsi="宋体"/>
                <w:color w:val="auto"/>
                <w:sz w:val="24"/>
              </w:rPr>
            </w:pPr>
            <w:r>
              <w:rPr>
                <w:rFonts w:hint="eastAsia" w:ascii="宋体" w:hAnsi="宋体"/>
                <w:color w:val="auto"/>
                <w:sz w:val="24"/>
              </w:rPr>
              <w:t>3</w:t>
            </w:r>
          </w:p>
        </w:tc>
        <w:tc>
          <w:tcPr>
            <w:tcW w:w="1159" w:type="dxa"/>
            <w:vMerge w:val="restart"/>
            <w:tcBorders>
              <w:top w:val="single" w:color="auto" w:sz="4" w:space="0"/>
              <w:left w:val="single" w:color="auto" w:sz="4" w:space="0"/>
              <w:right w:val="single" w:color="auto" w:sz="4" w:space="0"/>
            </w:tcBorders>
            <w:noWrap w:val="0"/>
            <w:vAlign w:val="center"/>
          </w:tcPr>
          <w:p>
            <w:pPr>
              <w:spacing w:line="400" w:lineRule="exact"/>
              <w:rPr>
                <w:rFonts w:ascii="宋体" w:hAnsi="宋体"/>
                <w:color w:val="auto"/>
                <w:sz w:val="24"/>
              </w:rPr>
            </w:pPr>
            <w:r>
              <w:rPr>
                <w:rFonts w:hint="eastAsia" w:ascii="宋体" w:hAnsi="宋体"/>
                <w:color w:val="auto"/>
                <w:sz w:val="24"/>
              </w:rPr>
              <w:t>售后服务</w:t>
            </w:r>
          </w:p>
        </w:tc>
        <w:tc>
          <w:tcPr>
            <w:tcW w:w="177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 w:val="24"/>
              </w:rPr>
            </w:pPr>
            <w:r>
              <w:rPr>
                <w:rFonts w:hint="eastAsia" w:ascii="宋体" w:hAnsi="宋体"/>
                <w:color w:val="auto"/>
                <w:sz w:val="24"/>
              </w:rPr>
              <w:t>本地化服务能力</w:t>
            </w:r>
          </w:p>
        </w:tc>
        <w:tc>
          <w:tcPr>
            <w:tcW w:w="51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投标人注册地在诸暨或在诸暨有分公司的得</w:t>
            </w:r>
            <w:r>
              <w:rPr>
                <w:rFonts w:hint="eastAsia" w:ascii="宋体" w:hAnsi="宋体" w:eastAsia="宋体" w:cs="宋体"/>
                <w:bCs/>
                <w:color w:val="auto"/>
                <w:sz w:val="24"/>
                <w:szCs w:val="24"/>
                <w:lang w:val="en-US" w:eastAsia="zh-CN"/>
              </w:rPr>
              <w:t>6</w:t>
            </w:r>
            <w:r>
              <w:rPr>
                <w:rFonts w:hint="eastAsia" w:ascii="宋体" w:hAnsi="宋体" w:eastAsia="宋体" w:cs="宋体"/>
                <w:bCs/>
                <w:color w:val="auto"/>
                <w:sz w:val="24"/>
                <w:szCs w:val="24"/>
                <w:lang w:eastAsia="zh-CN"/>
              </w:rPr>
              <w:t>分；注册地在绍兴地区或在绍兴地区有分公司的得</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lang w:eastAsia="zh-CN"/>
              </w:rPr>
              <w:t>分；注册地在浙江省内其他地区或省内其他地区有分公司的得</w:t>
            </w: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lang w:eastAsia="zh-CN"/>
              </w:rPr>
              <w:t>分。</w:t>
            </w:r>
          </w:p>
          <w:p>
            <w:pPr>
              <w:spacing w:line="400" w:lineRule="exact"/>
              <w:rPr>
                <w:rFonts w:ascii="宋体" w:hAnsi="宋体"/>
                <w:color w:val="auto"/>
                <w:sz w:val="24"/>
              </w:rPr>
            </w:pP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lang w:eastAsia="zh-CN"/>
              </w:rPr>
              <w:t>（提供营业执照原件，其中分公司须提供工商登记证书原件，不提供原件不得分。）</w:t>
            </w:r>
          </w:p>
        </w:tc>
        <w:tc>
          <w:tcPr>
            <w:tcW w:w="78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 w:val="24"/>
              </w:rPr>
            </w:pPr>
            <w:r>
              <w:rPr>
                <w:rFonts w:hint="eastAsia" w:ascii="宋体" w:hAnsi="宋体"/>
                <w:color w:val="auto"/>
                <w:sz w:val="24"/>
                <w:lang w:val="en-US" w:eastAsia="zh-CN"/>
              </w:rPr>
              <w:t>6</w:t>
            </w:r>
            <w:r>
              <w:rPr>
                <w:rFonts w:hint="eastAsia" w:ascii="宋体" w:hAnsi="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86" w:type="dxa"/>
            <w:vMerge w:val="continue"/>
            <w:tcBorders>
              <w:left w:val="single" w:color="auto" w:sz="4" w:space="0"/>
              <w:bottom w:val="single" w:color="auto" w:sz="4" w:space="0"/>
              <w:right w:val="single" w:color="auto" w:sz="4" w:space="0"/>
            </w:tcBorders>
            <w:noWrap w:val="0"/>
            <w:vAlign w:val="center"/>
          </w:tcPr>
          <w:p>
            <w:pPr>
              <w:spacing w:line="400" w:lineRule="exact"/>
              <w:rPr>
                <w:rFonts w:ascii="宋体" w:hAnsi="宋体"/>
                <w:color w:val="auto"/>
                <w:sz w:val="24"/>
              </w:rPr>
            </w:pPr>
          </w:p>
        </w:tc>
        <w:tc>
          <w:tcPr>
            <w:tcW w:w="1159" w:type="dxa"/>
            <w:vMerge w:val="continue"/>
            <w:tcBorders>
              <w:left w:val="single" w:color="auto" w:sz="4" w:space="0"/>
              <w:bottom w:val="single" w:color="auto" w:sz="4" w:space="0"/>
              <w:right w:val="single" w:color="auto" w:sz="4" w:space="0"/>
            </w:tcBorders>
            <w:noWrap w:val="0"/>
            <w:vAlign w:val="center"/>
          </w:tcPr>
          <w:p>
            <w:pPr>
              <w:spacing w:line="400" w:lineRule="exact"/>
              <w:rPr>
                <w:rFonts w:ascii="宋体" w:hAnsi="宋体"/>
                <w:color w:val="auto"/>
                <w:sz w:val="24"/>
              </w:rPr>
            </w:pPr>
          </w:p>
        </w:tc>
        <w:tc>
          <w:tcPr>
            <w:tcW w:w="177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 w:val="24"/>
              </w:rPr>
            </w:pPr>
            <w:r>
              <w:rPr>
                <w:rFonts w:hint="eastAsia" w:ascii="宋体" w:hAnsi="宋体"/>
                <w:color w:val="auto"/>
                <w:sz w:val="24"/>
              </w:rPr>
              <w:t>质保期</w:t>
            </w:r>
          </w:p>
        </w:tc>
        <w:tc>
          <w:tcPr>
            <w:tcW w:w="517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 w:val="24"/>
              </w:rPr>
            </w:pPr>
            <w:r>
              <w:rPr>
                <w:rFonts w:hint="eastAsia" w:ascii="宋体" w:hAnsi="宋体"/>
                <w:color w:val="auto"/>
                <w:sz w:val="24"/>
              </w:rPr>
              <w:t>整机保修2年，每增加6个月得1分，最高得2分</w:t>
            </w:r>
          </w:p>
        </w:tc>
        <w:tc>
          <w:tcPr>
            <w:tcW w:w="78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 w:val="24"/>
              </w:rPr>
            </w:pPr>
            <w:r>
              <w:rPr>
                <w:rFonts w:hint="eastAsia" w:ascii="宋体" w:hAnsi="宋体"/>
                <w:color w:val="auto"/>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68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 w:val="24"/>
              </w:rPr>
            </w:pPr>
            <w:r>
              <w:rPr>
                <w:rFonts w:hint="eastAsia" w:ascii="宋体" w:hAnsi="宋体"/>
                <w:color w:val="auto"/>
                <w:sz w:val="24"/>
              </w:rPr>
              <w:t>4</w:t>
            </w:r>
          </w:p>
        </w:tc>
        <w:tc>
          <w:tcPr>
            <w:tcW w:w="1159" w:type="dxa"/>
            <w:vMerge w:val="restart"/>
            <w:tcBorders>
              <w:top w:val="single" w:color="auto" w:sz="4" w:space="0"/>
              <w:left w:val="single" w:color="auto" w:sz="4" w:space="0"/>
              <w:right w:val="single" w:color="auto" w:sz="4" w:space="0"/>
            </w:tcBorders>
            <w:noWrap w:val="0"/>
            <w:vAlign w:val="center"/>
          </w:tcPr>
          <w:p>
            <w:pPr>
              <w:spacing w:line="400" w:lineRule="exact"/>
              <w:rPr>
                <w:rFonts w:ascii="宋体" w:hAnsi="宋体"/>
                <w:color w:val="auto"/>
                <w:sz w:val="24"/>
              </w:rPr>
            </w:pPr>
            <w:r>
              <w:rPr>
                <w:rFonts w:hint="eastAsia" w:ascii="宋体" w:hAnsi="宋体"/>
                <w:color w:val="auto"/>
                <w:sz w:val="24"/>
              </w:rPr>
              <w:t>投标人技术力量</w:t>
            </w:r>
          </w:p>
        </w:tc>
        <w:tc>
          <w:tcPr>
            <w:tcW w:w="1773" w:type="dxa"/>
            <w:tcBorders>
              <w:top w:val="single" w:color="auto" w:sz="4" w:space="0"/>
              <w:left w:val="single" w:color="auto" w:sz="4" w:space="0"/>
              <w:right w:val="single" w:color="auto" w:sz="4" w:space="0"/>
            </w:tcBorders>
            <w:noWrap w:val="0"/>
            <w:vAlign w:val="center"/>
          </w:tcPr>
          <w:p>
            <w:pPr>
              <w:spacing w:line="400" w:lineRule="exact"/>
              <w:rPr>
                <w:rFonts w:ascii="宋体" w:hAnsi="宋体"/>
                <w:color w:val="auto"/>
                <w:sz w:val="24"/>
              </w:rPr>
            </w:pPr>
            <w:r>
              <w:rPr>
                <w:rFonts w:hint="eastAsia" w:ascii="宋体" w:hAnsi="宋体"/>
                <w:color w:val="auto"/>
                <w:sz w:val="24"/>
              </w:rPr>
              <w:t>投标人安装资质</w:t>
            </w:r>
          </w:p>
        </w:tc>
        <w:tc>
          <w:tcPr>
            <w:tcW w:w="517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 w:val="24"/>
              </w:rPr>
            </w:pPr>
            <w:r>
              <w:rPr>
                <w:rFonts w:hint="eastAsia" w:ascii="宋体" w:hAnsi="宋体"/>
                <w:color w:val="auto"/>
                <w:sz w:val="24"/>
              </w:rPr>
              <w:t>机电安装资质一级得</w:t>
            </w:r>
            <w:r>
              <w:rPr>
                <w:rFonts w:hint="eastAsia" w:ascii="宋体" w:hAnsi="宋体"/>
                <w:color w:val="auto"/>
                <w:sz w:val="24"/>
                <w:lang w:val="en-US" w:eastAsia="zh-CN"/>
              </w:rPr>
              <w:t>3</w:t>
            </w:r>
            <w:r>
              <w:rPr>
                <w:rFonts w:hint="eastAsia" w:ascii="宋体" w:hAnsi="宋体"/>
                <w:color w:val="auto"/>
                <w:sz w:val="24"/>
              </w:rPr>
              <w:t>分，二级得2分，三级得1分。(提供资质证书原件，无原件不得分)</w:t>
            </w:r>
          </w:p>
        </w:tc>
        <w:tc>
          <w:tcPr>
            <w:tcW w:w="78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 w:val="24"/>
              </w:rPr>
            </w:pPr>
            <w:r>
              <w:rPr>
                <w:rFonts w:hint="eastAsia" w:ascii="宋体" w:hAnsi="宋体"/>
                <w:color w:val="auto"/>
                <w:sz w:val="24"/>
                <w:lang w:val="en-US" w:eastAsia="zh-CN"/>
              </w:rPr>
              <w:t>3</w:t>
            </w:r>
            <w:r>
              <w:rPr>
                <w:rFonts w:hint="eastAsia" w:ascii="宋体" w:hAnsi="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686" w:type="dxa"/>
            <w:vMerge w:val="continue"/>
            <w:tcBorders>
              <w:left w:val="single" w:color="auto" w:sz="4" w:space="0"/>
              <w:right w:val="single" w:color="auto" w:sz="4" w:space="0"/>
            </w:tcBorders>
            <w:noWrap w:val="0"/>
            <w:vAlign w:val="center"/>
          </w:tcPr>
          <w:p>
            <w:pPr>
              <w:spacing w:line="400" w:lineRule="exact"/>
              <w:rPr>
                <w:rFonts w:ascii="宋体" w:hAnsi="宋体"/>
                <w:color w:val="auto"/>
                <w:sz w:val="24"/>
              </w:rPr>
            </w:pPr>
          </w:p>
        </w:tc>
        <w:tc>
          <w:tcPr>
            <w:tcW w:w="1159" w:type="dxa"/>
            <w:vMerge w:val="continue"/>
            <w:tcBorders>
              <w:left w:val="single" w:color="auto" w:sz="4" w:space="0"/>
              <w:right w:val="single" w:color="auto" w:sz="4" w:space="0"/>
            </w:tcBorders>
            <w:noWrap w:val="0"/>
            <w:vAlign w:val="center"/>
          </w:tcPr>
          <w:p>
            <w:pPr>
              <w:spacing w:line="400" w:lineRule="exact"/>
              <w:rPr>
                <w:rFonts w:ascii="宋体" w:hAnsi="宋体"/>
                <w:color w:val="auto"/>
                <w:sz w:val="24"/>
              </w:rPr>
            </w:pPr>
          </w:p>
        </w:tc>
        <w:tc>
          <w:tcPr>
            <w:tcW w:w="1773" w:type="dxa"/>
            <w:tcBorders>
              <w:left w:val="single" w:color="auto" w:sz="4" w:space="0"/>
              <w:bottom w:val="single" w:color="auto" w:sz="4" w:space="0"/>
              <w:right w:val="single" w:color="auto" w:sz="4" w:space="0"/>
            </w:tcBorders>
            <w:noWrap w:val="0"/>
            <w:vAlign w:val="center"/>
          </w:tcPr>
          <w:p>
            <w:pPr>
              <w:spacing w:line="400" w:lineRule="exact"/>
              <w:rPr>
                <w:rFonts w:ascii="宋体" w:hAnsi="宋体"/>
                <w:color w:val="auto"/>
                <w:sz w:val="24"/>
              </w:rPr>
            </w:pPr>
            <w:r>
              <w:rPr>
                <w:rFonts w:hint="eastAsia" w:ascii="宋体" w:hAnsi="宋体"/>
                <w:color w:val="auto"/>
                <w:sz w:val="24"/>
              </w:rPr>
              <w:t>安装人员资质</w:t>
            </w:r>
          </w:p>
        </w:tc>
        <w:tc>
          <w:tcPr>
            <w:tcW w:w="517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 w:val="24"/>
              </w:rPr>
            </w:pPr>
            <w:r>
              <w:rPr>
                <w:rFonts w:hint="eastAsia" w:ascii="宋体" w:hAnsi="宋体"/>
                <w:color w:val="auto"/>
                <w:sz w:val="24"/>
              </w:rPr>
              <w:t>提供在职安装人员国家权威机构(各级人力资源和社会保障局)颁发的暖通资质证书或职业资格证书，每提供一本得1分，</w:t>
            </w:r>
            <w:r>
              <w:rPr>
                <w:rFonts w:hint="eastAsia" w:ascii="宋体" w:hAnsi="宋体"/>
                <w:color w:val="auto"/>
                <w:sz w:val="24"/>
                <w:lang w:val="en-US" w:eastAsia="zh-CN"/>
              </w:rPr>
              <w:t>3本以上</w:t>
            </w:r>
            <w:r>
              <w:rPr>
                <w:rFonts w:hint="eastAsia" w:ascii="宋体" w:hAnsi="宋体"/>
                <w:color w:val="auto"/>
                <w:sz w:val="24"/>
              </w:rPr>
              <w:t>得</w:t>
            </w:r>
            <w:r>
              <w:rPr>
                <w:rFonts w:hint="eastAsia" w:ascii="宋体" w:hAnsi="宋体"/>
                <w:color w:val="auto"/>
                <w:sz w:val="24"/>
                <w:lang w:val="en-US" w:eastAsia="zh-CN"/>
              </w:rPr>
              <w:t>4</w:t>
            </w:r>
            <w:r>
              <w:rPr>
                <w:rFonts w:hint="eastAsia" w:ascii="宋体" w:hAnsi="宋体"/>
                <w:color w:val="auto"/>
                <w:sz w:val="24"/>
              </w:rPr>
              <w:t xml:space="preserve">分。 </w:t>
            </w:r>
          </w:p>
          <w:p>
            <w:pPr>
              <w:spacing w:line="400" w:lineRule="exact"/>
              <w:rPr>
                <w:rFonts w:ascii="宋体" w:hAnsi="宋体"/>
                <w:color w:val="auto"/>
                <w:sz w:val="24"/>
              </w:rPr>
            </w:pPr>
            <w:r>
              <w:rPr>
                <w:rFonts w:hint="eastAsia" w:ascii="宋体" w:hAnsi="宋体"/>
                <w:color w:val="auto"/>
                <w:sz w:val="24"/>
              </w:rPr>
              <w:t>投标时需提供资质证书原件和相关人员</w:t>
            </w:r>
            <w:r>
              <w:rPr>
                <w:rFonts w:hint="eastAsia" w:ascii="宋体" w:hAnsi="宋体"/>
                <w:color w:val="auto"/>
                <w:sz w:val="24"/>
                <w:lang w:eastAsia="zh-CN"/>
              </w:rPr>
              <w:t>近</w:t>
            </w:r>
            <w:r>
              <w:rPr>
                <w:rFonts w:hint="eastAsia" w:ascii="宋体" w:hAnsi="宋体"/>
                <w:color w:val="auto"/>
                <w:sz w:val="24"/>
                <w:lang w:val="en-US" w:eastAsia="zh-CN"/>
              </w:rPr>
              <w:t>6个月的</w:t>
            </w:r>
            <w:r>
              <w:rPr>
                <w:rFonts w:hint="eastAsia" w:ascii="宋体" w:hAnsi="宋体"/>
                <w:color w:val="auto"/>
                <w:sz w:val="24"/>
              </w:rPr>
              <w:t>社保证明原件，且该社保资金必须由投标人缴纳，不提供或提供不齐的不得分。自助打印件视同原件。</w:t>
            </w:r>
          </w:p>
        </w:tc>
        <w:tc>
          <w:tcPr>
            <w:tcW w:w="78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 w:val="24"/>
              </w:rPr>
            </w:pPr>
            <w:r>
              <w:rPr>
                <w:rFonts w:hint="eastAsia" w:ascii="宋体" w:hAnsi="宋体"/>
                <w:color w:val="auto"/>
                <w:sz w:val="24"/>
                <w:lang w:val="en-US" w:eastAsia="zh-CN"/>
              </w:rPr>
              <w:t>4</w:t>
            </w:r>
            <w:r>
              <w:rPr>
                <w:rFonts w:hint="eastAsia" w:ascii="宋体" w:hAnsi="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8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 w:val="24"/>
              </w:rPr>
            </w:pPr>
            <w:r>
              <w:rPr>
                <w:rFonts w:hint="eastAsia" w:ascii="宋体" w:hAnsi="宋体"/>
                <w:color w:val="auto"/>
                <w:sz w:val="24"/>
              </w:rPr>
              <w:t>5</w:t>
            </w:r>
          </w:p>
        </w:tc>
        <w:tc>
          <w:tcPr>
            <w:tcW w:w="293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 w:val="24"/>
              </w:rPr>
            </w:pPr>
            <w:r>
              <w:rPr>
                <w:rFonts w:hint="eastAsia" w:ascii="宋体" w:hAnsi="宋体"/>
                <w:color w:val="auto"/>
                <w:sz w:val="24"/>
              </w:rPr>
              <w:t>标书制作1分</w:t>
            </w:r>
          </w:p>
        </w:tc>
        <w:tc>
          <w:tcPr>
            <w:tcW w:w="517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 w:val="24"/>
              </w:rPr>
            </w:pPr>
            <w:r>
              <w:rPr>
                <w:rFonts w:hint="eastAsia" w:ascii="宋体" w:hAnsi="宋体"/>
                <w:color w:val="auto"/>
                <w:sz w:val="24"/>
              </w:rPr>
              <w:t>专家组根据投标入标书的完整性综合打分。</w:t>
            </w:r>
          </w:p>
        </w:tc>
        <w:tc>
          <w:tcPr>
            <w:tcW w:w="78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 w:val="24"/>
              </w:rPr>
            </w:pPr>
            <w:r>
              <w:rPr>
                <w:rFonts w:hint="eastAsia" w:ascii="宋体" w:hAnsi="宋体"/>
                <w:color w:val="auto"/>
                <w:sz w:val="24"/>
              </w:rPr>
              <w:t>1分</w:t>
            </w:r>
          </w:p>
        </w:tc>
      </w:tr>
    </w:tbl>
    <w:p>
      <w:pPr>
        <w:snapToGrid w:val="0"/>
        <w:rPr>
          <w:rFonts w:ascii="宋体" w:hAnsi="宋体"/>
          <w:sz w:val="24"/>
        </w:rPr>
      </w:pPr>
    </w:p>
    <w:p>
      <w:pPr>
        <w:autoSpaceDE/>
        <w:autoSpaceDN/>
        <w:adjustRightInd/>
        <w:spacing w:line="380" w:lineRule="exact"/>
        <w:rPr>
          <w:rFonts w:ascii="宋体" w:hAnsi="宋体" w:cs="宋体"/>
          <w:b/>
          <w:bCs/>
          <w:color w:val="auto"/>
          <w:sz w:val="24"/>
          <w:szCs w:val="24"/>
        </w:rPr>
      </w:pPr>
      <w:r>
        <w:rPr>
          <w:rFonts w:hint="eastAsia" w:ascii="宋体" w:hAnsi="宋体" w:cs="宋体"/>
          <w:b/>
          <w:bCs/>
          <w:color w:val="auto"/>
          <w:sz w:val="24"/>
          <w:szCs w:val="24"/>
        </w:rPr>
        <w:t xml:space="preserve">    本次评审采用竞争择优入围方式。参加投标单位六家（含）以下的，取技术分前三名入围（入围单位末名得分出现并列的，并列单位均入围，下同），进行商务评审（未入围的投标人不再进行商务评分，且不作为中标候选人，下同）；参加投标单位七家（含）以上九家（含）以下的，取技术分前四名入围，进行商务评审；参加投标单位十家（含）以上，取技术前五名，进行商务评审。</w:t>
      </w:r>
    </w:p>
    <w:p>
      <w:pPr>
        <w:autoSpaceDE/>
        <w:autoSpaceDN/>
        <w:adjustRightInd/>
        <w:spacing w:line="380" w:lineRule="exact"/>
        <w:ind w:firstLine="472" w:firstLineChars="196"/>
        <w:rPr>
          <w:rFonts w:ascii="宋体" w:hAnsi="宋体" w:cs="宋体"/>
          <w:b/>
          <w:bCs/>
          <w:color w:val="auto"/>
          <w:sz w:val="24"/>
          <w:szCs w:val="24"/>
        </w:rPr>
      </w:pPr>
      <w:r>
        <w:rPr>
          <w:rFonts w:hint="eastAsia" w:ascii="宋体" w:hAnsi="宋体" w:cs="宋体"/>
          <w:b/>
          <w:bCs/>
          <w:color w:val="auto"/>
          <w:sz w:val="24"/>
          <w:szCs w:val="24"/>
        </w:rPr>
        <w:t>在商务评审环节出现废标的，按上述择优入围办法重新排定入围单位重新进行商务评审。</w:t>
      </w:r>
    </w:p>
    <w:p>
      <w:pPr>
        <w:jc w:val="center"/>
        <w:rPr>
          <w:rFonts w:ascii="宋体" w:hAnsi="宋体"/>
          <w:b/>
          <w:color w:val="auto"/>
          <w:sz w:val="36"/>
          <w:szCs w:val="36"/>
        </w:rPr>
      </w:pPr>
    </w:p>
    <w:p>
      <w:pPr>
        <w:rPr>
          <w:rFonts w:hint="eastAsia" w:ascii="宋体" w:hAnsi="宋体" w:eastAsia="宋体"/>
          <w:b/>
          <w:color w:val="auto"/>
          <w:sz w:val="36"/>
          <w:szCs w:val="36"/>
          <w:lang w:eastAsia="zh-CN"/>
        </w:rPr>
      </w:pPr>
      <w:r>
        <w:rPr>
          <w:rFonts w:hint="eastAsia" w:ascii="宋体" w:hAnsi="宋体" w:eastAsia="宋体" w:cs="宋体"/>
          <w:b/>
          <w:sz w:val="24"/>
        </w:rPr>
        <w:t xml:space="preserve"> </w:t>
      </w:r>
      <w:r>
        <w:rPr>
          <w:rFonts w:hint="eastAsia" w:ascii="宋体" w:hAnsi="宋体" w:eastAsia="宋体" w:cs="宋体"/>
          <w:b/>
          <w:sz w:val="24"/>
          <w:lang w:eastAsia="zh-CN"/>
        </w:rPr>
        <w:t>六</w:t>
      </w:r>
      <w:r>
        <w:rPr>
          <w:rFonts w:hint="eastAsia" w:ascii="宋体" w:hAnsi="宋体" w:eastAsia="宋体" w:cs="宋体"/>
          <w:b/>
          <w:sz w:val="24"/>
        </w:rPr>
        <w:t>、</w:t>
      </w:r>
      <w:r>
        <w:rPr>
          <w:rFonts w:hint="eastAsia" w:ascii="宋体" w:hAnsi="宋体" w:eastAsia="宋体" w:cs="宋体"/>
          <w:b/>
          <w:sz w:val="24"/>
          <w:lang w:eastAsia="zh-CN"/>
        </w:rPr>
        <w:t>采购内容：</w:t>
      </w:r>
    </w:p>
    <w:p>
      <w:pPr>
        <w:spacing w:line="360" w:lineRule="auto"/>
        <w:ind w:firstLine="420"/>
        <w:rPr>
          <w:rFonts w:ascii="宋体" w:hAnsi="宋体" w:cs="宋体"/>
          <w:b/>
          <w:bCs/>
          <w:sz w:val="24"/>
          <w:u w:val="single"/>
        </w:rPr>
      </w:pPr>
      <w:r>
        <w:rPr>
          <w:rFonts w:hint="eastAsia" w:ascii="宋体" w:hAnsi="宋体" w:cs="宋体"/>
          <w:b/>
          <w:bCs/>
          <w:sz w:val="24"/>
          <w:u w:val="single"/>
        </w:rPr>
        <w:t>产品要求中如有参考品牌、型号的仅作为投标方案参考，但投标产品品牌、型号至少应与参考品牌、型号相当。</w:t>
      </w:r>
    </w:p>
    <w:p>
      <w:pPr>
        <w:spacing w:line="380" w:lineRule="exact"/>
        <w:ind w:firstLine="482" w:firstLineChars="200"/>
        <w:rPr>
          <w:rFonts w:ascii="宋体" w:hAnsi="宋体" w:cs="宋体"/>
          <w:b/>
          <w:sz w:val="24"/>
        </w:rPr>
      </w:pPr>
      <w:r>
        <w:rPr>
          <w:rFonts w:hint="eastAsia" w:ascii="宋体" w:hAnsi="宋体" w:cs="宋体"/>
          <w:b/>
          <w:bCs/>
          <w:sz w:val="24"/>
          <w:u w:val="single"/>
        </w:rPr>
        <w:t>除参考品牌、型号以外，欢迎其它能满足本项目技术需求且性能与参考品牌、型号相当的产品参加。</w:t>
      </w:r>
    </w:p>
    <w:p>
      <w:pPr>
        <w:spacing w:line="360" w:lineRule="auto"/>
        <w:ind w:firstLine="482" w:firstLineChars="200"/>
        <w:rPr>
          <w:rFonts w:ascii="宋体" w:hAnsi="宋体" w:cs="宋体"/>
          <w:b/>
          <w:bCs/>
          <w:sz w:val="24"/>
        </w:rPr>
      </w:pPr>
      <w:bookmarkStart w:id="0" w:name="_Toc7509587"/>
      <w:r>
        <w:rPr>
          <w:rFonts w:hint="eastAsia" w:ascii="宋体" w:hAnsi="宋体" w:cs="宋体"/>
          <w:b/>
          <w:bCs/>
          <w:sz w:val="24"/>
        </w:rPr>
        <w:t>一、设备招标清单</w:t>
      </w:r>
    </w:p>
    <w:tbl>
      <w:tblPr>
        <w:tblStyle w:val="15"/>
        <w:tblW w:w="0" w:type="auto"/>
        <w:jc w:val="center"/>
        <w:tblLayout w:type="fixed"/>
        <w:tblCellMar>
          <w:top w:w="0" w:type="dxa"/>
          <w:left w:w="108" w:type="dxa"/>
          <w:bottom w:w="0" w:type="dxa"/>
          <w:right w:w="108" w:type="dxa"/>
        </w:tblCellMar>
      </w:tblPr>
      <w:tblGrid>
        <w:gridCol w:w="860"/>
        <w:gridCol w:w="2720"/>
        <w:gridCol w:w="4540"/>
        <w:gridCol w:w="968"/>
        <w:gridCol w:w="827"/>
      </w:tblGrid>
      <w:tr>
        <w:tblPrEx>
          <w:tblCellMar>
            <w:top w:w="0" w:type="dxa"/>
            <w:left w:w="108" w:type="dxa"/>
            <w:bottom w:w="0" w:type="dxa"/>
            <w:right w:w="108" w:type="dxa"/>
          </w:tblCellMar>
        </w:tblPrEx>
        <w:trPr>
          <w:trHeight w:val="420"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序号</w:t>
            </w:r>
          </w:p>
        </w:tc>
        <w:tc>
          <w:tcPr>
            <w:tcW w:w="2720" w:type="dxa"/>
            <w:tcBorders>
              <w:top w:val="single" w:color="auto" w:sz="4" w:space="0"/>
              <w:left w:val="nil"/>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设备形式</w:t>
            </w:r>
          </w:p>
        </w:tc>
        <w:tc>
          <w:tcPr>
            <w:tcW w:w="4540" w:type="dxa"/>
            <w:tcBorders>
              <w:top w:val="single" w:color="auto" w:sz="4" w:space="0"/>
              <w:left w:val="nil"/>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技术规格</w:t>
            </w:r>
          </w:p>
        </w:tc>
        <w:tc>
          <w:tcPr>
            <w:tcW w:w="968" w:type="dxa"/>
            <w:tcBorders>
              <w:top w:val="single" w:color="auto" w:sz="4" w:space="0"/>
              <w:left w:val="nil"/>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数量</w:t>
            </w:r>
          </w:p>
        </w:tc>
        <w:tc>
          <w:tcPr>
            <w:tcW w:w="827" w:type="dxa"/>
            <w:tcBorders>
              <w:top w:val="single" w:color="auto" w:sz="4" w:space="0"/>
              <w:left w:val="nil"/>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备注</w:t>
            </w:r>
          </w:p>
        </w:tc>
      </w:tr>
      <w:tr>
        <w:tblPrEx>
          <w:tblCellMar>
            <w:top w:w="0" w:type="dxa"/>
            <w:left w:w="108" w:type="dxa"/>
            <w:bottom w:w="0" w:type="dxa"/>
            <w:right w:w="108" w:type="dxa"/>
          </w:tblCellMar>
        </w:tblPrEx>
        <w:trPr>
          <w:trHeight w:val="270" w:hRule="atLeast"/>
          <w:jc w:val="center"/>
        </w:trPr>
        <w:tc>
          <w:tcPr>
            <w:tcW w:w="860" w:type="dxa"/>
            <w:tcBorders>
              <w:top w:val="nil"/>
              <w:left w:val="single" w:color="auto" w:sz="4" w:space="0"/>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1</w:t>
            </w:r>
          </w:p>
        </w:tc>
        <w:tc>
          <w:tcPr>
            <w:tcW w:w="2720" w:type="dxa"/>
            <w:vMerge w:val="restart"/>
            <w:tcBorders>
              <w:top w:val="nil"/>
              <w:left w:val="single" w:color="auto" w:sz="4" w:space="0"/>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变频多联室外机</w:t>
            </w:r>
          </w:p>
        </w:tc>
        <w:tc>
          <w:tcPr>
            <w:tcW w:w="454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制冷量：40.0kw，制热量：45.0kw</w:t>
            </w:r>
          </w:p>
        </w:tc>
        <w:tc>
          <w:tcPr>
            <w:tcW w:w="968"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1</w:t>
            </w:r>
          </w:p>
        </w:tc>
        <w:tc>
          <w:tcPr>
            <w:tcW w:w="827"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　</w:t>
            </w:r>
          </w:p>
        </w:tc>
      </w:tr>
      <w:tr>
        <w:tblPrEx>
          <w:tblCellMar>
            <w:top w:w="0" w:type="dxa"/>
            <w:left w:w="108" w:type="dxa"/>
            <w:bottom w:w="0" w:type="dxa"/>
            <w:right w:w="108" w:type="dxa"/>
          </w:tblCellMar>
        </w:tblPrEx>
        <w:trPr>
          <w:trHeight w:val="270" w:hRule="atLeast"/>
          <w:jc w:val="center"/>
        </w:trPr>
        <w:tc>
          <w:tcPr>
            <w:tcW w:w="860" w:type="dxa"/>
            <w:tcBorders>
              <w:top w:val="nil"/>
              <w:left w:val="single" w:color="auto" w:sz="4" w:space="0"/>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2</w:t>
            </w:r>
          </w:p>
        </w:tc>
        <w:tc>
          <w:tcPr>
            <w:tcW w:w="2720"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adjustRightInd/>
              <w:jc w:val="left"/>
              <w:rPr>
                <w:rFonts w:ascii="宋体" w:hAnsi="宋体" w:cs="宋体"/>
                <w:sz w:val="22"/>
                <w:szCs w:val="22"/>
              </w:rPr>
            </w:pPr>
          </w:p>
        </w:tc>
        <w:tc>
          <w:tcPr>
            <w:tcW w:w="454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制冷量：45.0kw，制热量：50.0kw</w:t>
            </w:r>
          </w:p>
        </w:tc>
        <w:tc>
          <w:tcPr>
            <w:tcW w:w="968"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2</w:t>
            </w:r>
          </w:p>
        </w:tc>
        <w:tc>
          <w:tcPr>
            <w:tcW w:w="827"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　</w:t>
            </w:r>
          </w:p>
        </w:tc>
      </w:tr>
      <w:tr>
        <w:tblPrEx>
          <w:tblCellMar>
            <w:top w:w="0" w:type="dxa"/>
            <w:left w:w="108" w:type="dxa"/>
            <w:bottom w:w="0" w:type="dxa"/>
            <w:right w:w="108" w:type="dxa"/>
          </w:tblCellMar>
        </w:tblPrEx>
        <w:trPr>
          <w:trHeight w:val="270" w:hRule="atLeast"/>
          <w:jc w:val="center"/>
        </w:trPr>
        <w:tc>
          <w:tcPr>
            <w:tcW w:w="860" w:type="dxa"/>
            <w:tcBorders>
              <w:top w:val="nil"/>
              <w:left w:val="single" w:color="auto" w:sz="4" w:space="0"/>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3</w:t>
            </w:r>
          </w:p>
        </w:tc>
        <w:tc>
          <w:tcPr>
            <w:tcW w:w="2720"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adjustRightInd/>
              <w:jc w:val="left"/>
              <w:rPr>
                <w:rFonts w:ascii="宋体" w:hAnsi="宋体" w:cs="宋体"/>
                <w:sz w:val="22"/>
                <w:szCs w:val="22"/>
              </w:rPr>
            </w:pPr>
          </w:p>
        </w:tc>
        <w:tc>
          <w:tcPr>
            <w:tcW w:w="454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制冷量：90.0kw，制热量：100.0kw</w:t>
            </w:r>
          </w:p>
        </w:tc>
        <w:tc>
          <w:tcPr>
            <w:tcW w:w="968"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1</w:t>
            </w:r>
          </w:p>
        </w:tc>
        <w:tc>
          <w:tcPr>
            <w:tcW w:w="827"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　</w:t>
            </w:r>
          </w:p>
        </w:tc>
      </w:tr>
      <w:tr>
        <w:tblPrEx>
          <w:tblCellMar>
            <w:top w:w="0" w:type="dxa"/>
            <w:left w:w="108" w:type="dxa"/>
            <w:bottom w:w="0" w:type="dxa"/>
            <w:right w:w="108" w:type="dxa"/>
          </w:tblCellMar>
        </w:tblPrEx>
        <w:trPr>
          <w:trHeight w:val="270" w:hRule="atLeast"/>
          <w:jc w:val="center"/>
        </w:trPr>
        <w:tc>
          <w:tcPr>
            <w:tcW w:w="860" w:type="dxa"/>
            <w:tcBorders>
              <w:top w:val="nil"/>
              <w:left w:val="single" w:color="auto" w:sz="4" w:space="0"/>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4</w:t>
            </w:r>
          </w:p>
        </w:tc>
        <w:tc>
          <w:tcPr>
            <w:tcW w:w="2720"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adjustRightInd/>
              <w:jc w:val="left"/>
              <w:rPr>
                <w:rFonts w:ascii="宋体" w:hAnsi="宋体" w:cs="宋体"/>
                <w:sz w:val="22"/>
                <w:szCs w:val="22"/>
              </w:rPr>
            </w:pPr>
          </w:p>
        </w:tc>
        <w:tc>
          <w:tcPr>
            <w:tcW w:w="454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制冷量：112.0kw，制热量：125.0kw</w:t>
            </w:r>
          </w:p>
        </w:tc>
        <w:tc>
          <w:tcPr>
            <w:tcW w:w="968"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1</w:t>
            </w:r>
          </w:p>
        </w:tc>
        <w:tc>
          <w:tcPr>
            <w:tcW w:w="827"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　</w:t>
            </w:r>
          </w:p>
        </w:tc>
      </w:tr>
      <w:tr>
        <w:tblPrEx>
          <w:tblCellMar>
            <w:top w:w="0" w:type="dxa"/>
            <w:left w:w="108" w:type="dxa"/>
            <w:bottom w:w="0" w:type="dxa"/>
            <w:right w:w="108" w:type="dxa"/>
          </w:tblCellMar>
        </w:tblPrEx>
        <w:trPr>
          <w:trHeight w:val="270" w:hRule="atLeast"/>
          <w:jc w:val="center"/>
        </w:trPr>
        <w:tc>
          <w:tcPr>
            <w:tcW w:w="860" w:type="dxa"/>
            <w:tcBorders>
              <w:top w:val="nil"/>
              <w:left w:val="single" w:color="auto" w:sz="4" w:space="0"/>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5</w:t>
            </w:r>
          </w:p>
        </w:tc>
        <w:tc>
          <w:tcPr>
            <w:tcW w:w="2720"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adjustRightInd/>
              <w:jc w:val="left"/>
              <w:rPr>
                <w:rFonts w:ascii="宋体" w:hAnsi="宋体" w:cs="宋体"/>
                <w:sz w:val="22"/>
                <w:szCs w:val="22"/>
              </w:rPr>
            </w:pPr>
          </w:p>
        </w:tc>
        <w:tc>
          <w:tcPr>
            <w:tcW w:w="454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制冷量：135.0kw，制热量：150.0kw</w:t>
            </w:r>
          </w:p>
        </w:tc>
        <w:tc>
          <w:tcPr>
            <w:tcW w:w="968"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1</w:t>
            </w:r>
          </w:p>
        </w:tc>
        <w:tc>
          <w:tcPr>
            <w:tcW w:w="827"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　</w:t>
            </w:r>
          </w:p>
        </w:tc>
      </w:tr>
      <w:tr>
        <w:tblPrEx>
          <w:tblCellMar>
            <w:top w:w="0" w:type="dxa"/>
            <w:left w:w="108" w:type="dxa"/>
            <w:bottom w:w="0" w:type="dxa"/>
            <w:right w:w="108" w:type="dxa"/>
          </w:tblCellMar>
        </w:tblPrEx>
        <w:trPr>
          <w:trHeight w:val="270" w:hRule="atLeast"/>
          <w:jc w:val="center"/>
        </w:trPr>
        <w:tc>
          <w:tcPr>
            <w:tcW w:w="860" w:type="dxa"/>
            <w:tcBorders>
              <w:top w:val="nil"/>
              <w:left w:val="single" w:color="auto" w:sz="4" w:space="0"/>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6</w:t>
            </w:r>
          </w:p>
        </w:tc>
        <w:tc>
          <w:tcPr>
            <w:tcW w:w="2720" w:type="dxa"/>
            <w:vMerge w:val="restart"/>
            <w:tcBorders>
              <w:top w:val="nil"/>
              <w:left w:val="single" w:color="auto" w:sz="4" w:space="0"/>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隐藏风管式</w:t>
            </w:r>
          </w:p>
        </w:tc>
        <w:tc>
          <w:tcPr>
            <w:tcW w:w="454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制冷量：2.2kw，制热量：2.8kw</w:t>
            </w:r>
          </w:p>
        </w:tc>
        <w:tc>
          <w:tcPr>
            <w:tcW w:w="968"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5</w:t>
            </w:r>
          </w:p>
        </w:tc>
        <w:tc>
          <w:tcPr>
            <w:tcW w:w="827"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　</w:t>
            </w:r>
          </w:p>
        </w:tc>
      </w:tr>
      <w:tr>
        <w:tblPrEx>
          <w:tblCellMar>
            <w:top w:w="0" w:type="dxa"/>
            <w:left w:w="108" w:type="dxa"/>
            <w:bottom w:w="0" w:type="dxa"/>
            <w:right w:w="108" w:type="dxa"/>
          </w:tblCellMar>
        </w:tblPrEx>
        <w:trPr>
          <w:trHeight w:val="270" w:hRule="atLeast"/>
          <w:jc w:val="center"/>
        </w:trPr>
        <w:tc>
          <w:tcPr>
            <w:tcW w:w="860" w:type="dxa"/>
            <w:tcBorders>
              <w:top w:val="nil"/>
              <w:left w:val="single" w:color="auto" w:sz="4" w:space="0"/>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7</w:t>
            </w:r>
          </w:p>
        </w:tc>
        <w:tc>
          <w:tcPr>
            <w:tcW w:w="2720"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adjustRightInd/>
              <w:jc w:val="left"/>
              <w:rPr>
                <w:rFonts w:ascii="宋体" w:hAnsi="宋体" w:cs="宋体"/>
                <w:sz w:val="22"/>
                <w:szCs w:val="22"/>
              </w:rPr>
            </w:pPr>
          </w:p>
        </w:tc>
        <w:tc>
          <w:tcPr>
            <w:tcW w:w="454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制冷量：2.8kw，制热量：3.2kw</w:t>
            </w:r>
          </w:p>
        </w:tc>
        <w:tc>
          <w:tcPr>
            <w:tcW w:w="968"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5</w:t>
            </w:r>
          </w:p>
        </w:tc>
        <w:tc>
          <w:tcPr>
            <w:tcW w:w="827"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　</w:t>
            </w:r>
          </w:p>
        </w:tc>
      </w:tr>
      <w:tr>
        <w:tblPrEx>
          <w:tblCellMar>
            <w:top w:w="0" w:type="dxa"/>
            <w:left w:w="108" w:type="dxa"/>
            <w:bottom w:w="0" w:type="dxa"/>
            <w:right w:w="108" w:type="dxa"/>
          </w:tblCellMar>
        </w:tblPrEx>
        <w:trPr>
          <w:trHeight w:val="270" w:hRule="atLeast"/>
          <w:jc w:val="center"/>
        </w:trPr>
        <w:tc>
          <w:tcPr>
            <w:tcW w:w="860" w:type="dxa"/>
            <w:tcBorders>
              <w:top w:val="nil"/>
              <w:left w:val="single" w:color="auto" w:sz="4" w:space="0"/>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8</w:t>
            </w:r>
          </w:p>
        </w:tc>
        <w:tc>
          <w:tcPr>
            <w:tcW w:w="2720"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adjustRightInd/>
              <w:jc w:val="left"/>
              <w:rPr>
                <w:rFonts w:ascii="宋体" w:hAnsi="宋体" w:cs="宋体"/>
                <w:sz w:val="22"/>
                <w:szCs w:val="22"/>
              </w:rPr>
            </w:pPr>
          </w:p>
        </w:tc>
        <w:tc>
          <w:tcPr>
            <w:tcW w:w="454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制冷量：3.6kw，制热量：4.0kw</w:t>
            </w:r>
          </w:p>
        </w:tc>
        <w:tc>
          <w:tcPr>
            <w:tcW w:w="968"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15</w:t>
            </w:r>
          </w:p>
        </w:tc>
        <w:tc>
          <w:tcPr>
            <w:tcW w:w="827"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　</w:t>
            </w:r>
          </w:p>
        </w:tc>
      </w:tr>
      <w:tr>
        <w:tblPrEx>
          <w:tblCellMar>
            <w:top w:w="0" w:type="dxa"/>
            <w:left w:w="108" w:type="dxa"/>
            <w:bottom w:w="0" w:type="dxa"/>
            <w:right w:w="108" w:type="dxa"/>
          </w:tblCellMar>
        </w:tblPrEx>
        <w:trPr>
          <w:trHeight w:val="270" w:hRule="atLeast"/>
          <w:jc w:val="center"/>
        </w:trPr>
        <w:tc>
          <w:tcPr>
            <w:tcW w:w="860" w:type="dxa"/>
            <w:tcBorders>
              <w:top w:val="nil"/>
              <w:left w:val="single" w:color="auto" w:sz="4" w:space="0"/>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9</w:t>
            </w:r>
          </w:p>
        </w:tc>
        <w:tc>
          <w:tcPr>
            <w:tcW w:w="2720"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adjustRightInd/>
              <w:jc w:val="left"/>
              <w:rPr>
                <w:rFonts w:ascii="宋体" w:hAnsi="宋体" w:cs="宋体"/>
                <w:sz w:val="22"/>
                <w:szCs w:val="22"/>
              </w:rPr>
            </w:pPr>
          </w:p>
        </w:tc>
        <w:tc>
          <w:tcPr>
            <w:tcW w:w="454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制冷量：4.5kw，制热量：5.0kw</w:t>
            </w:r>
          </w:p>
        </w:tc>
        <w:tc>
          <w:tcPr>
            <w:tcW w:w="968"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3</w:t>
            </w:r>
          </w:p>
        </w:tc>
        <w:tc>
          <w:tcPr>
            <w:tcW w:w="827"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　</w:t>
            </w:r>
          </w:p>
        </w:tc>
      </w:tr>
      <w:tr>
        <w:tblPrEx>
          <w:tblCellMar>
            <w:top w:w="0" w:type="dxa"/>
            <w:left w:w="108" w:type="dxa"/>
            <w:bottom w:w="0" w:type="dxa"/>
            <w:right w:w="108" w:type="dxa"/>
          </w:tblCellMar>
        </w:tblPrEx>
        <w:trPr>
          <w:trHeight w:val="270" w:hRule="atLeast"/>
          <w:jc w:val="center"/>
        </w:trPr>
        <w:tc>
          <w:tcPr>
            <w:tcW w:w="860" w:type="dxa"/>
            <w:tcBorders>
              <w:top w:val="nil"/>
              <w:left w:val="single" w:color="auto" w:sz="4" w:space="0"/>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10</w:t>
            </w:r>
          </w:p>
        </w:tc>
        <w:tc>
          <w:tcPr>
            <w:tcW w:w="2720"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adjustRightInd/>
              <w:jc w:val="left"/>
              <w:rPr>
                <w:rFonts w:ascii="宋体" w:hAnsi="宋体" w:cs="宋体"/>
                <w:sz w:val="22"/>
                <w:szCs w:val="22"/>
              </w:rPr>
            </w:pPr>
          </w:p>
        </w:tc>
        <w:tc>
          <w:tcPr>
            <w:tcW w:w="454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制冷量：5.6kw，制热量：6.3kw</w:t>
            </w:r>
          </w:p>
        </w:tc>
        <w:tc>
          <w:tcPr>
            <w:tcW w:w="968"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8</w:t>
            </w:r>
          </w:p>
        </w:tc>
        <w:tc>
          <w:tcPr>
            <w:tcW w:w="827"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　</w:t>
            </w:r>
          </w:p>
        </w:tc>
      </w:tr>
      <w:tr>
        <w:tblPrEx>
          <w:tblCellMar>
            <w:top w:w="0" w:type="dxa"/>
            <w:left w:w="108" w:type="dxa"/>
            <w:bottom w:w="0" w:type="dxa"/>
            <w:right w:w="108" w:type="dxa"/>
          </w:tblCellMar>
        </w:tblPrEx>
        <w:trPr>
          <w:trHeight w:val="270" w:hRule="atLeast"/>
          <w:jc w:val="center"/>
        </w:trPr>
        <w:tc>
          <w:tcPr>
            <w:tcW w:w="860" w:type="dxa"/>
            <w:tcBorders>
              <w:top w:val="nil"/>
              <w:left w:val="single" w:color="auto" w:sz="4" w:space="0"/>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11</w:t>
            </w:r>
          </w:p>
        </w:tc>
        <w:tc>
          <w:tcPr>
            <w:tcW w:w="2720"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adjustRightInd/>
              <w:jc w:val="left"/>
              <w:rPr>
                <w:rFonts w:ascii="宋体" w:hAnsi="宋体" w:cs="宋体"/>
                <w:sz w:val="22"/>
                <w:szCs w:val="22"/>
              </w:rPr>
            </w:pPr>
          </w:p>
        </w:tc>
        <w:tc>
          <w:tcPr>
            <w:tcW w:w="454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制冷量：9.0kw，制热量：10.0kw</w:t>
            </w:r>
          </w:p>
        </w:tc>
        <w:tc>
          <w:tcPr>
            <w:tcW w:w="968"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1</w:t>
            </w:r>
          </w:p>
        </w:tc>
        <w:tc>
          <w:tcPr>
            <w:tcW w:w="827"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　</w:t>
            </w:r>
          </w:p>
        </w:tc>
      </w:tr>
      <w:tr>
        <w:tblPrEx>
          <w:tblCellMar>
            <w:top w:w="0" w:type="dxa"/>
            <w:left w:w="108" w:type="dxa"/>
            <w:bottom w:w="0" w:type="dxa"/>
            <w:right w:w="108" w:type="dxa"/>
          </w:tblCellMar>
        </w:tblPrEx>
        <w:trPr>
          <w:trHeight w:val="270" w:hRule="atLeast"/>
          <w:jc w:val="center"/>
        </w:trPr>
        <w:tc>
          <w:tcPr>
            <w:tcW w:w="860" w:type="dxa"/>
            <w:tcBorders>
              <w:top w:val="nil"/>
              <w:left w:val="single" w:color="auto" w:sz="4" w:space="0"/>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12</w:t>
            </w:r>
          </w:p>
        </w:tc>
        <w:tc>
          <w:tcPr>
            <w:tcW w:w="2720" w:type="dxa"/>
            <w:vMerge w:val="restart"/>
            <w:tcBorders>
              <w:top w:val="nil"/>
              <w:left w:val="single" w:color="auto" w:sz="4" w:space="0"/>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四出风/环绕气流嵌入式</w:t>
            </w:r>
          </w:p>
        </w:tc>
        <w:tc>
          <w:tcPr>
            <w:tcW w:w="454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制冷量：2.8kw，制热量：3.2kw</w:t>
            </w:r>
          </w:p>
        </w:tc>
        <w:tc>
          <w:tcPr>
            <w:tcW w:w="968"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1</w:t>
            </w:r>
          </w:p>
        </w:tc>
        <w:tc>
          <w:tcPr>
            <w:tcW w:w="827"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　</w:t>
            </w:r>
          </w:p>
        </w:tc>
      </w:tr>
      <w:tr>
        <w:tblPrEx>
          <w:tblCellMar>
            <w:top w:w="0" w:type="dxa"/>
            <w:left w:w="108" w:type="dxa"/>
            <w:bottom w:w="0" w:type="dxa"/>
            <w:right w:w="108" w:type="dxa"/>
          </w:tblCellMar>
        </w:tblPrEx>
        <w:trPr>
          <w:trHeight w:val="270" w:hRule="atLeast"/>
          <w:jc w:val="center"/>
        </w:trPr>
        <w:tc>
          <w:tcPr>
            <w:tcW w:w="860" w:type="dxa"/>
            <w:tcBorders>
              <w:top w:val="nil"/>
              <w:left w:val="single" w:color="auto" w:sz="4" w:space="0"/>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13</w:t>
            </w:r>
          </w:p>
        </w:tc>
        <w:tc>
          <w:tcPr>
            <w:tcW w:w="2720"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adjustRightInd/>
              <w:jc w:val="left"/>
              <w:rPr>
                <w:rFonts w:ascii="宋体" w:hAnsi="宋体" w:cs="宋体"/>
                <w:sz w:val="22"/>
                <w:szCs w:val="22"/>
              </w:rPr>
            </w:pPr>
          </w:p>
        </w:tc>
        <w:tc>
          <w:tcPr>
            <w:tcW w:w="454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制冷量：4.5kw，制热量：5.0kw</w:t>
            </w:r>
          </w:p>
        </w:tc>
        <w:tc>
          <w:tcPr>
            <w:tcW w:w="968"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1</w:t>
            </w:r>
          </w:p>
        </w:tc>
        <w:tc>
          <w:tcPr>
            <w:tcW w:w="827"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　</w:t>
            </w:r>
          </w:p>
        </w:tc>
      </w:tr>
      <w:tr>
        <w:tblPrEx>
          <w:tblCellMar>
            <w:top w:w="0" w:type="dxa"/>
            <w:left w:w="108" w:type="dxa"/>
            <w:bottom w:w="0" w:type="dxa"/>
            <w:right w:w="108" w:type="dxa"/>
          </w:tblCellMar>
        </w:tblPrEx>
        <w:trPr>
          <w:trHeight w:val="270" w:hRule="atLeast"/>
          <w:jc w:val="center"/>
        </w:trPr>
        <w:tc>
          <w:tcPr>
            <w:tcW w:w="860" w:type="dxa"/>
            <w:tcBorders>
              <w:top w:val="nil"/>
              <w:left w:val="single" w:color="auto" w:sz="4" w:space="0"/>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14</w:t>
            </w:r>
          </w:p>
        </w:tc>
        <w:tc>
          <w:tcPr>
            <w:tcW w:w="2720"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adjustRightInd/>
              <w:jc w:val="left"/>
              <w:rPr>
                <w:rFonts w:ascii="宋体" w:hAnsi="宋体" w:cs="宋体"/>
                <w:sz w:val="22"/>
                <w:szCs w:val="22"/>
              </w:rPr>
            </w:pPr>
          </w:p>
        </w:tc>
        <w:tc>
          <w:tcPr>
            <w:tcW w:w="454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制冷量：5.6kw，制热量：6.3kw</w:t>
            </w:r>
          </w:p>
        </w:tc>
        <w:tc>
          <w:tcPr>
            <w:tcW w:w="968"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2</w:t>
            </w:r>
          </w:p>
        </w:tc>
        <w:tc>
          <w:tcPr>
            <w:tcW w:w="827"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　</w:t>
            </w:r>
          </w:p>
        </w:tc>
      </w:tr>
      <w:tr>
        <w:tblPrEx>
          <w:tblCellMar>
            <w:top w:w="0" w:type="dxa"/>
            <w:left w:w="108" w:type="dxa"/>
            <w:bottom w:w="0" w:type="dxa"/>
            <w:right w:w="108" w:type="dxa"/>
          </w:tblCellMar>
        </w:tblPrEx>
        <w:trPr>
          <w:trHeight w:val="270" w:hRule="atLeast"/>
          <w:jc w:val="center"/>
        </w:trPr>
        <w:tc>
          <w:tcPr>
            <w:tcW w:w="860" w:type="dxa"/>
            <w:tcBorders>
              <w:top w:val="nil"/>
              <w:left w:val="single" w:color="auto" w:sz="4" w:space="0"/>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15</w:t>
            </w:r>
          </w:p>
        </w:tc>
        <w:tc>
          <w:tcPr>
            <w:tcW w:w="2720"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adjustRightInd/>
              <w:jc w:val="left"/>
              <w:rPr>
                <w:rFonts w:ascii="宋体" w:hAnsi="宋体" w:cs="宋体"/>
                <w:sz w:val="22"/>
                <w:szCs w:val="22"/>
              </w:rPr>
            </w:pPr>
          </w:p>
        </w:tc>
        <w:tc>
          <w:tcPr>
            <w:tcW w:w="454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制冷量：7.1kw，制热量：8.0kw</w:t>
            </w:r>
          </w:p>
        </w:tc>
        <w:tc>
          <w:tcPr>
            <w:tcW w:w="968"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3</w:t>
            </w:r>
          </w:p>
        </w:tc>
        <w:tc>
          <w:tcPr>
            <w:tcW w:w="827"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　</w:t>
            </w:r>
          </w:p>
        </w:tc>
      </w:tr>
      <w:tr>
        <w:tblPrEx>
          <w:tblCellMar>
            <w:top w:w="0" w:type="dxa"/>
            <w:left w:w="108" w:type="dxa"/>
            <w:bottom w:w="0" w:type="dxa"/>
            <w:right w:w="108" w:type="dxa"/>
          </w:tblCellMar>
        </w:tblPrEx>
        <w:trPr>
          <w:trHeight w:val="270" w:hRule="atLeast"/>
          <w:jc w:val="center"/>
        </w:trPr>
        <w:tc>
          <w:tcPr>
            <w:tcW w:w="860" w:type="dxa"/>
            <w:tcBorders>
              <w:top w:val="nil"/>
              <w:left w:val="single" w:color="auto" w:sz="4" w:space="0"/>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16</w:t>
            </w:r>
          </w:p>
        </w:tc>
        <w:tc>
          <w:tcPr>
            <w:tcW w:w="2720"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adjustRightInd/>
              <w:jc w:val="left"/>
              <w:rPr>
                <w:rFonts w:ascii="宋体" w:hAnsi="宋体" w:cs="宋体"/>
                <w:sz w:val="22"/>
                <w:szCs w:val="22"/>
              </w:rPr>
            </w:pPr>
          </w:p>
        </w:tc>
        <w:tc>
          <w:tcPr>
            <w:tcW w:w="454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制冷量：8.0kw，制热量：9.0kw</w:t>
            </w:r>
          </w:p>
        </w:tc>
        <w:tc>
          <w:tcPr>
            <w:tcW w:w="968"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1</w:t>
            </w:r>
          </w:p>
        </w:tc>
        <w:tc>
          <w:tcPr>
            <w:tcW w:w="827"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　</w:t>
            </w:r>
          </w:p>
        </w:tc>
      </w:tr>
      <w:tr>
        <w:tblPrEx>
          <w:tblCellMar>
            <w:top w:w="0" w:type="dxa"/>
            <w:left w:w="108" w:type="dxa"/>
            <w:bottom w:w="0" w:type="dxa"/>
            <w:right w:w="108" w:type="dxa"/>
          </w:tblCellMar>
        </w:tblPrEx>
        <w:trPr>
          <w:trHeight w:val="270" w:hRule="atLeast"/>
          <w:jc w:val="center"/>
        </w:trPr>
        <w:tc>
          <w:tcPr>
            <w:tcW w:w="860" w:type="dxa"/>
            <w:tcBorders>
              <w:top w:val="nil"/>
              <w:left w:val="single" w:color="auto" w:sz="4" w:space="0"/>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17</w:t>
            </w:r>
          </w:p>
        </w:tc>
        <w:tc>
          <w:tcPr>
            <w:tcW w:w="2720"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adjustRightInd/>
              <w:jc w:val="left"/>
              <w:rPr>
                <w:rFonts w:ascii="宋体" w:hAnsi="宋体" w:cs="宋体"/>
                <w:sz w:val="22"/>
                <w:szCs w:val="22"/>
              </w:rPr>
            </w:pPr>
          </w:p>
        </w:tc>
        <w:tc>
          <w:tcPr>
            <w:tcW w:w="454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制冷量：9.0kw，制热量：10.0kw</w:t>
            </w:r>
          </w:p>
        </w:tc>
        <w:tc>
          <w:tcPr>
            <w:tcW w:w="968"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12</w:t>
            </w:r>
          </w:p>
        </w:tc>
        <w:tc>
          <w:tcPr>
            <w:tcW w:w="827"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　</w:t>
            </w:r>
          </w:p>
        </w:tc>
      </w:tr>
      <w:tr>
        <w:tblPrEx>
          <w:tblCellMar>
            <w:top w:w="0" w:type="dxa"/>
            <w:left w:w="108" w:type="dxa"/>
            <w:bottom w:w="0" w:type="dxa"/>
            <w:right w:w="108" w:type="dxa"/>
          </w:tblCellMar>
        </w:tblPrEx>
        <w:trPr>
          <w:trHeight w:val="270" w:hRule="atLeast"/>
          <w:jc w:val="center"/>
        </w:trPr>
        <w:tc>
          <w:tcPr>
            <w:tcW w:w="860" w:type="dxa"/>
            <w:tcBorders>
              <w:top w:val="nil"/>
              <w:left w:val="single" w:color="auto" w:sz="4" w:space="0"/>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18</w:t>
            </w:r>
          </w:p>
        </w:tc>
        <w:tc>
          <w:tcPr>
            <w:tcW w:w="2720"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adjustRightInd/>
              <w:jc w:val="left"/>
              <w:rPr>
                <w:rFonts w:ascii="宋体" w:hAnsi="宋体" w:cs="宋体"/>
                <w:sz w:val="22"/>
                <w:szCs w:val="22"/>
              </w:rPr>
            </w:pPr>
          </w:p>
        </w:tc>
        <w:tc>
          <w:tcPr>
            <w:tcW w:w="454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制冷量：10.0kw，制热量：11.2kw</w:t>
            </w:r>
          </w:p>
        </w:tc>
        <w:tc>
          <w:tcPr>
            <w:tcW w:w="968"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1</w:t>
            </w:r>
          </w:p>
        </w:tc>
        <w:tc>
          <w:tcPr>
            <w:tcW w:w="827"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　</w:t>
            </w:r>
          </w:p>
        </w:tc>
      </w:tr>
      <w:tr>
        <w:tblPrEx>
          <w:tblCellMar>
            <w:top w:w="0" w:type="dxa"/>
            <w:left w:w="108" w:type="dxa"/>
            <w:bottom w:w="0" w:type="dxa"/>
            <w:right w:w="108" w:type="dxa"/>
          </w:tblCellMar>
        </w:tblPrEx>
        <w:trPr>
          <w:trHeight w:val="270" w:hRule="atLeast"/>
          <w:jc w:val="center"/>
        </w:trPr>
        <w:tc>
          <w:tcPr>
            <w:tcW w:w="860" w:type="dxa"/>
            <w:tcBorders>
              <w:top w:val="nil"/>
              <w:left w:val="single" w:color="auto" w:sz="4" w:space="0"/>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19</w:t>
            </w:r>
          </w:p>
        </w:tc>
        <w:tc>
          <w:tcPr>
            <w:tcW w:w="2720"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adjustRightInd/>
              <w:jc w:val="left"/>
              <w:rPr>
                <w:rFonts w:ascii="宋体" w:hAnsi="宋体" w:cs="宋体"/>
                <w:sz w:val="22"/>
                <w:szCs w:val="22"/>
              </w:rPr>
            </w:pPr>
          </w:p>
        </w:tc>
        <w:tc>
          <w:tcPr>
            <w:tcW w:w="454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制冷量：11.2kw，制热量：12.5kw</w:t>
            </w:r>
          </w:p>
        </w:tc>
        <w:tc>
          <w:tcPr>
            <w:tcW w:w="968"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5</w:t>
            </w:r>
          </w:p>
        </w:tc>
        <w:tc>
          <w:tcPr>
            <w:tcW w:w="827"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　</w:t>
            </w:r>
          </w:p>
        </w:tc>
      </w:tr>
      <w:tr>
        <w:tblPrEx>
          <w:tblCellMar>
            <w:top w:w="0" w:type="dxa"/>
            <w:left w:w="108" w:type="dxa"/>
            <w:bottom w:w="0" w:type="dxa"/>
            <w:right w:w="108" w:type="dxa"/>
          </w:tblCellMar>
        </w:tblPrEx>
        <w:trPr>
          <w:trHeight w:val="270" w:hRule="atLeast"/>
          <w:jc w:val="center"/>
        </w:trPr>
        <w:tc>
          <w:tcPr>
            <w:tcW w:w="860" w:type="dxa"/>
            <w:tcBorders>
              <w:top w:val="nil"/>
              <w:left w:val="single" w:color="auto" w:sz="4" w:space="0"/>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20</w:t>
            </w:r>
          </w:p>
        </w:tc>
        <w:tc>
          <w:tcPr>
            <w:tcW w:w="2720"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adjustRightInd/>
              <w:jc w:val="left"/>
              <w:rPr>
                <w:rFonts w:ascii="宋体" w:hAnsi="宋体" w:cs="宋体"/>
                <w:sz w:val="22"/>
                <w:szCs w:val="22"/>
              </w:rPr>
            </w:pPr>
          </w:p>
        </w:tc>
        <w:tc>
          <w:tcPr>
            <w:tcW w:w="454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制冷量：14.0kw，制热量：16.0kw</w:t>
            </w:r>
          </w:p>
        </w:tc>
        <w:tc>
          <w:tcPr>
            <w:tcW w:w="968"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3</w:t>
            </w:r>
          </w:p>
        </w:tc>
        <w:tc>
          <w:tcPr>
            <w:tcW w:w="827"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　</w:t>
            </w:r>
          </w:p>
        </w:tc>
      </w:tr>
      <w:tr>
        <w:tblPrEx>
          <w:tblCellMar>
            <w:top w:w="0" w:type="dxa"/>
            <w:left w:w="108" w:type="dxa"/>
            <w:bottom w:w="0" w:type="dxa"/>
            <w:right w:w="108" w:type="dxa"/>
          </w:tblCellMar>
        </w:tblPrEx>
        <w:trPr>
          <w:trHeight w:val="270" w:hRule="atLeast"/>
          <w:jc w:val="center"/>
        </w:trPr>
        <w:tc>
          <w:tcPr>
            <w:tcW w:w="860" w:type="dxa"/>
            <w:tcBorders>
              <w:top w:val="nil"/>
              <w:left w:val="single" w:color="auto" w:sz="4" w:space="0"/>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21</w:t>
            </w:r>
          </w:p>
        </w:tc>
        <w:tc>
          <w:tcPr>
            <w:tcW w:w="272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3D气流/单面出风嵌入式</w:t>
            </w:r>
          </w:p>
        </w:tc>
        <w:tc>
          <w:tcPr>
            <w:tcW w:w="454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制冷量：7.1kw，制热量：8.0kw</w:t>
            </w:r>
          </w:p>
        </w:tc>
        <w:tc>
          <w:tcPr>
            <w:tcW w:w="968"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2</w:t>
            </w:r>
          </w:p>
        </w:tc>
        <w:tc>
          <w:tcPr>
            <w:tcW w:w="827"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　</w:t>
            </w:r>
          </w:p>
        </w:tc>
      </w:tr>
      <w:tr>
        <w:tblPrEx>
          <w:tblCellMar>
            <w:top w:w="0" w:type="dxa"/>
            <w:left w:w="108" w:type="dxa"/>
            <w:bottom w:w="0" w:type="dxa"/>
            <w:right w:w="108" w:type="dxa"/>
          </w:tblCellMar>
        </w:tblPrEx>
        <w:trPr>
          <w:trHeight w:val="270" w:hRule="atLeast"/>
          <w:jc w:val="center"/>
        </w:trPr>
        <w:tc>
          <w:tcPr>
            <w:tcW w:w="860" w:type="dxa"/>
            <w:tcBorders>
              <w:top w:val="nil"/>
              <w:left w:val="single" w:color="auto" w:sz="4" w:space="0"/>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22</w:t>
            </w:r>
          </w:p>
        </w:tc>
        <w:tc>
          <w:tcPr>
            <w:tcW w:w="272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新风净化设备</w:t>
            </w:r>
          </w:p>
        </w:tc>
        <w:tc>
          <w:tcPr>
            <w:tcW w:w="454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风量500m³/h,洁净空气量≥380CADRm³/h</w:t>
            </w:r>
          </w:p>
        </w:tc>
        <w:tc>
          <w:tcPr>
            <w:tcW w:w="968"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2</w:t>
            </w:r>
          </w:p>
        </w:tc>
        <w:tc>
          <w:tcPr>
            <w:tcW w:w="827"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　</w:t>
            </w:r>
          </w:p>
        </w:tc>
      </w:tr>
    </w:tbl>
    <w:p>
      <w:pPr>
        <w:spacing w:line="360" w:lineRule="auto"/>
        <w:ind w:firstLine="413" w:firstLineChars="196"/>
        <w:rPr>
          <w:rFonts w:ascii="宋体" w:hAnsi="宋体" w:cs="宋体"/>
          <w:b/>
          <w:bCs/>
        </w:rPr>
      </w:pPr>
    </w:p>
    <w:p>
      <w:pPr>
        <w:spacing w:line="360" w:lineRule="auto"/>
        <w:ind w:firstLine="413" w:firstLineChars="196"/>
        <w:rPr>
          <w:rFonts w:ascii="宋体" w:hAnsi="宋体" w:cs="宋体"/>
          <w:b/>
          <w:bCs/>
        </w:rPr>
      </w:pPr>
      <w:r>
        <w:rPr>
          <w:rFonts w:hint="eastAsia" w:ascii="宋体" w:hAnsi="宋体" w:cs="宋体"/>
          <w:b/>
          <w:bCs/>
        </w:rPr>
        <w:t>二、安装工程量清单（内容可自行调整）</w:t>
      </w:r>
    </w:p>
    <w:tbl>
      <w:tblPr>
        <w:tblStyle w:val="15"/>
        <w:tblW w:w="0" w:type="auto"/>
        <w:tblInd w:w="93" w:type="dxa"/>
        <w:tblLayout w:type="fixed"/>
        <w:tblCellMar>
          <w:top w:w="0" w:type="dxa"/>
          <w:left w:w="108" w:type="dxa"/>
          <w:bottom w:w="0" w:type="dxa"/>
          <w:right w:w="108" w:type="dxa"/>
        </w:tblCellMar>
      </w:tblPr>
      <w:tblGrid>
        <w:gridCol w:w="1000"/>
        <w:gridCol w:w="3220"/>
        <w:gridCol w:w="1660"/>
        <w:gridCol w:w="1120"/>
        <w:gridCol w:w="1080"/>
        <w:gridCol w:w="1080"/>
      </w:tblGrid>
      <w:tr>
        <w:tblPrEx>
          <w:tblCellMar>
            <w:top w:w="0" w:type="dxa"/>
            <w:left w:w="108" w:type="dxa"/>
            <w:bottom w:w="0" w:type="dxa"/>
            <w:right w:w="108" w:type="dxa"/>
          </w:tblCellMar>
        </w:tblPrEx>
        <w:trPr>
          <w:trHeight w:val="540" w:hRule="atLeast"/>
        </w:trPr>
        <w:tc>
          <w:tcPr>
            <w:tcW w:w="100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4"/>
                <w:szCs w:val="24"/>
              </w:rPr>
            </w:pPr>
            <w:r>
              <w:rPr>
                <w:rFonts w:hint="eastAsia" w:ascii="宋体" w:hAnsi="宋体" w:cs="宋体"/>
                <w:color w:val="auto"/>
                <w:sz w:val="24"/>
                <w:szCs w:val="24"/>
              </w:rPr>
              <w:t>序号</w:t>
            </w:r>
          </w:p>
        </w:tc>
        <w:tc>
          <w:tcPr>
            <w:tcW w:w="3220" w:type="dxa"/>
            <w:tcBorders>
              <w:top w:val="single" w:color="auto" w:sz="4" w:space="0"/>
              <w:left w:val="nil"/>
              <w:bottom w:val="single" w:color="auto" w:sz="4" w:space="0"/>
              <w:right w:val="single" w:color="auto" w:sz="4" w:space="0"/>
            </w:tcBorders>
            <w:noWrap/>
            <w:vAlign w:val="center"/>
          </w:tcPr>
          <w:p>
            <w:pPr>
              <w:widowControl/>
              <w:autoSpaceDE/>
              <w:autoSpaceDN/>
              <w:adjustRightInd/>
              <w:jc w:val="center"/>
              <w:rPr>
                <w:rFonts w:ascii="宋体" w:hAnsi="宋体" w:cs="宋体"/>
                <w:b/>
                <w:bCs/>
                <w:color w:val="auto"/>
                <w:sz w:val="22"/>
                <w:szCs w:val="22"/>
              </w:rPr>
            </w:pPr>
            <w:r>
              <w:rPr>
                <w:rFonts w:hint="eastAsia" w:ascii="宋体" w:hAnsi="宋体" w:cs="宋体"/>
                <w:b/>
                <w:bCs/>
                <w:color w:val="auto"/>
                <w:sz w:val="22"/>
                <w:szCs w:val="22"/>
              </w:rPr>
              <w:t>名称</w:t>
            </w:r>
          </w:p>
        </w:tc>
        <w:tc>
          <w:tcPr>
            <w:tcW w:w="1660" w:type="dxa"/>
            <w:tcBorders>
              <w:top w:val="single" w:color="auto" w:sz="4" w:space="0"/>
              <w:left w:val="nil"/>
              <w:bottom w:val="single" w:color="auto" w:sz="4" w:space="0"/>
              <w:right w:val="single" w:color="auto" w:sz="4" w:space="0"/>
            </w:tcBorders>
            <w:noWrap/>
            <w:vAlign w:val="center"/>
          </w:tcPr>
          <w:p>
            <w:pPr>
              <w:widowControl/>
              <w:autoSpaceDE/>
              <w:autoSpaceDN/>
              <w:adjustRightInd/>
              <w:jc w:val="center"/>
              <w:rPr>
                <w:rFonts w:ascii="宋体" w:hAnsi="宋体" w:cs="宋体"/>
                <w:b/>
                <w:bCs/>
                <w:color w:val="auto"/>
                <w:sz w:val="22"/>
                <w:szCs w:val="22"/>
              </w:rPr>
            </w:pPr>
            <w:r>
              <w:rPr>
                <w:rFonts w:hint="eastAsia" w:ascii="宋体" w:hAnsi="宋体" w:cs="宋体"/>
                <w:b/>
                <w:bCs/>
                <w:color w:val="auto"/>
                <w:sz w:val="22"/>
                <w:szCs w:val="22"/>
              </w:rPr>
              <w:t>规格</w:t>
            </w:r>
          </w:p>
        </w:tc>
        <w:tc>
          <w:tcPr>
            <w:tcW w:w="1120" w:type="dxa"/>
            <w:tcBorders>
              <w:top w:val="single" w:color="auto" w:sz="4" w:space="0"/>
              <w:left w:val="nil"/>
              <w:bottom w:val="single" w:color="auto" w:sz="4" w:space="0"/>
              <w:right w:val="single" w:color="auto" w:sz="4" w:space="0"/>
            </w:tcBorders>
            <w:noWrap/>
            <w:vAlign w:val="center"/>
          </w:tcPr>
          <w:p>
            <w:pPr>
              <w:widowControl/>
              <w:autoSpaceDE/>
              <w:autoSpaceDN/>
              <w:adjustRightInd/>
              <w:jc w:val="center"/>
              <w:rPr>
                <w:rFonts w:ascii="宋体" w:hAnsi="宋体" w:cs="宋体"/>
                <w:b/>
                <w:bCs/>
                <w:color w:val="auto"/>
                <w:sz w:val="22"/>
                <w:szCs w:val="22"/>
              </w:rPr>
            </w:pPr>
            <w:r>
              <w:rPr>
                <w:rFonts w:hint="eastAsia" w:ascii="宋体" w:hAnsi="宋体" w:cs="宋体"/>
                <w:b/>
                <w:bCs/>
                <w:color w:val="auto"/>
                <w:sz w:val="22"/>
                <w:szCs w:val="22"/>
              </w:rPr>
              <w:t>单位</w:t>
            </w:r>
          </w:p>
        </w:tc>
        <w:tc>
          <w:tcPr>
            <w:tcW w:w="1080" w:type="dxa"/>
            <w:tcBorders>
              <w:top w:val="single" w:color="auto" w:sz="4" w:space="0"/>
              <w:left w:val="nil"/>
              <w:bottom w:val="single" w:color="auto" w:sz="4" w:space="0"/>
              <w:right w:val="single" w:color="auto" w:sz="4" w:space="0"/>
            </w:tcBorders>
            <w:noWrap/>
            <w:vAlign w:val="center"/>
          </w:tcPr>
          <w:p>
            <w:pPr>
              <w:widowControl/>
              <w:autoSpaceDE/>
              <w:autoSpaceDN/>
              <w:adjustRightInd/>
              <w:jc w:val="center"/>
              <w:rPr>
                <w:rFonts w:ascii="宋体" w:hAnsi="宋体" w:cs="宋体"/>
                <w:b/>
                <w:bCs/>
                <w:color w:val="auto"/>
                <w:sz w:val="22"/>
                <w:szCs w:val="22"/>
              </w:rPr>
            </w:pPr>
            <w:r>
              <w:rPr>
                <w:rFonts w:hint="eastAsia" w:ascii="宋体" w:hAnsi="宋体" w:cs="宋体"/>
                <w:b/>
                <w:bCs/>
                <w:color w:val="auto"/>
                <w:sz w:val="22"/>
                <w:szCs w:val="22"/>
              </w:rPr>
              <w:t>数量</w:t>
            </w:r>
          </w:p>
        </w:tc>
        <w:tc>
          <w:tcPr>
            <w:tcW w:w="1080" w:type="dxa"/>
            <w:tcBorders>
              <w:top w:val="single" w:color="auto" w:sz="4" w:space="0"/>
              <w:left w:val="nil"/>
              <w:bottom w:val="single" w:color="auto" w:sz="4" w:space="0"/>
              <w:right w:val="single" w:color="auto" w:sz="4" w:space="0"/>
            </w:tcBorders>
            <w:noWrap/>
            <w:vAlign w:val="center"/>
          </w:tcPr>
          <w:p>
            <w:pPr>
              <w:widowControl/>
              <w:autoSpaceDE/>
              <w:autoSpaceDN/>
              <w:adjustRightInd/>
              <w:jc w:val="center"/>
              <w:rPr>
                <w:rFonts w:ascii="宋体" w:hAnsi="宋体" w:cs="宋体"/>
                <w:b/>
                <w:bCs/>
                <w:color w:val="auto"/>
                <w:sz w:val="22"/>
                <w:szCs w:val="22"/>
              </w:rPr>
            </w:pPr>
            <w:r>
              <w:rPr>
                <w:rFonts w:hint="eastAsia" w:ascii="宋体" w:hAnsi="宋体" w:cs="宋体"/>
                <w:b/>
                <w:bCs/>
                <w:color w:val="auto"/>
                <w:sz w:val="22"/>
                <w:szCs w:val="22"/>
              </w:rPr>
              <w:t>品牌</w:t>
            </w:r>
          </w:p>
        </w:tc>
      </w:tr>
      <w:tr>
        <w:tblPrEx>
          <w:tblCellMar>
            <w:top w:w="0" w:type="dxa"/>
            <w:left w:w="108" w:type="dxa"/>
            <w:bottom w:w="0" w:type="dxa"/>
            <w:right w:w="108" w:type="dxa"/>
          </w:tblCellMar>
        </w:tblPrEx>
        <w:trPr>
          <w:trHeight w:val="379" w:hRule="atLeast"/>
        </w:trPr>
        <w:tc>
          <w:tcPr>
            <w:tcW w:w="1000" w:type="dxa"/>
            <w:tcBorders>
              <w:top w:val="nil"/>
              <w:left w:val="single" w:color="auto" w:sz="4" w:space="0"/>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4"/>
                <w:szCs w:val="24"/>
              </w:rPr>
            </w:pPr>
            <w:r>
              <w:rPr>
                <w:rFonts w:hint="eastAsia" w:ascii="宋体" w:hAnsi="宋体" w:cs="宋体"/>
                <w:color w:val="auto"/>
                <w:sz w:val="24"/>
                <w:szCs w:val="24"/>
              </w:rPr>
              <w:t>1</w:t>
            </w:r>
          </w:p>
        </w:tc>
        <w:tc>
          <w:tcPr>
            <w:tcW w:w="322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镀锌风管</w:t>
            </w:r>
          </w:p>
        </w:tc>
        <w:tc>
          <w:tcPr>
            <w:tcW w:w="1660" w:type="dxa"/>
            <w:tcBorders>
              <w:top w:val="nil"/>
              <w:left w:val="nil"/>
              <w:bottom w:val="single" w:color="auto" w:sz="4" w:space="0"/>
              <w:right w:val="single" w:color="auto" w:sz="4" w:space="0"/>
            </w:tcBorders>
            <w:noWrap/>
            <w:vAlign w:val="center"/>
          </w:tcPr>
          <w:p>
            <w:pPr>
              <w:widowControl/>
              <w:autoSpaceDE/>
              <w:autoSpaceDN/>
              <w:adjustRightInd/>
              <w:jc w:val="center"/>
              <w:rPr>
                <w:color w:val="auto"/>
                <w:sz w:val="22"/>
                <w:szCs w:val="22"/>
              </w:rPr>
            </w:pPr>
            <w:r>
              <w:rPr>
                <w:color w:val="auto"/>
                <w:sz w:val="22"/>
                <w:szCs w:val="22"/>
              </w:rPr>
              <w:t>δ0.6mm</w:t>
            </w:r>
          </w:p>
        </w:tc>
        <w:tc>
          <w:tcPr>
            <w:tcW w:w="112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w:t>
            </w:r>
          </w:p>
        </w:tc>
        <w:tc>
          <w:tcPr>
            <w:tcW w:w="1080" w:type="dxa"/>
            <w:tcBorders>
              <w:top w:val="nil"/>
              <w:left w:val="nil"/>
              <w:bottom w:val="single" w:color="auto" w:sz="4" w:space="0"/>
              <w:right w:val="single" w:color="auto" w:sz="4" w:space="0"/>
            </w:tcBorders>
            <w:noWrap/>
            <w:vAlign w:val="center"/>
          </w:tcPr>
          <w:p>
            <w:pPr>
              <w:widowControl/>
              <w:autoSpaceDE/>
              <w:autoSpaceDN/>
              <w:adjustRightInd/>
              <w:jc w:val="center"/>
              <w:rPr>
                <w:color w:val="auto"/>
                <w:sz w:val="22"/>
                <w:szCs w:val="22"/>
              </w:rPr>
            </w:pPr>
          </w:p>
        </w:tc>
        <w:tc>
          <w:tcPr>
            <w:tcW w:w="1080" w:type="dxa"/>
            <w:tcBorders>
              <w:top w:val="nil"/>
              <w:left w:val="nil"/>
              <w:bottom w:val="single" w:color="auto" w:sz="4" w:space="0"/>
              <w:right w:val="single" w:color="auto" w:sz="4" w:space="0"/>
            </w:tcBorders>
            <w:noWrap/>
            <w:vAlign w:val="center"/>
          </w:tcPr>
          <w:p>
            <w:pPr>
              <w:widowControl/>
              <w:autoSpaceDE/>
              <w:autoSpaceDN/>
              <w:adjustRightInd/>
              <w:jc w:val="center"/>
              <w:rPr>
                <w:color w:val="auto"/>
                <w:sz w:val="22"/>
                <w:szCs w:val="22"/>
              </w:rPr>
            </w:pPr>
            <w:r>
              <w:rPr>
                <w:color w:val="auto"/>
                <w:sz w:val="22"/>
                <w:szCs w:val="22"/>
              </w:rPr>
              <w:t>　</w:t>
            </w:r>
          </w:p>
        </w:tc>
      </w:tr>
      <w:tr>
        <w:tblPrEx>
          <w:tblCellMar>
            <w:top w:w="0" w:type="dxa"/>
            <w:left w:w="108" w:type="dxa"/>
            <w:bottom w:w="0" w:type="dxa"/>
            <w:right w:w="108" w:type="dxa"/>
          </w:tblCellMar>
        </w:tblPrEx>
        <w:trPr>
          <w:trHeight w:val="379" w:hRule="atLeast"/>
        </w:trPr>
        <w:tc>
          <w:tcPr>
            <w:tcW w:w="1000" w:type="dxa"/>
            <w:tcBorders>
              <w:top w:val="nil"/>
              <w:left w:val="single" w:color="auto" w:sz="4" w:space="0"/>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4"/>
                <w:szCs w:val="24"/>
              </w:rPr>
            </w:pPr>
            <w:r>
              <w:rPr>
                <w:rFonts w:hint="eastAsia" w:ascii="宋体" w:hAnsi="宋体" w:cs="宋体"/>
                <w:color w:val="auto"/>
                <w:sz w:val="24"/>
                <w:szCs w:val="24"/>
              </w:rPr>
              <w:t>2</w:t>
            </w:r>
          </w:p>
        </w:tc>
        <w:tc>
          <w:tcPr>
            <w:tcW w:w="322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橡塑保温</w:t>
            </w:r>
          </w:p>
        </w:tc>
        <w:tc>
          <w:tcPr>
            <w:tcW w:w="1660" w:type="dxa"/>
            <w:tcBorders>
              <w:top w:val="nil"/>
              <w:left w:val="nil"/>
              <w:bottom w:val="single" w:color="auto" w:sz="4" w:space="0"/>
              <w:right w:val="single" w:color="auto" w:sz="4" w:space="0"/>
            </w:tcBorders>
            <w:noWrap/>
            <w:vAlign w:val="center"/>
          </w:tcPr>
          <w:p>
            <w:pPr>
              <w:widowControl/>
              <w:autoSpaceDE/>
              <w:autoSpaceDN/>
              <w:adjustRightInd/>
              <w:jc w:val="center"/>
              <w:rPr>
                <w:color w:val="auto"/>
                <w:sz w:val="22"/>
                <w:szCs w:val="22"/>
              </w:rPr>
            </w:pPr>
            <w:r>
              <w:rPr>
                <w:color w:val="auto"/>
                <w:sz w:val="22"/>
                <w:szCs w:val="22"/>
              </w:rPr>
              <w:t>20mm</w:t>
            </w:r>
          </w:p>
        </w:tc>
        <w:tc>
          <w:tcPr>
            <w:tcW w:w="112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m³</w:t>
            </w:r>
          </w:p>
        </w:tc>
        <w:tc>
          <w:tcPr>
            <w:tcW w:w="1080" w:type="dxa"/>
            <w:tcBorders>
              <w:top w:val="nil"/>
              <w:left w:val="nil"/>
              <w:bottom w:val="single" w:color="auto" w:sz="4" w:space="0"/>
              <w:right w:val="single" w:color="auto" w:sz="4" w:space="0"/>
            </w:tcBorders>
            <w:noWrap/>
            <w:vAlign w:val="center"/>
          </w:tcPr>
          <w:p>
            <w:pPr>
              <w:widowControl/>
              <w:autoSpaceDE/>
              <w:autoSpaceDN/>
              <w:adjustRightInd/>
              <w:jc w:val="center"/>
              <w:rPr>
                <w:color w:val="auto"/>
                <w:sz w:val="22"/>
                <w:szCs w:val="22"/>
              </w:rPr>
            </w:pPr>
          </w:p>
        </w:tc>
        <w:tc>
          <w:tcPr>
            <w:tcW w:w="1080" w:type="dxa"/>
            <w:tcBorders>
              <w:top w:val="nil"/>
              <w:left w:val="nil"/>
              <w:bottom w:val="single" w:color="auto" w:sz="4" w:space="0"/>
              <w:right w:val="single" w:color="auto" w:sz="4" w:space="0"/>
            </w:tcBorders>
            <w:noWrap/>
            <w:vAlign w:val="center"/>
          </w:tcPr>
          <w:p>
            <w:pPr>
              <w:widowControl/>
              <w:autoSpaceDE/>
              <w:autoSpaceDN/>
              <w:adjustRightInd/>
              <w:jc w:val="center"/>
              <w:rPr>
                <w:color w:val="auto"/>
                <w:sz w:val="22"/>
                <w:szCs w:val="22"/>
              </w:rPr>
            </w:pPr>
            <w:r>
              <w:rPr>
                <w:color w:val="auto"/>
                <w:sz w:val="22"/>
                <w:szCs w:val="22"/>
              </w:rPr>
              <w:t>　</w:t>
            </w:r>
          </w:p>
        </w:tc>
      </w:tr>
      <w:tr>
        <w:tblPrEx>
          <w:tblCellMar>
            <w:top w:w="0" w:type="dxa"/>
            <w:left w:w="108" w:type="dxa"/>
            <w:bottom w:w="0" w:type="dxa"/>
            <w:right w:w="108" w:type="dxa"/>
          </w:tblCellMar>
        </w:tblPrEx>
        <w:trPr>
          <w:trHeight w:val="379" w:hRule="atLeast"/>
        </w:trPr>
        <w:tc>
          <w:tcPr>
            <w:tcW w:w="1000" w:type="dxa"/>
            <w:tcBorders>
              <w:top w:val="nil"/>
              <w:left w:val="single" w:color="auto" w:sz="4" w:space="0"/>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4"/>
                <w:szCs w:val="24"/>
              </w:rPr>
            </w:pPr>
            <w:r>
              <w:rPr>
                <w:rFonts w:hint="eastAsia" w:ascii="宋体" w:hAnsi="宋体" w:cs="宋体"/>
                <w:color w:val="auto"/>
                <w:sz w:val="24"/>
                <w:szCs w:val="24"/>
              </w:rPr>
              <w:t>3</w:t>
            </w:r>
          </w:p>
        </w:tc>
        <w:tc>
          <w:tcPr>
            <w:tcW w:w="322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双层百叶</w:t>
            </w:r>
          </w:p>
        </w:tc>
        <w:tc>
          <w:tcPr>
            <w:tcW w:w="1660" w:type="dxa"/>
            <w:tcBorders>
              <w:top w:val="nil"/>
              <w:left w:val="nil"/>
              <w:bottom w:val="single" w:color="auto" w:sz="4" w:space="0"/>
              <w:right w:val="single" w:color="auto" w:sz="4" w:space="0"/>
            </w:tcBorders>
            <w:noWrap/>
            <w:vAlign w:val="center"/>
          </w:tcPr>
          <w:p>
            <w:pPr>
              <w:widowControl/>
              <w:autoSpaceDE/>
              <w:autoSpaceDN/>
              <w:adjustRightInd/>
              <w:jc w:val="center"/>
              <w:rPr>
                <w:color w:val="auto"/>
                <w:sz w:val="22"/>
                <w:szCs w:val="22"/>
              </w:rPr>
            </w:pPr>
            <w:r>
              <w:rPr>
                <w:color w:val="auto"/>
                <w:sz w:val="22"/>
                <w:szCs w:val="22"/>
              </w:rPr>
              <w:t>120*120</w:t>
            </w:r>
          </w:p>
        </w:tc>
        <w:tc>
          <w:tcPr>
            <w:tcW w:w="112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只</w:t>
            </w:r>
          </w:p>
        </w:tc>
        <w:tc>
          <w:tcPr>
            <w:tcW w:w="1080" w:type="dxa"/>
            <w:tcBorders>
              <w:top w:val="nil"/>
              <w:left w:val="nil"/>
              <w:bottom w:val="single" w:color="auto" w:sz="4" w:space="0"/>
              <w:right w:val="single" w:color="auto" w:sz="4" w:space="0"/>
            </w:tcBorders>
            <w:noWrap/>
            <w:vAlign w:val="center"/>
          </w:tcPr>
          <w:p>
            <w:pPr>
              <w:widowControl/>
              <w:autoSpaceDE/>
              <w:autoSpaceDN/>
              <w:adjustRightInd/>
              <w:jc w:val="center"/>
              <w:rPr>
                <w:color w:val="auto"/>
                <w:sz w:val="22"/>
                <w:szCs w:val="22"/>
              </w:rPr>
            </w:pPr>
          </w:p>
        </w:tc>
        <w:tc>
          <w:tcPr>
            <w:tcW w:w="1080" w:type="dxa"/>
            <w:tcBorders>
              <w:top w:val="nil"/>
              <w:left w:val="nil"/>
              <w:bottom w:val="single" w:color="auto" w:sz="4" w:space="0"/>
              <w:right w:val="single" w:color="auto" w:sz="4" w:space="0"/>
            </w:tcBorders>
            <w:noWrap/>
            <w:vAlign w:val="center"/>
          </w:tcPr>
          <w:p>
            <w:pPr>
              <w:widowControl/>
              <w:autoSpaceDE/>
              <w:autoSpaceDN/>
              <w:adjustRightInd/>
              <w:jc w:val="center"/>
              <w:rPr>
                <w:color w:val="auto"/>
                <w:sz w:val="22"/>
                <w:szCs w:val="22"/>
              </w:rPr>
            </w:pPr>
            <w:r>
              <w:rPr>
                <w:color w:val="auto"/>
                <w:sz w:val="22"/>
                <w:szCs w:val="22"/>
              </w:rPr>
              <w:t>　</w:t>
            </w:r>
          </w:p>
        </w:tc>
      </w:tr>
      <w:tr>
        <w:tblPrEx>
          <w:tblCellMar>
            <w:top w:w="0" w:type="dxa"/>
            <w:left w:w="108" w:type="dxa"/>
            <w:bottom w:w="0" w:type="dxa"/>
            <w:right w:w="108" w:type="dxa"/>
          </w:tblCellMar>
        </w:tblPrEx>
        <w:trPr>
          <w:trHeight w:val="379" w:hRule="atLeast"/>
        </w:trPr>
        <w:tc>
          <w:tcPr>
            <w:tcW w:w="1000" w:type="dxa"/>
            <w:tcBorders>
              <w:top w:val="nil"/>
              <w:left w:val="single" w:color="auto" w:sz="4" w:space="0"/>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4"/>
                <w:szCs w:val="24"/>
              </w:rPr>
            </w:pPr>
            <w:r>
              <w:rPr>
                <w:rFonts w:hint="eastAsia" w:ascii="宋体" w:hAnsi="宋体" w:cs="宋体"/>
                <w:color w:val="auto"/>
                <w:sz w:val="24"/>
                <w:szCs w:val="24"/>
              </w:rPr>
              <w:t>4</w:t>
            </w:r>
          </w:p>
        </w:tc>
        <w:tc>
          <w:tcPr>
            <w:tcW w:w="322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减振器</w:t>
            </w:r>
          </w:p>
        </w:tc>
        <w:tc>
          <w:tcPr>
            <w:tcW w:w="1660" w:type="dxa"/>
            <w:tcBorders>
              <w:top w:val="nil"/>
              <w:left w:val="nil"/>
              <w:bottom w:val="single" w:color="auto" w:sz="4" w:space="0"/>
              <w:right w:val="single" w:color="auto" w:sz="4" w:space="0"/>
            </w:tcBorders>
            <w:noWrap/>
            <w:vAlign w:val="center"/>
          </w:tcPr>
          <w:p>
            <w:pPr>
              <w:widowControl/>
              <w:autoSpaceDE/>
              <w:autoSpaceDN/>
              <w:adjustRightInd/>
              <w:jc w:val="center"/>
              <w:rPr>
                <w:color w:val="auto"/>
                <w:sz w:val="22"/>
                <w:szCs w:val="22"/>
              </w:rPr>
            </w:pPr>
            <w:r>
              <w:rPr>
                <w:color w:val="auto"/>
                <w:sz w:val="22"/>
                <w:szCs w:val="22"/>
              </w:rPr>
              <w:t>80kg</w:t>
            </w:r>
            <w:r>
              <w:rPr>
                <w:rFonts w:hint="eastAsia" w:ascii="宋体" w:hAnsi="宋体"/>
                <w:color w:val="auto"/>
                <w:sz w:val="22"/>
                <w:szCs w:val="22"/>
              </w:rPr>
              <w:t>级</w:t>
            </w:r>
          </w:p>
        </w:tc>
        <w:tc>
          <w:tcPr>
            <w:tcW w:w="112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只</w:t>
            </w:r>
          </w:p>
        </w:tc>
        <w:tc>
          <w:tcPr>
            <w:tcW w:w="1080" w:type="dxa"/>
            <w:tcBorders>
              <w:top w:val="nil"/>
              <w:left w:val="nil"/>
              <w:bottom w:val="single" w:color="auto" w:sz="4" w:space="0"/>
              <w:right w:val="single" w:color="auto" w:sz="4" w:space="0"/>
            </w:tcBorders>
            <w:noWrap/>
            <w:vAlign w:val="center"/>
          </w:tcPr>
          <w:p>
            <w:pPr>
              <w:widowControl/>
              <w:autoSpaceDE/>
              <w:autoSpaceDN/>
              <w:adjustRightInd/>
              <w:jc w:val="center"/>
              <w:rPr>
                <w:color w:val="auto"/>
                <w:sz w:val="22"/>
                <w:szCs w:val="22"/>
              </w:rPr>
            </w:pPr>
          </w:p>
        </w:tc>
        <w:tc>
          <w:tcPr>
            <w:tcW w:w="1080" w:type="dxa"/>
            <w:tcBorders>
              <w:top w:val="nil"/>
              <w:left w:val="nil"/>
              <w:bottom w:val="single" w:color="auto" w:sz="4" w:space="0"/>
              <w:right w:val="single" w:color="auto" w:sz="4" w:space="0"/>
            </w:tcBorders>
            <w:noWrap/>
            <w:vAlign w:val="center"/>
          </w:tcPr>
          <w:p>
            <w:pPr>
              <w:widowControl/>
              <w:autoSpaceDE/>
              <w:autoSpaceDN/>
              <w:adjustRightInd/>
              <w:jc w:val="center"/>
              <w:rPr>
                <w:color w:val="auto"/>
                <w:sz w:val="22"/>
                <w:szCs w:val="22"/>
              </w:rPr>
            </w:pPr>
            <w:r>
              <w:rPr>
                <w:color w:val="auto"/>
                <w:sz w:val="22"/>
                <w:szCs w:val="22"/>
              </w:rPr>
              <w:t>　</w:t>
            </w:r>
          </w:p>
        </w:tc>
      </w:tr>
      <w:tr>
        <w:tblPrEx>
          <w:tblCellMar>
            <w:top w:w="0" w:type="dxa"/>
            <w:left w:w="108" w:type="dxa"/>
            <w:bottom w:w="0" w:type="dxa"/>
            <w:right w:w="108" w:type="dxa"/>
          </w:tblCellMar>
        </w:tblPrEx>
        <w:trPr>
          <w:trHeight w:val="379" w:hRule="atLeast"/>
        </w:trPr>
        <w:tc>
          <w:tcPr>
            <w:tcW w:w="1000" w:type="dxa"/>
            <w:tcBorders>
              <w:top w:val="nil"/>
              <w:left w:val="single" w:color="auto" w:sz="4" w:space="0"/>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4"/>
                <w:szCs w:val="24"/>
              </w:rPr>
            </w:pPr>
            <w:r>
              <w:rPr>
                <w:rFonts w:hint="eastAsia" w:ascii="宋体" w:hAnsi="宋体" w:cs="宋体"/>
                <w:color w:val="auto"/>
                <w:sz w:val="24"/>
                <w:szCs w:val="24"/>
              </w:rPr>
              <w:t>5</w:t>
            </w:r>
          </w:p>
        </w:tc>
        <w:tc>
          <w:tcPr>
            <w:tcW w:w="322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防雨百叶</w:t>
            </w:r>
          </w:p>
        </w:tc>
        <w:tc>
          <w:tcPr>
            <w:tcW w:w="1660" w:type="dxa"/>
            <w:tcBorders>
              <w:top w:val="nil"/>
              <w:left w:val="nil"/>
              <w:bottom w:val="single" w:color="auto" w:sz="4" w:space="0"/>
              <w:right w:val="single" w:color="auto" w:sz="4" w:space="0"/>
            </w:tcBorders>
            <w:noWrap/>
            <w:vAlign w:val="center"/>
          </w:tcPr>
          <w:p>
            <w:pPr>
              <w:widowControl/>
              <w:autoSpaceDE/>
              <w:autoSpaceDN/>
              <w:adjustRightInd/>
              <w:jc w:val="center"/>
              <w:rPr>
                <w:color w:val="auto"/>
                <w:sz w:val="22"/>
                <w:szCs w:val="22"/>
              </w:rPr>
            </w:pPr>
            <w:r>
              <w:rPr>
                <w:color w:val="auto"/>
                <w:sz w:val="22"/>
                <w:szCs w:val="22"/>
              </w:rPr>
              <w:t>250*200</w:t>
            </w:r>
          </w:p>
        </w:tc>
        <w:tc>
          <w:tcPr>
            <w:tcW w:w="112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只</w:t>
            </w:r>
          </w:p>
        </w:tc>
        <w:tc>
          <w:tcPr>
            <w:tcW w:w="1080" w:type="dxa"/>
            <w:tcBorders>
              <w:top w:val="nil"/>
              <w:left w:val="nil"/>
              <w:bottom w:val="single" w:color="auto" w:sz="4" w:space="0"/>
              <w:right w:val="single" w:color="auto" w:sz="4" w:space="0"/>
            </w:tcBorders>
            <w:noWrap/>
            <w:vAlign w:val="center"/>
          </w:tcPr>
          <w:p>
            <w:pPr>
              <w:widowControl/>
              <w:autoSpaceDE/>
              <w:autoSpaceDN/>
              <w:adjustRightInd/>
              <w:jc w:val="center"/>
              <w:rPr>
                <w:color w:val="auto"/>
                <w:sz w:val="22"/>
                <w:szCs w:val="22"/>
              </w:rPr>
            </w:pPr>
          </w:p>
        </w:tc>
        <w:tc>
          <w:tcPr>
            <w:tcW w:w="1080" w:type="dxa"/>
            <w:tcBorders>
              <w:top w:val="nil"/>
              <w:left w:val="nil"/>
              <w:bottom w:val="single" w:color="auto" w:sz="4" w:space="0"/>
              <w:right w:val="single" w:color="auto" w:sz="4" w:space="0"/>
            </w:tcBorders>
            <w:noWrap/>
            <w:vAlign w:val="center"/>
          </w:tcPr>
          <w:p>
            <w:pPr>
              <w:widowControl/>
              <w:autoSpaceDE/>
              <w:autoSpaceDN/>
              <w:adjustRightInd/>
              <w:jc w:val="center"/>
              <w:rPr>
                <w:color w:val="auto"/>
                <w:sz w:val="22"/>
                <w:szCs w:val="22"/>
              </w:rPr>
            </w:pPr>
            <w:r>
              <w:rPr>
                <w:color w:val="auto"/>
                <w:sz w:val="22"/>
                <w:szCs w:val="22"/>
              </w:rPr>
              <w:t>　</w:t>
            </w:r>
          </w:p>
        </w:tc>
      </w:tr>
      <w:tr>
        <w:tblPrEx>
          <w:tblCellMar>
            <w:top w:w="0" w:type="dxa"/>
            <w:left w:w="108" w:type="dxa"/>
            <w:bottom w:w="0" w:type="dxa"/>
            <w:right w:w="108" w:type="dxa"/>
          </w:tblCellMar>
        </w:tblPrEx>
        <w:trPr>
          <w:trHeight w:val="379" w:hRule="atLeast"/>
        </w:trPr>
        <w:tc>
          <w:tcPr>
            <w:tcW w:w="1000" w:type="dxa"/>
            <w:tcBorders>
              <w:top w:val="nil"/>
              <w:left w:val="single" w:color="auto" w:sz="4" w:space="0"/>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4"/>
                <w:szCs w:val="24"/>
              </w:rPr>
            </w:pPr>
            <w:r>
              <w:rPr>
                <w:rFonts w:hint="eastAsia" w:ascii="宋体" w:hAnsi="宋体" w:cs="宋体"/>
                <w:color w:val="auto"/>
                <w:sz w:val="24"/>
                <w:szCs w:val="24"/>
              </w:rPr>
              <w:t>6</w:t>
            </w:r>
          </w:p>
        </w:tc>
        <w:tc>
          <w:tcPr>
            <w:tcW w:w="322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止回阀</w:t>
            </w:r>
          </w:p>
        </w:tc>
        <w:tc>
          <w:tcPr>
            <w:tcW w:w="1660" w:type="dxa"/>
            <w:tcBorders>
              <w:top w:val="nil"/>
              <w:left w:val="nil"/>
              <w:bottom w:val="single" w:color="auto" w:sz="4" w:space="0"/>
              <w:right w:val="single" w:color="auto" w:sz="4" w:space="0"/>
            </w:tcBorders>
            <w:noWrap/>
            <w:vAlign w:val="center"/>
          </w:tcPr>
          <w:p>
            <w:pPr>
              <w:widowControl/>
              <w:autoSpaceDE/>
              <w:autoSpaceDN/>
              <w:adjustRightInd/>
              <w:jc w:val="center"/>
              <w:rPr>
                <w:color w:val="auto"/>
                <w:sz w:val="22"/>
                <w:szCs w:val="22"/>
              </w:rPr>
            </w:pPr>
            <w:r>
              <w:rPr>
                <w:color w:val="auto"/>
                <w:sz w:val="22"/>
                <w:szCs w:val="22"/>
              </w:rPr>
              <w:t>250*250</w:t>
            </w:r>
          </w:p>
        </w:tc>
        <w:tc>
          <w:tcPr>
            <w:tcW w:w="112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只</w:t>
            </w:r>
          </w:p>
        </w:tc>
        <w:tc>
          <w:tcPr>
            <w:tcW w:w="1080" w:type="dxa"/>
            <w:tcBorders>
              <w:top w:val="nil"/>
              <w:left w:val="nil"/>
              <w:bottom w:val="single" w:color="auto" w:sz="4" w:space="0"/>
              <w:right w:val="single" w:color="auto" w:sz="4" w:space="0"/>
            </w:tcBorders>
            <w:noWrap/>
            <w:vAlign w:val="center"/>
          </w:tcPr>
          <w:p>
            <w:pPr>
              <w:widowControl/>
              <w:autoSpaceDE/>
              <w:autoSpaceDN/>
              <w:adjustRightInd/>
              <w:jc w:val="center"/>
              <w:rPr>
                <w:color w:val="auto"/>
                <w:sz w:val="22"/>
                <w:szCs w:val="22"/>
              </w:rPr>
            </w:pPr>
          </w:p>
        </w:tc>
        <w:tc>
          <w:tcPr>
            <w:tcW w:w="1080" w:type="dxa"/>
            <w:tcBorders>
              <w:top w:val="nil"/>
              <w:left w:val="nil"/>
              <w:bottom w:val="single" w:color="auto" w:sz="4" w:space="0"/>
              <w:right w:val="single" w:color="auto" w:sz="4" w:space="0"/>
            </w:tcBorders>
            <w:noWrap/>
            <w:vAlign w:val="center"/>
          </w:tcPr>
          <w:p>
            <w:pPr>
              <w:widowControl/>
              <w:autoSpaceDE/>
              <w:autoSpaceDN/>
              <w:adjustRightInd/>
              <w:jc w:val="center"/>
              <w:rPr>
                <w:color w:val="auto"/>
                <w:sz w:val="22"/>
                <w:szCs w:val="22"/>
              </w:rPr>
            </w:pPr>
            <w:r>
              <w:rPr>
                <w:color w:val="auto"/>
                <w:sz w:val="22"/>
                <w:szCs w:val="22"/>
              </w:rPr>
              <w:t>　</w:t>
            </w:r>
          </w:p>
        </w:tc>
      </w:tr>
      <w:tr>
        <w:tblPrEx>
          <w:tblCellMar>
            <w:top w:w="0" w:type="dxa"/>
            <w:left w:w="108" w:type="dxa"/>
            <w:bottom w:w="0" w:type="dxa"/>
            <w:right w:w="108" w:type="dxa"/>
          </w:tblCellMar>
        </w:tblPrEx>
        <w:trPr>
          <w:trHeight w:val="379" w:hRule="atLeast"/>
        </w:trPr>
        <w:tc>
          <w:tcPr>
            <w:tcW w:w="1000" w:type="dxa"/>
            <w:tcBorders>
              <w:top w:val="nil"/>
              <w:left w:val="single" w:color="auto" w:sz="4" w:space="0"/>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4"/>
                <w:szCs w:val="24"/>
              </w:rPr>
            </w:pPr>
            <w:r>
              <w:rPr>
                <w:rFonts w:hint="eastAsia" w:ascii="宋体" w:hAnsi="宋体" w:cs="宋体"/>
                <w:color w:val="auto"/>
                <w:sz w:val="24"/>
                <w:szCs w:val="24"/>
              </w:rPr>
              <w:t>7</w:t>
            </w:r>
          </w:p>
        </w:tc>
        <w:tc>
          <w:tcPr>
            <w:tcW w:w="3220" w:type="dxa"/>
            <w:tcBorders>
              <w:top w:val="nil"/>
              <w:left w:val="nil"/>
              <w:bottom w:val="single" w:color="auto" w:sz="4" w:space="0"/>
              <w:right w:val="single" w:color="auto" w:sz="4" w:space="0"/>
            </w:tcBorders>
            <w:noWrap/>
            <w:vAlign w:val="center"/>
          </w:tcPr>
          <w:p>
            <w:pPr>
              <w:widowControl/>
              <w:autoSpaceDE/>
              <w:autoSpaceDN/>
              <w:adjustRightInd/>
              <w:jc w:val="center"/>
              <w:rPr>
                <w:color w:val="auto"/>
                <w:sz w:val="22"/>
                <w:szCs w:val="22"/>
              </w:rPr>
            </w:pPr>
            <w:r>
              <w:rPr>
                <w:color w:val="auto"/>
                <w:sz w:val="22"/>
                <w:szCs w:val="22"/>
              </w:rPr>
              <w:t>70</w:t>
            </w:r>
            <w:r>
              <w:rPr>
                <w:rFonts w:hint="eastAsia" w:ascii="宋体" w:hAnsi="宋体"/>
                <w:color w:val="auto"/>
                <w:sz w:val="22"/>
                <w:szCs w:val="22"/>
              </w:rPr>
              <w:t>度防火阀</w:t>
            </w:r>
          </w:p>
        </w:tc>
        <w:tc>
          <w:tcPr>
            <w:tcW w:w="1660" w:type="dxa"/>
            <w:tcBorders>
              <w:top w:val="nil"/>
              <w:left w:val="nil"/>
              <w:bottom w:val="single" w:color="auto" w:sz="4" w:space="0"/>
              <w:right w:val="single" w:color="auto" w:sz="4" w:space="0"/>
            </w:tcBorders>
            <w:noWrap/>
            <w:vAlign w:val="center"/>
          </w:tcPr>
          <w:p>
            <w:pPr>
              <w:widowControl/>
              <w:autoSpaceDE/>
              <w:autoSpaceDN/>
              <w:adjustRightInd/>
              <w:jc w:val="center"/>
              <w:rPr>
                <w:color w:val="auto"/>
                <w:sz w:val="22"/>
                <w:szCs w:val="22"/>
              </w:rPr>
            </w:pPr>
            <w:r>
              <w:rPr>
                <w:color w:val="auto"/>
                <w:sz w:val="22"/>
                <w:szCs w:val="22"/>
              </w:rPr>
              <w:t>750*500</w:t>
            </w:r>
          </w:p>
        </w:tc>
        <w:tc>
          <w:tcPr>
            <w:tcW w:w="112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只</w:t>
            </w:r>
          </w:p>
        </w:tc>
        <w:tc>
          <w:tcPr>
            <w:tcW w:w="1080" w:type="dxa"/>
            <w:tcBorders>
              <w:top w:val="nil"/>
              <w:left w:val="nil"/>
              <w:bottom w:val="single" w:color="auto" w:sz="4" w:space="0"/>
              <w:right w:val="single" w:color="auto" w:sz="4" w:space="0"/>
            </w:tcBorders>
            <w:noWrap/>
            <w:vAlign w:val="center"/>
          </w:tcPr>
          <w:p>
            <w:pPr>
              <w:widowControl/>
              <w:autoSpaceDE/>
              <w:autoSpaceDN/>
              <w:adjustRightInd/>
              <w:jc w:val="center"/>
              <w:rPr>
                <w:color w:val="auto"/>
                <w:sz w:val="22"/>
                <w:szCs w:val="22"/>
              </w:rPr>
            </w:pPr>
          </w:p>
        </w:tc>
        <w:tc>
          <w:tcPr>
            <w:tcW w:w="1080" w:type="dxa"/>
            <w:tcBorders>
              <w:top w:val="nil"/>
              <w:left w:val="nil"/>
              <w:bottom w:val="single" w:color="auto" w:sz="4" w:space="0"/>
              <w:right w:val="single" w:color="auto" w:sz="4" w:space="0"/>
            </w:tcBorders>
            <w:noWrap/>
            <w:vAlign w:val="center"/>
          </w:tcPr>
          <w:p>
            <w:pPr>
              <w:widowControl/>
              <w:autoSpaceDE/>
              <w:autoSpaceDN/>
              <w:adjustRightInd/>
              <w:jc w:val="center"/>
              <w:rPr>
                <w:color w:val="auto"/>
                <w:sz w:val="22"/>
                <w:szCs w:val="22"/>
              </w:rPr>
            </w:pPr>
            <w:r>
              <w:rPr>
                <w:color w:val="auto"/>
                <w:sz w:val="22"/>
                <w:szCs w:val="22"/>
              </w:rPr>
              <w:t>　</w:t>
            </w:r>
          </w:p>
        </w:tc>
      </w:tr>
      <w:tr>
        <w:tblPrEx>
          <w:tblCellMar>
            <w:top w:w="0" w:type="dxa"/>
            <w:left w:w="108" w:type="dxa"/>
            <w:bottom w:w="0" w:type="dxa"/>
            <w:right w:w="108" w:type="dxa"/>
          </w:tblCellMar>
        </w:tblPrEx>
        <w:trPr>
          <w:trHeight w:val="379" w:hRule="atLeast"/>
        </w:trPr>
        <w:tc>
          <w:tcPr>
            <w:tcW w:w="1000" w:type="dxa"/>
            <w:tcBorders>
              <w:top w:val="nil"/>
              <w:left w:val="single" w:color="auto" w:sz="4" w:space="0"/>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4"/>
                <w:szCs w:val="24"/>
              </w:rPr>
            </w:pPr>
            <w:r>
              <w:rPr>
                <w:rFonts w:hint="eastAsia" w:ascii="宋体" w:hAnsi="宋体" w:cs="宋体"/>
                <w:color w:val="auto"/>
                <w:sz w:val="24"/>
                <w:szCs w:val="24"/>
              </w:rPr>
              <w:t>8</w:t>
            </w:r>
          </w:p>
        </w:tc>
        <w:tc>
          <w:tcPr>
            <w:tcW w:w="322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分歧管</w:t>
            </w:r>
          </w:p>
        </w:tc>
        <w:tc>
          <w:tcPr>
            <w:tcW w:w="166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专用</w:t>
            </w:r>
          </w:p>
        </w:tc>
        <w:tc>
          <w:tcPr>
            <w:tcW w:w="112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副</w:t>
            </w:r>
          </w:p>
        </w:tc>
        <w:tc>
          <w:tcPr>
            <w:tcW w:w="108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p>
        </w:tc>
        <w:tc>
          <w:tcPr>
            <w:tcW w:w="108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　</w:t>
            </w:r>
          </w:p>
        </w:tc>
      </w:tr>
      <w:tr>
        <w:tblPrEx>
          <w:tblCellMar>
            <w:top w:w="0" w:type="dxa"/>
            <w:left w:w="108" w:type="dxa"/>
            <w:bottom w:w="0" w:type="dxa"/>
            <w:right w:w="108" w:type="dxa"/>
          </w:tblCellMar>
        </w:tblPrEx>
        <w:trPr>
          <w:trHeight w:val="379" w:hRule="atLeast"/>
        </w:trPr>
        <w:tc>
          <w:tcPr>
            <w:tcW w:w="1000" w:type="dxa"/>
            <w:tcBorders>
              <w:top w:val="nil"/>
              <w:left w:val="single" w:color="auto" w:sz="4" w:space="0"/>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4"/>
                <w:szCs w:val="24"/>
              </w:rPr>
            </w:pPr>
            <w:r>
              <w:rPr>
                <w:rFonts w:hint="eastAsia" w:ascii="宋体" w:hAnsi="宋体" w:cs="宋体"/>
                <w:color w:val="auto"/>
                <w:sz w:val="24"/>
                <w:szCs w:val="24"/>
              </w:rPr>
              <w:t>9</w:t>
            </w:r>
          </w:p>
        </w:tc>
        <w:tc>
          <w:tcPr>
            <w:tcW w:w="322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铜管及橡塑保温</w:t>
            </w:r>
          </w:p>
        </w:tc>
        <w:tc>
          <w:tcPr>
            <w:tcW w:w="166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Φ6.35</w:t>
            </w:r>
          </w:p>
        </w:tc>
        <w:tc>
          <w:tcPr>
            <w:tcW w:w="112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m</w:t>
            </w:r>
          </w:p>
        </w:tc>
        <w:tc>
          <w:tcPr>
            <w:tcW w:w="108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p>
        </w:tc>
        <w:tc>
          <w:tcPr>
            <w:tcW w:w="108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　</w:t>
            </w:r>
          </w:p>
        </w:tc>
      </w:tr>
      <w:tr>
        <w:tblPrEx>
          <w:tblCellMar>
            <w:top w:w="0" w:type="dxa"/>
            <w:left w:w="108" w:type="dxa"/>
            <w:bottom w:w="0" w:type="dxa"/>
            <w:right w:w="108" w:type="dxa"/>
          </w:tblCellMar>
        </w:tblPrEx>
        <w:trPr>
          <w:trHeight w:val="379" w:hRule="atLeast"/>
        </w:trPr>
        <w:tc>
          <w:tcPr>
            <w:tcW w:w="1000" w:type="dxa"/>
            <w:tcBorders>
              <w:top w:val="nil"/>
              <w:left w:val="single" w:color="auto" w:sz="4" w:space="0"/>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4"/>
                <w:szCs w:val="24"/>
              </w:rPr>
            </w:pPr>
            <w:r>
              <w:rPr>
                <w:rFonts w:hint="eastAsia" w:ascii="宋体" w:hAnsi="宋体" w:cs="宋体"/>
                <w:color w:val="auto"/>
                <w:sz w:val="24"/>
                <w:szCs w:val="24"/>
              </w:rPr>
              <w:t>10</w:t>
            </w:r>
          </w:p>
        </w:tc>
        <w:tc>
          <w:tcPr>
            <w:tcW w:w="322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铜管及橡塑保温</w:t>
            </w:r>
          </w:p>
        </w:tc>
        <w:tc>
          <w:tcPr>
            <w:tcW w:w="166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Φ9.52</w:t>
            </w:r>
          </w:p>
        </w:tc>
        <w:tc>
          <w:tcPr>
            <w:tcW w:w="112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m</w:t>
            </w:r>
          </w:p>
        </w:tc>
        <w:tc>
          <w:tcPr>
            <w:tcW w:w="108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p>
        </w:tc>
        <w:tc>
          <w:tcPr>
            <w:tcW w:w="108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　</w:t>
            </w:r>
          </w:p>
        </w:tc>
      </w:tr>
      <w:tr>
        <w:tblPrEx>
          <w:tblCellMar>
            <w:top w:w="0" w:type="dxa"/>
            <w:left w:w="108" w:type="dxa"/>
            <w:bottom w:w="0" w:type="dxa"/>
            <w:right w:w="108" w:type="dxa"/>
          </w:tblCellMar>
        </w:tblPrEx>
        <w:trPr>
          <w:trHeight w:val="379" w:hRule="atLeast"/>
        </w:trPr>
        <w:tc>
          <w:tcPr>
            <w:tcW w:w="1000" w:type="dxa"/>
            <w:tcBorders>
              <w:top w:val="nil"/>
              <w:left w:val="single" w:color="auto" w:sz="4" w:space="0"/>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4"/>
                <w:szCs w:val="24"/>
              </w:rPr>
            </w:pPr>
            <w:r>
              <w:rPr>
                <w:rFonts w:hint="eastAsia" w:ascii="宋体" w:hAnsi="宋体" w:cs="宋体"/>
                <w:color w:val="auto"/>
                <w:sz w:val="24"/>
                <w:szCs w:val="24"/>
              </w:rPr>
              <w:t>11</w:t>
            </w:r>
          </w:p>
        </w:tc>
        <w:tc>
          <w:tcPr>
            <w:tcW w:w="322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铜管及橡塑保温</w:t>
            </w:r>
          </w:p>
        </w:tc>
        <w:tc>
          <w:tcPr>
            <w:tcW w:w="166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Φ12.70</w:t>
            </w:r>
          </w:p>
        </w:tc>
        <w:tc>
          <w:tcPr>
            <w:tcW w:w="112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m</w:t>
            </w:r>
          </w:p>
        </w:tc>
        <w:tc>
          <w:tcPr>
            <w:tcW w:w="108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p>
        </w:tc>
        <w:tc>
          <w:tcPr>
            <w:tcW w:w="108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　</w:t>
            </w:r>
          </w:p>
        </w:tc>
      </w:tr>
      <w:tr>
        <w:tblPrEx>
          <w:tblCellMar>
            <w:top w:w="0" w:type="dxa"/>
            <w:left w:w="108" w:type="dxa"/>
            <w:bottom w:w="0" w:type="dxa"/>
            <w:right w:w="108" w:type="dxa"/>
          </w:tblCellMar>
        </w:tblPrEx>
        <w:trPr>
          <w:trHeight w:val="379" w:hRule="atLeast"/>
        </w:trPr>
        <w:tc>
          <w:tcPr>
            <w:tcW w:w="1000" w:type="dxa"/>
            <w:tcBorders>
              <w:top w:val="nil"/>
              <w:left w:val="single" w:color="auto" w:sz="4" w:space="0"/>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4"/>
                <w:szCs w:val="24"/>
              </w:rPr>
            </w:pPr>
            <w:r>
              <w:rPr>
                <w:rFonts w:hint="eastAsia" w:ascii="宋体" w:hAnsi="宋体" w:cs="宋体"/>
                <w:color w:val="auto"/>
                <w:sz w:val="24"/>
                <w:szCs w:val="24"/>
              </w:rPr>
              <w:t>12</w:t>
            </w:r>
          </w:p>
        </w:tc>
        <w:tc>
          <w:tcPr>
            <w:tcW w:w="322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铜管及橡塑保温</w:t>
            </w:r>
          </w:p>
        </w:tc>
        <w:tc>
          <w:tcPr>
            <w:tcW w:w="166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Φ15.88</w:t>
            </w:r>
          </w:p>
        </w:tc>
        <w:tc>
          <w:tcPr>
            <w:tcW w:w="112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m</w:t>
            </w:r>
          </w:p>
        </w:tc>
        <w:tc>
          <w:tcPr>
            <w:tcW w:w="108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p>
        </w:tc>
        <w:tc>
          <w:tcPr>
            <w:tcW w:w="108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　</w:t>
            </w:r>
          </w:p>
        </w:tc>
      </w:tr>
      <w:tr>
        <w:tblPrEx>
          <w:tblCellMar>
            <w:top w:w="0" w:type="dxa"/>
            <w:left w:w="108" w:type="dxa"/>
            <w:bottom w:w="0" w:type="dxa"/>
            <w:right w:w="108" w:type="dxa"/>
          </w:tblCellMar>
        </w:tblPrEx>
        <w:trPr>
          <w:trHeight w:val="379" w:hRule="atLeast"/>
        </w:trPr>
        <w:tc>
          <w:tcPr>
            <w:tcW w:w="1000" w:type="dxa"/>
            <w:tcBorders>
              <w:top w:val="nil"/>
              <w:left w:val="single" w:color="auto" w:sz="4" w:space="0"/>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4"/>
                <w:szCs w:val="24"/>
              </w:rPr>
            </w:pPr>
            <w:r>
              <w:rPr>
                <w:rFonts w:hint="eastAsia" w:ascii="宋体" w:hAnsi="宋体" w:cs="宋体"/>
                <w:color w:val="auto"/>
                <w:sz w:val="24"/>
                <w:szCs w:val="24"/>
              </w:rPr>
              <w:t>13</w:t>
            </w:r>
          </w:p>
        </w:tc>
        <w:tc>
          <w:tcPr>
            <w:tcW w:w="322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铜管及橡塑保温</w:t>
            </w:r>
          </w:p>
        </w:tc>
        <w:tc>
          <w:tcPr>
            <w:tcW w:w="166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Φ19.05</w:t>
            </w:r>
          </w:p>
        </w:tc>
        <w:tc>
          <w:tcPr>
            <w:tcW w:w="112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m</w:t>
            </w:r>
          </w:p>
        </w:tc>
        <w:tc>
          <w:tcPr>
            <w:tcW w:w="108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p>
        </w:tc>
        <w:tc>
          <w:tcPr>
            <w:tcW w:w="108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　</w:t>
            </w:r>
          </w:p>
        </w:tc>
      </w:tr>
      <w:tr>
        <w:tblPrEx>
          <w:tblCellMar>
            <w:top w:w="0" w:type="dxa"/>
            <w:left w:w="108" w:type="dxa"/>
            <w:bottom w:w="0" w:type="dxa"/>
            <w:right w:w="108" w:type="dxa"/>
          </w:tblCellMar>
        </w:tblPrEx>
        <w:trPr>
          <w:trHeight w:val="379" w:hRule="atLeast"/>
        </w:trPr>
        <w:tc>
          <w:tcPr>
            <w:tcW w:w="1000" w:type="dxa"/>
            <w:tcBorders>
              <w:top w:val="nil"/>
              <w:left w:val="single" w:color="auto" w:sz="4" w:space="0"/>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4"/>
                <w:szCs w:val="24"/>
              </w:rPr>
            </w:pPr>
            <w:r>
              <w:rPr>
                <w:rFonts w:hint="eastAsia" w:ascii="宋体" w:hAnsi="宋体" w:cs="宋体"/>
                <w:color w:val="auto"/>
                <w:sz w:val="24"/>
                <w:szCs w:val="24"/>
              </w:rPr>
              <w:t>14</w:t>
            </w:r>
          </w:p>
        </w:tc>
        <w:tc>
          <w:tcPr>
            <w:tcW w:w="322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铜管及橡塑保温</w:t>
            </w:r>
          </w:p>
        </w:tc>
        <w:tc>
          <w:tcPr>
            <w:tcW w:w="166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Φ22.22</w:t>
            </w:r>
          </w:p>
        </w:tc>
        <w:tc>
          <w:tcPr>
            <w:tcW w:w="112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m</w:t>
            </w:r>
          </w:p>
        </w:tc>
        <w:tc>
          <w:tcPr>
            <w:tcW w:w="108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p>
        </w:tc>
        <w:tc>
          <w:tcPr>
            <w:tcW w:w="108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　</w:t>
            </w:r>
          </w:p>
        </w:tc>
      </w:tr>
      <w:tr>
        <w:tblPrEx>
          <w:tblCellMar>
            <w:top w:w="0" w:type="dxa"/>
            <w:left w:w="108" w:type="dxa"/>
            <w:bottom w:w="0" w:type="dxa"/>
            <w:right w:w="108" w:type="dxa"/>
          </w:tblCellMar>
        </w:tblPrEx>
        <w:trPr>
          <w:trHeight w:val="379" w:hRule="atLeast"/>
        </w:trPr>
        <w:tc>
          <w:tcPr>
            <w:tcW w:w="1000" w:type="dxa"/>
            <w:tcBorders>
              <w:top w:val="nil"/>
              <w:left w:val="single" w:color="auto" w:sz="4" w:space="0"/>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4"/>
                <w:szCs w:val="24"/>
              </w:rPr>
            </w:pPr>
            <w:r>
              <w:rPr>
                <w:rFonts w:hint="eastAsia" w:ascii="宋体" w:hAnsi="宋体" w:cs="宋体"/>
                <w:color w:val="auto"/>
                <w:sz w:val="24"/>
                <w:szCs w:val="24"/>
              </w:rPr>
              <w:t>15</w:t>
            </w:r>
          </w:p>
        </w:tc>
        <w:tc>
          <w:tcPr>
            <w:tcW w:w="322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铜管及橡塑保温</w:t>
            </w:r>
          </w:p>
        </w:tc>
        <w:tc>
          <w:tcPr>
            <w:tcW w:w="166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Φ25.40</w:t>
            </w:r>
          </w:p>
        </w:tc>
        <w:tc>
          <w:tcPr>
            <w:tcW w:w="112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m</w:t>
            </w:r>
          </w:p>
        </w:tc>
        <w:tc>
          <w:tcPr>
            <w:tcW w:w="108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p>
        </w:tc>
        <w:tc>
          <w:tcPr>
            <w:tcW w:w="108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　</w:t>
            </w:r>
          </w:p>
        </w:tc>
      </w:tr>
      <w:tr>
        <w:tblPrEx>
          <w:tblCellMar>
            <w:top w:w="0" w:type="dxa"/>
            <w:left w:w="108" w:type="dxa"/>
            <w:bottom w:w="0" w:type="dxa"/>
            <w:right w:w="108" w:type="dxa"/>
          </w:tblCellMar>
        </w:tblPrEx>
        <w:trPr>
          <w:trHeight w:val="379" w:hRule="atLeast"/>
        </w:trPr>
        <w:tc>
          <w:tcPr>
            <w:tcW w:w="1000" w:type="dxa"/>
            <w:tcBorders>
              <w:top w:val="nil"/>
              <w:left w:val="single" w:color="auto" w:sz="4" w:space="0"/>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4"/>
                <w:szCs w:val="24"/>
              </w:rPr>
            </w:pPr>
            <w:r>
              <w:rPr>
                <w:rFonts w:hint="eastAsia" w:ascii="宋体" w:hAnsi="宋体" w:cs="宋体"/>
                <w:color w:val="auto"/>
                <w:sz w:val="24"/>
                <w:szCs w:val="24"/>
              </w:rPr>
              <w:t>16</w:t>
            </w:r>
          </w:p>
        </w:tc>
        <w:tc>
          <w:tcPr>
            <w:tcW w:w="322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铜管及橡塑保温</w:t>
            </w:r>
          </w:p>
        </w:tc>
        <w:tc>
          <w:tcPr>
            <w:tcW w:w="166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Φ28.58</w:t>
            </w:r>
          </w:p>
        </w:tc>
        <w:tc>
          <w:tcPr>
            <w:tcW w:w="112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m</w:t>
            </w:r>
          </w:p>
        </w:tc>
        <w:tc>
          <w:tcPr>
            <w:tcW w:w="108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p>
        </w:tc>
        <w:tc>
          <w:tcPr>
            <w:tcW w:w="108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　</w:t>
            </w:r>
          </w:p>
        </w:tc>
      </w:tr>
      <w:tr>
        <w:tblPrEx>
          <w:tblCellMar>
            <w:top w:w="0" w:type="dxa"/>
            <w:left w:w="108" w:type="dxa"/>
            <w:bottom w:w="0" w:type="dxa"/>
            <w:right w:w="108" w:type="dxa"/>
          </w:tblCellMar>
        </w:tblPrEx>
        <w:trPr>
          <w:trHeight w:val="379" w:hRule="atLeast"/>
        </w:trPr>
        <w:tc>
          <w:tcPr>
            <w:tcW w:w="1000" w:type="dxa"/>
            <w:tcBorders>
              <w:top w:val="nil"/>
              <w:left w:val="single" w:color="auto" w:sz="4" w:space="0"/>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4"/>
                <w:szCs w:val="24"/>
              </w:rPr>
            </w:pPr>
            <w:r>
              <w:rPr>
                <w:rFonts w:hint="eastAsia" w:ascii="宋体" w:hAnsi="宋体" w:cs="宋体"/>
                <w:color w:val="auto"/>
                <w:sz w:val="24"/>
                <w:szCs w:val="24"/>
              </w:rPr>
              <w:t>17</w:t>
            </w:r>
          </w:p>
        </w:tc>
        <w:tc>
          <w:tcPr>
            <w:tcW w:w="322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铜管及橡塑保温</w:t>
            </w:r>
          </w:p>
        </w:tc>
        <w:tc>
          <w:tcPr>
            <w:tcW w:w="166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Φ34.92</w:t>
            </w:r>
          </w:p>
        </w:tc>
        <w:tc>
          <w:tcPr>
            <w:tcW w:w="112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m</w:t>
            </w:r>
          </w:p>
        </w:tc>
        <w:tc>
          <w:tcPr>
            <w:tcW w:w="108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p>
        </w:tc>
        <w:tc>
          <w:tcPr>
            <w:tcW w:w="108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　</w:t>
            </w:r>
          </w:p>
        </w:tc>
      </w:tr>
      <w:tr>
        <w:tblPrEx>
          <w:tblCellMar>
            <w:top w:w="0" w:type="dxa"/>
            <w:left w:w="108" w:type="dxa"/>
            <w:bottom w:w="0" w:type="dxa"/>
            <w:right w:w="108" w:type="dxa"/>
          </w:tblCellMar>
        </w:tblPrEx>
        <w:trPr>
          <w:trHeight w:val="379" w:hRule="atLeast"/>
        </w:trPr>
        <w:tc>
          <w:tcPr>
            <w:tcW w:w="1000" w:type="dxa"/>
            <w:tcBorders>
              <w:top w:val="nil"/>
              <w:left w:val="single" w:color="auto" w:sz="4" w:space="0"/>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4"/>
                <w:szCs w:val="24"/>
              </w:rPr>
            </w:pPr>
            <w:r>
              <w:rPr>
                <w:rFonts w:hint="eastAsia" w:ascii="宋体" w:hAnsi="宋体" w:cs="宋体"/>
                <w:color w:val="auto"/>
                <w:sz w:val="24"/>
                <w:szCs w:val="24"/>
              </w:rPr>
              <w:t>18</w:t>
            </w:r>
          </w:p>
        </w:tc>
        <w:tc>
          <w:tcPr>
            <w:tcW w:w="322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铜管及橡塑保温</w:t>
            </w:r>
          </w:p>
        </w:tc>
        <w:tc>
          <w:tcPr>
            <w:tcW w:w="166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Φ41.27</w:t>
            </w:r>
          </w:p>
        </w:tc>
        <w:tc>
          <w:tcPr>
            <w:tcW w:w="112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m</w:t>
            </w:r>
          </w:p>
        </w:tc>
        <w:tc>
          <w:tcPr>
            <w:tcW w:w="108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p>
        </w:tc>
        <w:tc>
          <w:tcPr>
            <w:tcW w:w="108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　</w:t>
            </w:r>
          </w:p>
        </w:tc>
      </w:tr>
      <w:tr>
        <w:tblPrEx>
          <w:tblCellMar>
            <w:top w:w="0" w:type="dxa"/>
            <w:left w:w="108" w:type="dxa"/>
            <w:bottom w:w="0" w:type="dxa"/>
            <w:right w:w="108" w:type="dxa"/>
          </w:tblCellMar>
        </w:tblPrEx>
        <w:trPr>
          <w:trHeight w:val="379" w:hRule="atLeast"/>
        </w:trPr>
        <w:tc>
          <w:tcPr>
            <w:tcW w:w="1000" w:type="dxa"/>
            <w:tcBorders>
              <w:top w:val="nil"/>
              <w:left w:val="single" w:color="auto" w:sz="4" w:space="0"/>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4"/>
                <w:szCs w:val="24"/>
              </w:rPr>
            </w:pPr>
            <w:r>
              <w:rPr>
                <w:rFonts w:hint="eastAsia" w:ascii="宋体" w:hAnsi="宋体" w:cs="宋体"/>
                <w:color w:val="auto"/>
                <w:sz w:val="24"/>
                <w:szCs w:val="24"/>
              </w:rPr>
              <w:t>19</w:t>
            </w:r>
          </w:p>
        </w:tc>
        <w:tc>
          <w:tcPr>
            <w:tcW w:w="322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冷凝水管及橡塑保温（PVC管）</w:t>
            </w:r>
          </w:p>
        </w:tc>
        <w:tc>
          <w:tcPr>
            <w:tcW w:w="166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DN25</w:t>
            </w:r>
          </w:p>
        </w:tc>
        <w:tc>
          <w:tcPr>
            <w:tcW w:w="112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m</w:t>
            </w:r>
          </w:p>
        </w:tc>
        <w:tc>
          <w:tcPr>
            <w:tcW w:w="108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p>
        </w:tc>
        <w:tc>
          <w:tcPr>
            <w:tcW w:w="108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　</w:t>
            </w:r>
          </w:p>
        </w:tc>
      </w:tr>
      <w:tr>
        <w:tblPrEx>
          <w:tblCellMar>
            <w:top w:w="0" w:type="dxa"/>
            <w:left w:w="108" w:type="dxa"/>
            <w:bottom w:w="0" w:type="dxa"/>
            <w:right w:w="108" w:type="dxa"/>
          </w:tblCellMar>
        </w:tblPrEx>
        <w:trPr>
          <w:trHeight w:val="379" w:hRule="atLeast"/>
        </w:trPr>
        <w:tc>
          <w:tcPr>
            <w:tcW w:w="1000" w:type="dxa"/>
            <w:tcBorders>
              <w:top w:val="nil"/>
              <w:left w:val="single" w:color="auto" w:sz="4" w:space="0"/>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4"/>
                <w:szCs w:val="24"/>
              </w:rPr>
            </w:pPr>
            <w:r>
              <w:rPr>
                <w:rFonts w:hint="eastAsia" w:ascii="宋体" w:hAnsi="宋体" w:cs="宋体"/>
                <w:color w:val="auto"/>
                <w:sz w:val="24"/>
                <w:szCs w:val="24"/>
              </w:rPr>
              <w:t>20</w:t>
            </w:r>
          </w:p>
        </w:tc>
        <w:tc>
          <w:tcPr>
            <w:tcW w:w="322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冷凝水管及橡塑保温（PVC管）</w:t>
            </w:r>
          </w:p>
        </w:tc>
        <w:tc>
          <w:tcPr>
            <w:tcW w:w="166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DN32</w:t>
            </w:r>
          </w:p>
        </w:tc>
        <w:tc>
          <w:tcPr>
            <w:tcW w:w="112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m</w:t>
            </w:r>
          </w:p>
        </w:tc>
        <w:tc>
          <w:tcPr>
            <w:tcW w:w="108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p>
        </w:tc>
        <w:tc>
          <w:tcPr>
            <w:tcW w:w="108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　</w:t>
            </w:r>
          </w:p>
        </w:tc>
      </w:tr>
      <w:tr>
        <w:tblPrEx>
          <w:tblCellMar>
            <w:top w:w="0" w:type="dxa"/>
            <w:left w:w="108" w:type="dxa"/>
            <w:bottom w:w="0" w:type="dxa"/>
            <w:right w:w="108" w:type="dxa"/>
          </w:tblCellMar>
        </w:tblPrEx>
        <w:trPr>
          <w:trHeight w:val="379" w:hRule="atLeast"/>
        </w:trPr>
        <w:tc>
          <w:tcPr>
            <w:tcW w:w="1000" w:type="dxa"/>
            <w:tcBorders>
              <w:top w:val="nil"/>
              <w:left w:val="single" w:color="auto" w:sz="4" w:space="0"/>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4"/>
                <w:szCs w:val="24"/>
              </w:rPr>
            </w:pPr>
            <w:r>
              <w:rPr>
                <w:rFonts w:hint="eastAsia" w:ascii="宋体" w:hAnsi="宋体" w:cs="宋体"/>
                <w:color w:val="auto"/>
                <w:sz w:val="24"/>
                <w:szCs w:val="24"/>
              </w:rPr>
              <w:t>21</w:t>
            </w:r>
          </w:p>
        </w:tc>
        <w:tc>
          <w:tcPr>
            <w:tcW w:w="322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冷凝水管及橡塑保温（PVC管）</w:t>
            </w:r>
          </w:p>
        </w:tc>
        <w:tc>
          <w:tcPr>
            <w:tcW w:w="166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DN40</w:t>
            </w:r>
          </w:p>
        </w:tc>
        <w:tc>
          <w:tcPr>
            <w:tcW w:w="112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m</w:t>
            </w:r>
          </w:p>
        </w:tc>
        <w:tc>
          <w:tcPr>
            <w:tcW w:w="108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p>
        </w:tc>
        <w:tc>
          <w:tcPr>
            <w:tcW w:w="108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　</w:t>
            </w:r>
          </w:p>
        </w:tc>
      </w:tr>
      <w:tr>
        <w:tblPrEx>
          <w:tblCellMar>
            <w:top w:w="0" w:type="dxa"/>
            <w:left w:w="108" w:type="dxa"/>
            <w:bottom w:w="0" w:type="dxa"/>
            <w:right w:w="108" w:type="dxa"/>
          </w:tblCellMar>
        </w:tblPrEx>
        <w:trPr>
          <w:trHeight w:val="379" w:hRule="atLeast"/>
        </w:trPr>
        <w:tc>
          <w:tcPr>
            <w:tcW w:w="1000" w:type="dxa"/>
            <w:tcBorders>
              <w:top w:val="nil"/>
              <w:left w:val="single" w:color="auto" w:sz="4" w:space="0"/>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4"/>
                <w:szCs w:val="24"/>
              </w:rPr>
            </w:pPr>
            <w:r>
              <w:rPr>
                <w:rFonts w:hint="eastAsia" w:ascii="宋体" w:hAnsi="宋体" w:cs="宋体"/>
                <w:color w:val="auto"/>
                <w:sz w:val="24"/>
                <w:szCs w:val="24"/>
              </w:rPr>
              <w:t>22</w:t>
            </w:r>
          </w:p>
        </w:tc>
        <w:tc>
          <w:tcPr>
            <w:tcW w:w="322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制冷剂</w:t>
            </w:r>
          </w:p>
        </w:tc>
        <w:tc>
          <w:tcPr>
            <w:tcW w:w="166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R410A</w:t>
            </w:r>
          </w:p>
        </w:tc>
        <w:tc>
          <w:tcPr>
            <w:tcW w:w="112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kg</w:t>
            </w:r>
          </w:p>
        </w:tc>
        <w:tc>
          <w:tcPr>
            <w:tcW w:w="108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p>
        </w:tc>
        <w:tc>
          <w:tcPr>
            <w:tcW w:w="108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　</w:t>
            </w:r>
          </w:p>
        </w:tc>
      </w:tr>
      <w:tr>
        <w:tblPrEx>
          <w:tblCellMar>
            <w:top w:w="0" w:type="dxa"/>
            <w:left w:w="108" w:type="dxa"/>
            <w:bottom w:w="0" w:type="dxa"/>
            <w:right w:w="108" w:type="dxa"/>
          </w:tblCellMar>
        </w:tblPrEx>
        <w:trPr>
          <w:trHeight w:val="379" w:hRule="atLeast"/>
        </w:trPr>
        <w:tc>
          <w:tcPr>
            <w:tcW w:w="1000" w:type="dxa"/>
            <w:tcBorders>
              <w:top w:val="nil"/>
              <w:left w:val="single" w:color="auto" w:sz="4" w:space="0"/>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4"/>
                <w:szCs w:val="24"/>
              </w:rPr>
            </w:pPr>
            <w:r>
              <w:rPr>
                <w:rFonts w:hint="eastAsia" w:ascii="宋体" w:hAnsi="宋体" w:cs="宋体"/>
                <w:color w:val="auto"/>
                <w:sz w:val="24"/>
                <w:szCs w:val="24"/>
              </w:rPr>
              <w:t>23</w:t>
            </w:r>
          </w:p>
        </w:tc>
        <w:tc>
          <w:tcPr>
            <w:tcW w:w="322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信号线（屏蔽线）</w:t>
            </w:r>
          </w:p>
        </w:tc>
        <w:tc>
          <w:tcPr>
            <w:tcW w:w="166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2*0.75</w:t>
            </w:r>
          </w:p>
        </w:tc>
        <w:tc>
          <w:tcPr>
            <w:tcW w:w="112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m</w:t>
            </w:r>
          </w:p>
        </w:tc>
        <w:tc>
          <w:tcPr>
            <w:tcW w:w="108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p>
        </w:tc>
        <w:tc>
          <w:tcPr>
            <w:tcW w:w="108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　</w:t>
            </w:r>
          </w:p>
        </w:tc>
      </w:tr>
      <w:tr>
        <w:tblPrEx>
          <w:tblCellMar>
            <w:top w:w="0" w:type="dxa"/>
            <w:left w:w="108" w:type="dxa"/>
            <w:bottom w:w="0" w:type="dxa"/>
            <w:right w:w="108" w:type="dxa"/>
          </w:tblCellMar>
        </w:tblPrEx>
        <w:trPr>
          <w:trHeight w:val="379" w:hRule="atLeast"/>
        </w:trPr>
        <w:tc>
          <w:tcPr>
            <w:tcW w:w="1000" w:type="dxa"/>
            <w:tcBorders>
              <w:top w:val="nil"/>
              <w:left w:val="single" w:color="auto" w:sz="4" w:space="0"/>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4"/>
                <w:szCs w:val="24"/>
              </w:rPr>
            </w:pPr>
            <w:r>
              <w:rPr>
                <w:rFonts w:hint="eastAsia" w:ascii="宋体" w:hAnsi="宋体" w:cs="宋体"/>
                <w:color w:val="auto"/>
                <w:sz w:val="24"/>
                <w:szCs w:val="24"/>
              </w:rPr>
              <w:t>24</w:t>
            </w:r>
          </w:p>
        </w:tc>
        <w:tc>
          <w:tcPr>
            <w:tcW w:w="322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控制线线管</w:t>
            </w:r>
          </w:p>
        </w:tc>
        <w:tc>
          <w:tcPr>
            <w:tcW w:w="166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Φ16KBG管</w:t>
            </w:r>
          </w:p>
        </w:tc>
        <w:tc>
          <w:tcPr>
            <w:tcW w:w="112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m</w:t>
            </w:r>
          </w:p>
        </w:tc>
        <w:tc>
          <w:tcPr>
            <w:tcW w:w="108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p>
        </w:tc>
        <w:tc>
          <w:tcPr>
            <w:tcW w:w="108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　</w:t>
            </w:r>
          </w:p>
        </w:tc>
      </w:tr>
      <w:tr>
        <w:tblPrEx>
          <w:tblCellMar>
            <w:top w:w="0" w:type="dxa"/>
            <w:left w:w="108" w:type="dxa"/>
            <w:bottom w:w="0" w:type="dxa"/>
            <w:right w:w="108" w:type="dxa"/>
          </w:tblCellMar>
        </w:tblPrEx>
        <w:trPr>
          <w:trHeight w:val="379" w:hRule="atLeast"/>
        </w:trPr>
        <w:tc>
          <w:tcPr>
            <w:tcW w:w="1000" w:type="dxa"/>
            <w:tcBorders>
              <w:top w:val="nil"/>
              <w:left w:val="single" w:color="auto" w:sz="4" w:space="0"/>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4"/>
                <w:szCs w:val="24"/>
              </w:rPr>
            </w:pPr>
            <w:r>
              <w:rPr>
                <w:rFonts w:hint="eastAsia" w:ascii="宋体" w:hAnsi="宋体" w:cs="宋体"/>
                <w:color w:val="auto"/>
                <w:sz w:val="24"/>
                <w:szCs w:val="24"/>
              </w:rPr>
              <w:t>25</w:t>
            </w:r>
          </w:p>
        </w:tc>
        <w:tc>
          <w:tcPr>
            <w:tcW w:w="322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室内机安装费</w:t>
            </w:r>
          </w:p>
        </w:tc>
        <w:tc>
          <w:tcPr>
            <w:tcW w:w="166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　</w:t>
            </w:r>
          </w:p>
        </w:tc>
        <w:tc>
          <w:tcPr>
            <w:tcW w:w="112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台</w:t>
            </w:r>
          </w:p>
        </w:tc>
        <w:tc>
          <w:tcPr>
            <w:tcW w:w="108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p>
        </w:tc>
        <w:tc>
          <w:tcPr>
            <w:tcW w:w="108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　</w:t>
            </w:r>
          </w:p>
        </w:tc>
      </w:tr>
      <w:tr>
        <w:tblPrEx>
          <w:tblCellMar>
            <w:top w:w="0" w:type="dxa"/>
            <w:left w:w="108" w:type="dxa"/>
            <w:bottom w:w="0" w:type="dxa"/>
            <w:right w:w="108" w:type="dxa"/>
          </w:tblCellMar>
        </w:tblPrEx>
        <w:trPr>
          <w:trHeight w:val="379" w:hRule="atLeast"/>
        </w:trPr>
        <w:tc>
          <w:tcPr>
            <w:tcW w:w="1000" w:type="dxa"/>
            <w:tcBorders>
              <w:top w:val="nil"/>
              <w:left w:val="single" w:color="auto" w:sz="4" w:space="0"/>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4"/>
                <w:szCs w:val="24"/>
              </w:rPr>
            </w:pPr>
            <w:r>
              <w:rPr>
                <w:rFonts w:hint="eastAsia" w:ascii="宋体" w:hAnsi="宋体" w:cs="宋体"/>
                <w:color w:val="auto"/>
                <w:sz w:val="24"/>
                <w:szCs w:val="24"/>
              </w:rPr>
              <w:t>26</w:t>
            </w:r>
          </w:p>
        </w:tc>
        <w:tc>
          <w:tcPr>
            <w:tcW w:w="322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室外机安装费</w:t>
            </w:r>
          </w:p>
        </w:tc>
        <w:tc>
          <w:tcPr>
            <w:tcW w:w="166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　</w:t>
            </w:r>
          </w:p>
        </w:tc>
        <w:tc>
          <w:tcPr>
            <w:tcW w:w="112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台</w:t>
            </w:r>
          </w:p>
        </w:tc>
        <w:tc>
          <w:tcPr>
            <w:tcW w:w="108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p>
        </w:tc>
        <w:tc>
          <w:tcPr>
            <w:tcW w:w="108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　</w:t>
            </w:r>
          </w:p>
        </w:tc>
      </w:tr>
      <w:tr>
        <w:tblPrEx>
          <w:tblCellMar>
            <w:top w:w="0" w:type="dxa"/>
            <w:left w:w="108" w:type="dxa"/>
            <w:bottom w:w="0" w:type="dxa"/>
            <w:right w:w="108" w:type="dxa"/>
          </w:tblCellMar>
        </w:tblPrEx>
        <w:trPr>
          <w:trHeight w:val="379" w:hRule="atLeast"/>
        </w:trPr>
        <w:tc>
          <w:tcPr>
            <w:tcW w:w="1000" w:type="dxa"/>
            <w:tcBorders>
              <w:top w:val="nil"/>
              <w:left w:val="single" w:color="auto" w:sz="4" w:space="0"/>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4"/>
                <w:szCs w:val="24"/>
              </w:rPr>
            </w:pPr>
            <w:r>
              <w:rPr>
                <w:rFonts w:hint="eastAsia" w:ascii="宋体" w:hAnsi="宋体" w:cs="宋体"/>
                <w:color w:val="auto"/>
                <w:sz w:val="24"/>
                <w:szCs w:val="24"/>
              </w:rPr>
              <w:t>27</w:t>
            </w:r>
          </w:p>
        </w:tc>
        <w:tc>
          <w:tcPr>
            <w:tcW w:w="322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吊装费</w:t>
            </w:r>
          </w:p>
        </w:tc>
        <w:tc>
          <w:tcPr>
            <w:tcW w:w="166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汽吊</w:t>
            </w:r>
          </w:p>
        </w:tc>
        <w:tc>
          <w:tcPr>
            <w:tcW w:w="112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项</w:t>
            </w:r>
          </w:p>
        </w:tc>
        <w:tc>
          <w:tcPr>
            <w:tcW w:w="108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p>
        </w:tc>
        <w:tc>
          <w:tcPr>
            <w:tcW w:w="108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　</w:t>
            </w:r>
          </w:p>
        </w:tc>
      </w:tr>
      <w:tr>
        <w:tblPrEx>
          <w:tblCellMar>
            <w:top w:w="0" w:type="dxa"/>
            <w:left w:w="108" w:type="dxa"/>
            <w:bottom w:w="0" w:type="dxa"/>
            <w:right w:w="108" w:type="dxa"/>
          </w:tblCellMar>
        </w:tblPrEx>
        <w:trPr>
          <w:trHeight w:val="379" w:hRule="atLeast"/>
        </w:trPr>
        <w:tc>
          <w:tcPr>
            <w:tcW w:w="1000" w:type="dxa"/>
            <w:tcBorders>
              <w:top w:val="nil"/>
              <w:left w:val="single" w:color="auto" w:sz="4" w:space="0"/>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4"/>
                <w:szCs w:val="24"/>
              </w:rPr>
            </w:pPr>
            <w:r>
              <w:rPr>
                <w:rFonts w:hint="eastAsia" w:ascii="宋体" w:hAnsi="宋体" w:cs="宋体"/>
                <w:color w:val="auto"/>
                <w:sz w:val="24"/>
                <w:szCs w:val="24"/>
              </w:rPr>
              <w:t>28</w:t>
            </w:r>
          </w:p>
        </w:tc>
        <w:tc>
          <w:tcPr>
            <w:tcW w:w="322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螺纹吊杆</w:t>
            </w:r>
          </w:p>
        </w:tc>
        <w:tc>
          <w:tcPr>
            <w:tcW w:w="166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Φ10</w:t>
            </w:r>
          </w:p>
        </w:tc>
        <w:tc>
          <w:tcPr>
            <w:tcW w:w="112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m</w:t>
            </w:r>
          </w:p>
        </w:tc>
        <w:tc>
          <w:tcPr>
            <w:tcW w:w="108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p>
        </w:tc>
        <w:tc>
          <w:tcPr>
            <w:tcW w:w="108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　</w:t>
            </w:r>
          </w:p>
        </w:tc>
      </w:tr>
      <w:tr>
        <w:tblPrEx>
          <w:tblCellMar>
            <w:top w:w="0" w:type="dxa"/>
            <w:left w:w="108" w:type="dxa"/>
            <w:bottom w:w="0" w:type="dxa"/>
            <w:right w:w="108" w:type="dxa"/>
          </w:tblCellMar>
        </w:tblPrEx>
        <w:trPr>
          <w:trHeight w:val="379" w:hRule="atLeast"/>
        </w:trPr>
        <w:tc>
          <w:tcPr>
            <w:tcW w:w="1000" w:type="dxa"/>
            <w:tcBorders>
              <w:top w:val="nil"/>
              <w:left w:val="single" w:color="auto" w:sz="4" w:space="0"/>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4"/>
                <w:szCs w:val="24"/>
              </w:rPr>
            </w:pPr>
            <w:r>
              <w:rPr>
                <w:rFonts w:hint="eastAsia" w:ascii="宋体" w:hAnsi="宋体" w:cs="宋体"/>
                <w:color w:val="auto"/>
                <w:sz w:val="24"/>
                <w:szCs w:val="24"/>
              </w:rPr>
              <w:t>29</w:t>
            </w:r>
          </w:p>
        </w:tc>
        <w:tc>
          <w:tcPr>
            <w:tcW w:w="322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帆布软接</w:t>
            </w:r>
          </w:p>
        </w:tc>
        <w:tc>
          <w:tcPr>
            <w:tcW w:w="166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　</w:t>
            </w:r>
          </w:p>
        </w:tc>
        <w:tc>
          <w:tcPr>
            <w:tcW w:w="112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w:t>
            </w:r>
          </w:p>
        </w:tc>
        <w:tc>
          <w:tcPr>
            <w:tcW w:w="108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p>
        </w:tc>
        <w:tc>
          <w:tcPr>
            <w:tcW w:w="108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　</w:t>
            </w:r>
          </w:p>
        </w:tc>
      </w:tr>
      <w:tr>
        <w:tblPrEx>
          <w:tblCellMar>
            <w:top w:w="0" w:type="dxa"/>
            <w:left w:w="108" w:type="dxa"/>
            <w:bottom w:w="0" w:type="dxa"/>
            <w:right w:w="108" w:type="dxa"/>
          </w:tblCellMar>
        </w:tblPrEx>
        <w:trPr>
          <w:trHeight w:val="285" w:hRule="atLeast"/>
        </w:trPr>
        <w:tc>
          <w:tcPr>
            <w:tcW w:w="1000" w:type="dxa"/>
            <w:tcBorders>
              <w:top w:val="nil"/>
              <w:left w:val="single" w:color="auto" w:sz="4" w:space="0"/>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4"/>
                <w:szCs w:val="24"/>
              </w:rPr>
            </w:pPr>
            <w:r>
              <w:rPr>
                <w:rFonts w:hint="eastAsia" w:ascii="宋体" w:hAnsi="宋体" w:cs="宋体"/>
                <w:color w:val="auto"/>
                <w:sz w:val="24"/>
                <w:szCs w:val="24"/>
              </w:rPr>
              <w:t>30</w:t>
            </w:r>
          </w:p>
        </w:tc>
        <w:tc>
          <w:tcPr>
            <w:tcW w:w="322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其他辅材</w:t>
            </w:r>
          </w:p>
        </w:tc>
        <w:tc>
          <w:tcPr>
            <w:tcW w:w="166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4"/>
                <w:szCs w:val="24"/>
              </w:rPr>
            </w:pPr>
            <w:r>
              <w:rPr>
                <w:rFonts w:hint="eastAsia" w:ascii="宋体" w:hAnsi="宋体" w:cs="宋体"/>
                <w:color w:val="auto"/>
                <w:sz w:val="24"/>
                <w:szCs w:val="24"/>
              </w:rPr>
              <w:t>　</w:t>
            </w:r>
          </w:p>
        </w:tc>
        <w:tc>
          <w:tcPr>
            <w:tcW w:w="112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项</w:t>
            </w:r>
          </w:p>
        </w:tc>
        <w:tc>
          <w:tcPr>
            <w:tcW w:w="108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p>
        </w:tc>
        <w:tc>
          <w:tcPr>
            <w:tcW w:w="1080" w:type="dxa"/>
            <w:tcBorders>
              <w:top w:val="nil"/>
              <w:left w:val="nil"/>
              <w:bottom w:val="single" w:color="auto" w:sz="4" w:space="0"/>
              <w:right w:val="single" w:color="auto" w:sz="4" w:space="0"/>
            </w:tcBorders>
            <w:noWrap/>
            <w:vAlign w:val="center"/>
          </w:tcPr>
          <w:p>
            <w:pPr>
              <w:widowControl/>
              <w:autoSpaceDE/>
              <w:autoSpaceDN/>
              <w:adjustRightInd/>
              <w:jc w:val="center"/>
              <w:rPr>
                <w:rFonts w:ascii="宋体" w:hAnsi="宋体" w:cs="宋体"/>
                <w:color w:val="auto"/>
                <w:sz w:val="22"/>
                <w:szCs w:val="22"/>
              </w:rPr>
            </w:pPr>
            <w:r>
              <w:rPr>
                <w:rFonts w:hint="eastAsia" w:ascii="宋体" w:hAnsi="宋体" w:cs="宋体"/>
                <w:color w:val="auto"/>
                <w:sz w:val="22"/>
                <w:szCs w:val="22"/>
              </w:rPr>
              <w:t>　</w:t>
            </w:r>
          </w:p>
        </w:tc>
      </w:tr>
    </w:tbl>
    <w:p>
      <w:pPr>
        <w:spacing w:line="360" w:lineRule="auto"/>
        <w:rPr>
          <w:rFonts w:ascii="宋体" w:hAnsi="宋体" w:cs="宋体"/>
          <w:b/>
          <w:bCs/>
          <w:sz w:val="24"/>
        </w:rPr>
      </w:pPr>
    </w:p>
    <w:p>
      <w:pPr>
        <w:spacing w:line="360" w:lineRule="auto"/>
        <w:rPr>
          <w:rFonts w:ascii="宋体" w:hAnsi="宋体" w:cs="宋体"/>
          <w:b/>
          <w:bCs/>
          <w:sz w:val="24"/>
        </w:rPr>
      </w:pPr>
    </w:p>
    <w:p>
      <w:pPr>
        <w:spacing w:line="360" w:lineRule="auto"/>
        <w:rPr>
          <w:rFonts w:ascii="宋体" w:hAnsi="宋体" w:cs="宋体"/>
          <w:b/>
          <w:bCs/>
          <w:sz w:val="24"/>
        </w:rPr>
      </w:pPr>
      <w:r>
        <w:rPr>
          <w:rFonts w:ascii="宋体" w:hAnsi="宋体" w:cs="宋体"/>
          <w:b/>
          <w:bCs/>
          <w:sz w:val="24"/>
        </w:rPr>
        <w:br w:type="page"/>
      </w:r>
      <w:r>
        <w:rPr>
          <w:rFonts w:hint="eastAsia" w:ascii="宋体" w:hAnsi="宋体" w:cs="宋体"/>
          <w:b/>
          <w:bCs/>
          <w:sz w:val="24"/>
        </w:rPr>
        <w:t>三、多联空调系统设备设计参数要求</w:t>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8666" w:type="dxa"/>
            <w:noWrap w:val="0"/>
            <w:vAlign w:val="center"/>
          </w:tcPr>
          <w:p>
            <w:pPr>
              <w:jc w:val="center"/>
              <w:rPr>
                <w:rFonts w:ascii="宋体" w:hAnsi="宋体" w:cs="宋体"/>
                <w:sz w:val="24"/>
              </w:rPr>
            </w:pPr>
            <w:r>
              <w:rPr>
                <w:rFonts w:hint="eastAsia" w:ascii="宋体" w:hAnsi="宋体" w:cs="宋体"/>
                <w:sz w:val="24"/>
              </w:rPr>
              <w:t>要 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8666" w:type="dxa"/>
            <w:noWrap w:val="0"/>
            <w:vAlign w:val="center"/>
          </w:tcPr>
          <w:p>
            <w:pPr>
              <w:snapToGrid w:val="0"/>
              <w:rPr>
                <w:rFonts w:ascii="宋体" w:hAnsi="宋体" w:cs="宋体"/>
                <w:sz w:val="24"/>
              </w:rPr>
            </w:pPr>
            <w:r>
              <w:rPr>
                <w:rFonts w:hint="eastAsia" w:ascii="宋体" w:hAnsi="宋体" w:cs="宋体"/>
                <w:sz w:val="24"/>
              </w:rPr>
              <w:t>★</w:t>
            </w:r>
            <w:r>
              <w:rPr>
                <w:rFonts w:hint="eastAsia" w:ascii="宋体" w:hAnsi="宋体" w:cs="宋体"/>
              </w:rPr>
              <w:t>1、系统参考设计图纸，招标文件中已确定了室内机室外机的数量、型式、冷量要求，并初步确定了室内机的位置，投标人不得擅自改变室内机室外机的数量、型式和布置方式，除本招标文件注明的系统外，其余系统不得拆分及自由组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8666" w:type="dxa"/>
            <w:noWrap w:val="0"/>
            <w:vAlign w:val="center"/>
          </w:tcPr>
          <w:p>
            <w:pPr>
              <w:rPr>
                <w:rFonts w:ascii="宋体" w:hAnsi="宋体" w:cs="宋体"/>
                <w:color w:val="auto"/>
                <w:sz w:val="24"/>
              </w:rPr>
            </w:pPr>
            <w:r>
              <w:rPr>
                <w:rFonts w:hint="eastAsia" w:ascii="宋体" w:hAnsi="宋体" w:cs="宋体"/>
                <w:color w:val="auto"/>
              </w:rPr>
              <w:t>2、所提供设备必须是全新的，合格的产品，设备制冷量负偏离不得大于3%，正偏离不限。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8666" w:type="dxa"/>
            <w:noWrap w:val="0"/>
            <w:vAlign w:val="center"/>
          </w:tcPr>
          <w:p>
            <w:pPr>
              <w:rPr>
                <w:rFonts w:ascii="宋体" w:hAnsi="宋体" w:cs="宋体"/>
                <w:color w:val="auto"/>
                <w:sz w:val="24"/>
              </w:rPr>
            </w:pPr>
            <w:r>
              <w:rPr>
                <w:rFonts w:hint="eastAsia" w:ascii="宋体" w:hAnsi="宋体" w:cs="宋体"/>
                <w:color w:val="auto"/>
                <w:sz w:val="24"/>
              </w:rPr>
              <w:t>★</w:t>
            </w:r>
            <w:r>
              <w:rPr>
                <w:rFonts w:hint="eastAsia" w:ascii="宋体" w:hAnsi="宋体" w:cs="宋体"/>
                <w:color w:val="auto"/>
                <w:lang w:val="en-US" w:eastAsia="zh-CN"/>
              </w:rPr>
              <w:t>3</w:t>
            </w:r>
            <w:r>
              <w:rPr>
                <w:rFonts w:hint="eastAsia" w:ascii="宋体" w:hAnsi="宋体" w:cs="宋体"/>
                <w:color w:val="auto"/>
              </w:rPr>
              <w:t>、室内机、室外机必须为同一品牌产品，否则</w:t>
            </w:r>
            <w:r>
              <w:rPr>
                <w:rFonts w:hint="eastAsia" w:ascii="宋体" w:hAnsi="宋体" w:cs="宋体"/>
                <w:color w:val="auto"/>
                <w:lang w:eastAsia="zh-CN"/>
              </w:rPr>
              <w:t>作无效</w:t>
            </w:r>
            <w:r>
              <w:rPr>
                <w:rFonts w:hint="eastAsia" w:ascii="宋体" w:hAnsi="宋体" w:cs="宋体"/>
                <w:color w:val="auto"/>
              </w:rPr>
              <w:t>标</w:t>
            </w:r>
            <w:r>
              <w:rPr>
                <w:rFonts w:hint="eastAsia" w:ascii="宋体" w:hAnsi="宋体" w:cs="宋体"/>
                <w:color w:val="auto"/>
                <w:lang w:eastAsia="zh-CN"/>
              </w:rPr>
              <w:t>处理</w:t>
            </w:r>
            <w:r>
              <w:rPr>
                <w:rFonts w:hint="eastAsia" w:ascii="宋体" w:hAnsi="宋体" w:cs="宋体"/>
                <w:color w:va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8666" w:type="dxa"/>
            <w:noWrap w:val="0"/>
            <w:vAlign w:val="center"/>
          </w:tcPr>
          <w:p>
            <w:pPr>
              <w:rPr>
                <w:rFonts w:hint="eastAsia" w:ascii="宋体" w:hAnsi="宋体" w:cs="宋体"/>
                <w:color w:val="auto"/>
                <w:sz w:val="24"/>
              </w:rPr>
            </w:pPr>
            <w:r>
              <w:rPr>
                <w:rFonts w:hint="eastAsia" w:ascii="宋体" w:hAnsi="宋体" w:cs="宋体"/>
                <w:color w:val="000000"/>
              </w:rPr>
              <w:t>4、</w:t>
            </w:r>
            <w:r>
              <w:rPr>
                <w:rFonts w:hint="eastAsia" w:ascii="宋体" w:hAnsi="宋体"/>
                <w:color w:val="000000"/>
              </w:rPr>
              <w:t>室外机模块化组合时不得加装油平衡管</w:t>
            </w:r>
            <w:r>
              <w:rPr>
                <w:rFonts w:hint="eastAsia" w:ascii="宋体" w:hAnsi="宋体" w:cs="宋体"/>
                <w:color w:val="000000"/>
              </w:rPr>
              <w:t>。如发现作假等与招标文件不符，甲方有权解除合同。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666" w:type="dxa"/>
            <w:noWrap w:val="0"/>
            <w:vAlign w:val="top"/>
          </w:tcPr>
          <w:p>
            <w:pPr>
              <w:rPr>
                <w:rFonts w:ascii="宋体" w:hAnsi="宋体" w:cs="宋体"/>
                <w:sz w:val="24"/>
              </w:rPr>
            </w:pPr>
            <w:r>
              <w:rPr>
                <w:rFonts w:hint="eastAsia" w:ascii="宋体" w:hAnsi="宋体" w:cs="宋体"/>
                <w:lang w:val="en-US" w:eastAsia="zh-CN"/>
              </w:rPr>
              <w:t>5</w:t>
            </w:r>
            <w:r>
              <w:rPr>
                <w:rFonts w:hint="eastAsia" w:ascii="宋体" w:hAnsi="宋体" w:cs="宋体"/>
              </w:rPr>
              <w:t>、空调设备的系统冷媒采用环保R410A冷媒。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 w:hRule="atLeast"/>
          <w:jc w:val="center"/>
        </w:trPr>
        <w:tc>
          <w:tcPr>
            <w:tcW w:w="8666" w:type="dxa"/>
            <w:noWrap w:val="0"/>
            <w:vAlign w:val="top"/>
          </w:tcPr>
          <w:p>
            <w:pPr>
              <w:rPr>
                <w:rFonts w:ascii="宋体" w:hAnsi="宋体" w:cs="宋体"/>
                <w:sz w:val="24"/>
              </w:rPr>
            </w:pPr>
            <w:r>
              <w:rPr>
                <w:rFonts w:hint="eastAsia" w:ascii="宋体" w:hAnsi="宋体" w:cs="宋体"/>
                <w:lang w:val="en-US" w:eastAsia="zh-CN"/>
              </w:rPr>
              <w:t>6</w:t>
            </w:r>
            <w:r>
              <w:rPr>
                <w:rFonts w:hint="eastAsia" w:ascii="宋体" w:hAnsi="宋体" w:cs="宋体"/>
              </w:rPr>
              <w:t>、变冷媒流量空调设备8HP、10HP、12HP、14HP、16HP室外机组基本模块达到国家一级能效的。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 w:hRule="atLeast"/>
          <w:jc w:val="center"/>
        </w:trPr>
        <w:tc>
          <w:tcPr>
            <w:tcW w:w="8666" w:type="dxa"/>
            <w:noWrap w:val="0"/>
            <w:vAlign w:val="top"/>
          </w:tcPr>
          <w:p>
            <w:pPr>
              <w:rPr>
                <w:rFonts w:ascii="宋体" w:hAnsi="宋体" w:cs="宋体"/>
                <w:sz w:val="24"/>
              </w:rPr>
            </w:pPr>
            <w:r>
              <w:rPr>
                <w:rFonts w:hint="eastAsia" w:ascii="宋体" w:hAnsi="宋体" w:cs="宋体"/>
                <w:sz w:val="24"/>
                <w:lang w:val="en-US" w:eastAsia="zh-CN"/>
              </w:rPr>
              <w:t>7</w:t>
            </w:r>
            <w:r>
              <w:rPr>
                <w:rFonts w:hint="eastAsia" w:ascii="宋体" w:hAnsi="宋体" w:cs="宋体"/>
                <w:sz w:val="24"/>
              </w:rPr>
              <w:t>、空调室内机控制器采用一对一有线控制器，所有室内机需配置冷凝水提升泵。</w:t>
            </w:r>
          </w:p>
        </w:tc>
      </w:tr>
    </w:tbl>
    <w:p>
      <w:pPr>
        <w:spacing w:line="220" w:lineRule="atLeast"/>
        <w:rPr>
          <w:rFonts w:ascii="宋体" w:hAnsi="宋体" w:cs="宋体"/>
          <w:b/>
          <w:color w:val="auto"/>
          <w:sz w:val="24"/>
        </w:rPr>
      </w:pPr>
    </w:p>
    <w:p>
      <w:pPr>
        <w:spacing w:line="360" w:lineRule="auto"/>
        <w:rPr>
          <w:rFonts w:ascii="宋体" w:hAnsi="宋体" w:cs="宋体"/>
          <w:b/>
          <w:bCs/>
          <w:sz w:val="24"/>
        </w:rPr>
      </w:pPr>
      <w:r>
        <w:rPr>
          <w:rFonts w:hint="eastAsia" w:ascii="宋体" w:hAnsi="宋体" w:cs="宋体"/>
          <w:b/>
          <w:bCs/>
          <w:sz w:val="24"/>
        </w:rPr>
        <w:t>四、新风净化处理设备参数要求</w:t>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8666" w:type="dxa"/>
            <w:noWrap w:val="0"/>
            <w:vAlign w:val="center"/>
          </w:tcPr>
          <w:p>
            <w:pPr>
              <w:spacing w:line="360" w:lineRule="auto"/>
              <w:jc w:val="center"/>
              <w:rPr>
                <w:rFonts w:ascii="宋体" w:hAnsi="宋体" w:cs="宋体"/>
                <w:color w:val="auto"/>
                <w:sz w:val="24"/>
              </w:rPr>
            </w:pPr>
            <w:r>
              <w:rPr>
                <w:rFonts w:hint="eastAsia" w:ascii="宋体" w:hAnsi="宋体" w:cs="宋体"/>
                <w:color w:val="auto"/>
                <w:sz w:val="24"/>
              </w:rPr>
              <w:t>要 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8666" w:type="dxa"/>
            <w:noWrap w:val="0"/>
            <w:vAlign w:val="center"/>
          </w:tcPr>
          <w:p>
            <w:pPr>
              <w:rPr>
                <w:rFonts w:ascii="宋体" w:hAnsi="宋体" w:cs="宋体"/>
                <w:color w:val="auto"/>
                <w:sz w:val="24"/>
              </w:rPr>
            </w:pPr>
            <w:r>
              <w:rPr>
                <w:rFonts w:hint="eastAsia" w:ascii="宋体" w:hAnsi="宋体" w:cs="宋体"/>
                <w:color w:val="auto"/>
                <w:sz w:val="24"/>
              </w:rPr>
              <w:t>1、投标品牌须提供权威机构出具的检测报告（复印件加盖制造商公章）。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8666" w:type="dxa"/>
            <w:noWrap w:val="0"/>
            <w:vAlign w:val="center"/>
          </w:tcPr>
          <w:p>
            <w:pPr>
              <w:spacing w:line="220" w:lineRule="atLeast"/>
              <w:rPr>
                <w:rFonts w:ascii="宋体" w:hAnsi="宋体" w:cs="宋体"/>
                <w:color w:val="auto"/>
                <w:sz w:val="24"/>
              </w:rPr>
            </w:pPr>
            <w:r>
              <w:rPr>
                <w:rFonts w:hint="eastAsia" w:ascii="宋体" w:hAnsi="宋体" w:cs="宋体"/>
                <w:color w:val="auto"/>
                <w:sz w:val="24"/>
              </w:rPr>
              <w:t>2、采用多重净化模块，纳米光催化模块可将有机污染物彻底分解去除效率高；（提供产品参数彩页等）。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666" w:type="dxa"/>
            <w:noWrap w:val="0"/>
            <w:vAlign w:val="top"/>
          </w:tcPr>
          <w:p>
            <w:pPr>
              <w:spacing w:line="220" w:lineRule="atLeast"/>
              <w:rPr>
                <w:rFonts w:ascii="宋体" w:hAnsi="宋体" w:cs="宋体"/>
                <w:color w:val="auto"/>
                <w:sz w:val="24"/>
              </w:rPr>
            </w:pPr>
            <w:r>
              <w:rPr>
                <w:rFonts w:hint="eastAsia" w:ascii="宋体" w:hAnsi="宋体" w:cs="宋体"/>
                <w:color w:val="auto"/>
                <w:sz w:val="24"/>
              </w:rPr>
              <w:t>3、采用EC离心式蜗壳风机，振动小、噪音小。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 w:hRule="atLeast"/>
          <w:jc w:val="center"/>
        </w:trPr>
        <w:tc>
          <w:tcPr>
            <w:tcW w:w="8666" w:type="dxa"/>
            <w:noWrap w:val="0"/>
            <w:vAlign w:val="top"/>
          </w:tcPr>
          <w:p>
            <w:pPr>
              <w:spacing w:line="220" w:lineRule="atLeast"/>
              <w:rPr>
                <w:rFonts w:ascii="宋体" w:hAnsi="宋体" w:cs="宋体"/>
                <w:color w:val="auto"/>
                <w:sz w:val="24"/>
              </w:rPr>
            </w:pPr>
            <w:r>
              <w:rPr>
                <w:rFonts w:hint="eastAsia" w:ascii="宋体" w:hAnsi="宋体" w:cs="宋体"/>
                <w:color w:val="auto"/>
                <w:sz w:val="24"/>
              </w:rPr>
              <w:t>4、内置显热交换器，能回收废气中75%以上的热量，节约能源。</w:t>
            </w:r>
          </w:p>
        </w:tc>
      </w:tr>
    </w:tbl>
    <w:p>
      <w:pPr>
        <w:spacing w:line="220" w:lineRule="atLeast"/>
        <w:rPr>
          <w:rFonts w:ascii="宋体" w:hAnsi="宋体" w:cs="宋体"/>
          <w:b/>
          <w:color w:val="auto"/>
          <w:sz w:val="24"/>
        </w:rPr>
      </w:pPr>
    </w:p>
    <w:p>
      <w:pPr>
        <w:spacing w:line="220" w:lineRule="atLeast"/>
        <w:rPr>
          <w:rFonts w:ascii="宋体" w:hAnsi="宋体" w:cs="宋体"/>
          <w:b/>
          <w:color w:val="auto"/>
          <w:sz w:val="24"/>
        </w:rPr>
      </w:pPr>
      <w:r>
        <w:rPr>
          <w:rFonts w:hint="eastAsia" w:ascii="宋体" w:hAnsi="宋体" w:cs="宋体"/>
          <w:b/>
          <w:color w:val="auto"/>
          <w:sz w:val="24"/>
        </w:rPr>
        <w:t>注：打“★”为实质性响应项,未实质性响应或不满足则作无效投标处理。</w:t>
      </w:r>
    </w:p>
    <w:bookmarkEnd w:id="0"/>
    <w:p>
      <w:pPr>
        <w:snapToGrid w:val="0"/>
        <w:rPr>
          <w:rFonts w:ascii="宋体" w:hAnsi="宋体" w:cs="宋体"/>
        </w:rPr>
      </w:pPr>
    </w:p>
    <w:p>
      <w:pPr>
        <w:pStyle w:val="3"/>
        <w:spacing w:before="0" w:after="0" w:line="360" w:lineRule="auto"/>
        <w:rPr>
          <w:rFonts w:ascii="宋体" w:hAnsi="宋体" w:eastAsia="宋体" w:cs="宋体"/>
          <w:bCs w:val="0"/>
          <w:sz w:val="24"/>
          <w:szCs w:val="24"/>
        </w:rPr>
      </w:pPr>
      <w:r>
        <w:rPr>
          <w:rFonts w:hint="eastAsia" w:ascii="宋体" w:hAnsi="宋体" w:eastAsia="宋体" w:cs="宋体"/>
          <w:bCs w:val="0"/>
          <w:sz w:val="24"/>
          <w:szCs w:val="24"/>
        </w:rPr>
        <w:t>五、其他要求</w:t>
      </w:r>
    </w:p>
    <w:p>
      <w:pPr>
        <w:widowControl/>
        <w:spacing w:line="360" w:lineRule="auto"/>
        <w:ind w:firstLine="588" w:firstLineChars="245"/>
        <w:jc w:val="left"/>
        <w:rPr>
          <w:rFonts w:ascii="宋体" w:hAnsi="宋体" w:cs="宋体"/>
          <w:sz w:val="24"/>
        </w:rPr>
      </w:pPr>
      <w:r>
        <w:rPr>
          <w:rFonts w:hint="eastAsia" w:ascii="宋体" w:hAnsi="宋体" w:cs="宋体"/>
          <w:sz w:val="24"/>
        </w:rPr>
        <w:t>1、投标产品必须是2017年1月1日以后生产的原厂合格产品，为当前市场主流通用机型、标准配置（即投标产品的配置、服务与投标产品生产制造商对外公众网站上公布的配置一致，不得另行制作网页），不得以任何名义的“专用机型”、“特配机型”参加投标，投标产品型号应与市场正常销售保持一致。所供产品与合同规定的型号、配置相一致，未曾开箱使用，产品安装调试完毕后，能在其功能范围内保障采购单位的系统安全、稳定运行，符合采购单位的采购要求。</w:t>
      </w:r>
    </w:p>
    <w:p>
      <w:pPr>
        <w:widowControl/>
        <w:spacing w:line="360" w:lineRule="auto"/>
        <w:ind w:firstLine="588" w:firstLineChars="245"/>
        <w:jc w:val="left"/>
        <w:rPr>
          <w:rFonts w:ascii="宋体" w:hAnsi="宋体" w:cs="宋体"/>
          <w:sz w:val="24"/>
        </w:rPr>
      </w:pPr>
      <w:r>
        <w:rPr>
          <w:rFonts w:hint="eastAsia" w:ascii="宋体" w:hAnsi="宋体" w:cs="宋体"/>
          <w:sz w:val="24"/>
        </w:rPr>
        <w:t>2、选件、配件、附件和耗材的供应：投标人必须提供所供产品选件、配件、附件和耗材的使用、消耗情况说明及优惠的供货价格作为参考。投标人在质保期内安装的任何零配件，必须是其投标产品生产制造商原产的或是经其认可第三方产品，能保证整机系统兼容和安全的；所有的替代零配件必须是新的未使用和未经修复的，除非采购单位提供书面许可，否则不可使用此范围外的其他（非新的）配件。</w:t>
      </w:r>
    </w:p>
    <w:p>
      <w:pPr>
        <w:widowControl/>
        <w:spacing w:line="360" w:lineRule="auto"/>
        <w:jc w:val="left"/>
        <w:rPr>
          <w:rFonts w:ascii="宋体" w:hAnsi="宋体" w:cs="宋体"/>
          <w:b/>
          <w:bCs/>
          <w:color w:val="auto"/>
          <w:kern w:val="2"/>
          <w:sz w:val="24"/>
          <w:szCs w:val="24"/>
        </w:rPr>
      </w:pPr>
      <w:r>
        <w:rPr>
          <w:rFonts w:hint="eastAsia" w:ascii="宋体" w:hAnsi="宋体" w:cs="宋体"/>
          <w:b/>
          <w:bCs/>
          <w:color w:val="auto"/>
          <w:kern w:val="2"/>
          <w:sz w:val="24"/>
          <w:szCs w:val="24"/>
        </w:rPr>
        <w:t>六、售后服务要求</w:t>
      </w:r>
    </w:p>
    <w:p>
      <w:pPr>
        <w:widowControl/>
        <w:spacing w:line="360" w:lineRule="auto"/>
        <w:ind w:firstLine="588" w:firstLineChars="245"/>
        <w:jc w:val="left"/>
        <w:rPr>
          <w:rFonts w:ascii="宋体" w:hAnsi="宋体" w:cs="宋体"/>
          <w:sz w:val="24"/>
        </w:rPr>
      </w:pPr>
      <w:r>
        <w:rPr>
          <w:rFonts w:hint="eastAsia" w:ascii="宋体" w:hAnsi="宋体" w:cs="宋体"/>
          <w:sz w:val="24"/>
        </w:rPr>
        <w:t>1、投标产品的功能若不是标准配置所具有的，而需加装功能模组、模块、功能板等，投标人必须声明。否则，由此引起的一切经济、法律问题将由投标人承担。</w:t>
      </w:r>
    </w:p>
    <w:p>
      <w:pPr>
        <w:widowControl/>
        <w:spacing w:line="360" w:lineRule="auto"/>
        <w:ind w:firstLine="588" w:firstLineChars="245"/>
        <w:jc w:val="left"/>
        <w:rPr>
          <w:rFonts w:ascii="宋体" w:hAnsi="宋体" w:cs="宋体"/>
          <w:sz w:val="24"/>
        </w:rPr>
      </w:pPr>
      <w:r>
        <w:rPr>
          <w:rFonts w:hint="eastAsia" w:ascii="宋体" w:hAnsi="宋体" w:cs="宋体"/>
          <w:sz w:val="24"/>
        </w:rPr>
        <w:t>2、在服务期内，如遇软件产品升级、改版，应免费提供更新、升级。</w:t>
      </w:r>
    </w:p>
    <w:p>
      <w:pPr>
        <w:widowControl/>
        <w:spacing w:line="360" w:lineRule="auto"/>
        <w:ind w:firstLine="588" w:firstLineChars="245"/>
        <w:jc w:val="left"/>
        <w:rPr>
          <w:rFonts w:ascii="宋体" w:hAnsi="宋体" w:cs="宋体"/>
          <w:sz w:val="24"/>
        </w:rPr>
      </w:pPr>
      <w:r>
        <w:rPr>
          <w:rFonts w:hint="eastAsia" w:ascii="宋体" w:hAnsi="宋体" w:cs="宋体"/>
          <w:sz w:val="24"/>
        </w:rPr>
        <w:t>3、投标产品生产制造厂家应具有完善的服务保障体系（在最终供货地有直接设立或授权的售后服务机构，并正常经营一年以上，配备有足够的、有相应资质的专业技术人员）。</w:t>
      </w:r>
    </w:p>
    <w:p>
      <w:pPr>
        <w:widowControl/>
        <w:spacing w:line="360" w:lineRule="auto"/>
        <w:ind w:firstLine="588" w:firstLineChars="245"/>
        <w:jc w:val="left"/>
        <w:rPr>
          <w:rFonts w:ascii="宋体" w:hAnsi="宋体" w:cs="宋体"/>
          <w:sz w:val="24"/>
        </w:rPr>
      </w:pPr>
      <w:r>
        <w:rPr>
          <w:rFonts w:hint="eastAsia" w:ascii="宋体" w:hAnsi="宋体" w:cs="宋体"/>
          <w:sz w:val="24"/>
        </w:rPr>
        <w:t>4、投标人应明确说明此次投标的服务策略，提供此次投标产品的服务计划（售后服务内容、等级、相关服务指标、售后服务组织机构及人员安排情况及其联络信息）。</w:t>
      </w:r>
    </w:p>
    <w:p>
      <w:pPr>
        <w:widowControl/>
        <w:spacing w:line="360" w:lineRule="auto"/>
        <w:ind w:firstLine="588" w:firstLineChars="245"/>
        <w:jc w:val="left"/>
        <w:rPr>
          <w:rFonts w:ascii="宋体" w:hAnsi="宋体" w:cs="宋体"/>
          <w:sz w:val="24"/>
        </w:rPr>
      </w:pPr>
      <w:r>
        <w:rPr>
          <w:rFonts w:hint="eastAsia" w:ascii="宋体" w:hAnsi="宋体" w:cs="宋体"/>
          <w:sz w:val="24"/>
        </w:rPr>
        <w:t>5、除在标准服务期内提供产品标准现场保修和技术支持服务外，还应另外提供服务期满后原厂续保服务的承诺及备品、备件支持，以满足采购单位硬件故障、升级的要求。</w:t>
      </w:r>
    </w:p>
    <w:p>
      <w:pPr>
        <w:widowControl/>
        <w:spacing w:line="360" w:lineRule="auto"/>
        <w:ind w:firstLine="588" w:firstLineChars="245"/>
        <w:jc w:val="left"/>
        <w:rPr>
          <w:rFonts w:ascii="宋体" w:hAnsi="宋体" w:cs="宋体"/>
          <w:sz w:val="24"/>
        </w:rPr>
      </w:pPr>
      <w:r>
        <w:rPr>
          <w:rFonts w:hint="eastAsia" w:ascii="宋体" w:hAnsi="宋体" w:cs="宋体"/>
          <w:sz w:val="24"/>
        </w:rPr>
        <w:t>6、当投标产品发生非人为因素严重故障时，中标人应当免费在七日内将补充或者更换的货物运抵发生故障的货物所在地，由此产生的一切相关费用由供货商负担。</w:t>
      </w:r>
    </w:p>
    <w:p>
      <w:pPr>
        <w:widowControl/>
        <w:spacing w:line="360" w:lineRule="auto"/>
        <w:ind w:firstLine="588" w:firstLineChars="245"/>
        <w:jc w:val="left"/>
        <w:rPr>
          <w:rFonts w:ascii="宋体" w:hAnsi="宋体" w:cs="宋体"/>
          <w:sz w:val="24"/>
        </w:rPr>
      </w:pPr>
      <w:r>
        <w:rPr>
          <w:rFonts w:hint="eastAsia" w:ascii="宋体" w:hAnsi="宋体" w:cs="宋体"/>
          <w:sz w:val="24"/>
        </w:rPr>
        <w:t>7、质保服务期内所有因更换、修理产品或部件而导致产品停止运行的时间应不计入质保服务期。</w:t>
      </w:r>
    </w:p>
    <w:p>
      <w:pPr>
        <w:widowControl/>
        <w:spacing w:line="360" w:lineRule="auto"/>
        <w:ind w:firstLine="588" w:firstLineChars="245"/>
        <w:jc w:val="left"/>
        <w:rPr>
          <w:rFonts w:ascii="宋体" w:hAnsi="宋体" w:cs="宋体"/>
          <w:sz w:val="24"/>
        </w:rPr>
      </w:pPr>
      <w:r>
        <w:rPr>
          <w:rFonts w:hint="eastAsia" w:ascii="宋体" w:hAnsi="宋体" w:cs="宋体"/>
          <w:sz w:val="24"/>
        </w:rPr>
        <w:t>8、中标人在质保服务期内安装的任何零配件，必须是其投标产品生产制造厂家原产的或是经其认可的第三方产品。</w:t>
      </w:r>
    </w:p>
    <w:p>
      <w:pPr>
        <w:widowControl/>
        <w:spacing w:line="360" w:lineRule="auto"/>
        <w:ind w:firstLine="588" w:firstLineChars="245"/>
        <w:jc w:val="left"/>
        <w:rPr>
          <w:rFonts w:ascii="宋体" w:hAnsi="宋体" w:cs="宋体"/>
          <w:sz w:val="24"/>
        </w:rPr>
      </w:pPr>
      <w:r>
        <w:rPr>
          <w:rFonts w:hint="eastAsia" w:ascii="宋体" w:hAnsi="宋体" w:cs="宋体"/>
          <w:sz w:val="24"/>
        </w:rPr>
        <w:t>9、所有的替代零配件必须是新的未使用和未经修复的。</w:t>
      </w:r>
    </w:p>
    <w:p>
      <w:pPr>
        <w:widowControl/>
        <w:spacing w:line="360" w:lineRule="auto"/>
        <w:ind w:firstLine="588" w:firstLineChars="245"/>
        <w:jc w:val="left"/>
        <w:rPr>
          <w:rFonts w:ascii="宋体" w:hAnsi="宋体" w:cs="宋体"/>
          <w:sz w:val="24"/>
        </w:rPr>
      </w:pPr>
      <w:r>
        <w:rPr>
          <w:rFonts w:hint="eastAsia" w:ascii="宋体" w:hAnsi="宋体" w:cs="宋体"/>
          <w:sz w:val="24"/>
        </w:rPr>
        <w:t>10、中标人必须为维修和技术支持所未能解决的问题和故障提供正式的升级方案。</w:t>
      </w:r>
    </w:p>
    <w:p>
      <w:pPr>
        <w:widowControl/>
        <w:spacing w:line="360" w:lineRule="auto"/>
        <w:ind w:firstLine="588" w:firstLineChars="245"/>
        <w:jc w:val="left"/>
        <w:rPr>
          <w:rFonts w:ascii="宋体" w:hAnsi="宋体" w:cs="宋体"/>
          <w:sz w:val="24"/>
        </w:rPr>
      </w:pPr>
      <w:r>
        <w:rPr>
          <w:rFonts w:hint="eastAsia" w:ascii="宋体" w:hAnsi="宋体" w:cs="宋体"/>
          <w:sz w:val="24"/>
        </w:rPr>
        <w:t>11、在质保服务期内，中标人有责任解决所提供的投标产品和软件系统的任何问题，在质保服务期满后，当需要时，中标人仍须对因投标产品本身的固有缺陷和瑕疵承担相应责任。</w:t>
      </w:r>
    </w:p>
    <w:p>
      <w:pPr>
        <w:widowControl/>
        <w:spacing w:line="360" w:lineRule="auto"/>
        <w:ind w:firstLine="588" w:firstLineChars="245"/>
        <w:jc w:val="left"/>
        <w:rPr>
          <w:rFonts w:ascii="宋体" w:hAnsi="宋体" w:cs="宋体"/>
          <w:sz w:val="24"/>
        </w:rPr>
      </w:pPr>
      <w:r>
        <w:rPr>
          <w:rFonts w:hint="eastAsia" w:ascii="宋体" w:hAnsi="宋体" w:cs="宋体"/>
          <w:sz w:val="24"/>
        </w:rPr>
        <w:t>12、对产品服务要求的有效响应将被视为投标人和供货商对其所投标产品的服务承诺，如果中标，须将服务承诺列入合同的产品服务条款。</w:t>
      </w:r>
    </w:p>
    <w:p>
      <w:pPr>
        <w:widowControl/>
        <w:spacing w:line="360" w:lineRule="auto"/>
        <w:ind w:firstLine="590" w:firstLineChars="245"/>
        <w:jc w:val="left"/>
        <w:rPr>
          <w:rFonts w:ascii="宋体" w:hAnsi="宋体" w:cs="宋体"/>
          <w:b/>
          <w:sz w:val="24"/>
        </w:rPr>
      </w:pPr>
      <w:r>
        <w:rPr>
          <w:rFonts w:hint="eastAsia" w:ascii="宋体" w:hAnsi="宋体" w:cs="宋体"/>
          <w:b/>
          <w:sz w:val="24"/>
        </w:rPr>
        <w:t>13、保修时间至少二年，具体按照投标人投标文件中承诺执行。</w:t>
      </w:r>
    </w:p>
    <w:p>
      <w:pPr>
        <w:widowControl/>
        <w:spacing w:line="360" w:lineRule="auto"/>
        <w:ind w:firstLine="588" w:firstLineChars="245"/>
        <w:jc w:val="left"/>
        <w:rPr>
          <w:rFonts w:ascii="宋体" w:hAnsi="宋体" w:cs="宋体"/>
          <w:sz w:val="24"/>
        </w:rPr>
      </w:pPr>
      <w:r>
        <w:rPr>
          <w:rFonts w:hint="eastAsia" w:ascii="宋体" w:hAnsi="宋体" w:cs="宋体"/>
          <w:sz w:val="24"/>
        </w:rPr>
        <w:t xml:space="preserve">14、空调室内机室外机电源及室外机基础由业主方提供，不含在本次招标范围内。 </w:t>
      </w:r>
    </w:p>
    <w:p>
      <w:pPr>
        <w:rPr>
          <w:rFonts w:ascii="宋体" w:hAnsi="宋体" w:cs="宋体"/>
          <w:b/>
          <w:kern w:val="44"/>
          <w:sz w:val="32"/>
          <w:szCs w:val="32"/>
        </w:rPr>
      </w:pPr>
      <w:r>
        <w:rPr>
          <w:rFonts w:hint="eastAsia" w:ascii="宋体" w:hAnsi="宋体" w:cs="宋体"/>
          <w:b/>
          <w:sz w:val="24"/>
        </w:rPr>
        <w:t>七、付款方式及履约保证金</w:t>
      </w:r>
    </w:p>
    <w:p>
      <w:pPr>
        <w:spacing w:line="360" w:lineRule="auto"/>
        <w:ind w:firstLine="480" w:firstLineChars="200"/>
        <w:rPr>
          <w:rFonts w:ascii="宋体" w:hAnsi="宋体" w:cs="宋体"/>
          <w:color w:val="auto"/>
          <w:sz w:val="24"/>
        </w:rPr>
      </w:pPr>
      <w:r>
        <w:rPr>
          <w:rFonts w:hint="eastAsia" w:ascii="宋体" w:hAnsi="宋体" w:cs="宋体"/>
          <w:color w:val="auto"/>
          <w:sz w:val="24"/>
        </w:rPr>
        <w:t>1、签订合同前，中标人须向采购单位交入中标价</w:t>
      </w:r>
      <w:r>
        <w:rPr>
          <w:rFonts w:hint="eastAsia" w:ascii="宋体" w:hAnsi="宋体" w:cs="宋体"/>
          <w:color w:val="auto"/>
          <w:sz w:val="24"/>
          <w:lang w:val="en-US" w:eastAsia="zh-CN"/>
        </w:rPr>
        <w:t>5</w:t>
      </w:r>
      <w:r>
        <w:rPr>
          <w:rFonts w:hint="eastAsia" w:ascii="宋体" w:hAnsi="宋体" w:cs="宋体"/>
          <w:color w:val="auto"/>
          <w:sz w:val="24"/>
        </w:rPr>
        <w:t>%的履约保证金。履约保证金在采购单位将货物（服务、工程）验收合格后10日内无息退还给。</w:t>
      </w:r>
    </w:p>
    <w:p>
      <w:pPr>
        <w:spacing w:line="360" w:lineRule="auto"/>
        <w:ind w:firstLine="480" w:firstLineChars="200"/>
        <w:rPr>
          <w:rFonts w:ascii="宋体" w:hAnsi="宋体" w:cs="宋体"/>
          <w:color w:val="auto"/>
          <w:sz w:val="24"/>
        </w:rPr>
      </w:pPr>
      <w:r>
        <w:rPr>
          <w:rFonts w:hint="eastAsia" w:ascii="宋体" w:hAnsi="宋体" w:cs="宋体"/>
          <w:color w:val="auto"/>
          <w:sz w:val="24"/>
        </w:rPr>
        <w:t>2、中标设备室内机进场验收合格后10日内采购人向中标人支付合同总价款的40%，空调主机进场验收合格后10日内采购人向中标人支付合同总价款的30%，安装调试完毕通过采购人正式验收合格后10日内再支付总合同款的25%，同时退还履约保证金（无息）；剩余5%作为质量保证金，若无质量问题，质保期满后付清（无息）。</w:t>
      </w:r>
    </w:p>
    <w:p>
      <w:pPr>
        <w:spacing w:line="360" w:lineRule="auto"/>
        <w:rPr>
          <w:rFonts w:ascii="宋体" w:hAnsi="宋体" w:cs="宋体"/>
          <w:b/>
          <w:color w:val="auto"/>
          <w:sz w:val="24"/>
        </w:rPr>
      </w:pPr>
      <w:r>
        <w:rPr>
          <w:rFonts w:hint="eastAsia" w:ascii="宋体" w:hAnsi="宋体" w:cs="宋体"/>
          <w:b/>
          <w:color w:val="auto"/>
          <w:sz w:val="24"/>
        </w:rPr>
        <w:t>八、最高限价</w:t>
      </w:r>
    </w:p>
    <w:p>
      <w:pPr>
        <w:spacing w:line="360" w:lineRule="auto"/>
        <w:ind w:firstLine="482" w:firstLineChars="200"/>
        <w:jc w:val="left"/>
        <w:rPr>
          <w:rFonts w:hint="eastAsia" w:ascii="黑体" w:hAnsi="宋体" w:eastAsia="黑体"/>
          <w:sz w:val="44"/>
          <w:szCs w:val="44"/>
        </w:rPr>
      </w:pPr>
      <w:r>
        <w:rPr>
          <w:rFonts w:hint="eastAsia" w:ascii="宋体" w:hAnsi="宋体" w:cs="宋体"/>
          <w:b/>
          <w:color w:val="auto"/>
          <w:sz w:val="24"/>
        </w:rPr>
        <w:t>本次采购最高限价为人民币</w:t>
      </w:r>
      <w:r>
        <w:rPr>
          <w:rFonts w:hint="eastAsia" w:ascii="宋体" w:hAnsi="宋体" w:cs="宋体"/>
          <w:b/>
          <w:color w:val="auto"/>
          <w:sz w:val="24"/>
          <w:u w:val="single"/>
          <w:lang w:eastAsia="zh-CN"/>
        </w:rPr>
        <w:t>玖拾柒万</w:t>
      </w:r>
      <w:r>
        <w:rPr>
          <w:rFonts w:hint="eastAsia" w:ascii="宋体" w:hAnsi="宋体" w:cs="宋体"/>
          <w:b/>
          <w:color w:val="auto"/>
          <w:sz w:val="24"/>
          <w:u w:val="single"/>
        </w:rPr>
        <w:t>元整（</w:t>
      </w:r>
      <w:r>
        <w:rPr>
          <w:rFonts w:hint="eastAsia" w:ascii="宋体" w:hAnsi="宋体" w:cs="宋体"/>
          <w:b/>
          <w:bCs/>
          <w:color w:val="auto"/>
          <w:sz w:val="24"/>
          <w:u w:val="single"/>
        </w:rPr>
        <w:t>¥</w:t>
      </w:r>
      <w:r>
        <w:rPr>
          <w:rFonts w:hint="eastAsia" w:ascii="宋体" w:hAnsi="宋体" w:cs="宋体"/>
          <w:b/>
          <w:color w:val="auto"/>
          <w:sz w:val="24"/>
          <w:u w:val="single"/>
        </w:rPr>
        <w:t xml:space="preserve"> </w:t>
      </w:r>
      <w:r>
        <w:rPr>
          <w:rFonts w:hint="eastAsia" w:ascii="宋体" w:hAnsi="宋体" w:cs="宋体"/>
          <w:b/>
          <w:color w:val="auto"/>
          <w:sz w:val="24"/>
          <w:u w:val="single"/>
          <w:lang w:val="en-US" w:eastAsia="zh-CN"/>
        </w:rPr>
        <w:t>970000.00</w:t>
      </w:r>
      <w:r>
        <w:rPr>
          <w:rFonts w:hint="eastAsia" w:ascii="宋体" w:hAnsi="宋体" w:cs="宋体"/>
          <w:b/>
          <w:color w:val="auto"/>
          <w:sz w:val="24"/>
          <w:u w:val="single"/>
        </w:rPr>
        <w:t xml:space="preserve"> 元）</w:t>
      </w:r>
      <w:r>
        <w:rPr>
          <w:rFonts w:hint="eastAsia" w:ascii="宋体" w:hAnsi="宋体" w:cs="宋体"/>
          <w:b/>
          <w:color w:val="auto"/>
          <w:sz w:val="24"/>
        </w:rPr>
        <w:t>，任何超过最高限价的报价将被认定为无效报价</w:t>
      </w:r>
      <w:r>
        <w:rPr>
          <w:rFonts w:hint="eastAsia" w:ascii="宋体" w:hAnsi="宋体" w:cs="宋体"/>
          <w:b/>
          <w:bCs/>
          <w:color w:val="auto"/>
          <w:sz w:val="24"/>
        </w:rPr>
        <w:t>（本项目投标报价包括人工、材料、设</w:t>
      </w:r>
      <w:r>
        <w:rPr>
          <w:rFonts w:hint="eastAsia" w:ascii="宋体" w:hAnsi="宋体" w:cs="宋体"/>
          <w:b/>
          <w:bCs/>
          <w:sz w:val="24"/>
        </w:rPr>
        <w:t>备、安装、税金等本项目实施的一切费用）</w:t>
      </w:r>
      <w:r>
        <w:rPr>
          <w:rFonts w:hint="eastAsia" w:ascii="宋体" w:hAnsi="宋体" w:cs="宋体"/>
          <w:b/>
          <w:sz w:val="24"/>
        </w:rPr>
        <w:t>。</w:t>
      </w:r>
    </w:p>
    <w:p>
      <w:pPr>
        <w:spacing w:line="360" w:lineRule="auto"/>
        <w:ind w:firstLine="420" w:firstLineChars="200"/>
        <w:jc w:val="left"/>
      </w:pPr>
    </w:p>
    <w:p>
      <w:pPr>
        <w:spacing w:line="360" w:lineRule="auto"/>
        <w:ind w:firstLine="480" w:firstLineChars="200"/>
        <w:jc w:val="left"/>
        <w:rPr>
          <w:rFonts w:hint="eastAsia" w:ascii="宋体" w:hAnsi="宋体" w:cs="宋体"/>
          <w:sz w:val="24"/>
        </w:rPr>
      </w:pPr>
    </w:p>
    <w:sectPr>
      <w:pgSz w:w="11906" w:h="16838"/>
      <w:pgMar w:top="1236" w:right="1236" w:bottom="1236" w:left="123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1" w:usb1="080E0000" w:usb2="00000010" w:usb3="00000000" w:csb0="00040000" w:csb1="00000000"/>
  </w:font>
  <w:font w:name="Lucida Sans">
    <w:panose1 w:val="020B0602030504020204"/>
    <w:charset w:val="00"/>
    <w:family w:val="swiss"/>
    <w:pitch w:val="default"/>
    <w:sig w:usb0="00000003" w:usb1="00000000" w:usb2="00000000" w:usb3="00000000" w:csb0="2000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3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00000002"/>
    <w:multiLevelType w:val="multilevel"/>
    <w:tmpl w:val="00000002"/>
    <w:lvl w:ilvl="0" w:tentative="0">
      <w:start w:val="1"/>
      <w:numFmt w:val="japaneseCounting"/>
      <w:lvlText w:val="第%1章"/>
      <w:lvlJc w:val="left"/>
      <w:pPr>
        <w:tabs>
          <w:tab w:val="left" w:pos="1995"/>
        </w:tabs>
        <w:ind w:left="1995" w:hanging="1275"/>
      </w:pPr>
      <w:rPr>
        <w:rFonts w:hint="eastAsia"/>
      </w:rPr>
    </w:lvl>
    <w:lvl w:ilvl="1" w:tentative="0">
      <w:start w:val="1"/>
      <w:numFmt w:val="japaneseCounting"/>
      <w:lvlText w:val="%2、"/>
      <w:lvlJc w:val="left"/>
      <w:pPr>
        <w:tabs>
          <w:tab w:val="left" w:pos="1860"/>
        </w:tabs>
        <w:ind w:left="1860" w:hanging="720"/>
      </w:pPr>
      <w:rPr>
        <w:rFonts w:hint="eastAsia"/>
      </w:rPr>
    </w:lvl>
    <w:lvl w:ilvl="2" w:tentative="0">
      <w:start w:val="1"/>
      <w:numFmt w:val="lowerRoman"/>
      <w:pStyle w:val="28"/>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2">
    <w:nsid w:val="00000003"/>
    <w:multiLevelType w:val="singleLevel"/>
    <w:tmpl w:val="00000003"/>
    <w:lvl w:ilvl="0" w:tentative="0">
      <w:start w:val="1"/>
      <w:numFmt w:val="decimal"/>
      <w:pStyle w:val="8"/>
      <w:lvlText w:val="%1."/>
      <w:lvlJc w:val="left"/>
      <w:pPr>
        <w:tabs>
          <w:tab w:val="left" w:pos="1200"/>
        </w:tabs>
        <w:ind w:left="120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C8B"/>
    <w:rsid w:val="00015DCB"/>
    <w:rsid w:val="0003714E"/>
    <w:rsid w:val="0004364A"/>
    <w:rsid w:val="0005241C"/>
    <w:rsid w:val="000617FA"/>
    <w:rsid w:val="000777CE"/>
    <w:rsid w:val="00081AB4"/>
    <w:rsid w:val="000912A1"/>
    <w:rsid w:val="0009619E"/>
    <w:rsid w:val="000D0107"/>
    <w:rsid w:val="000E01F3"/>
    <w:rsid w:val="000F1460"/>
    <w:rsid w:val="000F26A8"/>
    <w:rsid w:val="00150958"/>
    <w:rsid w:val="001521D5"/>
    <w:rsid w:val="00156ED0"/>
    <w:rsid w:val="001A708B"/>
    <w:rsid w:val="001B3479"/>
    <w:rsid w:val="001B77F2"/>
    <w:rsid w:val="001D1A63"/>
    <w:rsid w:val="001D2531"/>
    <w:rsid w:val="001F1908"/>
    <w:rsid w:val="00211DC9"/>
    <w:rsid w:val="00241AAB"/>
    <w:rsid w:val="00252CA6"/>
    <w:rsid w:val="00274036"/>
    <w:rsid w:val="00284883"/>
    <w:rsid w:val="00291E80"/>
    <w:rsid w:val="00295746"/>
    <w:rsid w:val="002A4B52"/>
    <w:rsid w:val="002B1D68"/>
    <w:rsid w:val="003215C2"/>
    <w:rsid w:val="0033081A"/>
    <w:rsid w:val="003501C7"/>
    <w:rsid w:val="0039331A"/>
    <w:rsid w:val="003A1B26"/>
    <w:rsid w:val="003A2A04"/>
    <w:rsid w:val="003D5E89"/>
    <w:rsid w:val="0042691E"/>
    <w:rsid w:val="00436BE1"/>
    <w:rsid w:val="00452F47"/>
    <w:rsid w:val="00464BAF"/>
    <w:rsid w:val="00464CDC"/>
    <w:rsid w:val="00491F3A"/>
    <w:rsid w:val="004B5C61"/>
    <w:rsid w:val="004C07CA"/>
    <w:rsid w:val="004C198D"/>
    <w:rsid w:val="0052298A"/>
    <w:rsid w:val="00531353"/>
    <w:rsid w:val="00546666"/>
    <w:rsid w:val="00546A07"/>
    <w:rsid w:val="005A2239"/>
    <w:rsid w:val="005A2B38"/>
    <w:rsid w:val="005E4991"/>
    <w:rsid w:val="005F4B25"/>
    <w:rsid w:val="0060294F"/>
    <w:rsid w:val="006341BD"/>
    <w:rsid w:val="00644800"/>
    <w:rsid w:val="00685197"/>
    <w:rsid w:val="00692269"/>
    <w:rsid w:val="006968CE"/>
    <w:rsid w:val="006B2E0C"/>
    <w:rsid w:val="006B7C42"/>
    <w:rsid w:val="006D7B8C"/>
    <w:rsid w:val="00741FE9"/>
    <w:rsid w:val="00750802"/>
    <w:rsid w:val="007531A0"/>
    <w:rsid w:val="007674D4"/>
    <w:rsid w:val="007A0A99"/>
    <w:rsid w:val="007A16E6"/>
    <w:rsid w:val="007C57A1"/>
    <w:rsid w:val="00825CC8"/>
    <w:rsid w:val="008477C1"/>
    <w:rsid w:val="00866A81"/>
    <w:rsid w:val="008C6C2C"/>
    <w:rsid w:val="008D1FC7"/>
    <w:rsid w:val="008D2C0D"/>
    <w:rsid w:val="0091049B"/>
    <w:rsid w:val="00934298"/>
    <w:rsid w:val="00964EC7"/>
    <w:rsid w:val="00987DAE"/>
    <w:rsid w:val="00992D60"/>
    <w:rsid w:val="009A479E"/>
    <w:rsid w:val="009B49E6"/>
    <w:rsid w:val="009B740F"/>
    <w:rsid w:val="009E3A4B"/>
    <w:rsid w:val="00A00DC1"/>
    <w:rsid w:val="00A2463A"/>
    <w:rsid w:val="00A27AB9"/>
    <w:rsid w:val="00A430CC"/>
    <w:rsid w:val="00A615ED"/>
    <w:rsid w:val="00A61CD7"/>
    <w:rsid w:val="00A64FE7"/>
    <w:rsid w:val="00A7198B"/>
    <w:rsid w:val="00A84FA8"/>
    <w:rsid w:val="00AD1852"/>
    <w:rsid w:val="00AD4E2A"/>
    <w:rsid w:val="00AF3DED"/>
    <w:rsid w:val="00B1521D"/>
    <w:rsid w:val="00B3376A"/>
    <w:rsid w:val="00B47DC7"/>
    <w:rsid w:val="00B50075"/>
    <w:rsid w:val="00B5601F"/>
    <w:rsid w:val="00B757C4"/>
    <w:rsid w:val="00B85880"/>
    <w:rsid w:val="00BB0C8F"/>
    <w:rsid w:val="00BC607F"/>
    <w:rsid w:val="00BC6401"/>
    <w:rsid w:val="00BD7493"/>
    <w:rsid w:val="00BE0698"/>
    <w:rsid w:val="00C55355"/>
    <w:rsid w:val="00C72491"/>
    <w:rsid w:val="00D76B72"/>
    <w:rsid w:val="00DC04AC"/>
    <w:rsid w:val="00DE0A98"/>
    <w:rsid w:val="00E0496B"/>
    <w:rsid w:val="00E62602"/>
    <w:rsid w:val="00E867C2"/>
    <w:rsid w:val="00E90E4E"/>
    <w:rsid w:val="00EA3131"/>
    <w:rsid w:val="00EA4E8A"/>
    <w:rsid w:val="00ED4624"/>
    <w:rsid w:val="00EE5AB1"/>
    <w:rsid w:val="00EF0628"/>
    <w:rsid w:val="00F06BB4"/>
    <w:rsid w:val="00F10166"/>
    <w:rsid w:val="00F1482E"/>
    <w:rsid w:val="00F47A70"/>
    <w:rsid w:val="00F858F5"/>
    <w:rsid w:val="00FD6A97"/>
    <w:rsid w:val="00FF1F7C"/>
    <w:rsid w:val="01CC6233"/>
    <w:rsid w:val="01DE1216"/>
    <w:rsid w:val="02561264"/>
    <w:rsid w:val="0443189D"/>
    <w:rsid w:val="07280EDE"/>
    <w:rsid w:val="07BB0472"/>
    <w:rsid w:val="081D7732"/>
    <w:rsid w:val="087E3516"/>
    <w:rsid w:val="09251C1C"/>
    <w:rsid w:val="095051D9"/>
    <w:rsid w:val="0A265D8F"/>
    <w:rsid w:val="0A2974EC"/>
    <w:rsid w:val="0B3573FD"/>
    <w:rsid w:val="0C004836"/>
    <w:rsid w:val="0DF57747"/>
    <w:rsid w:val="0EA1561F"/>
    <w:rsid w:val="0F2C2585"/>
    <w:rsid w:val="0FEF71EC"/>
    <w:rsid w:val="12707485"/>
    <w:rsid w:val="12CF4FA1"/>
    <w:rsid w:val="14096AF8"/>
    <w:rsid w:val="152239D0"/>
    <w:rsid w:val="16CF52B0"/>
    <w:rsid w:val="16E24A70"/>
    <w:rsid w:val="1A046C3F"/>
    <w:rsid w:val="1AB15720"/>
    <w:rsid w:val="1B763DA6"/>
    <w:rsid w:val="1BE246D4"/>
    <w:rsid w:val="1D2132C3"/>
    <w:rsid w:val="1E1B19D9"/>
    <w:rsid w:val="1F104B56"/>
    <w:rsid w:val="1F366979"/>
    <w:rsid w:val="20555098"/>
    <w:rsid w:val="21C56E0B"/>
    <w:rsid w:val="21D71B4D"/>
    <w:rsid w:val="22082824"/>
    <w:rsid w:val="22D8758A"/>
    <w:rsid w:val="24160F09"/>
    <w:rsid w:val="24A66359"/>
    <w:rsid w:val="2670393F"/>
    <w:rsid w:val="26F721AA"/>
    <w:rsid w:val="27625C56"/>
    <w:rsid w:val="2786565B"/>
    <w:rsid w:val="27912A47"/>
    <w:rsid w:val="281235FC"/>
    <w:rsid w:val="28753706"/>
    <w:rsid w:val="29F97EF7"/>
    <w:rsid w:val="2A02417F"/>
    <w:rsid w:val="2B286B0A"/>
    <w:rsid w:val="2B866A34"/>
    <w:rsid w:val="2BC952DD"/>
    <w:rsid w:val="2CC82464"/>
    <w:rsid w:val="2D025723"/>
    <w:rsid w:val="2D08121D"/>
    <w:rsid w:val="2DBD725E"/>
    <w:rsid w:val="2E682669"/>
    <w:rsid w:val="2F201AB4"/>
    <w:rsid w:val="2F4C5635"/>
    <w:rsid w:val="30AB70F3"/>
    <w:rsid w:val="30D4342F"/>
    <w:rsid w:val="346E0977"/>
    <w:rsid w:val="3481124E"/>
    <w:rsid w:val="34DD0ADE"/>
    <w:rsid w:val="34EB19C9"/>
    <w:rsid w:val="351B624A"/>
    <w:rsid w:val="35AD31D6"/>
    <w:rsid w:val="36152AA3"/>
    <w:rsid w:val="364E6365"/>
    <w:rsid w:val="36B666B3"/>
    <w:rsid w:val="38EE47D4"/>
    <w:rsid w:val="39E312F4"/>
    <w:rsid w:val="3ACC6A13"/>
    <w:rsid w:val="3B740A91"/>
    <w:rsid w:val="3C783BF2"/>
    <w:rsid w:val="3D3712DF"/>
    <w:rsid w:val="3D4B1967"/>
    <w:rsid w:val="3DCB4209"/>
    <w:rsid w:val="3E214B43"/>
    <w:rsid w:val="3F5A6319"/>
    <w:rsid w:val="4095761C"/>
    <w:rsid w:val="40F60709"/>
    <w:rsid w:val="42C0666C"/>
    <w:rsid w:val="437927CF"/>
    <w:rsid w:val="45C66F7A"/>
    <w:rsid w:val="45ED0E21"/>
    <w:rsid w:val="46197CBB"/>
    <w:rsid w:val="47057D02"/>
    <w:rsid w:val="48874305"/>
    <w:rsid w:val="48F729FB"/>
    <w:rsid w:val="4A94062C"/>
    <w:rsid w:val="4B98338E"/>
    <w:rsid w:val="4BF3769B"/>
    <w:rsid w:val="4C3E2354"/>
    <w:rsid w:val="4C945B24"/>
    <w:rsid w:val="4D413E83"/>
    <w:rsid w:val="4DB94F9A"/>
    <w:rsid w:val="4E5030BA"/>
    <w:rsid w:val="4EB82B6F"/>
    <w:rsid w:val="503D3B72"/>
    <w:rsid w:val="505C10A7"/>
    <w:rsid w:val="5098273B"/>
    <w:rsid w:val="510F109E"/>
    <w:rsid w:val="53D774A4"/>
    <w:rsid w:val="54684C00"/>
    <w:rsid w:val="54981879"/>
    <w:rsid w:val="54AE0967"/>
    <w:rsid w:val="5617152C"/>
    <w:rsid w:val="564B582F"/>
    <w:rsid w:val="57226F68"/>
    <w:rsid w:val="572E6A26"/>
    <w:rsid w:val="57CB0D46"/>
    <w:rsid w:val="57EE1233"/>
    <w:rsid w:val="5800327D"/>
    <w:rsid w:val="58430DC4"/>
    <w:rsid w:val="58B15556"/>
    <w:rsid w:val="5B106C74"/>
    <w:rsid w:val="5C4E6DF9"/>
    <w:rsid w:val="5D6864DD"/>
    <w:rsid w:val="5E792B73"/>
    <w:rsid w:val="5F4235F1"/>
    <w:rsid w:val="600A083F"/>
    <w:rsid w:val="6101159B"/>
    <w:rsid w:val="62E1032B"/>
    <w:rsid w:val="63A65E9A"/>
    <w:rsid w:val="63C42C6E"/>
    <w:rsid w:val="64F0188C"/>
    <w:rsid w:val="64F01EBF"/>
    <w:rsid w:val="64F02128"/>
    <w:rsid w:val="653E19BB"/>
    <w:rsid w:val="66EE02E3"/>
    <w:rsid w:val="66F52088"/>
    <w:rsid w:val="682D6A88"/>
    <w:rsid w:val="6B5A141D"/>
    <w:rsid w:val="6B8B446A"/>
    <w:rsid w:val="6B962BF7"/>
    <w:rsid w:val="6BA74EE0"/>
    <w:rsid w:val="6BDD483C"/>
    <w:rsid w:val="6D8661BA"/>
    <w:rsid w:val="6DC41C38"/>
    <w:rsid w:val="6E434A41"/>
    <w:rsid w:val="6E6A56F1"/>
    <w:rsid w:val="6E7E0090"/>
    <w:rsid w:val="6F946539"/>
    <w:rsid w:val="6FBE0E45"/>
    <w:rsid w:val="6FC602E0"/>
    <w:rsid w:val="715E6F0F"/>
    <w:rsid w:val="716D74C9"/>
    <w:rsid w:val="71815501"/>
    <w:rsid w:val="73710069"/>
    <w:rsid w:val="73840889"/>
    <w:rsid w:val="75374770"/>
    <w:rsid w:val="7556766B"/>
    <w:rsid w:val="76593912"/>
    <w:rsid w:val="78E7233C"/>
    <w:rsid w:val="793E76CD"/>
    <w:rsid w:val="799E7BEB"/>
    <w:rsid w:val="7A2064BA"/>
    <w:rsid w:val="7A4B1D24"/>
    <w:rsid w:val="7B15798C"/>
    <w:rsid w:val="7D7D6C6B"/>
    <w:rsid w:val="7E304A70"/>
    <w:rsid w:val="7F602461"/>
    <w:rsid w:val="7FB26C4D"/>
    <w:rsid w:val="7FC0431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eastAsia="宋体" w:cs="Times New Roman"/>
      <w:b/>
      <w:kern w:val="44"/>
      <w:sz w:val="44"/>
    </w:rPr>
  </w:style>
  <w:style w:type="paragraph" w:styleId="3">
    <w:name w:val="heading 2"/>
    <w:basedOn w:val="1"/>
    <w:next w:val="1"/>
    <w:qFormat/>
    <w:uiPriority w:val="0"/>
    <w:pPr>
      <w:keepNext/>
      <w:keepLines/>
      <w:autoSpaceDE/>
      <w:autoSpaceDN/>
      <w:adjustRightInd/>
      <w:spacing w:before="260" w:after="260" w:line="416" w:lineRule="auto"/>
      <w:outlineLvl w:val="1"/>
    </w:pPr>
    <w:rPr>
      <w:rFonts w:ascii="Arial" w:hAnsi="Arial" w:eastAsia="黑体" w:cs="Times New Roman"/>
      <w:b/>
      <w:bCs/>
      <w:color w:val="auto"/>
      <w:kern w:val="2"/>
      <w:sz w:val="32"/>
      <w:szCs w:val="32"/>
    </w:rPr>
  </w:style>
  <w:style w:type="paragraph" w:styleId="4">
    <w:name w:val="heading 3"/>
    <w:basedOn w:val="1"/>
    <w:next w:val="1"/>
    <w:qFormat/>
    <w:uiPriority w:val="0"/>
    <w:pPr>
      <w:keepNext/>
      <w:keepLines/>
      <w:autoSpaceDE w:val="0"/>
      <w:autoSpaceDN w:val="0"/>
      <w:adjustRightInd w:val="0"/>
      <w:spacing w:before="260" w:after="260" w:line="416" w:lineRule="auto"/>
      <w:outlineLvl w:val="2"/>
    </w:pPr>
    <w:rPr>
      <w:rFonts w:ascii="Times New Roman" w:hAnsi="Times New Roman" w:eastAsia="宋体" w:cs="Times New Roman"/>
      <w:b/>
      <w:bCs/>
      <w:color w:val="000000"/>
      <w:kern w:val="0"/>
      <w:sz w:val="32"/>
      <w:szCs w:val="32"/>
    </w:rPr>
  </w:style>
  <w:style w:type="character" w:default="1" w:styleId="17">
    <w:name w:val="Default Paragraph Font"/>
    <w:uiPriority w:val="0"/>
    <w:rPr>
      <w:rFonts w:ascii="Tahoma" w:hAnsi="Tahoma" w:eastAsia="宋体" w:cs="Times New Roman"/>
      <w:color w:val="auto"/>
      <w:kern w:val="2"/>
      <w:sz w:val="24"/>
      <w:szCs w:val="20"/>
    </w:rPr>
  </w:style>
  <w:style w:type="table" w:default="1" w:styleId="15">
    <w:name w:val="Normal Table"/>
    <w:uiPriority w:val="0"/>
    <w:rPr>
      <w:rFonts w:ascii="Times New Roman" w:hAnsi="Times New Roman" w:eastAsia="宋体" w:cs="Times New Roman"/>
    </w:rPr>
    <w:tblPr>
      <w:tblStyle w:val="15"/>
      <w:tblCellMar>
        <w:top w:w="0" w:type="dxa"/>
        <w:left w:w="108" w:type="dxa"/>
        <w:bottom w:w="0" w:type="dxa"/>
        <w:right w:w="108" w:type="dxa"/>
      </w:tblCellMar>
    </w:tblPr>
  </w:style>
  <w:style w:type="paragraph" w:styleId="5">
    <w:name w:val="Normal Indent"/>
    <w:basedOn w:val="1"/>
    <w:uiPriority w:val="0"/>
    <w:pPr>
      <w:ind w:firstLine="420"/>
    </w:pPr>
    <w:rPr>
      <w:rFonts w:ascii="Calibri" w:hAnsi="Calibri" w:eastAsia="宋体" w:cs="Times New Roman"/>
      <w:szCs w:val="22"/>
    </w:rPr>
  </w:style>
  <w:style w:type="paragraph" w:styleId="6">
    <w:name w:val="Document Map"/>
    <w:basedOn w:val="1"/>
    <w:link w:val="24"/>
    <w:uiPriority w:val="0"/>
    <w:rPr>
      <w:rFonts w:ascii="宋体" w:eastAsia="宋体"/>
      <w:sz w:val="18"/>
      <w:szCs w:val="18"/>
    </w:rPr>
  </w:style>
  <w:style w:type="paragraph" w:styleId="7">
    <w:name w:val="Body Text"/>
    <w:basedOn w:val="1"/>
    <w:uiPriority w:val="0"/>
    <w:pPr>
      <w:spacing w:after="120"/>
    </w:pPr>
    <w:rPr>
      <w:rFonts w:ascii="Times New Roman" w:hAnsi="Times New Roman" w:eastAsia="宋体" w:cs="Times New Roman"/>
    </w:rPr>
  </w:style>
  <w:style w:type="paragraph" w:styleId="8">
    <w:name w:val="List Number 3"/>
    <w:basedOn w:val="1"/>
    <w:uiPriority w:val="0"/>
    <w:pPr>
      <w:numPr>
        <w:ilvl w:val="0"/>
        <w:numId w:val="1"/>
      </w:numPr>
    </w:pPr>
    <w:rPr>
      <w:rFonts w:ascii="Times New Roman" w:hAnsi="Times New Roman" w:eastAsia="宋体" w:cs="Times New Roman"/>
    </w:rPr>
  </w:style>
  <w:style w:type="paragraph" w:styleId="9">
    <w:name w:val="Plain Text"/>
    <w:basedOn w:val="1"/>
    <w:uiPriority w:val="0"/>
    <w:pPr>
      <w:autoSpaceDE/>
      <w:autoSpaceDN/>
      <w:adjustRightInd/>
    </w:pPr>
    <w:rPr>
      <w:rFonts w:ascii="Times New Roman" w:hAnsi="Times New Roman" w:eastAsia="宋体" w:cs="Times New Roman"/>
      <w:color w:val="auto"/>
      <w:kern w:val="2"/>
      <w:sz w:val="24"/>
      <w:szCs w:val="20"/>
    </w:rPr>
  </w:style>
  <w:style w:type="paragraph" w:styleId="10">
    <w:name w:val="Balloon Text"/>
    <w:basedOn w:val="1"/>
    <w:uiPriority w:val="0"/>
    <w:rPr>
      <w:rFonts w:ascii="Times New Roman" w:hAnsi="Times New Roman" w:eastAsia="宋体" w:cs="Times New Roman"/>
      <w:sz w:val="18"/>
      <w:szCs w:val="18"/>
    </w:rPr>
  </w:style>
  <w:style w:type="paragraph" w:styleId="11">
    <w:name w:val="footer"/>
    <w:basedOn w:val="1"/>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2">
    <w:name w:val="header"/>
    <w:basedOn w:val="1"/>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3">
    <w:name w:val="index 7"/>
    <w:basedOn w:val="1"/>
    <w:next w:val="1"/>
    <w:uiPriority w:val="0"/>
    <w:pPr>
      <w:ind w:left="1200" w:leftChars="1200"/>
    </w:pPr>
    <w:rPr>
      <w:rFonts w:ascii="Times New Roman" w:hAnsi="Times New Roman" w:eastAsia="宋体" w:cs="Times New Roman"/>
    </w:rPr>
  </w:style>
  <w:style w:type="paragraph" w:styleId="14">
    <w:name w:val="Normal (Web)"/>
    <w:basedOn w:val="1"/>
    <w:uiPriority w:val="0"/>
    <w:pPr>
      <w:widowControl/>
      <w:autoSpaceDE/>
      <w:autoSpaceDN/>
      <w:adjustRightInd/>
      <w:spacing w:before="100" w:beforeAutospacing="1" w:after="100" w:afterAutospacing="1"/>
      <w:jc w:val="left"/>
    </w:pPr>
    <w:rPr>
      <w:rFonts w:ascii="宋体" w:hAnsi="宋体" w:eastAsia="宋体" w:cs="宋体"/>
      <w:color w:val="auto"/>
      <w:sz w:val="24"/>
      <w:szCs w:val="24"/>
    </w:rPr>
  </w:style>
  <w:style w:type="table" w:styleId="16">
    <w:name w:val="Table Grid"/>
    <w:basedOn w:val="15"/>
    <w:uiPriority w:val="0"/>
    <w:pPr>
      <w:widowControl w:val="0"/>
      <w:jc w:val="both"/>
    </w:pPr>
    <w:rPr>
      <w:rFonts w:ascii="Times New Roman" w:hAnsi="Times New Roman" w:eastAsia="宋体" w:cs="Times New Roman"/>
    </w:rPr>
    <w:tblPr>
      <w:tblStyle w:val="1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uiPriority w:val="0"/>
    <w:rPr>
      <w:rFonts w:ascii="Times New Roman" w:hAnsi="Times New Roman" w:eastAsia="宋体" w:cs="Times New Roman"/>
      <w:color w:val="auto"/>
      <w:kern w:val="2"/>
      <w:sz w:val="24"/>
      <w:szCs w:val="20"/>
    </w:rPr>
  </w:style>
  <w:style w:type="character" w:customStyle="1" w:styleId="19">
    <w:name w:val="font41"/>
    <w:uiPriority w:val="0"/>
    <w:rPr>
      <w:rFonts w:hint="eastAsia" w:ascii="宋体" w:hAnsi="宋体" w:eastAsia="宋体" w:cs="宋体"/>
      <w:color w:val="000000"/>
      <w:kern w:val="2"/>
      <w:sz w:val="20"/>
      <w:szCs w:val="20"/>
      <w:u w:val="none"/>
    </w:rPr>
  </w:style>
  <w:style w:type="character" w:customStyle="1" w:styleId="20">
    <w:name w:val="font01"/>
    <w:uiPriority w:val="0"/>
    <w:rPr>
      <w:rFonts w:hint="eastAsia" w:ascii="宋体" w:hAnsi="宋体" w:eastAsia="宋体" w:cs="宋体"/>
      <w:color w:val="000000"/>
      <w:kern w:val="2"/>
      <w:sz w:val="22"/>
      <w:szCs w:val="22"/>
      <w:u w:val="none"/>
    </w:rPr>
  </w:style>
  <w:style w:type="character" w:customStyle="1" w:styleId="21">
    <w:name w:val="font31"/>
    <w:uiPriority w:val="0"/>
    <w:rPr>
      <w:rFonts w:hint="eastAsia" w:ascii="宋体" w:hAnsi="宋体" w:eastAsia="宋体" w:cs="宋体"/>
      <w:color w:val="000000"/>
      <w:kern w:val="2"/>
      <w:sz w:val="20"/>
      <w:szCs w:val="20"/>
      <w:u w:val="none"/>
    </w:rPr>
  </w:style>
  <w:style w:type="character" w:customStyle="1" w:styleId="22">
    <w:name w:val="明显强调1"/>
    <w:uiPriority w:val="0"/>
    <w:rPr>
      <w:rFonts w:ascii="Times New Roman" w:hAnsi="Times New Roman" w:eastAsia="宋体" w:cs="Times New Roman"/>
      <w:b/>
      <w:bCs/>
      <w:i/>
      <w:iCs/>
      <w:color w:val="4F81BD"/>
    </w:rPr>
  </w:style>
  <w:style w:type="character" w:customStyle="1" w:styleId="23">
    <w:name w:val="标题 1 Char Char"/>
    <w:uiPriority w:val="0"/>
    <w:rPr>
      <w:rFonts w:ascii="Times New Roman" w:hAnsi="Times New Roman" w:eastAsia="宋体" w:cs="Times New Roman"/>
      <w:b/>
      <w:spacing w:val="-2"/>
      <w:sz w:val="24"/>
      <w:lang w:val="en-US" w:eastAsia="zh-CN"/>
    </w:rPr>
  </w:style>
  <w:style w:type="character" w:customStyle="1" w:styleId="24">
    <w:name w:val="文档结构图 Char"/>
    <w:link w:val="6"/>
    <w:uiPriority w:val="0"/>
    <w:rPr>
      <w:rFonts w:ascii="宋体" w:hAnsi="Tahoma" w:eastAsia="宋体" w:cs="Times New Roman"/>
      <w:color w:val="auto"/>
      <w:kern w:val="2"/>
      <w:sz w:val="18"/>
      <w:szCs w:val="18"/>
    </w:rPr>
  </w:style>
  <w:style w:type="character" w:customStyle="1" w:styleId="25">
    <w:name w:val="apple-style-span"/>
    <w:uiPriority w:val="0"/>
    <w:rPr>
      <w:rFonts w:ascii="Times New Roman" w:hAnsi="Times New Roman" w:eastAsia="宋体" w:cs="Times New Roman"/>
    </w:rPr>
  </w:style>
  <w:style w:type="paragraph" w:customStyle="1" w:styleId="26">
    <w:name w:val="封面标准文稿编辑信息"/>
    <w:uiPriority w:val="0"/>
    <w:pPr>
      <w:spacing w:before="180" w:line="180" w:lineRule="exact"/>
      <w:jc w:val="center"/>
    </w:pPr>
    <w:rPr>
      <w:rFonts w:ascii="宋体"/>
      <w:sz w:val="21"/>
      <w:szCs w:val="22"/>
      <w:lang w:val="en-US" w:eastAsia="zh-CN" w:bidi="ar-SA"/>
    </w:rPr>
  </w:style>
  <w:style w:type="paragraph" w:customStyle="1" w:styleId="27">
    <w:name w:val="p0"/>
    <w:next w:val="13"/>
    <w:uiPriority w:val="0"/>
    <w:pPr>
      <w:snapToGrid w:val="0"/>
    </w:pPr>
    <w:rPr>
      <w:sz w:val="21"/>
      <w:szCs w:val="21"/>
      <w:lang w:val="en-US" w:eastAsia="zh-CN" w:bidi="ar-SA"/>
    </w:rPr>
  </w:style>
  <w:style w:type="paragraph" w:customStyle="1" w:styleId="28">
    <w:name w:val="二级条标题"/>
    <w:basedOn w:val="1"/>
    <w:next w:val="1"/>
    <w:uiPriority w:val="0"/>
    <w:pPr>
      <w:numPr>
        <w:ilvl w:val="2"/>
        <w:numId w:val="2"/>
      </w:numPr>
      <w:adjustRightInd/>
      <w:snapToGrid/>
      <w:spacing w:before="50" w:after="50"/>
      <w:outlineLvl w:val="3"/>
    </w:pPr>
    <w:rPr>
      <w:rFonts w:ascii="黑体" w:hAnsi="Times New Roman" w:eastAsia="黑体" w:cs="Times New Roman"/>
      <w:sz w:val="21"/>
      <w:szCs w:val="21"/>
    </w:rPr>
  </w:style>
  <w:style w:type="paragraph" w:customStyle="1" w:styleId="29">
    <w:name w:val="正文文字2"/>
    <w:basedOn w:val="7"/>
    <w:uiPriority w:val="0"/>
    <w:pPr>
      <w:autoSpaceDE/>
      <w:autoSpaceDN/>
      <w:spacing w:after="60" w:line="360" w:lineRule="atLeast"/>
      <w:ind w:left="72" w:right="72"/>
      <w:jc w:val="center"/>
      <w:textAlignment w:val="baseline"/>
    </w:pPr>
    <w:rPr>
      <w:rFonts w:ascii="Arial" w:hAnsi="Times New Roman" w:eastAsia="黑体" w:cs="Times New Roman"/>
      <w:color w:val="auto"/>
      <w:szCs w:val="20"/>
    </w:rPr>
  </w:style>
  <w:style w:type="paragraph" w:customStyle="1" w:styleId="30">
    <w:name w:val="xc正文"/>
    <w:basedOn w:val="1"/>
    <w:uiPriority w:val="0"/>
    <w:pPr>
      <w:ind w:firstLine="200" w:firstLineChars="200"/>
    </w:pPr>
    <w:rPr>
      <w:rFonts w:ascii="Times New Roman" w:hAnsi="Times New Roman" w:eastAsia="宋体" w:cs="Times New Roman"/>
      <w:szCs w:val="24"/>
    </w:rPr>
  </w:style>
  <w:style w:type="paragraph" w:customStyle="1" w:styleId="31">
    <w:name w:val="Default"/>
    <w:uiPriority w:val="0"/>
    <w:pPr>
      <w:widowControl w:val="0"/>
      <w:autoSpaceDE w:val="0"/>
      <w:autoSpaceDN w:val="0"/>
      <w:adjustRightInd w:val="0"/>
    </w:pPr>
    <w:rPr>
      <w:color w:val="000000"/>
      <w:sz w:val="24"/>
      <w:szCs w:val="24"/>
      <w:lang w:val="en-US" w:eastAsia="zh-CN" w:bidi="ar-SA"/>
    </w:rPr>
  </w:style>
  <w:style w:type="paragraph" w:customStyle="1" w:styleId="32">
    <w:name w:val="正文段"/>
    <w:basedOn w:val="1"/>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33">
    <w:name w:val="正文表标题"/>
    <w:next w:val="1"/>
    <w:uiPriority w:val="0"/>
    <w:pPr>
      <w:numPr>
        <w:ilvl w:val="0"/>
        <w:numId w:val="3"/>
      </w:numPr>
      <w:tabs>
        <w:tab w:val="left" w:pos="360"/>
        <w:tab w:val="clear" w:pos="432"/>
      </w:tabs>
      <w:spacing w:beforeLines="50" w:after="200" w:afterLines="50"/>
      <w:jc w:val="center"/>
    </w:pPr>
    <w:rPr>
      <w:rFonts w:ascii="黑体" w:eastAsia="黑体"/>
      <w:sz w:val="21"/>
      <w:szCs w:val="22"/>
      <w:lang w:val="en-US" w:eastAsia="zh-CN" w:bidi="ar-SA"/>
    </w:rPr>
  </w:style>
  <w:style w:type="paragraph" w:customStyle="1" w:styleId="34">
    <w:name w:val="_Style 39"/>
    <w:basedOn w:val="6"/>
    <w:uiPriority w:val="0"/>
    <w:pPr>
      <w:shd w:val="clear" w:color="auto" w:fill="000080"/>
      <w:adjustRightInd w:val="0"/>
      <w:spacing w:line="436" w:lineRule="exact"/>
      <w:ind w:left="357"/>
      <w:jc w:val="left"/>
      <w:outlineLvl w:val="3"/>
    </w:pPr>
    <w:rPr>
      <w:rFonts w:ascii="Times New Roman" w:hAnsi="Times New Roman"/>
      <w:sz w:val="21"/>
      <w:szCs w:val="21"/>
    </w:rPr>
  </w:style>
  <w:style w:type="paragraph" w:customStyle="1" w:styleId="35">
    <w:name w:val="纯文本1"/>
    <w:basedOn w:val="1"/>
    <w:uiPriority w:val="0"/>
    <w:pPr>
      <w:ind w:firstLine="280" w:firstLineChars="100"/>
    </w:pPr>
    <w:rPr>
      <w:rFonts w:ascii="Times New Roman" w:hAnsi="宋体" w:eastAsia="宋体" w:cs="Courier New"/>
      <w:szCs w:val="21"/>
    </w:rPr>
  </w:style>
  <w:style w:type="paragraph" w:customStyle="1" w:styleId="36">
    <w:name w:val=" Char3 Char Char Char"/>
    <w:basedOn w:val="1"/>
    <w:uiPriority w:val="0"/>
    <w:rPr>
      <w:rFonts w:ascii="Tahoma" w:hAnsi="Tahoma" w:eastAsia="Times New Roman" w:cs="Times New Roman"/>
      <w:sz w:val="24"/>
      <w:szCs w:val="20"/>
      <w:lang/>
    </w:rPr>
  </w:style>
  <w:style w:type="paragraph" w:customStyle="1" w:styleId="37">
    <w:name w:val="List Paragraph"/>
    <w:basedOn w:val="1"/>
    <w:uiPriority w:val="0"/>
    <w:pPr>
      <w:ind w:firstLine="420" w:firstLineChars="200"/>
    </w:pPr>
    <w:rPr>
      <w:rFonts w:ascii="Times New Roman" w:hAnsi="Times New Roman" w:eastAsia="宋体" w:cs="Times New Roman"/>
    </w:rPr>
  </w:style>
  <w:style w:type="paragraph" w:customStyle="1" w:styleId="38">
    <w:name w:val="四级目录 Char Char Char Char Char"/>
    <w:next w:val="1"/>
    <w:uiPriority w:val="0"/>
    <w:pPr>
      <w:spacing w:line="360" w:lineRule="auto"/>
      <w:ind w:left="200" w:leftChars="200"/>
    </w:pPr>
    <w:rPr>
      <w:lang w:val="en-US" w:eastAsia="zh-CN" w:bidi="ar-SA"/>
    </w:rPr>
  </w:style>
  <w:style w:type="paragraph" w:customStyle="1" w:styleId="39">
    <w:name w:val="列出段落1"/>
    <w:basedOn w:val="1"/>
    <w:uiPriority w:val="0"/>
    <w:pPr>
      <w:autoSpaceDE/>
      <w:autoSpaceDN/>
      <w:adjustRightInd/>
      <w:spacing w:line="360" w:lineRule="auto"/>
      <w:ind w:firstLine="200" w:firstLineChars="200"/>
    </w:pPr>
    <w:rPr>
      <w:rFonts w:ascii="Times New Roman" w:hAnsi="Times New Roman" w:eastAsia="楷体_GB2312" w:cs="Lucida Sans"/>
      <w:color w:val="auto"/>
      <w:kern w:val="2"/>
      <w:sz w:val="24"/>
      <w:szCs w:val="24"/>
    </w:rPr>
  </w:style>
  <w:style w:type="paragraph" w:customStyle="1" w:styleId="40">
    <w:name w:val="Char Char Char Char1"/>
    <w:basedOn w:val="1"/>
    <w:uiPriority w:val="0"/>
    <w:pPr>
      <w:autoSpaceDE/>
      <w:autoSpaceDN/>
      <w:adjustRightInd/>
    </w:pPr>
    <w:rPr>
      <w:rFonts w:ascii="Tahoma" w:hAnsi="Tahoma" w:eastAsia="宋体" w:cs="Times New Roman"/>
      <w:color w:val="auto"/>
      <w:kern w:val="2"/>
      <w:sz w:val="24"/>
      <w:szCs w:val="2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numbering.xml" Type="http://schemas.openxmlformats.org/officeDocument/2006/relationships/numbering"/><Relationship Id="rId5"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1467</Words>
  <Characters>8364</Characters>
  <Lines>69</Lines>
  <Paragraphs>19</Paragraphs>
  <TotalTime>10</TotalTime>
  <ScaleCrop>false</ScaleCrop>
  <LinksUpToDate>false</LinksUpToDate>
  <CharactersWithSpaces>9812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2018-09-21T13:30:00Z</dcterms:created>
  <dc:creator>jin</dc:creator>
  <cp:lastModifiedBy>WPS_1701756769</cp:lastModifiedBy>
  <cp:lastPrinted>2019-08-30T02:01:55Z</cp:lastPrinted>
  <dcterms:modified xsi:type="dcterms:W3CDTF">2024-02-23T02:37:18Z</dcterms:modified>
  <cp:revision>3</cp:revision>
  <dc:title>诸暨市残疾人联合会大病医疗和意外伤害补充商业保险</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FFD84CDA09F24A579578F56700289B1A_13</vt:lpwstr>
  </property>
</Properties>
</file>