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sz w:val="36"/>
        </w:rPr>
      </w:pPr>
      <w:r>
        <w:rPr>
          <w:rFonts w:hint="eastAsia" w:ascii="宋体" w:hAnsi="宋体" w:cs="宋体"/>
          <w:b/>
          <w:bCs/>
          <w:sz w:val="30"/>
          <w:szCs w:val="30"/>
        </w:rPr>
        <w:t>浙江宇康工程管理咨询有限公司关于绍兴市上虞区文化广电旅游局上虞区“智慧文体”项目的征求意见</w:t>
      </w:r>
    </w:p>
    <w:p>
      <w:pPr>
        <w:jc w:val="center"/>
        <w:rPr>
          <w:rFonts w:ascii="宋体" w:hAnsi="宋体" w:cs="宋体"/>
          <w:b/>
          <w:bCs/>
          <w:sz w:val="24"/>
        </w:rPr>
      </w:pPr>
    </w:p>
    <w:p>
      <w:pPr>
        <w:pStyle w:val="17"/>
        <w:shd w:val="clear" w:color="auto" w:fill="FFFFFF"/>
        <w:spacing w:before="0" w:beforeAutospacing="0" w:after="0" w:afterAutospacing="0" w:line="460" w:lineRule="exact"/>
      </w:pPr>
      <w:r>
        <w:rPr>
          <w:rFonts w:hint="eastAsia"/>
        </w:rPr>
        <w:t>一、征求意见范围：</w:t>
      </w:r>
      <w:bookmarkStart w:id="260" w:name="_GoBack"/>
      <w:bookmarkEnd w:id="260"/>
    </w:p>
    <w:p>
      <w:pPr>
        <w:pStyle w:val="17"/>
        <w:shd w:val="clear" w:color="auto" w:fill="FFFFFF"/>
        <w:spacing w:before="0" w:beforeAutospacing="0" w:after="0" w:afterAutospacing="0" w:line="460" w:lineRule="exact"/>
        <w:ind w:firstLine="480" w:firstLineChars="200"/>
      </w:pPr>
      <w:r>
        <w:rPr>
          <w:rFonts w:hint="eastAsia"/>
        </w:rPr>
        <w:t>1、是否出现明显的倾向性意见和特定的性能指标；</w:t>
      </w:r>
    </w:p>
    <w:p>
      <w:pPr>
        <w:pStyle w:val="17"/>
        <w:shd w:val="clear" w:color="auto" w:fill="FFFFFF"/>
        <w:spacing w:before="0" w:beforeAutospacing="0" w:after="0" w:afterAutospacing="0" w:line="460" w:lineRule="exact"/>
        <w:ind w:firstLine="480" w:firstLineChars="200"/>
      </w:pPr>
      <w:r>
        <w:rPr>
          <w:rFonts w:hint="eastAsia"/>
        </w:rPr>
        <w:t>2、影响政府采购“公开、公平、公正”原则的其他情况。</w:t>
      </w:r>
    </w:p>
    <w:p>
      <w:pPr>
        <w:pStyle w:val="17"/>
        <w:shd w:val="clear" w:color="auto" w:fill="FFFFFF"/>
        <w:spacing w:before="0" w:beforeAutospacing="0" w:after="0" w:afterAutospacing="0" w:line="460" w:lineRule="exact"/>
      </w:pPr>
      <w:r>
        <w:rPr>
          <w:rFonts w:hint="eastAsia"/>
        </w:rPr>
        <w:t>二、投标供应商资格要求：</w:t>
      </w:r>
    </w:p>
    <w:p>
      <w:pPr>
        <w:widowControl/>
        <w:spacing w:line="460" w:lineRule="exact"/>
        <w:ind w:firstLine="480" w:firstLineChars="200"/>
        <w:jc w:val="left"/>
        <w:rPr>
          <w:rFonts w:hint="eastAsia" w:ascii="宋体" w:hAnsi="宋体" w:cs="宋体"/>
          <w:bCs/>
          <w:iCs/>
          <w:sz w:val="24"/>
        </w:rPr>
      </w:pPr>
      <w:r>
        <w:rPr>
          <w:rFonts w:hint="eastAsia" w:ascii="宋体" w:hAnsi="宋体" w:cs="宋体"/>
          <w:bCs/>
          <w:iCs/>
          <w:sz w:val="24"/>
        </w:rPr>
        <w:t>1．符合政府采购法第二十二条，且未被“信用中国”（www.creditchina.gov.cn）、中国政府采购网（www.ccgp.gov.cn）列入失信被执行人、重大税收违法案件当事人名单、政府采购严重违法失信行为记录名单。 </w:t>
      </w:r>
    </w:p>
    <w:p>
      <w:pPr>
        <w:widowControl/>
        <w:spacing w:line="460" w:lineRule="exact"/>
        <w:ind w:firstLine="480" w:firstLineChars="200"/>
        <w:jc w:val="left"/>
        <w:rPr>
          <w:rFonts w:hint="eastAsia" w:ascii="宋体" w:hAnsi="宋体" w:cs="宋体"/>
          <w:bCs/>
          <w:iCs/>
          <w:sz w:val="24"/>
        </w:rPr>
      </w:pPr>
      <w:r>
        <w:rPr>
          <w:rFonts w:hint="eastAsia" w:ascii="宋体" w:hAnsi="宋体" w:cs="宋体"/>
          <w:bCs/>
          <w:iCs/>
          <w:sz w:val="24"/>
        </w:rPr>
        <w:t>2．本次招标</w:t>
      </w:r>
      <w:r>
        <w:rPr>
          <w:rFonts w:hint="eastAsia" w:ascii="宋体" w:hAnsi="宋体" w:cs="宋体"/>
          <w:bCs/>
          <w:iCs/>
          <w:sz w:val="24"/>
          <w:u w:val="single"/>
        </w:rPr>
        <w:t xml:space="preserve"> 不接受 </w:t>
      </w:r>
      <w:r>
        <w:rPr>
          <w:rFonts w:hint="eastAsia" w:ascii="宋体" w:hAnsi="宋体" w:cs="宋体"/>
          <w:bCs/>
          <w:iCs/>
          <w:sz w:val="24"/>
        </w:rPr>
        <w:t>联合体投标。</w:t>
      </w:r>
    </w:p>
    <w:p>
      <w:pPr>
        <w:widowControl/>
        <w:spacing w:line="460" w:lineRule="exact"/>
        <w:ind w:firstLine="480" w:firstLineChars="200"/>
        <w:jc w:val="left"/>
        <w:rPr>
          <w:rFonts w:ascii="宋体" w:hAnsi="宋体" w:cs="宋体"/>
          <w:bCs/>
          <w:iCs/>
          <w:sz w:val="24"/>
        </w:rPr>
      </w:pPr>
      <w:r>
        <w:rPr>
          <w:rFonts w:hint="eastAsia" w:ascii="宋体" w:hAnsi="宋体" w:cs="宋体"/>
          <w:bCs/>
          <w:iCs/>
          <w:sz w:val="24"/>
          <w:lang w:val="en-US" w:eastAsia="zh-CN"/>
        </w:rPr>
        <w:t>3</w:t>
      </w:r>
      <w:r>
        <w:rPr>
          <w:rFonts w:hint="eastAsia" w:ascii="宋体" w:hAnsi="宋体" w:cs="宋体"/>
          <w:bCs/>
          <w:iCs/>
          <w:sz w:val="24"/>
        </w:rPr>
        <w:t>．本次招标采用资格后审的审查方式，由采购人负责审查。</w:t>
      </w:r>
    </w:p>
    <w:p>
      <w:pPr>
        <w:pStyle w:val="17"/>
        <w:shd w:val="clear" w:color="auto" w:fill="FFFFFF"/>
        <w:spacing w:before="0" w:beforeAutospacing="0" w:after="0" w:afterAutospacing="0" w:line="460" w:lineRule="exact"/>
      </w:pPr>
      <w:r>
        <w:rPr>
          <w:rFonts w:hint="eastAsia"/>
        </w:rPr>
        <w:t>三、征求意见回复：</w:t>
      </w:r>
    </w:p>
    <w:p>
      <w:pPr>
        <w:pStyle w:val="17"/>
        <w:shd w:val="clear" w:color="auto" w:fill="FFFFFF"/>
        <w:spacing w:before="0" w:beforeAutospacing="0" w:after="0" w:afterAutospacing="0" w:line="460" w:lineRule="exact"/>
      </w:pPr>
      <w:r>
        <w:rPr>
          <w:rFonts w:hint="eastAsia"/>
        </w:rPr>
        <w:t>   1、意见递交时间：2020年</w:t>
      </w:r>
      <w:r>
        <w:rPr>
          <w:rFonts w:hint="eastAsia"/>
          <w:lang w:val="en-US" w:eastAsia="zh-CN"/>
        </w:rPr>
        <w:t>7</w:t>
      </w:r>
      <w:r>
        <w:rPr>
          <w:rFonts w:hint="eastAsia"/>
        </w:rPr>
        <w:t>月</w:t>
      </w:r>
      <w:r>
        <w:rPr>
          <w:rFonts w:hint="eastAsia"/>
          <w:lang w:val="en-US" w:eastAsia="zh-CN"/>
        </w:rPr>
        <w:t>8</w:t>
      </w:r>
      <w:r>
        <w:rPr>
          <w:rFonts w:hint="eastAsia"/>
        </w:rPr>
        <w:t>日16时30分前（节假日除外）递交</w:t>
      </w:r>
    </w:p>
    <w:p>
      <w:pPr>
        <w:pStyle w:val="17"/>
        <w:shd w:val="clear" w:color="auto" w:fill="FFFFFF"/>
        <w:spacing w:before="0" w:beforeAutospacing="0" w:after="0" w:afterAutospacing="0" w:line="460" w:lineRule="exact"/>
      </w:pPr>
      <w:r>
        <w:rPr>
          <w:rFonts w:hint="eastAsia"/>
        </w:rPr>
        <w:t xml:space="preserve">  </w:t>
      </w:r>
      <w:r>
        <w:rPr>
          <w:rFonts w:hint="eastAsia"/>
          <w:lang w:val="en-US" w:eastAsia="zh-CN"/>
        </w:rPr>
        <w:t xml:space="preserve"> 2、</w:t>
      </w:r>
      <w:r>
        <w:rPr>
          <w:rFonts w:hint="eastAsia"/>
        </w:rPr>
        <w:t>意见递交方式：各供应商及专家提出修改理由和建议的，将书面材料签字（盖章）并密封后送至浙江宇康工程管理咨询有限公司，外地可将扫描件发送邮箱至2685821374@qq.com，扫描件必须签字（盖章）。</w:t>
      </w:r>
    </w:p>
    <w:p>
      <w:pPr>
        <w:pStyle w:val="17"/>
        <w:numPr>
          <w:ilvl w:val="0"/>
          <w:numId w:val="4"/>
        </w:numPr>
        <w:shd w:val="clear" w:color="auto" w:fill="FFFFFF"/>
        <w:spacing w:before="0" w:beforeAutospacing="0" w:after="0" w:afterAutospacing="0" w:line="460" w:lineRule="exact"/>
        <w:ind w:left="480" w:leftChars="0" w:firstLine="0" w:firstLineChars="0"/>
        <w:rPr>
          <w:rFonts w:hint="eastAsia"/>
        </w:rPr>
      </w:pPr>
      <w:r>
        <w:rPr>
          <w:rFonts w:hint="eastAsia"/>
        </w:rPr>
        <w:t>意见接收机构：</w:t>
      </w:r>
    </w:p>
    <w:p>
      <w:pPr>
        <w:pStyle w:val="17"/>
        <w:numPr>
          <w:ilvl w:val="0"/>
          <w:numId w:val="0"/>
        </w:numPr>
        <w:shd w:val="clear" w:color="auto" w:fill="FFFFFF"/>
        <w:spacing w:before="0" w:beforeAutospacing="0" w:after="0" w:afterAutospacing="0" w:line="460" w:lineRule="exact"/>
        <w:ind w:left="480" w:leftChars="0"/>
        <w:rPr>
          <w:rFonts w:hint="eastAsia" w:eastAsia="宋体"/>
          <w:lang w:eastAsia="zh-CN"/>
        </w:rPr>
      </w:pPr>
      <w:r>
        <w:rPr>
          <w:rFonts w:hint="eastAsia"/>
          <w:lang w:eastAsia="zh-CN"/>
        </w:rPr>
        <w:t>浙江宇康工程管理咨询有限公司</w:t>
      </w:r>
      <w:r>
        <w:rPr>
          <w:rFonts w:hint="eastAsia"/>
        </w:rPr>
        <w:t>/绍兴市上虞区文化广电旅游局</w:t>
      </w:r>
    </w:p>
    <w:p>
      <w:pPr>
        <w:pStyle w:val="17"/>
        <w:shd w:val="clear" w:color="auto" w:fill="FFFFFF"/>
        <w:spacing w:before="0" w:beforeAutospacing="0" w:after="0" w:afterAutospacing="0" w:line="460" w:lineRule="exact"/>
        <w:rPr>
          <w:rFonts w:hint="eastAsia" w:eastAsia="宋体"/>
          <w:lang w:val="en-US" w:eastAsia="zh-CN"/>
        </w:rPr>
      </w:pPr>
      <w:r>
        <w:rPr>
          <w:rFonts w:hint="eastAsia"/>
        </w:rPr>
        <w:t>   4、联系人：</w:t>
      </w:r>
      <w:r>
        <w:rPr>
          <w:rFonts w:hint="eastAsia"/>
          <w:lang w:eastAsia="zh-CN"/>
        </w:rPr>
        <w:t>陈圣楠</w:t>
      </w:r>
      <w:r>
        <w:rPr>
          <w:rFonts w:hint="eastAsia"/>
          <w:lang w:val="en-US" w:eastAsia="zh-CN"/>
        </w:rPr>
        <w:t xml:space="preserve"> / 柯女士</w:t>
      </w:r>
    </w:p>
    <w:p>
      <w:pPr>
        <w:pStyle w:val="17"/>
        <w:shd w:val="clear" w:color="auto" w:fill="FFFFFF"/>
        <w:spacing w:before="0" w:beforeAutospacing="0" w:after="0" w:afterAutospacing="0" w:line="460" w:lineRule="exact"/>
        <w:rPr>
          <w:rFonts w:hint="eastAsia" w:eastAsia="宋体"/>
          <w:lang w:eastAsia="zh-CN"/>
        </w:rPr>
      </w:pPr>
      <w:r>
        <w:rPr>
          <w:rFonts w:hint="eastAsia"/>
        </w:rPr>
        <w:t>   5、联系电话：</w:t>
      </w:r>
      <w:r>
        <w:rPr>
          <w:rFonts w:hint="eastAsia"/>
          <w:lang w:val="en-US" w:eastAsia="zh-CN"/>
        </w:rPr>
        <w:t>15925891926/0575-82131098</w:t>
      </w:r>
      <w:r>
        <w:rPr>
          <w:rFonts w:hint="eastAsia"/>
        </w:rPr>
        <w:t xml:space="preserve"> </w:t>
      </w:r>
      <w:r>
        <w:rPr>
          <w:rFonts w:hint="eastAsia" w:cs="仿宋_GB2312"/>
          <w:lang w:val="en-US" w:eastAsia="zh-CN"/>
        </w:rPr>
        <w:t xml:space="preserve"> </w:t>
      </w:r>
    </w:p>
    <w:p>
      <w:pPr>
        <w:widowControl/>
        <w:spacing w:line="324" w:lineRule="atLeast"/>
        <w:jc w:val="center"/>
        <w:rPr>
          <w:rFonts w:ascii="宋体" w:hAnsi="宋体" w:cs="宋体"/>
          <w:kern w:val="0"/>
          <w:sz w:val="24"/>
        </w:rPr>
      </w:pPr>
    </w:p>
    <w:p>
      <w:pPr>
        <w:widowControl/>
        <w:spacing w:line="324" w:lineRule="atLeast"/>
        <w:jc w:val="center"/>
      </w:pPr>
    </w:p>
    <w:p>
      <w:pPr>
        <w:widowControl/>
        <w:spacing w:line="324" w:lineRule="atLeast"/>
        <w:jc w:val="center"/>
      </w:pPr>
    </w:p>
    <w:p>
      <w:pPr>
        <w:pStyle w:val="17"/>
        <w:shd w:val="clear" w:color="auto" w:fill="FFFFFF"/>
        <w:spacing w:before="0" w:beforeAutospacing="0" w:after="0" w:afterAutospacing="0" w:line="460" w:lineRule="exact"/>
        <w:jc w:val="center"/>
        <w:rPr>
          <w:rFonts w:hint="eastAsia" w:eastAsia="宋体"/>
          <w:color w:val="000000"/>
          <w:szCs w:val="21"/>
          <w:lang w:eastAsia="zh-CN"/>
        </w:rPr>
      </w:pPr>
      <w:r>
        <w:rPr>
          <w:rFonts w:hint="eastAsia" w:eastAsia="宋体"/>
          <w:color w:val="000000"/>
          <w:szCs w:val="21"/>
          <w:lang w:eastAsia="zh-CN"/>
        </w:rPr>
        <w:t>绍兴市上虞区文化广电旅游局</w:t>
      </w:r>
    </w:p>
    <w:p>
      <w:pPr>
        <w:pStyle w:val="17"/>
        <w:shd w:val="clear" w:color="auto" w:fill="FFFFFF"/>
        <w:spacing w:before="0" w:beforeAutospacing="0" w:after="0" w:afterAutospacing="0" w:line="460" w:lineRule="exact"/>
        <w:jc w:val="center"/>
        <w:rPr>
          <w:color w:val="000000"/>
          <w:szCs w:val="21"/>
        </w:rPr>
      </w:pPr>
      <w:r>
        <w:rPr>
          <w:rFonts w:hint="eastAsia"/>
          <w:color w:val="000000"/>
          <w:szCs w:val="21"/>
        </w:rPr>
        <w:t>浙江宇康工程管理咨询有限公司</w:t>
      </w:r>
    </w:p>
    <w:p>
      <w:pPr>
        <w:pStyle w:val="17"/>
        <w:shd w:val="clear" w:color="auto" w:fill="FFFFFF"/>
        <w:spacing w:before="0" w:beforeAutospacing="0" w:after="0" w:afterAutospacing="0" w:line="460" w:lineRule="exact"/>
        <w:jc w:val="center"/>
      </w:pPr>
      <w:r>
        <w:rPr>
          <w:rFonts w:hint="eastAsia"/>
          <w:color w:val="000000"/>
          <w:szCs w:val="21"/>
        </w:rPr>
        <w:t>2020年</w:t>
      </w:r>
      <w:r>
        <w:rPr>
          <w:rFonts w:hint="eastAsia"/>
          <w:color w:val="000000"/>
          <w:szCs w:val="21"/>
          <w:lang w:val="en-US" w:eastAsia="zh-CN"/>
        </w:rPr>
        <w:t>7</w:t>
      </w:r>
      <w:r>
        <w:rPr>
          <w:rFonts w:hint="eastAsia"/>
          <w:color w:val="000000"/>
          <w:szCs w:val="21"/>
        </w:rPr>
        <w:t>月</w:t>
      </w:r>
      <w:r>
        <w:rPr>
          <w:rFonts w:hint="eastAsia"/>
          <w:color w:val="000000"/>
          <w:szCs w:val="21"/>
          <w:lang w:val="en-US" w:eastAsia="zh-CN"/>
        </w:rPr>
        <w:t>6</w:t>
      </w:r>
      <w:r>
        <w:rPr>
          <w:rFonts w:hint="eastAsia"/>
          <w:color w:val="000000"/>
          <w:szCs w:val="21"/>
        </w:rPr>
        <w:t>日</w:t>
      </w:r>
    </w:p>
    <w:p>
      <w:pPr>
        <w:spacing w:after="156"/>
        <w:sectPr>
          <w:pgSz w:w="11906" w:h="16838"/>
          <w:pgMar w:top="1440" w:right="1800" w:bottom="1440" w:left="1800" w:header="851" w:footer="992" w:gutter="0"/>
          <w:cols w:space="425" w:num="1"/>
          <w:docGrid w:type="lines" w:linePitch="312" w:charSpace="0"/>
        </w:sectPr>
      </w:pPr>
    </w:p>
    <w:p>
      <w:pPr>
        <w:widowControl/>
        <w:jc w:val="center"/>
        <w:rPr>
          <w:rFonts w:ascii="宋体" w:hAnsi="宋体" w:cs="宋体"/>
          <w:b/>
          <w:bCs/>
          <w:kern w:val="0"/>
          <w:sz w:val="32"/>
          <w:szCs w:val="32"/>
        </w:rPr>
      </w:pPr>
      <w:r>
        <w:rPr>
          <w:rFonts w:hint="eastAsia" w:ascii="宋体" w:hAnsi="宋体" w:cs="宋体"/>
          <w:b/>
          <w:bCs/>
          <w:kern w:val="0"/>
          <w:sz w:val="32"/>
          <w:szCs w:val="32"/>
        </w:rPr>
        <w:t>附件 ：招标采购内容与技术规格书</w:t>
      </w:r>
      <w:bookmarkStart w:id="0" w:name="_Toc529960684"/>
      <w:bookmarkStart w:id="1" w:name="_Toc436041100"/>
    </w:p>
    <w:bookmarkEnd w:id="0"/>
    <w:bookmarkEnd w:id="1"/>
    <w:p>
      <w:pPr>
        <w:pStyle w:val="5"/>
        <w:rPr>
          <w:rStyle w:val="42"/>
          <w:i w:val="0"/>
        </w:rPr>
      </w:pPr>
      <w:bookmarkStart w:id="2" w:name="_Toc10299"/>
      <w:bookmarkStart w:id="3" w:name="_Toc531002622"/>
      <w:bookmarkStart w:id="4" w:name="_Toc40971232"/>
      <w:r>
        <w:rPr>
          <w:rStyle w:val="42"/>
          <w:rFonts w:hint="eastAsia"/>
          <w:i w:val="0"/>
        </w:rPr>
        <w:t>一、项目背景</w:t>
      </w:r>
    </w:p>
    <w:p>
      <w:pPr>
        <w:spacing w:line="360" w:lineRule="auto"/>
        <w:ind w:firstLine="480" w:firstLineChars="200"/>
        <w:rPr>
          <w:rFonts w:ascii="宋体" w:hAnsi="宋体" w:cs="宋体"/>
          <w:sz w:val="24"/>
        </w:rPr>
      </w:pPr>
      <w:r>
        <w:rPr>
          <w:rFonts w:hint="eastAsia" w:ascii="宋体" w:hAnsi="宋体" w:cs="宋体"/>
          <w:sz w:val="24"/>
        </w:rPr>
        <w:t>上虞地区，迄今已有2200多年历史，是浙江建县最早的县份之一，在长江三角洲城市群中，以历史悠久、文化兴盛、山川秀美、人杰地灵而独树一帜。客观地审视上虞的自然风貌、物质资源和2000多年历史进程积淀的文化成果、人文景观，我们不难发现，丰厚又颇具特色的历史文化，无疑是上虞最具价值和开发前景的元素。</w:t>
      </w:r>
    </w:p>
    <w:p>
      <w:pPr>
        <w:spacing w:line="360" w:lineRule="auto"/>
        <w:ind w:firstLine="240" w:firstLineChars="100"/>
        <w:rPr>
          <w:rFonts w:ascii="宋体" w:hAnsi="宋体" w:cs="宋体"/>
          <w:sz w:val="24"/>
        </w:rPr>
      </w:pPr>
      <w:r>
        <w:rPr>
          <w:rFonts w:hint="eastAsia" w:ascii="宋体" w:hAnsi="宋体" w:cs="宋体"/>
          <w:sz w:val="24"/>
        </w:rPr>
        <w:t>1.1上虞的文化地理及人文</w:t>
      </w:r>
    </w:p>
    <w:p>
      <w:pPr>
        <w:spacing w:line="360" w:lineRule="auto"/>
        <w:ind w:firstLine="480" w:firstLineChars="200"/>
        <w:rPr>
          <w:rFonts w:ascii="宋体" w:hAnsi="宋体" w:cs="宋体"/>
          <w:sz w:val="24"/>
        </w:rPr>
      </w:pPr>
      <w:r>
        <w:rPr>
          <w:rFonts w:hint="eastAsia" w:ascii="宋体" w:hAnsi="宋体" w:cs="宋体"/>
          <w:sz w:val="24"/>
        </w:rPr>
        <w:t>上虞是中华农耕文明的重要源头——河姆渡文化的发源区域，也是越文化的核心区域之一，越文化源自河姆渡文化，经马家浜文化、良渚文化而趋于繁荣。越文化不仅对长江以南地区、黄河流域的古代文明有重大影响，使长江下游东南地区成为中华文明的又一摇篮，而且也是唯一跨海北上进入朝鲜、日本，南下经台湾至东南亚、大洋洲走向海洋的文化。古老的文脉，面临海洋(杭州湾)的地理区位，使得作为越文化核心区域的上虞，在文化地理上具有较高的地位。</w:t>
      </w:r>
    </w:p>
    <w:p>
      <w:pPr>
        <w:spacing w:line="360" w:lineRule="auto"/>
        <w:ind w:firstLine="240" w:firstLineChars="100"/>
        <w:rPr>
          <w:rFonts w:ascii="宋体" w:hAnsi="宋体" w:cs="宋体"/>
          <w:sz w:val="24"/>
        </w:rPr>
      </w:pPr>
      <w:r>
        <w:rPr>
          <w:rFonts w:hint="eastAsia" w:ascii="宋体" w:hAnsi="宋体" w:cs="宋体"/>
          <w:sz w:val="24"/>
        </w:rPr>
        <w:t>1.2上虞文化产业现状</w:t>
      </w:r>
    </w:p>
    <w:p>
      <w:pPr>
        <w:spacing w:line="360" w:lineRule="auto"/>
        <w:ind w:firstLine="480" w:firstLineChars="200"/>
        <w:rPr>
          <w:rFonts w:ascii="宋体" w:hAnsi="宋体" w:cs="宋体"/>
          <w:sz w:val="24"/>
        </w:rPr>
      </w:pPr>
      <w:r>
        <w:rPr>
          <w:rFonts w:hint="eastAsia" w:ascii="宋体" w:hAnsi="宋体" w:cs="宋体"/>
          <w:sz w:val="24"/>
        </w:rPr>
        <w:t>上虞历史文化源远流长，汇集了虞舜文化、青瓷文化、东山文化、孝德文化、信义文化等各种文化元素，有着深厚的历史文化积淀，但对这些深厚文化资源的挖掘还不够充分。上虞目前的文化产业规模仍然偏小，文化产业潜力有待挖掘，文化品牌传播影响力仍然偏低，群众享受文化的渠道还不够便利。</w:t>
      </w:r>
    </w:p>
    <w:p>
      <w:pPr>
        <w:spacing w:line="360" w:lineRule="auto"/>
        <w:ind w:firstLine="240" w:firstLineChars="100"/>
        <w:rPr>
          <w:rFonts w:ascii="宋体" w:hAnsi="宋体" w:cs="宋体"/>
          <w:sz w:val="24"/>
        </w:rPr>
      </w:pPr>
      <w:r>
        <w:rPr>
          <w:rFonts w:hint="eastAsia" w:ascii="宋体" w:hAnsi="宋体" w:cs="宋体"/>
          <w:sz w:val="24"/>
        </w:rPr>
        <w:t>1.3政策推动</w:t>
      </w:r>
    </w:p>
    <w:p>
      <w:pPr>
        <w:spacing w:line="360" w:lineRule="auto"/>
        <w:ind w:firstLine="480" w:firstLineChars="200"/>
        <w:rPr>
          <w:rFonts w:ascii="宋体" w:hAnsi="宋体" w:cs="宋体"/>
          <w:sz w:val="24"/>
        </w:rPr>
      </w:pPr>
      <w:r>
        <w:rPr>
          <w:rFonts w:hint="eastAsia" w:ascii="宋体" w:hAnsi="宋体" w:cs="宋体"/>
          <w:sz w:val="24"/>
        </w:rPr>
        <w:t>党的十八大报告中明确指出，要推动文化事业全面繁荣、文化产业快速发展。但上虞的文化产业相对于其他产业而言基础较弱、发展滞后、速度较慢、任重道远。因此，2018年，文广局提出：以党的十九大精神为指针，围绕区委、区政府建设“创新之区、品质之城”总体部署，坚持以人民为中心的工作理念，以不断满足人民群众精神文化需求为工作主线，以传承发展青瓷文化为工作重点，扎实推进公共文化服务体系建设，深入开展文化惠民活动，积极推进文化创意产业发展，切实加强文化遗产保护利用，着力提升文化软实力，全面推动文化上虞建设。</w:t>
      </w:r>
    </w:p>
    <w:p>
      <w:pPr>
        <w:spacing w:line="360" w:lineRule="auto"/>
        <w:ind w:firstLine="240" w:firstLineChars="100"/>
        <w:rPr>
          <w:rFonts w:ascii="宋体" w:hAnsi="宋体" w:cs="宋体"/>
          <w:sz w:val="24"/>
        </w:rPr>
      </w:pPr>
      <w:r>
        <w:rPr>
          <w:rFonts w:hint="eastAsia" w:ascii="宋体" w:hAnsi="宋体" w:cs="宋体"/>
          <w:sz w:val="24"/>
        </w:rPr>
        <w:t>1.4信息化环境</w:t>
      </w:r>
    </w:p>
    <w:p>
      <w:pPr>
        <w:spacing w:line="360" w:lineRule="auto"/>
        <w:ind w:firstLine="480" w:firstLineChars="200"/>
        <w:rPr>
          <w:rFonts w:ascii="宋体" w:hAnsi="宋体" w:cs="宋体"/>
          <w:sz w:val="24"/>
        </w:rPr>
      </w:pPr>
      <w:r>
        <w:rPr>
          <w:rFonts w:hint="eastAsia" w:ascii="宋体" w:hAnsi="宋体" w:cs="宋体"/>
          <w:sz w:val="24"/>
        </w:rPr>
        <w:t>随着云计算、大数据、物联网、移动互联网等信息技术的发展与创新应用，智慧城市建设步伐加快，文化的生产、经营、管理、传播模式正在发生重要变化，人们对文化消费的内容、方式、渠道的要求不断提升。</w:t>
      </w:r>
    </w:p>
    <w:p>
      <w:pPr>
        <w:spacing w:line="360" w:lineRule="auto"/>
        <w:ind w:firstLine="480" w:firstLineChars="200"/>
        <w:rPr>
          <w:rFonts w:ascii="宋体" w:hAnsi="宋体" w:cs="宋体"/>
          <w:sz w:val="24"/>
        </w:rPr>
      </w:pPr>
      <w:r>
        <w:rPr>
          <w:rFonts w:hint="eastAsia" w:ascii="宋体" w:hAnsi="宋体" w:cs="宋体"/>
          <w:sz w:val="24"/>
        </w:rPr>
        <w:t>综上，以云计算、大数据、物联网、移动互联网等新型技术手段结合上虞丰富的文体资源，推动上虞智慧文体项目建设，是上虞文化发展提升的必要手段。</w:t>
      </w:r>
    </w:p>
    <w:bookmarkEnd w:id="2"/>
    <w:bookmarkEnd w:id="3"/>
    <w:bookmarkEnd w:id="4"/>
    <w:p>
      <w:pPr>
        <w:pStyle w:val="5"/>
        <w:rPr>
          <w:rStyle w:val="42"/>
          <w:i w:val="0"/>
        </w:rPr>
      </w:pPr>
      <w:r>
        <w:rPr>
          <w:rStyle w:val="42"/>
          <w:rFonts w:hint="eastAsia"/>
          <w:i w:val="0"/>
        </w:rPr>
        <w:t>二、建设目标</w:t>
      </w:r>
    </w:p>
    <w:p>
      <w:pPr>
        <w:spacing w:line="360" w:lineRule="auto"/>
        <w:ind w:firstLine="480" w:firstLineChars="200"/>
        <w:rPr>
          <w:rFonts w:ascii="宋体" w:hAnsi="宋体" w:cs="宋体"/>
          <w:sz w:val="24"/>
        </w:rPr>
      </w:pPr>
      <w:r>
        <w:rPr>
          <w:rFonts w:hint="eastAsia" w:ascii="宋体" w:hAnsi="宋体" w:cs="宋体"/>
          <w:sz w:val="24"/>
        </w:rPr>
        <w:t>通过“智慧文体”项目的建设，利用互联网+技术，整合图书馆、博物馆、文化馆、体育馆、展览馆及其他相关文化资源，为社会公众便利的享受文化体育资源提供信息化支撑。</w:t>
      </w:r>
    </w:p>
    <w:p>
      <w:pPr>
        <w:spacing w:line="360" w:lineRule="auto"/>
        <w:ind w:firstLine="480" w:firstLineChars="200"/>
        <w:rPr>
          <w:rFonts w:ascii="宋体" w:hAnsi="宋体" w:cs="宋体"/>
          <w:sz w:val="24"/>
        </w:rPr>
      </w:pPr>
      <w:r>
        <w:rPr>
          <w:rFonts w:hint="eastAsia" w:ascii="宋体" w:hAnsi="宋体" w:cs="宋体"/>
          <w:sz w:val="24"/>
        </w:rPr>
        <w:t>将打造成为文体设施高端智能、文体资源共建共享、文体服务便捷惠民、文体产业创新发展、文体管理科学高效的特色上虞。</w:t>
      </w:r>
    </w:p>
    <w:p>
      <w:pPr>
        <w:pStyle w:val="5"/>
        <w:rPr>
          <w:rStyle w:val="42"/>
          <w:i w:val="0"/>
        </w:rPr>
      </w:pPr>
      <w:r>
        <w:rPr>
          <w:rStyle w:val="42"/>
          <w:rFonts w:hint="eastAsia"/>
          <w:i w:val="0"/>
        </w:rPr>
        <w:t>三、建设内容</w:t>
      </w:r>
    </w:p>
    <w:p>
      <w:pPr>
        <w:spacing w:line="360" w:lineRule="auto"/>
        <w:ind w:firstLine="480" w:firstLineChars="200"/>
        <w:rPr>
          <w:rFonts w:ascii="宋体" w:hAnsi="宋体" w:cs="宋体"/>
          <w:sz w:val="24"/>
        </w:rPr>
      </w:pPr>
      <w:r>
        <w:rPr>
          <w:rFonts w:hint="eastAsia" w:ascii="宋体" w:hAnsi="宋体" w:cs="宋体"/>
          <w:sz w:val="24"/>
        </w:rPr>
        <w:t>本期项目的建设内容包括智慧场馆建设（文化客厅、数字图书馆管理平台、智慧体育馆管理平台、智慧文保管理平台、智慧博物馆管理平台、数字文化馆管理平台）、公众服务平台、文化信息服务平台、统一视频平台、统一配置管理、文化资源数据中心及基础设施等组成。</w:t>
      </w:r>
    </w:p>
    <w:p>
      <w:pPr>
        <w:spacing w:line="360" w:lineRule="auto"/>
        <w:rPr>
          <w:rFonts w:ascii="宋体" w:hAnsi="宋体" w:cs="宋体"/>
          <w:sz w:val="24"/>
        </w:rPr>
      </w:pPr>
      <w:bookmarkStart w:id="5" w:name="_Toc414365379"/>
      <w:bookmarkEnd w:id="5"/>
      <w:bookmarkStart w:id="6" w:name="_Toc414259816"/>
      <w:bookmarkEnd w:id="6"/>
      <w:bookmarkStart w:id="7" w:name="_Toc414365382"/>
      <w:bookmarkEnd w:id="7"/>
      <w:bookmarkStart w:id="8" w:name="_Toc414259819"/>
      <w:bookmarkEnd w:id="8"/>
      <w:r>
        <w:rPr>
          <w:rFonts w:hint="eastAsia" w:ascii="宋体" w:hAnsi="宋体" w:cs="宋体"/>
          <w:sz w:val="24"/>
        </w:rPr>
        <w:br w:type="page"/>
      </w:r>
    </w:p>
    <w:p>
      <w:pPr>
        <w:pStyle w:val="5"/>
        <w:rPr>
          <w:rStyle w:val="42"/>
          <w:i w:val="0"/>
        </w:rPr>
      </w:pPr>
      <w:bookmarkStart w:id="9" w:name="_Toc15305"/>
      <w:bookmarkStart w:id="10" w:name="_Toc40971254"/>
      <w:bookmarkStart w:id="11" w:name="_Toc531002646"/>
      <w:r>
        <w:rPr>
          <w:rStyle w:val="42"/>
          <w:rFonts w:hint="eastAsia"/>
          <w:i w:val="0"/>
        </w:rPr>
        <w:t>四、总体设计</w:t>
      </w:r>
      <w:bookmarkEnd w:id="9"/>
      <w:bookmarkEnd w:id="10"/>
      <w:bookmarkEnd w:id="11"/>
    </w:p>
    <w:p>
      <w:pPr>
        <w:spacing w:line="360" w:lineRule="auto"/>
        <w:ind w:firstLine="241" w:firstLineChars="100"/>
        <w:rPr>
          <w:rFonts w:ascii="宋体" w:hAnsi="宋体" w:cs="宋体"/>
          <w:b/>
          <w:bCs/>
          <w:sz w:val="24"/>
        </w:rPr>
      </w:pPr>
      <w:bookmarkStart w:id="12" w:name="_Toc40971255"/>
      <w:bookmarkStart w:id="13" w:name="_Toc24072"/>
      <w:bookmarkStart w:id="14" w:name="_Toc531002647"/>
      <w:r>
        <w:rPr>
          <w:rFonts w:hint="eastAsia" w:ascii="宋体" w:hAnsi="宋体" w:cs="宋体"/>
          <w:b/>
          <w:bCs/>
          <w:sz w:val="24"/>
        </w:rPr>
        <w:t>1.总体架构</w:t>
      </w:r>
      <w:bookmarkEnd w:id="12"/>
      <w:bookmarkEnd w:id="13"/>
      <w:bookmarkEnd w:id="14"/>
    </w:p>
    <w:p>
      <w:pPr>
        <w:spacing w:line="360" w:lineRule="auto"/>
        <w:ind w:firstLine="480" w:firstLineChars="200"/>
        <w:rPr>
          <w:rFonts w:ascii="宋体" w:hAnsi="宋体" w:cs="宋体"/>
          <w:sz w:val="24"/>
        </w:rPr>
      </w:pPr>
      <w:r>
        <w:rPr>
          <w:rFonts w:hint="eastAsia" w:ascii="宋体" w:hAnsi="宋体" w:cs="宋体"/>
          <w:sz w:val="24"/>
        </w:rPr>
        <w:t>根据本项目建设目标需要和建设内容要求，设计一个稳定、可靠、高效、可扩展性好的系统架构。</w:t>
      </w:r>
    </w:p>
    <w:p>
      <w:pPr>
        <w:spacing w:line="360" w:lineRule="auto"/>
        <w:ind w:firstLine="480" w:firstLineChars="200"/>
        <w:rPr>
          <w:rFonts w:ascii="宋体" w:hAnsi="宋体" w:cs="宋体"/>
          <w:sz w:val="24"/>
        </w:rPr>
      </w:pPr>
      <w:r>
        <w:rPr>
          <w:rFonts w:hint="eastAsia" w:ascii="宋体" w:hAnsi="宋体" w:cs="宋体"/>
          <w:sz w:val="24"/>
        </w:rPr>
        <w:t>在尽可能保障现有需求和考虑未来系统扩展需要的基础上，采用面向服务体系架构进行设计，遵循多层体系、业务规范、数据资源标准等标准体系，强调各类基础资源的复用和可扩展性，实现对现有系统和资源的整合与集成，并扩展新的功能。</w:t>
      </w:r>
    </w:p>
    <w:p>
      <w:pPr>
        <w:spacing w:line="360" w:lineRule="auto"/>
        <w:rPr>
          <w:rFonts w:hint="eastAsia" w:ascii="宋体" w:hAnsi="宋体" w:cs="宋体"/>
          <w:sz w:val="24"/>
        </w:rPr>
      </w:pPr>
      <w:r>
        <w:rPr>
          <w:rFonts w:hint="eastAsia" w:ascii="宋体" w:hAnsi="宋体" w:cs="宋体"/>
          <w:sz w:val="24"/>
        </w:rPr>
        <w:t xml:space="preserve">    </w:t>
      </w:r>
      <w:r>
        <w:rPr>
          <w:rFonts w:ascii="宋体" w:hAnsi="宋体" w:cs="新宋体"/>
          <w:sz w:val="24"/>
        </w:rPr>
        <w:t>★</w:t>
      </w:r>
      <w:r>
        <w:rPr>
          <w:rFonts w:hint="eastAsia" w:ascii="宋体" w:hAnsi="宋体"/>
          <w:sz w:val="24"/>
        </w:rPr>
        <w:t>本期项目需完成与智慧云平台、文保事件一张图平台、上虞全域旅游、浙里好玩A</w:t>
      </w:r>
      <w:r>
        <w:rPr>
          <w:rFonts w:ascii="宋体" w:hAnsi="宋体"/>
          <w:sz w:val="24"/>
        </w:rPr>
        <w:t>PP</w:t>
      </w:r>
      <w:r>
        <w:rPr>
          <w:rFonts w:hint="eastAsia" w:ascii="宋体" w:hAnsi="宋体"/>
          <w:sz w:val="24"/>
        </w:rPr>
        <w:t>、</w:t>
      </w:r>
      <w:r>
        <w:rPr>
          <w:rFonts w:ascii="宋体" w:hAnsi="宋体"/>
          <w:sz w:val="24"/>
        </w:rPr>
        <w:t>绍兴图书馆大数据平台</w:t>
      </w:r>
      <w:r>
        <w:rPr>
          <w:rFonts w:hint="eastAsia" w:ascii="宋体" w:hAnsi="宋体"/>
          <w:sz w:val="24"/>
        </w:rPr>
        <w:t>、</w:t>
      </w:r>
      <w:r>
        <w:rPr>
          <w:rFonts w:ascii="宋体" w:hAnsi="宋体"/>
          <w:sz w:val="24"/>
        </w:rPr>
        <w:t>各场馆已建微信公众号</w:t>
      </w:r>
      <w:r>
        <w:rPr>
          <w:rFonts w:hint="eastAsia" w:ascii="宋体" w:hAnsi="宋体"/>
          <w:sz w:val="24"/>
        </w:rPr>
        <w:t>、</w:t>
      </w:r>
      <w:r>
        <w:rPr>
          <w:rFonts w:ascii="宋体" w:hAnsi="宋体"/>
          <w:sz w:val="24"/>
        </w:rPr>
        <w:t>各单位已建视频点位的接入和对接</w:t>
      </w:r>
      <w:r>
        <w:rPr>
          <w:rFonts w:hint="eastAsia" w:ascii="宋体" w:hAnsi="宋体"/>
          <w:sz w:val="24"/>
        </w:rPr>
        <w:t>（对接过程中产生的对接费用由中标单位承担）。投标人须提供接入承诺函并加盖公章，且中标后由采购人确认同意，方可实施，如因中标单位原因未能接入，全部责任由中标单位承担，并赔偿相应损失。</w:t>
      </w:r>
    </w:p>
    <w:p>
      <w:pPr>
        <w:spacing w:line="360" w:lineRule="auto"/>
        <w:ind w:firstLine="240" w:firstLineChars="100"/>
        <w:rPr>
          <w:rFonts w:ascii="宋体" w:hAnsi="宋体" w:cs="宋体"/>
          <w:sz w:val="24"/>
        </w:rPr>
      </w:pPr>
      <w:r>
        <w:rPr>
          <w:rFonts w:hint="eastAsia" w:ascii="宋体" w:hAnsi="宋体" w:cs="宋体"/>
          <w:sz w:val="24"/>
        </w:rPr>
        <w:t>1.1基础设施层：主要指保障上层系统正常运行的硬件设备，主要包括监控设施、感应设施、物联网设施、网络设施等网络基础设施。</w:t>
      </w:r>
    </w:p>
    <w:p>
      <w:pPr>
        <w:spacing w:line="360" w:lineRule="auto"/>
        <w:ind w:firstLine="240" w:firstLineChars="100"/>
        <w:rPr>
          <w:rFonts w:ascii="宋体" w:hAnsi="宋体" w:cs="宋体"/>
          <w:sz w:val="24"/>
        </w:rPr>
      </w:pPr>
      <w:r>
        <w:rPr>
          <w:rFonts w:hint="eastAsia" w:ascii="宋体" w:hAnsi="宋体" w:cs="宋体"/>
          <w:sz w:val="24"/>
        </w:rPr>
        <w:t>1.2数据层：主要利用对已有的业务数据进行加工和整合，通过数据交换、数据接口和数据质量控制进行整合、分类，为本系统应用提供数据基础。</w:t>
      </w:r>
    </w:p>
    <w:p>
      <w:pPr>
        <w:spacing w:line="360" w:lineRule="auto"/>
        <w:ind w:firstLine="240" w:firstLineChars="100"/>
        <w:rPr>
          <w:rFonts w:ascii="宋体" w:hAnsi="宋体" w:cs="宋体"/>
          <w:sz w:val="24"/>
        </w:rPr>
      </w:pPr>
      <w:r>
        <w:rPr>
          <w:rFonts w:hint="eastAsia" w:ascii="宋体" w:hAnsi="宋体" w:cs="宋体"/>
          <w:sz w:val="24"/>
        </w:rPr>
        <w:t>1.3应用层：为本次项目建设的应用系统，主要包括文化信息服务平台、智慧博物馆平台、数字图书馆平台、智慧体育馆平台、智慧文保平台、统一管理平台等。</w:t>
      </w:r>
    </w:p>
    <w:p>
      <w:pPr>
        <w:spacing w:line="360" w:lineRule="auto"/>
        <w:ind w:firstLine="240" w:firstLineChars="100"/>
        <w:rPr>
          <w:rFonts w:ascii="宋体" w:hAnsi="宋体" w:cs="宋体"/>
          <w:sz w:val="24"/>
        </w:rPr>
      </w:pPr>
      <w:r>
        <w:rPr>
          <w:rFonts w:hint="eastAsia" w:ascii="宋体" w:hAnsi="宋体" w:cs="宋体"/>
          <w:sz w:val="24"/>
        </w:rPr>
        <w:t>1.4展现层：系统通过PC、移动设备和智能移动自助终端跟用户进行交互。</w:t>
      </w:r>
    </w:p>
    <w:p>
      <w:pPr>
        <w:spacing w:line="360" w:lineRule="auto"/>
        <w:ind w:firstLine="240" w:firstLineChars="100"/>
        <w:rPr>
          <w:rFonts w:ascii="宋体" w:hAnsi="宋体" w:cs="宋体"/>
          <w:sz w:val="24"/>
        </w:rPr>
      </w:pPr>
      <w:r>
        <w:rPr>
          <w:rFonts w:hint="eastAsia" w:ascii="宋体" w:hAnsi="宋体" w:cs="宋体"/>
          <w:sz w:val="24"/>
        </w:rPr>
        <w:t>1.5支撑体系：包括信息安全体系和标准规范体系，本项目以信息系统等级保护二级为目标，实现场所安全、网络安全、主机安全、应用安全、数据安全。</w:t>
      </w:r>
    </w:p>
    <w:p>
      <w:pPr>
        <w:spacing w:line="360" w:lineRule="auto"/>
        <w:ind w:firstLine="241" w:firstLineChars="100"/>
        <w:rPr>
          <w:rFonts w:ascii="宋体" w:hAnsi="宋体" w:cs="宋体"/>
          <w:b/>
          <w:bCs/>
          <w:sz w:val="24"/>
        </w:rPr>
      </w:pPr>
      <w:bookmarkStart w:id="15" w:name="_Toc2598"/>
      <w:bookmarkStart w:id="16" w:name="_Toc531002648"/>
      <w:bookmarkStart w:id="17" w:name="_Toc40971256"/>
      <w:r>
        <w:rPr>
          <w:rFonts w:hint="eastAsia" w:ascii="宋体" w:hAnsi="宋体" w:cs="宋体"/>
          <w:b/>
          <w:bCs/>
          <w:sz w:val="24"/>
        </w:rPr>
        <w:t>2.网络</w:t>
      </w:r>
      <w:bookmarkEnd w:id="15"/>
      <w:bookmarkEnd w:id="16"/>
      <w:bookmarkEnd w:id="17"/>
      <w:r>
        <w:rPr>
          <w:rFonts w:hint="eastAsia" w:ascii="宋体" w:hAnsi="宋体" w:cs="宋体"/>
          <w:b/>
          <w:bCs/>
          <w:sz w:val="24"/>
        </w:rPr>
        <w:t>设计</w:t>
      </w:r>
    </w:p>
    <w:p>
      <w:pPr>
        <w:spacing w:line="360" w:lineRule="auto"/>
        <w:ind w:firstLine="480" w:firstLineChars="200"/>
        <w:rPr>
          <w:rFonts w:ascii="宋体" w:hAnsi="宋体" w:cs="宋体"/>
          <w:sz w:val="24"/>
        </w:rPr>
      </w:pPr>
      <w:r>
        <w:rPr>
          <w:rFonts w:hint="eastAsia" w:ascii="宋体" w:hAnsi="宋体" w:cs="宋体"/>
          <w:sz w:val="24"/>
        </w:rPr>
        <w:t>本项目的用户包括政府部门及社会群众，应用系统将部署政务云上，存储系统产生的所有数据和系统的应用服务器主要部署在政务云上。前期监控点位和传感器部署在相关场馆内，通过VPN网络传输到后端服务器</w:t>
      </w:r>
    </w:p>
    <w:p>
      <w:pPr>
        <w:spacing w:line="360" w:lineRule="auto"/>
        <w:ind w:firstLine="480" w:firstLineChars="200"/>
        <w:rPr>
          <w:rFonts w:ascii="宋体" w:hAnsi="宋体" w:cs="宋体"/>
          <w:sz w:val="24"/>
        </w:rPr>
      </w:pPr>
      <w:r>
        <w:rPr>
          <w:rFonts w:hint="eastAsia" w:ascii="宋体" w:hAnsi="宋体" w:cs="宋体"/>
          <w:sz w:val="24"/>
        </w:rPr>
        <w:t>文化馆等下属机构和社会群众，将通过互联网接入访问，文广局通过现有的政务外网访问系统。</w:t>
      </w:r>
    </w:p>
    <w:p>
      <w:pPr>
        <w:spacing w:line="360" w:lineRule="auto"/>
        <w:ind w:firstLine="241" w:firstLineChars="100"/>
        <w:rPr>
          <w:rFonts w:ascii="宋体" w:hAnsi="宋体" w:cs="宋体"/>
          <w:b/>
          <w:bCs/>
          <w:sz w:val="24"/>
        </w:rPr>
      </w:pPr>
      <w:r>
        <w:rPr>
          <w:rFonts w:ascii="宋体" w:hAnsi="宋体" w:cs="宋体"/>
          <w:b/>
          <w:bCs/>
          <w:sz w:val="24"/>
        </w:rPr>
        <w:t>3</w:t>
      </w:r>
      <w:r>
        <w:rPr>
          <w:rFonts w:hint="eastAsia" w:ascii="宋体" w:hAnsi="宋体" w:cs="宋体"/>
          <w:b/>
          <w:bCs/>
          <w:sz w:val="24"/>
        </w:rPr>
        <w:t>.性能</w:t>
      </w:r>
      <w:r>
        <w:rPr>
          <w:rFonts w:ascii="宋体" w:hAnsi="宋体" w:cs="宋体"/>
          <w:b/>
          <w:bCs/>
          <w:sz w:val="24"/>
        </w:rPr>
        <w:t>指标要求</w:t>
      </w:r>
    </w:p>
    <w:p>
      <w:pPr>
        <w:spacing w:line="360" w:lineRule="auto"/>
        <w:ind w:firstLine="241" w:firstLineChars="100"/>
        <w:rPr>
          <w:rFonts w:ascii="宋体" w:hAnsi="宋体" w:cs="宋体"/>
          <w:b/>
          <w:bCs/>
          <w:sz w:val="24"/>
        </w:rPr>
      </w:pPr>
      <w:r>
        <w:rPr>
          <w:rFonts w:ascii="宋体" w:hAnsi="宋体" w:cs="宋体"/>
          <w:b/>
          <w:bCs/>
          <w:sz w:val="24"/>
        </w:rPr>
        <w:t>3</w:t>
      </w:r>
      <w:r>
        <w:rPr>
          <w:rFonts w:hint="eastAsia" w:ascii="宋体" w:hAnsi="宋体" w:cs="宋体"/>
          <w:b/>
          <w:bCs/>
          <w:sz w:val="24"/>
        </w:rPr>
        <w:t>.1时间特性要求</w:t>
      </w:r>
    </w:p>
    <w:p>
      <w:pPr>
        <w:spacing w:line="360" w:lineRule="auto"/>
        <w:ind w:firstLine="480" w:firstLineChars="200"/>
        <w:rPr>
          <w:rFonts w:ascii="宋体" w:hAnsi="宋体" w:cs="宋体"/>
          <w:sz w:val="24"/>
        </w:rPr>
      </w:pPr>
      <w:r>
        <w:rPr>
          <w:rFonts w:hint="eastAsia" w:ascii="宋体" w:hAnsi="宋体" w:cs="宋体"/>
          <w:sz w:val="24"/>
        </w:rPr>
        <w:t>在软件方面，响应时间、更新处理时间、数据传送和转换时间、处理和解决问题时间，都比较迅速，能满足用户要求，整体响应时间需要保持在：</w:t>
      </w:r>
    </w:p>
    <w:p>
      <w:pPr>
        <w:spacing w:line="360" w:lineRule="auto"/>
        <w:ind w:firstLine="720" w:firstLineChars="300"/>
        <w:rPr>
          <w:rFonts w:ascii="宋体" w:hAnsi="宋体" w:cs="宋体"/>
          <w:sz w:val="24"/>
        </w:rPr>
      </w:pPr>
      <w:r>
        <w:rPr>
          <w:rFonts w:hint="eastAsia" w:ascii="宋体" w:hAnsi="宋体" w:cs="宋体"/>
          <w:sz w:val="24"/>
        </w:rPr>
        <w:t>●B/S系统页面响应1s以内。</w:t>
      </w:r>
    </w:p>
    <w:p>
      <w:pPr>
        <w:spacing w:line="360" w:lineRule="auto"/>
        <w:ind w:firstLine="720" w:firstLineChars="300"/>
        <w:rPr>
          <w:rFonts w:ascii="宋体" w:hAnsi="宋体" w:cs="宋体"/>
          <w:sz w:val="24"/>
        </w:rPr>
      </w:pPr>
      <w:r>
        <w:rPr>
          <w:rFonts w:hint="eastAsia" w:ascii="宋体" w:hAnsi="宋体" w:cs="宋体"/>
          <w:sz w:val="24"/>
        </w:rPr>
        <w:t>●终端界面调阅响应5s以内。</w:t>
      </w:r>
    </w:p>
    <w:p>
      <w:pPr>
        <w:spacing w:line="360" w:lineRule="auto"/>
        <w:ind w:firstLine="720" w:firstLineChars="300"/>
        <w:rPr>
          <w:rFonts w:ascii="宋体" w:hAnsi="宋体" w:cs="宋体"/>
          <w:sz w:val="24"/>
        </w:rPr>
      </w:pPr>
      <w:r>
        <w:rPr>
          <w:rFonts w:hint="eastAsia" w:ascii="宋体" w:hAnsi="宋体" w:cs="宋体"/>
          <w:sz w:val="24"/>
        </w:rPr>
        <w:t>●常用页面处理功能，事件动作时长3s以内。</w:t>
      </w:r>
    </w:p>
    <w:p>
      <w:pPr>
        <w:spacing w:line="360" w:lineRule="auto"/>
        <w:ind w:firstLine="720" w:firstLineChars="300"/>
        <w:rPr>
          <w:rFonts w:ascii="宋体" w:hAnsi="宋体" w:cs="宋体"/>
          <w:sz w:val="24"/>
        </w:rPr>
      </w:pPr>
      <w:r>
        <w:rPr>
          <w:rFonts w:hint="eastAsia" w:ascii="宋体" w:hAnsi="宋体" w:cs="宋体"/>
          <w:sz w:val="24"/>
        </w:rPr>
        <w:t>●复杂数据统计查询10s以内。</w:t>
      </w:r>
    </w:p>
    <w:p>
      <w:pPr>
        <w:spacing w:line="360" w:lineRule="auto"/>
        <w:ind w:firstLine="480" w:firstLineChars="200"/>
        <w:rPr>
          <w:rFonts w:ascii="宋体" w:hAnsi="宋体" w:cs="宋体"/>
          <w:sz w:val="24"/>
        </w:rPr>
      </w:pPr>
      <w:r>
        <w:rPr>
          <w:rFonts w:hint="eastAsia" w:ascii="宋体" w:hAnsi="宋体" w:cs="宋体"/>
          <w:sz w:val="24"/>
        </w:rPr>
        <w:t>系统中整合相关业务系统的数据，交换平台应提供更及时的交换服务，各类数据同步延迟应不低于5分钟。</w:t>
      </w:r>
    </w:p>
    <w:p>
      <w:pPr>
        <w:spacing w:line="360" w:lineRule="auto"/>
        <w:ind w:firstLine="240" w:firstLineChars="100"/>
        <w:rPr>
          <w:rFonts w:ascii="宋体" w:hAnsi="宋体" w:cs="宋体"/>
          <w:sz w:val="24"/>
        </w:rPr>
      </w:pPr>
      <w:r>
        <w:rPr>
          <w:rFonts w:ascii="宋体" w:hAnsi="宋体" w:cs="宋体"/>
          <w:sz w:val="24"/>
        </w:rPr>
        <w:t>3</w:t>
      </w:r>
      <w:r>
        <w:rPr>
          <w:rFonts w:hint="eastAsia" w:ascii="宋体" w:hAnsi="宋体" w:cs="宋体"/>
          <w:sz w:val="24"/>
        </w:rPr>
        <w:t>.2用户并发数</w:t>
      </w:r>
    </w:p>
    <w:p>
      <w:pPr>
        <w:spacing w:line="360" w:lineRule="auto"/>
        <w:ind w:firstLine="720" w:firstLineChars="300"/>
        <w:rPr>
          <w:rFonts w:ascii="宋体" w:hAnsi="宋体" w:cs="宋体"/>
          <w:sz w:val="24"/>
        </w:rPr>
      </w:pPr>
      <w:r>
        <w:rPr>
          <w:rFonts w:hint="eastAsia" w:ascii="宋体" w:hAnsi="宋体" w:cs="宋体"/>
          <w:sz w:val="24"/>
        </w:rPr>
        <w:t>●内部应用系统应当支持并发用户数不小于100个。</w:t>
      </w:r>
    </w:p>
    <w:p>
      <w:pPr>
        <w:spacing w:line="360" w:lineRule="auto"/>
        <w:ind w:firstLine="720" w:firstLineChars="300"/>
        <w:rPr>
          <w:rFonts w:ascii="宋体" w:hAnsi="宋体" w:cs="宋体"/>
          <w:sz w:val="24"/>
        </w:rPr>
      </w:pPr>
      <w:r>
        <w:rPr>
          <w:rFonts w:hint="eastAsia" w:ascii="宋体" w:hAnsi="宋体" w:cs="宋体"/>
          <w:sz w:val="24"/>
        </w:rPr>
        <w:t>●面向公众服务类系统当支持并发用户数不小于500个。</w:t>
      </w:r>
    </w:p>
    <w:p>
      <w:pPr>
        <w:spacing w:line="360" w:lineRule="auto"/>
        <w:ind w:firstLine="240" w:firstLineChars="100"/>
        <w:rPr>
          <w:rFonts w:ascii="宋体" w:hAnsi="宋体" w:cs="宋体"/>
          <w:sz w:val="24"/>
        </w:rPr>
      </w:pPr>
      <w:r>
        <w:rPr>
          <w:rFonts w:ascii="宋体" w:hAnsi="宋体" w:cs="宋体"/>
          <w:sz w:val="24"/>
        </w:rPr>
        <w:t>3</w:t>
      </w:r>
      <w:r>
        <w:rPr>
          <w:rFonts w:hint="eastAsia" w:ascii="宋体" w:hAnsi="宋体" w:cs="宋体"/>
          <w:sz w:val="24"/>
        </w:rPr>
        <w:t>.3安全稳定性</w:t>
      </w:r>
    </w:p>
    <w:p>
      <w:pPr>
        <w:spacing w:line="360" w:lineRule="auto"/>
        <w:ind w:firstLine="720" w:firstLineChars="300"/>
        <w:rPr>
          <w:rFonts w:ascii="宋体" w:hAnsi="宋体" w:cs="宋体"/>
          <w:sz w:val="24"/>
        </w:rPr>
      </w:pPr>
      <w:r>
        <w:rPr>
          <w:rFonts w:hint="eastAsia" w:ascii="宋体" w:hAnsi="宋体" w:cs="宋体"/>
          <w:sz w:val="24"/>
        </w:rPr>
        <w:t>●系统应提供7天×24小时的连续运行，平均故障间隔时间：&gt;7天，平均故障修复时间：&lt;30分钟。</w:t>
      </w:r>
    </w:p>
    <w:p>
      <w:pPr>
        <w:spacing w:line="360" w:lineRule="auto"/>
        <w:ind w:firstLine="720" w:firstLineChars="300"/>
        <w:rPr>
          <w:rFonts w:ascii="宋体" w:hAnsi="宋体" w:cs="宋体"/>
          <w:sz w:val="24"/>
        </w:rPr>
      </w:pPr>
      <w:r>
        <w:rPr>
          <w:rFonts w:hint="eastAsia" w:ascii="宋体" w:hAnsi="宋体" w:cs="宋体"/>
          <w:sz w:val="24"/>
        </w:rPr>
        <w:t>●系统应采用完善的安全管理，并能提供安全备份。</w:t>
      </w:r>
    </w:p>
    <w:p>
      <w:pPr>
        <w:spacing w:line="360" w:lineRule="auto"/>
        <w:rPr>
          <w:rFonts w:ascii="宋体" w:hAnsi="宋体" w:cs="宋体"/>
          <w:sz w:val="24"/>
        </w:rPr>
      </w:pPr>
      <w:r>
        <w:rPr>
          <w:rFonts w:hint="eastAsia" w:ascii="宋体" w:hAnsi="宋体" w:cs="宋体"/>
          <w:sz w:val="24"/>
        </w:rPr>
        <w:br w:type="page"/>
      </w:r>
    </w:p>
    <w:p>
      <w:pPr>
        <w:pStyle w:val="5"/>
        <w:rPr>
          <w:rStyle w:val="42"/>
          <w:i w:val="0"/>
        </w:rPr>
      </w:pPr>
      <w:bookmarkStart w:id="18" w:name="_Toc40971257"/>
      <w:bookmarkStart w:id="19" w:name="_Toc531002649"/>
      <w:bookmarkStart w:id="20" w:name="_Toc20974"/>
      <w:bookmarkStart w:id="21" w:name="_Toc400711398"/>
      <w:bookmarkStart w:id="22" w:name="_Toc372233857"/>
      <w:bookmarkStart w:id="23" w:name="_Toc376783507"/>
      <w:r>
        <w:rPr>
          <w:rStyle w:val="42"/>
          <w:i w:val="0"/>
        </w:rPr>
        <w:t>五</w:t>
      </w:r>
      <w:r>
        <w:rPr>
          <w:rStyle w:val="42"/>
          <w:rFonts w:hint="eastAsia"/>
          <w:i w:val="0"/>
        </w:rPr>
        <w:t>、建设</w:t>
      </w:r>
      <w:r>
        <w:rPr>
          <w:rStyle w:val="42"/>
          <w:i w:val="0"/>
        </w:rPr>
        <w:t>内容</w:t>
      </w:r>
      <w:bookmarkEnd w:id="18"/>
      <w:bookmarkEnd w:id="19"/>
      <w:bookmarkEnd w:id="20"/>
    </w:p>
    <w:p>
      <w:pPr>
        <w:spacing w:line="360" w:lineRule="auto"/>
        <w:ind w:firstLine="241" w:firstLineChars="100"/>
        <w:rPr>
          <w:rFonts w:ascii="宋体" w:hAnsi="宋体" w:cs="宋体"/>
          <w:b/>
          <w:bCs/>
          <w:sz w:val="24"/>
        </w:rPr>
      </w:pPr>
      <w:bookmarkStart w:id="24" w:name="_Toc40971258"/>
      <w:r>
        <w:rPr>
          <w:rFonts w:hint="eastAsia" w:ascii="宋体" w:hAnsi="宋体" w:cs="宋体"/>
          <w:b/>
          <w:bCs/>
          <w:sz w:val="24"/>
        </w:rPr>
        <w:t>1.智慧场馆平台</w:t>
      </w:r>
      <w:bookmarkEnd w:id="24"/>
    </w:p>
    <w:p>
      <w:pPr>
        <w:spacing w:line="360" w:lineRule="auto"/>
        <w:ind w:firstLine="240" w:firstLineChars="100"/>
        <w:rPr>
          <w:rFonts w:ascii="宋体" w:hAnsi="宋体" w:cs="宋体"/>
          <w:sz w:val="24"/>
        </w:rPr>
      </w:pPr>
      <w:bookmarkStart w:id="25" w:name="_Toc531002659"/>
      <w:bookmarkStart w:id="26" w:name="_Toc647"/>
      <w:bookmarkStart w:id="27" w:name="_Toc40971259"/>
      <w:r>
        <w:rPr>
          <w:rFonts w:hint="eastAsia" w:ascii="宋体" w:hAnsi="宋体" w:cs="宋体"/>
          <w:sz w:val="24"/>
        </w:rPr>
        <w:t>1.1文化客厅场所建设</w:t>
      </w:r>
      <w:bookmarkEnd w:id="25"/>
      <w:bookmarkEnd w:id="26"/>
      <w:bookmarkEnd w:id="27"/>
    </w:p>
    <w:p>
      <w:pPr>
        <w:spacing w:line="360" w:lineRule="auto"/>
        <w:ind w:firstLine="240" w:firstLineChars="100"/>
        <w:rPr>
          <w:rFonts w:ascii="宋体" w:hAnsi="宋体" w:cs="宋体"/>
          <w:sz w:val="24"/>
        </w:rPr>
      </w:pPr>
      <w:bookmarkStart w:id="28" w:name="_Toc531002660"/>
      <w:bookmarkStart w:id="29" w:name="_Toc31729"/>
      <w:r>
        <w:rPr>
          <w:rFonts w:hint="eastAsia" w:ascii="宋体" w:hAnsi="宋体" w:cs="宋体"/>
          <w:sz w:val="24"/>
        </w:rPr>
        <w:t>1.1.1人流检测统计</w:t>
      </w:r>
      <w:bookmarkEnd w:id="28"/>
      <w:bookmarkEnd w:id="29"/>
    </w:p>
    <w:p>
      <w:pPr>
        <w:spacing w:line="360" w:lineRule="auto"/>
        <w:ind w:firstLine="480" w:firstLineChars="200"/>
        <w:rPr>
          <w:rFonts w:ascii="宋体" w:hAnsi="宋体" w:cs="宋体"/>
          <w:sz w:val="24"/>
        </w:rPr>
      </w:pPr>
      <w:r>
        <w:rPr>
          <w:rFonts w:hint="eastAsia" w:ascii="宋体" w:hAnsi="宋体" w:cs="宋体"/>
          <w:sz w:val="24"/>
        </w:rPr>
        <w:t>使用高清摄像头拍摄游客脸部图像，运用人流量统计技术，从而实时获取游客来访数据，通过对人流量统计分析，实现各场馆人流量的精细化管理。</w:t>
      </w:r>
    </w:p>
    <w:p>
      <w:pPr>
        <w:spacing w:line="360" w:lineRule="auto"/>
        <w:ind w:firstLine="480" w:firstLineChars="200"/>
        <w:rPr>
          <w:rFonts w:ascii="宋体" w:hAnsi="宋体" w:cs="宋体"/>
          <w:sz w:val="24"/>
        </w:rPr>
      </w:pPr>
      <w:r>
        <w:rPr>
          <w:rFonts w:hint="eastAsia" w:ascii="宋体" w:hAnsi="宋体" w:cs="宋体"/>
          <w:sz w:val="24"/>
        </w:rPr>
        <w:t>每个场馆设置套高清人流量专用红外网络摄像机，反馈数据后台实时显示各场馆人流量情况。所有场馆人流检测点位自行勘察。</w:t>
      </w:r>
    </w:p>
    <w:p>
      <w:pPr>
        <w:spacing w:line="360" w:lineRule="auto"/>
        <w:ind w:firstLine="240" w:firstLineChars="100"/>
        <w:rPr>
          <w:rFonts w:ascii="宋体" w:hAnsi="宋体" w:cs="宋体"/>
          <w:sz w:val="24"/>
        </w:rPr>
      </w:pPr>
      <w:bookmarkStart w:id="30" w:name="_Toc531002661"/>
      <w:bookmarkStart w:id="31" w:name="_Toc5740"/>
      <w:r>
        <w:rPr>
          <w:rFonts w:hint="eastAsia" w:ascii="宋体" w:hAnsi="宋体" w:cs="宋体"/>
          <w:sz w:val="24"/>
        </w:rPr>
        <w:t>1.1.2扫码实时讲解</w:t>
      </w:r>
      <w:bookmarkEnd w:id="30"/>
      <w:bookmarkEnd w:id="31"/>
    </w:p>
    <w:p>
      <w:pPr>
        <w:spacing w:line="360" w:lineRule="auto"/>
        <w:ind w:firstLine="480" w:firstLineChars="200"/>
        <w:rPr>
          <w:rFonts w:ascii="宋体" w:hAnsi="宋体" w:cs="宋体"/>
          <w:sz w:val="24"/>
        </w:rPr>
      </w:pPr>
      <w:r>
        <w:rPr>
          <w:rFonts w:hint="eastAsia" w:ascii="宋体" w:hAnsi="宋体" w:cs="宋体"/>
          <w:sz w:val="24"/>
        </w:rPr>
        <w:t>需求内容详见附表</w:t>
      </w:r>
      <w:r>
        <w:rPr>
          <w:rFonts w:ascii="宋体" w:hAnsi="宋体" w:cs="宋体"/>
          <w:sz w:val="24"/>
        </w:rPr>
        <w:t>4</w:t>
      </w:r>
    </w:p>
    <w:p>
      <w:pPr>
        <w:spacing w:line="360" w:lineRule="auto"/>
        <w:ind w:firstLine="240" w:firstLineChars="100"/>
        <w:rPr>
          <w:rFonts w:ascii="宋体" w:hAnsi="宋体" w:cs="宋体"/>
          <w:sz w:val="24"/>
        </w:rPr>
      </w:pPr>
      <w:bookmarkStart w:id="32" w:name="_Toc1477"/>
      <w:bookmarkStart w:id="33" w:name="_Toc40971260"/>
      <w:bookmarkStart w:id="34" w:name="_Toc531002662"/>
      <w:r>
        <w:rPr>
          <w:rFonts w:hint="eastAsia" w:ascii="宋体" w:hAnsi="宋体" w:cs="宋体"/>
          <w:sz w:val="24"/>
        </w:rPr>
        <w:t>1.2剧院视频监控</w:t>
      </w:r>
      <w:bookmarkEnd w:id="32"/>
      <w:bookmarkEnd w:id="33"/>
      <w:bookmarkEnd w:id="34"/>
    </w:p>
    <w:p>
      <w:pPr>
        <w:numPr>
          <w:ilvl w:val="0"/>
          <w:numId w:val="5"/>
        </w:numPr>
        <w:spacing w:line="360" w:lineRule="auto"/>
        <w:rPr>
          <w:rFonts w:ascii="宋体" w:hAnsi="宋体" w:cs="宋体"/>
          <w:sz w:val="24"/>
        </w:rPr>
      </w:pPr>
      <w:bookmarkStart w:id="35" w:name="_Toc17040"/>
      <w:bookmarkStart w:id="36" w:name="_Toc531002663"/>
      <w:r>
        <w:rPr>
          <w:rFonts w:hint="eastAsia" w:ascii="宋体" w:hAnsi="宋体" w:cs="宋体"/>
          <w:sz w:val="24"/>
        </w:rPr>
        <w:t>布点原则</w:t>
      </w:r>
      <w:bookmarkEnd w:id="35"/>
      <w:bookmarkEnd w:id="36"/>
    </w:p>
    <w:p>
      <w:pPr>
        <w:spacing w:line="360" w:lineRule="auto"/>
        <w:ind w:firstLine="480" w:firstLineChars="200"/>
        <w:rPr>
          <w:rFonts w:ascii="宋体" w:hAnsi="宋体" w:cs="宋体"/>
          <w:sz w:val="24"/>
        </w:rPr>
      </w:pPr>
      <w:r>
        <w:rPr>
          <w:rFonts w:hint="eastAsia" w:ascii="宋体" w:hAnsi="宋体" w:cs="宋体"/>
          <w:sz w:val="24"/>
        </w:rPr>
        <w:t>因为成本控制的原因，摄像机数量部署有限，因此在有限的数量下保证能够监控到剧院内重点区域。所有监控点位自行勘察。</w:t>
      </w:r>
    </w:p>
    <w:p>
      <w:pPr>
        <w:spacing w:line="360" w:lineRule="auto"/>
        <w:ind w:firstLine="240" w:firstLineChars="100"/>
        <w:rPr>
          <w:rFonts w:ascii="宋体" w:hAnsi="宋体" w:cs="宋体"/>
          <w:sz w:val="24"/>
        </w:rPr>
      </w:pPr>
      <w:bookmarkStart w:id="37" w:name="_Toc40971261"/>
      <w:bookmarkStart w:id="38" w:name="_Toc531002665"/>
      <w:bookmarkStart w:id="39" w:name="_Toc15990"/>
      <w:r>
        <w:rPr>
          <w:rFonts w:hint="eastAsia" w:ascii="宋体" w:hAnsi="宋体" w:cs="宋体"/>
          <w:sz w:val="24"/>
        </w:rPr>
        <w:t>1.3数字图书馆</w:t>
      </w:r>
      <w:bookmarkEnd w:id="37"/>
      <w:bookmarkEnd w:id="38"/>
      <w:bookmarkEnd w:id="39"/>
    </w:p>
    <w:p>
      <w:pPr>
        <w:numPr>
          <w:ilvl w:val="0"/>
          <w:numId w:val="6"/>
        </w:numPr>
        <w:spacing w:line="360" w:lineRule="auto"/>
        <w:rPr>
          <w:rFonts w:ascii="宋体" w:hAnsi="宋体" w:cs="宋体"/>
          <w:sz w:val="24"/>
        </w:rPr>
      </w:pPr>
      <w:bookmarkStart w:id="40" w:name="_Toc23145"/>
      <w:r>
        <w:rPr>
          <w:rFonts w:hint="eastAsia" w:ascii="宋体" w:hAnsi="宋体" w:cs="宋体"/>
          <w:sz w:val="24"/>
        </w:rPr>
        <w:t>场馆预约</w:t>
      </w:r>
      <w:bookmarkEnd w:id="40"/>
    </w:p>
    <w:p>
      <w:pPr>
        <w:numPr>
          <w:ilvl w:val="0"/>
          <w:numId w:val="6"/>
        </w:numPr>
        <w:spacing w:line="360" w:lineRule="auto"/>
        <w:rPr>
          <w:rFonts w:ascii="宋体" w:hAnsi="宋体" w:cs="宋体"/>
          <w:sz w:val="24"/>
          <w:lang w:val="zh-CN"/>
        </w:rPr>
      </w:pPr>
      <w:bookmarkStart w:id="41" w:name="_Toc531002666"/>
      <w:bookmarkStart w:id="42" w:name="_Toc3483"/>
      <w:r>
        <w:rPr>
          <w:rFonts w:hint="eastAsia" w:ascii="宋体" w:hAnsi="宋体" w:cs="宋体"/>
          <w:sz w:val="24"/>
        </w:rPr>
        <w:t>活动管理</w:t>
      </w:r>
      <w:bookmarkEnd w:id="41"/>
      <w:bookmarkEnd w:id="42"/>
    </w:p>
    <w:p>
      <w:pPr>
        <w:numPr>
          <w:ilvl w:val="0"/>
          <w:numId w:val="6"/>
        </w:numPr>
        <w:spacing w:line="360" w:lineRule="auto"/>
        <w:rPr>
          <w:rFonts w:ascii="宋体" w:hAnsi="宋体" w:cs="宋体"/>
          <w:sz w:val="24"/>
          <w:lang w:val="zh-CN"/>
        </w:rPr>
      </w:pPr>
      <w:bookmarkStart w:id="43" w:name="_Toc3153"/>
      <w:bookmarkStart w:id="44" w:name="_Toc531002667"/>
      <w:r>
        <w:rPr>
          <w:rFonts w:hint="eastAsia" w:ascii="宋体" w:hAnsi="宋体" w:cs="宋体"/>
          <w:sz w:val="24"/>
        </w:rPr>
        <w:t>数字化</w:t>
      </w:r>
      <w:r>
        <w:rPr>
          <w:rFonts w:hint="eastAsia" w:ascii="宋体" w:hAnsi="宋体" w:cs="宋体"/>
          <w:sz w:val="24"/>
          <w:lang w:val="zh-CN"/>
        </w:rPr>
        <w:t>阅读</w:t>
      </w:r>
      <w:bookmarkEnd w:id="43"/>
      <w:bookmarkEnd w:id="44"/>
    </w:p>
    <w:p>
      <w:pPr>
        <w:numPr>
          <w:ilvl w:val="0"/>
          <w:numId w:val="6"/>
        </w:numPr>
        <w:spacing w:line="360" w:lineRule="auto"/>
        <w:rPr>
          <w:rFonts w:ascii="宋体" w:hAnsi="宋体" w:cs="宋体"/>
          <w:sz w:val="24"/>
        </w:rPr>
      </w:pPr>
      <w:bookmarkStart w:id="45" w:name="_Toc531002669"/>
      <w:bookmarkStart w:id="46" w:name="_Toc32512"/>
      <w:r>
        <w:rPr>
          <w:rFonts w:hint="eastAsia" w:ascii="宋体" w:hAnsi="宋体" w:cs="宋体"/>
          <w:sz w:val="24"/>
        </w:rPr>
        <w:t>大数据应用</w:t>
      </w:r>
      <w:bookmarkEnd w:id="45"/>
      <w:bookmarkEnd w:id="46"/>
    </w:p>
    <w:p>
      <w:pPr>
        <w:numPr>
          <w:ilvl w:val="0"/>
          <w:numId w:val="6"/>
        </w:numPr>
        <w:spacing w:line="360" w:lineRule="auto"/>
        <w:rPr>
          <w:rFonts w:ascii="宋体" w:hAnsi="宋体" w:cs="宋体"/>
          <w:sz w:val="24"/>
        </w:rPr>
      </w:pPr>
      <w:r>
        <w:rPr>
          <w:rFonts w:hint="eastAsia" w:ascii="宋体" w:hAnsi="宋体" w:cs="宋体"/>
          <w:sz w:val="24"/>
        </w:rPr>
        <w:t>图书馆智慧导览</w:t>
      </w:r>
    </w:p>
    <w:p>
      <w:pPr>
        <w:numPr>
          <w:ilvl w:val="0"/>
          <w:numId w:val="6"/>
        </w:numPr>
        <w:spacing w:line="360" w:lineRule="auto"/>
        <w:rPr>
          <w:rFonts w:ascii="宋体" w:hAnsi="宋体" w:cs="宋体"/>
          <w:sz w:val="24"/>
        </w:rPr>
      </w:pPr>
      <w:r>
        <w:rPr>
          <w:rFonts w:hint="eastAsia" w:ascii="宋体" w:hAnsi="宋体" w:cs="宋体"/>
          <w:sz w:val="24"/>
        </w:rPr>
        <w:t>图书馆人流量检测</w:t>
      </w:r>
    </w:p>
    <w:p>
      <w:pPr>
        <w:spacing w:line="360" w:lineRule="auto"/>
        <w:ind w:firstLine="720" w:firstLineChars="300"/>
        <w:rPr>
          <w:rFonts w:hint="eastAsia" w:ascii="宋体" w:hAnsi="宋体" w:cs="宋体"/>
          <w:sz w:val="24"/>
        </w:rPr>
      </w:pPr>
      <w:r>
        <w:rPr>
          <w:rFonts w:hint="eastAsia" w:ascii="宋体" w:hAnsi="宋体" w:cs="宋体"/>
          <w:sz w:val="24"/>
        </w:rPr>
        <w:t>保证能够监控到各个城市书房的出入情况。</w:t>
      </w:r>
    </w:p>
    <w:p>
      <w:pPr>
        <w:spacing w:line="360" w:lineRule="auto"/>
        <w:ind w:firstLine="240" w:firstLineChars="100"/>
        <w:rPr>
          <w:rFonts w:ascii="宋体" w:hAnsi="宋体" w:cs="宋体"/>
          <w:sz w:val="24"/>
          <w:lang w:val="zh-CN"/>
        </w:rPr>
      </w:pPr>
      <w:bookmarkStart w:id="47" w:name="_Toc29551"/>
      <w:bookmarkStart w:id="48" w:name="_Toc40971262"/>
      <w:bookmarkStart w:id="49" w:name="_Toc531002670"/>
      <w:r>
        <w:rPr>
          <w:rFonts w:hint="eastAsia" w:ascii="宋体" w:hAnsi="宋体" w:cs="宋体"/>
          <w:sz w:val="24"/>
        </w:rPr>
        <w:t>1.4</w:t>
      </w:r>
      <w:r>
        <w:rPr>
          <w:rFonts w:hint="eastAsia" w:ascii="宋体" w:hAnsi="宋体" w:cs="宋体"/>
          <w:sz w:val="24"/>
          <w:lang w:val="zh-CN"/>
        </w:rPr>
        <w:t>智慧体育馆</w:t>
      </w:r>
      <w:bookmarkEnd w:id="47"/>
      <w:bookmarkEnd w:id="48"/>
      <w:bookmarkEnd w:id="49"/>
    </w:p>
    <w:p>
      <w:pPr>
        <w:pStyle w:val="2"/>
        <w:ind w:firstLine="480"/>
        <w:rPr>
          <w:rFonts w:hint="eastAsia" w:ascii="宋体" w:hAnsi="宋体" w:cs="宋体"/>
          <w:sz w:val="24"/>
        </w:rPr>
      </w:pPr>
      <w:r>
        <w:rPr>
          <w:rFonts w:ascii="宋体" w:hAnsi="宋体" w:cs="宋体"/>
          <w:sz w:val="24"/>
        </w:rPr>
        <w:t>功能点包含</w:t>
      </w:r>
      <w:r>
        <w:rPr>
          <w:rFonts w:hint="eastAsia" w:ascii="宋体" w:hAnsi="宋体" w:cs="宋体"/>
          <w:sz w:val="24"/>
        </w:rPr>
        <w:t>：</w:t>
      </w:r>
    </w:p>
    <w:p>
      <w:pPr>
        <w:numPr>
          <w:ilvl w:val="0"/>
          <w:numId w:val="7"/>
        </w:numPr>
        <w:spacing w:line="360" w:lineRule="auto"/>
        <w:rPr>
          <w:rFonts w:ascii="宋体" w:hAnsi="宋体" w:cs="宋体"/>
          <w:sz w:val="24"/>
        </w:rPr>
      </w:pPr>
      <w:bookmarkStart w:id="50" w:name="_Toc9696"/>
      <w:bookmarkStart w:id="51" w:name="_Toc531002671"/>
      <w:r>
        <w:rPr>
          <w:rFonts w:hint="eastAsia" w:ascii="宋体" w:hAnsi="宋体" w:cs="宋体"/>
          <w:sz w:val="24"/>
        </w:rPr>
        <w:t>体育活动发布</w:t>
      </w:r>
      <w:bookmarkEnd w:id="50"/>
      <w:bookmarkEnd w:id="51"/>
    </w:p>
    <w:p>
      <w:pPr>
        <w:numPr>
          <w:ilvl w:val="0"/>
          <w:numId w:val="7"/>
        </w:numPr>
        <w:spacing w:line="360" w:lineRule="auto"/>
        <w:rPr>
          <w:rFonts w:ascii="宋体" w:hAnsi="宋体" w:cs="宋体"/>
          <w:sz w:val="24"/>
        </w:rPr>
      </w:pPr>
      <w:bookmarkStart w:id="52" w:name="_Toc531002672"/>
      <w:bookmarkStart w:id="53" w:name="_Toc16324"/>
      <w:r>
        <w:rPr>
          <w:rFonts w:hint="eastAsia" w:ascii="宋体" w:hAnsi="宋体" w:cs="宋体"/>
          <w:sz w:val="24"/>
        </w:rPr>
        <w:t>赛事信息发布</w:t>
      </w:r>
      <w:bookmarkEnd w:id="52"/>
      <w:bookmarkEnd w:id="53"/>
    </w:p>
    <w:p>
      <w:pPr>
        <w:numPr>
          <w:ilvl w:val="0"/>
          <w:numId w:val="7"/>
        </w:numPr>
        <w:spacing w:line="360" w:lineRule="auto"/>
        <w:rPr>
          <w:rFonts w:ascii="宋体" w:hAnsi="宋体" w:cs="宋体"/>
          <w:sz w:val="24"/>
        </w:rPr>
      </w:pPr>
      <w:bookmarkStart w:id="54" w:name="_Toc2021"/>
      <w:bookmarkStart w:id="55" w:name="_Toc531002674"/>
      <w:r>
        <w:rPr>
          <w:rFonts w:hint="eastAsia" w:ascii="宋体" w:hAnsi="宋体" w:cs="宋体"/>
          <w:sz w:val="24"/>
        </w:rPr>
        <w:t>预约管理</w:t>
      </w:r>
      <w:bookmarkEnd w:id="54"/>
      <w:bookmarkEnd w:id="55"/>
    </w:p>
    <w:p>
      <w:pPr>
        <w:numPr>
          <w:ilvl w:val="0"/>
          <w:numId w:val="7"/>
        </w:numPr>
        <w:spacing w:line="360" w:lineRule="auto"/>
        <w:rPr>
          <w:rFonts w:ascii="宋体" w:hAnsi="宋体" w:cs="宋体"/>
          <w:sz w:val="24"/>
        </w:rPr>
      </w:pPr>
      <w:bookmarkStart w:id="56" w:name="_Toc531002675"/>
      <w:bookmarkStart w:id="57" w:name="_Toc13119"/>
      <w:r>
        <w:rPr>
          <w:rFonts w:hint="eastAsia" w:ascii="宋体" w:hAnsi="宋体" w:cs="宋体"/>
          <w:sz w:val="24"/>
        </w:rPr>
        <w:t>各场馆人流监测</w:t>
      </w:r>
      <w:bookmarkEnd w:id="56"/>
      <w:bookmarkEnd w:id="57"/>
    </w:p>
    <w:p>
      <w:pPr>
        <w:spacing w:line="360" w:lineRule="auto"/>
        <w:ind w:firstLine="240" w:firstLineChars="100"/>
        <w:rPr>
          <w:rFonts w:ascii="宋体" w:hAnsi="宋体" w:cs="宋体"/>
          <w:sz w:val="24"/>
          <w:lang w:val="zh-CN"/>
        </w:rPr>
      </w:pPr>
      <w:bookmarkStart w:id="58" w:name="_Toc531002676"/>
      <w:bookmarkStart w:id="59" w:name="_Toc40971263"/>
      <w:bookmarkStart w:id="60" w:name="_Toc20898"/>
      <w:r>
        <w:rPr>
          <w:rFonts w:hint="eastAsia" w:ascii="宋体" w:hAnsi="宋体" w:cs="宋体"/>
          <w:sz w:val="24"/>
        </w:rPr>
        <w:t>1.5</w:t>
      </w:r>
      <w:r>
        <w:rPr>
          <w:rFonts w:hint="eastAsia" w:ascii="宋体" w:hAnsi="宋体" w:cs="宋体"/>
          <w:sz w:val="24"/>
          <w:lang w:val="zh-CN"/>
        </w:rPr>
        <w:t>智慧文保</w:t>
      </w:r>
      <w:bookmarkEnd w:id="58"/>
      <w:bookmarkEnd w:id="59"/>
      <w:bookmarkEnd w:id="60"/>
    </w:p>
    <w:p>
      <w:pPr>
        <w:spacing w:line="360" w:lineRule="auto"/>
        <w:ind w:firstLine="480" w:firstLineChars="200"/>
        <w:rPr>
          <w:rFonts w:ascii="宋体" w:hAnsi="宋体" w:cs="宋体"/>
          <w:sz w:val="24"/>
          <w:lang w:val="zh-CN"/>
        </w:rPr>
      </w:pPr>
      <w:r>
        <w:rPr>
          <w:rFonts w:hint="eastAsia" w:ascii="宋体" w:hAnsi="宋体" w:cs="宋体"/>
          <w:sz w:val="24"/>
        </w:rPr>
        <w:t>以全区各级文物保护单位张贴的文保二维码为基础，结合不可移动文物安全管理平台、移动巡查APP和手机，实现全区文保单位智能监管。</w:t>
      </w:r>
    </w:p>
    <w:p>
      <w:pPr>
        <w:numPr>
          <w:ilvl w:val="0"/>
          <w:numId w:val="8"/>
        </w:numPr>
        <w:spacing w:line="360" w:lineRule="auto"/>
        <w:rPr>
          <w:rFonts w:ascii="宋体" w:hAnsi="宋体" w:cs="宋体"/>
          <w:sz w:val="24"/>
          <w:lang w:val="zh-CN"/>
        </w:rPr>
      </w:pPr>
      <w:bookmarkStart w:id="61" w:name="_Toc531002677"/>
      <w:bookmarkStart w:id="62" w:name="_Toc19156"/>
      <w:r>
        <w:rPr>
          <w:rFonts w:hint="eastAsia" w:ascii="宋体" w:hAnsi="宋体" w:cs="宋体"/>
          <w:sz w:val="24"/>
          <w:lang w:val="zh-CN"/>
        </w:rPr>
        <w:t>移动巡查系统</w:t>
      </w:r>
      <w:bookmarkEnd w:id="61"/>
      <w:bookmarkEnd w:id="62"/>
    </w:p>
    <w:p>
      <w:pPr>
        <w:spacing w:line="360" w:lineRule="auto"/>
        <w:ind w:firstLine="480" w:firstLineChars="200"/>
        <w:rPr>
          <w:rFonts w:ascii="宋体" w:hAnsi="宋体" w:cs="宋体"/>
          <w:sz w:val="24"/>
        </w:rPr>
      </w:pPr>
      <w:r>
        <w:rPr>
          <w:rFonts w:hint="eastAsia" w:ascii="宋体" w:hAnsi="宋体" w:cs="宋体"/>
          <w:sz w:val="24"/>
        </w:rPr>
        <w:t>移动巡查系统以APP形式安装于手机终端上。需求功能包括但不限于：</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图像采集；</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图像上传；</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数据查询；</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现场记录。</w:t>
      </w:r>
    </w:p>
    <w:p>
      <w:pPr>
        <w:numPr>
          <w:ilvl w:val="0"/>
          <w:numId w:val="8"/>
        </w:numPr>
        <w:spacing w:line="360" w:lineRule="auto"/>
        <w:rPr>
          <w:rFonts w:ascii="宋体" w:hAnsi="宋体" w:cs="宋体"/>
          <w:sz w:val="24"/>
          <w:lang w:val="zh-CN"/>
        </w:rPr>
      </w:pPr>
      <w:bookmarkStart w:id="63" w:name="_Toc531002678"/>
      <w:bookmarkStart w:id="64" w:name="_Toc285"/>
      <w:r>
        <w:rPr>
          <w:rFonts w:hint="eastAsia" w:ascii="宋体" w:hAnsi="宋体" w:cs="宋体"/>
          <w:sz w:val="24"/>
          <w:lang w:val="zh-CN"/>
        </w:rPr>
        <w:t>文保事件监控系统</w:t>
      </w:r>
      <w:bookmarkEnd w:id="63"/>
      <w:bookmarkEnd w:id="64"/>
    </w:p>
    <w:p>
      <w:pPr>
        <w:spacing w:line="360" w:lineRule="auto"/>
        <w:ind w:firstLine="480" w:firstLineChars="200"/>
        <w:rPr>
          <w:rFonts w:ascii="宋体" w:hAnsi="宋体" w:cs="宋体"/>
          <w:sz w:val="24"/>
        </w:rPr>
      </w:pPr>
      <w:r>
        <w:rPr>
          <w:rFonts w:hint="eastAsia" w:ascii="宋体" w:hAnsi="宋体" w:cs="宋体"/>
          <w:sz w:val="24"/>
        </w:rPr>
        <w:t>结合现场巡检和视频监控系统，实现文保事件的发现、上报、处置的全流程管理。需求功能包括：</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派单功能；</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事件处理功能；</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记录查询；</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统计分析。</w:t>
      </w:r>
    </w:p>
    <w:p>
      <w:pPr>
        <w:numPr>
          <w:ilvl w:val="0"/>
          <w:numId w:val="8"/>
        </w:numPr>
        <w:spacing w:line="360" w:lineRule="auto"/>
        <w:rPr>
          <w:rFonts w:ascii="宋体" w:hAnsi="宋体" w:cs="宋体"/>
          <w:sz w:val="24"/>
        </w:rPr>
      </w:pPr>
      <w:r>
        <w:rPr>
          <w:rFonts w:hint="eastAsia" w:ascii="宋体" w:hAnsi="宋体" w:cs="宋体"/>
          <w:sz w:val="24"/>
        </w:rPr>
        <w:t>平台对接</w:t>
      </w:r>
    </w:p>
    <w:p>
      <w:pPr>
        <w:spacing w:line="360" w:lineRule="auto"/>
        <w:ind w:firstLine="480" w:firstLineChars="200"/>
        <w:rPr>
          <w:rFonts w:ascii="宋体" w:hAnsi="宋体" w:cs="宋体"/>
          <w:sz w:val="24"/>
        </w:rPr>
      </w:pPr>
      <w:r>
        <w:rPr>
          <w:rFonts w:hint="eastAsia" w:ascii="宋体" w:hAnsi="宋体" w:cs="宋体"/>
          <w:sz w:val="24"/>
        </w:rPr>
        <w:t>文保事件监控系统需与文保事件一张图系统对接，所有巡查与事件的数据均实时上报文保事件一张图，。</w:t>
      </w:r>
    </w:p>
    <w:p>
      <w:pPr>
        <w:numPr>
          <w:ilvl w:val="0"/>
          <w:numId w:val="8"/>
        </w:numPr>
        <w:spacing w:line="360" w:lineRule="auto"/>
        <w:rPr>
          <w:rFonts w:ascii="宋体" w:hAnsi="宋体" w:cs="宋体"/>
          <w:sz w:val="24"/>
          <w:lang w:val="zh-CN"/>
        </w:rPr>
      </w:pPr>
      <w:bookmarkStart w:id="65" w:name="_Toc23508"/>
      <w:r>
        <w:rPr>
          <w:rFonts w:hint="eastAsia" w:ascii="宋体" w:hAnsi="宋体" w:cs="宋体"/>
          <w:sz w:val="24"/>
          <w:lang w:val="zh-CN"/>
        </w:rPr>
        <w:t>二维码语音</w:t>
      </w:r>
      <w:r>
        <w:rPr>
          <w:rFonts w:hint="eastAsia" w:ascii="宋体" w:hAnsi="宋体" w:cs="宋体"/>
          <w:sz w:val="24"/>
        </w:rPr>
        <w:t>导览</w:t>
      </w:r>
      <w:bookmarkEnd w:id="65"/>
    </w:p>
    <w:p>
      <w:pPr>
        <w:spacing w:line="360" w:lineRule="auto"/>
        <w:ind w:firstLine="480" w:firstLineChars="200"/>
        <w:rPr>
          <w:rFonts w:ascii="宋体" w:hAnsi="宋体" w:cs="宋体"/>
          <w:sz w:val="24"/>
        </w:rPr>
      </w:pPr>
      <w:r>
        <w:rPr>
          <w:rFonts w:hint="eastAsia" w:ascii="宋体" w:hAnsi="宋体" w:cs="宋体"/>
          <w:sz w:val="24"/>
        </w:rPr>
        <w:t>需求内容详见附表</w:t>
      </w:r>
      <w:r>
        <w:rPr>
          <w:rFonts w:ascii="宋体" w:hAnsi="宋体" w:cs="宋体"/>
          <w:sz w:val="24"/>
        </w:rPr>
        <w:t>4</w:t>
      </w:r>
    </w:p>
    <w:p>
      <w:pPr>
        <w:numPr>
          <w:ilvl w:val="0"/>
          <w:numId w:val="8"/>
        </w:numPr>
        <w:spacing w:line="360" w:lineRule="auto"/>
        <w:rPr>
          <w:rFonts w:ascii="宋体" w:hAnsi="宋体" w:cs="宋体"/>
          <w:sz w:val="24"/>
          <w:lang w:val="zh-CN"/>
        </w:rPr>
      </w:pPr>
      <w:bookmarkStart w:id="66" w:name="_Toc26982"/>
      <w:bookmarkStart w:id="67" w:name="_Toc531002679"/>
      <w:r>
        <w:rPr>
          <w:rFonts w:hint="eastAsia" w:ascii="宋体" w:hAnsi="宋体" w:cs="宋体"/>
          <w:sz w:val="24"/>
          <w:lang w:val="zh-CN"/>
        </w:rPr>
        <w:t>人流量检测</w:t>
      </w:r>
      <w:bookmarkEnd w:id="66"/>
      <w:bookmarkEnd w:id="67"/>
    </w:p>
    <w:p>
      <w:pPr>
        <w:numPr>
          <w:ilvl w:val="0"/>
          <w:numId w:val="8"/>
        </w:numPr>
        <w:spacing w:line="360" w:lineRule="auto"/>
        <w:rPr>
          <w:rFonts w:ascii="宋体" w:hAnsi="宋体" w:cs="宋体"/>
          <w:sz w:val="24"/>
          <w:lang w:val="zh-CN"/>
        </w:rPr>
      </w:pPr>
      <w:bookmarkStart w:id="68" w:name="_Toc531002680"/>
      <w:bookmarkStart w:id="69" w:name="_Toc25659"/>
      <w:r>
        <w:rPr>
          <w:rFonts w:hint="eastAsia" w:ascii="宋体" w:hAnsi="宋体" w:cs="宋体"/>
          <w:sz w:val="24"/>
          <w:lang w:val="zh-CN"/>
        </w:rPr>
        <w:t>视频监控</w:t>
      </w:r>
      <w:bookmarkEnd w:id="68"/>
      <w:bookmarkEnd w:id="69"/>
    </w:p>
    <w:p>
      <w:pPr>
        <w:spacing w:line="360" w:lineRule="auto"/>
        <w:ind w:firstLine="240" w:firstLineChars="100"/>
        <w:rPr>
          <w:rFonts w:ascii="宋体" w:hAnsi="宋体" w:cs="宋体"/>
          <w:sz w:val="24"/>
          <w:lang w:val="zh-CN"/>
        </w:rPr>
      </w:pPr>
      <w:bookmarkStart w:id="70" w:name="_Toc21262"/>
      <w:bookmarkStart w:id="71" w:name="_Toc531002681"/>
      <w:bookmarkStart w:id="72" w:name="_Toc40971264"/>
      <w:r>
        <w:rPr>
          <w:rFonts w:hint="eastAsia" w:ascii="宋体" w:hAnsi="宋体" w:cs="宋体"/>
          <w:sz w:val="24"/>
        </w:rPr>
        <w:t>1.6</w:t>
      </w:r>
      <w:r>
        <w:rPr>
          <w:rFonts w:hint="eastAsia" w:ascii="宋体" w:hAnsi="宋体" w:cs="宋体"/>
          <w:sz w:val="24"/>
          <w:lang w:val="zh-CN"/>
        </w:rPr>
        <w:t>智慧博物馆</w:t>
      </w:r>
      <w:bookmarkEnd w:id="70"/>
      <w:bookmarkEnd w:id="71"/>
      <w:bookmarkEnd w:id="72"/>
    </w:p>
    <w:p>
      <w:pPr>
        <w:spacing w:line="360" w:lineRule="auto"/>
        <w:ind w:firstLine="480" w:firstLineChars="200"/>
        <w:rPr>
          <w:rFonts w:ascii="宋体" w:hAnsi="宋体" w:cs="宋体"/>
          <w:sz w:val="24"/>
        </w:rPr>
      </w:pPr>
      <w:r>
        <w:rPr>
          <w:rFonts w:hint="eastAsia" w:ascii="宋体" w:hAnsi="宋体" w:cs="宋体"/>
          <w:sz w:val="24"/>
        </w:rPr>
        <w:t>智慧博物馆主要实现了博物馆的智能化导览。用户可以通过智能硬件或者微信的操作来实现更智能的博物馆自助导览操作。在微信公众平台可以通过一定规则获取电子门票，避免了纸质门票在即时性等方面的缺陷，网上博物馆可以更方便更全面的让用户了解到博物馆各展品的相关知识。</w:t>
      </w:r>
    </w:p>
    <w:p>
      <w:pPr>
        <w:numPr>
          <w:ilvl w:val="0"/>
          <w:numId w:val="8"/>
        </w:numPr>
        <w:spacing w:line="360" w:lineRule="auto"/>
        <w:rPr>
          <w:rFonts w:ascii="宋体" w:hAnsi="宋体" w:cs="宋体"/>
          <w:sz w:val="24"/>
          <w:lang w:val="zh-CN"/>
        </w:rPr>
      </w:pPr>
      <w:bookmarkStart w:id="73" w:name="_Toc13304"/>
      <w:bookmarkStart w:id="74" w:name="_Toc531002685"/>
      <w:r>
        <w:rPr>
          <w:rFonts w:hint="eastAsia" w:ascii="宋体" w:hAnsi="宋体" w:cs="宋体"/>
          <w:sz w:val="24"/>
          <w:lang w:val="zh-CN"/>
        </w:rPr>
        <w:t>线上博物馆</w:t>
      </w:r>
      <w:bookmarkEnd w:id="73"/>
      <w:bookmarkEnd w:id="74"/>
    </w:p>
    <w:p>
      <w:pPr>
        <w:spacing w:line="360" w:lineRule="auto"/>
        <w:ind w:firstLine="480" w:firstLineChars="200"/>
        <w:rPr>
          <w:rFonts w:ascii="宋体" w:hAnsi="宋体" w:cs="宋体"/>
          <w:sz w:val="24"/>
        </w:rPr>
      </w:pPr>
      <w:r>
        <w:rPr>
          <w:rFonts w:hint="eastAsia" w:ascii="宋体" w:hAnsi="宋体" w:cs="宋体"/>
          <w:sz w:val="24"/>
        </w:rPr>
        <w:t>需求功能包括但不限于：</w:t>
      </w:r>
    </w:p>
    <w:p>
      <w:pPr>
        <w:spacing w:line="360" w:lineRule="auto"/>
        <w:ind w:firstLine="480" w:firstLineChars="200"/>
        <w:rPr>
          <w:rFonts w:ascii="宋体" w:hAnsi="宋体" w:cs="宋体"/>
          <w:sz w:val="24"/>
        </w:rPr>
      </w:pPr>
      <w:r>
        <w:rPr>
          <w:rFonts w:hint="eastAsia" w:ascii="宋体" w:hAnsi="宋体" w:cs="宋体"/>
          <w:sz w:val="24"/>
        </w:rPr>
        <w:t>（1）博物馆分馆概况</w:t>
      </w:r>
    </w:p>
    <w:p>
      <w:pPr>
        <w:spacing w:line="360" w:lineRule="auto"/>
        <w:ind w:firstLine="480" w:firstLineChars="200"/>
        <w:rPr>
          <w:rFonts w:ascii="宋体" w:hAnsi="宋体" w:cs="宋体"/>
          <w:sz w:val="24"/>
        </w:rPr>
      </w:pPr>
      <w:r>
        <w:rPr>
          <w:rFonts w:hint="eastAsia" w:ascii="宋体" w:hAnsi="宋体" w:cs="宋体"/>
          <w:sz w:val="24"/>
        </w:rPr>
        <w:t>（2）博物馆展厅介绍</w:t>
      </w:r>
    </w:p>
    <w:p>
      <w:pPr>
        <w:spacing w:line="360" w:lineRule="auto"/>
        <w:ind w:firstLine="480" w:firstLineChars="200"/>
        <w:rPr>
          <w:rFonts w:ascii="宋体" w:hAnsi="宋体" w:cs="宋体"/>
          <w:sz w:val="24"/>
        </w:rPr>
      </w:pPr>
      <w:r>
        <w:rPr>
          <w:rFonts w:hint="eastAsia" w:ascii="宋体" w:hAnsi="宋体" w:cs="宋体"/>
          <w:sz w:val="24"/>
        </w:rPr>
        <w:t>（3）博物馆展品信息</w:t>
      </w:r>
    </w:p>
    <w:p>
      <w:pPr>
        <w:spacing w:line="360" w:lineRule="auto"/>
        <w:ind w:firstLine="480" w:firstLineChars="200"/>
        <w:rPr>
          <w:rFonts w:ascii="宋体" w:hAnsi="宋体" w:cs="宋体"/>
          <w:sz w:val="24"/>
        </w:rPr>
      </w:pPr>
      <w:r>
        <w:rPr>
          <w:rFonts w:hint="eastAsia" w:ascii="宋体" w:hAnsi="宋体" w:cs="宋体"/>
          <w:sz w:val="24"/>
        </w:rPr>
        <w:t>（4）博物馆工作动态</w:t>
      </w:r>
    </w:p>
    <w:p>
      <w:pPr>
        <w:numPr>
          <w:ilvl w:val="0"/>
          <w:numId w:val="8"/>
        </w:numPr>
        <w:spacing w:line="360" w:lineRule="auto"/>
        <w:rPr>
          <w:rFonts w:ascii="宋体" w:hAnsi="宋体" w:cs="宋体"/>
          <w:sz w:val="24"/>
          <w:lang w:val="zh-CN"/>
        </w:rPr>
      </w:pPr>
      <w:r>
        <w:rPr>
          <w:rFonts w:hint="eastAsia" w:ascii="宋体" w:hAnsi="宋体" w:cs="宋体"/>
          <w:sz w:val="24"/>
          <w:lang w:val="zh-CN"/>
        </w:rPr>
        <w:t>VR全景展厅</w:t>
      </w:r>
    </w:p>
    <w:p>
      <w:pPr>
        <w:spacing w:line="360" w:lineRule="auto"/>
        <w:ind w:firstLine="480" w:firstLineChars="200"/>
        <w:rPr>
          <w:rFonts w:ascii="宋体" w:hAnsi="宋体" w:cs="宋体"/>
          <w:sz w:val="24"/>
        </w:rPr>
      </w:pPr>
      <w:r>
        <w:rPr>
          <w:rFonts w:hint="eastAsia" w:ascii="宋体" w:hAnsi="宋体" w:cs="宋体"/>
          <w:sz w:val="24"/>
        </w:rPr>
        <w:t>需求功能包括但不限于：</w:t>
      </w:r>
    </w:p>
    <w:p>
      <w:pPr>
        <w:spacing w:line="360" w:lineRule="auto"/>
        <w:rPr>
          <w:rFonts w:ascii="宋体" w:hAnsi="宋体" w:cs="宋体"/>
          <w:sz w:val="24"/>
        </w:rPr>
      </w:pPr>
      <w:r>
        <w:rPr>
          <w:rFonts w:hint="eastAsia" w:ascii="宋体" w:hAnsi="宋体" w:cs="宋体"/>
          <w:sz w:val="24"/>
          <w:lang w:val="en-US" w:eastAsia="zh-CN"/>
        </w:rPr>
        <w:t xml:space="preserve">    （1）</w:t>
      </w:r>
      <w:r>
        <w:rPr>
          <w:rFonts w:hint="eastAsia" w:ascii="宋体" w:hAnsi="宋体" w:cs="宋体"/>
          <w:sz w:val="24"/>
        </w:rPr>
        <w:t>场景选择；</w:t>
      </w:r>
    </w:p>
    <w:p>
      <w:pPr>
        <w:spacing w:line="360" w:lineRule="auto"/>
        <w:rPr>
          <w:rFonts w:ascii="宋体" w:hAnsi="宋体" w:cs="宋体"/>
          <w:sz w:val="24"/>
        </w:rPr>
      </w:pPr>
      <w:r>
        <w:rPr>
          <w:rFonts w:hint="eastAsia" w:ascii="宋体" w:hAnsi="宋体" w:cs="宋体"/>
          <w:sz w:val="24"/>
          <w:lang w:val="en-US" w:eastAsia="zh-CN"/>
        </w:rPr>
        <w:t xml:space="preserve">    （2）</w:t>
      </w:r>
      <w:r>
        <w:rPr>
          <w:rFonts w:hint="eastAsia" w:ascii="宋体" w:hAnsi="宋体" w:cs="宋体"/>
          <w:sz w:val="24"/>
        </w:rPr>
        <w:t>导览指引；</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音频讲解；</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截图分享功能；</w:t>
      </w:r>
    </w:p>
    <w:p>
      <w:pPr>
        <w:numPr>
          <w:ilvl w:val="0"/>
          <w:numId w:val="8"/>
        </w:numPr>
        <w:spacing w:line="360" w:lineRule="auto"/>
        <w:rPr>
          <w:rFonts w:ascii="宋体" w:hAnsi="宋体" w:cs="宋体"/>
          <w:sz w:val="24"/>
          <w:lang w:val="zh-CN"/>
        </w:rPr>
      </w:pPr>
      <w:r>
        <w:rPr>
          <w:rFonts w:hint="eastAsia" w:ascii="宋体" w:hAnsi="宋体" w:cs="宋体"/>
          <w:sz w:val="24"/>
          <w:lang w:val="zh-CN"/>
        </w:rPr>
        <w:t>微信平台</w:t>
      </w:r>
    </w:p>
    <w:p>
      <w:pPr>
        <w:spacing w:line="360" w:lineRule="auto"/>
        <w:ind w:firstLine="480" w:firstLineChars="200"/>
        <w:rPr>
          <w:rFonts w:ascii="宋体" w:hAnsi="宋体" w:cs="宋体"/>
          <w:sz w:val="24"/>
        </w:rPr>
      </w:pPr>
      <w:r>
        <w:rPr>
          <w:rFonts w:hint="eastAsia" w:ascii="宋体" w:hAnsi="宋体" w:cs="宋体"/>
          <w:sz w:val="24"/>
        </w:rPr>
        <w:t>需求功能模块包括但不限于：</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参观预约；</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博物馆介绍；</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精品文物介绍</w:t>
      </w:r>
      <w:r>
        <w:rPr>
          <w:rFonts w:hint="eastAsia" w:ascii="宋体" w:hAnsi="宋体" w:cs="宋体"/>
          <w:sz w:val="24"/>
          <w:lang w:eastAsia="zh-CN"/>
        </w:rPr>
        <w:t>；</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虚拟展厅；</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志愿者服务。</w:t>
      </w:r>
    </w:p>
    <w:p>
      <w:pPr>
        <w:numPr>
          <w:ilvl w:val="0"/>
          <w:numId w:val="8"/>
        </w:numPr>
        <w:spacing w:line="360" w:lineRule="auto"/>
        <w:rPr>
          <w:rFonts w:ascii="宋体" w:hAnsi="宋体" w:cs="宋体"/>
          <w:sz w:val="24"/>
        </w:rPr>
      </w:pPr>
      <w:r>
        <w:rPr>
          <w:rFonts w:hint="eastAsia" w:ascii="宋体" w:hAnsi="宋体" w:cs="宋体"/>
          <w:sz w:val="24"/>
        </w:rPr>
        <w:t>博物馆人流量检测</w:t>
      </w:r>
    </w:p>
    <w:p>
      <w:pPr>
        <w:spacing w:line="360" w:lineRule="auto"/>
        <w:ind w:firstLine="240" w:firstLineChars="100"/>
        <w:rPr>
          <w:rFonts w:ascii="宋体" w:hAnsi="宋体" w:cs="宋体"/>
          <w:sz w:val="24"/>
          <w:lang w:val="zh-CN"/>
        </w:rPr>
      </w:pPr>
      <w:bookmarkStart w:id="75" w:name="_Toc40971265"/>
      <w:bookmarkStart w:id="76" w:name="_Toc6520"/>
      <w:r>
        <w:rPr>
          <w:rFonts w:hint="eastAsia" w:ascii="宋体" w:hAnsi="宋体" w:cs="宋体"/>
          <w:sz w:val="24"/>
        </w:rPr>
        <w:t>1.7</w:t>
      </w:r>
      <w:r>
        <w:rPr>
          <w:rFonts w:hint="eastAsia" w:ascii="宋体" w:hAnsi="宋体" w:cs="宋体"/>
          <w:sz w:val="24"/>
          <w:lang w:val="zh-CN"/>
        </w:rPr>
        <w:t>数字文化馆</w:t>
      </w:r>
      <w:bookmarkEnd w:id="75"/>
      <w:bookmarkEnd w:id="76"/>
    </w:p>
    <w:p>
      <w:pPr>
        <w:spacing w:line="360" w:lineRule="auto"/>
        <w:ind w:firstLine="480" w:firstLineChars="200"/>
        <w:rPr>
          <w:rFonts w:ascii="宋体" w:hAnsi="宋体" w:cs="宋体"/>
          <w:sz w:val="24"/>
        </w:rPr>
      </w:pPr>
      <w:bookmarkStart w:id="77" w:name="_Toc531002699"/>
      <w:bookmarkEnd w:id="77"/>
      <w:bookmarkStart w:id="78" w:name="_Toc531002694"/>
      <w:bookmarkEnd w:id="78"/>
      <w:bookmarkStart w:id="79" w:name="_Toc531002710"/>
      <w:bookmarkEnd w:id="79"/>
      <w:bookmarkStart w:id="80" w:name="_Toc531002706"/>
      <w:bookmarkEnd w:id="80"/>
      <w:bookmarkStart w:id="81" w:name="_Toc531002716"/>
      <w:bookmarkEnd w:id="81"/>
      <w:bookmarkStart w:id="82" w:name="_Toc531002721"/>
      <w:bookmarkEnd w:id="82"/>
      <w:bookmarkStart w:id="83" w:name="_Toc531002715"/>
      <w:bookmarkEnd w:id="83"/>
      <w:bookmarkStart w:id="84" w:name="_Toc531002713"/>
      <w:bookmarkEnd w:id="84"/>
      <w:bookmarkStart w:id="85" w:name="_Toc531002709"/>
      <w:bookmarkEnd w:id="85"/>
      <w:bookmarkStart w:id="86" w:name="_Toc531002718"/>
      <w:bookmarkEnd w:id="86"/>
      <w:bookmarkStart w:id="87" w:name="_Toc531002719"/>
      <w:bookmarkEnd w:id="87"/>
      <w:bookmarkStart w:id="88" w:name="_Toc531002696"/>
      <w:bookmarkEnd w:id="88"/>
      <w:bookmarkStart w:id="89" w:name="_Toc531002707"/>
      <w:bookmarkEnd w:id="89"/>
      <w:bookmarkStart w:id="90" w:name="_Toc531002695"/>
      <w:bookmarkEnd w:id="90"/>
      <w:bookmarkStart w:id="91" w:name="_Toc531002700"/>
      <w:bookmarkEnd w:id="91"/>
      <w:bookmarkStart w:id="92" w:name="_Toc531002705"/>
      <w:bookmarkEnd w:id="92"/>
      <w:bookmarkStart w:id="93" w:name="_Toc531002701"/>
      <w:bookmarkEnd w:id="93"/>
      <w:bookmarkStart w:id="94" w:name="_Toc531002697"/>
      <w:bookmarkEnd w:id="94"/>
      <w:bookmarkStart w:id="95" w:name="_Toc531002702"/>
      <w:bookmarkEnd w:id="95"/>
      <w:bookmarkStart w:id="96" w:name="_Toc531002711"/>
      <w:bookmarkEnd w:id="96"/>
      <w:bookmarkStart w:id="97" w:name="_Toc531002720"/>
      <w:bookmarkEnd w:id="97"/>
      <w:bookmarkStart w:id="98" w:name="_Toc531002708"/>
      <w:bookmarkEnd w:id="98"/>
      <w:bookmarkStart w:id="99" w:name="_Toc531002714"/>
      <w:bookmarkEnd w:id="99"/>
      <w:bookmarkStart w:id="100" w:name="_Toc531002717"/>
      <w:bookmarkEnd w:id="100"/>
      <w:bookmarkStart w:id="101" w:name="_Toc531002692"/>
      <w:bookmarkEnd w:id="101"/>
      <w:bookmarkStart w:id="102" w:name="_Toc531002703"/>
      <w:bookmarkEnd w:id="102"/>
      <w:bookmarkStart w:id="103" w:name="_Toc531002693"/>
      <w:bookmarkEnd w:id="103"/>
      <w:bookmarkStart w:id="104" w:name="_Toc531002712"/>
      <w:bookmarkEnd w:id="104"/>
      <w:bookmarkStart w:id="105" w:name="_Toc531002698"/>
      <w:bookmarkEnd w:id="105"/>
      <w:bookmarkStart w:id="106" w:name="_Toc531002704"/>
      <w:bookmarkEnd w:id="106"/>
      <w:bookmarkStart w:id="107" w:name="_Toc13269"/>
      <w:bookmarkStart w:id="108" w:name="_Toc531002722"/>
      <w:r>
        <w:rPr>
          <w:rFonts w:hint="eastAsia" w:ascii="宋体" w:hAnsi="宋体" w:cs="宋体"/>
          <w:sz w:val="24"/>
        </w:rPr>
        <w:t>包含文化资讯、文化活动、文化培训、场馆预订、数据统计、站内检索等内容，为群众提供全面的公共文化服务。</w:t>
      </w:r>
    </w:p>
    <w:p>
      <w:pPr>
        <w:numPr>
          <w:ilvl w:val="0"/>
          <w:numId w:val="8"/>
        </w:numPr>
        <w:spacing w:line="360" w:lineRule="auto"/>
        <w:rPr>
          <w:rFonts w:ascii="宋体" w:hAnsi="宋体" w:cs="宋体"/>
          <w:sz w:val="24"/>
        </w:rPr>
      </w:pPr>
      <w:bookmarkStart w:id="109" w:name="_Toc40447635"/>
      <w:r>
        <w:rPr>
          <w:rFonts w:hint="eastAsia" w:ascii="宋体" w:hAnsi="宋体" w:cs="宋体"/>
          <w:sz w:val="24"/>
        </w:rPr>
        <w:t>信息发布与管理模块</w:t>
      </w:r>
      <w:bookmarkEnd w:id="109"/>
    </w:p>
    <w:p>
      <w:pPr>
        <w:spacing w:line="360" w:lineRule="auto"/>
        <w:ind w:firstLine="480" w:firstLineChars="200"/>
        <w:rPr>
          <w:rFonts w:ascii="宋体" w:hAnsi="宋体" w:cs="宋体"/>
          <w:sz w:val="24"/>
        </w:rPr>
      </w:pPr>
      <w:r>
        <w:rPr>
          <w:rFonts w:hint="eastAsia" w:ascii="宋体" w:hAnsi="宋体" w:cs="宋体"/>
          <w:sz w:val="24"/>
        </w:rPr>
        <w:t>将在其他各展示端同步推送，并和其他平台信息对接，需记录每条信息的浏览量。</w:t>
      </w:r>
    </w:p>
    <w:p>
      <w:pPr>
        <w:numPr>
          <w:ilvl w:val="0"/>
          <w:numId w:val="8"/>
        </w:numPr>
        <w:spacing w:line="360" w:lineRule="auto"/>
        <w:rPr>
          <w:rFonts w:ascii="宋体" w:hAnsi="宋体" w:cs="宋体"/>
          <w:sz w:val="24"/>
        </w:rPr>
      </w:pPr>
      <w:bookmarkStart w:id="110" w:name="_Toc40447636"/>
      <w:r>
        <w:rPr>
          <w:rFonts w:hint="eastAsia" w:ascii="宋体" w:hAnsi="宋体" w:cs="宋体"/>
          <w:sz w:val="24"/>
        </w:rPr>
        <w:t>文化活动发布与管理模块</w:t>
      </w:r>
      <w:bookmarkEnd w:id="110"/>
    </w:p>
    <w:p>
      <w:pPr>
        <w:spacing w:line="360" w:lineRule="auto"/>
        <w:ind w:firstLine="480" w:firstLineChars="200"/>
        <w:rPr>
          <w:rFonts w:ascii="宋体" w:hAnsi="宋体" w:cs="宋体"/>
          <w:sz w:val="24"/>
        </w:rPr>
      </w:pPr>
      <w:r>
        <w:rPr>
          <w:rFonts w:hint="eastAsia" w:ascii="宋体" w:hAnsi="宋体" w:cs="宋体"/>
          <w:sz w:val="24"/>
        </w:rPr>
        <w:t>结合文化列表安排，通过网站、APP、微信等终端渠道，线上线下同步展示文化馆文艺活动预告。</w:t>
      </w:r>
    </w:p>
    <w:p>
      <w:pPr>
        <w:numPr>
          <w:ilvl w:val="0"/>
          <w:numId w:val="8"/>
        </w:numPr>
        <w:spacing w:line="360" w:lineRule="auto"/>
        <w:rPr>
          <w:rFonts w:ascii="宋体" w:hAnsi="宋体" w:cs="宋体"/>
          <w:sz w:val="24"/>
        </w:rPr>
      </w:pPr>
      <w:bookmarkStart w:id="111" w:name="_Toc40447637"/>
      <w:r>
        <w:rPr>
          <w:rFonts w:hint="eastAsia" w:ascii="宋体" w:hAnsi="宋体" w:cs="宋体"/>
          <w:sz w:val="24"/>
        </w:rPr>
        <w:t>资源展示与管理模块</w:t>
      </w:r>
      <w:bookmarkEnd w:id="111"/>
    </w:p>
    <w:p>
      <w:pPr>
        <w:numPr>
          <w:ilvl w:val="0"/>
          <w:numId w:val="8"/>
        </w:numPr>
        <w:spacing w:line="360" w:lineRule="auto"/>
        <w:rPr>
          <w:rFonts w:ascii="宋体" w:hAnsi="宋体" w:cs="宋体"/>
          <w:sz w:val="24"/>
        </w:rPr>
      </w:pPr>
      <w:bookmarkStart w:id="112" w:name="_Toc40447638"/>
      <w:r>
        <w:rPr>
          <w:rFonts w:hint="eastAsia" w:ascii="宋体" w:hAnsi="宋体" w:cs="宋体"/>
          <w:sz w:val="24"/>
        </w:rPr>
        <w:t>文化配送模块</w:t>
      </w:r>
      <w:bookmarkEnd w:id="112"/>
    </w:p>
    <w:p>
      <w:pPr>
        <w:spacing w:line="360" w:lineRule="auto"/>
        <w:ind w:firstLine="480" w:firstLineChars="200"/>
        <w:rPr>
          <w:rFonts w:ascii="宋体" w:hAnsi="宋体" w:cs="宋体"/>
          <w:sz w:val="24"/>
        </w:rPr>
      </w:pPr>
      <w:r>
        <w:rPr>
          <w:rFonts w:hint="eastAsia" w:ascii="宋体" w:hAnsi="宋体" w:cs="宋体"/>
          <w:sz w:val="24"/>
        </w:rPr>
        <w:t>区文化馆提供文化服务菜单，基层文化分馆（文化站）根据需求预约相关服务，区文化馆通过平台实现文化服务送基层。</w:t>
      </w:r>
    </w:p>
    <w:p>
      <w:pPr>
        <w:numPr>
          <w:ilvl w:val="0"/>
          <w:numId w:val="9"/>
        </w:numPr>
        <w:spacing w:line="360" w:lineRule="auto"/>
        <w:rPr>
          <w:rFonts w:ascii="宋体" w:hAnsi="宋体" w:cs="宋体"/>
          <w:sz w:val="24"/>
        </w:rPr>
      </w:pPr>
      <w:bookmarkStart w:id="113" w:name="_Toc40447639"/>
      <w:bookmarkStart w:id="114" w:name="_Toc56"/>
      <w:r>
        <w:rPr>
          <w:rFonts w:hint="eastAsia" w:ascii="宋体" w:hAnsi="宋体" w:cs="宋体"/>
          <w:sz w:val="24"/>
        </w:rPr>
        <w:t>虚拟全景展示平台</w:t>
      </w:r>
      <w:bookmarkEnd w:id="113"/>
    </w:p>
    <w:p>
      <w:pPr>
        <w:spacing w:line="360" w:lineRule="auto"/>
        <w:ind w:firstLine="480" w:firstLineChars="200"/>
        <w:rPr>
          <w:rFonts w:ascii="宋体" w:hAnsi="宋体" w:cs="宋体"/>
          <w:sz w:val="24"/>
        </w:rPr>
      </w:pPr>
      <w:r>
        <w:rPr>
          <w:rFonts w:hint="eastAsia" w:ascii="宋体" w:hAnsi="宋体" w:cs="宋体"/>
          <w:sz w:val="24"/>
        </w:rPr>
        <w:t>将通过720度全景、对展厅位置、展厅规模、展厅布局、展厅设施进行介绍。</w:t>
      </w:r>
    </w:p>
    <w:p>
      <w:pPr>
        <w:numPr>
          <w:ilvl w:val="0"/>
          <w:numId w:val="9"/>
        </w:numPr>
        <w:spacing w:line="360" w:lineRule="auto"/>
        <w:rPr>
          <w:rFonts w:ascii="宋体" w:hAnsi="宋体" w:cs="宋体"/>
          <w:sz w:val="24"/>
        </w:rPr>
      </w:pPr>
      <w:bookmarkStart w:id="115" w:name="_Toc40447640"/>
      <w:r>
        <w:rPr>
          <w:rFonts w:hint="eastAsia" w:ascii="宋体" w:hAnsi="宋体" w:cs="宋体"/>
          <w:sz w:val="24"/>
        </w:rPr>
        <w:t>艺术普及与培训平台</w:t>
      </w:r>
      <w:bookmarkEnd w:id="114"/>
      <w:bookmarkEnd w:id="115"/>
    </w:p>
    <w:p>
      <w:pPr>
        <w:numPr>
          <w:ilvl w:val="0"/>
          <w:numId w:val="9"/>
        </w:numPr>
        <w:spacing w:line="360" w:lineRule="auto"/>
        <w:rPr>
          <w:rFonts w:ascii="宋体" w:hAnsi="宋体" w:cs="宋体"/>
          <w:sz w:val="24"/>
        </w:rPr>
      </w:pPr>
      <w:bookmarkStart w:id="116" w:name="_Toc40447641"/>
      <w:r>
        <w:rPr>
          <w:rFonts w:hint="eastAsia" w:ascii="宋体" w:hAnsi="宋体" w:cs="宋体"/>
          <w:sz w:val="24"/>
        </w:rPr>
        <w:t>文化慕课课程</w:t>
      </w:r>
      <w:bookmarkEnd w:id="116"/>
    </w:p>
    <w:p>
      <w:pPr>
        <w:numPr>
          <w:ilvl w:val="0"/>
          <w:numId w:val="9"/>
        </w:numPr>
        <w:spacing w:line="360" w:lineRule="auto"/>
        <w:rPr>
          <w:rFonts w:ascii="宋体" w:hAnsi="宋体" w:cs="宋体"/>
          <w:sz w:val="24"/>
        </w:rPr>
      </w:pPr>
      <w:bookmarkStart w:id="117" w:name="_Toc40447642"/>
      <w:r>
        <w:rPr>
          <w:rFonts w:hint="eastAsia" w:ascii="宋体" w:hAnsi="宋体" w:cs="宋体"/>
          <w:sz w:val="24"/>
        </w:rPr>
        <w:t>文化地图与导览服务平台</w:t>
      </w:r>
      <w:bookmarkEnd w:id="117"/>
    </w:p>
    <w:p>
      <w:pPr>
        <w:numPr>
          <w:ilvl w:val="0"/>
          <w:numId w:val="9"/>
        </w:numPr>
        <w:spacing w:line="360" w:lineRule="auto"/>
        <w:rPr>
          <w:rFonts w:ascii="宋体" w:hAnsi="宋体" w:cs="宋体"/>
          <w:sz w:val="24"/>
        </w:rPr>
      </w:pPr>
      <w:bookmarkStart w:id="118" w:name="_Toc40447643"/>
      <w:r>
        <w:rPr>
          <w:rFonts w:hint="eastAsia" w:ascii="宋体" w:hAnsi="宋体" w:cs="宋体"/>
          <w:sz w:val="24"/>
        </w:rPr>
        <w:t>票务预订平台</w:t>
      </w:r>
      <w:bookmarkEnd w:id="118"/>
    </w:p>
    <w:p>
      <w:pPr>
        <w:numPr>
          <w:ilvl w:val="0"/>
          <w:numId w:val="9"/>
        </w:numPr>
        <w:spacing w:line="360" w:lineRule="auto"/>
        <w:rPr>
          <w:rFonts w:ascii="宋体" w:hAnsi="宋体" w:cs="宋体"/>
          <w:sz w:val="24"/>
        </w:rPr>
      </w:pPr>
      <w:bookmarkStart w:id="119" w:name="_Toc40447644"/>
      <w:r>
        <w:rPr>
          <w:rFonts w:hint="eastAsia" w:ascii="宋体" w:hAnsi="宋体" w:cs="宋体"/>
          <w:sz w:val="24"/>
        </w:rPr>
        <w:t>大数据分析与统计平台</w:t>
      </w:r>
      <w:bookmarkEnd w:id="119"/>
    </w:p>
    <w:p>
      <w:pPr>
        <w:numPr>
          <w:ilvl w:val="0"/>
          <w:numId w:val="9"/>
        </w:numPr>
        <w:spacing w:line="360" w:lineRule="auto"/>
        <w:rPr>
          <w:rFonts w:ascii="宋体" w:hAnsi="宋体" w:cs="宋体"/>
          <w:sz w:val="24"/>
        </w:rPr>
      </w:pPr>
      <w:bookmarkStart w:id="120" w:name="_Toc40447645"/>
      <w:r>
        <w:rPr>
          <w:rFonts w:hint="eastAsia" w:ascii="宋体" w:hAnsi="宋体" w:cs="宋体"/>
          <w:sz w:val="24"/>
        </w:rPr>
        <w:t>文化志愿者</w:t>
      </w:r>
      <w:bookmarkEnd w:id="120"/>
    </w:p>
    <w:p>
      <w:pPr>
        <w:numPr>
          <w:ilvl w:val="0"/>
          <w:numId w:val="9"/>
        </w:numPr>
        <w:spacing w:line="360" w:lineRule="auto"/>
        <w:rPr>
          <w:rFonts w:ascii="宋体" w:hAnsi="宋体" w:cs="宋体"/>
          <w:sz w:val="24"/>
        </w:rPr>
      </w:pPr>
      <w:bookmarkStart w:id="121" w:name="_Toc40447646"/>
      <w:r>
        <w:rPr>
          <w:rFonts w:hint="eastAsia" w:ascii="宋体" w:hAnsi="宋体" w:cs="宋体"/>
          <w:sz w:val="24"/>
        </w:rPr>
        <w:t>作品征集</w:t>
      </w:r>
      <w:bookmarkEnd w:id="121"/>
    </w:p>
    <w:p>
      <w:pPr>
        <w:pStyle w:val="2"/>
      </w:pPr>
      <w:r>
        <w:br w:type="page"/>
      </w:r>
    </w:p>
    <w:p>
      <w:pPr>
        <w:spacing w:line="360" w:lineRule="auto"/>
        <w:ind w:firstLine="240" w:firstLineChars="100"/>
        <w:rPr>
          <w:rFonts w:ascii="宋体" w:hAnsi="宋体" w:cs="宋体"/>
          <w:b/>
          <w:bCs/>
          <w:sz w:val="24"/>
          <w:lang w:val="zh-CN"/>
        </w:rPr>
      </w:pPr>
      <w:r>
        <w:rPr>
          <w:rFonts w:hint="eastAsia" w:ascii="宋体" w:hAnsi="宋体" w:cs="宋体"/>
          <w:sz w:val="24"/>
        </w:rPr>
        <w:t xml:space="preserve"> </w:t>
      </w:r>
      <w:bookmarkStart w:id="122" w:name="_Toc40971266"/>
      <w:r>
        <w:rPr>
          <w:rFonts w:hint="eastAsia" w:ascii="宋体" w:hAnsi="宋体" w:cs="宋体"/>
          <w:b/>
          <w:bCs/>
          <w:sz w:val="24"/>
        </w:rPr>
        <w:t>2</w:t>
      </w:r>
      <w:r>
        <w:rPr>
          <w:rFonts w:hint="eastAsia" w:ascii="宋体" w:hAnsi="宋体" w:cs="宋体"/>
          <w:b/>
          <w:bCs/>
          <w:sz w:val="24"/>
          <w:lang w:val="zh-CN"/>
        </w:rPr>
        <w:t>公众服务</w:t>
      </w:r>
      <w:bookmarkEnd w:id="107"/>
      <w:bookmarkEnd w:id="108"/>
      <w:r>
        <w:rPr>
          <w:rFonts w:hint="eastAsia" w:ascii="宋体" w:hAnsi="宋体" w:cs="宋体"/>
          <w:b/>
          <w:bCs/>
          <w:sz w:val="24"/>
        </w:rPr>
        <w:t>平台</w:t>
      </w:r>
      <w:bookmarkEnd w:id="122"/>
    </w:p>
    <w:p>
      <w:pPr>
        <w:spacing w:line="360" w:lineRule="auto"/>
        <w:ind w:firstLine="480" w:firstLineChars="200"/>
        <w:rPr>
          <w:rFonts w:ascii="宋体" w:hAnsi="宋体" w:cs="宋体"/>
          <w:sz w:val="24"/>
          <w:lang w:val="zh-TW"/>
        </w:rPr>
      </w:pPr>
      <w:r>
        <w:rPr>
          <w:rFonts w:hint="eastAsia" w:ascii="宋体" w:hAnsi="宋体" w:cs="宋体"/>
          <w:sz w:val="24"/>
          <w:lang w:val="zh-TW" w:eastAsia="zh-TW"/>
        </w:rPr>
        <w:t>公众服务通过PC端和微信端享受服务</w:t>
      </w:r>
      <w:r>
        <w:rPr>
          <w:rFonts w:hint="eastAsia" w:ascii="宋体" w:hAnsi="宋体" w:cs="宋体"/>
          <w:sz w:val="24"/>
          <w:lang w:val="zh-TW"/>
        </w:rPr>
        <w:t>。微信端通过上虞文化微信公众号进入，</w:t>
      </w:r>
      <w:r>
        <w:rPr>
          <w:rFonts w:hint="eastAsia" w:ascii="宋体" w:hAnsi="宋体" w:cs="宋体"/>
          <w:sz w:val="24"/>
        </w:rPr>
        <w:t>PC端可通过微信公众号或者网址直接访问</w:t>
      </w:r>
      <w:r>
        <w:rPr>
          <w:rFonts w:hint="eastAsia" w:ascii="宋体" w:hAnsi="宋体" w:cs="宋体"/>
          <w:sz w:val="24"/>
          <w:lang w:val="zh-TW"/>
        </w:rPr>
        <w:t>。</w:t>
      </w:r>
    </w:p>
    <w:p>
      <w:pPr>
        <w:spacing w:line="360" w:lineRule="auto"/>
        <w:ind w:firstLine="480" w:firstLineChars="200"/>
        <w:rPr>
          <w:rFonts w:ascii="宋体" w:hAnsi="宋体" w:cs="宋体"/>
          <w:sz w:val="24"/>
          <w:lang w:val="zh-TW"/>
        </w:rPr>
      </w:pPr>
      <w:r>
        <w:rPr>
          <w:rFonts w:hint="eastAsia" w:ascii="宋体" w:hAnsi="宋体" w:cs="宋体"/>
          <w:sz w:val="24"/>
          <w:lang w:val="zh-TW" w:eastAsia="zh-TW"/>
        </w:rPr>
        <w:t>在微信端</w:t>
      </w:r>
      <w:r>
        <w:rPr>
          <w:rFonts w:hint="eastAsia" w:ascii="宋体" w:hAnsi="宋体" w:cs="宋体"/>
          <w:sz w:val="24"/>
          <w:lang w:val="zh-TW"/>
        </w:rPr>
        <w:t>，</w:t>
      </w:r>
      <w:r>
        <w:rPr>
          <w:rFonts w:hint="eastAsia" w:ascii="宋体" w:hAnsi="宋体" w:cs="宋体"/>
          <w:sz w:val="24"/>
          <w:lang w:val="zh-TW" w:eastAsia="zh-TW"/>
        </w:rPr>
        <w:t>对现有的微信公众号整合，通过“</w:t>
      </w:r>
      <w:r>
        <w:rPr>
          <w:rFonts w:hint="eastAsia" w:ascii="宋体" w:hAnsi="宋体" w:cs="宋体"/>
          <w:sz w:val="24"/>
          <w:lang w:val="zh-TW"/>
        </w:rPr>
        <w:t>上虞</w:t>
      </w:r>
      <w:r>
        <w:rPr>
          <w:rFonts w:hint="eastAsia" w:ascii="宋体" w:hAnsi="宋体" w:cs="宋体"/>
          <w:sz w:val="24"/>
          <w:lang w:val="zh-TW" w:eastAsia="zh-TW"/>
        </w:rPr>
        <w:t>文化”下设“智慧博物馆”</w:t>
      </w:r>
      <w:r>
        <w:rPr>
          <w:rFonts w:hint="eastAsia" w:ascii="宋体" w:hAnsi="宋体" w:cs="宋体"/>
          <w:sz w:val="24"/>
          <w:lang w:val="zh-TW"/>
        </w:rPr>
        <w:t>、</w:t>
      </w:r>
      <w:r>
        <w:rPr>
          <w:rFonts w:hint="eastAsia" w:ascii="宋体" w:hAnsi="宋体" w:cs="宋体"/>
          <w:sz w:val="24"/>
          <w:lang w:val="zh-TW" w:eastAsia="zh-TW"/>
        </w:rPr>
        <w:t>“</w:t>
      </w:r>
      <w:r>
        <w:rPr>
          <w:rFonts w:hint="eastAsia" w:ascii="宋体" w:hAnsi="宋体" w:cs="宋体"/>
          <w:sz w:val="24"/>
          <w:lang w:val="zh-TW"/>
        </w:rPr>
        <w:t>数字图书馆</w:t>
      </w:r>
      <w:r>
        <w:rPr>
          <w:rFonts w:hint="eastAsia" w:ascii="宋体" w:hAnsi="宋体" w:cs="宋体"/>
          <w:sz w:val="24"/>
          <w:lang w:val="zh-TW" w:eastAsia="zh-TW"/>
        </w:rPr>
        <w:t>”</w:t>
      </w:r>
      <w:r>
        <w:rPr>
          <w:rFonts w:hint="eastAsia" w:ascii="宋体" w:hAnsi="宋体" w:cs="宋体"/>
          <w:sz w:val="24"/>
          <w:lang w:val="zh-TW"/>
        </w:rPr>
        <w:t>、“数字文化馆”等栏目。公众访问一个微信就可以实现上虞相关信息的访问。</w:t>
      </w:r>
    </w:p>
    <w:p>
      <w:pPr>
        <w:spacing w:line="360" w:lineRule="auto"/>
        <w:ind w:firstLine="240" w:firstLineChars="100"/>
        <w:rPr>
          <w:rFonts w:ascii="宋体" w:hAnsi="宋体" w:cs="宋体"/>
          <w:sz w:val="24"/>
          <w:lang w:val="zh-CN"/>
        </w:rPr>
      </w:pPr>
      <w:bookmarkStart w:id="123" w:name="_Toc40971267"/>
      <w:r>
        <w:rPr>
          <w:rFonts w:hint="eastAsia" w:ascii="宋体" w:hAnsi="宋体" w:cs="宋体"/>
          <w:sz w:val="24"/>
        </w:rPr>
        <w:t>2.1</w:t>
      </w:r>
      <w:r>
        <w:rPr>
          <w:rFonts w:hint="eastAsia" w:ascii="宋体" w:hAnsi="宋体" w:cs="宋体"/>
          <w:sz w:val="24"/>
          <w:lang w:val="zh-CN"/>
        </w:rPr>
        <w:t>文化信息服务平台</w:t>
      </w:r>
      <w:bookmarkEnd w:id="123"/>
    </w:p>
    <w:p>
      <w:pPr>
        <w:spacing w:line="360" w:lineRule="auto"/>
        <w:ind w:firstLine="480" w:firstLineChars="200"/>
        <w:rPr>
          <w:rFonts w:ascii="宋体" w:hAnsi="宋体" w:cs="宋体"/>
          <w:sz w:val="24"/>
        </w:rPr>
      </w:pPr>
      <w:r>
        <w:rPr>
          <w:rFonts w:hint="eastAsia" w:ascii="宋体" w:hAnsi="宋体" w:cs="宋体"/>
          <w:sz w:val="24"/>
        </w:rPr>
        <w:t>文化信息服务平台主要整合各单位的文化信息，实现文化信息的统一发布，本平台用于文化信息的管理和发布。</w:t>
      </w:r>
    </w:p>
    <w:p>
      <w:pPr>
        <w:numPr>
          <w:ilvl w:val="0"/>
          <w:numId w:val="10"/>
        </w:numPr>
        <w:spacing w:line="360" w:lineRule="auto"/>
        <w:rPr>
          <w:rFonts w:ascii="宋体" w:hAnsi="宋体" w:cs="宋体"/>
          <w:sz w:val="24"/>
          <w:lang w:val="zh-CN"/>
        </w:rPr>
      </w:pPr>
      <w:r>
        <w:rPr>
          <w:rFonts w:hint="eastAsia" w:ascii="宋体" w:hAnsi="宋体" w:cs="宋体"/>
          <w:sz w:val="24"/>
          <w:lang w:val="zh-CN"/>
        </w:rPr>
        <w:t>剧场信息服务</w:t>
      </w:r>
    </w:p>
    <w:p>
      <w:pPr>
        <w:numPr>
          <w:ilvl w:val="0"/>
          <w:numId w:val="10"/>
        </w:numPr>
        <w:spacing w:line="360" w:lineRule="auto"/>
        <w:rPr>
          <w:rFonts w:ascii="宋体" w:hAnsi="宋体" w:cs="宋体"/>
          <w:sz w:val="24"/>
          <w:lang w:val="zh-CN"/>
        </w:rPr>
      </w:pPr>
      <w:r>
        <w:rPr>
          <w:rFonts w:hint="eastAsia" w:ascii="宋体" w:hAnsi="宋体" w:cs="宋体"/>
          <w:sz w:val="24"/>
          <w:lang w:val="zh-CN"/>
        </w:rPr>
        <w:t>电影信息服务（</w:t>
      </w:r>
      <w:r>
        <w:rPr>
          <w:rFonts w:hint="eastAsia" w:ascii="宋体" w:hAnsi="宋体" w:cs="宋体"/>
          <w:sz w:val="24"/>
        </w:rPr>
        <w:t>影讯吧</w:t>
      </w:r>
      <w:r>
        <w:rPr>
          <w:rFonts w:hint="eastAsia" w:ascii="宋体" w:hAnsi="宋体" w:cs="宋体"/>
          <w:sz w:val="24"/>
          <w:lang w:val="zh-CN"/>
        </w:rPr>
        <w:t>）</w:t>
      </w:r>
    </w:p>
    <w:p>
      <w:pPr>
        <w:numPr>
          <w:ilvl w:val="0"/>
          <w:numId w:val="10"/>
        </w:numPr>
        <w:spacing w:line="360" w:lineRule="auto"/>
        <w:rPr>
          <w:rFonts w:ascii="宋体" w:hAnsi="宋体" w:cs="宋体"/>
          <w:sz w:val="24"/>
          <w:lang w:val="zh-CN"/>
        </w:rPr>
      </w:pPr>
      <w:r>
        <w:rPr>
          <w:rFonts w:hint="eastAsia" w:ascii="宋体" w:hAnsi="宋体" w:cs="宋体"/>
          <w:sz w:val="24"/>
          <w:lang w:val="zh-CN"/>
        </w:rPr>
        <w:t>文化市场动态信息</w:t>
      </w:r>
    </w:p>
    <w:p>
      <w:pPr>
        <w:numPr>
          <w:ilvl w:val="0"/>
          <w:numId w:val="10"/>
        </w:numPr>
        <w:spacing w:line="360" w:lineRule="auto"/>
        <w:rPr>
          <w:rFonts w:ascii="宋体" w:hAnsi="宋体" w:cs="宋体"/>
          <w:sz w:val="24"/>
          <w:lang w:val="zh-CN"/>
        </w:rPr>
      </w:pPr>
      <w:r>
        <w:rPr>
          <w:rFonts w:hint="eastAsia" w:ascii="宋体" w:hAnsi="宋体" w:cs="宋体"/>
          <w:sz w:val="24"/>
          <w:lang w:val="zh-CN"/>
        </w:rPr>
        <w:t>凤凰山考古遗址公园信息</w:t>
      </w:r>
    </w:p>
    <w:p>
      <w:pPr>
        <w:spacing w:line="360" w:lineRule="auto"/>
        <w:ind w:firstLine="480" w:firstLineChars="200"/>
        <w:rPr>
          <w:rFonts w:ascii="宋体" w:hAnsi="宋体" w:cs="宋体"/>
          <w:sz w:val="24"/>
        </w:rPr>
      </w:pPr>
      <w:r>
        <w:rPr>
          <w:rFonts w:hint="eastAsia" w:ascii="宋体" w:hAnsi="宋体" w:cs="宋体"/>
          <w:sz w:val="24"/>
        </w:rPr>
        <w:t>需要与瓷源小镇平台进行数据对接，实时同步瓷源小镇平台的新闻咨询内容。</w:t>
      </w:r>
    </w:p>
    <w:p>
      <w:pPr>
        <w:numPr>
          <w:ilvl w:val="0"/>
          <w:numId w:val="11"/>
        </w:numPr>
        <w:spacing w:line="360" w:lineRule="auto"/>
        <w:rPr>
          <w:rFonts w:ascii="宋体" w:hAnsi="宋体" w:cs="宋体"/>
          <w:sz w:val="24"/>
          <w:lang w:val="zh-CN"/>
        </w:rPr>
      </w:pPr>
      <w:r>
        <w:rPr>
          <w:rFonts w:hint="eastAsia" w:ascii="宋体" w:hAnsi="宋体" w:cs="宋体"/>
          <w:sz w:val="24"/>
        </w:rPr>
        <w:t>越窑青瓷研究传习中心</w:t>
      </w:r>
      <w:r>
        <w:rPr>
          <w:rFonts w:hint="eastAsia" w:ascii="宋体" w:hAnsi="宋体" w:cs="宋体"/>
          <w:sz w:val="24"/>
          <w:lang w:val="zh-CN"/>
        </w:rPr>
        <w:t>信息服务</w:t>
      </w:r>
    </w:p>
    <w:p>
      <w:pPr>
        <w:numPr>
          <w:ilvl w:val="0"/>
          <w:numId w:val="11"/>
        </w:numPr>
        <w:spacing w:line="360" w:lineRule="auto"/>
        <w:rPr>
          <w:rFonts w:ascii="宋体" w:hAnsi="宋体" w:cs="宋体"/>
          <w:sz w:val="24"/>
        </w:rPr>
      </w:pPr>
      <w:r>
        <w:rPr>
          <w:rFonts w:hint="eastAsia" w:ascii="宋体" w:hAnsi="宋体" w:cs="宋体"/>
          <w:sz w:val="24"/>
        </w:rPr>
        <w:t>阳光文化演出</w:t>
      </w:r>
    </w:p>
    <w:p>
      <w:pPr>
        <w:numPr>
          <w:ilvl w:val="0"/>
          <w:numId w:val="11"/>
        </w:numPr>
        <w:spacing w:line="360" w:lineRule="auto"/>
        <w:rPr>
          <w:rFonts w:ascii="宋体" w:hAnsi="宋体" w:cs="宋体"/>
          <w:sz w:val="24"/>
        </w:rPr>
      </w:pPr>
      <w:r>
        <w:rPr>
          <w:rFonts w:hint="eastAsia" w:ascii="宋体" w:hAnsi="宋体" w:cs="宋体"/>
          <w:sz w:val="24"/>
        </w:rPr>
        <w:t>文化客厅信息服务</w:t>
      </w:r>
    </w:p>
    <w:p>
      <w:pPr>
        <w:spacing w:line="360" w:lineRule="auto"/>
        <w:ind w:firstLine="480" w:firstLineChars="200"/>
        <w:rPr>
          <w:rFonts w:ascii="宋体" w:hAnsi="宋体" w:cs="宋体"/>
          <w:sz w:val="24"/>
        </w:rPr>
      </w:pPr>
      <w:r>
        <w:rPr>
          <w:rFonts w:hint="eastAsia" w:ascii="宋体" w:hAnsi="宋体" w:cs="宋体"/>
          <w:sz w:val="24"/>
        </w:rPr>
        <w:t>文化客厅包括娥江影视厅、非物质文化遗产展示馆、地方文化艺术展示厅、上虞乡贤馆、上虞越窑青瓷研究传习中心、罗步臻艺术馆6个场馆和虞舜书画院（吴觉农思想研究会、茶文化研究会）、围棋与越剧大师工作室、e游书吧、娥江书场、雅图时空美术馆、“青春之家”城市阳台、中鑫建筑艺术博物馆7个场馆，各场馆独立</w:t>
      </w:r>
      <w:r>
        <w:rPr>
          <w:rFonts w:ascii="宋体" w:hAnsi="宋体" w:cs="宋体"/>
          <w:sz w:val="24"/>
        </w:rPr>
        <w:t>需求功能内容包括</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（1）新闻资讯</w:t>
      </w:r>
    </w:p>
    <w:p>
      <w:pPr>
        <w:spacing w:line="360" w:lineRule="auto"/>
        <w:ind w:firstLine="480" w:firstLineChars="200"/>
        <w:rPr>
          <w:rFonts w:ascii="宋体" w:hAnsi="宋体" w:cs="宋体"/>
          <w:sz w:val="24"/>
        </w:rPr>
      </w:pPr>
      <w:r>
        <w:rPr>
          <w:rFonts w:hint="eastAsia" w:ascii="宋体" w:hAnsi="宋体" w:cs="宋体"/>
          <w:sz w:val="24"/>
        </w:rPr>
        <w:t>（2）场馆分布及介绍</w:t>
      </w:r>
    </w:p>
    <w:p>
      <w:pPr>
        <w:spacing w:line="360" w:lineRule="auto"/>
        <w:ind w:firstLine="480" w:firstLineChars="200"/>
        <w:rPr>
          <w:rFonts w:ascii="宋体" w:hAnsi="宋体" w:cs="宋体"/>
          <w:sz w:val="24"/>
        </w:rPr>
      </w:pPr>
      <w:r>
        <w:rPr>
          <w:rFonts w:hint="eastAsia" w:ascii="宋体" w:hAnsi="宋体" w:cs="宋体"/>
          <w:sz w:val="24"/>
        </w:rPr>
        <w:t>以地图形式展示各个场馆的分布情况并且可以直接从地图中链接到每个场馆的图文介绍页面。</w:t>
      </w:r>
    </w:p>
    <w:p>
      <w:pPr>
        <w:spacing w:line="360" w:lineRule="auto"/>
        <w:ind w:firstLine="240" w:firstLineChars="100"/>
        <w:rPr>
          <w:rFonts w:ascii="宋体" w:hAnsi="宋体" w:cs="宋体"/>
          <w:sz w:val="24"/>
          <w:lang w:val="zh-CN"/>
        </w:rPr>
      </w:pPr>
      <w:bookmarkStart w:id="124" w:name="_Toc4026"/>
      <w:bookmarkStart w:id="125" w:name="_Toc531002723"/>
      <w:bookmarkStart w:id="126" w:name="_Toc40971268"/>
      <w:r>
        <w:rPr>
          <w:rFonts w:hint="eastAsia" w:ascii="宋体" w:hAnsi="宋体" w:cs="宋体"/>
          <w:sz w:val="24"/>
          <w:lang w:val="zh-CN"/>
        </w:rPr>
        <w:t>2.2信息查询及订阅推送</w:t>
      </w:r>
      <w:bookmarkEnd w:id="124"/>
      <w:bookmarkEnd w:id="125"/>
      <w:bookmarkEnd w:id="126"/>
    </w:p>
    <w:p>
      <w:pPr>
        <w:spacing w:line="360" w:lineRule="auto"/>
        <w:ind w:firstLine="480" w:firstLineChars="200"/>
        <w:rPr>
          <w:rFonts w:ascii="宋体" w:hAnsi="宋体" w:cs="宋体"/>
          <w:sz w:val="24"/>
          <w:lang w:val="zh-TW"/>
        </w:rPr>
      </w:pPr>
      <w:r>
        <w:rPr>
          <w:rFonts w:hint="eastAsia" w:ascii="宋体" w:hAnsi="宋体" w:cs="宋体"/>
          <w:sz w:val="24"/>
          <w:lang w:val="zh-TW"/>
        </w:rPr>
        <w:t>需求功能</w:t>
      </w:r>
      <w:r>
        <w:rPr>
          <w:rFonts w:hint="eastAsia" w:ascii="宋体" w:hAnsi="宋体" w:cs="宋体"/>
          <w:sz w:val="24"/>
          <w:lang w:val="zh-TW" w:eastAsia="zh-TW"/>
        </w:rPr>
        <w:t>内容包括</w:t>
      </w:r>
      <w:r>
        <w:rPr>
          <w:rFonts w:ascii="宋体" w:hAnsi="宋体" w:eastAsia="PMingLiU" w:cs="宋体"/>
          <w:sz w:val="24"/>
          <w:lang w:val="zh-TW" w:eastAsia="zh-TW"/>
        </w:rPr>
        <w:t>:</w:t>
      </w:r>
    </w:p>
    <w:p>
      <w:pPr>
        <w:spacing w:line="360" w:lineRule="auto"/>
        <w:ind w:firstLine="480" w:firstLineChars="200"/>
        <w:rPr>
          <w:rFonts w:ascii="宋体" w:hAnsi="宋体" w:cs="宋体"/>
          <w:sz w:val="24"/>
          <w:lang w:val="zh-TW"/>
        </w:rPr>
      </w:pPr>
      <w:r>
        <w:rPr>
          <w:rFonts w:hint="eastAsia" w:ascii="宋体" w:hAnsi="宋体" w:cs="宋体"/>
          <w:sz w:val="24"/>
          <w:lang w:val="zh-TW"/>
        </w:rPr>
        <w:t>（1）</w:t>
      </w:r>
      <w:r>
        <w:rPr>
          <w:rFonts w:hint="eastAsia" w:ascii="宋体" w:hAnsi="宋体" w:cs="宋体"/>
          <w:sz w:val="24"/>
          <w:lang w:val="zh-TW" w:eastAsia="zh-TW"/>
        </w:rPr>
        <w:t>票务信息查询</w:t>
      </w:r>
    </w:p>
    <w:p>
      <w:pPr>
        <w:spacing w:line="360" w:lineRule="auto"/>
        <w:ind w:firstLine="480" w:firstLineChars="200"/>
        <w:rPr>
          <w:rFonts w:ascii="宋体" w:hAnsi="宋体" w:cs="宋体"/>
          <w:sz w:val="24"/>
          <w:lang w:val="zh-TW"/>
        </w:rPr>
      </w:pPr>
      <w:r>
        <w:rPr>
          <w:rFonts w:hint="eastAsia" w:ascii="宋体" w:hAnsi="宋体" w:cs="宋体"/>
          <w:sz w:val="24"/>
          <w:lang w:val="zh-TW"/>
        </w:rPr>
        <w:t>（2）服务信息查询</w:t>
      </w:r>
    </w:p>
    <w:p>
      <w:pPr>
        <w:spacing w:line="360" w:lineRule="auto"/>
        <w:ind w:firstLine="480" w:firstLineChars="200"/>
        <w:rPr>
          <w:rFonts w:ascii="宋体" w:hAnsi="宋体" w:cs="宋体"/>
          <w:sz w:val="24"/>
          <w:lang w:val="zh-TW"/>
        </w:rPr>
      </w:pPr>
      <w:r>
        <w:rPr>
          <w:rFonts w:hint="eastAsia" w:ascii="宋体" w:hAnsi="宋体" w:cs="宋体"/>
          <w:sz w:val="24"/>
          <w:lang w:val="zh-TW"/>
        </w:rPr>
        <w:t>（3）场馆实时情况查询</w:t>
      </w:r>
    </w:p>
    <w:p>
      <w:pPr>
        <w:spacing w:line="360" w:lineRule="auto"/>
        <w:ind w:firstLine="240" w:firstLineChars="100"/>
        <w:rPr>
          <w:rFonts w:ascii="宋体" w:hAnsi="宋体" w:cs="宋体"/>
          <w:sz w:val="24"/>
          <w:lang w:val="zh-CN"/>
        </w:rPr>
      </w:pPr>
      <w:bookmarkStart w:id="127" w:name="_Toc40971269"/>
      <w:bookmarkStart w:id="128" w:name="_Toc531002724"/>
      <w:bookmarkStart w:id="129" w:name="_Toc26650"/>
      <w:r>
        <w:rPr>
          <w:rFonts w:hint="eastAsia" w:ascii="宋体" w:hAnsi="宋体" w:cs="宋体"/>
          <w:sz w:val="24"/>
          <w:lang w:val="zh-CN"/>
        </w:rPr>
        <w:t>2.3统一预约平台</w:t>
      </w:r>
      <w:bookmarkEnd w:id="127"/>
      <w:bookmarkEnd w:id="128"/>
      <w:bookmarkEnd w:id="129"/>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需求功能内容包括</w:t>
      </w:r>
      <w:r>
        <w:rPr>
          <w:rFonts w:hint="eastAsia" w:ascii="宋体" w:hAnsi="宋体" w:cs="宋体"/>
          <w:sz w:val="24"/>
          <w:lang w:val="zh-TW" w:eastAsia="zh-TW"/>
        </w:rPr>
        <w:t>。</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（1）</w:t>
      </w:r>
      <w:r>
        <w:rPr>
          <w:rFonts w:hint="eastAsia" w:ascii="宋体" w:hAnsi="宋体" w:cs="宋体"/>
          <w:sz w:val="24"/>
          <w:lang w:val="zh-TW" w:eastAsia="zh-TW"/>
        </w:rPr>
        <w:t>预约信息展示</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（2）</w:t>
      </w:r>
      <w:r>
        <w:rPr>
          <w:rFonts w:hint="eastAsia" w:ascii="宋体" w:hAnsi="宋体" w:cs="宋体"/>
          <w:sz w:val="24"/>
          <w:lang w:val="zh-TW" w:eastAsia="zh-TW"/>
        </w:rPr>
        <w:t>预约内容</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（3）</w:t>
      </w:r>
      <w:r>
        <w:rPr>
          <w:rFonts w:hint="eastAsia" w:ascii="宋体" w:hAnsi="宋体" w:cs="宋体"/>
          <w:sz w:val="24"/>
          <w:lang w:val="zh-TW" w:eastAsia="zh-TW"/>
        </w:rPr>
        <w:t>预约渠道</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（4）</w:t>
      </w:r>
      <w:r>
        <w:rPr>
          <w:rFonts w:hint="eastAsia" w:ascii="宋体" w:hAnsi="宋体" w:cs="宋体"/>
          <w:sz w:val="24"/>
          <w:lang w:val="zh-TW" w:eastAsia="zh-TW"/>
        </w:rPr>
        <w:t>预约类型</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（5）</w:t>
      </w:r>
      <w:r>
        <w:rPr>
          <w:rFonts w:hint="eastAsia" w:ascii="宋体" w:hAnsi="宋体" w:cs="宋体"/>
          <w:sz w:val="24"/>
          <w:lang w:val="zh-TW" w:eastAsia="zh-TW"/>
        </w:rPr>
        <w:t>预约方式</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（6）</w:t>
      </w:r>
      <w:r>
        <w:rPr>
          <w:rFonts w:hint="eastAsia" w:ascii="宋体" w:hAnsi="宋体" w:cs="宋体"/>
          <w:sz w:val="24"/>
          <w:lang w:val="zh-TW" w:eastAsia="zh-TW"/>
        </w:rPr>
        <w:t>预约相关操作</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（7）</w:t>
      </w:r>
      <w:r>
        <w:rPr>
          <w:rFonts w:hint="eastAsia" w:ascii="宋体" w:hAnsi="宋体" w:cs="宋体"/>
          <w:sz w:val="24"/>
          <w:lang w:val="zh-TW" w:eastAsia="zh-TW"/>
        </w:rPr>
        <w:t>预约结果</w:t>
      </w:r>
    </w:p>
    <w:p>
      <w:pPr>
        <w:spacing w:line="360" w:lineRule="auto"/>
        <w:ind w:firstLine="480" w:firstLineChars="200"/>
        <w:rPr>
          <w:rFonts w:ascii="宋体" w:hAnsi="宋体" w:eastAsia="PMingLiU" w:cs="宋体"/>
          <w:sz w:val="24"/>
          <w:lang w:val="zh-TW" w:eastAsia="zh-TW"/>
        </w:rPr>
      </w:pPr>
      <w:r>
        <w:rPr>
          <w:rFonts w:hint="eastAsia" w:ascii="宋体" w:hAnsi="宋体" w:cs="宋体"/>
          <w:sz w:val="24"/>
          <w:lang w:val="zh-TW"/>
        </w:rPr>
        <w:t>（8）</w:t>
      </w:r>
      <w:r>
        <w:rPr>
          <w:rFonts w:hint="eastAsia" w:ascii="宋体" w:hAnsi="宋体" w:cs="宋体"/>
          <w:sz w:val="24"/>
          <w:lang w:val="zh-TW" w:eastAsia="zh-TW"/>
        </w:rPr>
        <w:t>预约名额动态管理功能</w:t>
      </w:r>
    </w:p>
    <w:p>
      <w:pPr>
        <w:spacing w:line="360" w:lineRule="auto"/>
        <w:ind w:firstLine="480" w:firstLineChars="200"/>
        <w:rPr>
          <w:rFonts w:hint="eastAsia" w:ascii="宋体" w:hAnsi="宋体" w:cs="宋体"/>
          <w:sz w:val="24"/>
        </w:rPr>
      </w:pPr>
      <w:r>
        <w:rPr>
          <w:rFonts w:ascii="宋体" w:hAnsi="宋体" w:cs="宋体"/>
          <w:sz w:val="24"/>
        </w:rPr>
        <w:t>技术方案需说明包括以上内容的</w:t>
      </w:r>
      <w:r>
        <w:rPr>
          <w:rFonts w:hint="eastAsia" w:ascii="宋体" w:hAnsi="宋体" w:cs="宋体"/>
          <w:sz w:val="24"/>
        </w:rPr>
        <w:t>预约流程设计</w:t>
      </w:r>
    </w:p>
    <w:p>
      <w:pPr>
        <w:spacing w:line="360" w:lineRule="auto"/>
        <w:ind w:firstLine="480" w:firstLineChars="200"/>
        <w:rPr>
          <w:rFonts w:ascii="宋体" w:hAnsi="宋体" w:cs="宋体"/>
          <w:sz w:val="24"/>
          <w:lang w:val="zh-CN"/>
        </w:rPr>
      </w:pPr>
      <w:bookmarkStart w:id="130" w:name="_Toc531002725"/>
      <w:bookmarkStart w:id="131" w:name="_Toc40971270"/>
      <w:bookmarkStart w:id="132" w:name="_Toc23872"/>
      <w:r>
        <w:rPr>
          <w:rFonts w:hint="eastAsia" w:ascii="宋体" w:hAnsi="宋体" w:cs="宋体"/>
          <w:sz w:val="24"/>
          <w:lang w:val="zh-TW"/>
        </w:rPr>
        <w:t>2.4</w:t>
      </w:r>
      <w:r>
        <w:rPr>
          <w:rFonts w:hint="eastAsia" w:ascii="宋体" w:hAnsi="宋体" w:cs="宋体"/>
          <w:sz w:val="24"/>
          <w:lang w:val="zh-CN"/>
        </w:rPr>
        <w:t>在线订购（</w:t>
      </w:r>
      <w:r>
        <w:rPr>
          <w:rFonts w:hint="eastAsia" w:ascii="宋体" w:hAnsi="宋体" w:cs="宋体"/>
          <w:sz w:val="24"/>
        </w:rPr>
        <w:t>第三方购票</w:t>
      </w:r>
      <w:r>
        <w:rPr>
          <w:rFonts w:hint="eastAsia" w:ascii="宋体" w:hAnsi="宋体" w:cs="宋体"/>
          <w:sz w:val="24"/>
          <w:lang w:val="zh-CN"/>
        </w:rPr>
        <w:t>）</w:t>
      </w:r>
      <w:bookmarkEnd w:id="130"/>
      <w:bookmarkEnd w:id="131"/>
      <w:bookmarkEnd w:id="132"/>
    </w:p>
    <w:p>
      <w:pPr>
        <w:spacing w:line="360" w:lineRule="auto"/>
        <w:ind w:firstLine="480" w:firstLineChars="200"/>
        <w:rPr>
          <w:rFonts w:ascii="宋体" w:hAnsi="宋体" w:eastAsia="PMingLiU" w:cs="宋体"/>
          <w:sz w:val="24"/>
          <w:lang w:val="zh-TW" w:eastAsia="zh-TW"/>
        </w:rPr>
      </w:pPr>
      <w:r>
        <w:rPr>
          <w:rFonts w:hint="eastAsia" w:ascii="宋体" w:hAnsi="宋体" w:cs="宋体"/>
          <w:sz w:val="24"/>
          <w:lang w:val="zh-TW" w:eastAsia="zh-TW"/>
        </w:rPr>
        <w:t>通过PC端或者手机微信端登录平台可进入各模块的购票功能。平台中展示可以在线订购的内容</w:t>
      </w:r>
      <w:r>
        <w:rPr>
          <w:rFonts w:hint="eastAsia" w:ascii="宋体" w:hAnsi="宋体" w:cs="宋体"/>
          <w:sz w:val="24"/>
          <w:lang w:val="zh-TW"/>
        </w:rPr>
        <w:t>。</w:t>
      </w:r>
    </w:p>
    <w:tbl>
      <w:tblPr>
        <w:tblStyle w:val="18"/>
        <w:tblW w:w="8336" w:type="dxa"/>
        <w:tblInd w:w="0" w:type="dxa"/>
        <w:tblLayout w:type="fixed"/>
        <w:tblCellMar>
          <w:top w:w="15" w:type="dxa"/>
          <w:left w:w="15" w:type="dxa"/>
          <w:bottom w:w="15" w:type="dxa"/>
          <w:right w:w="15" w:type="dxa"/>
        </w:tblCellMar>
      </w:tblPr>
      <w:tblGrid>
        <w:gridCol w:w="1870"/>
        <w:gridCol w:w="4283"/>
        <w:gridCol w:w="2183"/>
      </w:tblGrid>
      <w:tr>
        <w:tblPrEx>
          <w:tblCellMar>
            <w:top w:w="15" w:type="dxa"/>
            <w:left w:w="15" w:type="dxa"/>
            <w:bottom w:w="15" w:type="dxa"/>
            <w:right w:w="15" w:type="dxa"/>
          </w:tblCellMar>
        </w:tblPrEx>
        <w:trPr>
          <w:trHeight w:val="228" w:hRule="atLeast"/>
        </w:trPr>
        <w:tc>
          <w:tcPr>
            <w:tcW w:w="18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 w:val="24"/>
              </w:rPr>
            </w:pPr>
            <w:r>
              <w:rPr>
                <w:rFonts w:hint="eastAsia" w:ascii="宋体" w:hAnsi="宋体" w:cs="宋体"/>
                <w:sz w:val="24"/>
              </w:rPr>
              <w:t>类型</w:t>
            </w:r>
          </w:p>
        </w:tc>
        <w:tc>
          <w:tcPr>
            <w:tcW w:w="428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 w:val="24"/>
              </w:rPr>
            </w:pPr>
            <w:r>
              <w:rPr>
                <w:rFonts w:hint="eastAsia" w:ascii="宋体" w:hAnsi="宋体" w:cs="宋体"/>
                <w:sz w:val="24"/>
              </w:rPr>
              <w:t>订购范围</w:t>
            </w:r>
          </w:p>
        </w:tc>
        <w:tc>
          <w:tcPr>
            <w:tcW w:w="218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 w:val="24"/>
              </w:rPr>
            </w:pPr>
            <w:r>
              <w:rPr>
                <w:rFonts w:hint="eastAsia" w:ascii="宋体" w:hAnsi="宋体" w:cs="宋体"/>
                <w:sz w:val="24"/>
              </w:rPr>
              <w:t>订购方式</w:t>
            </w:r>
          </w:p>
        </w:tc>
      </w:tr>
      <w:tr>
        <w:tblPrEx>
          <w:tblCellMar>
            <w:top w:w="15" w:type="dxa"/>
            <w:left w:w="15" w:type="dxa"/>
            <w:bottom w:w="15" w:type="dxa"/>
            <w:right w:w="15" w:type="dxa"/>
          </w:tblCellMar>
        </w:tblPrEx>
        <w:trPr>
          <w:trHeight w:val="540" w:hRule="atLeast"/>
        </w:trPr>
        <w:tc>
          <w:tcPr>
            <w:tcW w:w="18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 w:val="24"/>
              </w:rPr>
            </w:pPr>
            <w:r>
              <w:rPr>
                <w:rFonts w:hint="eastAsia" w:ascii="宋体" w:hAnsi="宋体" w:cs="宋体"/>
                <w:sz w:val="24"/>
              </w:rPr>
              <w:t>门票</w:t>
            </w:r>
          </w:p>
        </w:tc>
        <w:tc>
          <w:tcPr>
            <w:tcW w:w="428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 w:val="24"/>
              </w:rPr>
            </w:pPr>
            <w:r>
              <w:rPr>
                <w:rFonts w:hint="eastAsia" w:ascii="宋体" w:hAnsi="宋体" w:cs="宋体"/>
                <w:sz w:val="24"/>
              </w:rPr>
              <w:t>体育馆各场馆举行的赛事活动、演唱会，博物馆的参观票</w:t>
            </w:r>
          </w:p>
        </w:tc>
        <w:tc>
          <w:tcPr>
            <w:tcW w:w="218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 w:val="24"/>
              </w:rPr>
            </w:pPr>
            <w:r>
              <w:rPr>
                <w:rFonts w:hint="eastAsia" w:ascii="宋体" w:hAnsi="宋体" w:cs="宋体"/>
                <w:sz w:val="24"/>
              </w:rPr>
              <w:t>在平台中展示内容，选择内容跳转到第三方购票平台进行购票操作</w:t>
            </w:r>
          </w:p>
        </w:tc>
      </w:tr>
      <w:tr>
        <w:tblPrEx>
          <w:tblCellMar>
            <w:top w:w="15" w:type="dxa"/>
            <w:left w:w="15" w:type="dxa"/>
            <w:bottom w:w="15" w:type="dxa"/>
            <w:right w:w="15" w:type="dxa"/>
          </w:tblCellMar>
        </w:tblPrEx>
        <w:trPr>
          <w:trHeight w:val="90" w:hRule="atLeast"/>
        </w:trPr>
        <w:tc>
          <w:tcPr>
            <w:tcW w:w="18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 w:val="24"/>
              </w:rPr>
            </w:pPr>
            <w:r>
              <w:rPr>
                <w:rFonts w:hint="eastAsia" w:ascii="宋体" w:hAnsi="宋体" w:cs="宋体"/>
                <w:sz w:val="24"/>
              </w:rPr>
              <w:t>电影票</w:t>
            </w:r>
          </w:p>
        </w:tc>
        <w:tc>
          <w:tcPr>
            <w:tcW w:w="428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 w:val="24"/>
              </w:rPr>
            </w:pPr>
            <w:r>
              <w:rPr>
                <w:rFonts w:hint="eastAsia" w:ascii="宋体" w:hAnsi="宋体" w:cs="宋体"/>
                <w:sz w:val="24"/>
              </w:rPr>
              <w:t>内各个电影院所有排片的电影票</w:t>
            </w:r>
          </w:p>
        </w:tc>
        <w:tc>
          <w:tcPr>
            <w:tcW w:w="21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 w:val="24"/>
              </w:rPr>
            </w:pPr>
          </w:p>
        </w:tc>
      </w:tr>
    </w:tbl>
    <w:p>
      <w:pPr>
        <w:spacing w:line="360" w:lineRule="auto"/>
        <w:ind w:firstLine="240" w:firstLineChars="100"/>
        <w:rPr>
          <w:rFonts w:ascii="宋体" w:hAnsi="宋体" w:cs="宋体"/>
          <w:sz w:val="24"/>
          <w:lang w:val="zh-CN"/>
        </w:rPr>
      </w:pPr>
      <w:bookmarkStart w:id="133" w:name="_Toc40971271"/>
      <w:bookmarkStart w:id="134" w:name="_Toc26228"/>
      <w:bookmarkStart w:id="135" w:name="_Toc531002726"/>
      <w:bookmarkStart w:id="136" w:name="_Toc31659"/>
      <w:r>
        <w:rPr>
          <w:rFonts w:hint="eastAsia" w:ascii="宋体" w:hAnsi="宋体" w:cs="宋体"/>
          <w:sz w:val="24"/>
          <w:lang w:val="zh-CN"/>
        </w:rPr>
        <w:t>2.5对外能力开放模块</w:t>
      </w:r>
      <w:bookmarkEnd w:id="133"/>
      <w:bookmarkEnd w:id="134"/>
    </w:p>
    <w:p>
      <w:pPr>
        <w:spacing w:line="360" w:lineRule="auto"/>
        <w:ind w:firstLine="480" w:firstLineChars="200"/>
        <w:rPr>
          <w:rFonts w:ascii="宋体" w:hAnsi="宋体" w:cs="宋体"/>
          <w:sz w:val="24"/>
          <w:lang w:val="zh-TW" w:eastAsia="zh-TW"/>
        </w:rPr>
      </w:pPr>
      <w:r>
        <w:rPr>
          <w:rFonts w:hint="eastAsia" w:ascii="宋体" w:hAnsi="宋体" w:cs="宋体"/>
          <w:sz w:val="24"/>
          <w:lang w:val="zh-TW" w:eastAsia="zh-TW"/>
        </w:rPr>
        <w:t>公众服务平台需对接上虞已建的旅游平台。</w:t>
      </w:r>
    </w:p>
    <w:p>
      <w:pPr>
        <w:numPr>
          <w:ilvl w:val="0"/>
          <w:numId w:val="12"/>
        </w:numPr>
        <w:spacing w:line="360" w:lineRule="auto"/>
        <w:rPr>
          <w:rFonts w:ascii="宋体" w:hAnsi="宋体" w:cs="宋体"/>
          <w:sz w:val="24"/>
        </w:rPr>
      </w:pPr>
      <w:r>
        <w:rPr>
          <w:rFonts w:hint="eastAsia" w:ascii="宋体" w:hAnsi="宋体" w:cs="宋体"/>
          <w:sz w:val="24"/>
        </w:rPr>
        <w:t>对接全域旅游平台和省旅游信息中心的浙里好玩APP</w:t>
      </w:r>
    </w:p>
    <w:p>
      <w:pPr>
        <w:spacing w:line="360" w:lineRule="auto"/>
        <w:ind w:firstLine="480" w:firstLineChars="200"/>
        <w:rPr>
          <w:rFonts w:ascii="宋体" w:hAnsi="宋体" w:cs="宋体"/>
          <w:sz w:val="24"/>
          <w:lang w:val="zh-TW" w:eastAsia="zh-TW"/>
        </w:rPr>
      </w:pPr>
      <w:r>
        <w:rPr>
          <w:rFonts w:hint="eastAsia" w:ascii="宋体" w:hAnsi="宋体" w:cs="宋体"/>
          <w:sz w:val="24"/>
          <w:lang w:val="zh-TW" w:eastAsia="zh-TW"/>
        </w:rPr>
        <w:t>对外开放能力包括：</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（1）</w:t>
      </w:r>
      <w:r>
        <w:rPr>
          <w:rFonts w:hint="eastAsia" w:ascii="宋体" w:hAnsi="宋体" w:cs="宋体"/>
          <w:sz w:val="24"/>
          <w:lang w:val="zh-TW" w:eastAsia="zh-TW"/>
        </w:rPr>
        <w:t>文化信息服务模块；</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（2）</w:t>
      </w:r>
      <w:r>
        <w:rPr>
          <w:rFonts w:hint="eastAsia" w:ascii="宋体" w:hAnsi="宋体" w:cs="宋体"/>
          <w:sz w:val="24"/>
          <w:lang w:val="zh-TW" w:eastAsia="zh-TW"/>
        </w:rPr>
        <w:t>信息查询及订阅推送模块；</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（3）</w:t>
      </w:r>
      <w:r>
        <w:rPr>
          <w:rFonts w:hint="eastAsia" w:ascii="宋体" w:hAnsi="宋体" w:cs="宋体"/>
          <w:sz w:val="24"/>
          <w:lang w:val="zh-TW" w:eastAsia="zh-TW"/>
        </w:rPr>
        <w:t>统一预约子系统；</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（4）</w:t>
      </w:r>
      <w:r>
        <w:rPr>
          <w:rFonts w:hint="eastAsia" w:ascii="宋体" w:hAnsi="宋体" w:cs="宋体"/>
          <w:sz w:val="24"/>
          <w:lang w:val="zh-TW" w:eastAsia="zh-TW"/>
        </w:rPr>
        <w:t>在线订购模块；</w:t>
      </w:r>
    </w:p>
    <w:p>
      <w:pPr>
        <w:spacing w:line="360" w:lineRule="auto"/>
        <w:ind w:firstLine="480" w:firstLineChars="200"/>
        <w:rPr>
          <w:rFonts w:ascii="宋体" w:hAnsi="宋体" w:cs="宋体"/>
          <w:sz w:val="24"/>
          <w:lang w:val="zh-TW" w:eastAsia="zh-TW"/>
        </w:rPr>
      </w:pPr>
      <w:r>
        <w:rPr>
          <w:rFonts w:hint="eastAsia" w:ascii="宋体" w:hAnsi="宋体" w:cs="宋体"/>
          <w:sz w:val="24"/>
          <w:lang w:val="zh-TW" w:eastAsia="zh-TW"/>
        </w:rPr>
        <w:t>（</w:t>
      </w:r>
      <w:r>
        <w:rPr>
          <w:rFonts w:hint="eastAsia" w:ascii="宋体" w:hAnsi="宋体" w:cs="宋体"/>
          <w:sz w:val="24"/>
          <w:lang w:val="zh-TW"/>
        </w:rPr>
        <w:t>5</w:t>
      </w:r>
      <w:r>
        <w:rPr>
          <w:rFonts w:hint="eastAsia" w:ascii="宋体" w:hAnsi="宋体" w:cs="宋体"/>
          <w:sz w:val="24"/>
          <w:lang w:val="zh-TW" w:eastAsia="zh-TW"/>
        </w:rPr>
        <w:t>）活动、赛事发布信息；</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（6）</w:t>
      </w:r>
      <w:r>
        <w:rPr>
          <w:rFonts w:hint="eastAsia" w:ascii="宋体" w:hAnsi="宋体" w:cs="宋体"/>
          <w:sz w:val="24"/>
          <w:lang w:val="zh-TW" w:eastAsia="zh-TW"/>
        </w:rPr>
        <w:t>各场馆人流情况实时数据；</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（7）</w:t>
      </w:r>
      <w:r>
        <w:rPr>
          <w:rFonts w:hint="eastAsia" w:ascii="宋体" w:hAnsi="宋体" w:cs="宋体"/>
          <w:sz w:val="24"/>
          <w:lang w:val="zh-TW" w:eastAsia="zh-TW"/>
        </w:rPr>
        <w:t>各智慧场馆中的在线导览资源及个性化在线服务能力。</w:t>
      </w:r>
    </w:p>
    <w:p>
      <w:pPr>
        <w:numPr>
          <w:ilvl w:val="0"/>
          <w:numId w:val="12"/>
        </w:numPr>
        <w:spacing w:line="360" w:lineRule="auto"/>
        <w:rPr>
          <w:rFonts w:ascii="宋体" w:hAnsi="宋体" w:cs="宋体"/>
          <w:sz w:val="24"/>
        </w:rPr>
      </w:pPr>
      <w:r>
        <w:rPr>
          <w:rFonts w:hint="eastAsia" w:ascii="宋体" w:hAnsi="宋体" w:cs="宋体"/>
          <w:sz w:val="24"/>
        </w:rPr>
        <w:t>对接省内智慧云平台</w:t>
      </w:r>
    </w:p>
    <w:p>
      <w:pPr>
        <w:spacing w:line="360" w:lineRule="auto"/>
        <w:ind w:firstLine="480" w:firstLineChars="200"/>
        <w:rPr>
          <w:rFonts w:ascii="宋体" w:hAnsi="宋体" w:cs="宋体"/>
          <w:sz w:val="24"/>
        </w:rPr>
      </w:pPr>
      <w:r>
        <w:rPr>
          <w:rFonts w:hint="eastAsia" w:ascii="宋体" w:hAnsi="宋体" w:cs="宋体"/>
          <w:sz w:val="24"/>
        </w:rPr>
        <w:t>（1）文化站及其相关单位经由统一信息发布系统审核通过的信息公告及活动内容，通过后台接口方式统一上传到智慧云平台。</w:t>
      </w:r>
    </w:p>
    <w:p>
      <w:pPr>
        <w:spacing w:line="360" w:lineRule="auto"/>
        <w:ind w:firstLine="480" w:firstLineChars="200"/>
        <w:rPr>
          <w:rFonts w:ascii="宋体" w:hAnsi="宋体" w:cs="宋体"/>
          <w:sz w:val="24"/>
        </w:rPr>
      </w:pPr>
      <w:r>
        <w:rPr>
          <w:rFonts w:hint="eastAsia" w:ascii="宋体" w:hAnsi="宋体" w:cs="宋体"/>
          <w:sz w:val="24"/>
        </w:rPr>
        <w:t>（2）按月统计已发布到智慧云平台的消息数量，并及时提醒未达标用户。</w:t>
      </w:r>
    </w:p>
    <w:p>
      <w:pPr>
        <w:numPr>
          <w:ilvl w:val="0"/>
          <w:numId w:val="12"/>
        </w:numPr>
        <w:spacing w:line="360" w:lineRule="auto"/>
        <w:rPr>
          <w:rFonts w:ascii="宋体" w:hAnsi="宋体" w:cs="宋体"/>
          <w:sz w:val="24"/>
        </w:rPr>
      </w:pPr>
      <w:r>
        <w:rPr>
          <w:rFonts w:hint="eastAsia" w:ascii="宋体" w:hAnsi="宋体" w:cs="宋体"/>
          <w:sz w:val="24"/>
        </w:rPr>
        <w:t>技术要求</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（1）</w:t>
      </w:r>
      <w:r>
        <w:rPr>
          <w:rFonts w:hint="eastAsia" w:ascii="宋体" w:hAnsi="宋体" w:cs="宋体"/>
          <w:sz w:val="24"/>
          <w:lang w:val="zh-TW" w:eastAsia="zh-TW"/>
        </w:rPr>
        <w:t>接口安全：需具备可靠的安全认证方式。</w:t>
      </w:r>
    </w:p>
    <w:p>
      <w:pPr>
        <w:spacing w:line="360" w:lineRule="auto"/>
        <w:ind w:firstLine="480" w:firstLineChars="200"/>
        <w:rPr>
          <w:rFonts w:ascii="宋体" w:hAnsi="宋体" w:cs="宋体"/>
          <w:sz w:val="24"/>
          <w:lang w:val="zh-TW" w:eastAsia="zh-TW"/>
        </w:rPr>
      </w:pPr>
      <w:r>
        <w:rPr>
          <w:rFonts w:hint="eastAsia" w:ascii="宋体" w:hAnsi="宋体" w:cs="宋体"/>
          <w:sz w:val="24"/>
          <w:lang w:val="zh-TW"/>
        </w:rPr>
        <w:t>（2）</w:t>
      </w:r>
      <w:r>
        <w:rPr>
          <w:rFonts w:hint="eastAsia" w:ascii="宋体" w:hAnsi="宋体" w:cs="宋体"/>
          <w:sz w:val="24"/>
          <w:lang w:val="zh-TW" w:eastAsia="zh-TW"/>
        </w:rPr>
        <w:t>数据安全：对接口传输参数中的敏感信息数据需进行加密传输。</w:t>
      </w:r>
    </w:p>
    <w:p>
      <w:pPr>
        <w:spacing w:line="360" w:lineRule="auto"/>
        <w:ind w:firstLine="480" w:firstLineChars="200"/>
        <w:rPr>
          <w:rFonts w:ascii="宋体" w:hAnsi="宋体" w:cs="宋体"/>
          <w:sz w:val="24"/>
          <w:lang w:eastAsia="zh-TW"/>
        </w:rPr>
      </w:pPr>
      <w:r>
        <w:rPr>
          <w:rFonts w:hint="eastAsia" w:ascii="宋体" w:hAnsi="宋体" w:cs="宋体"/>
          <w:sz w:val="24"/>
          <w:lang w:val="zh-TW"/>
        </w:rPr>
        <w:t>（3）</w:t>
      </w:r>
      <w:r>
        <w:rPr>
          <w:rFonts w:hint="eastAsia" w:ascii="宋体" w:hAnsi="宋体" w:cs="宋体"/>
          <w:sz w:val="24"/>
          <w:lang w:val="zh-TW" w:eastAsia="zh-TW"/>
        </w:rPr>
        <w:t>审计安全：对调用外能力模块所有消费者，进行调用审计记录。记录内容包括但不限于：ip地址、时间、调用接口名称、入参出参内容等。</w:t>
      </w:r>
    </w:p>
    <w:p>
      <w:pPr>
        <w:spacing w:line="360" w:lineRule="auto"/>
        <w:ind w:firstLine="241" w:firstLineChars="100"/>
        <w:rPr>
          <w:rFonts w:ascii="宋体" w:hAnsi="宋体" w:cs="宋体"/>
          <w:b/>
          <w:sz w:val="24"/>
        </w:rPr>
      </w:pPr>
      <w:bookmarkStart w:id="137" w:name="_Toc40971272"/>
      <w:r>
        <w:rPr>
          <w:rFonts w:hint="eastAsia" w:ascii="宋体" w:hAnsi="宋体" w:cs="宋体"/>
          <w:b/>
          <w:sz w:val="24"/>
        </w:rPr>
        <w:t>3智能监管平台</w:t>
      </w:r>
      <w:bookmarkEnd w:id="137"/>
    </w:p>
    <w:p>
      <w:pPr>
        <w:spacing w:line="360" w:lineRule="auto"/>
        <w:ind w:firstLine="240" w:firstLineChars="100"/>
        <w:rPr>
          <w:rFonts w:ascii="宋体" w:hAnsi="宋体" w:cs="宋体"/>
          <w:sz w:val="24"/>
          <w:lang w:val="zh-CN"/>
        </w:rPr>
      </w:pPr>
      <w:bookmarkStart w:id="138" w:name="_Toc40971273"/>
      <w:r>
        <w:rPr>
          <w:rFonts w:hint="eastAsia" w:ascii="宋体" w:hAnsi="宋体" w:cs="宋体"/>
          <w:sz w:val="24"/>
          <w:lang w:val="zh-CN"/>
        </w:rPr>
        <w:t>3.1统一视频</w:t>
      </w:r>
      <w:bookmarkEnd w:id="135"/>
      <w:bookmarkEnd w:id="136"/>
      <w:r>
        <w:rPr>
          <w:rFonts w:hint="eastAsia" w:ascii="宋体" w:hAnsi="宋体" w:cs="宋体"/>
          <w:sz w:val="24"/>
        </w:rPr>
        <w:t>系统</w:t>
      </w:r>
      <w:bookmarkEnd w:id="138"/>
    </w:p>
    <w:p>
      <w:pPr>
        <w:spacing w:line="360" w:lineRule="auto"/>
        <w:ind w:firstLine="480" w:firstLineChars="200"/>
        <w:rPr>
          <w:rFonts w:ascii="宋体" w:hAnsi="宋体" w:cs="宋体"/>
          <w:sz w:val="24"/>
        </w:rPr>
      </w:pPr>
      <w:r>
        <w:rPr>
          <w:rFonts w:hint="eastAsia" w:ascii="宋体" w:hAnsi="宋体" w:cs="宋体"/>
          <w:sz w:val="24"/>
        </w:rPr>
        <w:t>视频平台能够访问各文化场所点位，并对接各单位现有的视频点位，以及汇聚后对上级平台开放能力。</w:t>
      </w:r>
    </w:p>
    <w:p>
      <w:pPr>
        <w:numPr>
          <w:ilvl w:val="0"/>
          <w:numId w:val="12"/>
        </w:numPr>
        <w:spacing w:line="360" w:lineRule="auto"/>
        <w:rPr>
          <w:rFonts w:ascii="宋体" w:hAnsi="宋体" w:cs="宋体"/>
          <w:sz w:val="24"/>
        </w:rPr>
      </w:pPr>
      <w:bookmarkStart w:id="139" w:name="_Toc468719508"/>
      <w:bookmarkStart w:id="140" w:name="_Toc31940"/>
      <w:bookmarkStart w:id="141" w:name="_Toc531002727"/>
      <w:bookmarkStart w:id="142" w:name="_Toc508718898"/>
      <w:r>
        <w:rPr>
          <w:rFonts w:hint="eastAsia" w:ascii="宋体" w:hAnsi="宋体" w:cs="宋体"/>
          <w:sz w:val="24"/>
        </w:rPr>
        <w:t>实时监视功能</w:t>
      </w:r>
      <w:bookmarkEnd w:id="139"/>
      <w:bookmarkEnd w:id="140"/>
      <w:bookmarkEnd w:id="141"/>
      <w:bookmarkEnd w:id="142"/>
    </w:p>
    <w:p>
      <w:pPr>
        <w:spacing w:line="360" w:lineRule="auto"/>
        <w:ind w:firstLine="480" w:firstLineChars="200"/>
        <w:rPr>
          <w:rFonts w:ascii="宋体" w:hAnsi="宋体" w:cs="宋体"/>
          <w:sz w:val="24"/>
        </w:rPr>
      </w:pPr>
      <w:r>
        <w:rPr>
          <w:rFonts w:hint="eastAsia" w:ascii="宋体" w:hAnsi="宋体" w:cs="宋体"/>
          <w:sz w:val="24"/>
        </w:rPr>
        <w:t>支持前端实时图像，实时点播。能按照指定设备、指定通道进行图像的实时监视调用，调用时不能影响别的通道进行图像传输，支持监视图像的无级缩放、图像抓帧，支持跨设备的图像组屏。</w:t>
      </w:r>
    </w:p>
    <w:p>
      <w:pPr>
        <w:numPr>
          <w:ilvl w:val="0"/>
          <w:numId w:val="12"/>
        </w:numPr>
        <w:spacing w:line="360" w:lineRule="auto"/>
        <w:rPr>
          <w:rFonts w:ascii="宋体" w:hAnsi="宋体" w:cs="宋体"/>
          <w:sz w:val="24"/>
        </w:rPr>
      </w:pPr>
      <w:bookmarkStart w:id="143" w:name="_Toc508718899"/>
      <w:bookmarkStart w:id="144" w:name="_Toc468719509"/>
      <w:bookmarkStart w:id="145" w:name="_Toc8859"/>
      <w:bookmarkStart w:id="146" w:name="_Toc531002728"/>
      <w:r>
        <w:rPr>
          <w:rFonts w:hint="eastAsia" w:ascii="宋体" w:hAnsi="宋体" w:cs="宋体"/>
          <w:sz w:val="24"/>
        </w:rPr>
        <w:t>存储和备份</w:t>
      </w:r>
      <w:bookmarkEnd w:id="143"/>
      <w:bookmarkEnd w:id="144"/>
      <w:bookmarkEnd w:id="145"/>
      <w:bookmarkEnd w:id="146"/>
    </w:p>
    <w:p>
      <w:pPr>
        <w:spacing w:line="360" w:lineRule="auto"/>
        <w:ind w:firstLine="480" w:firstLineChars="200"/>
        <w:rPr>
          <w:rFonts w:ascii="宋体" w:hAnsi="宋体" w:cs="宋体"/>
          <w:sz w:val="24"/>
        </w:rPr>
      </w:pPr>
      <w:r>
        <w:rPr>
          <w:rFonts w:hint="eastAsia" w:ascii="宋体" w:hAnsi="宋体" w:cs="宋体"/>
          <w:sz w:val="24"/>
        </w:rPr>
        <w:t>系统应能将所监视的视频图像进行数字化图像记录并能记录用户操作、设备巡检等系统日志信息。应用配置存储设备，满足视频图像存储要求。</w:t>
      </w:r>
    </w:p>
    <w:p>
      <w:pPr>
        <w:numPr>
          <w:ilvl w:val="0"/>
          <w:numId w:val="12"/>
        </w:numPr>
        <w:spacing w:line="360" w:lineRule="auto"/>
        <w:rPr>
          <w:rFonts w:ascii="宋体" w:hAnsi="宋体" w:cs="宋体"/>
          <w:sz w:val="24"/>
        </w:rPr>
      </w:pPr>
      <w:bookmarkStart w:id="147" w:name="_Toc468719510"/>
      <w:bookmarkStart w:id="148" w:name="_Toc508718900"/>
      <w:bookmarkStart w:id="149" w:name="_Toc15135"/>
      <w:bookmarkStart w:id="150" w:name="_Toc531002729"/>
      <w:r>
        <w:rPr>
          <w:rFonts w:hint="eastAsia" w:ascii="宋体" w:hAnsi="宋体" w:cs="宋体"/>
          <w:sz w:val="24"/>
        </w:rPr>
        <w:t>视频、图像的检索回放</w:t>
      </w:r>
      <w:bookmarkEnd w:id="147"/>
      <w:bookmarkEnd w:id="148"/>
      <w:bookmarkEnd w:id="149"/>
      <w:bookmarkEnd w:id="150"/>
    </w:p>
    <w:p>
      <w:pPr>
        <w:spacing w:line="360" w:lineRule="auto"/>
        <w:ind w:firstLine="480" w:firstLineChars="200"/>
        <w:rPr>
          <w:rFonts w:ascii="宋体" w:hAnsi="宋体" w:cs="宋体"/>
          <w:sz w:val="24"/>
        </w:rPr>
      </w:pPr>
      <w:r>
        <w:rPr>
          <w:rFonts w:hint="eastAsia" w:ascii="宋体" w:hAnsi="宋体" w:cs="宋体"/>
          <w:sz w:val="24"/>
        </w:rPr>
        <w:t>系统应能根据权限和级别，按照摄像头点位、时间段等条件，检索到该时间段内相关摄像头拍摄的视频。可以点击多路视频同时播放，应支持正常播放、快速播放、慢速播放、逐帧进退、画面暂停、图像抓帧等。</w:t>
      </w:r>
    </w:p>
    <w:p>
      <w:pPr>
        <w:numPr>
          <w:ilvl w:val="0"/>
          <w:numId w:val="12"/>
        </w:numPr>
        <w:spacing w:line="360" w:lineRule="auto"/>
        <w:rPr>
          <w:rFonts w:ascii="宋体" w:hAnsi="宋体" w:cs="宋体"/>
          <w:sz w:val="24"/>
        </w:rPr>
      </w:pPr>
      <w:bookmarkStart w:id="151" w:name="_Toc508718901"/>
      <w:bookmarkStart w:id="152" w:name="_Toc468719511"/>
      <w:bookmarkStart w:id="153" w:name="_Toc531002730"/>
      <w:bookmarkStart w:id="154" w:name="_Toc810"/>
      <w:r>
        <w:rPr>
          <w:rFonts w:hint="eastAsia" w:ascii="宋体" w:hAnsi="宋体" w:cs="宋体"/>
          <w:sz w:val="24"/>
        </w:rPr>
        <w:t>电子地图功能</w:t>
      </w:r>
      <w:bookmarkEnd w:id="151"/>
      <w:bookmarkEnd w:id="152"/>
      <w:bookmarkEnd w:id="153"/>
      <w:bookmarkEnd w:id="154"/>
    </w:p>
    <w:p>
      <w:pPr>
        <w:spacing w:line="360" w:lineRule="auto"/>
        <w:ind w:firstLine="480" w:firstLineChars="200"/>
        <w:rPr>
          <w:rFonts w:ascii="宋体" w:hAnsi="宋体" w:cs="宋体"/>
          <w:sz w:val="24"/>
        </w:rPr>
      </w:pPr>
      <w:r>
        <w:rPr>
          <w:rFonts w:hint="eastAsia" w:ascii="宋体" w:hAnsi="宋体" w:cs="宋体"/>
          <w:sz w:val="24"/>
        </w:rPr>
        <w:t>系统应具有实现电子地图（点阵或矢量地图）功能的接口。系统应能通过设备编码和其他方式实现在电子地图上直观地调用监控图像。</w:t>
      </w:r>
    </w:p>
    <w:p>
      <w:pPr>
        <w:numPr>
          <w:ilvl w:val="0"/>
          <w:numId w:val="12"/>
        </w:numPr>
        <w:spacing w:line="360" w:lineRule="auto"/>
        <w:rPr>
          <w:rFonts w:ascii="宋体" w:hAnsi="宋体" w:cs="宋体"/>
          <w:sz w:val="24"/>
        </w:rPr>
      </w:pPr>
      <w:bookmarkStart w:id="155" w:name="_Toc10035"/>
      <w:bookmarkStart w:id="156" w:name="_Toc508718902"/>
      <w:bookmarkStart w:id="157" w:name="_Toc468719512"/>
      <w:bookmarkStart w:id="158" w:name="_Toc531002731"/>
      <w:r>
        <w:rPr>
          <w:rFonts w:hint="eastAsia" w:ascii="宋体" w:hAnsi="宋体" w:cs="宋体"/>
          <w:sz w:val="24"/>
        </w:rPr>
        <w:t>智能视频功能</w:t>
      </w:r>
      <w:bookmarkEnd w:id="155"/>
      <w:bookmarkEnd w:id="156"/>
      <w:bookmarkEnd w:id="157"/>
      <w:bookmarkEnd w:id="158"/>
    </w:p>
    <w:p>
      <w:pPr>
        <w:spacing w:line="360" w:lineRule="auto"/>
        <w:ind w:firstLine="480" w:firstLineChars="200"/>
        <w:rPr>
          <w:rFonts w:ascii="宋体" w:hAnsi="宋体" w:cs="宋体"/>
          <w:sz w:val="24"/>
        </w:rPr>
      </w:pPr>
      <w:r>
        <w:rPr>
          <w:rFonts w:hint="eastAsia" w:ascii="宋体" w:hAnsi="宋体" w:cs="宋体"/>
          <w:sz w:val="24"/>
        </w:rPr>
        <w:t>（1）物体越界告警</w:t>
      </w:r>
    </w:p>
    <w:p>
      <w:pPr>
        <w:spacing w:line="360" w:lineRule="auto"/>
        <w:ind w:firstLine="480" w:firstLineChars="200"/>
        <w:rPr>
          <w:rFonts w:ascii="宋体" w:hAnsi="宋体" w:cs="宋体"/>
          <w:sz w:val="24"/>
        </w:rPr>
      </w:pPr>
      <w:r>
        <w:rPr>
          <w:rFonts w:hint="eastAsia" w:ascii="宋体" w:hAnsi="宋体" w:cs="宋体"/>
          <w:sz w:val="24"/>
        </w:rPr>
        <w:t>允许管理人员在地图上摄像头的监控范围内进行设置布防，在视频画面上绘制检测界限。</w:t>
      </w:r>
    </w:p>
    <w:p>
      <w:pPr>
        <w:spacing w:line="360" w:lineRule="auto"/>
        <w:ind w:firstLine="480" w:firstLineChars="200"/>
        <w:rPr>
          <w:rFonts w:ascii="宋体" w:hAnsi="宋体" w:cs="宋体"/>
          <w:sz w:val="24"/>
        </w:rPr>
      </w:pPr>
      <w:r>
        <w:rPr>
          <w:rFonts w:hint="eastAsia" w:ascii="宋体" w:hAnsi="宋体" w:cs="宋体"/>
          <w:sz w:val="24"/>
        </w:rPr>
        <w:t>（2）人员聚集告警</w:t>
      </w:r>
    </w:p>
    <w:p>
      <w:pPr>
        <w:spacing w:line="360" w:lineRule="auto"/>
        <w:ind w:firstLine="480" w:firstLineChars="200"/>
        <w:rPr>
          <w:rFonts w:ascii="宋体" w:hAnsi="宋体" w:cs="宋体"/>
          <w:sz w:val="24"/>
        </w:rPr>
      </w:pPr>
      <w:r>
        <w:rPr>
          <w:rFonts w:hint="eastAsia" w:ascii="宋体" w:hAnsi="宋体" w:cs="宋体"/>
          <w:sz w:val="24"/>
        </w:rPr>
        <w:t>图像自动识别判断，对视频质量情况、人员或物品越界情况、人员异常情况进行自动报警，当告警触发时应可联动录像、联动报警输出、联动摄像机转到相应的预置位。在视频画面上绘制检测界限，自动识别界限内可辨认的人员及其数量。</w:t>
      </w:r>
    </w:p>
    <w:p>
      <w:pPr>
        <w:spacing w:line="360" w:lineRule="auto"/>
        <w:ind w:firstLine="480" w:firstLineChars="200"/>
        <w:rPr>
          <w:rFonts w:ascii="宋体" w:hAnsi="宋体" w:cs="宋体"/>
          <w:sz w:val="24"/>
        </w:rPr>
      </w:pPr>
      <w:r>
        <w:rPr>
          <w:rFonts w:hint="eastAsia" w:ascii="宋体" w:hAnsi="宋体" w:cs="宋体"/>
          <w:sz w:val="24"/>
        </w:rPr>
        <w:t>（3）视频增强</w:t>
      </w:r>
    </w:p>
    <w:p>
      <w:pPr>
        <w:spacing w:line="360" w:lineRule="auto"/>
        <w:ind w:firstLine="480" w:firstLineChars="200"/>
        <w:rPr>
          <w:rFonts w:ascii="宋体" w:hAnsi="宋体" w:cs="宋体"/>
          <w:sz w:val="24"/>
        </w:rPr>
      </w:pPr>
      <w:r>
        <w:rPr>
          <w:rFonts w:hint="eastAsia" w:ascii="宋体" w:hAnsi="宋体" w:cs="宋体"/>
          <w:sz w:val="24"/>
        </w:rPr>
        <w:t>提供图像亮度、对比度增强、图像清晰化、去交织等图像增强处理功能，SSE指令级优化确保了高效和实时，可对关键视频信息增强处理，提高图像可辨识性。</w:t>
      </w:r>
    </w:p>
    <w:p>
      <w:pPr>
        <w:spacing w:line="360" w:lineRule="auto"/>
        <w:ind w:firstLine="480" w:firstLineChars="200"/>
        <w:rPr>
          <w:rFonts w:ascii="宋体" w:hAnsi="宋体" w:cs="宋体"/>
          <w:sz w:val="24"/>
        </w:rPr>
      </w:pPr>
      <w:r>
        <w:rPr>
          <w:rFonts w:hint="eastAsia" w:ascii="宋体" w:hAnsi="宋体" w:cs="宋体"/>
          <w:sz w:val="24"/>
        </w:rPr>
        <w:t>（4）移动侦测</w:t>
      </w:r>
    </w:p>
    <w:p>
      <w:pPr>
        <w:spacing w:line="360" w:lineRule="auto"/>
        <w:ind w:firstLine="480" w:firstLineChars="200"/>
        <w:rPr>
          <w:rFonts w:ascii="宋体" w:hAnsi="宋体" w:cs="宋体"/>
          <w:sz w:val="24"/>
        </w:rPr>
      </w:pPr>
      <w:r>
        <w:rPr>
          <w:rFonts w:hint="eastAsia" w:ascii="宋体" w:hAnsi="宋体" w:cs="宋体"/>
          <w:sz w:val="24"/>
        </w:rPr>
        <w:t>通过对摄像机拍录的图像序列进行自动分析,实现对动态场景中运动物体的定位、识别和跟踪，并在此基础上分析和判断运动物体的行为，来监控和确定现场发生的情况，用以实现对视频信息能进行移动侦测，自动过滤静态信息。</w:t>
      </w:r>
    </w:p>
    <w:p>
      <w:pPr>
        <w:spacing w:line="360" w:lineRule="auto"/>
        <w:ind w:firstLine="480" w:firstLineChars="200"/>
        <w:rPr>
          <w:rFonts w:ascii="宋体" w:hAnsi="宋体" w:cs="宋体"/>
          <w:sz w:val="24"/>
        </w:rPr>
      </w:pPr>
      <w:r>
        <w:rPr>
          <w:rFonts w:hint="eastAsia" w:ascii="宋体" w:hAnsi="宋体" w:cs="宋体"/>
          <w:sz w:val="24"/>
        </w:rPr>
        <w:t>（5）关联播放</w:t>
      </w:r>
    </w:p>
    <w:p>
      <w:pPr>
        <w:spacing w:line="360" w:lineRule="auto"/>
        <w:ind w:firstLine="480" w:firstLineChars="200"/>
        <w:rPr>
          <w:rFonts w:ascii="宋体" w:hAnsi="宋体" w:cs="宋体"/>
          <w:sz w:val="24"/>
        </w:rPr>
      </w:pPr>
      <w:r>
        <w:rPr>
          <w:rFonts w:hint="eastAsia" w:ascii="宋体" w:hAnsi="宋体" w:cs="宋体"/>
          <w:sz w:val="24"/>
        </w:rPr>
        <w:t>点击某个时间点、某个摄像头的视频，系统自动关联其相邻位置摄像头提供的同期视频，在辅助小窗口同时自动播放，并可以通过拖拽拉伸等方式，对各个关联监控点提供的视频进行重新排布和屏幕放大缩小，从而查找视频中的相关情况。</w:t>
      </w:r>
    </w:p>
    <w:p>
      <w:pPr>
        <w:spacing w:line="360" w:lineRule="auto"/>
        <w:ind w:firstLine="480" w:firstLineChars="200"/>
        <w:rPr>
          <w:rFonts w:ascii="宋体" w:hAnsi="宋体" w:cs="宋体"/>
          <w:sz w:val="24"/>
        </w:rPr>
      </w:pPr>
      <w:r>
        <w:rPr>
          <w:rFonts w:hint="eastAsia" w:ascii="宋体" w:hAnsi="宋体" w:cs="宋体"/>
          <w:sz w:val="24"/>
        </w:rPr>
        <w:t>（6）视频浓缩</w:t>
      </w:r>
    </w:p>
    <w:p>
      <w:pPr>
        <w:spacing w:line="360" w:lineRule="auto"/>
        <w:ind w:firstLine="480" w:firstLineChars="200"/>
        <w:rPr>
          <w:rFonts w:ascii="宋体" w:hAnsi="宋体" w:cs="宋体"/>
          <w:sz w:val="24"/>
        </w:rPr>
      </w:pPr>
      <w:r>
        <w:rPr>
          <w:rFonts w:hint="eastAsia" w:ascii="宋体" w:hAnsi="宋体" w:cs="宋体"/>
          <w:sz w:val="24"/>
        </w:rPr>
        <w:t>基于智能分析技术的新型视频播放方式，根据用户的意愿自动控制播放速度，有用的证据、线索内容进行慢速的播放，无用的视频快进播放，加快视频内容的审看速度。</w:t>
      </w:r>
    </w:p>
    <w:p>
      <w:pPr>
        <w:numPr>
          <w:ilvl w:val="0"/>
          <w:numId w:val="12"/>
        </w:numPr>
        <w:spacing w:line="360" w:lineRule="auto"/>
        <w:rPr>
          <w:rFonts w:ascii="宋体" w:hAnsi="宋体" w:cs="宋体"/>
          <w:sz w:val="24"/>
        </w:rPr>
      </w:pPr>
      <w:bookmarkStart w:id="159" w:name="_Toc531002732"/>
      <w:bookmarkStart w:id="160" w:name="_Toc508718903"/>
      <w:bookmarkStart w:id="161" w:name="_Toc29645"/>
      <w:bookmarkStart w:id="162" w:name="_Toc468719513"/>
      <w:r>
        <w:rPr>
          <w:rFonts w:hint="eastAsia" w:ascii="宋体" w:hAnsi="宋体" w:cs="宋体"/>
          <w:sz w:val="24"/>
        </w:rPr>
        <w:t>用户与权限管理</w:t>
      </w:r>
      <w:bookmarkEnd w:id="159"/>
      <w:bookmarkEnd w:id="160"/>
      <w:bookmarkEnd w:id="161"/>
      <w:bookmarkEnd w:id="162"/>
    </w:p>
    <w:p>
      <w:pPr>
        <w:spacing w:line="360" w:lineRule="auto"/>
        <w:ind w:firstLine="480" w:firstLineChars="200"/>
        <w:rPr>
          <w:rFonts w:ascii="宋体" w:hAnsi="宋体" w:cs="宋体"/>
          <w:sz w:val="24"/>
        </w:rPr>
      </w:pPr>
      <w:r>
        <w:rPr>
          <w:rFonts w:hint="eastAsia" w:ascii="宋体" w:hAnsi="宋体" w:cs="宋体"/>
          <w:sz w:val="24"/>
        </w:rPr>
        <w:t>用户可提供对前端设备进行独占性控制的锁定及解锁功能，锁定和解锁方式可设定。</w:t>
      </w:r>
    </w:p>
    <w:p>
      <w:pPr>
        <w:numPr>
          <w:ilvl w:val="0"/>
          <w:numId w:val="12"/>
        </w:numPr>
        <w:spacing w:line="360" w:lineRule="auto"/>
        <w:rPr>
          <w:rFonts w:ascii="宋体" w:hAnsi="宋体" w:cs="宋体"/>
          <w:sz w:val="24"/>
        </w:rPr>
      </w:pPr>
      <w:bookmarkStart w:id="163" w:name="_Toc531002733"/>
      <w:bookmarkStart w:id="164" w:name="_Toc468719514"/>
      <w:bookmarkStart w:id="165" w:name="_Toc7253"/>
      <w:bookmarkStart w:id="166" w:name="_Toc508718904"/>
      <w:r>
        <w:rPr>
          <w:rFonts w:hint="eastAsia" w:ascii="宋体" w:hAnsi="宋体" w:cs="宋体"/>
          <w:sz w:val="24"/>
        </w:rPr>
        <w:t>Web播放支持</w:t>
      </w:r>
      <w:bookmarkEnd w:id="163"/>
      <w:bookmarkEnd w:id="164"/>
      <w:bookmarkEnd w:id="165"/>
      <w:bookmarkEnd w:id="166"/>
    </w:p>
    <w:p>
      <w:pPr>
        <w:spacing w:line="360" w:lineRule="auto"/>
        <w:ind w:firstLine="480" w:firstLineChars="200"/>
        <w:rPr>
          <w:rFonts w:ascii="宋体" w:hAnsi="宋体" w:cs="宋体"/>
          <w:sz w:val="24"/>
        </w:rPr>
      </w:pPr>
      <w:r>
        <w:rPr>
          <w:rFonts w:hint="eastAsia" w:ascii="宋体" w:hAnsi="宋体" w:cs="宋体"/>
          <w:sz w:val="24"/>
        </w:rPr>
        <w:t>视频播放工具支持web播放，提供基于Activex控件支持接口。</w:t>
      </w:r>
    </w:p>
    <w:p>
      <w:pPr>
        <w:numPr>
          <w:ilvl w:val="0"/>
          <w:numId w:val="12"/>
        </w:numPr>
        <w:spacing w:line="360" w:lineRule="auto"/>
        <w:rPr>
          <w:rFonts w:ascii="宋体" w:hAnsi="宋体" w:cs="宋体"/>
          <w:sz w:val="24"/>
        </w:rPr>
      </w:pPr>
      <w:bookmarkStart w:id="167" w:name="_Toc531002735"/>
      <w:bookmarkStart w:id="168" w:name="_Toc28943"/>
      <w:r>
        <w:rPr>
          <w:rFonts w:hint="eastAsia" w:ascii="宋体" w:hAnsi="宋体" w:cs="宋体"/>
          <w:sz w:val="24"/>
        </w:rPr>
        <w:t>视频监控接入</w:t>
      </w:r>
      <w:bookmarkEnd w:id="167"/>
      <w:bookmarkEnd w:id="168"/>
      <w:r>
        <w:rPr>
          <w:rFonts w:hint="eastAsia" w:ascii="宋体" w:hAnsi="宋体" w:cs="宋体"/>
          <w:sz w:val="24"/>
        </w:rPr>
        <w:t>需求</w:t>
      </w:r>
    </w:p>
    <w:p>
      <w:pPr>
        <w:spacing w:line="360" w:lineRule="auto"/>
        <w:ind w:firstLine="480" w:firstLineChars="200"/>
        <w:rPr>
          <w:rFonts w:ascii="宋体" w:hAnsi="宋体" w:cs="宋体"/>
          <w:sz w:val="24"/>
        </w:rPr>
      </w:pPr>
      <w:r>
        <w:rPr>
          <w:rFonts w:hint="eastAsia" w:ascii="宋体" w:hAnsi="宋体" w:cs="宋体"/>
          <w:sz w:val="24"/>
        </w:rPr>
        <w:t>（1）接入范围</w:t>
      </w:r>
    </w:p>
    <w:p>
      <w:pPr>
        <w:spacing w:line="360" w:lineRule="auto"/>
        <w:ind w:firstLine="480" w:firstLineChars="200"/>
        <w:rPr>
          <w:rFonts w:ascii="宋体" w:hAnsi="宋体" w:cs="宋体"/>
          <w:sz w:val="24"/>
        </w:rPr>
      </w:pPr>
      <w:r>
        <w:rPr>
          <w:rFonts w:hint="eastAsia" w:ascii="宋体" w:hAnsi="宋体" w:cs="宋体"/>
          <w:sz w:val="24"/>
        </w:rPr>
        <w:t>将现有的各单位已经有的视频系统接入视频平台。具体的接入范围包括：</w:t>
      </w:r>
    </w:p>
    <w:p>
      <w:pPr>
        <w:spacing w:line="360" w:lineRule="auto"/>
        <w:ind w:firstLine="480" w:firstLineChars="200"/>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1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①</w:t>
      </w:r>
      <w:r>
        <w:rPr>
          <w:rFonts w:ascii="宋体" w:hAnsi="宋体" w:cs="宋体"/>
          <w:sz w:val="24"/>
        </w:rPr>
        <w:fldChar w:fldCharType="end"/>
      </w:r>
      <w:r>
        <w:rPr>
          <w:rFonts w:hint="eastAsia" w:ascii="宋体" w:hAnsi="宋体" w:cs="宋体"/>
          <w:sz w:val="24"/>
        </w:rPr>
        <w:t>青瓷中心</w:t>
      </w:r>
    </w:p>
    <w:p>
      <w:pPr>
        <w:spacing w:line="360" w:lineRule="auto"/>
        <w:ind w:firstLine="480" w:firstLineChars="200"/>
        <w:rPr>
          <w:rFonts w:ascii="宋体" w:hAnsi="宋体" w:cs="宋体"/>
          <w:sz w:val="24"/>
        </w:rPr>
      </w:pPr>
      <w:r>
        <w:rPr>
          <w:rFonts w:hint="eastAsia" w:ascii="宋体" w:hAnsi="宋体" w:cs="宋体"/>
          <w:sz w:val="24"/>
        </w:rPr>
        <w:t>接入凤凰山考古遗址公园拟建的视频系统，接入其中球机约32个，枪机约75个。</w:t>
      </w:r>
    </w:p>
    <w:p>
      <w:pPr>
        <w:spacing w:line="360" w:lineRule="auto"/>
        <w:ind w:firstLine="480" w:firstLineChars="200"/>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2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②</w:t>
      </w:r>
      <w:r>
        <w:rPr>
          <w:rFonts w:ascii="宋体" w:hAnsi="宋体" w:cs="宋体"/>
          <w:sz w:val="24"/>
        </w:rPr>
        <w:fldChar w:fldCharType="end"/>
      </w:r>
      <w:r>
        <w:rPr>
          <w:rFonts w:hint="eastAsia" w:ascii="宋体" w:hAnsi="宋体" w:cs="宋体"/>
          <w:sz w:val="24"/>
        </w:rPr>
        <w:t>图书馆</w:t>
      </w:r>
    </w:p>
    <w:p>
      <w:pPr>
        <w:spacing w:line="360" w:lineRule="auto"/>
        <w:ind w:firstLine="480" w:firstLineChars="200"/>
        <w:rPr>
          <w:rFonts w:ascii="宋体" w:hAnsi="宋体" w:cs="宋体"/>
          <w:sz w:val="24"/>
        </w:rPr>
      </w:pPr>
      <w:r>
        <w:rPr>
          <w:rFonts w:hint="eastAsia" w:ascii="宋体" w:hAnsi="宋体" w:cs="宋体"/>
          <w:sz w:val="24"/>
        </w:rPr>
        <w:t>接入已有的人流监测设备和视频监控，预计85个，品牌海康威视。</w:t>
      </w:r>
    </w:p>
    <w:p>
      <w:pPr>
        <w:spacing w:line="360" w:lineRule="auto"/>
        <w:ind w:firstLine="480" w:firstLineChars="200"/>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3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③</w:t>
      </w:r>
      <w:r>
        <w:rPr>
          <w:rFonts w:ascii="宋体" w:hAnsi="宋体" w:cs="宋体"/>
          <w:sz w:val="24"/>
        </w:rPr>
        <w:fldChar w:fldCharType="end"/>
      </w:r>
      <w:r>
        <w:rPr>
          <w:rFonts w:hint="eastAsia" w:ascii="宋体" w:hAnsi="宋体" w:cs="宋体"/>
          <w:sz w:val="24"/>
        </w:rPr>
        <w:t>体育馆</w:t>
      </w:r>
    </w:p>
    <w:p>
      <w:pPr>
        <w:spacing w:line="360" w:lineRule="auto"/>
        <w:ind w:firstLine="480" w:firstLineChars="200"/>
        <w:rPr>
          <w:rFonts w:ascii="宋体" w:hAnsi="宋体" w:cs="宋体"/>
          <w:sz w:val="24"/>
        </w:rPr>
      </w:pPr>
      <w:r>
        <w:rPr>
          <w:rFonts w:hint="eastAsia" w:ascii="宋体" w:hAnsi="宋体" w:cs="宋体"/>
          <w:sz w:val="24"/>
        </w:rPr>
        <w:t>五个体育场馆一共部署了163个视频监控点位，全部接入。</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5"/>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825" w:type="dxa"/>
            <w:noWrap w:val="0"/>
            <w:vAlign w:val="top"/>
          </w:tcPr>
          <w:p>
            <w:pPr>
              <w:spacing w:line="360" w:lineRule="auto"/>
              <w:rPr>
                <w:rFonts w:ascii="宋体" w:hAnsi="宋体" w:cs="宋体"/>
                <w:sz w:val="24"/>
              </w:rPr>
            </w:pPr>
            <w:r>
              <w:rPr>
                <w:rFonts w:hint="eastAsia" w:ascii="宋体" w:hAnsi="宋体" w:cs="宋体"/>
                <w:sz w:val="24"/>
              </w:rPr>
              <w:t>场馆名称</w:t>
            </w:r>
          </w:p>
        </w:tc>
        <w:tc>
          <w:tcPr>
            <w:tcW w:w="3697" w:type="dxa"/>
            <w:noWrap w:val="0"/>
            <w:vAlign w:val="top"/>
          </w:tcPr>
          <w:p>
            <w:pPr>
              <w:spacing w:line="360" w:lineRule="auto"/>
              <w:rPr>
                <w:rFonts w:ascii="宋体" w:hAnsi="宋体" w:cs="宋体"/>
                <w:sz w:val="24"/>
              </w:rPr>
            </w:pPr>
            <w:r>
              <w:rPr>
                <w:rFonts w:hint="eastAsia" w:ascii="宋体" w:hAnsi="宋体" w:cs="宋体"/>
                <w:sz w:val="24"/>
              </w:rPr>
              <w:t>点位数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825" w:type="dxa"/>
            <w:noWrap w:val="0"/>
            <w:vAlign w:val="top"/>
          </w:tcPr>
          <w:p>
            <w:pPr>
              <w:spacing w:line="360" w:lineRule="auto"/>
              <w:rPr>
                <w:rFonts w:ascii="宋体" w:hAnsi="宋体" w:cs="宋体"/>
                <w:sz w:val="24"/>
              </w:rPr>
            </w:pPr>
            <w:r>
              <w:rPr>
                <w:rFonts w:hint="eastAsia" w:ascii="宋体" w:hAnsi="宋体" w:cs="宋体"/>
                <w:sz w:val="24"/>
              </w:rPr>
              <w:t>华通体育馆</w:t>
            </w:r>
          </w:p>
        </w:tc>
        <w:tc>
          <w:tcPr>
            <w:tcW w:w="3697" w:type="dxa"/>
            <w:noWrap w:val="0"/>
            <w:vAlign w:val="top"/>
          </w:tcPr>
          <w:p>
            <w:pPr>
              <w:spacing w:line="360" w:lineRule="auto"/>
              <w:rPr>
                <w:rFonts w:ascii="宋体" w:hAnsi="宋体" w:cs="宋体"/>
                <w:sz w:val="24"/>
              </w:rPr>
            </w:pPr>
            <w:r>
              <w:rPr>
                <w:rFonts w:hint="eastAsia" w:ascii="宋体" w:hAnsi="宋体" w:cs="宋体"/>
                <w:sz w:val="24"/>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4825" w:type="dxa"/>
            <w:noWrap w:val="0"/>
            <w:vAlign w:val="top"/>
          </w:tcPr>
          <w:p>
            <w:pPr>
              <w:spacing w:line="360" w:lineRule="auto"/>
              <w:rPr>
                <w:rFonts w:ascii="宋体" w:hAnsi="宋体" w:cs="宋体"/>
                <w:sz w:val="24"/>
              </w:rPr>
            </w:pPr>
            <w:r>
              <w:rPr>
                <w:rFonts w:hint="eastAsia" w:ascii="宋体" w:hAnsi="宋体" w:cs="宋体"/>
                <w:sz w:val="24"/>
              </w:rPr>
              <w:t>市民中心体育场</w:t>
            </w:r>
          </w:p>
        </w:tc>
        <w:tc>
          <w:tcPr>
            <w:tcW w:w="3697" w:type="dxa"/>
            <w:noWrap w:val="0"/>
            <w:vAlign w:val="top"/>
          </w:tcPr>
          <w:p>
            <w:pPr>
              <w:spacing w:line="360" w:lineRule="auto"/>
              <w:rPr>
                <w:rFonts w:ascii="宋体" w:hAnsi="宋体" w:cs="宋体"/>
                <w:sz w:val="24"/>
              </w:rPr>
            </w:pPr>
            <w:r>
              <w:rPr>
                <w:rFonts w:hint="eastAsia"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825" w:type="dxa"/>
            <w:noWrap w:val="0"/>
            <w:vAlign w:val="top"/>
          </w:tcPr>
          <w:p>
            <w:pPr>
              <w:spacing w:line="360" w:lineRule="auto"/>
              <w:rPr>
                <w:rFonts w:ascii="宋体" w:hAnsi="宋体" w:cs="宋体"/>
                <w:sz w:val="24"/>
              </w:rPr>
            </w:pPr>
            <w:r>
              <w:rPr>
                <w:rFonts w:hint="eastAsia" w:ascii="宋体" w:hAnsi="宋体" w:cs="宋体"/>
                <w:sz w:val="24"/>
              </w:rPr>
              <w:t>新建路体育场</w:t>
            </w:r>
          </w:p>
        </w:tc>
        <w:tc>
          <w:tcPr>
            <w:tcW w:w="3697" w:type="dxa"/>
            <w:noWrap w:val="0"/>
            <w:vAlign w:val="top"/>
          </w:tcPr>
          <w:p>
            <w:pPr>
              <w:spacing w:line="360" w:lineRule="auto"/>
              <w:rPr>
                <w:rFonts w:ascii="宋体" w:hAnsi="宋体" w:cs="宋体"/>
                <w:sz w:val="24"/>
              </w:rPr>
            </w:pPr>
            <w:r>
              <w:rPr>
                <w:rFonts w:hint="eastAsia" w:ascii="宋体" w:hAnsi="宋体" w:cs="宋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4825" w:type="dxa"/>
            <w:noWrap w:val="0"/>
            <w:vAlign w:val="top"/>
          </w:tcPr>
          <w:p>
            <w:pPr>
              <w:spacing w:line="360" w:lineRule="auto"/>
              <w:rPr>
                <w:rFonts w:ascii="宋体" w:hAnsi="宋体" w:cs="宋体"/>
                <w:sz w:val="24"/>
              </w:rPr>
            </w:pPr>
            <w:r>
              <w:rPr>
                <w:rFonts w:hint="eastAsia" w:ascii="宋体" w:hAnsi="宋体" w:cs="宋体"/>
                <w:sz w:val="24"/>
              </w:rPr>
              <w:t>围棋与越剧大师工作室</w:t>
            </w:r>
          </w:p>
        </w:tc>
        <w:tc>
          <w:tcPr>
            <w:tcW w:w="3697" w:type="dxa"/>
            <w:noWrap w:val="0"/>
            <w:vAlign w:val="top"/>
          </w:tcPr>
          <w:p>
            <w:pPr>
              <w:spacing w:line="360" w:lineRule="auto"/>
              <w:rPr>
                <w:rFonts w:ascii="宋体" w:hAnsi="宋体" w:cs="宋体"/>
                <w:sz w:val="24"/>
              </w:rPr>
            </w:pPr>
            <w:r>
              <w:rPr>
                <w:rFonts w:hint="eastAsia" w:ascii="宋体" w:hAnsi="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25" w:type="dxa"/>
            <w:noWrap w:val="0"/>
            <w:vAlign w:val="top"/>
          </w:tcPr>
          <w:p>
            <w:pPr>
              <w:spacing w:line="360" w:lineRule="auto"/>
              <w:rPr>
                <w:rFonts w:ascii="宋体" w:hAnsi="宋体" w:cs="宋体"/>
                <w:sz w:val="24"/>
              </w:rPr>
            </w:pPr>
            <w:r>
              <w:rPr>
                <w:rFonts w:hint="eastAsia" w:ascii="宋体" w:hAnsi="宋体" w:cs="宋体"/>
                <w:sz w:val="24"/>
              </w:rPr>
              <w:t>上虞游泳馆</w:t>
            </w:r>
          </w:p>
        </w:tc>
        <w:tc>
          <w:tcPr>
            <w:tcW w:w="3697" w:type="dxa"/>
            <w:noWrap w:val="0"/>
            <w:vAlign w:val="top"/>
          </w:tcPr>
          <w:p>
            <w:pPr>
              <w:spacing w:line="360" w:lineRule="auto"/>
              <w:rPr>
                <w:rFonts w:ascii="宋体" w:hAnsi="宋体" w:cs="宋体"/>
                <w:sz w:val="24"/>
              </w:rPr>
            </w:pPr>
            <w:r>
              <w:rPr>
                <w:rFonts w:hint="eastAsia" w:ascii="宋体" w:hAnsi="宋体" w:cs="宋体"/>
                <w:sz w:val="24"/>
              </w:rPr>
              <w:t>11</w:t>
            </w:r>
          </w:p>
        </w:tc>
      </w:tr>
    </w:tbl>
    <w:p>
      <w:pPr>
        <w:spacing w:line="360" w:lineRule="auto"/>
        <w:ind w:firstLine="480" w:firstLineChars="200"/>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4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④</w:t>
      </w:r>
      <w:r>
        <w:rPr>
          <w:rFonts w:ascii="宋体" w:hAnsi="宋体" w:cs="宋体"/>
          <w:sz w:val="24"/>
        </w:rPr>
        <w:fldChar w:fldCharType="end"/>
      </w:r>
      <w:r>
        <w:rPr>
          <w:rFonts w:hint="eastAsia" w:ascii="宋体" w:hAnsi="宋体" w:cs="宋体"/>
          <w:sz w:val="24"/>
        </w:rPr>
        <w:t>文保所：</w:t>
      </w:r>
    </w:p>
    <w:p>
      <w:pPr>
        <w:spacing w:line="360" w:lineRule="auto"/>
        <w:ind w:firstLine="480" w:firstLineChars="200"/>
        <w:rPr>
          <w:rFonts w:ascii="宋体" w:hAnsi="宋体" w:cs="宋体"/>
          <w:sz w:val="24"/>
        </w:rPr>
      </w:pPr>
      <w:r>
        <w:rPr>
          <w:rFonts w:hint="eastAsia" w:ascii="宋体" w:hAnsi="宋体" w:cs="宋体"/>
          <w:sz w:val="24"/>
        </w:rPr>
        <w:t>六个文化保护场所一共部署了149个视频监控点位，全部接入。</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5"/>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25" w:type="dxa"/>
            <w:noWrap w:val="0"/>
            <w:vAlign w:val="top"/>
          </w:tcPr>
          <w:p>
            <w:pPr>
              <w:spacing w:line="360" w:lineRule="auto"/>
              <w:rPr>
                <w:rFonts w:ascii="宋体" w:hAnsi="宋体" w:cs="宋体"/>
                <w:sz w:val="24"/>
              </w:rPr>
            </w:pPr>
            <w:r>
              <w:rPr>
                <w:rFonts w:hint="eastAsia" w:ascii="宋体" w:hAnsi="宋体" w:cs="宋体"/>
                <w:sz w:val="24"/>
              </w:rPr>
              <w:t>名称</w:t>
            </w:r>
          </w:p>
        </w:tc>
        <w:tc>
          <w:tcPr>
            <w:tcW w:w="3697" w:type="dxa"/>
            <w:noWrap w:val="0"/>
            <w:vAlign w:val="top"/>
          </w:tcPr>
          <w:p>
            <w:pPr>
              <w:spacing w:line="360" w:lineRule="auto"/>
              <w:rPr>
                <w:rFonts w:ascii="宋体" w:hAnsi="宋体" w:cs="宋体"/>
                <w:sz w:val="24"/>
              </w:rPr>
            </w:pPr>
            <w:r>
              <w:rPr>
                <w:rFonts w:hint="eastAsia" w:ascii="宋体" w:hAnsi="宋体" w:cs="宋体"/>
                <w:sz w:val="24"/>
              </w:rPr>
              <w:t>点位数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825" w:type="dxa"/>
            <w:noWrap w:val="0"/>
            <w:vAlign w:val="center"/>
          </w:tcPr>
          <w:p>
            <w:pPr>
              <w:spacing w:line="360" w:lineRule="auto"/>
              <w:rPr>
                <w:rFonts w:ascii="宋体" w:hAnsi="宋体" w:cs="宋体"/>
                <w:sz w:val="24"/>
              </w:rPr>
            </w:pPr>
            <w:r>
              <w:rPr>
                <w:rFonts w:hint="eastAsia" w:ascii="宋体" w:hAnsi="宋体" w:cs="宋体"/>
                <w:sz w:val="24"/>
              </w:rPr>
              <w:t>曹娥庙</w:t>
            </w:r>
          </w:p>
        </w:tc>
        <w:tc>
          <w:tcPr>
            <w:tcW w:w="3697" w:type="dxa"/>
            <w:noWrap w:val="0"/>
            <w:vAlign w:val="center"/>
          </w:tcPr>
          <w:p>
            <w:pPr>
              <w:spacing w:line="360" w:lineRule="auto"/>
              <w:rPr>
                <w:rFonts w:ascii="宋体" w:hAnsi="宋体" w:cs="宋体"/>
                <w:sz w:val="24"/>
              </w:rPr>
            </w:pPr>
            <w:r>
              <w:rPr>
                <w:rFonts w:hint="eastAsia" w:ascii="宋体" w:hAnsi="宋体" w:cs="宋体"/>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25" w:type="dxa"/>
            <w:noWrap w:val="0"/>
            <w:vAlign w:val="center"/>
          </w:tcPr>
          <w:p>
            <w:pPr>
              <w:spacing w:line="360" w:lineRule="auto"/>
              <w:rPr>
                <w:rFonts w:ascii="宋体" w:hAnsi="宋体" w:cs="宋体"/>
                <w:sz w:val="24"/>
              </w:rPr>
            </w:pPr>
            <w:r>
              <w:rPr>
                <w:rFonts w:hint="eastAsia" w:ascii="宋体" w:hAnsi="宋体" w:cs="宋体"/>
                <w:sz w:val="24"/>
              </w:rPr>
              <w:t>同兴</w:t>
            </w:r>
          </w:p>
        </w:tc>
        <w:tc>
          <w:tcPr>
            <w:tcW w:w="3697" w:type="dxa"/>
            <w:noWrap w:val="0"/>
            <w:vAlign w:val="center"/>
          </w:tcPr>
          <w:p>
            <w:pPr>
              <w:spacing w:line="360" w:lineRule="auto"/>
              <w:rPr>
                <w:rFonts w:ascii="宋体" w:hAnsi="宋体" w:cs="宋体"/>
                <w:sz w:val="24"/>
              </w:rPr>
            </w:pPr>
            <w:r>
              <w:rPr>
                <w:rFonts w:hint="eastAsia" w:ascii="宋体" w:hAnsi="宋体" w:cs="宋体"/>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25" w:type="dxa"/>
            <w:noWrap w:val="0"/>
            <w:vAlign w:val="center"/>
          </w:tcPr>
          <w:p>
            <w:pPr>
              <w:spacing w:line="360" w:lineRule="auto"/>
              <w:rPr>
                <w:rFonts w:ascii="宋体" w:hAnsi="宋体" w:cs="宋体"/>
                <w:sz w:val="24"/>
              </w:rPr>
            </w:pPr>
            <w:r>
              <w:rPr>
                <w:rFonts w:hint="eastAsia" w:ascii="宋体" w:hAnsi="宋体" w:cs="宋体"/>
                <w:sz w:val="24"/>
              </w:rPr>
              <w:t>春晖同兴</w:t>
            </w:r>
          </w:p>
        </w:tc>
        <w:tc>
          <w:tcPr>
            <w:tcW w:w="3697" w:type="dxa"/>
            <w:noWrap w:val="0"/>
            <w:vAlign w:val="center"/>
          </w:tcPr>
          <w:p>
            <w:pPr>
              <w:spacing w:line="360" w:lineRule="auto"/>
              <w:rPr>
                <w:rFonts w:ascii="宋体" w:hAnsi="宋体" w:cs="宋体"/>
                <w:sz w:val="24"/>
              </w:rPr>
            </w:pPr>
            <w:r>
              <w:rPr>
                <w:rFonts w:hint="eastAsia" w:ascii="宋体" w:hAnsi="宋体" w:cs="宋体"/>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25" w:type="dxa"/>
            <w:noWrap w:val="0"/>
            <w:vAlign w:val="center"/>
          </w:tcPr>
          <w:p>
            <w:pPr>
              <w:spacing w:line="360" w:lineRule="auto"/>
              <w:rPr>
                <w:rFonts w:ascii="宋体" w:hAnsi="宋体" w:cs="宋体"/>
                <w:sz w:val="24"/>
              </w:rPr>
            </w:pPr>
            <w:r>
              <w:rPr>
                <w:rFonts w:hint="eastAsia" w:ascii="宋体" w:hAnsi="宋体" w:cs="宋体"/>
                <w:sz w:val="24"/>
              </w:rPr>
              <w:t>谢晋故里（旧)</w:t>
            </w:r>
          </w:p>
        </w:tc>
        <w:tc>
          <w:tcPr>
            <w:tcW w:w="3697" w:type="dxa"/>
            <w:noWrap w:val="0"/>
            <w:vAlign w:val="center"/>
          </w:tcPr>
          <w:p>
            <w:pPr>
              <w:spacing w:line="360" w:lineRule="auto"/>
              <w:rPr>
                <w:rFonts w:ascii="宋体" w:hAnsi="宋体" w:cs="宋体"/>
                <w:sz w:val="24"/>
              </w:rPr>
            </w:pPr>
            <w:r>
              <w:rPr>
                <w:rFonts w:hint="eastAsia" w:ascii="宋体" w:hAnsi="宋体" w:cs="宋体"/>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25" w:type="dxa"/>
            <w:noWrap w:val="0"/>
            <w:vAlign w:val="center"/>
          </w:tcPr>
          <w:p>
            <w:pPr>
              <w:spacing w:line="360" w:lineRule="auto"/>
              <w:rPr>
                <w:rFonts w:ascii="宋体" w:hAnsi="宋体" w:cs="宋体"/>
                <w:sz w:val="24"/>
              </w:rPr>
            </w:pPr>
            <w:r>
              <w:rPr>
                <w:rFonts w:hint="eastAsia" w:ascii="宋体" w:hAnsi="宋体" w:cs="宋体"/>
                <w:sz w:val="24"/>
              </w:rPr>
              <w:t>王充墓</w:t>
            </w:r>
          </w:p>
        </w:tc>
        <w:tc>
          <w:tcPr>
            <w:tcW w:w="3697" w:type="dxa"/>
            <w:noWrap w:val="0"/>
            <w:vAlign w:val="center"/>
          </w:tcPr>
          <w:p>
            <w:pPr>
              <w:spacing w:line="360" w:lineRule="auto"/>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25" w:type="dxa"/>
            <w:noWrap w:val="0"/>
            <w:vAlign w:val="center"/>
          </w:tcPr>
          <w:p>
            <w:pPr>
              <w:spacing w:line="360" w:lineRule="auto"/>
              <w:rPr>
                <w:rFonts w:ascii="宋体" w:hAnsi="宋体" w:cs="宋体"/>
                <w:sz w:val="24"/>
              </w:rPr>
            </w:pPr>
            <w:r>
              <w:rPr>
                <w:rFonts w:hint="eastAsia" w:ascii="宋体" w:hAnsi="宋体" w:cs="宋体"/>
                <w:sz w:val="24"/>
              </w:rPr>
              <w:t>谢晋故里（新)</w:t>
            </w:r>
          </w:p>
        </w:tc>
        <w:tc>
          <w:tcPr>
            <w:tcW w:w="3697" w:type="dxa"/>
            <w:noWrap w:val="0"/>
            <w:vAlign w:val="center"/>
          </w:tcPr>
          <w:p>
            <w:pPr>
              <w:spacing w:line="360" w:lineRule="auto"/>
              <w:rPr>
                <w:rFonts w:ascii="宋体" w:hAnsi="宋体" w:cs="宋体"/>
                <w:sz w:val="24"/>
              </w:rPr>
            </w:pPr>
            <w:r>
              <w:rPr>
                <w:rFonts w:hint="eastAsia" w:ascii="宋体" w:hAnsi="宋体" w:cs="宋体"/>
                <w:sz w:val="24"/>
              </w:rPr>
              <w:t>13</w:t>
            </w:r>
          </w:p>
        </w:tc>
      </w:tr>
    </w:tbl>
    <w:p>
      <w:pPr>
        <w:spacing w:line="360" w:lineRule="auto"/>
        <w:rPr>
          <w:rFonts w:ascii="宋体" w:hAnsi="宋体" w:cs="宋体"/>
          <w:sz w:val="24"/>
        </w:rPr>
      </w:pPr>
    </w:p>
    <w:p>
      <w:pPr>
        <w:spacing w:line="360" w:lineRule="auto"/>
        <w:ind w:firstLine="480" w:firstLineChars="200"/>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5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⑤</w:t>
      </w:r>
      <w:r>
        <w:rPr>
          <w:rFonts w:ascii="宋体" w:hAnsi="宋体" w:cs="宋体"/>
          <w:sz w:val="24"/>
        </w:rPr>
        <w:fldChar w:fldCharType="end"/>
      </w:r>
      <w:r>
        <w:rPr>
          <w:rFonts w:hint="eastAsia" w:ascii="宋体" w:hAnsi="宋体" w:cs="宋体"/>
          <w:sz w:val="24"/>
        </w:rPr>
        <w:t>文化馆：</w:t>
      </w:r>
    </w:p>
    <w:p>
      <w:pPr>
        <w:spacing w:line="360" w:lineRule="auto"/>
        <w:ind w:firstLine="480" w:firstLineChars="200"/>
        <w:rPr>
          <w:rFonts w:ascii="宋体" w:hAnsi="宋体" w:cs="宋体"/>
          <w:sz w:val="24"/>
        </w:rPr>
      </w:pPr>
      <w:r>
        <w:rPr>
          <w:rFonts w:hint="eastAsia" w:ascii="宋体" w:hAnsi="宋体" w:cs="宋体"/>
          <w:sz w:val="24"/>
        </w:rPr>
        <w:t>包括非物质文化遗产展示馆、罗步臻艺术馆、地方文化艺术馆，相关视频全部接入。</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5"/>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25" w:type="dxa"/>
            <w:noWrap w:val="0"/>
            <w:vAlign w:val="top"/>
          </w:tcPr>
          <w:p>
            <w:pPr>
              <w:spacing w:line="360" w:lineRule="auto"/>
              <w:rPr>
                <w:rFonts w:ascii="宋体" w:hAnsi="宋体" w:cs="宋体"/>
                <w:sz w:val="24"/>
              </w:rPr>
            </w:pPr>
            <w:r>
              <w:rPr>
                <w:rFonts w:hint="eastAsia" w:ascii="宋体" w:hAnsi="宋体" w:cs="宋体"/>
                <w:sz w:val="24"/>
              </w:rPr>
              <w:t>场馆名称</w:t>
            </w:r>
          </w:p>
        </w:tc>
        <w:tc>
          <w:tcPr>
            <w:tcW w:w="3697" w:type="dxa"/>
            <w:noWrap w:val="0"/>
            <w:vAlign w:val="top"/>
          </w:tcPr>
          <w:p>
            <w:pPr>
              <w:spacing w:line="360" w:lineRule="auto"/>
              <w:rPr>
                <w:rFonts w:ascii="宋体" w:hAnsi="宋体" w:cs="宋体"/>
                <w:sz w:val="24"/>
              </w:rPr>
            </w:pPr>
            <w:r>
              <w:rPr>
                <w:rFonts w:hint="eastAsia" w:ascii="宋体" w:hAnsi="宋体" w:cs="宋体"/>
                <w:sz w:val="24"/>
              </w:rPr>
              <w:t>点位数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25" w:type="dxa"/>
            <w:noWrap w:val="0"/>
            <w:vAlign w:val="center"/>
          </w:tcPr>
          <w:p>
            <w:pPr>
              <w:spacing w:line="360" w:lineRule="auto"/>
              <w:rPr>
                <w:rFonts w:ascii="宋体" w:hAnsi="宋体" w:cs="宋体"/>
                <w:sz w:val="24"/>
              </w:rPr>
            </w:pPr>
            <w:r>
              <w:rPr>
                <w:rFonts w:hint="eastAsia" w:ascii="宋体" w:hAnsi="宋体" w:cs="宋体"/>
                <w:sz w:val="24"/>
              </w:rPr>
              <w:t>非物质文化遗产展示馆</w:t>
            </w:r>
          </w:p>
        </w:tc>
        <w:tc>
          <w:tcPr>
            <w:tcW w:w="3697" w:type="dxa"/>
            <w:noWrap w:val="0"/>
            <w:vAlign w:val="center"/>
          </w:tcPr>
          <w:p>
            <w:pPr>
              <w:spacing w:line="360" w:lineRule="auto"/>
              <w:rPr>
                <w:rFonts w:ascii="宋体" w:hAnsi="宋体" w:cs="宋体"/>
                <w:sz w:val="24"/>
              </w:rPr>
            </w:pPr>
            <w:r>
              <w:rPr>
                <w:rFonts w:hint="eastAsia" w:ascii="宋体" w:hAnsi="宋体" w:cs="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25" w:type="dxa"/>
            <w:noWrap w:val="0"/>
            <w:vAlign w:val="center"/>
          </w:tcPr>
          <w:p>
            <w:pPr>
              <w:spacing w:line="360" w:lineRule="auto"/>
              <w:rPr>
                <w:rFonts w:ascii="宋体" w:hAnsi="宋体" w:cs="宋体"/>
                <w:sz w:val="24"/>
              </w:rPr>
            </w:pPr>
            <w:r>
              <w:rPr>
                <w:rFonts w:hint="eastAsia" w:ascii="宋体" w:hAnsi="宋体" w:cs="宋体"/>
                <w:sz w:val="24"/>
              </w:rPr>
              <w:t>罗步瑧艺术馆</w:t>
            </w:r>
          </w:p>
        </w:tc>
        <w:tc>
          <w:tcPr>
            <w:tcW w:w="3697" w:type="dxa"/>
            <w:noWrap w:val="0"/>
            <w:vAlign w:val="center"/>
          </w:tcPr>
          <w:p>
            <w:pPr>
              <w:spacing w:line="360" w:lineRule="auto"/>
              <w:rPr>
                <w:rFonts w:ascii="宋体" w:hAnsi="宋体" w:cs="宋体"/>
                <w:sz w:val="24"/>
              </w:rPr>
            </w:pPr>
            <w:r>
              <w:rPr>
                <w:rFonts w:hint="eastAsia" w:ascii="宋体" w:hAnsi="宋体" w:cs="宋体"/>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25" w:type="dxa"/>
            <w:noWrap w:val="0"/>
            <w:vAlign w:val="center"/>
          </w:tcPr>
          <w:p>
            <w:pPr>
              <w:spacing w:line="360" w:lineRule="auto"/>
              <w:rPr>
                <w:rFonts w:ascii="宋体" w:hAnsi="宋体" w:cs="宋体"/>
                <w:sz w:val="24"/>
              </w:rPr>
            </w:pPr>
            <w:r>
              <w:rPr>
                <w:rFonts w:hint="eastAsia" w:ascii="宋体" w:hAnsi="宋体" w:cs="宋体"/>
                <w:sz w:val="24"/>
              </w:rPr>
              <w:t>地方文化艺术馆</w:t>
            </w:r>
          </w:p>
        </w:tc>
        <w:tc>
          <w:tcPr>
            <w:tcW w:w="3697" w:type="dxa"/>
            <w:noWrap w:val="0"/>
            <w:vAlign w:val="center"/>
          </w:tcPr>
          <w:p>
            <w:pPr>
              <w:spacing w:line="360" w:lineRule="auto"/>
              <w:rPr>
                <w:rFonts w:ascii="宋体" w:hAnsi="宋体" w:cs="宋体"/>
                <w:sz w:val="24"/>
              </w:rPr>
            </w:pPr>
            <w:r>
              <w:rPr>
                <w:rFonts w:hint="eastAsia" w:ascii="宋体" w:hAnsi="宋体" w:cs="宋体"/>
                <w:sz w:val="24"/>
              </w:rPr>
              <w:t>35</w:t>
            </w:r>
          </w:p>
        </w:tc>
      </w:tr>
    </w:tbl>
    <w:p>
      <w:pPr>
        <w:spacing w:line="360" w:lineRule="auto"/>
        <w:ind w:firstLine="480" w:firstLineChars="200"/>
        <w:rPr>
          <w:rFonts w:ascii="宋体" w:hAnsi="宋体" w:cs="宋体"/>
          <w:sz w:val="24"/>
        </w:rPr>
      </w:pPr>
      <w:r>
        <w:rPr>
          <w:rFonts w:hint="eastAsia" w:ascii="宋体" w:hAnsi="宋体" w:cs="宋体"/>
          <w:sz w:val="24"/>
        </w:rPr>
        <w:t>（2）视频接入模式</w:t>
      </w:r>
    </w:p>
    <w:p>
      <w:pPr>
        <w:spacing w:line="360" w:lineRule="auto"/>
        <w:ind w:firstLine="480" w:firstLineChars="200"/>
        <w:rPr>
          <w:rFonts w:ascii="宋体" w:hAnsi="宋体" w:cs="宋体"/>
          <w:sz w:val="24"/>
        </w:rPr>
      </w:pPr>
      <w:r>
        <w:rPr>
          <w:rFonts w:hint="eastAsia" w:ascii="宋体" w:hAnsi="宋体" w:cs="宋体"/>
          <w:sz w:val="24"/>
        </w:rPr>
        <w:t>视频接入采用两种模式，一种是平台对接模式，一种直接接入模式。</w:t>
      </w:r>
    </w:p>
    <w:p>
      <w:pPr>
        <w:spacing w:line="360" w:lineRule="auto"/>
        <w:ind w:firstLine="240" w:firstLineChars="100"/>
        <w:rPr>
          <w:rFonts w:ascii="宋体" w:hAnsi="宋体" w:cs="宋体"/>
          <w:sz w:val="24"/>
          <w:lang w:val="zh-CN"/>
        </w:rPr>
      </w:pPr>
      <w:bookmarkStart w:id="169" w:name="_Toc531002736"/>
      <w:bookmarkStart w:id="170" w:name="_Toc27297"/>
      <w:bookmarkStart w:id="171" w:name="_Toc40971274"/>
      <w:r>
        <w:rPr>
          <w:rFonts w:hint="eastAsia" w:ascii="宋体" w:hAnsi="宋体" w:cs="宋体"/>
          <w:sz w:val="24"/>
        </w:rPr>
        <w:t>3.2</w:t>
      </w:r>
      <w:r>
        <w:rPr>
          <w:rFonts w:hint="eastAsia" w:ascii="宋体" w:hAnsi="宋体" w:cs="宋体"/>
          <w:sz w:val="24"/>
          <w:lang w:val="zh-CN"/>
        </w:rPr>
        <w:t>统一配置管理</w:t>
      </w:r>
      <w:bookmarkEnd w:id="169"/>
      <w:bookmarkEnd w:id="170"/>
      <w:r>
        <w:rPr>
          <w:rFonts w:hint="eastAsia" w:ascii="宋体" w:hAnsi="宋体" w:cs="宋体"/>
          <w:sz w:val="24"/>
        </w:rPr>
        <w:t>系统</w:t>
      </w:r>
      <w:bookmarkEnd w:id="171"/>
    </w:p>
    <w:p>
      <w:pPr>
        <w:numPr>
          <w:ilvl w:val="0"/>
          <w:numId w:val="12"/>
        </w:numPr>
        <w:spacing w:line="360" w:lineRule="auto"/>
        <w:rPr>
          <w:rFonts w:ascii="宋体" w:hAnsi="宋体" w:cs="宋体"/>
          <w:sz w:val="24"/>
          <w:lang w:val="zh-CN"/>
        </w:rPr>
      </w:pPr>
      <w:bookmarkStart w:id="172" w:name="_Toc29915"/>
      <w:bookmarkStart w:id="173" w:name="_Toc531002737"/>
      <w:r>
        <w:rPr>
          <w:rFonts w:hint="eastAsia" w:ascii="宋体" w:hAnsi="宋体" w:cs="宋体"/>
          <w:sz w:val="24"/>
          <w:lang w:val="zh-CN"/>
        </w:rPr>
        <w:t>统一用户管理</w:t>
      </w:r>
      <w:bookmarkEnd w:id="172"/>
      <w:bookmarkEnd w:id="173"/>
    </w:p>
    <w:p>
      <w:pPr>
        <w:spacing w:line="360" w:lineRule="auto"/>
        <w:ind w:firstLine="480" w:firstLineChars="200"/>
        <w:rPr>
          <w:rFonts w:ascii="宋体" w:hAnsi="宋体" w:cs="宋体"/>
          <w:sz w:val="24"/>
        </w:rPr>
      </w:pPr>
      <w:r>
        <w:rPr>
          <w:rFonts w:hint="eastAsia" w:ascii="宋体" w:hAnsi="宋体" w:cs="宋体"/>
          <w:sz w:val="24"/>
        </w:rPr>
        <w:t>（1）用户管理</w:t>
      </w:r>
    </w:p>
    <w:p>
      <w:pPr>
        <w:spacing w:line="360" w:lineRule="auto"/>
        <w:ind w:firstLine="480" w:firstLineChars="200"/>
        <w:rPr>
          <w:rFonts w:ascii="宋体" w:hAnsi="宋体" w:cs="宋体"/>
          <w:sz w:val="24"/>
        </w:rPr>
      </w:pPr>
      <w:r>
        <w:rPr>
          <w:rFonts w:hint="eastAsia" w:ascii="宋体" w:hAnsi="宋体" w:cs="宋体"/>
          <w:sz w:val="24"/>
        </w:rPr>
        <w:t>（2）部门管理</w:t>
      </w:r>
    </w:p>
    <w:p>
      <w:pPr>
        <w:spacing w:line="360" w:lineRule="auto"/>
        <w:ind w:firstLine="480" w:firstLineChars="200"/>
        <w:rPr>
          <w:rFonts w:ascii="宋体" w:hAnsi="宋体" w:cs="宋体"/>
          <w:sz w:val="24"/>
        </w:rPr>
      </w:pPr>
      <w:r>
        <w:rPr>
          <w:rFonts w:hint="eastAsia" w:ascii="宋体" w:hAnsi="宋体" w:cs="宋体"/>
          <w:sz w:val="24"/>
        </w:rPr>
        <w:t>（3）身份认证</w:t>
      </w:r>
    </w:p>
    <w:p>
      <w:pPr>
        <w:spacing w:line="360" w:lineRule="auto"/>
        <w:ind w:firstLine="480" w:firstLineChars="200"/>
        <w:rPr>
          <w:rFonts w:ascii="宋体" w:hAnsi="宋体" w:cs="宋体"/>
          <w:sz w:val="24"/>
        </w:rPr>
      </w:pPr>
      <w:r>
        <w:rPr>
          <w:rFonts w:hint="eastAsia" w:ascii="宋体" w:hAnsi="宋体" w:cs="宋体"/>
          <w:sz w:val="24"/>
        </w:rPr>
        <w:t>（4）权限管理</w:t>
      </w:r>
    </w:p>
    <w:p>
      <w:pPr>
        <w:numPr>
          <w:ilvl w:val="0"/>
          <w:numId w:val="12"/>
        </w:numPr>
        <w:spacing w:line="360" w:lineRule="auto"/>
        <w:rPr>
          <w:rFonts w:ascii="宋体" w:hAnsi="宋体" w:cs="宋体"/>
          <w:sz w:val="24"/>
          <w:lang w:val="zh-CN"/>
        </w:rPr>
      </w:pPr>
      <w:bookmarkStart w:id="174" w:name="_Toc7949"/>
      <w:bookmarkStart w:id="175" w:name="_Toc531002738"/>
      <w:r>
        <w:rPr>
          <w:rFonts w:hint="eastAsia" w:ascii="宋体" w:hAnsi="宋体" w:cs="宋体"/>
          <w:sz w:val="24"/>
          <w:lang w:val="zh-CN"/>
        </w:rPr>
        <w:t>统一信息发布管理</w:t>
      </w:r>
      <w:bookmarkEnd w:id="174"/>
      <w:bookmarkEnd w:id="175"/>
    </w:p>
    <w:p>
      <w:pPr>
        <w:spacing w:line="360" w:lineRule="auto"/>
        <w:ind w:firstLine="480" w:firstLineChars="200"/>
        <w:rPr>
          <w:rFonts w:ascii="宋体" w:hAnsi="宋体" w:cs="宋体"/>
          <w:sz w:val="24"/>
        </w:rPr>
      </w:pPr>
      <w:r>
        <w:rPr>
          <w:rFonts w:hint="eastAsia" w:ascii="宋体" w:hAnsi="宋体" w:cs="宋体"/>
          <w:sz w:val="24"/>
        </w:rPr>
        <w:t>发布新闻资讯、电影排片、场馆介绍、文物介绍等内容。所有内容可在PC端和微信端登录进行编辑发布，发布以后双端同步显示。编辑内容时支持从内容资源库中调用视频、音频、图片等资源。</w:t>
      </w:r>
    </w:p>
    <w:p>
      <w:pPr>
        <w:pStyle w:val="2"/>
        <w:ind w:firstLine="480"/>
        <w:rPr>
          <w:rFonts w:hint="eastAsia" w:ascii="宋体" w:hAnsi="宋体" w:cs="宋体"/>
          <w:sz w:val="24"/>
        </w:rPr>
      </w:pPr>
      <w:r>
        <w:rPr>
          <w:rFonts w:ascii="宋体" w:hAnsi="宋体" w:cs="宋体"/>
          <w:sz w:val="24"/>
        </w:rPr>
        <w:t>需详细方案说明各场馆发布功能及内容设计方案</w:t>
      </w:r>
      <w:r>
        <w:rPr>
          <w:rFonts w:hint="eastAsia" w:ascii="宋体" w:hAnsi="宋体" w:cs="宋体"/>
          <w:sz w:val="24"/>
        </w:rPr>
        <w:t>。</w:t>
      </w:r>
    </w:p>
    <w:p>
      <w:pPr>
        <w:numPr>
          <w:ilvl w:val="0"/>
          <w:numId w:val="12"/>
        </w:numPr>
        <w:spacing w:line="360" w:lineRule="auto"/>
        <w:rPr>
          <w:rFonts w:ascii="宋体" w:hAnsi="宋体" w:cs="宋体"/>
          <w:sz w:val="24"/>
        </w:rPr>
      </w:pPr>
      <w:r>
        <w:rPr>
          <w:rFonts w:hint="eastAsia" w:ascii="宋体" w:hAnsi="宋体" w:cs="宋体"/>
          <w:sz w:val="24"/>
        </w:rPr>
        <w:t>统一积分管理</w:t>
      </w:r>
    </w:p>
    <w:p>
      <w:pPr>
        <w:spacing w:line="360" w:lineRule="auto"/>
        <w:ind w:firstLine="480" w:firstLineChars="200"/>
        <w:rPr>
          <w:rFonts w:ascii="宋体" w:hAnsi="宋体" w:cs="宋体"/>
          <w:sz w:val="24"/>
        </w:rPr>
      </w:pPr>
      <w:r>
        <w:rPr>
          <w:rFonts w:hint="eastAsia" w:ascii="宋体" w:hAnsi="宋体" w:cs="宋体"/>
          <w:sz w:val="24"/>
        </w:rPr>
        <w:t xml:space="preserve">对下属各文化机构的信息发布情况进行统计分析，需详细方案说明信息发布积分机制， </w:t>
      </w:r>
    </w:p>
    <w:p>
      <w:pPr>
        <w:numPr>
          <w:ilvl w:val="0"/>
          <w:numId w:val="12"/>
        </w:numPr>
        <w:spacing w:line="360" w:lineRule="auto"/>
        <w:rPr>
          <w:rFonts w:ascii="宋体" w:hAnsi="宋体" w:cs="宋体"/>
          <w:sz w:val="24"/>
          <w:lang w:val="zh-CN"/>
        </w:rPr>
      </w:pPr>
      <w:bookmarkStart w:id="176" w:name="_Toc531002739"/>
      <w:bookmarkStart w:id="177" w:name="_Toc31941"/>
      <w:r>
        <w:rPr>
          <w:rFonts w:hint="eastAsia" w:ascii="宋体" w:hAnsi="宋体" w:cs="宋体"/>
          <w:sz w:val="24"/>
          <w:lang w:val="zh-CN"/>
        </w:rPr>
        <w:t>内容统一管理</w:t>
      </w:r>
      <w:bookmarkEnd w:id="176"/>
      <w:bookmarkEnd w:id="177"/>
    </w:p>
    <w:p>
      <w:pPr>
        <w:spacing w:line="360" w:lineRule="auto"/>
        <w:ind w:firstLine="480" w:firstLineChars="200"/>
        <w:rPr>
          <w:rFonts w:ascii="宋体" w:hAnsi="宋体" w:cs="宋体"/>
          <w:sz w:val="24"/>
        </w:rPr>
      </w:pPr>
      <w:r>
        <w:rPr>
          <w:rFonts w:hint="eastAsia" w:ascii="宋体" w:hAnsi="宋体" w:cs="宋体"/>
          <w:sz w:val="24"/>
        </w:rPr>
        <w:t>需求功能内容包括但不限于：</w:t>
      </w:r>
    </w:p>
    <w:p>
      <w:pPr>
        <w:numPr>
          <w:ilvl w:val="0"/>
          <w:numId w:val="0"/>
        </w:numPr>
        <w:spacing w:line="360" w:lineRule="auto"/>
        <w:ind w:left="480" w:leftChars="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内容发布审核</w:t>
      </w:r>
    </w:p>
    <w:p>
      <w:pPr>
        <w:numPr>
          <w:ilvl w:val="0"/>
          <w:numId w:val="0"/>
        </w:numPr>
        <w:spacing w:line="360" w:lineRule="auto"/>
        <w:ind w:left="480" w:leftChars="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内容更新</w:t>
      </w:r>
    </w:p>
    <w:p>
      <w:pPr>
        <w:numPr>
          <w:ilvl w:val="0"/>
          <w:numId w:val="0"/>
        </w:numPr>
        <w:spacing w:line="360" w:lineRule="auto"/>
        <w:ind w:left="480" w:leftChars="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日志管理</w:t>
      </w:r>
    </w:p>
    <w:p>
      <w:pPr>
        <w:numPr>
          <w:ilvl w:val="0"/>
          <w:numId w:val="0"/>
        </w:numPr>
        <w:spacing w:line="360" w:lineRule="auto"/>
        <w:ind w:left="480" w:leftChars="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内容查询</w:t>
      </w:r>
    </w:p>
    <w:p>
      <w:pPr>
        <w:spacing w:line="360" w:lineRule="auto"/>
        <w:ind w:firstLine="240" w:firstLineChars="100"/>
        <w:rPr>
          <w:rFonts w:ascii="宋体" w:hAnsi="宋体" w:cs="宋体"/>
          <w:sz w:val="24"/>
          <w:lang w:val="zh-CN"/>
        </w:rPr>
      </w:pPr>
      <w:bookmarkStart w:id="178" w:name="_Toc27110"/>
      <w:bookmarkStart w:id="179" w:name="_Toc531002740"/>
      <w:bookmarkStart w:id="180" w:name="_Toc40971275"/>
      <w:r>
        <w:rPr>
          <w:rFonts w:hint="eastAsia" w:ascii="宋体" w:hAnsi="宋体" w:cs="宋体"/>
          <w:sz w:val="24"/>
          <w:lang w:val="zh-CN"/>
        </w:rPr>
        <w:t>3.3统计分析系统</w:t>
      </w:r>
      <w:bookmarkEnd w:id="178"/>
      <w:bookmarkEnd w:id="179"/>
      <w:bookmarkEnd w:id="180"/>
    </w:p>
    <w:p>
      <w:pPr>
        <w:spacing w:line="360" w:lineRule="auto"/>
        <w:ind w:firstLine="480" w:firstLineChars="200"/>
        <w:rPr>
          <w:rFonts w:ascii="宋体" w:hAnsi="宋体" w:cs="宋体"/>
          <w:sz w:val="24"/>
        </w:rPr>
      </w:pPr>
      <w:r>
        <w:rPr>
          <w:rFonts w:hint="eastAsia" w:ascii="宋体" w:hAnsi="宋体" w:cs="宋体"/>
          <w:sz w:val="24"/>
        </w:rPr>
        <w:t>需求功能内容包括但不限于：</w:t>
      </w:r>
    </w:p>
    <w:p>
      <w:pPr>
        <w:spacing w:line="360" w:lineRule="auto"/>
        <w:ind w:firstLine="480" w:firstLineChars="200"/>
        <w:rPr>
          <w:rFonts w:ascii="宋体" w:hAnsi="宋体" w:cs="宋体"/>
          <w:sz w:val="24"/>
        </w:rPr>
      </w:pPr>
      <w:bookmarkStart w:id="181" w:name="_Toc32280"/>
      <w:bookmarkStart w:id="182" w:name="_Toc531002741"/>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场馆人流量统计分析</w:t>
      </w:r>
      <w:bookmarkEnd w:id="181"/>
      <w:bookmarkEnd w:id="182"/>
    </w:p>
    <w:p>
      <w:pPr>
        <w:spacing w:line="360" w:lineRule="auto"/>
        <w:ind w:firstLine="240" w:firstLineChars="100"/>
        <w:rPr>
          <w:rFonts w:ascii="宋体" w:hAnsi="宋体" w:cs="宋体"/>
          <w:sz w:val="24"/>
        </w:rPr>
      </w:pPr>
      <w:bookmarkStart w:id="183" w:name="_Toc9074"/>
      <w:bookmarkStart w:id="184" w:name="_Toc531002742"/>
      <w:r>
        <w:rPr>
          <w:rFonts w:hint="eastAsia" w:ascii="宋体" w:hAnsi="宋体" w:cs="宋体"/>
          <w:sz w:val="24"/>
          <w:lang w:val="en-US" w:eastAsia="zh-CN"/>
        </w:rPr>
        <w:t xml:space="preserve">  （2）</w:t>
      </w:r>
      <w:r>
        <w:rPr>
          <w:rFonts w:hint="eastAsia" w:ascii="宋体" w:hAnsi="宋体" w:cs="宋体"/>
          <w:sz w:val="24"/>
        </w:rPr>
        <w:t>微信及网站访问量分析</w:t>
      </w:r>
      <w:bookmarkEnd w:id="183"/>
      <w:bookmarkEnd w:id="184"/>
    </w:p>
    <w:p>
      <w:pPr>
        <w:spacing w:line="360" w:lineRule="auto"/>
        <w:ind w:firstLine="240" w:firstLineChars="100"/>
        <w:rPr>
          <w:rFonts w:ascii="宋体" w:hAnsi="宋体" w:cs="宋体"/>
          <w:sz w:val="24"/>
        </w:rPr>
      </w:pPr>
      <w:bookmarkStart w:id="185" w:name="_Toc28548"/>
      <w:bookmarkStart w:id="186" w:name="_Toc531002743"/>
      <w:r>
        <w:rPr>
          <w:rFonts w:hint="eastAsia" w:ascii="宋体" w:hAnsi="宋体" w:cs="宋体"/>
          <w:sz w:val="24"/>
          <w:lang w:val="en-US" w:eastAsia="zh-CN"/>
        </w:rPr>
        <w:t xml:space="preserve">  （3）</w:t>
      </w:r>
      <w:r>
        <w:rPr>
          <w:rFonts w:hint="eastAsia" w:ascii="宋体" w:hAnsi="宋体" w:cs="宋体"/>
          <w:sz w:val="24"/>
        </w:rPr>
        <w:t>预约量统计分析</w:t>
      </w:r>
      <w:bookmarkEnd w:id="185"/>
      <w:bookmarkEnd w:id="186"/>
    </w:p>
    <w:p>
      <w:pPr>
        <w:spacing w:line="360" w:lineRule="auto"/>
        <w:ind w:firstLine="480" w:firstLineChars="200"/>
        <w:rPr>
          <w:rFonts w:ascii="宋体" w:hAnsi="宋体" w:cs="宋体"/>
          <w:sz w:val="24"/>
        </w:rPr>
      </w:pPr>
      <w:bookmarkStart w:id="187" w:name="_Toc531002744"/>
      <w:bookmarkStart w:id="188" w:name="_Toc28955"/>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满意度评价统计分析</w:t>
      </w:r>
      <w:bookmarkEnd w:id="187"/>
      <w:bookmarkEnd w:id="188"/>
    </w:p>
    <w:p>
      <w:pPr>
        <w:spacing w:line="360" w:lineRule="auto"/>
        <w:ind w:firstLine="240" w:firstLineChars="100"/>
        <w:rPr>
          <w:rFonts w:ascii="宋体" w:hAnsi="宋体" w:cs="宋体"/>
          <w:sz w:val="24"/>
          <w:lang w:val="zh-CN"/>
        </w:rPr>
      </w:pPr>
      <w:bookmarkStart w:id="189" w:name="_Toc40971276"/>
      <w:bookmarkStart w:id="190" w:name="_Toc11359"/>
      <w:bookmarkStart w:id="191" w:name="_Toc531002745"/>
      <w:r>
        <w:rPr>
          <w:rFonts w:hint="eastAsia" w:ascii="宋体" w:hAnsi="宋体" w:cs="宋体"/>
          <w:sz w:val="24"/>
          <w:lang w:val="zh-CN"/>
        </w:rPr>
        <w:t>3.4大数据资源中心</w:t>
      </w:r>
      <w:bookmarkEnd w:id="189"/>
      <w:bookmarkEnd w:id="190"/>
      <w:bookmarkEnd w:id="191"/>
    </w:p>
    <w:p>
      <w:pPr>
        <w:spacing w:line="360" w:lineRule="auto"/>
        <w:ind w:firstLine="480" w:firstLineChars="200"/>
        <w:rPr>
          <w:rFonts w:ascii="宋体" w:hAnsi="宋体" w:cs="宋体"/>
          <w:sz w:val="24"/>
        </w:rPr>
      </w:pPr>
      <w:r>
        <w:rPr>
          <w:rFonts w:hint="eastAsia" w:ascii="宋体" w:hAnsi="宋体" w:cs="宋体"/>
          <w:sz w:val="24"/>
        </w:rPr>
        <w:t>需求</w:t>
      </w:r>
      <w:r>
        <w:rPr>
          <w:rFonts w:ascii="宋体" w:hAnsi="宋体" w:cs="宋体"/>
          <w:sz w:val="24"/>
        </w:rPr>
        <w:t>功能内容包括但不限于</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ascii="宋体" w:hAnsi="宋体" w:cs="宋体"/>
          <w:sz w:val="24"/>
        </w:rPr>
        <w:t>数据采集</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数据管理；</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ascii="宋体" w:hAnsi="宋体" w:cs="宋体"/>
          <w:sz w:val="24"/>
        </w:rPr>
        <w:t>数据设计</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数据安全；</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数据审计。</w:t>
      </w:r>
    </w:p>
    <w:p>
      <w:pPr>
        <w:spacing w:line="360" w:lineRule="auto"/>
        <w:ind w:firstLine="241" w:firstLineChars="100"/>
        <w:rPr>
          <w:rFonts w:ascii="宋体" w:hAnsi="宋体" w:cs="宋体"/>
          <w:b/>
          <w:sz w:val="24"/>
          <w:lang w:val="zh-CN"/>
        </w:rPr>
      </w:pPr>
      <w:bookmarkStart w:id="192" w:name="_Toc531002749"/>
      <w:bookmarkStart w:id="193" w:name="_Toc7610"/>
      <w:bookmarkStart w:id="194" w:name="_Toc40971277"/>
      <w:r>
        <w:rPr>
          <w:rFonts w:hint="eastAsia" w:ascii="宋体" w:hAnsi="宋体" w:cs="宋体"/>
          <w:b/>
          <w:sz w:val="24"/>
          <w:lang w:val="zh-CN"/>
        </w:rPr>
        <w:t>4基础设施</w:t>
      </w:r>
      <w:bookmarkEnd w:id="192"/>
      <w:bookmarkEnd w:id="193"/>
      <w:bookmarkEnd w:id="194"/>
    </w:p>
    <w:p>
      <w:pPr>
        <w:numPr>
          <w:ilvl w:val="0"/>
          <w:numId w:val="12"/>
        </w:numPr>
        <w:spacing w:line="360" w:lineRule="auto"/>
        <w:rPr>
          <w:rFonts w:ascii="宋体" w:hAnsi="宋体" w:cs="宋体"/>
          <w:sz w:val="24"/>
        </w:rPr>
      </w:pPr>
      <w:bookmarkStart w:id="195" w:name="_Toc40971278"/>
      <w:r>
        <w:rPr>
          <w:rFonts w:hint="eastAsia" w:ascii="宋体" w:hAnsi="宋体" w:cs="宋体"/>
          <w:sz w:val="24"/>
        </w:rPr>
        <w:t>政务云资源</w:t>
      </w:r>
      <w:bookmarkEnd w:id="195"/>
    </w:p>
    <w:p>
      <w:pPr>
        <w:spacing w:line="360" w:lineRule="auto"/>
        <w:rPr>
          <w:rFonts w:ascii="宋体" w:hAnsi="宋体" w:cs="宋体"/>
          <w:sz w:val="24"/>
        </w:rPr>
      </w:pPr>
      <w:bookmarkStart w:id="196" w:name="_Toc31190"/>
      <w:bookmarkStart w:id="197" w:name="_Toc40971279"/>
      <w:bookmarkStart w:id="198" w:name="_Toc531002751"/>
      <w:r>
        <w:rPr>
          <w:rFonts w:ascii="宋体" w:hAnsi="宋体" w:cs="宋体"/>
          <w:sz w:val="24"/>
        </w:rPr>
        <w:t>请说明政务云资源配置情况及性能</w:t>
      </w:r>
      <w:r>
        <w:rPr>
          <w:rFonts w:hint="eastAsia" w:ascii="宋体" w:hAnsi="宋体" w:cs="宋体"/>
          <w:sz w:val="24"/>
        </w:rPr>
        <w:t>，</w:t>
      </w:r>
      <w:bookmarkEnd w:id="196"/>
      <w:bookmarkEnd w:id="197"/>
      <w:bookmarkEnd w:id="198"/>
      <w:r>
        <w:rPr>
          <w:rFonts w:hint="eastAsia" w:ascii="宋体" w:hAnsi="宋体" w:cs="宋体"/>
          <w:sz w:val="24"/>
        </w:rPr>
        <w:t>总体要求如下：</w:t>
      </w:r>
    </w:p>
    <w:p>
      <w:pPr>
        <w:spacing w:line="360" w:lineRule="auto"/>
        <w:ind w:firstLine="480" w:firstLineChars="200"/>
        <w:rPr>
          <w:rFonts w:ascii="宋体" w:hAnsi="宋体" w:cs="宋体"/>
          <w:sz w:val="24"/>
        </w:rPr>
      </w:pPr>
      <w:r>
        <w:rPr>
          <w:rFonts w:hint="eastAsia" w:ascii="宋体" w:hAnsi="宋体" w:cs="宋体"/>
          <w:sz w:val="24"/>
        </w:rPr>
        <w:t>（1）存储高可用要求</w:t>
      </w:r>
    </w:p>
    <w:p>
      <w:pPr>
        <w:spacing w:line="360" w:lineRule="auto"/>
        <w:ind w:firstLine="480" w:firstLineChars="200"/>
        <w:rPr>
          <w:rFonts w:ascii="宋体" w:hAnsi="宋体" w:cs="宋体"/>
          <w:sz w:val="24"/>
        </w:rPr>
      </w:pPr>
      <w:r>
        <w:rPr>
          <w:rFonts w:hint="eastAsia" w:ascii="宋体" w:hAnsi="宋体" w:cs="宋体"/>
          <w:sz w:val="24"/>
        </w:rPr>
        <w:t>系统要求具有冗余设计。</w:t>
      </w:r>
    </w:p>
    <w:p>
      <w:pPr>
        <w:spacing w:line="360" w:lineRule="auto"/>
        <w:ind w:firstLine="480" w:firstLineChars="200"/>
        <w:rPr>
          <w:rFonts w:ascii="宋体" w:hAnsi="宋体" w:cs="宋体"/>
          <w:sz w:val="24"/>
        </w:rPr>
      </w:pPr>
      <w:r>
        <w:rPr>
          <w:rFonts w:hint="eastAsia" w:ascii="宋体" w:hAnsi="宋体" w:cs="宋体"/>
          <w:sz w:val="24"/>
        </w:rPr>
        <w:t>（2）可按需的弹性扩展要求</w:t>
      </w:r>
    </w:p>
    <w:p>
      <w:pPr>
        <w:spacing w:line="360" w:lineRule="auto"/>
        <w:ind w:firstLine="480" w:firstLineChars="200"/>
        <w:rPr>
          <w:rFonts w:ascii="宋体" w:hAnsi="宋体" w:cs="宋体"/>
          <w:sz w:val="24"/>
        </w:rPr>
      </w:pPr>
      <w:r>
        <w:rPr>
          <w:rFonts w:hint="eastAsia" w:ascii="宋体" w:hAnsi="宋体" w:cs="宋体"/>
          <w:sz w:val="24"/>
        </w:rPr>
        <w:t>存储系统要求可以实现在线扩容，支撑当前及未来存储空间的需求。</w:t>
      </w:r>
    </w:p>
    <w:p>
      <w:pPr>
        <w:spacing w:line="360" w:lineRule="auto"/>
        <w:ind w:firstLine="480" w:firstLineChars="200"/>
        <w:rPr>
          <w:rFonts w:ascii="宋体" w:hAnsi="宋体" w:cs="宋体"/>
          <w:sz w:val="24"/>
        </w:rPr>
      </w:pPr>
      <w:r>
        <w:rPr>
          <w:rFonts w:hint="eastAsia" w:ascii="宋体" w:hAnsi="宋体" w:cs="宋体"/>
          <w:sz w:val="24"/>
        </w:rPr>
        <w:t>（3）保护性要求</w:t>
      </w:r>
    </w:p>
    <w:p>
      <w:pPr>
        <w:spacing w:line="360" w:lineRule="auto"/>
        <w:ind w:firstLine="480" w:firstLineChars="200"/>
        <w:rPr>
          <w:rFonts w:ascii="宋体" w:hAnsi="宋体" w:cs="宋体"/>
          <w:sz w:val="24"/>
        </w:rPr>
      </w:pPr>
      <w:r>
        <w:rPr>
          <w:rFonts w:hint="eastAsia" w:ascii="宋体" w:hAnsi="宋体" w:cs="宋体"/>
          <w:sz w:val="24"/>
        </w:rPr>
        <w:t>全面保护系统的数据，在灾难发生时能快速可靠地进行数据恢复。</w:t>
      </w:r>
    </w:p>
    <w:p>
      <w:pPr>
        <w:spacing w:line="360" w:lineRule="auto"/>
        <w:ind w:firstLine="480" w:firstLineChars="200"/>
        <w:rPr>
          <w:rFonts w:ascii="宋体" w:hAnsi="宋体" w:cs="宋体"/>
          <w:sz w:val="24"/>
        </w:rPr>
      </w:pPr>
      <w:r>
        <w:rPr>
          <w:rFonts w:hint="eastAsia" w:ascii="宋体" w:hAnsi="宋体" w:cs="宋体"/>
          <w:sz w:val="24"/>
        </w:rPr>
        <w:t>（4）可管理性要求</w:t>
      </w:r>
    </w:p>
    <w:p>
      <w:pPr>
        <w:spacing w:line="360" w:lineRule="auto"/>
        <w:ind w:firstLine="480" w:firstLineChars="200"/>
        <w:rPr>
          <w:rFonts w:ascii="宋体" w:hAnsi="宋体" w:cs="宋体"/>
          <w:sz w:val="24"/>
        </w:rPr>
      </w:pPr>
      <w:r>
        <w:rPr>
          <w:rFonts w:hint="eastAsia" w:ascii="宋体" w:hAnsi="宋体" w:cs="宋体"/>
          <w:sz w:val="24"/>
        </w:rPr>
        <w:t>重要数据或存储于服务器硬盘中的操作系统配置文件定期备份至备份库中。</w:t>
      </w:r>
    </w:p>
    <w:p>
      <w:pPr>
        <w:numPr>
          <w:ilvl w:val="0"/>
          <w:numId w:val="12"/>
        </w:numPr>
        <w:spacing w:line="360" w:lineRule="auto"/>
        <w:rPr>
          <w:rFonts w:ascii="宋体" w:hAnsi="宋体" w:cs="宋体"/>
          <w:sz w:val="24"/>
        </w:rPr>
      </w:pPr>
      <w:bookmarkStart w:id="199" w:name="_Toc7541"/>
      <w:bookmarkStart w:id="200" w:name="_Toc531002752"/>
      <w:bookmarkStart w:id="201" w:name="_Toc40971280"/>
      <w:r>
        <w:rPr>
          <w:rFonts w:hint="eastAsia" w:ascii="宋体" w:hAnsi="宋体" w:cs="宋体"/>
          <w:sz w:val="24"/>
        </w:rPr>
        <w:t>本地基础设施</w:t>
      </w:r>
      <w:bookmarkEnd w:id="199"/>
      <w:bookmarkEnd w:id="200"/>
      <w:r>
        <w:rPr>
          <w:rFonts w:hint="eastAsia" w:ascii="宋体" w:hAnsi="宋体" w:cs="宋体"/>
          <w:sz w:val="24"/>
        </w:rPr>
        <w:t>租赁</w:t>
      </w:r>
      <w:bookmarkEnd w:id="201"/>
    </w:p>
    <w:p>
      <w:pPr>
        <w:spacing w:line="360" w:lineRule="auto"/>
        <w:ind w:firstLine="480" w:firstLineChars="200"/>
        <w:rPr>
          <w:rFonts w:ascii="宋体" w:hAnsi="宋体" w:cs="宋体"/>
          <w:sz w:val="24"/>
        </w:rPr>
      </w:pPr>
      <w:r>
        <w:rPr>
          <w:rFonts w:hint="eastAsia" w:ascii="宋体" w:hAnsi="宋体" w:cs="宋体"/>
          <w:sz w:val="24"/>
        </w:rPr>
        <w:t>为了提升系统可用性，降低项目建设成本，特别是网络流量成本，各场馆设备网络先在本地运营商机房汇聚后，然后统一推送到视频平台。视频平台服务器和接入网关部署在本地运营商机房。该部分的建设采用租赁模式建设，租赁的内容包括设备及机柜租赁。</w:t>
      </w:r>
    </w:p>
    <w:p>
      <w:pPr>
        <w:spacing w:line="360" w:lineRule="auto"/>
        <w:ind w:firstLine="480" w:firstLineChars="200"/>
        <w:rPr>
          <w:rFonts w:ascii="宋体" w:hAnsi="宋体" w:cs="宋体"/>
          <w:sz w:val="24"/>
        </w:rPr>
      </w:pPr>
      <w:r>
        <w:rPr>
          <w:rFonts w:ascii="宋体" w:hAnsi="宋体" w:cs="新宋体"/>
          <w:sz w:val="24"/>
        </w:rPr>
        <w:t>★</w:t>
      </w:r>
      <w:r>
        <w:rPr>
          <w:rFonts w:hint="eastAsia" w:ascii="宋体" w:hAnsi="宋体"/>
          <w:sz w:val="24"/>
        </w:rPr>
        <w:t>租赁设备托管在本地运营商IDC机房需经过本地运营商（上虞）确认，须提供本地运营商（上虞）服务承诺函并加盖公章。</w:t>
      </w:r>
    </w:p>
    <w:p>
      <w:pPr>
        <w:spacing w:line="360" w:lineRule="auto"/>
        <w:ind w:firstLine="241" w:firstLineChars="100"/>
        <w:rPr>
          <w:rFonts w:ascii="宋体" w:hAnsi="宋体" w:cs="宋体"/>
          <w:b/>
          <w:sz w:val="24"/>
        </w:rPr>
      </w:pPr>
      <w:bookmarkStart w:id="202" w:name="_Toc520906673"/>
      <w:bookmarkStart w:id="203" w:name="_Toc40971281"/>
      <w:bookmarkStart w:id="204" w:name="_Toc477695264"/>
      <w:bookmarkStart w:id="205" w:name="_Toc26086"/>
      <w:bookmarkStart w:id="206" w:name="_Toc531002753"/>
      <w:bookmarkStart w:id="207" w:name="_Toc517902066"/>
      <w:r>
        <w:rPr>
          <w:rFonts w:hint="eastAsia" w:ascii="宋体" w:hAnsi="宋体" w:cs="宋体"/>
          <w:b/>
          <w:sz w:val="24"/>
        </w:rPr>
        <w:t>5安全系统建设</w:t>
      </w:r>
      <w:bookmarkEnd w:id="202"/>
      <w:bookmarkEnd w:id="203"/>
      <w:bookmarkEnd w:id="204"/>
      <w:bookmarkEnd w:id="205"/>
      <w:bookmarkEnd w:id="206"/>
      <w:bookmarkEnd w:id="207"/>
    </w:p>
    <w:p>
      <w:pPr>
        <w:spacing w:line="360" w:lineRule="auto"/>
        <w:ind w:firstLine="480" w:firstLineChars="200"/>
        <w:rPr>
          <w:rFonts w:ascii="宋体" w:hAnsi="宋体" w:cs="宋体"/>
          <w:sz w:val="24"/>
        </w:rPr>
      </w:pPr>
      <w:r>
        <w:rPr>
          <w:rFonts w:hint="eastAsia" w:ascii="宋体" w:hAnsi="宋体" w:cs="宋体"/>
          <w:sz w:val="24"/>
        </w:rPr>
        <w:t>整个系统参照安全等级保护二级的要求进行建设。</w:t>
      </w:r>
    </w:p>
    <w:p>
      <w:pPr>
        <w:spacing w:line="360" w:lineRule="auto"/>
        <w:ind w:firstLine="240" w:firstLineChars="100"/>
        <w:rPr>
          <w:rFonts w:ascii="宋体" w:hAnsi="宋体" w:cs="宋体"/>
          <w:sz w:val="24"/>
        </w:rPr>
      </w:pPr>
      <w:bookmarkStart w:id="208" w:name="_Toc531002754"/>
      <w:bookmarkStart w:id="209" w:name="_Toc456273337"/>
      <w:bookmarkStart w:id="210" w:name="_Toc40971282"/>
      <w:bookmarkStart w:id="211" w:name="_Toc23639"/>
      <w:bookmarkStart w:id="212" w:name="_Toc517902067"/>
      <w:bookmarkStart w:id="213" w:name="_Toc520906674"/>
      <w:r>
        <w:rPr>
          <w:rFonts w:hint="eastAsia" w:ascii="宋体" w:hAnsi="宋体" w:cs="宋体"/>
          <w:sz w:val="24"/>
        </w:rPr>
        <w:t>5.1场所安全</w:t>
      </w:r>
      <w:bookmarkEnd w:id="208"/>
      <w:bookmarkEnd w:id="209"/>
      <w:bookmarkEnd w:id="210"/>
      <w:bookmarkEnd w:id="211"/>
      <w:bookmarkEnd w:id="212"/>
      <w:bookmarkEnd w:id="213"/>
    </w:p>
    <w:p>
      <w:pPr>
        <w:spacing w:line="360" w:lineRule="auto"/>
        <w:ind w:firstLine="480" w:firstLineChars="200"/>
        <w:rPr>
          <w:rFonts w:ascii="宋体" w:hAnsi="宋体" w:cs="宋体"/>
          <w:sz w:val="24"/>
        </w:rPr>
      </w:pPr>
      <w:r>
        <w:rPr>
          <w:rFonts w:hint="eastAsia" w:ascii="宋体" w:hAnsi="宋体" w:cs="宋体"/>
          <w:sz w:val="24"/>
        </w:rPr>
        <w:t>本系统的场所基于运营商的机房，要求该场所满足安全等级保护二级的要求。</w:t>
      </w:r>
    </w:p>
    <w:p>
      <w:pPr>
        <w:spacing w:line="360" w:lineRule="auto"/>
        <w:ind w:firstLine="240" w:firstLineChars="100"/>
        <w:rPr>
          <w:rFonts w:ascii="宋体" w:hAnsi="宋体" w:cs="宋体"/>
          <w:sz w:val="24"/>
        </w:rPr>
      </w:pPr>
      <w:bookmarkStart w:id="214" w:name="_Toc517902068"/>
      <w:bookmarkStart w:id="215" w:name="_Toc531002755"/>
      <w:bookmarkStart w:id="216" w:name="_Toc520906675"/>
      <w:bookmarkStart w:id="217" w:name="_Toc40971283"/>
      <w:bookmarkStart w:id="218" w:name="_Toc456273338"/>
      <w:bookmarkStart w:id="219" w:name="_Toc3239"/>
      <w:r>
        <w:rPr>
          <w:rFonts w:hint="eastAsia" w:ascii="宋体" w:hAnsi="宋体" w:cs="宋体"/>
          <w:sz w:val="24"/>
        </w:rPr>
        <w:t>5.2网络安全</w:t>
      </w:r>
      <w:bookmarkEnd w:id="214"/>
      <w:bookmarkEnd w:id="215"/>
      <w:bookmarkEnd w:id="216"/>
      <w:bookmarkEnd w:id="217"/>
      <w:bookmarkEnd w:id="218"/>
      <w:bookmarkEnd w:id="219"/>
    </w:p>
    <w:p>
      <w:pPr>
        <w:spacing w:line="360" w:lineRule="auto"/>
        <w:ind w:firstLine="480" w:firstLineChars="200"/>
        <w:rPr>
          <w:rFonts w:ascii="宋体" w:hAnsi="宋体" w:cs="宋体"/>
          <w:sz w:val="24"/>
        </w:rPr>
      </w:pPr>
      <w:r>
        <w:rPr>
          <w:rFonts w:hint="eastAsia" w:ascii="宋体" w:hAnsi="宋体" w:cs="宋体"/>
          <w:sz w:val="24"/>
        </w:rPr>
        <w:t>要求提供符合等保二级的要求的网络安全防护环境。</w:t>
      </w:r>
    </w:p>
    <w:p>
      <w:pPr>
        <w:spacing w:line="360" w:lineRule="auto"/>
        <w:ind w:firstLine="240" w:firstLineChars="100"/>
        <w:rPr>
          <w:rFonts w:ascii="宋体" w:hAnsi="宋体" w:cs="宋体"/>
          <w:sz w:val="24"/>
        </w:rPr>
      </w:pPr>
      <w:bookmarkStart w:id="220" w:name="_Toc40971284"/>
      <w:bookmarkStart w:id="221" w:name="_Toc30717"/>
      <w:bookmarkStart w:id="222" w:name="_Toc520906676"/>
      <w:bookmarkStart w:id="223" w:name="_Toc517902069"/>
      <w:bookmarkStart w:id="224" w:name="_Toc456273339"/>
      <w:bookmarkStart w:id="225" w:name="_Toc531002756"/>
      <w:r>
        <w:rPr>
          <w:rFonts w:hint="eastAsia" w:ascii="宋体" w:hAnsi="宋体" w:cs="宋体"/>
          <w:sz w:val="24"/>
        </w:rPr>
        <w:t>5.3应用软件安全</w:t>
      </w:r>
      <w:bookmarkEnd w:id="220"/>
      <w:bookmarkEnd w:id="221"/>
      <w:bookmarkEnd w:id="222"/>
      <w:bookmarkEnd w:id="223"/>
      <w:bookmarkEnd w:id="224"/>
      <w:bookmarkEnd w:id="225"/>
    </w:p>
    <w:p>
      <w:pPr>
        <w:spacing w:line="360" w:lineRule="auto"/>
        <w:ind w:firstLine="480" w:firstLineChars="200"/>
        <w:rPr>
          <w:rFonts w:ascii="宋体" w:hAnsi="宋体" w:cs="宋体"/>
          <w:sz w:val="24"/>
        </w:rPr>
      </w:pPr>
      <w:r>
        <w:rPr>
          <w:rFonts w:hint="eastAsia" w:ascii="宋体" w:hAnsi="宋体" w:cs="宋体"/>
          <w:sz w:val="24"/>
        </w:rPr>
        <w:t>本系统的应用系统安全设计要求如下：</w:t>
      </w:r>
    </w:p>
    <w:p>
      <w:pPr>
        <w:spacing w:line="360" w:lineRule="auto"/>
        <w:ind w:firstLine="480" w:firstLineChars="200"/>
        <w:rPr>
          <w:rFonts w:ascii="宋体" w:hAnsi="宋体" w:cs="宋体"/>
          <w:sz w:val="24"/>
        </w:rPr>
      </w:pPr>
      <w:r>
        <w:rPr>
          <w:rFonts w:hint="eastAsia" w:ascii="宋体" w:hAnsi="宋体" w:cs="宋体"/>
          <w:sz w:val="24"/>
        </w:rPr>
        <w:t>（1）系统设计具有身份验证、权限管理。</w:t>
      </w:r>
    </w:p>
    <w:p>
      <w:pPr>
        <w:spacing w:line="360" w:lineRule="auto"/>
        <w:ind w:firstLine="480" w:firstLineChars="200"/>
        <w:rPr>
          <w:rFonts w:ascii="宋体" w:hAnsi="宋体" w:cs="宋体"/>
          <w:sz w:val="24"/>
        </w:rPr>
      </w:pPr>
      <w:r>
        <w:rPr>
          <w:rFonts w:hint="eastAsia" w:ascii="宋体" w:hAnsi="宋体" w:cs="宋体"/>
          <w:sz w:val="24"/>
        </w:rPr>
        <w:t>（2）功能模块设计安全。</w:t>
      </w:r>
    </w:p>
    <w:p>
      <w:pPr>
        <w:spacing w:line="360" w:lineRule="auto"/>
        <w:ind w:firstLine="480" w:firstLineChars="200"/>
        <w:rPr>
          <w:rFonts w:ascii="宋体" w:hAnsi="宋体" w:cs="宋体"/>
          <w:sz w:val="24"/>
        </w:rPr>
      </w:pPr>
      <w:r>
        <w:rPr>
          <w:rFonts w:hint="eastAsia" w:ascii="宋体" w:hAnsi="宋体" w:cs="宋体"/>
          <w:sz w:val="24"/>
        </w:rPr>
        <w:t>（3）数据库安全。</w:t>
      </w:r>
    </w:p>
    <w:p>
      <w:pPr>
        <w:spacing w:line="360" w:lineRule="auto"/>
        <w:ind w:firstLine="240" w:firstLineChars="100"/>
        <w:rPr>
          <w:rFonts w:ascii="宋体" w:hAnsi="宋体" w:cs="宋体"/>
          <w:sz w:val="24"/>
        </w:rPr>
      </w:pPr>
      <w:bookmarkStart w:id="226" w:name="_Toc531002757"/>
      <w:bookmarkStart w:id="227" w:name="_Toc517902070"/>
      <w:bookmarkStart w:id="228" w:name="_Toc40971285"/>
      <w:bookmarkStart w:id="229" w:name="_Toc456273340"/>
      <w:bookmarkStart w:id="230" w:name="_Toc23454"/>
      <w:bookmarkStart w:id="231" w:name="_Toc520906677"/>
      <w:r>
        <w:rPr>
          <w:rFonts w:hint="eastAsia" w:ascii="宋体" w:hAnsi="宋体" w:cs="宋体"/>
          <w:sz w:val="24"/>
        </w:rPr>
        <w:t>5.4数据安全</w:t>
      </w:r>
      <w:bookmarkEnd w:id="226"/>
      <w:bookmarkEnd w:id="227"/>
      <w:bookmarkEnd w:id="228"/>
      <w:bookmarkEnd w:id="229"/>
      <w:bookmarkEnd w:id="230"/>
      <w:bookmarkEnd w:id="231"/>
    </w:p>
    <w:p>
      <w:pPr>
        <w:spacing w:line="360" w:lineRule="auto"/>
        <w:ind w:firstLine="480" w:firstLineChars="200"/>
        <w:rPr>
          <w:rFonts w:ascii="宋体" w:hAnsi="宋体" w:cs="宋体"/>
          <w:sz w:val="24"/>
        </w:rPr>
      </w:pPr>
      <w:r>
        <w:rPr>
          <w:rFonts w:hint="eastAsia" w:ascii="宋体" w:hAnsi="宋体" w:cs="宋体"/>
          <w:sz w:val="24"/>
        </w:rPr>
        <w:t>要求采用消息加密机制，确保信息在各个通路之间中的传输安全。</w:t>
      </w:r>
      <w:bookmarkStart w:id="232" w:name="_Toc383933861"/>
      <w:bookmarkEnd w:id="232"/>
      <w:bookmarkStart w:id="233" w:name="_Toc383933825"/>
      <w:bookmarkEnd w:id="233"/>
      <w:bookmarkStart w:id="234" w:name="_Toc383933834"/>
      <w:bookmarkEnd w:id="234"/>
      <w:bookmarkStart w:id="235" w:name="_Toc383933870"/>
      <w:bookmarkEnd w:id="235"/>
      <w:bookmarkStart w:id="236" w:name="_Toc383933805"/>
      <w:bookmarkEnd w:id="236"/>
      <w:bookmarkStart w:id="237" w:name="_Toc383933796"/>
      <w:bookmarkEnd w:id="237"/>
      <w:bookmarkStart w:id="238" w:name="_Toc139185609"/>
    </w:p>
    <w:bookmarkEnd w:id="238"/>
    <w:p>
      <w:pPr>
        <w:spacing w:line="360" w:lineRule="auto"/>
        <w:ind w:firstLine="480" w:firstLineChars="200"/>
        <w:rPr>
          <w:rFonts w:ascii="宋体" w:hAnsi="宋体" w:cs="宋体"/>
          <w:sz w:val="24"/>
        </w:rPr>
      </w:pPr>
      <w:r>
        <w:rPr>
          <w:rFonts w:hint="eastAsia" w:ascii="宋体" w:hAnsi="宋体" w:cs="宋体"/>
          <w:sz w:val="24"/>
        </w:rPr>
        <w:t>要求支持多种算法以及在算法之间的轮换应用。</w:t>
      </w:r>
    </w:p>
    <w:p>
      <w:pPr>
        <w:spacing w:line="360" w:lineRule="auto"/>
        <w:ind w:firstLine="241" w:firstLineChars="100"/>
        <w:rPr>
          <w:rFonts w:ascii="宋体" w:hAnsi="宋体" w:cs="宋体"/>
          <w:b/>
          <w:sz w:val="24"/>
        </w:rPr>
      </w:pPr>
      <w:bookmarkStart w:id="239" w:name="_Toc40971286"/>
      <w:r>
        <w:rPr>
          <w:rFonts w:hint="eastAsia" w:ascii="宋体" w:hAnsi="宋体" w:cs="宋体"/>
          <w:b/>
          <w:sz w:val="24"/>
        </w:rPr>
        <w:t>6平台运营</w:t>
      </w:r>
      <w:bookmarkEnd w:id="239"/>
    </w:p>
    <w:p>
      <w:pPr>
        <w:spacing w:line="360" w:lineRule="auto"/>
        <w:ind w:firstLine="480" w:firstLineChars="200"/>
        <w:rPr>
          <w:rFonts w:ascii="宋体" w:hAnsi="宋体" w:cs="宋体"/>
          <w:sz w:val="24"/>
        </w:rPr>
      </w:pPr>
      <w:r>
        <w:rPr>
          <w:rFonts w:hint="eastAsia" w:ascii="宋体" w:hAnsi="宋体" w:cs="宋体"/>
          <w:sz w:val="24"/>
        </w:rPr>
        <w:t>平台运营需要安排一名驻场人员来负责项目的一年的运营，内容包括：</w:t>
      </w:r>
    </w:p>
    <w:p>
      <w:pPr>
        <w:spacing w:line="360" w:lineRule="auto"/>
        <w:ind w:firstLine="240" w:firstLineChars="100"/>
        <w:rPr>
          <w:rFonts w:ascii="宋体" w:hAnsi="宋体" w:cs="宋体"/>
          <w:sz w:val="24"/>
        </w:rPr>
      </w:pPr>
      <w:r>
        <w:rPr>
          <w:rFonts w:hint="eastAsia" w:ascii="宋体" w:hAnsi="宋体" w:cs="宋体"/>
          <w:sz w:val="24"/>
        </w:rPr>
        <w:t>6.1文化场所信息更新：定期更新展品介绍信息。</w:t>
      </w:r>
    </w:p>
    <w:p>
      <w:pPr>
        <w:spacing w:line="360" w:lineRule="auto"/>
        <w:ind w:firstLine="240" w:firstLineChars="100"/>
        <w:rPr>
          <w:rFonts w:ascii="宋体" w:hAnsi="宋体" w:cs="宋体"/>
          <w:sz w:val="24"/>
        </w:rPr>
      </w:pPr>
      <w:r>
        <w:rPr>
          <w:rFonts w:hint="eastAsia" w:ascii="宋体" w:hAnsi="宋体" w:cs="宋体"/>
          <w:sz w:val="24"/>
        </w:rPr>
        <w:t>6.2负责平台的日常维护、投诉、咨询、反馈等</w:t>
      </w:r>
    </w:p>
    <w:p>
      <w:pPr>
        <w:spacing w:line="360" w:lineRule="auto"/>
        <w:ind w:firstLine="240" w:firstLineChars="100"/>
        <w:rPr>
          <w:rFonts w:ascii="宋体" w:hAnsi="宋体" w:cs="宋体"/>
          <w:sz w:val="24"/>
        </w:rPr>
      </w:pPr>
      <w:r>
        <w:rPr>
          <w:rFonts w:hint="eastAsia" w:ascii="宋体" w:hAnsi="宋体" w:cs="宋体"/>
          <w:sz w:val="24"/>
        </w:rPr>
        <w:t>6.3活动信息的发布：根据各场馆提供的素材内容排版编辑后发布到公众服务平台。</w:t>
      </w:r>
    </w:p>
    <w:p>
      <w:pPr>
        <w:spacing w:line="360" w:lineRule="auto"/>
        <w:ind w:firstLine="240" w:firstLineChars="100"/>
        <w:rPr>
          <w:rFonts w:ascii="宋体" w:hAnsi="宋体" w:cs="宋体"/>
          <w:sz w:val="24"/>
        </w:rPr>
      </w:pPr>
      <w:r>
        <w:rPr>
          <w:rFonts w:hint="eastAsia" w:ascii="宋体" w:hAnsi="宋体" w:cs="宋体"/>
          <w:sz w:val="24"/>
        </w:rPr>
        <w:t>6.4负责系统的日常运行管理，包括公众预约的处理及受理，负责项目运行日常管理。</w:t>
      </w:r>
    </w:p>
    <w:p>
      <w:pPr>
        <w:spacing w:line="360" w:lineRule="auto"/>
        <w:ind w:firstLine="241" w:firstLineChars="100"/>
        <w:rPr>
          <w:rFonts w:ascii="宋体" w:hAnsi="宋体" w:cs="宋体"/>
          <w:b/>
          <w:sz w:val="24"/>
        </w:rPr>
      </w:pPr>
      <w:bookmarkStart w:id="240" w:name="_Toc40971287"/>
      <w:r>
        <w:rPr>
          <w:rFonts w:hint="eastAsia" w:ascii="宋体" w:hAnsi="宋体" w:cs="宋体"/>
          <w:b/>
          <w:sz w:val="24"/>
        </w:rPr>
        <w:t>7文化推广</w:t>
      </w:r>
      <w:bookmarkEnd w:id="240"/>
    </w:p>
    <w:p>
      <w:pPr>
        <w:spacing w:line="360" w:lineRule="auto"/>
        <w:ind w:firstLine="480" w:firstLineChars="200"/>
        <w:rPr>
          <w:rFonts w:hint="eastAsia" w:ascii="宋体" w:hAnsi="宋体" w:cs="宋体"/>
          <w:sz w:val="24"/>
        </w:rPr>
      </w:pPr>
      <w:r>
        <w:rPr>
          <w:rFonts w:hint="eastAsia" w:ascii="宋体" w:hAnsi="宋体" w:cs="宋体"/>
          <w:sz w:val="24"/>
        </w:rPr>
        <w:t>需求内容详见附表8。</w:t>
      </w:r>
    </w:p>
    <w:bookmarkEnd w:id="21"/>
    <w:bookmarkEnd w:id="22"/>
    <w:bookmarkEnd w:id="23"/>
    <w:p>
      <w:pPr>
        <w:pStyle w:val="5"/>
        <w:rPr>
          <w:rStyle w:val="42"/>
          <w:rFonts w:hint="eastAsia"/>
          <w:i w:val="0"/>
        </w:rPr>
      </w:pPr>
      <w:bookmarkStart w:id="241" w:name="_Toc19229"/>
      <w:bookmarkStart w:id="242" w:name="_Toc40971293"/>
      <w:bookmarkStart w:id="243" w:name="_Toc531002761"/>
      <w:r>
        <w:rPr>
          <w:rStyle w:val="42"/>
          <w:rFonts w:hint="eastAsia"/>
          <w:i w:val="0"/>
        </w:rPr>
        <w:t>六、实施及维保要求</w:t>
      </w:r>
    </w:p>
    <w:p>
      <w:pPr>
        <w:spacing w:line="360" w:lineRule="auto"/>
        <w:ind w:firstLine="241" w:firstLineChars="100"/>
        <w:rPr>
          <w:rFonts w:hint="eastAsia" w:ascii="宋体" w:hAnsi="宋体" w:cs="宋体"/>
          <w:b/>
          <w:sz w:val="24"/>
        </w:rPr>
      </w:pPr>
      <w:r>
        <w:rPr>
          <w:rFonts w:hint="eastAsia" w:ascii="宋体" w:hAnsi="宋体" w:cs="宋体"/>
          <w:b/>
          <w:sz w:val="24"/>
        </w:rPr>
        <w:t>1  项目工期要求</w:t>
      </w:r>
    </w:p>
    <w:p>
      <w:pPr>
        <w:spacing w:line="360" w:lineRule="auto"/>
        <w:rPr>
          <w:rFonts w:hint="eastAsia" w:ascii="宋体" w:hAnsi="宋体" w:cs="宋体"/>
          <w:sz w:val="24"/>
        </w:rPr>
      </w:pPr>
      <w:r>
        <w:rPr>
          <w:rFonts w:hint="eastAsia" w:ascii="宋体" w:hAnsi="宋体" w:cs="宋体"/>
          <w:sz w:val="24"/>
        </w:rPr>
        <w:t>项目须在合同签订后</w:t>
      </w:r>
      <w:r>
        <w:rPr>
          <w:rFonts w:ascii="宋体" w:hAnsi="宋体" w:cs="宋体"/>
          <w:sz w:val="24"/>
        </w:rPr>
        <w:t>3</w:t>
      </w:r>
      <w:r>
        <w:rPr>
          <w:rFonts w:hint="eastAsia" w:ascii="宋体" w:hAnsi="宋体" w:cs="宋体"/>
          <w:sz w:val="24"/>
        </w:rPr>
        <w:t>个月内完成系统测试和上线试运行。</w:t>
      </w:r>
    </w:p>
    <w:p>
      <w:pPr>
        <w:spacing w:line="360" w:lineRule="auto"/>
        <w:ind w:firstLine="241" w:firstLineChars="100"/>
        <w:rPr>
          <w:rFonts w:hint="eastAsia" w:ascii="宋体" w:hAnsi="宋体" w:cs="宋体"/>
          <w:b/>
          <w:sz w:val="24"/>
        </w:rPr>
      </w:pPr>
      <w:r>
        <w:rPr>
          <w:rFonts w:hint="eastAsia" w:ascii="宋体" w:hAnsi="宋体" w:cs="宋体"/>
          <w:b/>
          <w:sz w:val="24"/>
        </w:rPr>
        <w:t>2  安装与测试要求</w:t>
      </w:r>
    </w:p>
    <w:p>
      <w:pPr>
        <w:spacing w:line="360" w:lineRule="auto"/>
        <w:rPr>
          <w:rFonts w:hint="eastAsia" w:ascii="宋体" w:hAnsi="宋体" w:cs="宋体"/>
          <w:sz w:val="24"/>
        </w:rPr>
      </w:pPr>
      <w:r>
        <w:rPr>
          <w:rFonts w:hint="eastAsia" w:ascii="宋体" w:hAnsi="宋体" w:cs="宋体"/>
          <w:sz w:val="24"/>
        </w:rPr>
        <w:t>（1）要求具有完整的系统测试计划，包括根据用户需求编写的，遍及系统全部功能、性能的测试用例，合理的测试方案和测试方法。要求保留完整的测试报告。</w:t>
      </w:r>
    </w:p>
    <w:p>
      <w:pPr>
        <w:spacing w:line="360" w:lineRule="auto"/>
        <w:rPr>
          <w:rFonts w:hint="eastAsia" w:ascii="宋体" w:hAnsi="宋体" w:cs="宋体"/>
          <w:sz w:val="24"/>
        </w:rPr>
      </w:pPr>
      <w:r>
        <w:rPr>
          <w:rFonts w:hint="eastAsia" w:ascii="宋体" w:hAnsi="宋体" w:cs="宋体"/>
          <w:sz w:val="24"/>
        </w:rPr>
        <w:t>（2）包括单元测试、集成测试、系统测试和压力测试。</w:t>
      </w:r>
    </w:p>
    <w:p>
      <w:pPr>
        <w:spacing w:line="360" w:lineRule="auto"/>
        <w:rPr>
          <w:rFonts w:hint="eastAsia" w:ascii="宋体" w:hAnsi="宋体" w:cs="宋体"/>
          <w:sz w:val="24"/>
        </w:rPr>
      </w:pPr>
      <w:r>
        <w:rPr>
          <w:rFonts w:hint="eastAsia" w:ascii="宋体" w:hAnsi="宋体" w:cs="宋体"/>
          <w:sz w:val="24"/>
        </w:rPr>
        <w:t>（3）测试过程要用户单位组织相关人员同参与。测试计划要详细描述针对各项测试，项目建设单位、集成商以及相关单位如何参与，如何配合，包括各单位职责和分工界面等内容描述。</w:t>
      </w:r>
    </w:p>
    <w:p>
      <w:pPr>
        <w:spacing w:line="360" w:lineRule="auto"/>
        <w:rPr>
          <w:rFonts w:hint="eastAsia" w:ascii="宋体" w:hAnsi="宋体" w:cs="宋体"/>
          <w:sz w:val="24"/>
        </w:rPr>
      </w:pPr>
      <w:r>
        <w:rPr>
          <w:rFonts w:hint="eastAsia" w:ascii="宋体" w:hAnsi="宋体" w:cs="宋体"/>
          <w:sz w:val="24"/>
        </w:rPr>
        <w:t>（4）在安装、配置和测试、调试过程中,中标方应对最终用户技术人员所提出的技术问题,应给予满意的答复。所有测试通过后，在系统连续成功稳定运行半个月以上进行项目验收。</w:t>
      </w:r>
    </w:p>
    <w:p>
      <w:pPr>
        <w:spacing w:line="360" w:lineRule="auto"/>
        <w:ind w:firstLine="241" w:firstLineChars="100"/>
        <w:rPr>
          <w:rFonts w:hint="eastAsia" w:ascii="宋体" w:hAnsi="宋体" w:cs="宋体"/>
          <w:b/>
          <w:sz w:val="24"/>
        </w:rPr>
      </w:pPr>
      <w:r>
        <w:rPr>
          <w:rFonts w:hint="eastAsia" w:ascii="宋体" w:hAnsi="宋体" w:cs="宋体"/>
          <w:b/>
          <w:sz w:val="24"/>
        </w:rPr>
        <w:t>3  质量管理要求</w:t>
      </w:r>
    </w:p>
    <w:p>
      <w:pPr>
        <w:spacing w:line="360" w:lineRule="auto"/>
        <w:rPr>
          <w:rFonts w:hint="eastAsia" w:ascii="宋体" w:hAnsi="宋体" w:cs="宋体"/>
          <w:sz w:val="24"/>
        </w:rPr>
      </w:pPr>
      <w:r>
        <w:rPr>
          <w:rFonts w:hint="eastAsia" w:ascii="宋体" w:hAnsi="宋体" w:cs="宋体"/>
          <w:sz w:val="24"/>
        </w:rPr>
        <w:t>（1）投标人应按ISO9001质量管理体系规范要求，针对项目实施过程及交付结果进行质量规划、管理、控制。</w:t>
      </w:r>
    </w:p>
    <w:p>
      <w:pPr>
        <w:spacing w:line="360" w:lineRule="auto"/>
        <w:rPr>
          <w:rFonts w:hint="eastAsia" w:ascii="宋体" w:hAnsi="宋体" w:cs="宋体"/>
          <w:sz w:val="24"/>
        </w:rPr>
      </w:pPr>
      <w:r>
        <w:rPr>
          <w:rFonts w:hint="eastAsia" w:ascii="宋体" w:hAnsi="宋体" w:cs="宋体"/>
          <w:sz w:val="24"/>
        </w:rPr>
        <w:t>（2）投标人一旦中标，必须提交正式的质量计划，明确质量控制点、控制内容、质量要求、检查记录要求，并经采购人审核、批准。</w:t>
      </w:r>
    </w:p>
    <w:p>
      <w:pPr>
        <w:spacing w:line="360" w:lineRule="auto"/>
        <w:rPr>
          <w:rFonts w:hint="eastAsia" w:ascii="宋体" w:hAnsi="宋体" w:cs="宋体"/>
          <w:sz w:val="24"/>
        </w:rPr>
      </w:pPr>
      <w:r>
        <w:rPr>
          <w:rFonts w:hint="eastAsia" w:ascii="宋体" w:hAnsi="宋体" w:cs="宋体"/>
          <w:sz w:val="24"/>
        </w:rPr>
        <w:t>（3）中标人在项目实施过程中应开展质量保证活动，所提交的进度报告应包括质量报告内容，对质量问题制定改进措施并有效执行。</w:t>
      </w:r>
    </w:p>
    <w:p>
      <w:pPr>
        <w:spacing w:line="360" w:lineRule="auto"/>
        <w:rPr>
          <w:rFonts w:hint="eastAsia" w:ascii="宋体" w:hAnsi="宋体" w:cs="宋体"/>
          <w:sz w:val="24"/>
        </w:rPr>
      </w:pPr>
      <w:r>
        <w:rPr>
          <w:rFonts w:hint="eastAsia" w:ascii="宋体" w:hAnsi="宋体" w:cs="宋体"/>
          <w:sz w:val="24"/>
        </w:rPr>
        <w:t>（4）中标人必须接受采购人的质量监督检查，提供真实有效的相关质量活动记录、证据，无条件接受采购人提出的质量问题整改要求，承担质量责任及因质量问题导致的进度延迟责任。</w:t>
      </w:r>
    </w:p>
    <w:p>
      <w:pPr>
        <w:spacing w:line="360" w:lineRule="auto"/>
        <w:ind w:firstLine="241" w:firstLineChars="100"/>
        <w:rPr>
          <w:rFonts w:hint="eastAsia" w:ascii="宋体" w:hAnsi="宋体" w:cs="宋体"/>
          <w:b/>
          <w:sz w:val="24"/>
        </w:rPr>
      </w:pPr>
      <w:r>
        <w:rPr>
          <w:rFonts w:ascii="宋体" w:hAnsi="宋体" w:cs="宋体"/>
          <w:b/>
          <w:sz w:val="24"/>
        </w:rPr>
        <w:t>4</w:t>
      </w:r>
      <w:r>
        <w:rPr>
          <w:rFonts w:hint="eastAsia" w:ascii="宋体" w:hAnsi="宋体" w:cs="宋体"/>
          <w:b/>
          <w:sz w:val="24"/>
        </w:rPr>
        <w:t xml:space="preserve">  系统验收要求</w:t>
      </w:r>
    </w:p>
    <w:p>
      <w:pPr>
        <w:spacing w:line="360" w:lineRule="auto"/>
        <w:rPr>
          <w:rFonts w:hint="eastAsia" w:ascii="宋体" w:hAnsi="宋体" w:cs="宋体"/>
          <w:sz w:val="24"/>
        </w:rPr>
      </w:pPr>
      <w:r>
        <w:rPr>
          <w:rFonts w:hint="eastAsia" w:ascii="宋体" w:hAnsi="宋体" w:cs="宋体"/>
          <w:sz w:val="24"/>
        </w:rPr>
        <w:t>项目在达到了全部规定要求后，连续成功稳定运行一个月以上，中标单位在提交全部相关文档、报告等交付物的前提下，可以向招标人提出项目竣工验收的申请。招标人按照验收标准组织验收。验收合格后，工程建设完工，进入质量保证期。</w:t>
      </w:r>
    </w:p>
    <w:p>
      <w:pPr>
        <w:spacing w:line="360" w:lineRule="auto"/>
        <w:ind w:firstLine="241" w:firstLineChars="100"/>
        <w:rPr>
          <w:rFonts w:hint="eastAsia" w:ascii="宋体" w:hAnsi="宋体" w:cs="宋体"/>
          <w:b/>
          <w:sz w:val="24"/>
        </w:rPr>
      </w:pPr>
      <w:r>
        <w:rPr>
          <w:rFonts w:ascii="宋体" w:hAnsi="宋体" w:cs="宋体"/>
          <w:b/>
          <w:sz w:val="24"/>
        </w:rPr>
        <w:t>5</w:t>
      </w:r>
      <w:r>
        <w:rPr>
          <w:rFonts w:hint="eastAsia" w:ascii="宋体" w:hAnsi="宋体" w:cs="宋体"/>
          <w:b/>
          <w:sz w:val="24"/>
        </w:rPr>
        <w:t xml:space="preserve">  培训要求</w:t>
      </w:r>
    </w:p>
    <w:p>
      <w:pPr>
        <w:spacing w:line="360" w:lineRule="auto"/>
        <w:rPr>
          <w:rFonts w:hint="eastAsia" w:ascii="宋体" w:hAnsi="宋体" w:cs="宋体"/>
          <w:sz w:val="24"/>
        </w:rPr>
      </w:pPr>
      <w:r>
        <w:rPr>
          <w:rFonts w:hint="eastAsia" w:ascii="宋体" w:hAnsi="宋体" w:cs="宋体"/>
          <w:sz w:val="24"/>
        </w:rPr>
        <w:t>（1）投标人应承诺针对项目建设单位最终用户分层次提供培训，以便对工程实施进行有效的管理，同时保证工程验收移交后，项目建设单位能够胜任系统的全部运行、操作、维护和故障分析处理。</w:t>
      </w:r>
    </w:p>
    <w:p>
      <w:pPr>
        <w:spacing w:line="360" w:lineRule="auto"/>
        <w:rPr>
          <w:rFonts w:hint="eastAsia" w:ascii="宋体" w:hAnsi="宋体" w:cs="宋体"/>
          <w:sz w:val="24"/>
        </w:rPr>
      </w:pPr>
      <w:r>
        <w:rPr>
          <w:rFonts w:hint="eastAsia" w:ascii="宋体" w:hAnsi="宋体" w:cs="宋体"/>
          <w:sz w:val="24"/>
        </w:rPr>
        <w:t>（2）投标人在标书中应制定详细的人员培训方案，培训方案应包括培训目的、培训时间安排、人员层次、人数、次数、培训课程包括课程介绍）、主要内容（列出培训基本内容）、培训组织方式等。</w:t>
      </w:r>
    </w:p>
    <w:p>
      <w:pPr>
        <w:spacing w:line="360" w:lineRule="auto"/>
        <w:ind w:firstLine="241" w:firstLineChars="100"/>
        <w:rPr>
          <w:rFonts w:hint="eastAsia" w:ascii="宋体" w:hAnsi="宋体" w:cs="宋体"/>
          <w:b/>
          <w:sz w:val="24"/>
        </w:rPr>
      </w:pPr>
      <w:r>
        <w:rPr>
          <w:rFonts w:ascii="宋体" w:hAnsi="宋体" w:cs="宋体"/>
          <w:b/>
          <w:sz w:val="24"/>
        </w:rPr>
        <w:t>6</w:t>
      </w:r>
      <w:r>
        <w:rPr>
          <w:rFonts w:hint="eastAsia" w:ascii="宋体" w:hAnsi="宋体" w:cs="宋体"/>
          <w:b/>
          <w:sz w:val="24"/>
        </w:rPr>
        <w:t xml:space="preserve">  售后及维保要求</w:t>
      </w:r>
    </w:p>
    <w:p>
      <w:pPr>
        <w:spacing w:line="360" w:lineRule="auto"/>
        <w:rPr>
          <w:rFonts w:hint="eastAsia" w:ascii="宋体" w:hAnsi="宋体" w:cs="宋体"/>
          <w:sz w:val="24"/>
        </w:rPr>
      </w:pPr>
      <w:r>
        <w:rPr>
          <w:rFonts w:hint="eastAsia" w:ascii="宋体" w:hAnsi="宋体" w:cs="宋体"/>
          <w:sz w:val="24"/>
        </w:rPr>
        <w:t>本项目中的配套采购的硬件设备，免费维护期不少于二年；根据本项目需求研发的软件平台和应用系统，上线后免费维护期不少于三年。</w:t>
      </w:r>
    </w:p>
    <w:p>
      <w:pPr>
        <w:spacing w:line="360" w:lineRule="auto"/>
        <w:rPr>
          <w:rFonts w:hint="eastAsia" w:ascii="宋体" w:hAnsi="宋体" w:cs="宋体"/>
          <w:sz w:val="24"/>
        </w:rPr>
      </w:pPr>
      <w:r>
        <w:rPr>
          <w:rFonts w:hint="eastAsia" w:ascii="宋体" w:hAnsi="宋体" w:cs="宋体"/>
          <w:sz w:val="24"/>
        </w:rPr>
        <w:t>质保期内均提供上门维护、升级服务，对故障能即时响应，1小时以内到现场，4小时以内提出问题解决方案所采取的措施，不间断服务直至故障解除。</w:t>
      </w:r>
    </w:p>
    <w:p>
      <w:pPr>
        <w:spacing w:line="360" w:lineRule="auto"/>
        <w:rPr>
          <w:rFonts w:hint="eastAsia" w:ascii="宋体" w:hAnsi="宋体" w:cs="宋体"/>
          <w:sz w:val="24"/>
        </w:rPr>
      </w:pPr>
      <w:r>
        <w:rPr>
          <w:rFonts w:hint="eastAsia" w:ascii="宋体" w:hAnsi="宋体" w:cs="宋体"/>
          <w:sz w:val="24"/>
        </w:rPr>
        <w:t>远程服务：使用系统过程中遇到的技术问题，提供远程技术管理、电话、传真、电子邮件方式给予技术支持及咨询与服务。</w:t>
      </w:r>
    </w:p>
    <w:p>
      <w:pPr>
        <w:spacing w:line="360" w:lineRule="auto"/>
        <w:rPr>
          <w:rFonts w:hint="eastAsia" w:ascii="宋体" w:hAnsi="宋体" w:cs="宋体"/>
          <w:sz w:val="24"/>
        </w:rPr>
      </w:pPr>
      <w:r>
        <w:rPr>
          <w:rFonts w:hint="eastAsia" w:ascii="宋体" w:hAnsi="宋体" w:cs="宋体"/>
          <w:sz w:val="24"/>
        </w:rPr>
        <w:t>维护期内应用系统的任何更新（包括升级和调整）都需提供最新的需求说明、业务流程图、数据流程图，并在原有基础上及时更新。免费维护期。</w:t>
      </w:r>
    </w:p>
    <w:p>
      <w:pPr>
        <w:spacing w:line="360" w:lineRule="auto"/>
        <w:ind w:firstLine="241" w:firstLineChars="100"/>
        <w:rPr>
          <w:rFonts w:hint="eastAsia" w:ascii="宋体" w:hAnsi="宋体" w:cs="宋体"/>
          <w:b/>
          <w:sz w:val="24"/>
        </w:rPr>
      </w:pPr>
      <w:r>
        <w:rPr>
          <w:rFonts w:ascii="宋体" w:hAnsi="宋体" w:cs="宋体"/>
          <w:b/>
          <w:sz w:val="24"/>
        </w:rPr>
        <w:t>7</w:t>
      </w:r>
      <w:r>
        <w:rPr>
          <w:rFonts w:hint="eastAsia" w:ascii="宋体" w:hAnsi="宋体" w:cs="宋体"/>
          <w:b/>
          <w:sz w:val="24"/>
        </w:rPr>
        <w:t xml:space="preserve">  文档要求</w:t>
      </w:r>
    </w:p>
    <w:p>
      <w:pPr>
        <w:spacing w:line="360" w:lineRule="auto"/>
        <w:rPr>
          <w:rFonts w:hint="eastAsia" w:ascii="宋体" w:hAnsi="宋体" w:cs="宋体"/>
          <w:sz w:val="24"/>
        </w:rPr>
      </w:pPr>
      <w:r>
        <w:rPr>
          <w:rFonts w:hint="eastAsia" w:ascii="宋体" w:hAnsi="宋体" w:cs="宋体"/>
          <w:sz w:val="24"/>
        </w:rPr>
        <w:t>按项目建设和管理需求，供应商无条件配合提供所有相关项目文档。</w:t>
      </w:r>
    </w:p>
    <w:p>
      <w:pPr>
        <w:spacing w:line="360" w:lineRule="auto"/>
        <w:rPr>
          <w:rFonts w:hint="eastAsia" w:ascii="宋体" w:hAnsi="宋体" w:cs="宋体"/>
          <w:sz w:val="24"/>
        </w:rPr>
      </w:pPr>
      <w:r>
        <w:rPr>
          <w:rFonts w:hint="eastAsia" w:ascii="宋体" w:hAnsi="宋体" w:cs="宋体"/>
          <w:sz w:val="24"/>
        </w:rPr>
        <w:t>1、系统的体系架构及描述；</w:t>
      </w:r>
    </w:p>
    <w:p>
      <w:pPr>
        <w:spacing w:line="360" w:lineRule="auto"/>
        <w:rPr>
          <w:rFonts w:hint="eastAsia" w:ascii="宋体" w:hAnsi="宋体" w:cs="宋体"/>
          <w:sz w:val="24"/>
        </w:rPr>
      </w:pPr>
      <w:r>
        <w:rPr>
          <w:rFonts w:hint="eastAsia" w:ascii="宋体" w:hAnsi="宋体" w:cs="宋体"/>
          <w:sz w:val="24"/>
        </w:rPr>
        <w:t>2、提供的其它技术手册，包括：</w:t>
      </w:r>
    </w:p>
    <w:p>
      <w:pPr>
        <w:spacing w:line="360" w:lineRule="auto"/>
        <w:rPr>
          <w:rFonts w:hint="eastAsia" w:ascii="宋体" w:hAnsi="宋体" w:cs="宋体"/>
          <w:sz w:val="24"/>
        </w:rPr>
      </w:pPr>
      <w:r>
        <w:rPr>
          <w:rFonts w:hint="eastAsia" w:ascii="宋体" w:hAnsi="宋体" w:cs="宋体"/>
          <w:sz w:val="24"/>
        </w:rPr>
        <w:t>（1）准备阶段：《项目开发计划》；</w:t>
      </w:r>
    </w:p>
    <w:p>
      <w:pPr>
        <w:spacing w:line="360" w:lineRule="auto"/>
        <w:rPr>
          <w:rFonts w:hint="eastAsia" w:ascii="宋体" w:hAnsi="宋体" w:cs="宋体"/>
          <w:sz w:val="24"/>
        </w:rPr>
      </w:pPr>
      <w:r>
        <w:rPr>
          <w:rFonts w:hint="eastAsia" w:ascii="宋体" w:hAnsi="宋体" w:cs="宋体"/>
          <w:sz w:val="24"/>
        </w:rPr>
        <w:t>（2）需求分析阶段：需求分析报告（含软件功能需求与数据要求）；</w:t>
      </w:r>
    </w:p>
    <w:p>
      <w:pPr>
        <w:spacing w:line="360" w:lineRule="auto"/>
        <w:rPr>
          <w:rFonts w:hint="eastAsia" w:ascii="宋体" w:hAnsi="宋体" w:cs="宋体"/>
          <w:sz w:val="24"/>
        </w:rPr>
      </w:pPr>
      <w:r>
        <w:rPr>
          <w:rFonts w:hint="eastAsia" w:ascii="宋体" w:hAnsi="宋体" w:cs="宋体"/>
          <w:sz w:val="24"/>
        </w:rPr>
        <w:t>（3）设计阶段：《系统概要设计说明书》、《系统详细设计方案》、《数据库设计说明书》、《系统编码规范》、《数据接口设计规范》；</w:t>
      </w:r>
    </w:p>
    <w:p>
      <w:pPr>
        <w:spacing w:line="360" w:lineRule="auto"/>
        <w:rPr>
          <w:rFonts w:hint="eastAsia" w:ascii="宋体" w:hAnsi="宋体" w:cs="宋体"/>
          <w:sz w:val="24"/>
        </w:rPr>
      </w:pPr>
      <w:r>
        <w:rPr>
          <w:rFonts w:hint="eastAsia" w:ascii="宋体" w:hAnsi="宋体" w:cs="宋体"/>
          <w:sz w:val="24"/>
        </w:rPr>
        <w:t>（4）测试阶段：《测试计划》、《测试方案》、《测试用例》、《测试记录》、《测试报告》。测试报告包括：单元测试、接口测试、功能测试、性能测试、压力测试、上线测试等。</w:t>
      </w:r>
    </w:p>
    <w:p>
      <w:pPr>
        <w:spacing w:line="360" w:lineRule="auto"/>
        <w:rPr>
          <w:rFonts w:hint="eastAsia" w:ascii="宋体" w:hAnsi="宋体" w:cs="宋体"/>
          <w:sz w:val="24"/>
        </w:rPr>
      </w:pPr>
      <w:r>
        <w:rPr>
          <w:rFonts w:hint="eastAsia" w:ascii="宋体" w:hAnsi="宋体" w:cs="宋体"/>
          <w:sz w:val="24"/>
        </w:rPr>
        <w:t>（5）上线阶段：《试运行报告》。</w:t>
      </w:r>
    </w:p>
    <w:p>
      <w:pPr>
        <w:spacing w:line="360" w:lineRule="auto"/>
        <w:rPr>
          <w:rFonts w:hint="eastAsia" w:ascii="宋体" w:hAnsi="宋体" w:cs="宋体"/>
          <w:sz w:val="24"/>
        </w:rPr>
      </w:pPr>
      <w:r>
        <w:rPr>
          <w:rFonts w:hint="eastAsia" w:ascii="宋体" w:hAnsi="宋体" w:cs="宋体"/>
          <w:sz w:val="24"/>
        </w:rPr>
        <w:t>（6）过程文档：《培训计划》、《培训记录》、《例会记录》（含系统演示光盘）；</w:t>
      </w:r>
    </w:p>
    <w:p>
      <w:pPr>
        <w:spacing w:line="360" w:lineRule="auto"/>
        <w:rPr>
          <w:rFonts w:hint="eastAsia" w:ascii="宋体" w:hAnsi="宋体" w:cs="宋体"/>
          <w:sz w:val="24"/>
        </w:rPr>
      </w:pPr>
      <w:r>
        <w:rPr>
          <w:rFonts w:hint="eastAsia" w:ascii="宋体" w:hAnsi="宋体" w:cs="宋体"/>
          <w:sz w:val="24"/>
        </w:rPr>
        <w:t>（7）交付使用：《业务操作手册》、《系统安装维护手册》、《数据字典》、《系统功能说明书》、《程序维护手册》。</w:t>
      </w:r>
    </w:p>
    <w:p>
      <w:pPr>
        <w:spacing w:line="360" w:lineRule="auto"/>
        <w:rPr>
          <w:rFonts w:hint="eastAsia" w:ascii="宋体" w:hAnsi="宋体" w:cs="宋体"/>
          <w:sz w:val="24"/>
        </w:rPr>
      </w:pPr>
      <w:r>
        <w:rPr>
          <w:rFonts w:hint="eastAsia" w:ascii="宋体" w:hAnsi="宋体" w:cs="宋体"/>
          <w:sz w:val="24"/>
        </w:rPr>
        <w:t>（8）程序安装包（含初始化数据包、服务器端安装包、数据库端安装包）、安装步骤说明手册。</w:t>
      </w:r>
    </w:p>
    <w:p>
      <w:pPr>
        <w:spacing w:line="360" w:lineRule="auto"/>
        <w:rPr>
          <w:rFonts w:hint="eastAsia" w:ascii="宋体" w:hAnsi="宋体" w:cs="宋体"/>
          <w:sz w:val="24"/>
        </w:rPr>
      </w:pPr>
      <w:r>
        <w:rPr>
          <w:rFonts w:hint="eastAsia" w:ascii="宋体" w:hAnsi="宋体" w:cs="宋体"/>
          <w:sz w:val="24"/>
        </w:rPr>
        <w:t>（9）与工程相关的其他文档。</w:t>
      </w:r>
    </w:p>
    <w:p>
      <w:pPr>
        <w:spacing w:line="360" w:lineRule="auto"/>
        <w:rPr>
          <w:rFonts w:hint="eastAsia" w:ascii="宋体" w:hAnsi="宋体" w:cs="宋体"/>
          <w:sz w:val="24"/>
        </w:rPr>
      </w:pPr>
      <w:r>
        <w:rPr>
          <w:rFonts w:hint="eastAsia" w:ascii="宋体" w:hAnsi="宋体" w:cs="宋体"/>
          <w:sz w:val="24"/>
        </w:rPr>
        <w:t>提供的技术文件应该真实、全面、完整、详细，应以中文书写；能满足系统运行安装调试、操作使用及维护管理等所需的详细技术资料。</w:t>
      </w:r>
    </w:p>
    <w:p>
      <w:pPr>
        <w:spacing w:line="360" w:lineRule="auto"/>
        <w:rPr>
          <w:rFonts w:ascii="宋体" w:hAnsi="宋体" w:cs="宋体"/>
          <w:sz w:val="24"/>
        </w:rPr>
      </w:pPr>
      <w:r>
        <w:rPr>
          <w:rFonts w:ascii="宋体" w:hAnsi="宋体" w:cs="宋体"/>
          <w:b/>
          <w:sz w:val="28"/>
          <w:szCs w:val="28"/>
        </w:rPr>
        <w:t xml:space="preserve"> </w:t>
      </w:r>
      <w:bookmarkEnd w:id="241"/>
      <w:bookmarkEnd w:id="242"/>
      <w:bookmarkEnd w:id="243"/>
      <w:r>
        <w:rPr>
          <w:rFonts w:hint="eastAsia" w:ascii="宋体" w:hAnsi="宋体" w:cs="宋体"/>
          <w:b/>
          <w:sz w:val="28"/>
          <w:szCs w:val="28"/>
          <w:lang w:eastAsia="zh-CN"/>
        </w:rPr>
        <w:t>七、付款方式：</w:t>
      </w:r>
      <w:r>
        <w:rPr>
          <w:rFonts w:hint="eastAsia" w:ascii="宋体" w:hAnsi="宋体" w:cs="宋体"/>
          <w:b w:val="0"/>
          <w:bCs/>
          <w:sz w:val="24"/>
          <w:szCs w:val="24"/>
          <w:lang w:eastAsia="zh-CN"/>
        </w:rPr>
        <w:t>合同签订后10个工作日内支付合同款项的30%，项目验收合格后支付至合同款项的</w:t>
      </w:r>
      <w:r>
        <w:rPr>
          <w:rFonts w:hint="eastAsia" w:ascii="宋体" w:hAnsi="宋体" w:cs="宋体"/>
          <w:b w:val="0"/>
          <w:bCs/>
          <w:sz w:val="24"/>
          <w:szCs w:val="24"/>
          <w:lang w:val="en-US" w:eastAsia="zh-CN"/>
        </w:rPr>
        <w:t>80</w:t>
      </w:r>
      <w:r>
        <w:rPr>
          <w:rFonts w:hint="eastAsia" w:ascii="宋体" w:hAnsi="宋体" w:cs="宋体"/>
          <w:b w:val="0"/>
          <w:bCs/>
          <w:sz w:val="24"/>
          <w:szCs w:val="24"/>
          <w:lang w:eastAsia="zh-CN"/>
        </w:rPr>
        <w:t>%，维护期满第一年后</w:t>
      </w:r>
      <w:r>
        <w:rPr>
          <w:rFonts w:hint="eastAsia" w:ascii="宋体" w:hAnsi="宋体" w:cs="宋体"/>
          <w:b w:val="0"/>
          <w:bCs/>
          <w:sz w:val="24"/>
          <w:szCs w:val="24"/>
          <w:lang w:val="en-US" w:eastAsia="zh-CN"/>
        </w:rPr>
        <w:t>10个工作日内</w:t>
      </w:r>
      <w:r>
        <w:rPr>
          <w:rFonts w:hint="eastAsia" w:ascii="宋体" w:hAnsi="宋体" w:cs="宋体"/>
          <w:b w:val="0"/>
          <w:bCs/>
          <w:sz w:val="24"/>
          <w:szCs w:val="24"/>
          <w:lang w:eastAsia="zh-CN"/>
        </w:rPr>
        <w:t>支付合同款项的</w:t>
      </w:r>
      <w:r>
        <w:rPr>
          <w:rFonts w:hint="eastAsia" w:ascii="宋体" w:hAnsi="宋体" w:cs="宋体"/>
          <w:b w:val="0"/>
          <w:bCs/>
          <w:sz w:val="24"/>
          <w:szCs w:val="24"/>
          <w:lang w:val="en-US" w:eastAsia="zh-CN"/>
        </w:rPr>
        <w:t>5%，</w:t>
      </w:r>
      <w:r>
        <w:rPr>
          <w:rFonts w:hint="eastAsia" w:ascii="宋体" w:hAnsi="宋体" w:cs="宋体"/>
          <w:b w:val="0"/>
          <w:bCs/>
          <w:sz w:val="24"/>
          <w:szCs w:val="24"/>
          <w:lang w:eastAsia="zh-CN"/>
        </w:rPr>
        <w:t>维护期满第二年后</w:t>
      </w:r>
      <w:r>
        <w:rPr>
          <w:rFonts w:hint="eastAsia" w:ascii="宋体" w:hAnsi="宋体" w:cs="宋体"/>
          <w:b w:val="0"/>
          <w:bCs/>
          <w:sz w:val="24"/>
          <w:szCs w:val="24"/>
          <w:lang w:val="en-US" w:eastAsia="zh-CN"/>
        </w:rPr>
        <w:t>10个工作日内</w:t>
      </w:r>
      <w:r>
        <w:rPr>
          <w:rFonts w:hint="eastAsia" w:ascii="宋体" w:hAnsi="宋体" w:cs="宋体"/>
          <w:b w:val="0"/>
          <w:bCs/>
          <w:sz w:val="24"/>
          <w:szCs w:val="24"/>
          <w:lang w:eastAsia="zh-CN"/>
        </w:rPr>
        <w:t>支付合同款项的</w:t>
      </w:r>
      <w:r>
        <w:rPr>
          <w:rFonts w:hint="eastAsia" w:ascii="宋体" w:hAnsi="宋体" w:cs="宋体"/>
          <w:b w:val="0"/>
          <w:bCs/>
          <w:sz w:val="24"/>
          <w:szCs w:val="24"/>
          <w:lang w:val="en-US" w:eastAsia="zh-CN"/>
        </w:rPr>
        <w:t>5%，维护期满三年后10个工作日内支付合同款项的10%</w:t>
      </w:r>
      <w:r>
        <w:rPr>
          <w:rFonts w:hint="eastAsia" w:ascii="宋体" w:hAnsi="宋体" w:cs="宋体"/>
          <w:b w:val="0"/>
          <w:bCs/>
          <w:sz w:val="24"/>
          <w:szCs w:val="24"/>
          <w:lang w:eastAsia="zh-CN"/>
        </w:rPr>
        <w:t>。</w:t>
      </w:r>
      <w:r>
        <w:rPr>
          <w:rFonts w:hint="eastAsia" w:ascii="宋体" w:hAnsi="宋体" w:cs="宋体"/>
          <w:sz w:val="24"/>
        </w:rPr>
        <w:br w:type="page"/>
      </w:r>
      <w:bookmarkStart w:id="244" w:name="_Toc17532"/>
      <w:bookmarkStart w:id="245" w:name="_Toc531002785"/>
      <w:bookmarkStart w:id="246" w:name="_Toc40971317"/>
      <w:r>
        <w:rPr>
          <w:rFonts w:hint="eastAsia" w:ascii="宋体" w:hAnsi="宋体" w:cs="宋体"/>
          <w:sz w:val="24"/>
        </w:rPr>
        <w:t>附表1  项目</w:t>
      </w:r>
      <w:bookmarkEnd w:id="244"/>
      <w:bookmarkEnd w:id="245"/>
      <w:bookmarkEnd w:id="246"/>
      <w:r>
        <w:rPr>
          <w:rFonts w:hint="eastAsia" w:ascii="宋体" w:hAnsi="宋体" w:cs="宋体"/>
          <w:sz w:val="24"/>
        </w:rPr>
        <w:t>需求清单</w:t>
      </w:r>
    </w:p>
    <w:tbl>
      <w:tblPr>
        <w:tblStyle w:val="18"/>
        <w:tblW w:w="4998" w:type="pct"/>
        <w:tblInd w:w="0" w:type="dxa"/>
        <w:tblLayout w:type="autofit"/>
        <w:tblCellMar>
          <w:top w:w="0" w:type="dxa"/>
          <w:left w:w="0" w:type="dxa"/>
          <w:bottom w:w="0" w:type="dxa"/>
          <w:right w:w="0" w:type="dxa"/>
        </w:tblCellMar>
      </w:tblPr>
      <w:tblGrid>
        <w:gridCol w:w="1379"/>
        <w:gridCol w:w="3951"/>
        <w:gridCol w:w="3003"/>
      </w:tblGrid>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sz w:val="24"/>
                <w:szCs w:val="24"/>
              </w:rPr>
            </w:pPr>
            <w:bookmarkStart w:id="247" w:name="_Toc517902111"/>
            <w:bookmarkStart w:id="248" w:name="_Toc520906716"/>
            <w:r>
              <w:rPr>
                <w:rFonts w:hint="eastAsia" w:ascii="宋体" w:hAnsi="宋体" w:eastAsia="宋体" w:cs="宋体"/>
                <w:sz w:val="24"/>
                <w:szCs w:val="24"/>
              </w:rPr>
              <w:t>一</w:t>
            </w:r>
          </w:p>
        </w:tc>
        <w:tc>
          <w:tcPr>
            <w:tcW w:w="2370" w:type="pct"/>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软件平台</w:t>
            </w:r>
          </w:p>
        </w:tc>
        <w:tc>
          <w:tcPr>
            <w:tcW w:w="1801" w:type="pct"/>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数字图书馆子系统</w:t>
            </w:r>
          </w:p>
        </w:tc>
        <w:tc>
          <w:tcPr>
            <w:tcW w:w="180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数字化阅读</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大数据分析</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智慧导览</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智慧体育馆子系统</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2"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2.1</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活动发布</w:t>
            </w:r>
          </w:p>
        </w:tc>
        <w:tc>
          <w:tcPr>
            <w:tcW w:w="18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利用公众服务子系统功能组合</w:t>
            </w:r>
          </w:p>
        </w:tc>
      </w:tr>
      <w:tr>
        <w:tblPrEx>
          <w:tblCellMar>
            <w:top w:w="0" w:type="dxa"/>
            <w:left w:w="0" w:type="dxa"/>
            <w:bottom w:w="0" w:type="dxa"/>
            <w:right w:w="0" w:type="dxa"/>
          </w:tblCellMar>
        </w:tblPrEx>
        <w:trPr>
          <w:trHeight w:val="282"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预约管理</w:t>
            </w:r>
          </w:p>
        </w:tc>
        <w:tc>
          <w:tcPr>
            <w:tcW w:w="18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2"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2.3</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赛事信息管理</w:t>
            </w:r>
          </w:p>
        </w:tc>
        <w:tc>
          <w:tcPr>
            <w:tcW w:w="18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智慧博物馆子系统</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3.1</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线上博物馆VR展厅</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3.2</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微信公众号</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智慧文保子系统</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4.1</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移动巡查系统</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4.2</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文保事件监管系统</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数字文化馆子系统</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5.1</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信息发布与管理</w:t>
            </w:r>
          </w:p>
        </w:tc>
        <w:tc>
          <w:tcPr>
            <w:tcW w:w="1801"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利用公众服务子系统功能组合</w:t>
            </w: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5.2</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文化活动发布与管理</w:t>
            </w:r>
          </w:p>
        </w:tc>
        <w:tc>
          <w:tcPr>
            <w:tcW w:w="1801"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5.3</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资源展示与管理</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5.4</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文化配送模块</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5.5</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虚拟全景展示平台</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5.6</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艺术普及与培训平台</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5.7</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文化地图与导览服务平台</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512"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5.8</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票务预订平台</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利用公众服务子系统功能组合</w:t>
            </w: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5.9</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大数据分析与统计平台</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5.10</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文化志愿者</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658"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公众服务子系统</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9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6.1</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文化信息服务模块</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含PC端和微信，文化信息服务平台主要整合各单位的文化信息，实现文化信息的统一发布，本平台用于文化信息的管理和发布。包含剧场、电影、文化市场、上虞青、文化客厅、考古公园、文化市场动态等信息发布和管理</w:t>
            </w:r>
          </w:p>
        </w:tc>
      </w:tr>
      <w:tr>
        <w:tblPrEx>
          <w:tblCellMar>
            <w:top w:w="0" w:type="dxa"/>
            <w:left w:w="0" w:type="dxa"/>
            <w:bottom w:w="0" w:type="dxa"/>
            <w:right w:w="0" w:type="dxa"/>
          </w:tblCellMar>
        </w:tblPrEx>
        <w:trPr>
          <w:trHeight w:val="189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6.2</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信息查询及订阅推送模块</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在PC页面和微信公众号定期推送最新的文化活动信息并展示最近的课程、场馆、参观的预约情况。通过个人中心可查询，含PC端和微信</w:t>
            </w:r>
          </w:p>
        </w:tc>
      </w:tr>
      <w:tr>
        <w:tblPrEx>
          <w:tblCellMar>
            <w:top w:w="0" w:type="dxa"/>
            <w:left w:w="0" w:type="dxa"/>
            <w:bottom w:w="0" w:type="dxa"/>
            <w:right w:w="0" w:type="dxa"/>
          </w:tblCellMar>
        </w:tblPrEx>
        <w:trPr>
          <w:trHeight w:val="189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6.3</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统一预约子系统模块</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集成统一的预约平台，注册用户可以在PC页或者微信端支持手机操作的页面进行预约操作。介绍和展示各场馆功能及服务介绍。含PC端和微信</w:t>
            </w:r>
          </w:p>
        </w:tc>
      </w:tr>
      <w:tr>
        <w:tblPrEx>
          <w:tblCellMar>
            <w:top w:w="0" w:type="dxa"/>
            <w:left w:w="0" w:type="dxa"/>
            <w:bottom w:w="0" w:type="dxa"/>
            <w:right w:w="0" w:type="dxa"/>
          </w:tblCellMar>
        </w:tblPrEx>
        <w:trPr>
          <w:trHeight w:val="216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6.4</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在线订购模块</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通过PC端或者手机微信端登录平台可进入各模块的购票功能。平台中展示可以在线订购的内容，跳转到第三方购票平台来实现购票的操作。含PC端和微信</w:t>
            </w:r>
          </w:p>
        </w:tc>
      </w:tr>
      <w:tr>
        <w:tblPrEx>
          <w:tblCellMar>
            <w:top w:w="0" w:type="dxa"/>
            <w:left w:w="0" w:type="dxa"/>
            <w:bottom w:w="0" w:type="dxa"/>
            <w:right w:w="0" w:type="dxa"/>
          </w:tblCellMar>
        </w:tblPrEx>
        <w:trPr>
          <w:trHeight w:val="108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6.5</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活动、赛事管理及发布模块</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实现文化馆、体育馆、图书馆等活动发布、管理及赛事发布管理</w:t>
            </w: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6.6</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扫描讲解模块</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6.7</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视频及视频导览模块</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144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统一视频系统子系统</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视频管理平台，应能实现不同设备及系统的互联、互通、互控，实现视音频的采集、传输、转换、显示、存储、控制等功能</w:t>
            </w:r>
          </w:p>
        </w:tc>
      </w:tr>
      <w:tr>
        <w:tblPrEx>
          <w:tblCellMar>
            <w:top w:w="0" w:type="dxa"/>
            <w:left w:w="0" w:type="dxa"/>
            <w:bottom w:w="0" w:type="dxa"/>
            <w:right w:w="0" w:type="dxa"/>
          </w:tblCellMar>
        </w:tblPrEx>
        <w:trPr>
          <w:trHeight w:val="96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统一配置管理系统子系统</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统一配置管理系统主要各单位提供后端的管理系统。包括统一用户、统一发布、统一内容等</w:t>
            </w: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人流量监测系统（软件）</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1440" w:hRule="atLeast"/>
        </w:trPr>
        <w:tc>
          <w:tcPr>
            <w:tcW w:w="827"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数据分析系统子系统</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通过一张图，整合所有场馆信息和视频监控信息及运营信息，分析场馆人流量、微信及网站访问量、预约量统计分析、满意度评价</w:t>
            </w:r>
          </w:p>
        </w:tc>
      </w:tr>
      <w:tr>
        <w:tblPrEx>
          <w:tblCellMar>
            <w:top w:w="0" w:type="dxa"/>
            <w:left w:w="0" w:type="dxa"/>
            <w:bottom w:w="0" w:type="dxa"/>
            <w:right w:w="0" w:type="dxa"/>
          </w:tblCellMar>
        </w:tblPrEx>
        <w:trPr>
          <w:trHeight w:val="1350" w:hRule="atLeast"/>
        </w:trPr>
        <w:tc>
          <w:tcPr>
            <w:tcW w:w="82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2370"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大数据资源中心</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数据信息共享与采集、实现基本数据录入数据库，数据资源管理、保存各类场馆及相关资源</w:t>
            </w:r>
          </w:p>
        </w:tc>
      </w:tr>
      <w:tr>
        <w:tblPrEx>
          <w:tblCellMar>
            <w:top w:w="0" w:type="dxa"/>
            <w:left w:w="0" w:type="dxa"/>
            <w:bottom w:w="0" w:type="dxa"/>
            <w:right w:w="0" w:type="dxa"/>
          </w:tblCellMar>
        </w:tblPrEx>
        <w:trPr>
          <w:trHeight w:val="270" w:hRule="atLeast"/>
        </w:trPr>
        <w:tc>
          <w:tcPr>
            <w:tcW w:w="827" w:type="pct"/>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三年软件质保服务</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包含在项目总价中</w:t>
            </w: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二、</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硬件设备采购</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54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文化客厅人流量监测设备</w:t>
            </w:r>
          </w:p>
        </w:tc>
        <w:tc>
          <w:tcPr>
            <w:tcW w:w="180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体育馆人流量监测设备</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文管所人流量监测设备</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文管所视频监控系统</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文化馆终端一体机</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剧院视频监控设备</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图书馆人流量监测设备</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博物馆人流量检测设备</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接入平台vpn电路</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三、</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音视频制作</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54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文化客厅讲解音视频制作</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体育馆器械使用音视频制作</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博物馆展品音视频制作</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文化馆课件资源购买</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文保场所音视频讲解</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四、</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等保检测及安全服务</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“智慧文化”平台二级等保检测及安全服务</w:t>
            </w: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五、</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政务云</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1年服务</w:t>
            </w: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六、</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视频设备托管租用</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1年服务</w:t>
            </w: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七、</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运营费</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1年运营服务</w:t>
            </w:r>
          </w:p>
        </w:tc>
      </w:tr>
      <w:tr>
        <w:tblPrEx>
          <w:tblCellMar>
            <w:top w:w="0" w:type="dxa"/>
            <w:left w:w="0" w:type="dxa"/>
            <w:bottom w:w="0" w:type="dxa"/>
            <w:right w:w="0" w:type="dxa"/>
          </w:tblCellMar>
        </w:tblPrEx>
        <w:trPr>
          <w:trHeight w:val="270" w:hRule="atLeast"/>
        </w:trPr>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八、</w:t>
            </w:r>
          </w:p>
        </w:tc>
        <w:tc>
          <w:tcPr>
            <w:tcW w:w="23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文化推广</w:t>
            </w:r>
          </w:p>
        </w:tc>
        <w:tc>
          <w:tcPr>
            <w:tcW w:w="18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规划3次上虞历史文化挖掘及推广活动，对上虞非遗文化、饮食文化、名人大家、大型文体活动进行有目标的推广，包括微博 抖音等新平台推广，完成总点击率300万次的目标。</w:t>
            </w:r>
          </w:p>
        </w:tc>
      </w:tr>
    </w:tbl>
    <w:p>
      <w:pPr>
        <w:spacing w:line="360" w:lineRule="auto"/>
        <w:rPr>
          <w:rFonts w:ascii="宋体" w:hAnsi="宋体" w:cs="宋体"/>
          <w:sz w:val="24"/>
        </w:rPr>
        <w:sectPr>
          <w:footerReference r:id="rId3" w:type="default"/>
          <w:pgSz w:w="11906" w:h="16838"/>
          <w:pgMar w:top="1440" w:right="1800" w:bottom="1440" w:left="1800" w:header="851" w:footer="992" w:gutter="0"/>
          <w:cols w:space="720" w:num="1"/>
          <w:docGrid w:type="lines" w:linePitch="312" w:charSpace="0"/>
        </w:sectPr>
      </w:pPr>
    </w:p>
    <w:p>
      <w:pPr>
        <w:spacing w:line="360" w:lineRule="auto"/>
        <w:rPr>
          <w:rFonts w:ascii="宋体" w:hAnsi="宋体" w:cs="宋体"/>
          <w:sz w:val="24"/>
        </w:rPr>
      </w:pPr>
      <w:bookmarkStart w:id="249" w:name="_Toc40971318"/>
      <w:bookmarkStart w:id="250" w:name="_Toc14676"/>
      <w:bookmarkStart w:id="251" w:name="_Toc531002786"/>
      <w:r>
        <w:rPr>
          <w:rFonts w:hint="eastAsia" w:ascii="宋体" w:hAnsi="宋体" w:cs="宋体"/>
          <w:sz w:val="24"/>
        </w:rPr>
        <w:t xml:space="preserve">附表2  </w:t>
      </w:r>
      <w:bookmarkEnd w:id="247"/>
      <w:bookmarkEnd w:id="248"/>
      <w:r>
        <w:rPr>
          <w:rFonts w:hint="eastAsia" w:ascii="宋体" w:hAnsi="宋体" w:cs="宋体"/>
          <w:sz w:val="24"/>
        </w:rPr>
        <w:t>硬件设备</w:t>
      </w:r>
      <w:bookmarkEnd w:id="249"/>
      <w:bookmarkEnd w:id="250"/>
      <w:bookmarkEnd w:id="251"/>
      <w:r>
        <w:rPr>
          <w:rFonts w:hint="eastAsia" w:ascii="宋体" w:hAnsi="宋体" w:cs="宋体"/>
          <w:sz w:val="24"/>
        </w:rPr>
        <w:t>指标清单</w:t>
      </w:r>
    </w:p>
    <w:tbl>
      <w:tblPr>
        <w:tblStyle w:val="18"/>
        <w:tblW w:w="13700" w:type="dxa"/>
        <w:tblInd w:w="108" w:type="dxa"/>
        <w:tblLayout w:type="autofit"/>
        <w:tblCellMar>
          <w:top w:w="0" w:type="dxa"/>
          <w:left w:w="108" w:type="dxa"/>
          <w:bottom w:w="0" w:type="dxa"/>
          <w:right w:w="108" w:type="dxa"/>
        </w:tblCellMar>
      </w:tblPr>
      <w:tblGrid>
        <w:gridCol w:w="738"/>
        <w:gridCol w:w="2462"/>
        <w:gridCol w:w="61"/>
        <w:gridCol w:w="8959"/>
        <w:gridCol w:w="708"/>
        <w:gridCol w:w="772"/>
      </w:tblGrid>
      <w:tr>
        <w:tblPrEx>
          <w:tblCellMar>
            <w:top w:w="0" w:type="dxa"/>
            <w:left w:w="108" w:type="dxa"/>
            <w:bottom w:w="0" w:type="dxa"/>
            <w:right w:w="108" w:type="dxa"/>
          </w:tblCellMar>
        </w:tblPrEx>
        <w:trPr>
          <w:trHeight w:val="270" w:hRule="atLeast"/>
        </w:trPr>
        <w:tc>
          <w:tcPr>
            <w:tcW w:w="7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序号</w:t>
            </w:r>
          </w:p>
        </w:tc>
        <w:tc>
          <w:tcPr>
            <w:tcW w:w="2523"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设备</w:t>
            </w:r>
          </w:p>
        </w:tc>
        <w:tc>
          <w:tcPr>
            <w:tcW w:w="895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主要性能指标</w:t>
            </w:r>
          </w:p>
        </w:tc>
        <w:tc>
          <w:tcPr>
            <w:tcW w:w="70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单位</w:t>
            </w:r>
          </w:p>
        </w:tc>
        <w:tc>
          <w:tcPr>
            <w:tcW w:w="77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数量</w:t>
            </w:r>
          </w:p>
        </w:tc>
      </w:tr>
      <w:tr>
        <w:tblPrEx>
          <w:tblCellMar>
            <w:top w:w="0" w:type="dxa"/>
            <w:left w:w="108" w:type="dxa"/>
            <w:bottom w:w="0" w:type="dxa"/>
            <w:right w:w="108" w:type="dxa"/>
          </w:tblCellMar>
        </w:tblPrEx>
        <w:trPr>
          <w:trHeight w:val="9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w:t>
            </w:r>
          </w:p>
        </w:tc>
        <w:tc>
          <w:tcPr>
            <w:tcW w:w="2462" w:type="dxa"/>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高清红外网络摄像机</w:t>
            </w:r>
          </w:p>
        </w:tc>
        <w:tc>
          <w:tcPr>
            <w:tcW w:w="9020"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400万 1/1.8” CMOS AI智能客流统计筒型网络摄像机</w:t>
            </w:r>
          </w:p>
          <w:p>
            <w:pPr>
              <w:spacing w:line="360" w:lineRule="auto"/>
              <w:rPr>
                <w:rFonts w:hint="eastAsia" w:ascii="宋体" w:hAnsi="宋体" w:eastAsia="宋体" w:cs="宋体"/>
                <w:sz w:val="24"/>
                <w:szCs w:val="24"/>
              </w:rPr>
            </w:pPr>
            <w:r>
              <w:rPr>
                <w:rFonts w:hint="eastAsia" w:ascii="宋体" w:hAnsi="宋体" w:eastAsia="宋体" w:cs="宋体"/>
                <w:sz w:val="24"/>
                <w:szCs w:val="24"/>
              </w:rPr>
              <w:t>由变焦筒机与高性能GPU模块组成，内嵌深度学习算法</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支持2种智能资源模式切换：客流量统计，人员密度检测</w:t>
            </w:r>
          </w:p>
          <w:p>
            <w:pPr>
              <w:spacing w:line="360" w:lineRule="auto"/>
              <w:rPr>
                <w:rFonts w:hint="eastAsia" w:ascii="宋体" w:hAnsi="宋体" w:eastAsia="宋体" w:cs="宋体"/>
                <w:sz w:val="24"/>
                <w:szCs w:val="24"/>
              </w:rPr>
            </w:pPr>
            <w:r>
              <w:rPr>
                <w:rFonts w:hint="eastAsia" w:ascii="宋体" w:hAnsi="宋体" w:eastAsia="宋体" w:cs="宋体"/>
                <w:sz w:val="24"/>
                <w:szCs w:val="24"/>
              </w:rPr>
              <w:t>客流量统计:</w:t>
            </w:r>
          </w:p>
          <w:p>
            <w:pPr>
              <w:spacing w:line="360" w:lineRule="auto"/>
              <w:rPr>
                <w:rFonts w:hint="eastAsia" w:ascii="宋体" w:hAnsi="宋体" w:eastAsia="宋体" w:cs="宋体"/>
                <w:sz w:val="24"/>
                <w:szCs w:val="24"/>
              </w:rPr>
            </w:pPr>
            <w:r>
              <w:rPr>
                <w:rFonts w:hint="eastAsia" w:ascii="宋体" w:hAnsi="宋体" w:eastAsia="宋体" w:cs="宋体"/>
                <w:sz w:val="24"/>
                <w:szCs w:val="24"/>
              </w:rPr>
              <w:t>深度学习算法结合智能跟踪算法，分析行人的行为轨迹，精确计算出客流人数及行走方向</w:t>
            </w:r>
          </w:p>
          <w:p>
            <w:pPr>
              <w:spacing w:line="360" w:lineRule="auto"/>
              <w:rPr>
                <w:rFonts w:hint="eastAsia" w:ascii="宋体" w:hAnsi="宋体" w:eastAsia="宋体" w:cs="宋体"/>
                <w:sz w:val="24"/>
                <w:szCs w:val="24"/>
              </w:rPr>
            </w:pPr>
            <w:r>
              <w:rPr>
                <w:rFonts w:hint="eastAsia" w:ascii="宋体" w:hAnsi="宋体" w:eastAsia="宋体" w:cs="宋体"/>
                <w:sz w:val="24"/>
                <w:szCs w:val="24"/>
              </w:rPr>
              <w:t>对计数区域分块处理，分别对进入和离开的人计数，为监控区域的人流量分析提供了数据支持</w:t>
            </w:r>
          </w:p>
          <w:p>
            <w:pPr>
              <w:spacing w:line="360" w:lineRule="auto"/>
              <w:rPr>
                <w:rFonts w:hint="eastAsia" w:ascii="宋体" w:hAnsi="宋体" w:eastAsia="宋体" w:cs="宋体"/>
                <w:sz w:val="24"/>
                <w:szCs w:val="24"/>
              </w:rPr>
            </w:pPr>
            <w:r>
              <w:rPr>
                <w:rFonts w:hint="eastAsia" w:ascii="宋体" w:hAnsi="宋体" w:eastAsia="宋体" w:cs="宋体"/>
                <w:sz w:val="24"/>
                <w:szCs w:val="24"/>
              </w:rPr>
              <w:t>人员密度检测:</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支持人员密度统计功能，输出当前区域实时人数概况及拥堵等级</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支持联动报警，当人员密度达到设定拥堵等级时可联动产生报警警示</w:t>
            </w:r>
          </w:p>
          <w:p>
            <w:pPr>
              <w:spacing w:line="360" w:lineRule="auto"/>
              <w:rPr>
                <w:rFonts w:hint="eastAsia" w:ascii="宋体" w:hAnsi="宋体" w:eastAsia="宋体" w:cs="宋体"/>
                <w:sz w:val="24"/>
                <w:szCs w:val="24"/>
              </w:rPr>
            </w:pPr>
            <w:r>
              <w:rPr>
                <w:rFonts w:hint="eastAsia" w:ascii="宋体" w:hAnsi="宋体" w:eastAsia="宋体" w:cs="宋体"/>
                <w:sz w:val="24"/>
                <w:szCs w:val="24"/>
              </w:rPr>
              <w:t>设备内置高效专利温和补光灯，告别光污染，保证夜间正常监控</w:t>
            </w:r>
          </w:p>
          <w:p>
            <w:pPr>
              <w:spacing w:line="360" w:lineRule="auto"/>
              <w:rPr>
                <w:rFonts w:hint="eastAsia" w:ascii="宋体" w:hAnsi="宋体" w:eastAsia="宋体" w:cs="宋体"/>
                <w:sz w:val="24"/>
                <w:szCs w:val="24"/>
              </w:rPr>
            </w:pPr>
            <w:r>
              <w:rPr>
                <w:rFonts w:hint="eastAsia" w:ascii="宋体" w:hAnsi="宋体" w:eastAsia="宋体" w:cs="宋体"/>
                <w:sz w:val="24"/>
                <w:szCs w:val="24"/>
              </w:rPr>
              <w:t>最低照度: 彩色：0.0005 Lux @（F1.2，AGC ON） ; 黑白：0.0001 Lux @（F1.2，AGC ON），0 Lux with IR</w:t>
            </w:r>
          </w:p>
          <w:p>
            <w:pPr>
              <w:spacing w:line="360" w:lineRule="auto"/>
              <w:rPr>
                <w:rFonts w:hint="eastAsia" w:ascii="宋体" w:hAnsi="宋体" w:eastAsia="宋体" w:cs="宋体"/>
                <w:sz w:val="24"/>
                <w:szCs w:val="24"/>
              </w:rPr>
            </w:pPr>
            <w:r>
              <w:rPr>
                <w:rFonts w:hint="eastAsia" w:ascii="宋体" w:hAnsi="宋体" w:eastAsia="宋体" w:cs="宋体"/>
                <w:sz w:val="24"/>
                <w:szCs w:val="24"/>
              </w:rPr>
              <w:t>宽动态: 120 dB</w:t>
            </w:r>
          </w:p>
          <w:p>
            <w:pPr>
              <w:spacing w:line="360" w:lineRule="auto"/>
              <w:rPr>
                <w:rFonts w:hint="eastAsia" w:ascii="宋体" w:hAnsi="宋体" w:eastAsia="宋体" w:cs="宋体"/>
                <w:sz w:val="24"/>
                <w:szCs w:val="24"/>
              </w:rPr>
            </w:pPr>
            <w:r>
              <w:rPr>
                <w:rFonts w:hint="eastAsia" w:ascii="宋体" w:hAnsi="宋体" w:eastAsia="宋体" w:cs="宋体"/>
                <w:sz w:val="24"/>
                <w:szCs w:val="24"/>
              </w:rPr>
              <w:t>焦距&amp;视场角: 2.8~12 mm @F1.38，水平视场角：100°~39.8°，垂直视场角52°~22.4°，对角视场角120°~45.7°</w:t>
            </w:r>
          </w:p>
          <w:p>
            <w:pPr>
              <w:spacing w:line="360" w:lineRule="auto"/>
              <w:rPr>
                <w:rFonts w:hint="eastAsia" w:ascii="宋体" w:hAnsi="宋体" w:eastAsia="宋体" w:cs="宋体"/>
                <w:sz w:val="24"/>
                <w:szCs w:val="24"/>
              </w:rPr>
            </w:pPr>
            <w:r>
              <w:rPr>
                <w:rFonts w:hint="eastAsia" w:ascii="宋体" w:hAnsi="宋体" w:eastAsia="宋体" w:cs="宋体"/>
                <w:sz w:val="24"/>
                <w:szCs w:val="24"/>
              </w:rPr>
              <w:t>混光距离 最远可达30 m</w:t>
            </w:r>
          </w:p>
          <w:p>
            <w:pPr>
              <w:spacing w:line="360" w:lineRule="auto"/>
              <w:rPr>
                <w:rFonts w:hint="eastAsia" w:ascii="宋体" w:hAnsi="宋体" w:eastAsia="宋体" w:cs="宋体"/>
                <w:sz w:val="24"/>
                <w:szCs w:val="24"/>
              </w:rPr>
            </w:pPr>
            <w:r>
              <w:rPr>
                <w:rFonts w:hint="eastAsia" w:ascii="宋体" w:hAnsi="宋体" w:eastAsia="宋体" w:cs="宋体"/>
                <w:sz w:val="24"/>
                <w:szCs w:val="24"/>
              </w:rPr>
              <w:t>波长范围 750 nm</w:t>
            </w:r>
          </w:p>
          <w:p>
            <w:pPr>
              <w:spacing w:line="360" w:lineRule="auto"/>
              <w:rPr>
                <w:rFonts w:hint="eastAsia" w:ascii="宋体" w:hAnsi="宋体" w:eastAsia="宋体" w:cs="宋体"/>
                <w:sz w:val="24"/>
                <w:szCs w:val="24"/>
              </w:rPr>
            </w:pPr>
            <w:r>
              <w:rPr>
                <w:rFonts w:hint="eastAsia" w:ascii="宋体" w:hAnsi="宋体" w:eastAsia="宋体" w:cs="宋体"/>
                <w:sz w:val="24"/>
                <w:szCs w:val="24"/>
              </w:rPr>
              <w:t>最大图像尺寸: 2688 × 1520</w:t>
            </w:r>
          </w:p>
          <w:p>
            <w:pPr>
              <w:spacing w:line="360" w:lineRule="auto"/>
              <w:rPr>
                <w:rFonts w:hint="eastAsia" w:ascii="宋体" w:hAnsi="宋体" w:eastAsia="宋体" w:cs="宋体"/>
                <w:sz w:val="24"/>
                <w:szCs w:val="24"/>
              </w:rPr>
            </w:pPr>
            <w:r>
              <w:rPr>
                <w:rFonts w:hint="eastAsia" w:ascii="宋体" w:hAnsi="宋体" w:eastAsia="宋体" w:cs="宋体"/>
                <w:sz w:val="24"/>
                <w:szCs w:val="24"/>
              </w:rPr>
              <w:t>视频压缩标准: 主码流：H.265/H.264</w:t>
            </w:r>
          </w:p>
          <w:p>
            <w:pPr>
              <w:spacing w:line="360" w:lineRule="auto"/>
              <w:rPr>
                <w:rFonts w:hint="eastAsia" w:ascii="宋体" w:hAnsi="宋体" w:eastAsia="宋体" w:cs="宋体"/>
                <w:sz w:val="24"/>
                <w:szCs w:val="24"/>
              </w:rPr>
            </w:pPr>
            <w:r>
              <w:rPr>
                <w:rFonts w:hint="eastAsia" w:ascii="宋体" w:hAnsi="宋体" w:eastAsia="宋体" w:cs="宋体"/>
                <w:sz w:val="24"/>
                <w:szCs w:val="24"/>
              </w:rPr>
              <w:t>网络存储: 支持Micro SD(即TF卡)/Micro SDHC/Micro SDXC卡（最大256 GB），断网本地存储及断网续传，NAS（NFS，SMB/CIFS均支持）</w:t>
            </w:r>
          </w:p>
          <w:p>
            <w:pPr>
              <w:spacing w:line="360" w:lineRule="auto"/>
              <w:rPr>
                <w:rFonts w:hint="eastAsia" w:ascii="宋体" w:hAnsi="宋体" w:eastAsia="宋体" w:cs="宋体"/>
                <w:sz w:val="24"/>
                <w:szCs w:val="24"/>
              </w:rPr>
            </w:pPr>
            <w:r>
              <w:rPr>
                <w:rFonts w:hint="eastAsia" w:ascii="宋体" w:hAnsi="宋体" w:eastAsia="宋体" w:cs="宋体"/>
                <w:sz w:val="24"/>
                <w:szCs w:val="24"/>
              </w:rPr>
              <w:t>报警: 3路输入，2路输出（报警输出最大支持DC24 V，1 A或AC110 V，500 mA）</w:t>
            </w:r>
          </w:p>
          <w:p>
            <w:pPr>
              <w:spacing w:line="360" w:lineRule="auto"/>
              <w:rPr>
                <w:rFonts w:hint="eastAsia" w:ascii="宋体" w:hAnsi="宋体" w:eastAsia="宋体" w:cs="宋体"/>
                <w:sz w:val="24"/>
                <w:szCs w:val="24"/>
              </w:rPr>
            </w:pPr>
            <w:r>
              <w:rPr>
                <w:rFonts w:hint="eastAsia" w:ascii="宋体" w:hAnsi="宋体" w:eastAsia="宋体" w:cs="宋体"/>
                <w:sz w:val="24"/>
                <w:szCs w:val="24"/>
              </w:rPr>
              <w:t>音频: 2路输入（Line in）（3.5 mm三段式）; 1路输出（Line out）（3.5 mm三段式）</w:t>
            </w:r>
          </w:p>
          <w:p>
            <w:pPr>
              <w:spacing w:line="360" w:lineRule="auto"/>
              <w:rPr>
                <w:rFonts w:hint="eastAsia" w:ascii="宋体" w:hAnsi="宋体" w:eastAsia="宋体" w:cs="宋体"/>
                <w:sz w:val="24"/>
                <w:szCs w:val="24"/>
              </w:rPr>
            </w:pPr>
            <w:r>
              <w:rPr>
                <w:rFonts w:hint="eastAsia" w:ascii="宋体" w:hAnsi="宋体" w:eastAsia="宋体" w:cs="宋体"/>
                <w:sz w:val="24"/>
                <w:szCs w:val="24"/>
              </w:rPr>
              <w:t>1个RS-485</w:t>
            </w:r>
          </w:p>
          <w:p>
            <w:pPr>
              <w:spacing w:line="360" w:lineRule="auto"/>
              <w:rPr>
                <w:rFonts w:hint="eastAsia" w:ascii="宋体" w:hAnsi="宋体" w:eastAsia="宋体" w:cs="宋体"/>
                <w:sz w:val="24"/>
                <w:szCs w:val="24"/>
              </w:rPr>
            </w:pPr>
            <w:r>
              <w:rPr>
                <w:rFonts w:hint="eastAsia" w:ascii="宋体" w:hAnsi="宋体" w:eastAsia="宋体" w:cs="宋体"/>
                <w:sz w:val="24"/>
                <w:szCs w:val="24"/>
              </w:rPr>
              <w:t>视频输出: 1 Vp-p Composite Output（75 Ω/CVBS）</w:t>
            </w:r>
          </w:p>
          <w:p>
            <w:pPr>
              <w:spacing w:line="360" w:lineRule="auto"/>
              <w:rPr>
                <w:rFonts w:hint="eastAsia" w:ascii="宋体" w:hAnsi="宋体" w:eastAsia="宋体" w:cs="宋体"/>
                <w:sz w:val="24"/>
                <w:szCs w:val="24"/>
              </w:rPr>
            </w:pPr>
            <w:r>
              <w:rPr>
                <w:rFonts w:hint="eastAsia" w:ascii="宋体" w:hAnsi="宋体" w:eastAsia="宋体" w:cs="宋体"/>
                <w:sz w:val="24"/>
                <w:szCs w:val="24"/>
              </w:rPr>
              <w:t>复位: 支持</w:t>
            </w:r>
          </w:p>
          <w:p>
            <w:pPr>
              <w:spacing w:line="360" w:lineRule="auto"/>
              <w:rPr>
                <w:rFonts w:hint="eastAsia" w:ascii="宋体" w:hAnsi="宋体" w:eastAsia="宋体" w:cs="宋体"/>
                <w:sz w:val="24"/>
                <w:szCs w:val="24"/>
              </w:rPr>
            </w:pPr>
            <w:r>
              <w:rPr>
                <w:rFonts w:hint="eastAsia" w:ascii="宋体" w:hAnsi="宋体" w:eastAsia="宋体" w:cs="宋体"/>
                <w:sz w:val="24"/>
                <w:szCs w:val="24"/>
              </w:rPr>
              <w:t>网络: 1个RJ45 10 M/100 M/1000 M自适应以太网口</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▲支持人脸比对，比对准确率不低于99%。（公安部检验报告证明）</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支持侧脸过滤功能，可过滤上下、左右角度达到预设值的人脸。（公安部检验报告证明）</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▲支持双向统计客流量及统计重复客流数量，并将统计结果实时叠加在监控画面上。（公安部检验报告证明）</w:t>
            </w:r>
          </w:p>
          <w:p>
            <w:pPr>
              <w:widowControl/>
              <w:jc w:val="left"/>
              <w:rPr>
                <w:rFonts w:hint="eastAsia" w:ascii="宋体" w:hAnsi="宋体" w:eastAsia="宋体" w:cs="宋体"/>
                <w:sz w:val="24"/>
                <w:szCs w:val="24"/>
              </w:rPr>
            </w:pPr>
            <w:r>
              <w:rPr>
                <w:rFonts w:hint="eastAsia" w:ascii="宋体" w:hAnsi="宋体" w:eastAsia="宋体" w:cs="宋体"/>
                <w:sz w:val="24"/>
                <w:szCs w:val="24"/>
              </w:rPr>
              <w:t>▲客流统计准确率不小于99%，重复人员计数准确率不小于99%。（公安部检验报告证明）</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个</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20</w:t>
            </w:r>
          </w:p>
        </w:tc>
      </w:tr>
      <w:tr>
        <w:tblPrEx>
          <w:tblCellMar>
            <w:top w:w="0" w:type="dxa"/>
            <w:left w:w="108" w:type="dxa"/>
            <w:bottom w:w="0" w:type="dxa"/>
            <w:right w:w="108" w:type="dxa"/>
          </w:tblCellMar>
        </w:tblPrEx>
        <w:trPr>
          <w:trHeight w:val="325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2</w:t>
            </w:r>
          </w:p>
        </w:tc>
        <w:tc>
          <w:tcPr>
            <w:tcW w:w="2462"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红外网络高清球机</w:t>
            </w:r>
          </w:p>
        </w:tc>
        <w:tc>
          <w:tcPr>
            <w:tcW w:w="902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摄像机靶面尺寸不小于1/1.8英寸</w:t>
            </w:r>
            <w:r>
              <w:rPr>
                <w:rFonts w:hint="eastAsia" w:ascii="宋体" w:hAnsi="宋体" w:eastAsia="宋体" w:cs="宋体"/>
                <w:sz w:val="24"/>
                <w:szCs w:val="24"/>
              </w:rPr>
              <w:br w:type="textWrapping"/>
            </w:r>
            <w:r>
              <w:rPr>
                <w:rFonts w:hint="eastAsia" w:ascii="宋体" w:hAnsi="宋体" w:eastAsia="宋体" w:cs="宋体"/>
                <w:sz w:val="24"/>
                <w:szCs w:val="24"/>
              </w:rPr>
              <w:t>内置GPU芯片</w:t>
            </w:r>
            <w:r>
              <w:rPr>
                <w:rFonts w:hint="eastAsia" w:ascii="宋体" w:hAnsi="宋体" w:eastAsia="宋体" w:cs="宋体"/>
                <w:sz w:val="24"/>
                <w:szCs w:val="24"/>
              </w:rPr>
              <w:br w:type="textWrapping"/>
            </w:r>
            <w:r>
              <w:rPr>
                <w:rFonts w:hint="eastAsia" w:ascii="宋体" w:hAnsi="宋体" w:eastAsia="宋体" w:cs="宋体"/>
                <w:sz w:val="24"/>
                <w:szCs w:val="24"/>
              </w:rPr>
              <w:t>摄像机内置镜头，支持不小于32倍光学变倍，镜头最大焦距不小于192mm</w:t>
            </w:r>
            <w:r>
              <w:rPr>
                <w:rFonts w:hint="eastAsia" w:ascii="宋体" w:hAnsi="宋体" w:eastAsia="宋体" w:cs="宋体"/>
                <w:sz w:val="24"/>
                <w:szCs w:val="24"/>
              </w:rPr>
              <w:br w:type="textWrapping"/>
            </w:r>
            <w:r>
              <w:rPr>
                <w:rFonts w:hint="eastAsia" w:ascii="宋体" w:hAnsi="宋体" w:eastAsia="宋体" w:cs="宋体"/>
                <w:sz w:val="24"/>
                <w:szCs w:val="24"/>
              </w:rPr>
              <w:t>视频图像分辨率与帧率不小于2560×1440、60帧/秒</w:t>
            </w:r>
            <w:r>
              <w:rPr>
                <w:rFonts w:hint="eastAsia" w:ascii="宋体" w:hAnsi="宋体" w:eastAsia="宋体" w:cs="宋体"/>
                <w:sz w:val="24"/>
                <w:szCs w:val="24"/>
              </w:rPr>
              <w:br w:type="textWrapping"/>
            </w:r>
            <w:r>
              <w:rPr>
                <w:rFonts w:hint="eastAsia" w:ascii="宋体" w:hAnsi="宋体" w:eastAsia="宋体" w:cs="宋体"/>
                <w:sz w:val="24"/>
                <w:szCs w:val="24"/>
              </w:rPr>
              <w:t>支持最低照度可达彩色0.0002 lx，黑白0.0001 lx</w:t>
            </w:r>
            <w:r>
              <w:rPr>
                <w:rFonts w:hint="eastAsia" w:ascii="宋体" w:hAnsi="宋体" w:eastAsia="宋体" w:cs="宋体"/>
                <w:sz w:val="24"/>
                <w:szCs w:val="24"/>
              </w:rPr>
              <w:br w:type="textWrapping"/>
            </w:r>
            <w:r>
              <w:rPr>
                <w:rFonts w:hint="eastAsia" w:ascii="宋体" w:hAnsi="宋体" w:eastAsia="宋体" w:cs="宋体"/>
                <w:sz w:val="24"/>
                <w:szCs w:val="24"/>
              </w:rPr>
              <w:t>支持快速聚焦功能，当设备跟踪行人或机动车等移动目标并录像时，单帧回放录像文件，每1帧画面均应清晰可见。</w:t>
            </w:r>
            <w:r>
              <w:rPr>
                <w:rFonts w:hint="eastAsia" w:ascii="宋体" w:hAnsi="宋体" w:eastAsia="宋体" w:cs="宋体"/>
                <w:sz w:val="24"/>
                <w:szCs w:val="24"/>
              </w:rPr>
              <w:br w:type="textWrapping"/>
            </w:r>
            <w:r>
              <w:rPr>
                <w:rFonts w:hint="eastAsia" w:ascii="宋体" w:hAnsi="宋体" w:eastAsia="宋体" w:cs="宋体"/>
                <w:sz w:val="24"/>
                <w:szCs w:val="24"/>
              </w:rPr>
              <w:t>红外距离不小于200米</w:t>
            </w:r>
            <w:r>
              <w:rPr>
                <w:rFonts w:hint="eastAsia" w:ascii="宋体" w:hAnsi="宋体" w:eastAsia="宋体" w:cs="宋体"/>
                <w:sz w:val="24"/>
                <w:szCs w:val="24"/>
              </w:rPr>
              <w:br w:type="textWrapping"/>
            </w:r>
            <w:r>
              <w:rPr>
                <w:rFonts w:hint="eastAsia" w:ascii="宋体" w:hAnsi="宋体" w:eastAsia="宋体" w:cs="宋体"/>
                <w:sz w:val="24"/>
                <w:szCs w:val="24"/>
              </w:rPr>
              <w:t>设备支持水平旋转范围为360°连续旋转，垂直旋转范围为-20°~90°</w:t>
            </w:r>
            <w:r>
              <w:rPr>
                <w:rFonts w:hint="eastAsia" w:ascii="宋体" w:hAnsi="宋体" w:eastAsia="宋体" w:cs="宋体"/>
                <w:sz w:val="24"/>
                <w:szCs w:val="24"/>
              </w:rPr>
              <w:br w:type="textWrapping"/>
            </w:r>
            <w:r>
              <w:rPr>
                <w:rFonts w:hint="eastAsia" w:ascii="宋体" w:hAnsi="宋体" w:eastAsia="宋体" w:cs="宋体"/>
                <w:sz w:val="24"/>
                <w:szCs w:val="24"/>
              </w:rPr>
              <w:t>设备运动结束静止时，其水平和垂直角度方向受到外力作用发生偏移时，能够检测角度改变并产生报警信息，报警信息可在OSD上叠加。</w:t>
            </w:r>
            <w:r>
              <w:rPr>
                <w:rFonts w:hint="eastAsia" w:ascii="宋体" w:hAnsi="宋体" w:eastAsia="宋体" w:cs="宋体"/>
                <w:sz w:val="24"/>
                <w:szCs w:val="24"/>
              </w:rPr>
              <w:br w:type="textWrapping"/>
            </w:r>
            <w:r>
              <w:rPr>
                <w:rFonts w:hint="eastAsia" w:ascii="宋体" w:hAnsi="宋体" w:eastAsia="宋体" w:cs="宋体"/>
                <w:sz w:val="24"/>
                <w:szCs w:val="24"/>
              </w:rPr>
              <w:t>设备具备偏移自动校正功能。设备运动结束静止时，其水平和垂直角度方向受到外力作用发生偏移时，设备可进行偏移自动校正，校正后与原位置偏差角度应不大于0.05°</w:t>
            </w:r>
            <w:r>
              <w:rPr>
                <w:rFonts w:hint="eastAsia" w:ascii="宋体" w:hAnsi="宋体" w:eastAsia="宋体" w:cs="宋体"/>
                <w:sz w:val="24"/>
                <w:szCs w:val="24"/>
              </w:rPr>
              <w:br w:type="textWrapping"/>
            </w:r>
            <w:r>
              <w:rPr>
                <w:rFonts w:hint="eastAsia" w:ascii="宋体" w:hAnsi="宋体" w:eastAsia="宋体" w:cs="宋体"/>
                <w:sz w:val="24"/>
                <w:szCs w:val="24"/>
              </w:rPr>
              <w:t>可通过客户端导入人脸图片，设备支持存储15万张人脸图片</w:t>
            </w:r>
            <w:r>
              <w:rPr>
                <w:rFonts w:hint="eastAsia" w:ascii="宋体" w:hAnsi="宋体" w:eastAsia="宋体" w:cs="宋体"/>
                <w:sz w:val="24"/>
                <w:szCs w:val="24"/>
              </w:rPr>
              <w:br w:type="textWrapping"/>
            </w:r>
            <w:r>
              <w:rPr>
                <w:rFonts w:hint="eastAsia" w:ascii="宋体" w:hAnsi="宋体" w:eastAsia="宋体" w:cs="宋体"/>
                <w:sz w:val="24"/>
                <w:szCs w:val="24"/>
              </w:rPr>
              <w:t>支持人脸图片比对功能，比对成功率不低于99%</w:t>
            </w:r>
            <w:r>
              <w:rPr>
                <w:rFonts w:hint="eastAsia" w:ascii="宋体" w:hAnsi="宋体" w:eastAsia="宋体" w:cs="宋体"/>
                <w:sz w:val="24"/>
                <w:szCs w:val="24"/>
              </w:rPr>
              <w:br w:type="textWrapping"/>
            </w:r>
            <w:r>
              <w:rPr>
                <w:rFonts w:hint="eastAsia" w:ascii="宋体" w:hAnsi="宋体" w:eastAsia="宋体" w:cs="宋体"/>
                <w:sz w:val="24"/>
                <w:szCs w:val="24"/>
              </w:rPr>
              <w:t>设备具备布控黑名单功能，当悬挂黑名单中车牌的车辆经过设定区域时，可触发报警并进行水平360°跟踪，黑名单中可添加10000个车牌</w:t>
            </w:r>
            <w:r>
              <w:rPr>
                <w:rFonts w:hint="eastAsia" w:ascii="宋体" w:hAnsi="宋体" w:eastAsia="宋体" w:cs="宋体"/>
                <w:sz w:val="24"/>
                <w:szCs w:val="24"/>
              </w:rPr>
              <w:br w:type="textWrapping"/>
            </w:r>
            <w:r>
              <w:rPr>
                <w:rFonts w:hint="eastAsia" w:ascii="宋体" w:hAnsi="宋体" w:eastAsia="宋体" w:cs="宋体"/>
                <w:sz w:val="24"/>
                <w:szCs w:val="24"/>
              </w:rPr>
              <w:t>设备具备布控预置位功能，可通过布控预置位进行车辆布控操作，最多可设置8个布控预置位</w:t>
            </w:r>
            <w:r>
              <w:rPr>
                <w:rFonts w:hint="eastAsia" w:ascii="宋体" w:hAnsi="宋体" w:eastAsia="宋体" w:cs="宋体"/>
                <w:sz w:val="24"/>
                <w:szCs w:val="24"/>
              </w:rPr>
              <w:br w:type="textWrapping"/>
            </w:r>
            <w:r>
              <w:rPr>
                <w:rFonts w:hint="eastAsia" w:ascii="宋体" w:hAnsi="宋体" w:eastAsia="宋体" w:cs="宋体"/>
                <w:sz w:val="24"/>
                <w:szCs w:val="24"/>
              </w:rPr>
              <w:t>设备具备布控人脸库功能，可通过IE浏览器或客户端软件新建布控人脸库并可向指定布控人脸库中添加人脸图片，应支持最多10个布控人脸库，每个布控人脸库可存储最多15万张人脸图片</w:t>
            </w:r>
            <w:r>
              <w:rPr>
                <w:rFonts w:hint="eastAsia" w:ascii="宋体" w:hAnsi="宋体" w:eastAsia="宋体" w:cs="宋体"/>
                <w:sz w:val="24"/>
                <w:szCs w:val="24"/>
              </w:rPr>
              <w:br w:type="textWrapping"/>
            </w:r>
            <w:r>
              <w:rPr>
                <w:rFonts w:hint="eastAsia" w:ascii="宋体" w:hAnsi="宋体" w:eastAsia="宋体" w:cs="宋体"/>
                <w:sz w:val="24"/>
                <w:szCs w:val="24"/>
              </w:rPr>
              <w:t>设备具备跟踪比对功能，当设定区域内行人人脸与布控人脸库中的人脸比对结果一致时，可触发报警并进行水平360°跟踪</w:t>
            </w:r>
            <w:r>
              <w:rPr>
                <w:rFonts w:hint="eastAsia" w:ascii="宋体" w:hAnsi="宋体" w:eastAsia="宋体" w:cs="宋体"/>
                <w:sz w:val="24"/>
                <w:szCs w:val="24"/>
              </w:rPr>
              <w:br w:type="textWrapping"/>
            </w:r>
            <w:r>
              <w:rPr>
                <w:rFonts w:hint="eastAsia" w:ascii="宋体" w:hAnsi="宋体" w:eastAsia="宋体" w:cs="宋体"/>
                <w:sz w:val="24"/>
                <w:szCs w:val="24"/>
              </w:rPr>
              <w:t>设备具备遮挡跟踪功能，当设备正在跟踪的人员全身被遮挡时，设备可保持跟踪状态并持续框选提示，若 4s以内被跟踪人员又出现在监控画面中，可重新开始进行水平360°跟踪</w:t>
            </w:r>
            <w:r>
              <w:rPr>
                <w:rFonts w:hint="eastAsia" w:ascii="宋体" w:hAnsi="宋体" w:eastAsia="宋体" w:cs="宋体"/>
                <w:sz w:val="24"/>
                <w:szCs w:val="24"/>
              </w:rPr>
              <w:br w:type="textWrapping"/>
            </w:r>
            <w:r>
              <w:rPr>
                <w:rFonts w:hint="eastAsia" w:ascii="宋体" w:hAnsi="宋体" w:eastAsia="宋体" w:cs="宋体"/>
                <w:sz w:val="24"/>
                <w:szCs w:val="24"/>
              </w:rPr>
              <w:t>设备具备布控接力跟踪功能，多台设备外接平台并布控成功后，当布控人脸和车牌目标经过监控区域内时，监控区域所属的设备应按照人脸和车牌目标经过顺序进行跟踪，并可通过平台持续显示视频图像</w:t>
            </w:r>
            <w:r>
              <w:rPr>
                <w:rFonts w:hint="eastAsia" w:ascii="宋体" w:hAnsi="宋体" w:eastAsia="宋体" w:cs="宋体"/>
                <w:sz w:val="24"/>
                <w:szCs w:val="24"/>
              </w:rPr>
              <w:br w:type="textWrapping"/>
            </w:r>
            <w:r>
              <w:rPr>
                <w:rFonts w:hint="eastAsia" w:ascii="宋体" w:hAnsi="宋体" w:eastAsia="宋体" w:cs="宋体"/>
                <w:sz w:val="24"/>
                <w:szCs w:val="24"/>
              </w:rPr>
              <w:t>可通过IE浏览器设置8个场景进行人脸抓拍，可设置每个场景的布防时间。</w:t>
            </w:r>
            <w:r>
              <w:rPr>
                <w:rFonts w:hint="eastAsia" w:ascii="宋体" w:hAnsi="宋体" w:eastAsia="宋体" w:cs="宋体"/>
                <w:sz w:val="24"/>
                <w:szCs w:val="24"/>
              </w:rPr>
              <w:br w:type="textWrapping"/>
            </w:r>
            <w:r>
              <w:rPr>
                <w:rFonts w:hint="eastAsia" w:ascii="宋体" w:hAnsi="宋体" w:eastAsia="宋体" w:cs="宋体"/>
                <w:sz w:val="24"/>
                <w:szCs w:val="24"/>
              </w:rPr>
              <w:t>当通过IE浏览器手动点击或框选预览画面中的人脸时，设备能通过PTZ转动将人脸置于画面中心，并对人脸进行抓拍。</w:t>
            </w:r>
            <w:r>
              <w:rPr>
                <w:rFonts w:hint="eastAsia" w:ascii="宋体" w:hAnsi="宋体" w:eastAsia="宋体" w:cs="宋体"/>
                <w:sz w:val="24"/>
                <w:szCs w:val="24"/>
              </w:rPr>
              <w:br w:type="textWrapping"/>
            </w:r>
            <w:r>
              <w:rPr>
                <w:rFonts w:hint="eastAsia" w:ascii="宋体" w:hAnsi="宋体" w:eastAsia="宋体" w:cs="宋体"/>
                <w:sz w:val="24"/>
                <w:szCs w:val="24"/>
              </w:rPr>
              <w:t>可通过IE浏览器实时预览设备抓拍的人脸图片，并可在历史记录中存储不小于100张人脸抓拍图片。</w:t>
            </w:r>
            <w:r>
              <w:rPr>
                <w:rFonts w:hint="eastAsia" w:ascii="宋体" w:hAnsi="宋体" w:eastAsia="宋体" w:cs="宋体"/>
                <w:sz w:val="24"/>
                <w:szCs w:val="24"/>
              </w:rPr>
              <w:br w:type="textWrapping"/>
            </w:r>
            <w:r>
              <w:rPr>
                <w:rFonts w:hint="eastAsia" w:ascii="宋体" w:hAnsi="宋体" w:eastAsia="宋体" w:cs="宋体"/>
                <w:sz w:val="24"/>
                <w:szCs w:val="24"/>
              </w:rPr>
              <w:t>设备可对监视画面中不小于40个人脸进行检测、跟踪和抓拍。</w:t>
            </w:r>
            <w:r>
              <w:rPr>
                <w:rFonts w:hint="eastAsia" w:ascii="宋体" w:hAnsi="宋体" w:eastAsia="宋体" w:cs="宋体"/>
                <w:sz w:val="24"/>
                <w:szCs w:val="24"/>
              </w:rPr>
              <w:br w:type="textWrapping"/>
            </w:r>
            <w:r>
              <w:rPr>
                <w:rFonts w:hint="eastAsia" w:ascii="宋体" w:hAnsi="宋体" w:eastAsia="宋体" w:cs="宋体"/>
                <w:sz w:val="24"/>
                <w:szCs w:val="24"/>
              </w:rPr>
              <w:t>在混合目标检测模式下，可同时对行人、非机动车、机动车进行检测、跟踪及抓拍</w:t>
            </w:r>
            <w:r>
              <w:rPr>
                <w:rFonts w:hint="eastAsia" w:ascii="宋体" w:hAnsi="宋体" w:eastAsia="宋体" w:cs="宋体"/>
                <w:sz w:val="24"/>
                <w:szCs w:val="24"/>
              </w:rPr>
              <w:br w:type="textWrapping"/>
            </w:r>
            <w:r>
              <w:rPr>
                <w:rFonts w:hint="eastAsia" w:ascii="宋体" w:hAnsi="宋体" w:eastAsia="宋体" w:cs="宋体"/>
                <w:sz w:val="24"/>
                <w:szCs w:val="24"/>
              </w:rPr>
              <w:t>在混合目标检测模式下，可同时对行人、非机动车、机动车进行分类计数。</w:t>
            </w:r>
            <w:r>
              <w:rPr>
                <w:rFonts w:hint="eastAsia" w:ascii="宋体" w:hAnsi="宋体" w:eastAsia="宋体" w:cs="宋体"/>
                <w:sz w:val="24"/>
                <w:szCs w:val="24"/>
              </w:rPr>
              <w:br w:type="textWrapping"/>
            </w:r>
            <w:r>
              <w:rPr>
                <w:rFonts w:hint="eastAsia" w:ascii="宋体" w:hAnsi="宋体" w:eastAsia="宋体" w:cs="宋体"/>
                <w:sz w:val="24"/>
                <w:szCs w:val="24"/>
              </w:rPr>
              <w:t>在混合目标检测模式下，对监视区域中的行人、非机动车和机动车的目标捕获率不低于99%</w:t>
            </w:r>
            <w:r>
              <w:rPr>
                <w:rFonts w:hint="eastAsia" w:ascii="宋体" w:hAnsi="宋体" w:eastAsia="宋体" w:cs="宋体"/>
                <w:sz w:val="24"/>
                <w:szCs w:val="24"/>
              </w:rPr>
              <w:br w:type="textWrapping"/>
            </w:r>
            <w:r>
              <w:rPr>
                <w:rFonts w:hint="eastAsia" w:ascii="宋体" w:hAnsi="宋体" w:eastAsia="宋体" w:cs="宋体"/>
                <w:sz w:val="24"/>
                <w:szCs w:val="24"/>
              </w:rPr>
              <w:t>在混合目标检测模式下，可支持人脸与人体、车牌与车辆的关联显示。</w:t>
            </w:r>
            <w:r>
              <w:rPr>
                <w:rFonts w:hint="eastAsia" w:ascii="宋体" w:hAnsi="宋体" w:eastAsia="宋体" w:cs="宋体"/>
                <w:sz w:val="24"/>
                <w:szCs w:val="24"/>
              </w:rPr>
              <w:br w:type="textWrapping"/>
            </w:r>
            <w:r>
              <w:rPr>
                <w:rFonts w:hint="eastAsia" w:ascii="宋体" w:hAnsi="宋体" w:eastAsia="宋体" w:cs="宋体"/>
                <w:sz w:val="24"/>
                <w:szCs w:val="24"/>
              </w:rPr>
              <w:t>设备可显示行人、非机动车的属性。（公安部检验报告证明）</w:t>
            </w:r>
            <w:r>
              <w:rPr>
                <w:rFonts w:hint="eastAsia" w:ascii="宋体" w:hAnsi="宋体" w:eastAsia="宋体" w:cs="宋体"/>
                <w:sz w:val="24"/>
                <w:szCs w:val="24"/>
              </w:rPr>
              <w:br w:type="textWrapping"/>
            </w:r>
            <w:r>
              <w:rPr>
                <w:rFonts w:hint="eastAsia" w:ascii="宋体" w:hAnsi="宋体" w:eastAsia="宋体" w:cs="宋体"/>
                <w:sz w:val="24"/>
                <w:szCs w:val="24"/>
              </w:rPr>
              <w:t>可抓拍距设备100米处的人脸，可抓拍距设备150米处的人体及车辆。</w:t>
            </w:r>
            <w:r>
              <w:rPr>
                <w:rFonts w:hint="eastAsia" w:ascii="宋体" w:hAnsi="宋体" w:eastAsia="宋体" w:cs="宋体"/>
                <w:sz w:val="24"/>
                <w:szCs w:val="24"/>
              </w:rPr>
              <w:br w:type="textWrapping"/>
            </w:r>
            <w:r>
              <w:rPr>
                <w:rFonts w:hint="eastAsia" w:ascii="宋体" w:hAnsi="宋体" w:eastAsia="宋体" w:cs="宋体"/>
                <w:sz w:val="24"/>
                <w:szCs w:val="24"/>
              </w:rPr>
              <w:t>支持7路报警输入接口，2路报警输出接口，支持1路音频输入和输出接口。最大支持512GB的SD卡。</w:t>
            </w:r>
            <w:r>
              <w:rPr>
                <w:rFonts w:hint="eastAsia" w:ascii="宋体" w:hAnsi="宋体" w:eastAsia="宋体" w:cs="宋体"/>
                <w:sz w:val="24"/>
                <w:szCs w:val="24"/>
              </w:rPr>
              <w:br w:type="textWrapping"/>
            </w:r>
            <w:r>
              <w:rPr>
                <w:rFonts w:hint="eastAsia" w:ascii="宋体" w:hAnsi="宋体" w:eastAsia="宋体" w:cs="宋体"/>
                <w:sz w:val="24"/>
                <w:szCs w:val="24"/>
              </w:rPr>
              <w:t>▲设备具备布控接力跟踪功能，多台设备外接平台并布控成功后，当布控人脸和车牌目标经过监控区域内时，监控区域所属的设备应按照人脸和车牌目标经过顺序进行跟踪，并可通过平台持续显示视频图像（以公安部检验报告为准）</w:t>
            </w:r>
            <w:r>
              <w:rPr>
                <w:rFonts w:hint="eastAsia" w:ascii="宋体" w:hAnsi="宋体" w:eastAsia="宋体" w:cs="宋体"/>
                <w:sz w:val="24"/>
                <w:szCs w:val="24"/>
              </w:rPr>
              <w:br w:type="textWrapping"/>
            </w:r>
            <w:r>
              <w:rPr>
                <w:rFonts w:hint="eastAsia" w:ascii="宋体" w:hAnsi="宋体" w:eastAsia="宋体" w:cs="宋体"/>
                <w:sz w:val="24"/>
                <w:szCs w:val="24"/>
              </w:rPr>
              <w:t>可通过IE浏览器设置8个场景进行人脸抓拍，可设置每个场景的布防时间。（以公安部检验报告为准）</w:t>
            </w:r>
            <w:r>
              <w:rPr>
                <w:rFonts w:hint="eastAsia" w:ascii="宋体" w:hAnsi="宋体" w:eastAsia="宋体" w:cs="宋体"/>
                <w:sz w:val="24"/>
                <w:szCs w:val="24"/>
              </w:rPr>
              <w:br w:type="textWrapping"/>
            </w:r>
            <w:r>
              <w:rPr>
                <w:rFonts w:hint="eastAsia" w:ascii="宋体" w:hAnsi="宋体" w:eastAsia="宋体" w:cs="宋体"/>
                <w:sz w:val="24"/>
                <w:szCs w:val="24"/>
              </w:rPr>
              <w:t>▲当通过IE浏览器手动点击或框选预览画面中的人脸时，设备能通过PTZ转动将人脸置于画面中心，并对人脸进行抓拍。（以公安部检验报告为准）</w:t>
            </w:r>
            <w:r>
              <w:rPr>
                <w:rFonts w:hint="eastAsia" w:ascii="宋体" w:hAnsi="宋体" w:eastAsia="宋体" w:cs="宋体"/>
                <w:sz w:val="24"/>
                <w:szCs w:val="24"/>
              </w:rPr>
              <w:br w:type="textWrapping"/>
            </w:r>
            <w:r>
              <w:rPr>
                <w:rFonts w:hint="eastAsia" w:ascii="宋体" w:hAnsi="宋体" w:eastAsia="宋体" w:cs="宋体"/>
                <w:sz w:val="24"/>
                <w:szCs w:val="24"/>
              </w:rPr>
              <w:t>可通过IE浏览器实时预览设备抓拍的人脸图片，并可在历史记录中存储不小于100张人脸抓拍图片。（以公安部检验报告为准）</w:t>
            </w:r>
            <w:r>
              <w:rPr>
                <w:rFonts w:hint="eastAsia" w:ascii="宋体" w:hAnsi="宋体" w:eastAsia="宋体" w:cs="宋体"/>
                <w:sz w:val="24"/>
                <w:szCs w:val="24"/>
              </w:rPr>
              <w:br w:type="textWrapping"/>
            </w:r>
            <w:r>
              <w:rPr>
                <w:rFonts w:hint="eastAsia" w:ascii="宋体" w:hAnsi="宋体" w:eastAsia="宋体" w:cs="宋体"/>
                <w:sz w:val="24"/>
                <w:szCs w:val="24"/>
              </w:rPr>
              <w:t>设备可对监视画面中不小于40个人脸进行检测、跟踪和抓拍。（以公安部检验报告为准）</w:t>
            </w:r>
            <w:r>
              <w:rPr>
                <w:rFonts w:hint="eastAsia" w:ascii="宋体" w:hAnsi="宋体" w:eastAsia="宋体" w:cs="宋体"/>
                <w:sz w:val="24"/>
                <w:szCs w:val="24"/>
              </w:rPr>
              <w:br w:type="textWrapping"/>
            </w:r>
            <w:r>
              <w:rPr>
                <w:rFonts w:hint="eastAsia" w:ascii="宋体" w:hAnsi="宋体" w:eastAsia="宋体" w:cs="宋体"/>
                <w:sz w:val="24"/>
                <w:szCs w:val="24"/>
              </w:rPr>
              <w:t>设备可显示行人、非机动车的属性。（公安部检验报告证明）</w:t>
            </w:r>
            <w:r>
              <w:rPr>
                <w:rFonts w:hint="eastAsia" w:ascii="宋体" w:hAnsi="宋体" w:eastAsia="宋体" w:cs="宋体"/>
                <w:sz w:val="24"/>
                <w:szCs w:val="24"/>
              </w:rPr>
              <w:br w:type="textWrapping"/>
            </w:r>
            <w:r>
              <w:rPr>
                <w:rFonts w:hint="eastAsia" w:ascii="宋体" w:hAnsi="宋体" w:eastAsia="宋体" w:cs="宋体"/>
                <w:sz w:val="24"/>
                <w:szCs w:val="24"/>
              </w:rPr>
              <w:t>可抓拍距设备100米处的人脸，可抓拍距设备150米处的人体及车辆。（以公安部检验报告为准）</w:t>
            </w:r>
            <w:r>
              <w:rPr>
                <w:rFonts w:hint="eastAsia" w:ascii="宋体" w:hAnsi="宋体" w:eastAsia="宋体" w:cs="宋体"/>
                <w:sz w:val="24"/>
                <w:szCs w:val="24"/>
              </w:rPr>
              <w:br w:type="textWrapping"/>
            </w:r>
            <w:r>
              <w:rPr>
                <w:rFonts w:hint="eastAsia" w:ascii="宋体" w:hAnsi="宋体" w:eastAsia="宋体" w:cs="宋体"/>
                <w:sz w:val="24"/>
                <w:szCs w:val="24"/>
              </w:rPr>
              <w:t>▲支持7路报警输入接口，2路报警输出接口，支持1路音频输入和输出接口。最大支持512GB的SD卡。（以公安部检验报告为准）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台</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17</w:t>
            </w:r>
          </w:p>
        </w:tc>
      </w:tr>
      <w:tr>
        <w:tblPrEx>
          <w:tblCellMar>
            <w:top w:w="0" w:type="dxa"/>
            <w:left w:w="108" w:type="dxa"/>
            <w:bottom w:w="0" w:type="dxa"/>
            <w:right w:w="108" w:type="dxa"/>
          </w:tblCellMar>
        </w:tblPrEx>
        <w:trPr>
          <w:trHeight w:val="27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3</w:t>
            </w:r>
          </w:p>
        </w:tc>
        <w:tc>
          <w:tcPr>
            <w:tcW w:w="2462" w:type="dxa"/>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支架</w:t>
            </w:r>
          </w:p>
        </w:tc>
        <w:tc>
          <w:tcPr>
            <w:tcW w:w="902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壁装支架</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个</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29</w:t>
            </w:r>
          </w:p>
        </w:tc>
      </w:tr>
      <w:tr>
        <w:tblPrEx>
          <w:tblCellMar>
            <w:top w:w="0" w:type="dxa"/>
            <w:left w:w="108" w:type="dxa"/>
            <w:bottom w:w="0" w:type="dxa"/>
            <w:right w:w="108" w:type="dxa"/>
          </w:tblCellMar>
        </w:tblPrEx>
        <w:trPr>
          <w:trHeight w:val="27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4</w:t>
            </w:r>
          </w:p>
        </w:tc>
        <w:tc>
          <w:tcPr>
            <w:tcW w:w="2462" w:type="dxa"/>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弱电控制箱</w:t>
            </w:r>
          </w:p>
        </w:tc>
        <w:tc>
          <w:tcPr>
            <w:tcW w:w="902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不锈钢400*300*200</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个</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20</w:t>
            </w:r>
          </w:p>
        </w:tc>
      </w:tr>
      <w:tr>
        <w:tblPrEx>
          <w:tblCellMar>
            <w:top w:w="0" w:type="dxa"/>
            <w:left w:w="108" w:type="dxa"/>
            <w:bottom w:w="0" w:type="dxa"/>
            <w:right w:w="108" w:type="dxa"/>
          </w:tblCellMar>
        </w:tblPrEx>
        <w:trPr>
          <w:trHeight w:val="27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5</w:t>
            </w:r>
          </w:p>
        </w:tc>
        <w:tc>
          <w:tcPr>
            <w:tcW w:w="2462" w:type="dxa"/>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小机柜</w:t>
            </w:r>
          </w:p>
        </w:tc>
        <w:tc>
          <w:tcPr>
            <w:tcW w:w="902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工作电源12V DC 最大持续工作电压18V DC 传输速率≥100M</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个</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5</w:t>
            </w:r>
          </w:p>
        </w:tc>
      </w:tr>
      <w:tr>
        <w:tblPrEx>
          <w:tblCellMar>
            <w:top w:w="0" w:type="dxa"/>
            <w:left w:w="108" w:type="dxa"/>
            <w:bottom w:w="0" w:type="dxa"/>
            <w:right w:w="108" w:type="dxa"/>
          </w:tblCellMar>
        </w:tblPrEx>
        <w:trPr>
          <w:trHeight w:val="102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6</w:t>
            </w:r>
          </w:p>
        </w:tc>
        <w:tc>
          <w:tcPr>
            <w:tcW w:w="2462" w:type="dxa"/>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室外机箱</w:t>
            </w:r>
          </w:p>
        </w:tc>
        <w:tc>
          <w:tcPr>
            <w:tcW w:w="902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用于放置光纤收发器和电源等设备。监控点机箱尺寸应≥400×300×200，箱体采用不锈钢喷塑，厚度≥1.6mm，采取底部进线设计，要求离地2700mm高度抱杆安装，抱箍及螺丝采用304不锈钢。箱体防护等级为IP54，防雨防尘，室外安装（为了保证设备的安全，要求机箱大门密封性能卓越，并具有很强的防撬性能，防盗锁，丝印标志和字样，保证设备的安全。）</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个</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8</w:t>
            </w:r>
          </w:p>
        </w:tc>
      </w:tr>
      <w:tr>
        <w:tblPrEx>
          <w:tblCellMar>
            <w:top w:w="0" w:type="dxa"/>
            <w:left w:w="108" w:type="dxa"/>
            <w:bottom w:w="0" w:type="dxa"/>
            <w:right w:w="108" w:type="dxa"/>
          </w:tblCellMar>
        </w:tblPrEx>
        <w:trPr>
          <w:trHeight w:val="27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7</w:t>
            </w:r>
          </w:p>
        </w:tc>
        <w:tc>
          <w:tcPr>
            <w:tcW w:w="2462" w:type="dxa"/>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光纤收发器</w:t>
            </w:r>
          </w:p>
        </w:tc>
        <w:tc>
          <w:tcPr>
            <w:tcW w:w="902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2口千兆以太网</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个</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2</w:t>
            </w:r>
          </w:p>
        </w:tc>
      </w:tr>
      <w:tr>
        <w:tblPrEx>
          <w:tblCellMar>
            <w:top w:w="0" w:type="dxa"/>
            <w:left w:w="108" w:type="dxa"/>
            <w:bottom w:w="0" w:type="dxa"/>
            <w:right w:w="108" w:type="dxa"/>
          </w:tblCellMar>
        </w:tblPrEx>
        <w:trPr>
          <w:trHeight w:val="27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8</w:t>
            </w:r>
          </w:p>
        </w:tc>
        <w:tc>
          <w:tcPr>
            <w:tcW w:w="2462" w:type="dxa"/>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SD卡</w:t>
            </w:r>
          </w:p>
        </w:tc>
        <w:tc>
          <w:tcPr>
            <w:tcW w:w="902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Micro SD  256G</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个</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19</w:t>
            </w:r>
          </w:p>
        </w:tc>
      </w:tr>
      <w:tr>
        <w:tblPrEx>
          <w:tblCellMar>
            <w:top w:w="0" w:type="dxa"/>
            <w:left w:w="108" w:type="dxa"/>
            <w:bottom w:w="0" w:type="dxa"/>
            <w:right w:w="108" w:type="dxa"/>
          </w:tblCellMar>
        </w:tblPrEx>
        <w:trPr>
          <w:trHeight w:val="27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9</w:t>
            </w:r>
          </w:p>
        </w:tc>
        <w:tc>
          <w:tcPr>
            <w:tcW w:w="2462" w:type="dxa"/>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电源</w:t>
            </w:r>
          </w:p>
        </w:tc>
        <w:tc>
          <w:tcPr>
            <w:tcW w:w="902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12V/2A</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个</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37</w:t>
            </w:r>
          </w:p>
        </w:tc>
      </w:tr>
      <w:tr>
        <w:tblPrEx>
          <w:tblCellMar>
            <w:top w:w="0" w:type="dxa"/>
            <w:left w:w="108" w:type="dxa"/>
            <w:bottom w:w="0" w:type="dxa"/>
            <w:right w:w="108" w:type="dxa"/>
          </w:tblCellMar>
        </w:tblPrEx>
        <w:trPr>
          <w:trHeight w:val="1275"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10</w:t>
            </w:r>
          </w:p>
        </w:tc>
        <w:tc>
          <w:tcPr>
            <w:tcW w:w="2462" w:type="dxa"/>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NVR</w:t>
            </w:r>
          </w:p>
        </w:tc>
        <w:tc>
          <w:tcPr>
            <w:tcW w:w="902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视频输入：4/8/16路线性音频输入；1路线性音频输出</w:t>
            </w:r>
            <w:r>
              <w:rPr>
                <w:rFonts w:hint="eastAsia" w:ascii="宋体" w:hAnsi="宋体" w:eastAsia="宋体" w:cs="宋体"/>
                <w:sz w:val="24"/>
                <w:szCs w:val="24"/>
              </w:rPr>
              <w:br w:type="textWrapping"/>
            </w:r>
            <w:r>
              <w:rPr>
                <w:rFonts w:hint="eastAsia" w:ascii="宋体" w:hAnsi="宋体" w:eastAsia="宋体" w:cs="宋体"/>
                <w:sz w:val="24"/>
                <w:szCs w:val="24"/>
              </w:rPr>
              <w:t xml:space="preserve">通讯接口：标准485接口，支持半双工，绿色接线柱接口; 标准232接口，DB9      </w:t>
            </w:r>
            <w:r>
              <w:rPr>
                <w:rFonts w:hint="eastAsia" w:ascii="宋体" w:hAnsi="宋体" w:eastAsia="宋体" w:cs="宋体"/>
                <w:sz w:val="24"/>
                <w:szCs w:val="24"/>
              </w:rPr>
              <w:br w:type="textWrapping"/>
            </w:r>
            <w:r>
              <w:rPr>
                <w:rFonts w:hint="eastAsia" w:ascii="宋体" w:hAnsi="宋体" w:eastAsia="宋体" w:cs="宋体"/>
                <w:sz w:val="24"/>
                <w:szCs w:val="24"/>
              </w:rPr>
              <w:t>操作系统：嵌入式LINUX操作系统</w:t>
            </w:r>
            <w:r>
              <w:rPr>
                <w:rFonts w:hint="eastAsia" w:ascii="宋体" w:hAnsi="宋体" w:eastAsia="宋体" w:cs="宋体"/>
                <w:sz w:val="24"/>
                <w:szCs w:val="24"/>
              </w:rPr>
              <w:br w:type="textWrapping"/>
            </w:r>
            <w:r>
              <w:rPr>
                <w:rFonts w:hint="eastAsia" w:ascii="宋体" w:hAnsi="宋体" w:eastAsia="宋体" w:cs="宋体"/>
                <w:sz w:val="24"/>
                <w:szCs w:val="24"/>
              </w:rPr>
              <w:t>存储：内部支持8个SATA硬盘</w:t>
            </w:r>
            <w:r>
              <w:rPr>
                <w:rFonts w:hint="eastAsia" w:ascii="宋体" w:hAnsi="宋体" w:eastAsia="宋体" w:cs="宋体"/>
                <w:sz w:val="24"/>
                <w:szCs w:val="24"/>
              </w:rPr>
              <w:br w:type="textWrapping"/>
            </w:r>
            <w:r>
              <w:rPr>
                <w:rFonts w:hint="eastAsia" w:ascii="宋体" w:hAnsi="宋体" w:eastAsia="宋体" w:cs="宋体"/>
                <w:sz w:val="24"/>
                <w:szCs w:val="24"/>
              </w:rPr>
              <w:t>视频输入：4/8/16路线性音频输入；1路线性音频输出</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个</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6</w:t>
            </w:r>
          </w:p>
        </w:tc>
      </w:tr>
      <w:tr>
        <w:tblPrEx>
          <w:tblCellMar>
            <w:top w:w="0" w:type="dxa"/>
            <w:left w:w="108" w:type="dxa"/>
            <w:bottom w:w="0" w:type="dxa"/>
            <w:right w:w="108" w:type="dxa"/>
          </w:tblCellMar>
        </w:tblPrEx>
        <w:trPr>
          <w:trHeight w:val="27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11</w:t>
            </w:r>
          </w:p>
        </w:tc>
        <w:tc>
          <w:tcPr>
            <w:tcW w:w="2462" w:type="dxa"/>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监控硬盘</w:t>
            </w:r>
          </w:p>
        </w:tc>
        <w:tc>
          <w:tcPr>
            <w:tcW w:w="9020"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sz w:val="24"/>
                <w:szCs w:val="24"/>
              </w:rPr>
            </w:pPr>
            <w:r>
              <w:rPr>
                <w:rFonts w:hint="eastAsia" w:ascii="宋体" w:hAnsi="宋体" w:eastAsia="宋体" w:cs="宋体"/>
                <w:sz w:val="24"/>
                <w:szCs w:val="24"/>
              </w:rPr>
              <w:t>4T SATA硬盘</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块</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9</w:t>
            </w:r>
          </w:p>
        </w:tc>
      </w:tr>
      <w:tr>
        <w:tblPrEx>
          <w:tblCellMar>
            <w:top w:w="0" w:type="dxa"/>
            <w:left w:w="108" w:type="dxa"/>
            <w:bottom w:w="0" w:type="dxa"/>
            <w:right w:w="108" w:type="dxa"/>
          </w:tblCellMar>
        </w:tblPrEx>
        <w:trPr>
          <w:trHeight w:val="51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12</w:t>
            </w:r>
          </w:p>
        </w:tc>
        <w:tc>
          <w:tcPr>
            <w:tcW w:w="2462"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安装辅材</w:t>
            </w:r>
          </w:p>
        </w:tc>
        <w:tc>
          <w:tcPr>
            <w:tcW w:w="902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摄像机电源线、超五类双绞线、超五类双绞跳线、接地棒，接地线，镀锌扁钢，反光油漆，连接电线，连接头，不锈钢螺丝，保护套，RJ45接头</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项</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37</w:t>
            </w:r>
          </w:p>
        </w:tc>
      </w:tr>
      <w:tr>
        <w:tblPrEx>
          <w:tblCellMar>
            <w:top w:w="0" w:type="dxa"/>
            <w:left w:w="108" w:type="dxa"/>
            <w:bottom w:w="0" w:type="dxa"/>
            <w:right w:w="108" w:type="dxa"/>
          </w:tblCellMar>
        </w:tblPrEx>
        <w:trPr>
          <w:trHeight w:val="27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13</w:t>
            </w:r>
          </w:p>
        </w:tc>
        <w:tc>
          <w:tcPr>
            <w:tcW w:w="2462" w:type="dxa"/>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VPN链路费</w:t>
            </w:r>
          </w:p>
        </w:tc>
        <w:tc>
          <w:tcPr>
            <w:tcW w:w="9020"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sz w:val="24"/>
                <w:szCs w:val="24"/>
              </w:rPr>
            </w:pPr>
            <w:r>
              <w:rPr>
                <w:rFonts w:hint="eastAsia" w:ascii="宋体" w:hAnsi="宋体" w:eastAsia="宋体" w:cs="宋体"/>
                <w:sz w:val="24"/>
                <w:szCs w:val="24"/>
              </w:rPr>
              <w:t>前端点位到后端机房百兆VPN电路，租赁一年</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条/年</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31</w:t>
            </w:r>
          </w:p>
        </w:tc>
      </w:tr>
      <w:tr>
        <w:tblPrEx>
          <w:tblCellMar>
            <w:top w:w="0" w:type="dxa"/>
            <w:left w:w="108" w:type="dxa"/>
            <w:bottom w:w="0" w:type="dxa"/>
            <w:right w:w="108" w:type="dxa"/>
          </w:tblCellMar>
        </w:tblPrEx>
        <w:trPr>
          <w:trHeight w:val="510" w:hRule="atLeast"/>
        </w:trPr>
        <w:tc>
          <w:tcPr>
            <w:tcW w:w="73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14</w:t>
            </w:r>
          </w:p>
        </w:tc>
        <w:tc>
          <w:tcPr>
            <w:tcW w:w="2462" w:type="dxa"/>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立杆及挑臂</w:t>
            </w:r>
          </w:p>
        </w:tc>
        <w:tc>
          <w:tcPr>
            <w:tcW w:w="9020" w:type="dxa"/>
            <w:gridSpan w:val="2"/>
            <w:tcBorders>
              <w:top w:val="nil"/>
              <w:left w:val="nil"/>
              <w:bottom w:val="single" w:color="auto" w:sz="4" w:space="0"/>
              <w:right w:val="single" w:color="auto" w:sz="4" w:space="0"/>
            </w:tcBorders>
            <w:noWrap/>
            <w:vAlign w:val="center"/>
          </w:tcPr>
          <w:p>
            <w:pPr>
              <w:widowControl/>
              <w:rPr>
                <w:rFonts w:hint="eastAsia" w:ascii="宋体" w:hAnsi="宋体" w:eastAsia="宋体" w:cs="宋体"/>
                <w:sz w:val="24"/>
                <w:szCs w:val="24"/>
              </w:rPr>
            </w:pPr>
            <w:r>
              <w:rPr>
                <w:rFonts w:hint="eastAsia" w:ascii="宋体" w:hAnsi="宋体" w:eastAsia="宋体" w:cs="宋体"/>
                <w:sz w:val="24"/>
                <w:szCs w:val="24"/>
              </w:rPr>
              <w:t>高度根据实际情况而定，立杆壁厚6MM，材料采用热轧钢板（Q235），表面热镀锌喷塑；立杆底板采用420×420MM正方形或直径Ф420MM圆形钢板，厚度20MM，带加强肋。挑臂1-3米，挑臂壁厚4MM</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套</w:t>
            </w:r>
          </w:p>
        </w:tc>
        <w:tc>
          <w:tcPr>
            <w:tcW w:w="77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8</w:t>
            </w:r>
          </w:p>
        </w:tc>
      </w:tr>
      <w:tr>
        <w:tblPrEx>
          <w:tblCellMar>
            <w:top w:w="0" w:type="dxa"/>
            <w:left w:w="108" w:type="dxa"/>
            <w:bottom w:w="0" w:type="dxa"/>
            <w:right w:w="108" w:type="dxa"/>
          </w:tblCellMar>
        </w:tblPrEx>
        <w:trPr>
          <w:trHeight w:val="510" w:hRule="atLeast"/>
        </w:trPr>
        <w:tc>
          <w:tcPr>
            <w:tcW w:w="7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15</w:t>
            </w:r>
          </w:p>
        </w:tc>
        <w:tc>
          <w:tcPr>
            <w:tcW w:w="2462" w:type="dxa"/>
            <w:tcBorders>
              <w:top w:val="single" w:color="auto" w:sz="4" w:space="0"/>
              <w:left w:val="nil"/>
              <w:bottom w:val="single" w:color="auto" w:sz="4" w:space="0"/>
              <w:right w:val="single" w:color="auto" w:sz="4" w:space="0"/>
            </w:tcBorders>
            <w:noWrap/>
            <w:vAlign w:val="center"/>
          </w:tcPr>
          <w:p>
            <w:pPr>
              <w:jc w:val="left"/>
              <w:rPr>
                <w:rFonts w:hint="eastAsia" w:ascii="宋体" w:hAnsi="宋体" w:eastAsia="宋体" w:cs="宋体"/>
                <w:sz w:val="24"/>
                <w:szCs w:val="24"/>
              </w:rPr>
            </w:pPr>
            <w:r>
              <w:rPr>
                <w:rFonts w:hint="eastAsia" w:ascii="宋体" w:hAnsi="宋体" w:eastAsia="宋体" w:cs="宋体"/>
                <w:sz w:val="24"/>
                <w:szCs w:val="24"/>
              </w:rPr>
              <w:t>二合一避雷器</w:t>
            </w:r>
          </w:p>
        </w:tc>
        <w:tc>
          <w:tcPr>
            <w:tcW w:w="9020" w:type="dxa"/>
            <w:gridSpan w:val="2"/>
            <w:tcBorders>
              <w:top w:val="single" w:color="auto" w:sz="4" w:space="0"/>
              <w:left w:val="nil"/>
              <w:bottom w:val="single" w:color="auto" w:sz="4" w:space="0"/>
              <w:right w:val="single" w:color="auto" w:sz="4" w:space="0"/>
            </w:tcBorders>
            <w:noWrap/>
            <w:vAlign w:val="center"/>
          </w:tcPr>
          <w:p>
            <w:pPr>
              <w:rPr>
                <w:rFonts w:hint="eastAsia" w:ascii="宋体" w:hAnsi="宋体" w:eastAsia="宋体" w:cs="宋体"/>
                <w:sz w:val="24"/>
                <w:szCs w:val="24"/>
              </w:rPr>
            </w:pPr>
            <w:r>
              <w:rPr>
                <w:rFonts w:hint="eastAsia" w:ascii="宋体" w:hAnsi="宋体" w:eastAsia="宋体" w:cs="宋体"/>
                <w:sz w:val="24"/>
                <w:szCs w:val="24"/>
              </w:rPr>
              <w:t>标称工作电压：Un12/24VDC/AC；最大持续运行电压 Uc：30V；标称负载电流：5KA；最大放电电流：10KA；电压保护水平：≤120V；相应时间：≤25ns；标称工作电压：5VDC/AC；最大持续运行电压Uc：8V；标称负载电流：5KA；最大放电电流：10KA；电压保护水平：≤30V；相应时间：≤10ns；接口：RJ45；传输速率：100Mbps；铝合金外壳。</w:t>
            </w:r>
          </w:p>
        </w:tc>
        <w:tc>
          <w:tcPr>
            <w:tcW w:w="708"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个</w:t>
            </w:r>
          </w:p>
        </w:tc>
        <w:tc>
          <w:tcPr>
            <w:tcW w:w="77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r>
      <w:tr>
        <w:tblPrEx>
          <w:tblCellMar>
            <w:top w:w="0" w:type="dxa"/>
            <w:left w:w="108" w:type="dxa"/>
            <w:bottom w:w="0" w:type="dxa"/>
            <w:right w:w="108" w:type="dxa"/>
          </w:tblCellMar>
        </w:tblPrEx>
        <w:trPr>
          <w:trHeight w:val="510" w:hRule="atLeast"/>
        </w:trPr>
        <w:tc>
          <w:tcPr>
            <w:tcW w:w="7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16</w:t>
            </w:r>
          </w:p>
        </w:tc>
        <w:tc>
          <w:tcPr>
            <w:tcW w:w="2462" w:type="dxa"/>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文化一体机</w:t>
            </w:r>
          </w:p>
        </w:tc>
        <w:tc>
          <w:tcPr>
            <w:tcW w:w="9020" w:type="dxa"/>
            <w:gridSpan w:val="2"/>
            <w:tcBorders>
              <w:top w:val="single" w:color="auto" w:sz="4" w:space="0"/>
              <w:left w:val="nil"/>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单屏多媒体一体机，指标要求详见附表7</w:t>
            </w:r>
          </w:p>
        </w:tc>
        <w:tc>
          <w:tcPr>
            <w:tcW w:w="708" w:type="dxa"/>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772" w:type="dxa"/>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r>
      <w:tr>
        <w:tblPrEx>
          <w:tblCellMar>
            <w:top w:w="0" w:type="dxa"/>
            <w:left w:w="108" w:type="dxa"/>
            <w:bottom w:w="0" w:type="dxa"/>
            <w:right w:w="108" w:type="dxa"/>
          </w:tblCellMar>
        </w:tblPrEx>
        <w:trPr>
          <w:trHeight w:val="510" w:hRule="atLeast"/>
        </w:trPr>
        <w:tc>
          <w:tcPr>
            <w:tcW w:w="7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17</w:t>
            </w:r>
          </w:p>
        </w:tc>
        <w:tc>
          <w:tcPr>
            <w:tcW w:w="2462" w:type="dxa"/>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文化一体机</w:t>
            </w:r>
          </w:p>
        </w:tc>
        <w:tc>
          <w:tcPr>
            <w:tcW w:w="9020" w:type="dxa"/>
            <w:gridSpan w:val="2"/>
            <w:tcBorders>
              <w:top w:val="single" w:color="auto" w:sz="4" w:space="0"/>
              <w:left w:val="nil"/>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双屏多媒体一体机，指标要求详见附表7</w:t>
            </w:r>
          </w:p>
        </w:tc>
        <w:tc>
          <w:tcPr>
            <w:tcW w:w="708" w:type="dxa"/>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772" w:type="dxa"/>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r>
    </w:tbl>
    <w:p>
      <w:pPr>
        <w:spacing w:line="360" w:lineRule="auto"/>
        <w:rPr>
          <w:rFonts w:ascii="宋体" w:hAnsi="宋体" w:cs="宋体"/>
          <w:sz w:val="24"/>
        </w:rPr>
        <w:sectPr>
          <w:pgSz w:w="16838" w:h="11906" w:orient="landscape"/>
          <w:pgMar w:top="1800" w:right="1440" w:bottom="1800" w:left="1440" w:header="851" w:footer="992" w:gutter="0"/>
          <w:cols w:space="720" w:num="1"/>
          <w:docGrid w:type="lines" w:linePitch="312" w:charSpace="0"/>
        </w:sectPr>
      </w:pPr>
    </w:p>
    <w:p>
      <w:pPr>
        <w:spacing w:line="360" w:lineRule="auto"/>
        <w:rPr>
          <w:rFonts w:ascii="宋体" w:hAnsi="宋体" w:cs="宋体"/>
          <w:sz w:val="24"/>
        </w:rPr>
      </w:pPr>
      <w:bookmarkStart w:id="252" w:name="_Toc40971319"/>
      <w:bookmarkStart w:id="253" w:name="_Toc29009"/>
      <w:bookmarkStart w:id="254" w:name="_Toc531002787"/>
      <w:bookmarkStart w:id="255" w:name="_Toc40971320"/>
      <w:r>
        <w:rPr>
          <w:rFonts w:hint="eastAsia" w:ascii="宋体" w:hAnsi="宋体" w:cs="宋体"/>
          <w:sz w:val="24"/>
        </w:rPr>
        <w:t>附表3软件开发费用表</w:t>
      </w:r>
      <w:bookmarkEnd w:id="252"/>
    </w:p>
    <w:tbl>
      <w:tblPr>
        <w:tblStyle w:val="18"/>
        <w:tblW w:w="4999" w:type="pct"/>
        <w:tblInd w:w="0" w:type="dxa"/>
        <w:tblLayout w:type="autofit"/>
        <w:tblCellMar>
          <w:top w:w="0" w:type="dxa"/>
          <w:left w:w="0" w:type="dxa"/>
          <w:bottom w:w="0" w:type="dxa"/>
          <w:right w:w="0" w:type="dxa"/>
        </w:tblCellMar>
      </w:tblPr>
      <w:tblGrid>
        <w:gridCol w:w="1320"/>
        <w:gridCol w:w="3188"/>
        <w:gridCol w:w="3832"/>
      </w:tblGrid>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1911" w:type="pct"/>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系统及模块名称</w:t>
            </w:r>
          </w:p>
        </w:tc>
        <w:tc>
          <w:tcPr>
            <w:tcW w:w="2296" w:type="pct"/>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功能说明</w:t>
            </w: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420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数字图书馆子系统</w:t>
            </w: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数字化阅读</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大数据分析</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智慧导览</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智慧体育馆子系统</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2.1</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活动发布</w:t>
            </w:r>
          </w:p>
        </w:tc>
        <w:tc>
          <w:tcPr>
            <w:tcW w:w="229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利用公众服务子系统功能组合</w:t>
            </w: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预约管理</w:t>
            </w:r>
          </w:p>
        </w:tc>
        <w:tc>
          <w:tcPr>
            <w:tcW w:w="229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2.3</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赛事信息管理</w:t>
            </w:r>
          </w:p>
        </w:tc>
        <w:tc>
          <w:tcPr>
            <w:tcW w:w="229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智慧博物馆子系统</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3.1</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线上博物馆VR展厅</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3.2</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微信公众号</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智慧文保子系统</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4.1</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移动巡查系统</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4.2</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文保事件监管系统</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数字文化馆子系统</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5.1</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信息发布与管理</w:t>
            </w:r>
          </w:p>
        </w:tc>
        <w:tc>
          <w:tcPr>
            <w:tcW w:w="2296"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利用公众服务子系统功能组合</w:t>
            </w: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5.2</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文化活动发布与管理</w:t>
            </w:r>
          </w:p>
        </w:tc>
        <w:tc>
          <w:tcPr>
            <w:tcW w:w="2296"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5.3</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资源展示与管理</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5.4</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文化配送模块</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5.5</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虚拟全景展示平台</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5.6</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艺术普及与培训平台</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5.7</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文化地图与导览服务平台</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5.8</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票务预订平台</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利用公众服务子系统功能组合</w:t>
            </w: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5.9</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大数据分析与统计平台</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5.10</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文化志愿者</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公众服务子系统</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9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6.1</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文化信息服务模块</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含PC端和微信，文化信息服务平台主要整合各单位的文化信息，实现文化信息的统一发布，本平台用于文化信息的管理和发布。包含剧场、电影、文化市场、上虞青、文化客厅、考古公园、文化市场动态等信息发布和管理</w:t>
            </w:r>
          </w:p>
        </w:tc>
      </w:tr>
      <w:tr>
        <w:tblPrEx>
          <w:tblCellMar>
            <w:top w:w="0" w:type="dxa"/>
            <w:left w:w="0" w:type="dxa"/>
            <w:bottom w:w="0" w:type="dxa"/>
            <w:right w:w="0" w:type="dxa"/>
          </w:tblCellMar>
        </w:tblPrEx>
        <w:trPr>
          <w:trHeight w:val="189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6.2</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信息查询及订阅推送模块</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在PC页面和微信公众号定期推送最新的文化活动信息并展示最近的课程、场馆、参观的预约情况。通过个中心可查询，含PC端和微信</w:t>
            </w:r>
          </w:p>
        </w:tc>
      </w:tr>
      <w:tr>
        <w:tblPrEx>
          <w:tblCellMar>
            <w:top w:w="0" w:type="dxa"/>
            <w:left w:w="0" w:type="dxa"/>
            <w:bottom w:w="0" w:type="dxa"/>
            <w:right w:w="0" w:type="dxa"/>
          </w:tblCellMar>
        </w:tblPrEx>
        <w:trPr>
          <w:trHeight w:val="216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6.3</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统一预约子系统模块</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集成统一的预约平台，注册用户可以在PC页或者微信端支持手机操作的页面进行预约操作。介绍和展示各场馆功能及服务介绍。含PC端和微信</w:t>
            </w:r>
          </w:p>
        </w:tc>
      </w:tr>
      <w:tr>
        <w:tblPrEx>
          <w:tblCellMar>
            <w:top w:w="0" w:type="dxa"/>
            <w:left w:w="0" w:type="dxa"/>
            <w:bottom w:w="0" w:type="dxa"/>
            <w:right w:w="0" w:type="dxa"/>
          </w:tblCellMar>
        </w:tblPrEx>
        <w:trPr>
          <w:trHeight w:val="216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6.4</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在线订购模块</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通过PC端或者手机微信端登录平台可进入各模块的购票功能。平台中展示可以在线订购的内容，跳转到第三方购票平台来实现购票的操作。含PC端和微信</w:t>
            </w:r>
          </w:p>
        </w:tc>
      </w:tr>
      <w:tr>
        <w:tblPrEx>
          <w:tblCellMar>
            <w:top w:w="0" w:type="dxa"/>
            <w:left w:w="0" w:type="dxa"/>
            <w:bottom w:w="0" w:type="dxa"/>
            <w:right w:w="0" w:type="dxa"/>
          </w:tblCellMar>
        </w:tblPrEx>
        <w:trPr>
          <w:trHeight w:val="108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6.5</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活动、赛事管理及发布模块</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实现文化馆、体育馆、图书馆等活动发布、管理及赛事发布管理</w:t>
            </w: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6.6</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扫描讲解模块</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7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6.7</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视频及视频导览模块</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144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统一视频系统子系统</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视频管理平台，应能实现不同设备及系统的互联、互通、互控，实现视音频的采集、传输、转换、显示、存储、控制等功能</w:t>
            </w:r>
          </w:p>
        </w:tc>
      </w:tr>
      <w:tr>
        <w:tblPrEx>
          <w:tblCellMar>
            <w:top w:w="0" w:type="dxa"/>
            <w:left w:w="0" w:type="dxa"/>
            <w:bottom w:w="0" w:type="dxa"/>
            <w:right w:w="0" w:type="dxa"/>
          </w:tblCellMar>
        </w:tblPrEx>
        <w:trPr>
          <w:trHeight w:val="96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统一配置管理系统子系统</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统一配置管理系统主要各单位提供后端的管理系统。包括统一用户、统一发布、统一内容等</w:t>
            </w:r>
          </w:p>
        </w:tc>
      </w:tr>
      <w:tr>
        <w:tblPrEx>
          <w:tblCellMar>
            <w:top w:w="0" w:type="dxa"/>
            <w:left w:w="0" w:type="dxa"/>
            <w:bottom w:w="0" w:type="dxa"/>
            <w:right w:w="0" w:type="dxa"/>
          </w:tblCellMar>
        </w:tblPrEx>
        <w:trPr>
          <w:trHeight w:val="540" w:hRule="atLeast"/>
        </w:trPr>
        <w:tc>
          <w:tcPr>
            <w:tcW w:w="7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1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人流量监测系统（软件）</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1440" w:hRule="atLeast"/>
        </w:trPr>
        <w:tc>
          <w:tcPr>
            <w:tcW w:w="791"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1911"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数据分析系统子系统</w:t>
            </w:r>
          </w:p>
        </w:tc>
        <w:tc>
          <w:tcPr>
            <w:tcW w:w="22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通过一张图，整合所有场馆信息和视频监控信息及运营信息，分析场馆人流量、微信及网站访问量、预约量统计分析、满意度评价</w:t>
            </w:r>
          </w:p>
        </w:tc>
      </w:tr>
      <w:tr>
        <w:tblPrEx>
          <w:tblCellMar>
            <w:top w:w="0" w:type="dxa"/>
            <w:left w:w="0" w:type="dxa"/>
            <w:bottom w:w="0" w:type="dxa"/>
            <w:right w:w="0" w:type="dxa"/>
          </w:tblCellMar>
        </w:tblPrEx>
        <w:trPr>
          <w:trHeight w:val="1350" w:hRule="atLeast"/>
        </w:trPr>
        <w:tc>
          <w:tcPr>
            <w:tcW w:w="79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19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大数据资源中心</w:t>
            </w:r>
          </w:p>
        </w:tc>
        <w:tc>
          <w:tcPr>
            <w:tcW w:w="2296"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数据信息共享与采集、实现基本数据录入数据库，数据资源管理、保存各类场馆及相关资源</w:t>
            </w: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附表</w:t>
      </w:r>
      <w:r>
        <w:rPr>
          <w:rFonts w:ascii="宋体" w:hAnsi="宋体" w:cs="宋体"/>
          <w:sz w:val="24"/>
        </w:rPr>
        <w:t>4</w:t>
      </w:r>
      <w:r>
        <w:rPr>
          <w:rFonts w:hint="eastAsia" w:ascii="宋体" w:hAnsi="宋体" w:cs="宋体"/>
          <w:sz w:val="24"/>
        </w:rPr>
        <w:t>音频制作</w:t>
      </w:r>
      <w:bookmarkEnd w:id="253"/>
      <w:bookmarkEnd w:id="254"/>
      <w:bookmarkEnd w:id="255"/>
      <w:r>
        <w:rPr>
          <w:rFonts w:hint="eastAsia" w:ascii="宋体" w:hAnsi="宋体" w:cs="宋体"/>
          <w:sz w:val="24"/>
        </w:rPr>
        <w:t>清单</w:t>
      </w:r>
    </w:p>
    <w:tbl>
      <w:tblPr>
        <w:tblStyle w:val="18"/>
        <w:tblW w:w="4998" w:type="pct"/>
        <w:tblInd w:w="0" w:type="dxa"/>
        <w:tblLayout w:type="autofit"/>
        <w:tblCellMar>
          <w:top w:w="15" w:type="dxa"/>
          <w:left w:w="15" w:type="dxa"/>
          <w:bottom w:w="15" w:type="dxa"/>
          <w:right w:w="15" w:type="dxa"/>
        </w:tblCellMar>
      </w:tblPr>
      <w:tblGrid>
        <w:gridCol w:w="525"/>
        <w:gridCol w:w="3897"/>
        <w:gridCol w:w="2871"/>
        <w:gridCol w:w="517"/>
        <w:gridCol w:w="529"/>
      </w:tblGrid>
      <w:tr>
        <w:tblPrEx>
          <w:tblCellMar>
            <w:top w:w="15" w:type="dxa"/>
            <w:left w:w="15" w:type="dxa"/>
            <w:bottom w:w="15" w:type="dxa"/>
            <w:right w:w="15" w:type="dxa"/>
          </w:tblCellMar>
        </w:tblPrEx>
        <w:trPr>
          <w:trHeight w:val="286" w:hRule="atLeast"/>
        </w:trPr>
        <w:tc>
          <w:tcPr>
            <w:tcW w:w="315" w:type="pct"/>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2336" w:type="pct"/>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名称</w:t>
            </w:r>
          </w:p>
        </w:tc>
        <w:tc>
          <w:tcPr>
            <w:tcW w:w="1721" w:type="pct"/>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配置</w:t>
            </w:r>
          </w:p>
        </w:tc>
        <w:tc>
          <w:tcPr>
            <w:tcW w:w="310" w:type="pct"/>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c>
          <w:tcPr>
            <w:tcW w:w="316" w:type="pct"/>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w:t>
            </w:r>
          </w:p>
        </w:tc>
      </w:tr>
      <w:tr>
        <w:tblPrEx>
          <w:tblCellMar>
            <w:top w:w="15" w:type="dxa"/>
            <w:left w:w="15" w:type="dxa"/>
            <w:bottom w:w="15" w:type="dxa"/>
            <w:right w:w="15" w:type="dxa"/>
          </w:tblCellMar>
        </w:tblPrEx>
        <w:trPr>
          <w:trHeight w:val="330" w:hRule="atLeast"/>
        </w:trPr>
        <w:tc>
          <w:tcPr>
            <w:tcW w:w="31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一、</w:t>
            </w:r>
          </w:p>
        </w:tc>
        <w:tc>
          <w:tcPr>
            <w:tcW w:w="4684"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文化客厅</w:t>
            </w:r>
          </w:p>
        </w:tc>
      </w:tr>
      <w:tr>
        <w:tblPrEx>
          <w:tblCellMar>
            <w:top w:w="15" w:type="dxa"/>
            <w:left w:w="15" w:type="dxa"/>
            <w:bottom w:w="15" w:type="dxa"/>
            <w:right w:w="15" w:type="dxa"/>
          </w:tblCellMar>
        </w:tblPrEx>
        <w:trPr>
          <w:trHeight w:val="286" w:hRule="atLeast"/>
        </w:trPr>
        <w:tc>
          <w:tcPr>
            <w:tcW w:w="315" w:type="pct"/>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336" w:type="pct"/>
            <w:tcBorders>
              <w:top w:val="single" w:color="auto"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娥江影视厅总体讲解</w:t>
            </w:r>
          </w:p>
        </w:tc>
        <w:tc>
          <w:tcPr>
            <w:tcW w:w="1721" w:type="pct"/>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音频讲解（2分钟左右）</w:t>
            </w:r>
          </w:p>
        </w:tc>
        <w:tc>
          <w:tcPr>
            <w:tcW w:w="310" w:type="pct"/>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6" w:type="pct"/>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w:t>
            </w:r>
          </w:p>
        </w:tc>
      </w:tr>
      <w:tr>
        <w:tblPrEx>
          <w:tblCellMar>
            <w:top w:w="15" w:type="dxa"/>
            <w:left w:w="15" w:type="dxa"/>
            <w:bottom w:w="15" w:type="dxa"/>
            <w:right w:w="15" w:type="dxa"/>
          </w:tblCellMar>
        </w:tblPrEx>
        <w:trPr>
          <w:trHeight w:val="540"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33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非物质文化遗产展示馆总体讲解</w:t>
            </w:r>
          </w:p>
        </w:tc>
        <w:tc>
          <w:tcPr>
            <w:tcW w:w="172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音频讲解（2分钟左右）</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w:t>
            </w:r>
          </w:p>
        </w:tc>
      </w:tr>
      <w:tr>
        <w:tblPrEx>
          <w:tblCellMar>
            <w:top w:w="15" w:type="dxa"/>
            <w:left w:w="15" w:type="dxa"/>
            <w:bottom w:w="15" w:type="dxa"/>
            <w:right w:w="15" w:type="dxa"/>
          </w:tblCellMar>
        </w:tblPrEx>
        <w:trPr>
          <w:trHeight w:val="540"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33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地方文化艺术展示厅总体讲解</w:t>
            </w:r>
          </w:p>
        </w:tc>
        <w:tc>
          <w:tcPr>
            <w:tcW w:w="172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音频讲解（2分钟左右）</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w:t>
            </w:r>
          </w:p>
        </w:tc>
      </w:tr>
      <w:tr>
        <w:tblPrEx>
          <w:tblCellMar>
            <w:top w:w="15" w:type="dxa"/>
            <w:left w:w="15" w:type="dxa"/>
            <w:bottom w:w="15" w:type="dxa"/>
            <w:right w:w="15" w:type="dxa"/>
          </w:tblCellMar>
        </w:tblPrEx>
        <w:trPr>
          <w:trHeight w:val="540"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233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上虞青·现代国际陶艺中心总体讲解</w:t>
            </w:r>
          </w:p>
        </w:tc>
        <w:tc>
          <w:tcPr>
            <w:tcW w:w="172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音频讲解（2分钟左右）</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w:t>
            </w:r>
          </w:p>
        </w:tc>
      </w:tr>
      <w:tr>
        <w:tblPrEx>
          <w:tblCellMar>
            <w:top w:w="15" w:type="dxa"/>
            <w:left w:w="15" w:type="dxa"/>
            <w:bottom w:w="15" w:type="dxa"/>
            <w:right w:w="15" w:type="dxa"/>
          </w:tblCellMar>
        </w:tblPrEx>
        <w:trPr>
          <w:trHeight w:val="286"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233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罗布臻艺术馆总体讲解</w:t>
            </w:r>
          </w:p>
        </w:tc>
        <w:tc>
          <w:tcPr>
            <w:tcW w:w="172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音频讲解（2分钟左右）</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w:t>
            </w:r>
          </w:p>
        </w:tc>
      </w:tr>
      <w:tr>
        <w:tblPrEx>
          <w:tblCellMar>
            <w:top w:w="15" w:type="dxa"/>
            <w:left w:w="15" w:type="dxa"/>
            <w:bottom w:w="15" w:type="dxa"/>
            <w:right w:w="15" w:type="dxa"/>
          </w:tblCellMar>
        </w:tblPrEx>
        <w:trPr>
          <w:trHeight w:val="286"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2336" w:type="pct"/>
            <w:tcBorders>
              <w:top w:val="single" w:color="000000" w:sz="4" w:space="0"/>
              <w:left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重点展品讲解</w:t>
            </w:r>
          </w:p>
        </w:tc>
        <w:tc>
          <w:tcPr>
            <w:tcW w:w="1721" w:type="pc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音频讲解（2分钟左右）</w:t>
            </w:r>
          </w:p>
        </w:tc>
        <w:tc>
          <w:tcPr>
            <w:tcW w:w="310" w:type="pc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316" w:type="pc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w:t>
            </w:r>
          </w:p>
        </w:tc>
      </w:tr>
      <w:tr>
        <w:tblPrEx>
          <w:tblCellMar>
            <w:top w:w="15" w:type="dxa"/>
            <w:left w:w="15" w:type="dxa"/>
            <w:bottom w:w="15" w:type="dxa"/>
            <w:right w:w="15" w:type="dxa"/>
          </w:tblCellMar>
        </w:tblPrEx>
        <w:trPr>
          <w:trHeight w:val="286"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二、</w:t>
            </w:r>
          </w:p>
        </w:tc>
        <w:tc>
          <w:tcPr>
            <w:tcW w:w="4684" w:type="pct"/>
            <w:gridSpan w:val="4"/>
            <w:tcBorders>
              <w:top w:val="single" w:color="000000" w:sz="4" w:space="0"/>
              <w:left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体育馆</w:t>
            </w:r>
          </w:p>
        </w:tc>
      </w:tr>
      <w:tr>
        <w:tblPrEx>
          <w:tblCellMar>
            <w:top w:w="15" w:type="dxa"/>
            <w:left w:w="15" w:type="dxa"/>
            <w:bottom w:w="15" w:type="dxa"/>
            <w:right w:w="15" w:type="dxa"/>
          </w:tblCellMar>
        </w:tblPrEx>
        <w:trPr>
          <w:trHeight w:val="286"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336" w:type="pct"/>
            <w:tcBorders>
              <w:top w:val="single" w:color="000000" w:sz="4" w:space="0"/>
              <w:left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华通体育馆</w:t>
            </w:r>
          </w:p>
        </w:tc>
        <w:tc>
          <w:tcPr>
            <w:tcW w:w="1721" w:type="pc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器械使用说明(1分钟左右)</w:t>
            </w:r>
          </w:p>
        </w:tc>
        <w:tc>
          <w:tcPr>
            <w:tcW w:w="310" w:type="pc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316" w:type="pct"/>
            <w:tcBorders>
              <w:top w:val="single" w:color="000000" w:sz="4" w:space="0"/>
              <w:left w:val="single" w:color="000000" w:sz="4" w:space="0"/>
              <w:right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w:t>
            </w:r>
          </w:p>
        </w:tc>
      </w:tr>
      <w:tr>
        <w:tblPrEx>
          <w:tblCellMar>
            <w:top w:w="15" w:type="dxa"/>
            <w:left w:w="15" w:type="dxa"/>
            <w:bottom w:w="15" w:type="dxa"/>
            <w:right w:w="15" w:type="dxa"/>
          </w:tblCellMar>
        </w:tblPrEx>
        <w:trPr>
          <w:trHeight w:val="286"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三、</w:t>
            </w:r>
          </w:p>
        </w:tc>
        <w:tc>
          <w:tcPr>
            <w:tcW w:w="4684" w:type="pct"/>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博物馆</w:t>
            </w:r>
          </w:p>
        </w:tc>
      </w:tr>
      <w:tr>
        <w:tblPrEx>
          <w:tblCellMar>
            <w:top w:w="15" w:type="dxa"/>
            <w:left w:w="15" w:type="dxa"/>
            <w:bottom w:w="15" w:type="dxa"/>
            <w:right w:w="15" w:type="dxa"/>
          </w:tblCellMar>
        </w:tblPrEx>
        <w:trPr>
          <w:trHeight w:val="286"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33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重点展品</w:t>
            </w:r>
          </w:p>
        </w:tc>
        <w:tc>
          <w:tcPr>
            <w:tcW w:w="172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音频讲解（2分钟左右）</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w:t>
            </w:r>
          </w:p>
        </w:tc>
      </w:tr>
      <w:tr>
        <w:tblPrEx>
          <w:tblCellMar>
            <w:top w:w="15" w:type="dxa"/>
            <w:left w:w="15" w:type="dxa"/>
            <w:bottom w:w="15" w:type="dxa"/>
            <w:right w:w="15" w:type="dxa"/>
          </w:tblCellMar>
        </w:tblPrEx>
        <w:trPr>
          <w:trHeight w:val="286"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33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VR展馆</w:t>
            </w:r>
          </w:p>
        </w:tc>
        <w:tc>
          <w:tcPr>
            <w:tcW w:w="172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VR点位素材</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r>
      <w:tr>
        <w:tblPrEx>
          <w:tblCellMar>
            <w:top w:w="15" w:type="dxa"/>
            <w:left w:w="15" w:type="dxa"/>
            <w:bottom w:w="15" w:type="dxa"/>
            <w:right w:w="15" w:type="dxa"/>
          </w:tblCellMar>
        </w:tblPrEx>
        <w:trPr>
          <w:trHeight w:val="286"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四、</w:t>
            </w:r>
          </w:p>
        </w:tc>
        <w:tc>
          <w:tcPr>
            <w:tcW w:w="4684" w:type="pct"/>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文化馆</w:t>
            </w:r>
          </w:p>
        </w:tc>
      </w:tr>
      <w:tr>
        <w:tblPrEx>
          <w:tblCellMar>
            <w:top w:w="15" w:type="dxa"/>
            <w:left w:w="15" w:type="dxa"/>
            <w:bottom w:w="15" w:type="dxa"/>
            <w:right w:w="15" w:type="dxa"/>
          </w:tblCellMar>
        </w:tblPrEx>
        <w:trPr>
          <w:trHeight w:val="286"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33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网上慕课课件资源</w:t>
            </w:r>
          </w:p>
        </w:tc>
        <w:tc>
          <w:tcPr>
            <w:tcW w:w="172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课件资源</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286"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五、</w:t>
            </w:r>
          </w:p>
        </w:tc>
        <w:tc>
          <w:tcPr>
            <w:tcW w:w="4684" w:type="pct"/>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文管所</w:t>
            </w:r>
          </w:p>
        </w:tc>
      </w:tr>
      <w:tr>
        <w:tblPrEx>
          <w:tblCellMar>
            <w:top w:w="15" w:type="dxa"/>
            <w:left w:w="15" w:type="dxa"/>
            <w:bottom w:w="15" w:type="dxa"/>
            <w:right w:w="15" w:type="dxa"/>
          </w:tblCellMar>
        </w:tblPrEx>
        <w:trPr>
          <w:trHeight w:val="286" w:hRule="atLeast"/>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c>
          <w:tcPr>
            <w:tcW w:w="233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总体讲解</w:t>
            </w:r>
          </w:p>
        </w:tc>
        <w:tc>
          <w:tcPr>
            <w:tcW w:w="172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音频讲解（2分钟左右）</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w:t>
            </w:r>
          </w:p>
        </w:tc>
      </w:tr>
    </w:tbl>
    <w:p>
      <w:pPr>
        <w:spacing w:line="360" w:lineRule="auto"/>
        <w:rPr>
          <w:rFonts w:ascii="宋体" w:hAnsi="宋体" w:cs="宋体"/>
          <w:sz w:val="24"/>
        </w:rPr>
      </w:pPr>
      <w:bookmarkStart w:id="256" w:name="_Toc40971321"/>
      <w:bookmarkStart w:id="257" w:name="_Toc531002788"/>
      <w:bookmarkStart w:id="258" w:name="_Toc9597"/>
      <w:r>
        <w:rPr>
          <w:rFonts w:hint="eastAsia" w:ascii="宋体" w:hAnsi="宋体" w:cs="宋体"/>
          <w:sz w:val="24"/>
        </w:rPr>
        <w:t>附表</w:t>
      </w:r>
      <w:r>
        <w:rPr>
          <w:rFonts w:ascii="宋体" w:hAnsi="宋体" w:cs="宋体"/>
          <w:sz w:val="24"/>
        </w:rPr>
        <w:t>5</w:t>
      </w:r>
      <w:r>
        <w:rPr>
          <w:rFonts w:hint="eastAsia" w:ascii="宋体" w:hAnsi="宋体" w:cs="宋体"/>
          <w:sz w:val="24"/>
        </w:rPr>
        <w:t>政务云租赁</w:t>
      </w:r>
      <w:bookmarkEnd w:id="256"/>
      <w:bookmarkEnd w:id="257"/>
      <w:bookmarkEnd w:id="258"/>
      <w:r>
        <w:rPr>
          <w:rFonts w:hint="eastAsia" w:ascii="宋体" w:hAnsi="宋体" w:cs="宋体"/>
          <w:sz w:val="24"/>
        </w:rPr>
        <w:t>清单</w:t>
      </w:r>
    </w:p>
    <w:tbl>
      <w:tblPr>
        <w:tblStyle w:val="18"/>
        <w:tblW w:w="4998" w:type="pct"/>
        <w:tblInd w:w="0" w:type="dxa"/>
        <w:tblLayout w:type="autofit"/>
        <w:tblCellMar>
          <w:top w:w="15" w:type="dxa"/>
          <w:left w:w="15" w:type="dxa"/>
          <w:bottom w:w="15" w:type="dxa"/>
          <w:right w:w="15" w:type="dxa"/>
        </w:tblCellMar>
      </w:tblPr>
      <w:tblGrid>
        <w:gridCol w:w="3092"/>
        <w:gridCol w:w="4530"/>
        <w:gridCol w:w="717"/>
      </w:tblGrid>
      <w:tr>
        <w:tblPrEx>
          <w:tblCellMar>
            <w:top w:w="15" w:type="dxa"/>
            <w:left w:w="15" w:type="dxa"/>
            <w:bottom w:w="15" w:type="dxa"/>
            <w:right w:w="15" w:type="dxa"/>
          </w:tblCellMar>
        </w:tblPrEx>
        <w:trPr>
          <w:trHeight w:val="286" w:hRule="atLeast"/>
        </w:trPr>
        <w:tc>
          <w:tcPr>
            <w:tcW w:w="1853"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 w:val="24"/>
                <w:szCs w:val="24"/>
              </w:rPr>
            </w:pPr>
            <w:r>
              <w:rPr>
                <w:rFonts w:hint="eastAsia" w:ascii="宋体" w:hAnsi="宋体" w:cs="宋体"/>
                <w:sz w:val="24"/>
                <w:szCs w:val="24"/>
              </w:rPr>
              <w:t>名称</w:t>
            </w:r>
          </w:p>
        </w:tc>
        <w:tc>
          <w:tcPr>
            <w:tcW w:w="271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 w:val="24"/>
                <w:szCs w:val="24"/>
              </w:rPr>
            </w:pPr>
            <w:r>
              <w:rPr>
                <w:rFonts w:hint="eastAsia" w:ascii="宋体" w:hAnsi="宋体" w:cs="宋体"/>
                <w:sz w:val="24"/>
                <w:szCs w:val="24"/>
              </w:rPr>
              <w:t>最低配置要求</w:t>
            </w: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 w:val="24"/>
                <w:szCs w:val="24"/>
              </w:rPr>
            </w:pPr>
            <w:r>
              <w:rPr>
                <w:rFonts w:hint="eastAsia" w:ascii="宋体" w:hAnsi="宋体" w:cs="宋体"/>
                <w:sz w:val="24"/>
                <w:szCs w:val="24"/>
              </w:rPr>
              <w:t>数量</w:t>
            </w:r>
          </w:p>
        </w:tc>
      </w:tr>
      <w:tr>
        <w:tblPrEx>
          <w:tblCellMar>
            <w:top w:w="15" w:type="dxa"/>
            <w:left w:w="15" w:type="dxa"/>
            <w:bottom w:w="15" w:type="dxa"/>
            <w:right w:w="15" w:type="dxa"/>
          </w:tblCellMar>
        </w:tblPrEx>
        <w:trPr>
          <w:trHeight w:val="286" w:hRule="atLeast"/>
        </w:trPr>
        <w:tc>
          <w:tcPr>
            <w:tcW w:w="18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sz w:val="24"/>
                <w:szCs w:val="24"/>
              </w:rPr>
            </w:pPr>
            <w:r>
              <w:rPr>
                <w:rFonts w:hint="eastAsia" w:ascii="宋体" w:hAnsi="宋体" w:cs="宋体"/>
                <w:sz w:val="24"/>
                <w:szCs w:val="24"/>
              </w:rPr>
              <w:t>应用服务器</w:t>
            </w:r>
          </w:p>
        </w:tc>
        <w:tc>
          <w:tcPr>
            <w:tcW w:w="271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sz w:val="24"/>
                <w:szCs w:val="24"/>
              </w:rPr>
            </w:pPr>
            <w:r>
              <w:rPr>
                <w:rFonts w:hint="eastAsia" w:ascii="宋体" w:hAnsi="宋体" w:cs="宋体"/>
                <w:sz w:val="24"/>
                <w:szCs w:val="24"/>
              </w:rPr>
              <w:t>4核8G内存 200G硬盘独享</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sz w:val="24"/>
                <w:szCs w:val="24"/>
              </w:rPr>
            </w:pPr>
            <w:r>
              <w:rPr>
                <w:rFonts w:hint="eastAsia" w:ascii="宋体" w:hAnsi="宋体" w:cs="宋体"/>
                <w:sz w:val="24"/>
                <w:szCs w:val="24"/>
              </w:rPr>
              <w:t>3</w:t>
            </w:r>
          </w:p>
        </w:tc>
      </w:tr>
      <w:tr>
        <w:tblPrEx>
          <w:tblCellMar>
            <w:top w:w="15" w:type="dxa"/>
            <w:left w:w="15" w:type="dxa"/>
            <w:bottom w:w="15" w:type="dxa"/>
            <w:right w:w="15" w:type="dxa"/>
          </w:tblCellMar>
        </w:tblPrEx>
        <w:trPr>
          <w:trHeight w:val="286" w:hRule="atLeast"/>
        </w:trPr>
        <w:tc>
          <w:tcPr>
            <w:tcW w:w="18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sz w:val="24"/>
                <w:szCs w:val="24"/>
              </w:rPr>
            </w:pPr>
            <w:r>
              <w:rPr>
                <w:rFonts w:hint="eastAsia" w:ascii="宋体" w:hAnsi="宋体" w:cs="宋体"/>
                <w:sz w:val="24"/>
                <w:szCs w:val="24"/>
              </w:rPr>
              <w:t>网页服务器</w:t>
            </w:r>
          </w:p>
        </w:tc>
        <w:tc>
          <w:tcPr>
            <w:tcW w:w="271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sz w:val="24"/>
                <w:szCs w:val="24"/>
              </w:rPr>
            </w:pPr>
            <w:r>
              <w:rPr>
                <w:rFonts w:hint="eastAsia" w:ascii="宋体" w:hAnsi="宋体" w:cs="宋体"/>
                <w:sz w:val="24"/>
                <w:szCs w:val="24"/>
              </w:rPr>
              <w:t>4核 8G内存 100G硬盘独享</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sz w:val="24"/>
                <w:szCs w:val="24"/>
              </w:rPr>
            </w:pPr>
            <w:r>
              <w:rPr>
                <w:rFonts w:hint="eastAsia" w:ascii="宋体" w:hAnsi="宋体" w:cs="宋体"/>
                <w:sz w:val="24"/>
                <w:szCs w:val="24"/>
              </w:rPr>
              <w:t>1</w:t>
            </w:r>
          </w:p>
        </w:tc>
      </w:tr>
      <w:tr>
        <w:tblPrEx>
          <w:tblCellMar>
            <w:top w:w="15" w:type="dxa"/>
            <w:left w:w="15" w:type="dxa"/>
            <w:bottom w:w="15" w:type="dxa"/>
            <w:right w:w="15" w:type="dxa"/>
          </w:tblCellMar>
        </w:tblPrEx>
        <w:trPr>
          <w:trHeight w:val="286" w:hRule="atLeast"/>
        </w:trPr>
        <w:tc>
          <w:tcPr>
            <w:tcW w:w="18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sz w:val="24"/>
                <w:szCs w:val="24"/>
              </w:rPr>
            </w:pPr>
            <w:r>
              <w:rPr>
                <w:rFonts w:hint="eastAsia" w:ascii="宋体" w:hAnsi="宋体" w:cs="宋体"/>
                <w:sz w:val="24"/>
                <w:szCs w:val="24"/>
              </w:rPr>
              <w:t>关系型数据库服务器</w:t>
            </w:r>
          </w:p>
        </w:tc>
        <w:tc>
          <w:tcPr>
            <w:tcW w:w="271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sz w:val="24"/>
                <w:szCs w:val="24"/>
              </w:rPr>
            </w:pPr>
            <w:r>
              <w:rPr>
                <w:rFonts w:hint="eastAsia" w:ascii="宋体" w:hAnsi="宋体" w:cs="宋体"/>
                <w:sz w:val="24"/>
                <w:szCs w:val="24"/>
              </w:rPr>
              <w:t>4核 16G内  1T空间</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sz w:val="24"/>
                <w:szCs w:val="24"/>
              </w:rPr>
            </w:pPr>
            <w:r>
              <w:rPr>
                <w:rFonts w:hint="eastAsia" w:ascii="宋体" w:hAnsi="宋体" w:cs="宋体"/>
                <w:sz w:val="24"/>
                <w:szCs w:val="24"/>
              </w:rPr>
              <w:t>1</w:t>
            </w:r>
          </w:p>
        </w:tc>
      </w:tr>
      <w:tr>
        <w:tblPrEx>
          <w:tblCellMar>
            <w:top w:w="15" w:type="dxa"/>
            <w:left w:w="15" w:type="dxa"/>
            <w:bottom w:w="15" w:type="dxa"/>
            <w:right w:w="15" w:type="dxa"/>
          </w:tblCellMar>
        </w:tblPrEx>
        <w:trPr>
          <w:trHeight w:val="286" w:hRule="atLeast"/>
        </w:trPr>
        <w:tc>
          <w:tcPr>
            <w:tcW w:w="18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sz w:val="24"/>
                <w:szCs w:val="24"/>
              </w:rPr>
            </w:pPr>
            <w:r>
              <w:rPr>
                <w:rFonts w:hint="eastAsia" w:ascii="宋体" w:hAnsi="宋体" w:cs="宋体"/>
                <w:sz w:val="24"/>
                <w:szCs w:val="24"/>
              </w:rPr>
              <w:t>短信通知费用</w:t>
            </w:r>
          </w:p>
        </w:tc>
        <w:tc>
          <w:tcPr>
            <w:tcW w:w="271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sz w:val="24"/>
                <w:szCs w:val="24"/>
              </w:rPr>
            </w:pPr>
            <w:r>
              <w:rPr>
                <w:rFonts w:hint="eastAsia" w:ascii="宋体" w:hAnsi="宋体" w:cs="宋体"/>
                <w:sz w:val="24"/>
                <w:szCs w:val="24"/>
              </w:rPr>
              <w:t>一年短信服务</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sz w:val="24"/>
                <w:szCs w:val="24"/>
              </w:rPr>
            </w:pPr>
            <w:r>
              <w:rPr>
                <w:rFonts w:hint="eastAsia" w:ascii="宋体" w:hAnsi="宋体" w:cs="宋体"/>
                <w:sz w:val="24"/>
                <w:szCs w:val="24"/>
              </w:rPr>
              <w:t>1</w:t>
            </w:r>
          </w:p>
        </w:tc>
      </w:tr>
      <w:tr>
        <w:tblPrEx>
          <w:tblCellMar>
            <w:top w:w="15" w:type="dxa"/>
            <w:left w:w="15" w:type="dxa"/>
            <w:bottom w:w="15" w:type="dxa"/>
            <w:right w:w="15" w:type="dxa"/>
          </w:tblCellMar>
        </w:tblPrEx>
        <w:trPr>
          <w:trHeight w:val="286" w:hRule="atLeast"/>
        </w:trPr>
        <w:tc>
          <w:tcPr>
            <w:tcW w:w="18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sz w:val="24"/>
                <w:szCs w:val="24"/>
              </w:rPr>
            </w:pPr>
            <w:r>
              <w:rPr>
                <w:rFonts w:hint="eastAsia" w:ascii="宋体" w:hAnsi="宋体" w:cs="宋体"/>
                <w:sz w:val="24"/>
                <w:szCs w:val="24"/>
              </w:rPr>
              <w:t>云平台安全检测</w:t>
            </w:r>
          </w:p>
        </w:tc>
        <w:tc>
          <w:tcPr>
            <w:tcW w:w="271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sz w:val="24"/>
                <w:szCs w:val="24"/>
              </w:rPr>
            </w:pP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sz w:val="24"/>
                <w:szCs w:val="24"/>
              </w:rPr>
            </w:pPr>
            <w:r>
              <w:rPr>
                <w:rFonts w:hint="eastAsia" w:ascii="宋体" w:hAnsi="宋体" w:cs="宋体"/>
                <w:sz w:val="24"/>
                <w:szCs w:val="24"/>
              </w:rPr>
              <w:t>1</w:t>
            </w:r>
          </w:p>
        </w:tc>
      </w:tr>
    </w:tbl>
    <w:p>
      <w:pPr>
        <w:spacing w:line="360" w:lineRule="auto"/>
        <w:rPr>
          <w:rFonts w:ascii="宋体" w:hAnsi="宋体" w:cs="宋体"/>
          <w:sz w:val="24"/>
        </w:rPr>
      </w:pPr>
      <w:bookmarkStart w:id="259" w:name="_Toc40971322"/>
      <w:r>
        <w:rPr>
          <w:rFonts w:hint="eastAsia" w:ascii="宋体" w:hAnsi="宋体" w:cs="宋体"/>
          <w:sz w:val="24"/>
        </w:rPr>
        <w:t>附表</w:t>
      </w:r>
      <w:r>
        <w:rPr>
          <w:rFonts w:ascii="宋体" w:hAnsi="宋体" w:cs="宋体"/>
          <w:sz w:val="24"/>
        </w:rPr>
        <w:t>6</w:t>
      </w:r>
      <w:r>
        <w:rPr>
          <w:rFonts w:hint="eastAsia" w:ascii="宋体" w:hAnsi="宋体" w:cs="宋体"/>
          <w:sz w:val="24"/>
        </w:rPr>
        <w:t>视频设备托管租赁</w:t>
      </w:r>
      <w:bookmarkEnd w:id="259"/>
      <w:r>
        <w:rPr>
          <w:rFonts w:hint="eastAsia" w:ascii="宋体" w:hAnsi="宋体" w:cs="宋体"/>
          <w:sz w:val="24"/>
        </w:rPr>
        <w:t>清单</w:t>
      </w:r>
    </w:p>
    <w:tbl>
      <w:tblPr>
        <w:tblStyle w:val="18"/>
        <w:tblW w:w="4998" w:type="pct"/>
        <w:jc w:val="center"/>
        <w:tblLayout w:type="autofit"/>
        <w:tblCellMar>
          <w:top w:w="0" w:type="dxa"/>
          <w:left w:w="108" w:type="dxa"/>
          <w:bottom w:w="0" w:type="dxa"/>
          <w:right w:w="108" w:type="dxa"/>
        </w:tblCellMar>
      </w:tblPr>
      <w:tblGrid>
        <w:gridCol w:w="853"/>
        <w:gridCol w:w="1179"/>
        <w:gridCol w:w="4012"/>
        <w:gridCol w:w="1086"/>
        <w:gridCol w:w="1395"/>
      </w:tblGrid>
      <w:tr>
        <w:tblPrEx>
          <w:tblCellMar>
            <w:top w:w="0" w:type="dxa"/>
            <w:left w:w="108" w:type="dxa"/>
            <w:bottom w:w="0" w:type="dxa"/>
            <w:right w:w="108" w:type="dxa"/>
          </w:tblCellMar>
        </w:tblPrEx>
        <w:trPr>
          <w:trHeight w:val="270" w:hRule="atLeast"/>
          <w:jc w:val="center"/>
        </w:trPr>
        <w:tc>
          <w:tcPr>
            <w:tcW w:w="50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名称</w:t>
            </w:r>
          </w:p>
        </w:tc>
        <w:tc>
          <w:tcPr>
            <w:tcW w:w="23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功能及配置要求</w:t>
            </w: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r>
      <w:tr>
        <w:tblPrEx>
          <w:tblCellMar>
            <w:top w:w="0" w:type="dxa"/>
            <w:left w:w="108" w:type="dxa"/>
            <w:bottom w:w="0" w:type="dxa"/>
            <w:right w:w="108" w:type="dxa"/>
          </w:tblCellMar>
        </w:tblPrEx>
        <w:trPr>
          <w:trHeight w:val="1440" w:hRule="atLeast"/>
          <w:jc w:val="center"/>
        </w:trPr>
        <w:tc>
          <w:tcPr>
            <w:tcW w:w="50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流媒体设备</w:t>
            </w:r>
          </w:p>
        </w:tc>
        <w:tc>
          <w:tcPr>
            <w:tcW w:w="23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实现在平台中主要负责视频流的转发，有效减轻前端设备和网络压力；避免部分设备因连接数有局限，导致多客户端预览时，因为连接数满，后面客户端无法预览的问题；流媒体获取视频流来源主要包括前端设备、级联转发流媒体和其他流媒体；</w:t>
            </w:r>
          </w:p>
          <w:p>
            <w:pPr>
              <w:spacing w:line="360" w:lineRule="auto"/>
              <w:rPr>
                <w:rFonts w:hint="eastAsia" w:ascii="宋体" w:hAnsi="宋体" w:eastAsia="宋体" w:cs="宋体"/>
                <w:sz w:val="24"/>
                <w:szCs w:val="24"/>
              </w:rPr>
            </w:pPr>
            <w:r>
              <w:rPr>
                <w:rFonts w:hint="eastAsia" w:ascii="宋体" w:hAnsi="宋体" w:eastAsia="宋体" w:cs="宋体"/>
                <w:sz w:val="24"/>
                <w:szCs w:val="24"/>
              </w:rPr>
              <w:t>流媒体支持级联上墙，指视频综合平台到上级流媒体取流，流媒体通过级联取流。</w:t>
            </w: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r>
      <w:tr>
        <w:tblPrEx>
          <w:tblCellMar>
            <w:top w:w="0" w:type="dxa"/>
            <w:left w:w="108" w:type="dxa"/>
            <w:bottom w:w="0" w:type="dxa"/>
            <w:right w:w="108" w:type="dxa"/>
          </w:tblCellMar>
        </w:tblPrEx>
        <w:trPr>
          <w:trHeight w:val="1200" w:hRule="atLeast"/>
          <w:jc w:val="center"/>
        </w:trPr>
        <w:tc>
          <w:tcPr>
            <w:tcW w:w="50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监控视频网络存储设备</w:t>
            </w:r>
          </w:p>
        </w:tc>
        <w:tc>
          <w:tcPr>
            <w:tcW w:w="23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单设备应配置≥64位多核处理器，≥4GB内存，内存支持扩展到≥256GB，需配置冗余金牌电源，支持双系统（其中电源仅以照片证明即可）</w:t>
            </w:r>
          </w:p>
          <w:p>
            <w:pPr>
              <w:spacing w:line="360" w:lineRule="auto"/>
              <w:rPr>
                <w:rFonts w:hint="eastAsia" w:ascii="宋体" w:hAnsi="宋体" w:eastAsia="宋体" w:cs="宋体"/>
                <w:sz w:val="24"/>
                <w:szCs w:val="24"/>
              </w:rPr>
            </w:pPr>
            <w:r>
              <w:rPr>
                <w:rFonts w:hint="eastAsia" w:ascii="宋体" w:hAnsi="宋体" w:eastAsia="宋体" w:cs="宋体"/>
                <w:sz w:val="24"/>
                <w:szCs w:val="24"/>
              </w:rPr>
              <w:t>单设备应标配≥2个千兆网口，可增扩≥4个万兆口或≥8个光纤接口或增配≥4个HDMI接口或≥2个SAS3.0接口，可扩展2个SSD固态硬盘</w:t>
            </w:r>
          </w:p>
          <w:p>
            <w:pPr>
              <w:spacing w:line="360" w:lineRule="auto"/>
              <w:rPr>
                <w:rFonts w:hint="eastAsia" w:ascii="宋体" w:hAnsi="宋体" w:eastAsia="宋体" w:cs="宋体"/>
                <w:sz w:val="24"/>
                <w:szCs w:val="24"/>
              </w:rPr>
            </w:pPr>
            <w:r>
              <w:rPr>
                <w:rFonts w:hint="eastAsia" w:ascii="宋体" w:hAnsi="宋体" w:eastAsia="宋体" w:cs="宋体"/>
                <w:sz w:val="24"/>
                <w:szCs w:val="24"/>
              </w:rPr>
              <w:t>应支持FCSAN、IPSAN、NAS存储功能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可接入2T/3T/4T/6T/8T/10TSATA磁盘，支持磁盘交错启动和漫游，并支持在线热插拔；</w:t>
            </w:r>
          </w:p>
          <w:p>
            <w:pPr>
              <w:spacing w:line="360" w:lineRule="auto"/>
              <w:rPr>
                <w:rFonts w:hint="eastAsia" w:ascii="宋体" w:hAnsi="宋体" w:eastAsia="宋体" w:cs="宋体"/>
                <w:sz w:val="24"/>
                <w:szCs w:val="24"/>
              </w:rPr>
            </w:pPr>
            <w:r>
              <w:rPr>
                <w:rFonts w:hint="eastAsia" w:ascii="宋体" w:hAnsi="宋体" w:eastAsia="宋体" w:cs="宋体"/>
                <w:sz w:val="24"/>
                <w:szCs w:val="24"/>
              </w:rPr>
              <w:t>可接入硬盘≥24块，支持SATA和SAS混插，并支持≥12级扩展柜级联扩展；</w:t>
            </w:r>
          </w:p>
          <w:p>
            <w:pPr>
              <w:spacing w:line="360" w:lineRule="auto"/>
              <w:rPr>
                <w:rFonts w:hint="eastAsia" w:ascii="宋体" w:hAnsi="宋体" w:eastAsia="宋体" w:cs="宋体"/>
                <w:sz w:val="24"/>
                <w:szCs w:val="24"/>
              </w:rPr>
            </w:pPr>
            <w:r>
              <w:rPr>
                <w:rFonts w:hint="eastAsia" w:ascii="宋体" w:hAnsi="宋体" w:eastAsia="宋体" w:cs="宋体"/>
                <w:sz w:val="24"/>
                <w:szCs w:val="24"/>
              </w:rPr>
              <w:t>应能提供RAID0、1、3、5、6、10、50，60、JBOD、RAIDErasingCode、Raid5EE模式，支持全局、局部等多种热备选择，支持坏盘自动重构；</w:t>
            </w:r>
          </w:p>
          <w:p>
            <w:pPr>
              <w:spacing w:line="360" w:lineRule="auto"/>
              <w:rPr>
                <w:rFonts w:hint="eastAsia" w:ascii="宋体" w:hAnsi="宋体" w:eastAsia="宋体" w:cs="宋体"/>
                <w:sz w:val="24"/>
                <w:szCs w:val="24"/>
              </w:rPr>
            </w:pPr>
            <w:r>
              <w:rPr>
                <w:rFonts w:hint="eastAsia" w:ascii="宋体" w:hAnsi="宋体" w:eastAsia="宋体" w:cs="宋体"/>
                <w:sz w:val="24"/>
                <w:szCs w:val="24"/>
              </w:rPr>
              <w:t>设备可对视音频、图片、智能数据（智能行为分析录像）流进行混合直存，无须存储服务器和图片服务器的参与，平台服务器宕机时，存储业务正常</w:t>
            </w:r>
          </w:p>
          <w:p>
            <w:pPr>
              <w:spacing w:line="360" w:lineRule="auto"/>
              <w:rPr>
                <w:rFonts w:hint="eastAsia" w:ascii="宋体" w:hAnsi="宋体" w:eastAsia="宋体" w:cs="宋体"/>
                <w:sz w:val="24"/>
                <w:szCs w:val="24"/>
              </w:rPr>
            </w:pPr>
            <w:r>
              <w:rPr>
                <w:rFonts w:hint="eastAsia" w:ascii="宋体" w:hAnsi="宋体" w:eastAsia="宋体" w:cs="宋体"/>
                <w:sz w:val="24"/>
                <w:szCs w:val="24"/>
              </w:rPr>
              <w:t>应能接入并存储1880Mbps视频图像，同时转发1880Mbps的视频图像；同时回放512Mbps的视频图像；</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支持不低于600MBps图片并发输入，同时不低于600MBps图片并发输出</w:t>
            </w:r>
          </w:p>
          <w:p>
            <w:pPr>
              <w:spacing w:line="360" w:lineRule="auto"/>
              <w:rPr>
                <w:rFonts w:hint="eastAsia" w:ascii="宋体" w:hAnsi="宋体" w:eastAsia="宋体" w:cs="宋体"/>
                <w:sz w:val="24"/>
                <w:szCs w:val="24"/>
              </w:rPr>
            </w:pPr>
            <w:r>
              <w:rPr>
                <w:rFonts w:hint="eastAsia" w:ascii="宋体" w:hAnsi="宋体" w:eastAsia="宋体" w:cs="宋体"/>
                <w:sz w:val="24"/>
                <w:szCs w:val="24"/>
              </w:rPr>
              <w:t>当RAID中某块工作正常的硬盘被误拔出后，60分钟内插回，该硬盘能恢复到原RAID中，系统自动恢复工作，而且会对拔掉的硬盘进行增量数据恢复</w:t>
            </w:r>
          </w:p>
          <w:p>
            <w:pPr>
              <w:spacing w:line="360" w:lineRule="auto"/>
              <w:rPr>
                <w:rFonts w:hint="eastAsia" w:ascii="宋体" w:hAnsi="宋体" w:eastAsia="宋体" w:cs="宋体"/>
                <w:sz w:val="24"/>
                <w:szCs w:val="24"/>
              </w:rPr>
            </w:pPr>
            <w:r>
              <w:rPr>
                <w:rFonts w:hint="eastAsia" w:ascii="宋体" w:hAnsi="宋体" w:eastAsia="宋体" w:cs="宋体"/>
                <w:sz w:val="24"/>
                <w:szCs w:val="24"/>
              </w:rPr>
              <w:t>在RAID内丢失2块（含）以上硬盘但至少有1块正常磁盘时，无需等待丢失盘恢复，保留的硬盘中的数据可正常读出，且新数据可正常写入</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支持接入单前端设备不超出30路码流冗余存储</w:t>
            </w:r>
          </w:p>
          <w:p>
            <w:pPr>
              <w:spacing w:line="360" w:lineRule="auto"/>
              <w:rPr>
                <w:rFonts w:hint="eastAsia" w:ascii="宋体" w:hAnsi="宋体" w:eastAsia="宋体" w:cs="宋体"/>
                <w:sz w:val="24"/>
                <w:szCs w:val="24"/>
              </w:rPr>
            </w:pPr>
            <w:r>
              <w:rPr>
                <w:rFonts w:hint="eastAsia" w:ascii="宋体" w:hAnsi="宋体" w:eastAsia="宋体" w:cs="宋体"/>
                <w:sz w:val="24"/>
                <w:szCs w:val="24"/>
              </w:rPr>
              <w:t>根据数据对象的重要性（例如：系统信息、配置信息、报警录像、普通录像等）、访问频率等属性按照预先设定的分层存储区域可进行自动分层存储并可实现快速访问</w:t>
            </w:r>
          </w:p>
          <w:p>
            <w:pPr>
              <w:spacing w:line="360" w:lineRule="auto"/>
              <w:rPr>
                <w:rFonts w:hint="eastAsia" w:ascii="宋体" w:hAnsi="宋体" w:eastAsia="宋体" w:cs="宋体"/>
                <w:sz w:val="24"/>
                <w:szCs w:val="24"/>
              </w:rPr>
            </w:pPr>
            <w:r>
              <w:rPr>
                <w:rFonts w:hint="eastAsia" w:ascii="宋体" w:hAnsi="宋体" w:eastAsia="宋体" w:cs="宋体"/>
                <w:sz w:val="24"/>
                <w:szCs w:val="24"/>
              </w:rPr>
              <w:t>设备在不增加任何外围服务器硬件的情况下可由存储设备直接进行虚拟化系统部署</w:t>
            </w:r>
          </w:p>
          <w:p>
            <w:pPr>
              <w:spacing w:line="360" w:lineRule="auto"/>
              <w:rPr>
                <w:rFonts w:hint="eastAsia" w:ascii="宋体" w:hAnsi="宋体" w:eastAsia="宋体" w:cs="宋体"/>
                <w:sz w:val="24"/>
                <w:szCs w:val="24"/>
              </w:rPr>
            </w:pPr>
            <w:r>
              <w:rPr>
                <w:rFonts w:hint="eastAsia" w:ascii="宋体" w:hAnsi="宋体" w:eastAsia="宋体" w:cs="宋体"/>
                <w:sz w:val="24"/>
                <w:szCs w:val="24"/>
              </w:rPr>
              <w:t>设备应能预录报警触发前1-40分钟的视频录像。</w:t>
            </w:r>
          </w:p>
          <w:p>
            <w:pPr>
              <w:spacing w:line="360" w:lineRule="auto"/>
              <w:rPr>
                <w:rFonts w:hint="eastAsia" w:ascii="宋体" w:hAnsi="宋体" w:eastAsia="宋体" w:cs="宋体"/>
                <w:sz w:val="24"/>
                <w:szCs w:val="24"/>
              </w:rPr>
            </w:pPr>
            <w:r>
              <w:rPr>
                <w:rFonts w:hint="eastAsia" w:ascii="宋体" w:hAnsi="宋体" w:eastAsia="宋体" w:cs="宋体"/>
                <w:sz w:val="24"/>
                <w:szCs w:val="24"/>
              </w:rPr>
              <w:t>可接入MPEG4、H.264、H.265、Smart265、SVAC的前端设备并存储录像文件,可将大华、宇视、海康等厂商SDK封装格式的视频流转成标准（MPEG4、H.264、H.265、SVAC等编码格式）PS流（ProgramStream）输出。</w:t>
            </w:r>
          </w:p>
          <w:p>
            <w:pPr>
              <w:spacing w:line="360" w:lineRule="auto"/>
              <w:rPr>
                <w:rFonts w:hint="eastAsia" w:ascii="宋体" w:hAnsi="宋体" w:eastAsia="宋体" w:cs="宋体"/>
                <w:sz w:val="24"/>
                <w:szCs w:val="24"/>
              </w:rPr>
            </w:pPr>
            <w:r>
              <w:rPr>
                <w:rFonts w:hint="eastAsia" w:ascii="宋体" w:hAnsi="宋体" w:eastAsia="宋体" w:cs="宋体"/>
                <w:sz w:val="24"/>
                <w:szCs w:val="24"/>
              </w:rPr>
              <w:t>可在视频画面上绘制区域或界线，检索指定范围内的报警录像；可输入车牌号码可查证出相关图片和视频；可按照报警事件进行检索。可通过客户端将交通卡口数据（包括车标、车道、车速范围、车牌及车身颜色），行为分析的图片及数据（包括进入警戒线、进入警戒区、物品遗留、人脸检测）直接存入存储服务器，并可通过客户端进行检索、查看、下载图片及进行录像</w:t>
            </w:r>
          </w:p>
          <w:p>
            <w:pPr>
              <w:spacing w:line="360" w:lineRule="auto"/>
              <w:rPr>
                <w:rFonts w:hint="eastAsia" w:ascii="宋体" w:hAnsi="宋体" w:eastAsia="宋体" w:cs="宋体"/>
                <w:sz w:val="24"/>
                <w:szCs w:val="24"/>
              </w:rPr>
            </w:pPr>
            <w:r>
              <w:rPr>
                <w:rFonts w:hint="eastAsia" w:ascii="宋体" w:hAnsi="宋体" w:eastAsia="宋体" w:cs="宋体"/>
                <w:sz w:val="24"/>
                <w:szCs w:val="24"/>
              </w:rPr>
              <w:t>网络中断后重新恢复，设备可续存断网期间存储在前端设备中的录像文件，并可通过IE浏览器设置自动回传和手动回传。支持256路4M的录像回传</w:t>
            </w:r>
          </w:p>
          <w:p>
            <w:pPr>
              <w:spacing w:line="360" w:lineRule="auto"/>
              <w:rPr>
                <w:rFonts w:hint="eastAsia" w:ascii="宋体" w:hAnsi="宋体" w:eastAsia="宋体" w:cs="宋体"/>
                <w:sz w:val="24"/>
                <w:szCs w:val="24"/>
              </w:rPr>
            </w:pPr>
            <w:r>
              <w:rPr>
                <w:rFonts w:hint="eastAsia" w:ascii="宋体" w:hAnsi="宋体" w:eastAsia="宋体" w:cs="宋体"/>
                <w:sz w:val="24"/>
                <w:szCs w:val="24"/>
              </w:rPr>
              <w:t>当录像视频流发生丢失5s以上可在日志中记录报警信息。</w:t>
            </w:r>
          </w:p>
          <w:p>
            <w:pPr>
              <w:spacing w:line="360" w:lineRule="auto"/>
              <w:rPr>
                <w:rFonts w:hint="eastAsia" w:ascii="宋体" w:hAnsi="宋体" w:eastAsia="宋体" w:cs="宋体"/>
                <w:sz w:val="24"/>
                <w:szCs w:val="24"/>
              </w:rPr>
            </w:pPr>
            <w:r>
              <w:rPr>
                <w:rFonts w:hint="eastAsia" w:ascii="宋体" w:hAnsi="宋体" w:eastAsia="宋体" w:cs="宋体"/>
                <w:sz w:val="24"/>
                <w:szCs w:val="24"/>
              </w:rPr>
              <w:t>设备可将接入的鱼眼摄像机、双目摄像机、全景自拼接摄像机（鹰眼摄像机）、深眸智能摄像机、热成像相机的图像以多画面分割方式显示；</w:t>
            </w:r>
          </w:p>
          <w:p>
            <w:pPr>
              <w:spacing w:line="360" w:lineRule="auto"/>
              <w:rPr>
                <w:rFonts w:hint="eastAsia" w:ascii="宋体" w:hAnsi="宋体" w:eastAsia="宋体" w:cs="宋体"/>
                <w:sz w:val="24"/>
                <w:szCs w:val="24"/>
              </w:rPr>
            </w:pPr>
            <w:r>
              <w:rPr>
                <w:rFonts w:hint="eastAsia" w:ascii="宋体" w:hAnsi="宋体" w:eastAsia="宋体" w:cs="宋体"/>
                <w:sz w:val="24"/>
                <w:szCs w:val="24"/>
              </w:rPr>
              <w:t>提供多设备同步升级功能，可以通过一键式操作对整个局域网内的所有设备同步升级。</w:t>
            </w:r>
          </w:p>
          <w:p>
            <w:pPr>
              <w:spacing w:line="360" w:lineRule="auto"/>
              <w:rPr>
                <w:rFonts w:hint="eastAsia" w:ascii="宋体" w:hAnsi="宋体" w:eastAsia="宋体" w:cs="宋体"/>
                <w:sz w:val="24"/>
                <w:szCs w:val="24"/>
              </w:rPr>
            </w:pPr>
            <w:r>
              <w:rPr>
                <w:rFonts w:hint="eastAsia" w:ascii="宋体" w:hAnsi="宋体" w:eastAsia="宋体" w:cs="宋体"/>
                <w:sz w:val="24"/>
                <w:szCs w:val="24"/>
              </w:rPr>
              <w:t>设备可同时支持视频、图片、智能流和文件直写存储。</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支持多路文件采用非NAS方式直接上传存储，且速度可设置。</w:t>
            </w:r>
          </w:p>
          <w:p>
            <w:pPr>
              <w:spacing w:line="360" w:lineRule="auto"/>
              <w:rPr>
                <w:rFonts w:hint="eastAsia" w:ascii="宋体" w:hAnsi="宋体" w:eastAsia="宋体" w:cs="宋体"/>
                <w:sz w:val="24"/>
                <w:szCs w:val="24"/>
              </w:rPr>
            </w:pPr>
            <w:r>
              <w:rPr>
                <w:rFonts w:hint="eastAsia" w:ascii="宋体" w:hAnsi="宋体" w:eastAsia="宋体" w:cs="宋体"/>
                <w:sz w:val="24"/>
                <w:szCs w:val="24"/>
              </w:rPr>
              <w:t>具有ONVIF、PSIA、TCP/IP、UDP、SIP、RTSP、RTP、RTCP、iSCSI、CIFS(SMB)、NFS、FTP、HTTP、AFP、RSYNC、SNMP、IPV4、IPV6设置选项，支持IP组播</w:t>
            </w:r>
          </w:p>
          <w:p>
            <w:pPr>
              <w:spacing w:line="360" w:lineRule="auto"/>
              <w:rPr>
                <w:rFonts w:hint="eastAsia" w:ascii="宋体" w:hAnsi="宋体" w:eastAsia="宋体" w:cs="宋体"/>
                <w:sz w:val="24"/>
                <w:szCs w:val="24"/>
              </w:rPr>
            </w:pPr>
            <w:r>
              <w:rPr>
                <w:rFonts w:hint="eastAsia" w:ascii="宋体" w:hAnsi="宋体" w:eastAsia="宋体" w:cs="宋体"/>
                <w:sz w:val="24"/>
                <w:szCs w:val="24"/>
              </w:rPr>
              <w:t>通过客户端软件添加及删除手机号，启用短信网关报警功能后，可向添加的手机号码发送电源异常、系统卡容量不足、存储空间异常、自动修复失败、私有卷IO异常、无可用逻辑卷等报警信息，报警种类可设。</w:t>
            </w:r>
          </w:p>
          <w:p>
            <w:pPr>
              <w:spacing w:line="360" w:lineRule="auto"/>
              <w:rPr>
                <w:rFonts w:hint="eastAsia" w:ascii="宋体" w:hAnsi="宋体" w:eastAsia="宋体" w:cs="宋体"/>
                <w:sz w:val="24"/>
                <w:szCs w:val="24"/>
              </w:rPr>
            </w:pPr>
            <w:r>
              <w:rPr>
                <w:rFonts w:hint="eastAsia" w:ascii="宋体" w:hAnsi="宋体" w:eastAsia="宋体" w:cs="宋体"/>
                <w:sz w:val="24"/>
                <w:szCs w:val="24"/>
              </w:rPr>
              <w:t>可对指定的录像段或指定事件的1个或多个前端的不同时间段录像段添加标签，并自动备份到存档卷中，使之不会被覆盖删除。</w:t>
            </w:r>
          </w:p>
          <w:p>
            <w:pPr>
              <w:spacing w:line="360" w:lineRule="auto"/>
              <w:rPr>
                <w:rFonts w:hint="eastAsia" w:ascii="宋体" w:hAnsi="宋体" w:eastAsia="宋体" w:cs="宋体"/>
                <w:sz w:val="24"/>
                <w:szCs w:val="24"/>
              </w:rPr>
            </w:pPr>
            <w:r>
              <w:rPr>
                <w:rFonts w:hint="eastAsia" w:ascii="宋体" w:hAnsi="宋体" w:eastAsia="宋体" w:cs="宋体"/>
                <w:sz w:val="24"/>
                <w:szCs w:val="24"/>
              </w:rPr>
              <w:t>可根据事件名称查询所有相关联的不同前端或时间的录像段并进行回放和下载。</w:t>
            </w:r>
          </w:p>
          <w:p>
            <w:pPr>
              <w:spacing w:line="360" w:lineRule="auto"/>
              <w:rPr>
                <w:rFonts w:hint="eastAsia" w:ascii="宋体" w:hAnsi="宋体" w:eastAsia="宋体" w:cs="宋体"/>
                <w:sz w:val="24"/>
                <w:szCs w:val="24"/>
              </w:rPr>
            </w:pPr>
            <w:r>
              <w:rPr>
                <w:rFonts w:hint="eastAsia" w:ascii="宋体" w:hAnsi="宋体" w:eastAsia="宋体" w:cs="宋体"/>
                <w:sz w:val="24"/>
                <w:szCs w:val="24"/>
              </w:rPr>
              <w:t>可通过IE浏览器对一台、多台样机或扩展柜中的磁盘进行定位，使对应的磁盘指示灯闪烁，闪烁的时长可设。</w:t>
            </w: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CellMar>
            <w:top w:w="0" w:type="dxa"/>
            <w:left w:w="108" w:type="dxa"/>
            <w:bottom w:w="0" w:type="dxa"/>
            <w:right w:w="108" w:type="dxa"/>
          </w:tblCellMar>
        </w:tblPrEx>
        <w:trPr>
          <w:trHeight w:val="720" w:hRule="atLeast"/>
          <w:jc w:val="center"/>
        </w:trPr>
        <w:tc>
          <w:tcPr>
            <w:tcW w:w="50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企业级sata Ⅲ磁盘</w:t>
            </w:r>
          </w:p>
        </w:tc>
        <w:tc>
          <w:tcPr>
            <w:tcW w:w="23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4TB 128M缓存 3.5英寸 SATA3.0接口 7200转</w:t>
            </w: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块</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24</w:t>
            </w:r>
          </w:p>
        </w:tc>
      </w:tr>
      <w:tr>
        <w:tblPrEx>
          <w:tblCellMar>
            <w:top w:w="0" w:type="dxa"/>
            <w:left w:w="108" w:type="dxa"/>
            <w:bottom w:w="0" w:type="dxa"/>
            <w:right w:w="108" w:type="dxa"/>
          </w:tblCellMar>
        </w:tblPrEx>
        <w:trPr>
          <w:trHeight w:val="3200" w:hRule="atLeast"/>
          <w:jc w:val="center"/>
        </w:trPr>
        <w:tc>
          <w:tcPr>
            <w:tcW w:w="50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平台对接网关</w:t>
            </w:r>
          </w:p>
        </w:tc>
        <w:tc>
          <w:tcPr>
            <w:tcW w:w="23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软硬件一体设计；</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支持加密狗授权机制；</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支持Web方式访问，配置、管理网关设备；</w:t>
            </w:r>
          </w:p>
          <w:p>
            <w:pPr>
              <w:spacing w:line="360" w:lineRule="auto"/>
              <w:rPr>
                <w:rFonts w:hint="eastAsia" w:ascii="宋体" w:hAnsi="宋体" w:eastAsia="宋体" w:cs="宋体"/>
                <w:sz w:val="24"/>
                <w:szCs w:val="24"/>
              </w:rPr>
            </w:pPr>
            <w:r>
              <w:rPr>
                <w:rFonts w:hint="eastAsia" w:ascii="宋体" w:hAnsi="宋体" w:eastAsia="宋体" w:cs="宋体"/>
                <w:sz w:val="24"/>
                <w:szCs w:val="24"/>
              </w:rPr>
              <w:t>多平台多层次级联，跨域互联互通与资源共享；</w:t>
            </w:r>
            <w:r>
              <w:rPr>
                <w:rFonts w:hint="eastAsia" w:ascii="宋体" w:hAnsi="宋体" w:eastAsia="宋体" w:cs="宋体"/>
                <w:sz w:val="24"/>
                <w:szCs w:val="24"/>
              </w:rPr>
              <w:br w:type="textWrapping"/>
            </w:r>
            <w:r>
              <w:rPr>
                <w:rFonts w:hint="eastAsia" w:ascii="宋体" w:hAnsi="宋体" w:eastAsia="宋体" w:cs="宋体"/>
                <w:sz w:val="24"/>
                <w:szCs w:val="24"/>
              </w:rPr>
              <w:t>支持联网标准协议GBT28181/DB33/DB41/GBT28059，具备符合上述协议的快速接入能力；</w:t>
            </w:r>
            <w:r>
              <w:rPr>
                <w:rFonts w:hint="eastAsia" w:ascii="宋体" w:hAnsi="宋体" w:eastAsia="宋体" w:cs="宋体"/>
                <w:sz w:val="24"/>
                <w:szCs w:val="24"/>
              </w:rPr>
              <w:br w:type="textWrapping"/>
            </w:r>
            <w:r>
              <w:rPr>
                <w:rFonts w:hint="eastAsia" w:ascii="宋体" w:hAnsi="宋体" w:eastAsia="宋体" w:cs="宋体"/>
                <w:sz w:val="24"/>
                <w:szCs w:val="24"/>
              </w:rPr>
              <w:t>符合GB/T28181-2011、公安机关视频监控系统联网标准符合性检测要求；</w:t>
            </w:r>
            <w:r>
              <w:rPr>
                <w:rFonts w:hint="eastAsia" w:ascii="宋体" w:hAnsi="宋体" w:eastAsia="宋体" w:cs="宋体"/>
                <w:sz w:val="24"/>
                <w:szCs w:val="24"/>
              </w:rPr>
              <w:br w:type="textWrapping"/>
            </w:r>
            <w:r>
              <w:rPr>
                <w:rFonts w:hint="eastAsia" w:ascii="宋体" w:hAnsi="宋体" w:eastAsia="宋体" w:cs="宋体"/>
                <w:sz w:val="24"/>
                <w:szCs w:val="24"/>
              </w:rPr>
              <w:t>支持平台联网管理基本功能，资源共享与同步、实时预览、云台控制、录像检索/回放/下载、设备控制、报警处理等；</w:t>
            </w:r>
            <w:r>
              <w:rPr>
                <w:rFonts w:hint="eastAsia" w:ascii="宋体" w:hAnsi="宋体" w:eastAsia="宋体" w:cs="宋体"/>
                <w:sz w:val="24"/>
                <w:szCs w:val="24"/>
              </w:rPr>
              <w:br w:type="textWrapping"/>
            </w:r>
            <w:r>
              <w:rPr>
                <w:rFonts w:hint="eastAsia" w:ascii="宋体" w:hAnsi="宋体" w:eastAsia="宋体" w:cs="宋体"/>
                <w:sz w:val="24"/>
                <w:szCs w:val="24"/>
              </w:rPr>
              <w:t>支持至少3级级联部署，最大可支持16个外域的接入；</w:t>
            </w:r>
            <w:r>
              <w:rPr>
                <w:rFonts w:hint="eastAsia" w:ascii="宋体" w:hAnsi="宋体" w:eastAsia="宋体" w:cs="宋体"/>
                <w:sz w:val="24"/>
                <w:szCs w:val="24"/>
              </w:rPr>
              <w:br w:type="textWrapping"/>
            </w:r>
            <w:r>
              <w:rPr>
                <w:rFonts w:hint="eastAsia" w:ascii="宋体" w:hAnsi="宋体" w:eastAsia="宋体" w:cs="宋体"/>
                <w:sz w:val="24"/>
                <w:szCs w:val="24"/>
              </w:rPr>
              <w:t>具备高度的开放性与兼容性，支持国内主流厂商（包括海康、科达、宇视、天地伟业等）视频监控系统的接入。</w:t>
            </w: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r>
      <w:tr>
        <w:tblPrEx>
          <w:tblCellMar>
            <w:top w:w="0" w:type="dxa"/>
            <w:left w:w="108" w:type="dxa"/>
            <w:bottom w:w="0" w:type="dxa"/>
            <w:right w:w="108" w:type="dxa"/>
          </w:tblCellMar>
        </w:tblPrEx>
        <w:trPr>
          <w:trHeight w:val="2705" w:hRule="atLeast"/>
          <w:jc w:val="center"/>
        </w:trPr>
        <w:tc>
          <w:tcPr>
            <w:tcW w:w="50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视频接入交换机</w:t>
            </w:r>
          </w:p>
        </w:tc>
        <w:tc>
          <w:tcPr>
            <w:tcW w:w="23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配置：可用百兆电口数量≥24，千兆光电复用口≥2</w:t>
            </w:r>
          </w:p>
          <w:p>
            <w:pPr>
              <w:spacing w:line="360" w:lineRule="auto"/>
              <w:rPr>
                <w:rFonts w:hint="eastAsia" w:ascii="宋体" w:hAnsi="宋体" w:eastAsia="宋体" w:cs="宋体"/>
                <w:sz w:val="24"/>
                <w:szCs w:val="24"/>
              </w:rPr>
            </w:pPr>
            <w:r>
              <w:rPr>
                <w:rFonts w:hint="eastAsia" w:ascii="宋体" w:hAnsi="宋体" w:eastAsia="宋体" w:cs="宋体"/>
                <w:sz w:val="24"/>
                <w:szCs w:val="24"/>
              </w:rPr>
              <w:t>管理口：支持独立的console管理串口</w:t>
            </w:r>
          </w:p>
          <w:p>
            <w:pPr>
              <w:spacing w:line="360" w:lineRule="auto"/>
              <w:rPr>
                <w:rFonts w:hint="eastAsia" w:ascii="宋体" w:hAnsi="宋体" w:eastAsia="宋体" w:cs="宋体"/>
                <w:sz w:val="24"/>
                <w:szCs w:val="24"/>
              </w:rPr>
            </w:pPr>
            <w:r>
              <w:rPr>
                <w:rFonts w:hint="eastAsia" w:ascii="宋体" w:hAnsi="宋体" w:eastAsia="宋体" w:cs="宋体"/>
                <w:sz w:val="24"/>
                <w:szCs w:val="24"/>
              </w:rPr>
              <w:t>交换容量≥64Gbps</w:t>
            </w:r>
          </w:p>
          <w:p>
            <w:pPr>
              <w:spacing w:line="360" w:lineRule="auto"/>
              <w:rPr>
                <w:rFonts w:hint="eastAsia" w:ascii="宋体" w:hAnsi="宋体" w:eastAsia="宋体" w:cs="宋体"/>
                <w:sz w:val="24"/>
                <w:szCs w:val="24"/>
              </w:rPr>
            </w:pPr>
            <w:r>
              <w:rPr>
                <w:rFonts w:hint="eastAsia" w:ascii="宋体" w:hAnsi="宋体" w:eastAsia="宋体" w:cs="宋体"/>
                <w:sz w:val="24"/>
                <w:szCs w:val="24"/>
              </w:rPr>
              <w:t>转发性能≥6.6Mpps</w:t>
            </w:r>
          </w:p>
          <w:p>
            <w:pPr>
              <w:spacing w:line="360" w:lineRule="auto"/>
              <w:rPr>
                <w:rFonts w:hint="eastAsia" w:ascii="宋体" w:hAnsi="宋体" w:eastAsia="宋体" w:cs="宋体"/>
                <w:sz w:val="24"/>
                <w:szCs w:val="24"/>
              </w:rPr>
            </w:pPr>
            <w:r>
              <w:rPr>
                <w:rFonts w:hint="eastAsia" w:ascii="宋体" w:hAnsi="宋体" w:eastAsia="宋体" w:cs="宋体"/>
                <w:sz w:val="24"/>
                <w:szCs w:val="24"/>
              </w:rPr>
              <w:t>提供工信部入网证、入网检测报告证明及CCC证书</w:t>
            </w:r>
          </w:p>
          <w:p>
            <w:pPr>
              <w:spacing w:line="360" w:lineRule="auto"/>
              <w:rPr>
                <w:rFonts w:hint="eastAsia" w:ascii="宋体" w:hAnsi="宋体" w:eastAsia="宋体" w:cs="宋体"/>
                <w:sz w:val="24"/>
                <w:szCs w:val="24"/>
              </w:rPr>
            </w:pPr>
            <w:r>
              <w:rPr>
                <w:rFonts w:hint="eastAsia" w:ascii="宋体" w:hAnsi="宋体" w:eastAsia="宋体" w:cs="宋体"/>
                <w:sz w:val="24"/>
                <w:szCs w:val="24"/>
              </w:rPr>
              <w:t>为保证整体系统稳定性，投标产品必须与摄像机、解码器、视频综合管理平台为同一品牌</w:t>
            </w:r>
          </w:p>
          <w:p>
            <w:pPr>
              <w:spacing w:line="360" w:lineRule="auto"/>
              <w:rPr>
                <w:rFonts w:hint="eastAsia" w:ascii="宋体" w:hAnsi="宋体" w:eastAsia="宋体" w:cs="宋体"/>
                <w:sz w:val="24"/>
                <w:szCs w:val="24"/>
              </w:rPr>
            </w:pPr>
            <w:r>
              <w:rPr>
                <w:rFonts w:hint="eastAsia" w:ascii="宋体" w:hAnsi="宋体" w:eastAsia="宋体" w:cs="宋体"/>
                <w:sz w:val="24"/>
                <w:szCs w:val="24"/>
              </w:rPr>
              <w:t>聚合：支持链路聚合</w:t>
            </w:r>
          </w:p>
          <w:p>
            <w:pPr>
              <w:spacing w:line="360" w:lineRule="auto"/>
              <w:rPr>
                <w:rFonts w:hint="eastAsia" w:ascii="宋体" w:hAnsi="宋体" w:eastAsia="宋体" w:cs="宋体"/>
                <w:sz w:val="24"/>
                <w:szCs w:val="24"/>
              </w:rPr>
            </w:pPr>
            <w:r>
              <w:rPr>
                <w:rFonts w:hint="eastAsia" w:ascii="宋体" w:hAnsi="宋体" w:eastAsia="宋体" w:cs="宋体"/>
                <w:sz w:val="24"/>
                <w:szCs w:val="24"/>
              </w:rPr>
              <w:t>vlan：支持基于端口的VLAN、支持GVRP</w:t>
            </w:r>
          </w:p>
          <w:p>
            <w:pPr>
              <w:spacing w:line="360" w:lineRule="auto"/>
              <w:rPr>
                <w:rFonts w:hint="eastAsia" w:ascii="宋体" w:hAnsi="宋体" w:eastAsia="宋体" w:cs="宋体"/>
                <w:sz w:val="24"/>
                <w:szCs w:val="24"/>
              </w:rPr>
            </w:pPr>
            <w:r>
              <w:rPr>
                <w:rFonts w:hint="eastAsia" w:ascii="宋体" w:hAnsi="宋体" w:eastAsia="宋体" w:cs="宋体"/>
                <w:sz w:val="24"/>
                <w:szCs w:val="24"/>
              </w:rPr>
              <w:t>镜像：支持端口镜像</w:t>
            </w:r>
          </w:p>
          <w:p>
            <w:pPr>
              <w:spacing w:line="360" w:lineRule="auto"/>
              <w:rPr>
                <w:rFonts w:hint="eastAsia" w:ascii="宋体" w:hAnsi="宋体" w:eastAsia="宋体" w:cs="宋体"/>
                <w:sz w:val="24"/>
                <w:szCs w:val="24"/>
              </w:rPr>
            </w:pPr>
            <w:r>
              <w:rPr>
                <w:rFonts w:hint="eastAsia" w:ascii="宋体" w:hAnsi="宋体" w:eastAsia="宋体" w:cs="宋体"/>
                <w:sz w:val="24"/>
                <w:szCs w:val="24"/>
              </w:rPr>
              <w:t>QoS：支持 Diff-Serv QoS、支持 802.1p/DSCP 优先级映射、支持队列调度机制（SP、WRR、SP+WRR）、每个端口支持 8 个输出队列</w:t>
            </w:r>
          </w:p>
          <w:p>
            <w:pPr>
              <w:spacing w:line="360" w:lineRule="auto"/>
              <w:rPr>
                <w:rFonts w:hint="eastAsia" w:ascii="宋体" w:hAnsi="宋体" w:eastAsia="宋体" w:cs="宋体"/>
                <w:sz w:val="24"/>
                <w:szCs w:val="24"/>
              </w:rPr>
            </w:pPr>
            <w:r>
              <w:rPr>
                <w:rFonts w:hint="eastAsia" w:ascii="宋体" w:hAnsi="宋体" w:eastAsia="宋体" w:cs="宋体"/>
                <w:sz w:val="24"/>
                <w:szCs w:val="24"/>
              </w:rPr>
              <w:t>安全：支持ARP入侵检测功能、支持防Dos攻击</w:t>
            </w:r>
          </w:p>
          <w:p>
            <w:pPr>
              <w:spacing w:line="360" w:lineRule="auto"/>
              <w:rPr>
                <w:rFonts w:hint="eastAsia" w:ascii="宋体" w:hAnsi="宋体" w:eastAsia="宋体" w:cs="宋体"/>
                <w:sz w:val="24"/>
                <w:szCs w:val="24"/>
              </w:rPr>
            </w:pPr>
            <w:r>
              <w:rPr>
                <w:rFonts w:hint="eastAsia" w:ascii="宋体" w:hAnsi="宋体" w:eastAsia="宋体" w:cs="宋体"/>
                <w:sz w:val="24"/>
                <w:szCs w:val="24"/>
              </w:rPr>
              <w:t>组播：支持IGMP-Snooping</w:t>
            </w:r>
          </w:p>
          <w:p>
            <w:pPr>
              <w:spacing w:line="360" w:lineRule="auto"/>
              <w:rPr>
                <w:rFonts w:hint="eastAsia" w:ascii="宋体" w:hAnsi="宋体" w:eastAsia="宋体" w:cs="宋体"/>
                <w:sz w:val="24"/>
                <w:szCs w:val="24"/>
              </w:rPr>
            </w:pPr>
            <w:r>
              <w:rPr>
                <w:rFonts w:hint="eastAsia" w:ascii="宋体" w:hAnsi="宋体" w:eastAsia="宋体" w:cs="宋体"/>
                <w:sz w:val="24"/>
                <w:szCs w:val="24"/>
              </w:rPr>
              <w:t>生成树协议：支持生成树协议</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支持3年原厂维保</w:t>
            </w:r>
          </w:p>
          <w:p>
            <w:pPr>
              <w:spacing w:line="360" w:lineRule="auto"/>
              <w:rPr>
                <w:rFonts w:hint="eastAsia" w:ascii="宋体" w:hAnsi="宋体" w:eastAsia="宋体" w:cs="宋体"/>
                <w:sz w:val="24"/>
                <w:szCs w:val="24"/>
              </w:rPr>
            </w:pPr>
            <w:r>
              <w:rPr>
                <w:rFonts w:hint="eastAsia" w:ascii="宋体" w:hAnsi="宋体" w:eastAsia="宋体" w:cs="宋体"/>
                <w:sz w:val="24"/>
                <w:szCs w:val="24"/>
              </w:rPr>
              <w:t>网管：支持SNMP V1/V2/V3，支持通过telnet方式进行配置和管理，支持用户的分级分权控制，支持用户访问控制</w:t>
            </w: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r>
      <w:tr>
        <w:tblPrEx>
          <w:tblCellMar>
            <w:top w:w="0" w:type="dxa"/>
            <w:left w:w="108" w:type="dxa"/>
            <w:bottom w:w="0" w:type="dxa"/>
            <w:right w:w="108" w:type="dxa"/>
          </w:tblCellMar>
        </w:tblPrEx>
        <w:trPr>
          <w:trHeight w:val="1350" w:hRule="atLeast"/>
          <w:jc w:val="center"/>
        </w:trPr>
        <w:tc>
          <w:tcPr>
            <w:tcW w:w="50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视频汇聚交换机</w:t>
            </w:r>
          </w:p>
        </w:tc>
        <w:tc>
          <w:tcPr>
            <w:tcW w:w="23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配置：可用百兆光接口数量≥24，千兆光电复用接口数≥2</w:t>
            </w:r>
          </w:p>
          <w:p>
            <w:pPr>
              <w:spacing w:line="360" w:lineRule="auto"/>
              <w:rPr>
                <w:rFonts w:hint="eastAsia" w:ascii="宋体" w:hAnsi="宋体" w:eastAsia="宋体" w:cs="宋体"/>
                <w:sz w:val="24"/>
                <w:szCs w:val="24"/>
              </w:rPr>
            </w:pPr>
            <w:r>
              <w:rPr>
                <w:rFonts w:hint="eastAsia" w:ascii="宋体" w:hAnsi="宋体" w:eastAsia="宋体" w:cs="宋体"/>
                <w:sz w:val="24"/>
                <w:szCs w:val="24"/>
              </w:rPr>
              <w:t>管理口：支持独立的console管理串口</w:t>
            </w:r>
          </w:p>
          <w:p>
            <w:pPr>
              <w:spacing w:line="360" w:lineRule="auto"/>
              <w:rPr>
                <w:rFonts w:hint="eastAsia" w:ascii="宋体" w:hAnsi="宋体" w:eastAsia="宋体" w:cs="宋体"/>
                <w:sz w:val="24"/>
                <w:szCs w:val="24"/>
              </w:rPr>
            </w:pPr>
            <w:r>
              <w:rPr>
                <w:rFonts w:hint="eastAsia" w:ascii="宋体" w:hAnsi="宋体" w:eastAsia="宋体" w:cs="宋体"/>
                <w:sz w:val="24"/>
                <w:szCs w:val="24"/>
              </w:rPr>
              <w:t>交换容量≥32Gbps</w:t>
            </w:r>
          </w:p>
          <w:p>
            <w:pPr>
              <w:spacing w:line="360" w:lineRule="auto"/>
              <w:rPr>
                <w:rFonts w:hint="eastAsia" w:ascii="宋体" w:hAnsi="宋体" w:eastAsia="宋体" w:cs="宋体"/>
                <w:sz w:val="24"/>
                <w:szCs w:val="24"/>
              </w:rPr>
            </w:pPr>
            <w:r>
              <w:rPr>
                <w:rFonts w:hint="eastAsia" w:ascii="宋体" w:hAnsi="宋体" w:eastAsia="宋体" w:cs="宋体"/>
                <w:sz w:val="24"/>
                <w:szCs w:val="24"/>
              </w:rPr>
              <w:t>转发性能≥6.6Mpps</w:t>
            </w:r>
          </w:p>
          <w:p>
            <w:pPr>
              <w:spacing w:line="360" w:lineRule="auto"/>
              <w:rPr>
                <w:rFonts w:hint="eastAsia" w:ascii="宋体" w:hAnsi="宋体" w:eastAsia="宋体" w:cs="宋体"/>
                <w:sz w:val="24"/>
                <w:szCs w:val="24"/>
              </w:rPr>
            </w:pPr>
            <w:r>
              <w:rPr>
                <w:rFonts w:hint="eastAsia" w:ascii="宋体" w:hAnsi="宋体" w:eastAsia="宋体" w:cs="宋体"/>
                <w:sz w:val="24"/>
                <w:szCs w:val="24"/>
              </w:rPr>
              <w:t>MAC地址表≥16K，支持MAC地址学习数目限制</w:t>
            </w:r>
          </w:p>
          <w:p>
            <w:pPr>
              <w:spacing w:line="360" w:lineRule="auto"/>
              <w:rPr>
                <w:rFonts w:hint="eastAsia" w:ascii="宋体" w:hAnsi="宋体" w:eastAsia="宋体" w:cs="宋体"/>
                <w:sz w:val="24"/>
                <w:szCs w:val="24"/>
              </w:rPr>
            </w:pPr>
            <w:r>
              <w:rPr>
                <w:rFonts w:hint="eastAsia" w:ascii="宋体" w:hAnsi="宋体" w:eastAsia="宋体" w:cs="宋体"/>
                <w:sz w:val="24"/>
                <w:szCs w:val="24"/>
              </w:rPr>
              <w:t>聚合：支持链路聚合</w:t>
            </w:r>
          </w:p>
          <w:p>
            <w:pPr>
              <w:spacing w:line="360" w:lineRule="auto"/>
              <w:rPr>
                <w:rFonts w:hint="eastAsia" w:ascii="宋体" w:hAnsi="宋体" w:eastAsia="宋体" w:cs="宋体"/>
                <w:sz w:val="24"/>
                <w:szCs w:val="24"/>
              </w:rPr>
            </w:pPr>
            <w:r>
              <w:rPr>
                <w:rFonts w:hint="eastAsia" w:ascii="宋体" w:hAnsi="宋体" w:eastAsia="宋体" w:cs="宋体"/>
                <w:sz w:val="24"/>
                <w:szCs w:val="24"/>
              </w:rPr>
              <w:t>vlan：支持基于端口的VLAN</w:t>
            </w:r>
          </w:p>
          <w:p>
            <w:pPr>
              <w:spacing w:line="360" w:lineRule="auto"/>
              <w:rPr>
                <w:rFonts w:hint="eastAsia" w:ascii="宋体" w:hAnsi="宋体" w:eastAsia="宋体" w:cs="宋体"/>
                <w:sz w:val="24"/>
                <w:szCs w:val="24"/>
              </w:rPr>
            </w:pPr>
            <w:r>
              <w:rPr>
                <w:rFonts w:hint="eastAsia" w:ascii="宋体" w:hAnsi="宋体" w:eastAsia="宋体" w:cs="宋体"/>
                <w:sz w:val="24"/>
                <w:szCs w:val="24"/>
              </w:rPr>
              <w:t>镜像：支持端口镜像</w:t>
            </w:r>
          </w:p>
          <w:p>
            <w:pPr>
              <w:spacing w:line="360" w:lineRule="auto"/>
              <w:rPr>
                <w:rFonts w:hint="eastAsia" w:ascii="宋体" w:hAnsi="宋体" w:eastAsia="宋体" w:cs="宋体"/>
                <w:sz w:val="24"/>
                <w:szCs w:val="24"/>
              </w:rPr>
            </w:pPr>
            <w:r>
              <w:rPr>
                <w:rFonts w:hint="eastAsia" w:ascii="宋体" w:hAnsi="宋体" w:eastAsia="宋体" w:cs="宋体"/>
                <w:sz w:val="24"/>
                <w:szCs w:val="24"/>
              </w:rPr>
              <w:t>组播：支持IGMP-Snooping</w:t>
            </w:r>
          </w:p>
          <w:p>
            <w:pPr>
              <w:spacing w:line="360" w:lineRule="auto"/>
              <w:rPr>
                <w:rFonts w:hint="eastAsia" w:ascii="宋体" w:hAnsi="宋体" w:eastAsia="宋体" w:cs="宋体"/>
                <w:sz w:val="24"/>
                <w:szCs w:val="24"/>
              </w:rPr>
            </w:pPr>
            <w:r>
              <w:rPr>
                <w:rFonts w:hint="eastAsia" w:ascii="宋体" w:hAnsi="宋体" w:eastAsia="宋体" w:cs="宋体"/>
                <w:sz w:val="24"/>
                <w:szCs w:val="24"/>
              </w:rPr>
              <w:t>生成树协议：支持生成树协议</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支持3年原厂维保</w:t>
            </w:r>
          </w:p>
          <w:p>
            <w:pPr>
              <w:spacing w:line="360" w:lineRule="auto"/>
              <w:rPr>
                <w:rFonts w:hint="eastAsia" w:ascii="宋体" w:hAnsi="宋体" w:eastAsia="宋体" w:cs="宋体"/>
                <w:sz w:val="24"/>
                <w:szCs w:val="24"/>
              </w:rPr>
            </w:pPr>
            <w:r>
              <w:rPr>
                <w:rFonts w:hint="eastAsia" w:ascii="宋体" w:hAnsi="宋体" w:eastAsia="宋体" w:cs="宋体"/>
                <w:sz w:val="24"/>
                <w:szCs w:val="24"/>
              </w:rPr>
              <w:t>网管：支持SNMP</w:t>
            </w: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r>
      <w:tr>
        <w:tblPrEx>
          <w:tblCellMar>
            <w:top w:w="0" w:type="dxa"/>
            <w:left w:w="108" w:type="dxa"/>
            <w:bottom w:w="0" w:type="dxa"/>
            <w:right w:w="108" w:type="dxa"/>
          </w:tblCellMar>
        </w:tblPrEx>
        <w:trPr>
          <w:trHeight w:val="810" w:hRule="atLeast"/>
          <w:jc w:val="center"/>
        </w:trPr>
        <w:tc>
          <w:tcPr>
            <w:tcW w:w="50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收发器机框</w:t>
            </w:r>
          </w:p>
        </w:tc>
        <w:tc>
          <w:tcPr>
            <w:tcW w:w="23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18槽位收发器机框</w:t>
            </w: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r>
      <w:tr>
        <w:tblPrEx>
          <w:tblCellMar>
            <w:top w:w="0" w:type="dxa"/>
            <w:left w:w="108" w:type="dxa"/>
            <w:bottom w:w="0" w:type="dxa"/>
            <w:right w:w="108" w:type="dxa"/>
          </w:tblCellMar>
        </w:tblPrEx>
        <w:trPr>
          <w:trHeight w:val="480" w:hRule="atLeast"/>
          <w:jc w:val="center"/>
        </w:trPr>
        <w:tc>
          <w:tcPr>
            <w:tcW w:w="50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年设备租赁费</w:t>
            </w:r>
          </w:p>
        </w:tc>
        <w:tc>
          <w:tcPr>
            <w:tcW w:w="23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视频设备托管租用</w:t>
            </w: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年</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r>
      <w:tr>
        <w:tblPrEx>
          <w:tblCellMar>
            <w:top w:w="0" w:type="dxa"/>
            <w:left w:w="108" w:type="dxa"/>
            <w:bottom w:w="0" w:type="dxa"/>
            <w:right w:w="108" w:type="dxa"/>
          </w:tblCellMar>
        </w:tblPrEx>
        <w:trPr>
          <w:trHeight w:val="480" w:hRule="atLeast"/>
          <w:jc w:val="center"/>
        </w:trPr>
        <w:tc>
          <w:tcPr>
            <w:tcW w:w="50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机柜租赁费</w:t>
            </w:r>
          </w:p>
        </w:tc>
        <w:tc>
          <w:tcPr>
            <w:tcW w:w="23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一个机柜租赁1年</w:t>
            </w: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年</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r>
      <w:tr>
        <w:tblPrEx>
          <w:tblCellMar>
            <w:top w:w="0" w:type="dxa"/>
            <w:left w:w="108" w:type="dxa"/>
            <w:bottom w:w="0" w:type="dxa"/>
            <w:right w:w="108" w:type="dxa"/>
          </w:tblCellMar>
        </w:tblPrEx>
        <w:trPr>
          <w:trHeight w:val="270" w:hRule="atLeast"/>
          <w:jc w:val="center"/>
        </w:trPr>
        <w:tc>
          <w:tcPr>
            <w:tcW w:w="50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VPN电路费</w:t>
            </w:r>
          </w:p>
        </w:tc>
        <w:tc>
          <w:tcPr>
            <w:tcW w:w="23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视频汇聚平台到政务网的千兆电路，租赁一年</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r>
    </w:tbl>
    <w:p>
      <w:pPr>
        <w:spacing w:line="360" w:lineRule="auto"/>
        <w:rPr>
          <w:rFonts w:ascii="宋体" w:hAnsi="宋体" w:cs="宋体"/>
          <w:sz w:val="24"/>
        </w:rPr>
      </w:pPr>
    </w:p>
    <w:p>
      <w:pPr>
        <w:spacing w:line="360" w:lineRule="auto"/>
        <w:rPr>
          <w:rFonts w:ascii="宋体" w:hAnsi="宋体" w:cs="宋体"/>
        </w:rPr>
      </w:pPr>
      <w:r>
        <w:rPr>
          <w:rFonts w:hint="eastAsia" w:ascii="宋体" w:hAnsi="宋体" w:cs="宋体"/>
          <w:sz w:val="24"/>
        </w:rPr>
        <w:t>附表</w:t>
      </w:r>
      <w:r>
        <w:rPr>
          <w:rFonts w:ascii="宋体" w:hAnsi="宋体" w:cs="宋体"/>
          <w:sz w:val="24"/>
        </w:rPr>
        <w:t>7</w:t>
      </w:r>
      <w:r>
        <w:rPr>
          <w:rFonts w:hint="eastAsia" w:ascii="宋体" w:hAnsi="宋体" w:cs="宋体"/>
          <w:sz w:val="24"/>
        </w:rPr>
        <w:t>文化一体机技术参数与要求：</w:t>
      </w:r>
    </w:p>
    <w:tbl>
      <w:tblPr>
        <w:tblStyle w:val="18"/>
        <w:tblW w:w="10273" w:type="dxa"/>
        <w:tblInd w:w="-1147"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1027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CCCCCC"/>
            <w:noWrap w:val="0"/>
            <w:tcMar>
              <w:top w:w="80" w:type="dxa"/>
              <w:left w:w="80" w:type="dxa"/>
              <w:bottom w:w="80" w:type="dxa"/>
              <w:right w:w="80" w:type="dxa"/>
            </w:tcMar>
            <w:vAlign w:val="bottom"/>
          </w:tcPr>
          <w:p>
            <w:pPr>
              <w:pStyle w:val="43"/>
              <w:spacing w:before="100" w:after="100" w:line="360" w:lineRule="auto"/>
              <w:jc w:val="left"/>
              <w:rPr>
                <w:rFonts w:hint="eastAsia" w:ascii="宋体" w:hAnsi="宋体" w:eastAsia="宋体" w:cs="宋体"/>
                <w:sz w:val="24"/>
                <w:szCs w:val="24"/>
              </w:rPr>
            </w:pPr>
            <w:r>
              <w:rPr>
                <w:rFonts w:hint="eastAsia" w:ascii="宋体" w:hAnsi="宋体" w:eastAsia="宋体" w:cs="宋体"/>
                <w:b/>
                <w:sz w:val="24"/>
                <w:szCs w:val="24"/>
              </w:rPr>
              <w:t xml:space="preserve">1.系统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45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1.1文化一体机必须为触摸式一体机分辨率不得低于1080*1920，必须具备手机客户端应用，通过配套的手机客户端可以直接扫描一体机上的图书二维码下载图书到手机等移动终端中阅读。手机客户端需同时支持IOS、Android系统。投标单位须提供承诺函加盖公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1.2支持远程定时更新，支持一键更新，减少管理成本。</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6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1.3通过微信等第三方扫描工具二维码扫描，可提供直接在线阅读原版文本全文，无需下载客户端，并能将图书分享至朋友圈等社交网络。也可根据读者喜好自行选择下载客户端阅读。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CCCCCC"/>
            <w:noWrap w:val="0"/>
            <w:tcMar>
              <w:top w:w="80" w:type="dxa"/>
              <w:left w:w="80" w:type="dxa"/>
              <w:bottom w:w="80" w:type="dxa"/>
              <w:right w:w="80" w:type="dxa"/>
            </w:tcMar>
            <w:vAlign w:val="bottom"/>
          </w:tcPr>
          <w:p>
            <w:pPr>
              <w:pStyle w:val="43"/>
              <w:spacing w:before="100" w:after="100" w:line="360" w:lineRule="auto"/>
              <w:jc w:val="left"/>
              <w:rPr>
                <w:rFonts w:hint="eastAsia" w:ascii="宋体" w:hAnsi="宋体" w:eastAsia="宋体" w:cs="宋体"/>
                <w:sz w:val="24"/>
                <w:szCs w:val="24"/>
              </w:rPr>
            </w:pPr>
            <w:r>
              <w:rPr>
                <w:rFonts w:hint="eastAsia" w:ascii="宋体" w:hAnsi="宋体" w:eastAsia="宋体" w:cs="宋体"/>
                <w:b/>
                <w:sz w:val="24"/>
                <w:szCs w:val="24"/>
              </w:rPr>
              <w:t>2.文化一体机资源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79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2.1文化一体机内置3000种正版授权的Epub格式电子图书且与原版图书保持原貌一致，如相关图片、目录等，每月定时更新不少于150种热门电子图书。支持新书、热门图书标记功能，供读者参考。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6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2.2内置期刊资源，期刊种类不少于100种，每月定期更新。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2.3提供文化视频模块，精选优质文化视频，支持在线播放，文化视频500集，每月更新。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6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2.4图书分类支持定制：可根据用户的需求定制一个图书分类，推荐相关的电子图书到文化一体机中展示。定制的图书也可以通过扫描二维码的方式下载至手机客户端中离线阅读。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6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2.5提供可供选择的每日30分钟讲座，产品自主知识产权，来源可靠，版权清晰，著作权人直接授权。具备资源特色，与其他平台及网络公开资源无大量重复。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CCCCCC"/>
            <w:noWrap w:val="0"/>
            <w:tcMar>
              <w:top w:w="80" w:type="dxa"/>
              <w:left w:w="80" w:type="dxa"/>
              <w:bottom w:w="80" w:type="dxa"/>
              <w:right w:w="80" w:type="dxa"/>
            </w:tcMar>
            <w:vAlign w:val="center"/>
          </w:tcPr>
          <w:p>
            <w:pPr>
              <w:pStyle w:val="43"/>
              <w:spacing w:before="100" w:after="100" w:line="360" w:lineRule="auto"/>
              <w:jc w:val="left"/>
              <w:rPr>
                <w:rFonts w:hint="eastAsia" w:ascii="宋体" w:hAnsi="宋体" w:eastAsia="宋体" w:cs="宋体"/>
                <w:sz w:val="24"/>
                <w:szCs w:val="24"/>
              </w:rPr>
            </w:pPr>
            <w:r>
              <w:rPr>
                <w:rFonts w:hint="eastAsia" w:ascii="宋体" w:hAnsi="宋体" w:eastAsia="宋体" w:cs="宋体"/>
                <w:b/>
                <w:sz w:val="24"/>
                <w:szCs w:val="24"/>
              </w:rPr>
              <w:t>3. 个性化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19"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3.1文化一体机终端系统支持定制显示单位名称、Logo、待机画面、二维码，可将购买单位的名称和Logo配置到程序中。可任意修改待机画面，通过后台可进行相关待机画面修改，随时满足文化馆的通知要求。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3.2提供不少于2种不同风格的模版，供用户自行选择，随时更换模版以适应不同场合的需求。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3.3 提供信息采集和信息发布功能，文化馆可根据需要在文化一体机上展示相关信息。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CCCCCC"/>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4．后台管理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1"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4.1提供用户管理后台。文化馆可以自行配置文化一体机的显示效果，挑选板式。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60" w:hRule="atLeast"/>
        </w:trPr>
        <w:tc>
          <w:tcPr>
            <w:tcW w:w="10273" w:type="dxa"/>
            <w:tcBorders>
              <w:top w:val="single" w:color="000000" w:sz="4" w:space="0"/>
              <w:left w:val="single" w:color="000000" w:sz="4" w:space="0"/>
              <w:bottom w:val="single" w:color="000000" w:sz="4" w:space="0"/>
              <w:right w:val="single" w:color="000000" w:sz="4" w:space="0"/>
            </w:tcBorders>
            <w:shd w:val="clear" w:color="000000" w:fill="auto"/>
            <w:noWrap w:val="0"/>
            <w:tcMar>
              <w:top w:w="80" w:type="dxa"/>
              <w:left w:w="80" w:type="dxa"/>
              <w:bottom w:w="80" w:type="dxa"/>
              <w:right w:w="80" w:type="dxa"/>
            </w:tcMar>
            <w:vAlign w:val="bottom"/>
          </w:tcPr>
          <w:p>
            <w:pPr>
              <w:spacing w:line="360" w:lineRule="auto"/>
              <w:rPr>
                <w:rFonts w:hint="eastAsia" w:ascii="宋体" w:hAnsi="宋体" w:eastAsia="宋体" w:cs="宋体"/>
                <w:sz w:val="24"/>
                <w:szCs w:val="24"/>
              </w:rPr>
            </w:pPr>
            <w:r>
              <w:rPr>
                <w:rFonts w:hint="eastAsia" w:ascii="宋体" w:hAnsi="宋体" w:eastAsia="宋体" w:cs="宋体"/>
                <w:sz w:val="24"/>
                <w:szCs w:val="24"/>
              </w:rPr>
              <w:t>4.2提供信息发布后台。文化馆可以自行发布文字、图片等信息，推送至指定的文化一体机上显示。</w:t>
            </w:r>
          </w:p>
        </w:tc>
      </w:tr>
    </w:tbl>
    <w:p>
      <w:pPr>
        <w:pStyle w:val="43"/>
        <w:rPr>
          <w:rFonts w:ascii="微软雅黑" w:hAnsi="微软雅黑" w:eastAsia="微软雅黑"/>
          <w:b/>
          <w:sz w:val="22"/>
          <w:szCs w:val="22"/>
        </w:rPr>
      </w:pPr>
      <w:r>
        <w:rPr>
          <w:rFonts w:ascii="微软雅黑" w:hAnsi="微软雅黑" w:eastAsia="微软雅黑"/>
          <w:b/>
          <w:sz w:val="22"/>
          <w:szCs w:val="22"/>
        </w:rPr>
        <w:t>文化一体机（竖屏，43寸</w:t>
      </w:r>
      <w:r>
        <w:rPr>
          <w:rFonts w:hint="eastAsia" w:ascii="微软雅黑" w:hAnsi="微软雅黑" w:eastAsia="微软雅黑"/>
          <w:b/>
          <w:sz w:val="22"/>
          <w:szCs w:val="22"/>
        </w:rPr>
        <w:t>，</w:t>
      </w:r>
      <w:r>
        <w:rPr>
          <w:rFonts w:hint="eastAsia" w:ascii="微软雅黑" w:hAnsi="微软雅黑" w:eastAsia="微软雅黑"/>
          <w:b/>
          <w:sz w:val="22"/>
          <w:szCs w:val="22"/>
          <w:lang w:val="en-US"/>
        </w:rPr>
        <w:t>单屏</w:t>
      </w:r>
      <w:r>
        <w:rPr>
          <w:rFonts w:ascii="微软雅黑" w:hAnsi="微软雅黑" w:eastAsia="微软雅黑"/>
          <w:b/>
          <w:sz w:val="22"/>
          <w:szCs w:val="22"/>
        </w:rPr>
        <w:t>）硬件</w:t>
      </w:r>
      <w:r>
        <w:rPr>
          <w:rFonts w:hint="eastAsia" w:ascii="微软雅黑" w:hAnsi="微软雅黑" w:eastAsia="微软雅黑"/>
          <w:b/>
          <w:sz w:val="22"/>
          <w:szCs w:val="22"/>
        </w:rPr>
        <w:t>指标</w:t>
      </w:r>
      <w:r>
        <w:rPr>
          <w:rFonts w:ascii="微软雅黑" w:hAnsi="微软雅黑" w:eastAsia="微软雅黑"/>
          <w:b/>
          <w:sz w:val="22"/>
          <w:szCs w:val="22"/>
        </w:rPr>
        <w:t>要求：</w:t>
      </w:r>
    </w:p>
    <w:tbl>
      <w:tblPr>
        <w:tblStyle w:val="18"/>
        <w:tblW w:w="4999" w:type="pct"/>
        <w:tblInd w:w="0" w:type="dxa"/>
        <w:tblLayout w:type="autofit"/>
        <w:tblCellMar>
          <w:top w:w="15" w:type="dxa"/>
          <w:left w:w="15" w:type="dxa"/>
          <w:bottom w:w="15" w:type="dxa"/>
          <w:right w:w="15" w:type="dxa"/>
        </w:tblCellMar>
      </w:tblPr>
      <w:tblGrid>
        <w:gridCol w:w="1294"/>
        <w:gridCol w:w="2121"/>
        <w:gridCol w:w="4925"/>
      </w:tblGrid>
      <w:tr>
        <w:tblPrEx>
          <w:tblCellMar>
            <w:top w:w="15" w:type="dxa"/>
            <w:left w:w="15" w:type="dxa"/>
            <w:bottom w:w="15" w:type="dxa"/>
            <w:right w:w="15" w:type="dxa"/>
          </w:tblCellMar>
        </w:tblPrEx>
        <w:trPr>
          <w:trHeight w:val="228" w:hRule="atLeast"/>
        </w:trPr>
        <w:tc>
          <w:tcPr>
            <w:tcW w:w="77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触摸屏参数</w:t>
            </w: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触摸嵌入方式</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内置红外触摸屏</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触摸屏感应方式嵌入式</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光学影像触摸技术</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定位精度</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±1.5㎜</w:t>
            </w:r>
          </w:p>
        </w:tc>
      </w:tr>
      <w:tr>
        <w:tblPrEx>
          <w:tblCellMar>
            <w:top w:w="15" w:type="dxa"/>
            <w:left w:w="15" w:type="dxa"/>
            <w:bottom w:w="15" w:type="dxa"/>
            <w:right w:w="15" w:type="dxa"/>
          </w:tblCellMar>
        </w:tblPrEx>
        <w:trPr>
          <w:trHeight w:val="396"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校准要求</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校准符合HID设备要求，无需校准</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多点触摸</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支持多点触摸和两人同时书写</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触摸次数</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无限制</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触摸压力</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无压力要求</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计算机响应系统</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自动识别，无需安装驱动</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书写方式</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手指、白板笔，或任意不透明物体</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触摸系统供电方式</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可用USB直接供电</w:t>
            </w:r>
          </w:p>
        </w:tc>
      </w:tr>
      <w:tr>
        <w:tblPrEx>
          <w:tblCellMar>
            <w:top w:w="15" w:type="dxa"/>
            <w:left w:w="15" w:type="dxa"/>
            <w:bottom w:w="15" w:type="dxa"/>
            <w:right w:w="15" w:type="dxa"/>
          </w:tblCellMar>
        </w:tblPrEx>
        <w:trPr>
          <w:trHeight w:val="228" w:hRule="atLeast"/>
        </w:trPr>
        <w:tc>
          <w:tcPr>
            <w:tcW w:w="77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显示屏参数</w:t>
            </w: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液晶屏</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LG原装进口屏,型号：LD430EUE</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屏幕分辨率</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1920*1080；16：9</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可视角度</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89°/89°/89°/89°(L/R/U/D)</w:t>
            </w:r>
          </w:p>
        </w:tc>
      </w:tr>
      <w:tr>
        <w:tblPrEx>
          <w:tblCellMar>
            <w:top w:w="15" w:type="dxa"/>
            <w:left w:w="15" w:type="dxa"/>
            <w:bottom w:w="15" w:type="dxa"/>
            <w:right w:w="15" w:type="dxa"/>
          </w:tblCellMar>
        </w:tblPrEx>
        <w:trPr>
          <w:trHeight w:val="349"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亮度</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400cd/m2</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对比度</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3000：1</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显示屏颜色</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8 bit</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反应时间</w:t>
            </w:r>
          </w:p>
        </w:tc>
        <w:tc>
          <w:tcPr>
            <w:tcW w:w="2952" w:type="pct"/>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pStyle w:val="43"/>
              <w:jc w:val="left"/>
              <w:rPr>
                <w:rFonts w:hint="eastAsia" w:ascii="宋体" w:hAnsi="宋体" w:eastAsia="宋体" w:cs="宋体"/>
                <w:color w:val="auto"/>
                <w:sz w:val="24"/>
                <w:szCs w:val="24"/>
              </w:rPr>
            </w:pPr>
            <w:r>
              <w:rPr>
                <w:rFonts w:hint="eastAsia" w:ascii="宋体" w:hAnsi="宋体" w:eastAsia="宋体" w:cs="宋体"/>
                <w:color w:val="auto"/>
                <w:sz w:val="24"/>
                <w:szCs w:val="24"/>
              </w:rPr>
              <w:t>6.5ms</w:t>
            </w:r>
          </w:p>
        </w:tc>
      </w:tr>
      <w:tr>
        <w:tblPrEx>
          <w:tblCellMar>
            <w:top w:w="15" w:type="dxa"/>
            <w:left w:w="15" w:type="dxa"/>
            <w:bottom w:w="15" w:type="dxa"/>
            <w:right w:w="15" w:type="dxa"/>
          </w:tblCellMar>
        </w:tblPrEx>
        <w:trPr>
          <w:trHeight w:val="228" w:hRule="atLeast"/>
        </w:trPr>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规格尺寸</w:t>
            </w: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音频</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双声道，2*10W喇叭</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显示尺寸</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965mm*540mm（高*宽）</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整机尺寸</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1814mm*691mm*70mm（含底座465mm）</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整机重量</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73kg</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机壳材质</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机柜采用铝合金型材，进口钢琴烤漆；</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电源与功耗</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100-240VAC, 50/60HZ , 100W</w:t>
            </w:r>
          </w:p>
        </w:tc>
      </w:tr>
      <w:tr>
        <w:tblPrEx>
          <w:tblCellMar>
            <w:top w:w="15" w:type="dxa"/>
            <w:left w:w="15" w:type="dxa"/>
            <w:bottom w:w="15" w:type="dxa"/>
            <w:right w:w="15" w:type="dxa"/>
          </w:tblCellMar>
        </w:tblPrEx>
        <w:trPr>
          <w:trHeight w:val="228" w:hRule="atLeast"/>
        </w:trPr>
        <w:tc>
          <w:tcPr>
            <w:tcW w:w="2047"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电源品牌</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麦格米特，型号：MLT668TL-VM</w:t>
            </w:r>
          </w:p>
        </w:tc>
      </w:tr>
      <w:tr>
        <w:tblPrEx>
          <w:tblCellMar>
            <w:top w:w="15" w:type="dxa"/>
            <w:left w:w="15" w:type="dxa"/>
            <w:bottom w:w="15" w:type="dxa"/>
            <w:right w:w="15" w:type="dxa"/>
          </w:tblCellMar>
        </w:tblPrEx>
        <w:trPr>
          <w:trHeight w:val="228" w:hRule="atLeast"/>
        </w:trPr>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内置主板配置</w:t>
            </w: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系统</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安卓5.1.1</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处理器</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RK 3288 四核 A17主频1.8GHZ</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内存                                         </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4G DDR3</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存储</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ROM FLASH 32G</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机器接口</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RJ45×1;USB×2；电源×1;遥控×1；耳机输出</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网卡</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IEEE802.3 以太网100M</w:t>
            </w:r>
          </w:p>
        </w:tc>
      </w:tr>
      <w:tr>
        <w:tblPrEx>
          <w:tblCellMar>
            <w:top w:w="15" w:type="dxa"/>
            <w:left w:w="15" w:type="dxa"/>
            <w:bottom w:w="15" w:type="dxa"/>
            <w:right w:w="15" w:type="dxa"/>
          </w:tblCellMar>
        </w:tblPrEx>
        <w:trPr>
          <w:trHeight w:val="228" w:hRule="atLeast"/>
        </w:trPr>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联网方式</w:t>
            </w:r>
          </w:p>
        </w:tc>
        <w:tc>
          <w:tcPr>
            <w:tcW w:w="295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有线、wifi</w:t>
            </w:r>
          </w:p>
        </w:tc>
      </w:tr>
    </w:tbl>
    <w:p>
      <w:pPr>
        <w:spacing w:line="360" w:lineRule="auto"/>
        <w:rPr>
          <w:rFonts w:ascii="宋体" w:hAnsi="宋体" w:cs="宋体"/>
          <w:sz w:val="24"/>
        </w:rPr>
      </w:pPr>
      <w:r>
        <w:rPr>
          <w:rFonts w:ascii="微软雅黑" w:hAnsi="微软雅黑" w:eastAsia="微软雅黑"/>
          <w:b/>
          <w:sz w:val="22"/>
          <w:szCs w:val="22"/>
        </w:rPr>
        <w:t>文化一体机（竖屏，43寸</w:t>
      </w:r>
      <w:r>
        <w:rPr>
          <w:rFonts w:hint="eastAsia" w:ascii="微软雅黑" w:hAnsi="微软雅黑" w:eastAsia="微软雅黑"/>
          <w:b/>
          <w:sz w:val="22"/>
          <w:szCs w:val="22"/>
        </w:rPr>
        <w:t>，双屏</w:t>
      </w:r>
      <w:r>
        <w:rPr>
          <w:rFonts w:ascii="微软雅黑" w:hAnsi="微软雅黑" w:eastAsia="微软雅黑"/>
          <w:b/>
          <w:sz w:val="22"/>
          <w:szCs w:val="22"/>
        </w:rPr>
        <w:t>）硬件</w:t>
      </w:r>
      <w:r>
        <w:rPr>
          <w:rFonts w:hint="eastAsia" w:ascii="微软雅黑" w:hAnsi="微软雅黑" w:eastAsia="微软雅黑"/>
          <w:b/>
          <w:sz w:val="22"/>
          <w:szCs w:val="22"/>
        </w:rPr>
        <w:t>指标要求</w:t>
      </w:r>
      <w:r>
        <w:rPr>
          <w:rFonts w:ascii="微软雅黑" w:hAnsi="微软雅黑" w:eastAsia="微软雅黑"/>
          <w:b/>
          <w:sz w:val="22"/>
          <w:szCs w:val="22"/>
        </w:rPr>
        <w:t>：</w:t>
      </w:r>
    </w:p>
    <w:tbl>
      <w:tblPr>
        <w:tblStyle w:val="18"/>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LED字幕</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单色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屏幕分辨率</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1080*1920（宽*高）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屏幕尺寸</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43寸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可视角度</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89°/89°/89°/89°(L/R/U/D)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亮度</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350cd/m2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263"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对比度</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显示屏颜色</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8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反应时间</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&lt;6.5ms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音频</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双声道，2*5W喇叭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显示尺寸</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930mm*523mm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电源与功耗</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100-240VAC, 50/60HZ , 180W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63"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触摸屏（左屏为触摸屏，右屏为非触摸屏）</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 触摸嵌入方式：内置红外触摸屏</w:t>
            </w:r>
          </w:p>
          <w:p>
            <w:pPr>
              <w:spacing w:line="360" w:lineRule="auto"/>
              <w:rPr>
                <w:rFonts w:hint="eastAsia" w:ascii="宋体" w:hAnsi="宋体" w:eastAsia="宋体" w:cs="宋体"/>
                <w:sz w:val="24"/>
                <w:szCs w:val="24"/>
              </w:rPr>
            </w:pPr>
            <w:r>
              <w:rPr>
                <w:rFonts w:hint="eastAsia" w:ascii="宋体" w:hAnsi="宋体" w:eastAsia="宋体" w:cs="宋体"/>
                <w:sz w:val="24"/>
                <w:szCs w:val="24"/>
              </w:rPr>
              <w:t>· 定位精度：±1.5㎜</w:t>
            </w:r>
          </w:p>
          <w:p>
            <w:pPr>
              <w:spacing w:line="360" w:lineRule="auto"/>
              <w:rPr>
                <w:rFonts w:hint="eastAsia" w:ascii="宋体" w:hAnsi="宋体" w:eastAsia="宋体" w:cs="宋体"/>
                <w:sz w:val="24"/>
                <w:szCs w:val="24"/>
              </w:rPr>
            </w:pPr>
            <w:r>
              <w:rPr>
                <w:rFonts w:hint="eastAsia" w:ascii="宋体" w:hAnsi="宋体" w:eastAsia="宋体" w:cs="宋体"/>
                <w:sz w:val="24"/>
                <w:szCs w:val="24"/>
              </w:rPr>
              <w:t>· 校准符合HID设备要求，无需校准</w:t>
            </w:r>
          </w:p>
          <w:p>
            <w:pPr>
              <w:spacing w:line="360" w:lineRule="auto"/>
              <w:rPr>
                <w:rFonts w:hint="eastAsia" w:ascii="宋体" w:hAnsi="宋体" w:eastAsia="宋体" w:cs="宋体"/>
                <w:sz w:val="24"/>
                <w:szCs w:val="24"/>
              </w:rPr>
            </w:pPr>
            <w:r>
              <w:rPr>
                <w:rFonts w:hint="eastAsia" w:ascii="宋体" w:hAnsi="宋体" w:eastAsia="宋体" w:cs="宋体"/>
                <w:sz w:val="24"/>
                <w:szCs w:val="24"/>
              </w:rPr>
              <w:t>· 多点触摸：支持多点触摸</w:t>
            </w:r>
          </w:p>
          <w:p>
            <w:pPr>
              <w:spacing w:line="360" w:lineRule="auto"/>
              <w:rPr>
                <w:rFonts w:hint="eastAsia" w:ascii="宋体" w:hAnsi="宋体" w:eastAsia="宋体" w:cs="宋体"/>
                <w:sz w:val="24"/>
                <w:szCs w:val="24"/>
              </w:rPr>
            </w:pPr>
            <w:r>
              <w:rPr>
                <w:rFonts w:hint="eastAsia" w:ascii="宋体" w:hAnsi="宋体" w:eastAsia="宋体" w:cs="宋体"/>
                <w:sz w:val="24"/>
                <w:szCs w:val="24"/>
              </w:rPr>
              <w:t>· 触摸次数：无限制</w:t>
            </w:r>
          </w:p>
          <w:p>
            <w:pPr>
              <w:spacing w:line="360" w:lineRule="auto"/>
              <w:rPr>
                <w:rFonts w:hint="eastAsia" w:ascii="宋体" w:hAnsi="宋体" w:eastAsia="宋体" w:cs="宋体"/>
                <w:sz w:val="24"/>
                <w:szCs w:val="24"/>
              </w:rPr>
            </w:pPr>
            <w:r>
              <w:rPr>
                <w:rFonts w:hint="eastAsia" w:ascii="宋体" w:hAnsi="宋体" w:eastAsia="宋体" w:cs="宋体"/>
                <w:sz w:val="24"/>
                <w:szCs w:val="24"/>
              </w:rPr>
              <w:t>· 触摸压力：无压力要求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 计算机响应系统：自动识别，无需安装驱动</w:t>
            </w:r>
          </w:p>
          <w:p>
            <w:pPr>
              <w:spacing w:line="360" w:lineRule="auto"/>
              <w:rPr>
                <w:rFonts w:hint="eastAsia" w:ascii="宋体" w:hAnsi="宋体" w:eastAsia="宋体" w:cs="宋体"/>
                <w:sz w:val="24"/>
                <w:szCs w:val="24"/>
              </w:rPr>
            </w:pPr>
            <w:r>
              <w:rPr>
                <w:rFonts w:hint="eastAsia" w:ascii="宋体" w:hAnsi="宋体" w:eastAsia="宋体" w:cs="宋体"/>
                <w:sz w:val="24"/>
                <w:szCs w:val="24"/>
              </w:rPr>
              <w:t>· 书写方式：手指、白板笔，或任意不透明物体</w:t>
            </w:r>
          </w:p>
          <w:p>
            <w:pPr>
              <w:spacing w:line="360" w:lineRule="auto"/>
              <w:rPr>
                <w:rFonts w:hint="eastAsia" w:ascii="宋体" w:hAnsi="宋体" w:eastAsia="宋体" w:cs="宋体"/>
                <w:sz w:val="24"/>
                <w:szCs w:val="24"/>
              </w:rPr>
            </w:pPr>
            <w:r>
              <w:rPr>
                <w:rFonts w:hint="eastAsia" w:ascii="宋体" w:hAnsi="宋体" w:eastAsia="宋体" w:cs="宋体"/>
                <w:sz w:val="24"/>
                <w:szCs w:val="24"/>
              </w:rPr>
              <w:t>· 触摸系统供电方式：可用USB直接供电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63" w:type="dxa"/>
            <w:vMerge w:val="restart"/>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内置安卓系统（两块独立的主板）</w:t>
            </w: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操作系统：Android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Merge w:val="continue"/>
            <w:noWrap w:val="0"/>
            <w:vAlign w:val="top"/>
          </w:tcPr>
          <w:p>
            <w:pPr>
              <w:spacing w:line="360" w:lineRule="auto"/>
              <w:rPr>
                <w:rFonts w:hint="eastAsia" w:ascii="宋体" w:hAnsi="宋体" w:eastAsia="宋体" w:cs="宋体"/>
                <w:sz w:val="24"/>
                <w:szCs w:val="24"/>
              </w:rPr>
            </w:pP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处理器：四核1.8GHz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Merge w:val="continue"/>
            <w:noWrap w:val="0"/>
            <w:vAlign w:val="top"/>
          </w:tcPr>
          <w:p>
            <w:pPr>
              <w:spacing w:line="360" w:lineRule="auto"/>
              <w:rPr>
                <w:rFonts w:hint="eastAsia" w:ascii="宋体" w:hAnsi="宋体" w:eastAsia="宋体" w:cs="宋体"/>
                <w:sz w:val="24"/>
                <w:szCs w:val="24"/>
              </w:rPr>
            </w:pP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内存：2G DDR3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Merge w:val="continue"/>
            <w:noWrap w:val="0"/>
            <w:vAlign w:val="top"/>
          </w:tcPr>
          <w:p>
            <w:pPr>
              <w:spacing w:line="360" w:lineRule="auto"/>
              <w:rPr>
                <w:rFonts w:hint="eastAsia" w:ascii="宋体" w:hAnsi="宋体" w:eastAsia="宋体" w:cs="宋体"/>
                <w:sz w:val="24"/>
                <w:szCs w:val="24"/>
              </w:rPr>
            </w:pP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存储：32G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Merge w:val="continue"/>
            <w:noWrap w:val="0"/>
            <w:vAlign w:val="top"/>
          </w:tcPr>
          <w:p>
            <w:pPr>
              <w:spacing w:line="360" w:lineRule="auto"/>
              <w:rPr>
                <w:rFonts w:hint="eastAsia" w:ascii="宋体" w:hAnsi="宋体" w:eastAsia="宋体" w:cs="宋体"/>
                <w:sz w:val="24"/>
                <w:szCs w:val="24"/>
              </w:rPr>
            </w:pP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机器接口：USB×2；电源×1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Merge w:val="continue"/>
            <w:noWrap w:val="0"/>
            <w:vAlign w:val="top"/>
          </w:tcPr>
          <w:p>
            <w:pPr>
              <w:spacing w:line="360" w:lineRule="auto"/>
              <w:rPr>
                <w:rFonts w:hint="eastAsia" w:ascii="宋体" w:hAnsi="宋体" w:eastAsia="宋体" w:cs="宋体"/>
                <w:sz w:val="24"/>
                <w:szCs w:val="24"/>
              </w:rPr>
            </w:pPr>
          </w:p>
        </w:tc>
        <w:tc>
          <w:tcPr>
            <w:tcW w:w="6012"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联网方式：有线、wifi</w:t>
            </w:r>
          </w:p>
        </w:tc>
      </w:tr>
    </w:tbl>
    <w:p>
      <w:pPr>
        <w:spacing w:line="360" w:lineRule="auto"/>
        <w:rPr>
          <w:rFonts w:ascii="宋体" w:hAnsi="宋体" w:cs="宋体"/>
          <w:sz w:val="24"/>
        </w:rPr>
      </w:pPr>
      <w:r>
        <w:rPr>
          <w:rFonts w:hint="eastAsia" w:ascii="宋体" w:hAnsi="宋体" w:cs="宋体"/>
          <w:sz w:val="24"/>
        </w:rPr>
        <w:t>附表8</w:t>
      </w:r>
      <w:r>
        <w:rPr>
          <w:rFonts w:ascii="宋体" w:hAnsi="宋体" w:cs="宋体"/>
          <w:sz w:val="24"/>
        </w:rPr>
        <w:t xml:space="preserve"> 文化推广要求</w:t>
      </w:r>
      <w:r>
        <w:rPr>
          <w:rFonts w:hint="eastAsia" w:ascii="宋体" w:hAnsi="宋体" w:cs="宋体"/>
          <w:sz w:val="24"/>
        </w:rPr>
        <w:t>：</w:t>
      </w:r>
    </w:p>
    <w:tbl>
      <w:tblPr>
        <w:tblStyle w:val="18"/>
        <w:tblW w:w="8366" w:type="dxa"/>
        <w:tblInd w:w="0" w:type="dxa"/>
        <w:tblLayout w:type="fixed"/>
        <w:tblCellMar>
          <w:top w:w="15" w:type="dxa"/>
          <w:left w:w="15" w:type="dxa"/>
          <w:bottom w:w="15" w:type="dxa"/>
          <w:right w:w="15" w:type="dxa"/>
        </w:tblCellMar>
      </w:tblPr>
      <w:tblGrid>
        <w:gridCol w:w="704"/>
        <w:gridCol w:w="3153"/>
        <w:gridCol w:w="2903"/>
        <w:gridCol w:w="803"/>
        <w:gridCol w:w="803"/>
      </w:tblGrid>
      <w:tr>
        <w:tblPrEx>
          <w:tblCellMar>
            <w:top w:w="15" w:type="dxa"/>
            <w:left w:w="15" w:type="dxa"/>
            <w:bottom w:w="15" w:type="dxa"/>
            <w:right w:w="15" w:type="dxa"/>
          </w:tblCellMar>
        </w:tblPrEx>
        <w:trPr>
          <w:trHeight w:val="286" w:hRule="atLeast"/>
        </w:trPr>
        <w:tc>
          <w:tcPr>
            <w:tcW w:w="704" w:type="dxa"/>
            <w:tcBorders>
              <w:top w:val="single" w:color="000000" w:sz="4" w:space="0"/>
              <w:left w:val="single" w:color="000000" w:sz="4" w:space="0"/>
              <w:bottom w:val="single" w:color="auto" w:sz="4" w:space="0"/>
              <w:right w:val="single" w:color="000000" w:sz="4" w:space="0"/>
            </w:tcBorders>
            <w:shd w:val="clear" w:color="auto" w:fill="8064A2"/>
            <w:noWrap w:val="0"/>
            <w:vAlign w:val="center"/>
          </w:tcPr>
          <w:p>
            <w:pPr>
              <w:spacing w:line="360" w:lineRule="auto"/>
              <w:rPr>
                <w:rFonts w:ascii="宋体" w:hAnsi="宋体" w:cs="宋体"/>
                <w:sz w:val="24"/>
              </w:rPr>
            </w:pPr>
            <w:r>
              <w:rPr>
                <w:rFonts w:hint="eastAsia" w:ascii="宋体" w:hAnsi="宋体" w:cs="宋体"/>
                <w:sz w:val="24"/>
              </w:rPr>
              <w:t>序号</w:t>
            </w:r>
          </w:p>
        </w:tc>
        <w:tc>
          <w:tcPr>
            <w:tcW w:w="3153" w:type="dxa"/>
            <w:tcBorders>
              <w:top w:val="single" w:color="000000" w:sz="4" w:space="0"/>
              <w:left w:val="single" w:color="000000" w:sz="4" w:space="0"/>
              <w:bottom w:val="single" w:color="auto" w:sz="4" w:space="0"/>
              <w:right w:val="single" w:color="000000" w:sz="4" w:space="0"/>
            </w:tcBorders>
            <w:shd w:val="clear" w:color="auto" w:fill="8064A2"/>
            <w:noWrap w:val="0"/>
            <w:vAlign w:val="center"/>
          </w:tcPr>
          <w:p>
            <w:pPr>
              <w:spacing w:line="360" w:lineRule="auto"/>
              <w:rPr>
                <w:rFonts w:ascii="宋体" w:hAnsi="宋体" w:cs="宋体"/>
                <w:sz w:val="24"/>
              </w:rPr>
            </w:pPr>
            <w:r>
              <w:rPr>
                <w:rFonts w:hint="eastAsia" w:ascii="宋体" w:hAnsi="宋体" w:cs="宋体"/>
                <w:sz w:val="24"/>
              </w:rPr>
              <w:t>名称</w:t>
            </w:r>
          </w:p>
        </w:tc>
        <w:tc>
          <w:tcPr>
            <w:tcW w:w="2903" w:type="dxa"/>
            <w:tcBorders>
              <w:top w:val="single" w:color="000000" w:sz="4" w:space="0"/>
              <w:left w:val="single" w:color="000000" w:sz="4" w:space="0"/>
              <w:bottom w:val="single" w:color="auto" w:sz="4" w:space="0"/>
              <w:right w:val="single" w:color="000000" w:sz="4" w:space="0"/>
            </w:tcBorders>
            <w:shd w:val="clear" w:color="auto" w:fill="8064A2"/>
            <w:noWrap w:val="0"/>
            <w:vAlign w:val="center"/>
          </w:tcPr>
          <w:p>
            <w:pPr>
              <w:spacing w:line="360" w:lineRule="auto"/>
              <w:rPr>
                <w:rFonts w:ascii="宋体" w:hAnsi="宋体" w:cs="宋体"/>
                <w:sz w:val="24"/>
              </w:rPr>
            </w:pPr>
            <w:r>
              <w:rPr>
                <w:rFonts w:hint="eastAsia" w:ascii="宋体" w:hAnsi="宋体" w:cs="宋体"/>
                <w:sz w:val="24"/>
              </w:rPr>
              <w:t>配置</w:t>
            </w:r>
          </w:p>
        </w:tc>
        <w:tc>
          <w:tcPr>
            <w:tcW w:w="803" w:type="dxa"/>
            <w:tcBorders>
              <w:top w:val="single" w:color="000000" w:sz="4" w:space="0"/>
              <w:left w:val="single" w:color="000000" w:sz="4" w:space="0"/>
              <w:bottom w:val="single" w:color="auto" w:sz="4" w:space="0"/>
              <w:right w:val="single" w:color="000000" w:sz="4" w:space="0"/>
            </w:tcBorders>
            <w:shd w:val="clear" w:color="auto" w:fill="8064A2"/>
            <w:noWrap w:val="0"/>
            <w:vAlign w:val="center"/>
          </w:tcPr>
          <w:p>
            <w:pPr>
              <w:spacing w:line="360" w:lineRule="auto"/>
              <w:rPr>
                <w:rFonts w:ascii="宋体" w:hAnsi="宋体" w:cs="宋体"/>
                <w:sz w:val="24"/>
              </w:rPr>
            </w:pPr>
            <w:r>
              <w:rPr>
                <w:rFonts w:hint="eastAsia" w:ascii="宋体" w:hAnsi="宋体" w:cs="宋体"/>
                <w:sz w:val="24"/>
              </w:rPr>
              <w:t>单位</w:t>
            </w:r>
          </w:p>
        </w:tc>
        <w:tc>
          <w:tcPr>
            <w:tcW w:w="803" w:type="dxa"/>
            <w:tcBorders>
              <w:top w:val="single" w:color="000000" w:sz="4" w:space="0"/>
              <w:left w:val="single" w:color="000000" w:sz="4" w:space="0"/>
              <w:bottom w:val="single" w:color="auto" w:sz="4" w:space="0"/>
              <w:right w:val="single" w:color="000000" w:sz="4" w:space="0"/>
            </w:tcBorders>
            <w:shd w:val="clear" w:color="auto" w:fill="8064A2"/>
            <w:noWrap w:val="0"/>
            <w:vAlign w:val="center"/>
          </w:tcPr>
          <w:p>
            <w:pPr>
              <w:spacing w:line="360" w:lineRule="auto"/>
              <w:rPr>
                <w:rFonts w:ascii="宋体" w:hAnsi="宋体" w:cs="宋体"/>
                <w:sz w:val="24"/>
              </w:rPr>
            </w:pPr>
            <w:r>
              <w:rPr>
                <w:rFonts w:hint="eastAsia" w:ascii="宋体" w:hAnsi="宋体" w:cs="宋体"/>
                <w:sz w:val="24"/>
              </w:rPr>
              <w:t>数量</w:t>
            </w:r>
          </w:p>
        </w:tc>
      </w:tr>
      <w:tr>
        <w:tblPrEx>
          <w:tblCellMar>
            <w:top w:w="15" w:type="dxa"/>
            <w:left w:w="15" w:type="dxa"/>
            <w:bottom w:w="15" w:type="dxa"/>
            <w:right w:w="15" w:type="dxa"/>
          </w:tblCellMar>
        </w:tblPrEx>
        <w:trPr>
          <w:trHeight w:val="286"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一、</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公众号（服务号）推文</w:t>
            </w:r>
          </w:p>
        </w:tc>
        <w:tc>
          <w:tcPr>
            <w:tcW w:w="29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周更1次/单次4-5篇</w:t>
            </w:r>
          </w:p>
          <w:p>
            <w:pPr>
              <w:spacing w:line="360" w:lineRule="auto"/>
              <w:rPr>
                <w:rFonts w:ascii="宋体" w:hAnsi="宋体" w:cs="宋体"/>
                <w:sz w:val="24"/>
              </w:rPr>
            </w:pPr>
            <w:r>
              <w:rPr>
                <w:rFonts w:hint="eastAsia" w:ascii="宋体" w:hAnsi="宋体" w:cs="宋体"/>
                <w:sz w:val="24"/>
              </w:rPr>
              <w:t>单次推送含原创1-3篇，收集编排、转发2-3篇</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w:t>
            </w:r>
          </w:p>
        </w:tc>
      </w:tr>
      <w:tr>
        <w:tblPrEx>
          <w:tblCellMar>
            <w:top w:w="15" w:type="dxa"/>
            <w:left w:w="15" w:type="dxa"/>
            <w:bottom w:w="15" w:type="dxa"/>
            <w:right w:w="15" w:type="dxa"/>
          </w:tblCellMar>
        </w:tblPrEx>
        <w:trPr>
          <w:trHeight w:val="286"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二、</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视频拍摄</w:t>
            </w:r>
          </w:p>
        </w:tc>
        <w:tc>
          <w:tcPr>
            <w:tcW w:w="29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约20分钟（合计约30条短视频）</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20</w:t>
            </w:r>
          </w:p>
        </w:tc>
      </w:tr>
      <w:tr>
        <w:tblPrEx>
          <w:tblCellMar>
            <w:top w:w="15" w:type="dxa"/>
            <w:left w:w="15" w:type="dxa"/>
            <w:bottom w:w="15" w:type="dxa"/>
            <w:right w:w="15" w:type="dxa"/>
          </w:tblCellMar>
        </w:tblPrEx>
        <w:trPr>
          <w:trHeight w:val="286"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三、</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短视频文案</w:t>
            </w:r>
          </w:p>
        </w:tc>
        <w:tc>
          <w:tcPr>
            <w:tcW w:w="29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按照视频内容需求</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个</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30</w:t>
            </w:r>
          </w:p>
        </w:tc>
      </w:tr>
      <w:tr>
        <w:tblPrEx>
          <w:tblCellMar>
            <w:top w:w="15" w:type="dxa"/>
            <w:left w:w="15" w:type="dxa"/>
            <w:bottom w:w="15" w:type="dxa"/>
            <w:right w:w="15" w:type="dxa"/>
          </w:tblCellMar>
        </w:tblPrEx>
        <w:trPr>
          <w:trHeight w:val="314"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四、</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配音服务</w:t>
            </w:r>
          </w:p>
        </w:tc>
        <w:tc>
          <w:tcPr>
            <w:tcW w:w="290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次</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30</w:t>
            </w:r>
          </w:p>
        </w:tc>
      </w:tr>
      <w:tr>
        <w:tblPrEx>
          <w:tblCellMar>
            <w:top w:w="15" w:type="dxa"/>
            <w:left w:w="15" w:type="dxa"/>
            <w:bottom w:w="15" w:type="dxa"/>
            <w:right w:w="15" w:type="dxa"/>
          </w:tblCellMar>
        </w:tblPrEx>
        <w:trPr>
          <w:trHeight w:val="286"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五、</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微博</w:t>
            </w:r>
          </w:p>
        </w:tc>
        <w:tc>
          <w:tcPr>
            <w:tcW w:w="29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条</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1200</w:t>
            </w:r>
          </w:p>
        </w:tc>
      </w:tr>
      <w:tr>
        <w:tblPrEx>
          <w:tblCellMar>
            <w:top w:w="15" w:type="dxa"/>
            <w:left w:w="15" w:type="dxa"/>
            <w:bottom w:w="15" w:type="dxa"/>
            <w:right w:w="15" w:type="dxa"/>
          </w:tblCellMar>
        </w:tblPrEx>
        <w:trPr>
          <w:trHeight w:val="286"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六、</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活动策划</w:t>
            </w:r>
          </w:p>
        </w:tc>
        <w:tc>
          <w:tcPr>
            <w:tcW w:w="29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策划方案、视频、宣传文案</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次</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3</w:t>
            </w:r>
          </w:p>
        </w:tc>
      </w:tr>
    </w:tbl>
    <w:p>
      <w:pPr>
        <w:autoSpaceDE w:val="0"/>
        <w:autoSpaceDN w:val="0"/>
        <w:adjustRightInd w:val="0"/>
        <w:spacing w:line="240" w:lineRule="auto"/>
        <w:ind w:firstLine="480"/>
        <w:jc w:val="left"/>
        <w:rPr>
          <w:rFonts w:hint="eastAsia" w:ascii="宋体" w:hAnsi="宋体" w:eastAsia="宋体" w:cs="宋体"/>
          <w:b/>
          <w:bCs/>
          <w:color w:val="000000"/>
          <w:kern w:val="0"/>
          <w:sz w:val="24"/>
          <w:szCs w:val="24"/>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61</w:t>
    </w:r>
    <w:r>
      <w:rPr>
        <w:lang w:val="zh-CN"/>
      </w:rP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5840A"/>
    <w:multiLevelType w:val="singleLevel"/>
    <w:tmpl w:val="8245840A"/>
    <w:lvl w:ilvl="0" w:tentative="0">
      <w:start w:val="3"/>
      <w:numFmt w:val="decimal"/>
      <w:suff w:val="nothing"/>
      <w:lvlText w:val="%1、"/>
      <w:lvlJc w:val="left"/>
      <w:pPr>
        <w:ind w:left="480" w:leftChars="0" w:firstLine="0" w:firstLineChars="0"/>
      </w:pPr>
    </w:lvl>
  </w:abstractNum>
  <w:abstractNum w:abstractNumId="1">
    <w:nsid w:val="026210F0"/>
    <w:multiLevelType w:val="multilevel"/>
    <w:tmpl w:val="026210F0"/>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2">
    <w:nsid w:val="0CD044D9"/>
    <w:multiLevelType w:val="multilevel"/>
    <w:tmpl w:val="0CD044D9"/>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3">
    <w:nsid w:val="14E958EA"/>
    <w:multiLevelType w:val="multilevel"/>
    <w:tmpl w:val="14E958E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19DB1B41"/>
    <w:multiLevelType w:val="multilevel"/>
    <w:tmpl w:val="19DB1B4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1E2819AD"/>
    <w:multiLevelType w:val="multilevel"/>
    <w:tmpl w:val="1E2819AD"/>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6">
    <w:nsid w:val="208A7ABE"/>
    <w:multiLevelType w:val="multilevel"/>
    <w:tmpl w:val="208A7ABE"/>
    <w:lvl w:ilvl="0" w:tentative="0">
      <w:start w:val="1"/>
      <w:numFmt w:val="decimal"/>
      <w:pStyle w:val="38"/>
      <w:suff w:val="space"/>
      <w:lvlText w:val="表%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36494E1B"/>
    <w:multiLevelType w:val="multilevel"/>
    <w:tmpl w:val="36494E1B"/>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8">
    <w:nsid w:val="3B363D98"/>
    <w:multiLevelType w:val="multilevel"/>
    <w:tmpl w:val="3B363D98"/>
    <w:lvl w:ilvl="0" w:tentative="0">
      <w:start w:val="1"/>
      <w:numFmt w:val="decimal"/>
      <w:pStyle w:val="12"/>
      <w:suff w:val="space"/>
      <w:lvlText w:val="图%1."/>
      <w:lvlJc w:val="left"/>
      <w:pPr>
        <w:ind w:left="2263" w:hanging="420"/>
      </w:pPr>
      <w:rPr>
        <w:rFonts w:hint="eastAsia" w:cs="Times New Roman"/>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9">
    <w:nsid w:val="4CA75A52"/>
    <w:multiLevelType w:val="multilevel"/>
    <w:tmpl w:val="4CA75A52"/>
    <w:lvl w:ilvl="0" w:tentative="0">
      <w:start w:val="1"/>
      <w:numFmt w:val="decimal"/>
      <w:pStyle w:val="37"/>
      <w:lvlText w:val="%1)"/>
      <w:lvlJc w:val="left"/>
      <w:pPr>
        <w:ind w:left="420" w:firstLine="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0">
    <w:nsid w:val="5A5D5ECF"/>
    <w:multiLevelType w:val="multilevel"/>
    <w:tmpl w:val="5A5D5ECF"/>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11">
    <w:nsid w:val="655B2660"/>
    <w:multiLevelType w:val="multilevel"/>
    <w:tmpl w:val="655B2660"/>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num w:numId="1">
    <w:abstractNumId w:val="8"/>
  </w:num>
  <w:num w:numId="2">
    <w:abstractNumId w:val="9"/>
  </w:num>
  <w:num w:numId="3">
    <w:abstractNumId w:val="6"/>
  </w:num>
  <w:num w:numId="4">
    <w:abstractNumId w:val="0"/>
  </w:num>
  <w:num w:numId="5">
    <w:abstractNumId w:val="7"/>
  </w:num>
  <w:num w:numId="6">
    <w:abstractNumId w:val="3"/>
  </w:num>
  <w:num w:numId="7">
    <w:abstractNumId w:val="4"/>
  </w:num>
  <w:num w:numId="8">
    <w:abstractNumId w:val="2"/>
  </w:num>
  <w:num w:numId="9">
    <w:abstractNumId w:val="10"/>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39"/>
    <w:rsid w:val="000152AC"/>
    <w:rsid w:val="000B0C13"/>
    <w:rsid w:val="000E497B"/>
    <w:rsid w:val="000E5BB2"/>
    <w:rsid w:val="0013733E"/>
    <w:rsid w:val="00180179"/>
    <w:rsid w:val="001839AA"/>
    <w:rsid w:val="00196436"/>
    <w:rsid w:val="00296081"/>
    <w:rsid w:val="00352E70"/>
    <w:rsid w:val="00385908"/>
    <w:rsid w:val="0038607A"/>
    <w:rsid w:val="003B4539"/>
    <w:rsid w:val="003C5C3C"/>
    <w:rsid w:val="003D19A0"/>
    <w:rsid w:val="004A3302"/>
    <w:rsid w:val="00535795"/>
    <w:rsid w:val="00540443"/>
    <w:rsid w:val="0055562C"/>
    <w:rsid w:val="005647BA"/>
    <w:rsid w:val="005707A9"/>
    <w:rsid w:val="005C6B37"/>
    <w:rsid w:val="00712FAA"/>
    <w:rsid w:val="007923C9"/>
    <w:rsid w:val="007947CA"/>
    <w:rsid w:val="007B722B"/>
    <w:rsid w:val="008215E7"/>
    <w:rsid w:val="008542E7"/>
    <w:rsid w:val="0087638E"/>
    <w:rsid w:val="00893D25"/>
    <w:rsid w:val="008A5BAA"/>
    <w:rsid w:val="008D2FA3"/>
    <w:rsid w:val="00954820"/>
    <w:rsid w:val="00976735"/>
    <w:rsid w:val="00981498"/>
    <w:rsid w:val="00993087"/>
    <w:rsid w:val="009F5964"/>
    <w:rsid w:val="00A050DE"/>
    <w:rsid w:val="00A41290"/>
    <w:rsid w:val="00A437A8"/>
    <w:rsid w:val="00A82AC2"/>
    <w:rsid w:val="00A953B8"/>
    <w:rsid w:val="00B10116"/>
    <w:rsid w:val="00B65D32"/>
    <w:rsid w:val="00BC3DF5"/>
    <w:rsid w:val="00C25407"/>
    <w:rsid w:val="00C62D8A"/>
    <w:rsid w:val="00C737CE"/>
    <w:rsid w:val="00C84687"/>
    <w:rsid w:val="00E23F79"/>
    <w:rsid w:val="00EC038F"/>
    <w:rsid w:val="00EC5753"/>
    <w:rsid w:val="00ED03E7"/>
    <w:rsid w:val="00ED356E"/>
    <w:rsid w:val="00F44D72"/>
    <w:rsid w:val="00F97865"/>
    <w:rsid w:val="08DB1141"/>
    <w:rsid w:val="0B5538F0"/>
    <w:rsid w:val="1083273E"/>
    <w:rsid w:val="138D74BF"/>
    <w:rsid w:val="165B05AC"/>
    <w:rsid w:val="27166207"/>
    <w:rsid w:val="295D3E28"/>
    <w:rsid w:val="402A0CEE"/>
    <w:rsid w:val="46B00F16"/>
    <w:rsid w:val="5D5259B0"/>
    <w:rsid w:val="63EC4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2"/>
    <w:qFormat/>
    <w:uiPriority w:val="0"/>
    <w:pPr>
      <w:keepNext/>
      <w:keepLines/>
      <w:widowControl/>
      <w:snapToGrid w:val="0"/>
      <w:spacing w:afterLines="50" w:line="360" w:lineRule="auto"/>
      <w:jc w:val="center"/>
      <w:outlineLvl w:val="0"/>
    </w:pPr>
    <w:rPr>
      <w:rFonts w:eastAsia="黑体"/>
      <w:kern w:val="44"/>
      <w:sz w:val="48"/>
      <w:szCs w:val="20"/>
    </w:rPr>
  </w:style>
  <w:style w:type="paragraph" w:styleId="5">
    <w:name w:val="heading 2"/>
    <w:basedOn w:val="1"/>
    <w:next w:val="6"/>
    <w:link w:val="23"/>
    <w:qFormat/>
    <w:uiPriority w:val="0"/>
    <w:pPr>
      <w:keepNext/>
      <w:keepLines/>
      <w:widowControl/>
      <w:spacing w:afterLines="50" w:line="360" w:lineRule="auto"/>
      <w:jc w:val="left"/>
      <w:outlineLvl w:val="1"/>
    </w:pPr>
    <w:rPr>
      <w:rFonts w:ascii="楷体_GB2312" w:hAnsi="Arial" w:eastAsia="黑体"/>
      <w:kern w:val="0"/>
      <w:sz w:val="36"/>
      <w:szCs w:val="20"/>
    </w:rPr>
  </w:style>
  <w:style w:type="paragraph" w:styleId="7">
    <w:name w:val="heading 3"/>
    <w:basedOn w:val="5"/>
    <w:next w:val="8"/>
    <w:link w:val="24"/>
    <w:qFormat/>
    <w:uiPriority w:val="0"/>
    <w:pPr>
      <w:keepNext/>
      <w:keepLines/>
      <w:widowControl/>
      <w:spacing w:afterLines="50" w:line="360" w:lineRule="auto"/>
      <w:jc w:val="left"/>
      <w:outlineLvl w:val="2"/>
    </w:pPr>
    <w:rPr>
      <w:rFonts w:ascii="楷体_GB2312" w:eastAsia="黑体"/>
      <w:kern w:val="0"/>
      <w:sz w:val="30"/>
      <w:szCs w:val="20"/>
    </w:rPr>
  </w:style>
  <w:style w:type="paragraph" w:styleId="9">
    <w:name w:val="heading 4"/>
    <w:basedOn w:val="1"/>
    <w:next w:val="1"/>
    <w:link w:val="25"/>
    <w:qFormat/>
    <w:uiPriority w:val="0"/>
    <w:pPr>
      <w:keepNext/>
      <w:widowControl/>
      <w:spacing w:afterLines="50" w:line="360" w:lineRule="auto"/>
      <w:jc w:val="left"/>
      <w:outlineLvl w:val="3"/>
    </w:pPr>
    <w:rPr>
      <w:rFonts w:ascii="宋体" w:hAnsi="宋体" w:eastAsia="黑体"/>
      <w:kern w:val="0"/>
      <w:sz w:val="28"/>
      <w:szCs w:val="20"/>
    </w:rPr>
  </w:style>
  <w:style w:type="paragraph" w:styleId="10">
    <w:name w:val="heading 5"/>
    <w:basedOn w:val="1"/>
    <w:next w:val="1"/>
    <w:link w:val="26"/>
    <w:qFormat/>
    <w:uiPriority w:val="0"/>
    <w:pPr>
      <w:keepNext/>
      <w:widowControl/>
      <w:tabs>
        <w:tab w:val="left" w:pos="405"/>
      </w:tabs>
      <w:jc w:val="left"/>
      <w:outlineLvl w:val="4"/>
    </w:pPr>
    <w:rPr>
      <w:kern w:val="0"/>
      <w:sz w:val="24"/>
      <w:szCs w:val="20"/>
    </w:rPr>
  </w:style>
  <w:style w:type="paragraph" w:styleId="11">
    <w:name w:val="heading 6"/>
    <w:basedOn w:val="1"/>
    <w:next w:val="1"/>
    <w:link w:val="27"/>
    <w:qFormat/>
    <w:uiPriority w:val="0"/>
    <w:pPr>
      <w:keepNext/>
      <w:tabs>
        <w:tab w:val="left" w:pos="-20"/>
      </w:tabs>
      <w:snapToGrid w:val="0"/>
      <w:spacing w:line="300" w:lineRule="auto"/>
      <w:outlineLvl w:val="5"/>
    </w:pPr>
    <w:rPr>
      <w:rFonts w:ascii="宋体"/>
      <w:sz w:val="28"/>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paragraph" w:styleId="6">
    <w:name w:val="Normal Indent"/>
    <w:basedOn w:val="1"/>
    <w:semiHidden/>
    <w:unhideWhenUsed/>
    <w:qFormat/>
    <w:uiPriority w:val="99"/>
    <w:pPr>
      <w:widowControl/>
      <w:spacing w:afterLines="50"/>
      <w:ind w:firstLine="420" w:firstLineChars="200"/>
      <w:jc w:val="left"/>
    </w:pPr>
    <w:rPr>
      <w:kern w:val="0"/>
      <w:sz w:val="24"/>
      <w:szCs w:val="20"/>
    </w:rPr>
  </w:style>
  <w:style w:type="paragraph" w:styleId="8">
    <w:name w:val="Body Text"/>
    <w:basedOn w:val="7"/>
    <w:qFormat/>
    <w:uiPriority w:val="0"/>
    <w:pPr>
      <w:spacing w:after="120" w:afterLines="0" w:afterAutospacing="0"/>
    </w:pPr>
  </w:style>
  <w:style w:type="paragraph" w:styleId="12">
    <w:name w:val="caption"/>
    <w:basedOn w:val="1"/>
    <w:next w:val="1"/>
    <w:qFormat/>
    <w:uiPriority w:val="0"/>
    <w:pPr>
      <w:numPr>
        <w:ilvl w:val="0"/>
        <w:numId w:val="1"/>
      </w:numPr>
      <w:ind w:left="0" w:firstLine="0" w:firstLineChars="0"/>
      <w:jc w:val="center"/>
    </w:pPr>
    <w:rPr>
      <w:rFonts w:ascii="Arial Unicode MS" w:hAnsi="Arial Unicode MS"/>
      <w:szCs w:val="20"/>
    </w:rPr>
  </w:style>
  <w:style w:type="paragraph" w:styleId="13">
    <w:name w:val="Plain Text"/>
    <w:basedOn w:val="1"/>
    <w:qFormat/>
    <w:uiPriority w:val="99"/>
    <w:rPr>
      <w:rFonts w:ascii="宋体" w:hAnsi="Courier New"/>
      <w:szCs w:val="20"/>
    </w:rPr>
  </w:style>
  <w:style w:type="paragraph" w:styleId="14">
    <w:name w:val="Balloon Text"/>
    <w:basedOn w:val="1"/>
    <w:link w:val="30"/>
    <w:semiHidden/>
    <w:unhideWhenUsed/>
    <w:qFormat/>
    <w:uiPriority w:val="99"/>
    <w:rPr>
      <w:sz w:val="18"/>
      <w:szCs w:val="18"/>
    </w:rPr>
  </w:style>
  <w:style w:type="paragraph" w:styleId="15">
    <w:name w:val="footer"/>
    <w:basedOn w:val="1"/>
    <w:link w:val="29"/>
    <w:semiHidden/>
    <w:unhideWhenUsed/>
    <w:qFormat/>
    <w:uiPriority w:val="99"/>
    <w:pPr>
      <w:tabs>
        <w:tab w:val="center" w:pos="4153"/>
        <w:tab w:val="right" w:pos="8306"/>
      </w:tabs>
      <w:snapToGrid w:val="0"/>
      <w:jc w:val="left"/>
    </w:pPr>
    <w:rPr>
      <w:sz w:val="18"/>
      <w:szCs w:val="18"/>
    </w:rPr>
  </w:style>
  <w:style w:type="paragraph" w:styleId="16">
    <w:name w:val="header"/>
    <w:basedOn w:val="1"/>
    <w:link w:val="2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0">
    <w:name w:val="Emphasis"/>
    <w:qFormat/>
    <w:uiPriority w:val="0"/>
    <w:rPr>
      <w:rFonts w:eastAsia="宋体"/>
      <w:b/>
      <w:iCs/>
      <w:sz w:val="28"/>
      <w:vertAlign w:val="baseline"/>
    </w:rPr>
  </w:style>
  <w:style w:type="character" w:styleId="21">
    <w:name w:val="Hyperlink"/>
    <w:qFormat/>
    <w:uiPriority w:val="0"/>
    <w:rPr>
      <w:color w:val="0000FF"/>
      <w:u w:val="none"/>
    </w:rPr>
  </w:style>
  <w:style w:type="character" w:customStyle="1" w:styleId="22">
    <w:name w:val="标题 1 Char"/>
    <w:basedOn w:val="19"/>
    <w:link w:val="4"/>
    <w:qFormat/>
    <w:uiPriority w:val="0"/>
    <w:rPr>
      <w:rFonts w:eastAsia="黑体"/>
      <w:kern w:val="44"/>
      <w:sz w:val="48"/>
    </w:rPr>
  </w:style>
  <w:style w:type="character" w:customStyle="1" w:styleId="23">
    <w:name w:val="标题 2 Char"/>
    <w:basedOn w:val="19"/>
    <w:link w:val="5"/>
    <w:qFormat/>
    <w:uiPriority w:val="0"/>
    <w:rPr>
      <w:rFonts w:ascii="楷体_GB2312" w:hAnsi="Arial" w:eastAsia="黑体"/>
      <w:sz w:val="36"/>
    </w:rPr>
  </w:style>
  <w:style w:type="character" w:customStyle="1" w:styleId="24">
    <w:name w:val="标题 3 Char"/>
    <w:basedOn w:val="19"/>
    <w:link w:val="7"/>
    <w:qFormat/>
    <w:uiPriority w:val="0"/>
    <w:rPr>
      <w:rFonts w:ascii="楷体_GB2312" w:eastAsia="黑体"/>
      <w:sz w:val="30"/>
    </w:rPr>
  </w:style>
  <w:style w:type="character" w:customStyle="1" w:styleId="25">
    <w:name w:val="标题 4 Char"/>
    <w:basedOn w:val="19"/>
    <w:link w:val="9"/>
    <w:qFormat/>
    <w:uiPriority w:val="0"/>
    <w:rPr>
      <w:rFonts w:ascii="宋体" w:hAnsi="宋体" w:eastAsia="黑体"/>
      <w:sz w:val="28"/>
    </w:rPr>
  </w:style>
  <w:style w:type="character" w:customStyle="1" w:styleId="26">
    <w:name w:val="标题 5 Char"/>
    <w:basedOn w:val="19"/>
    <w:link w:val="10"/>
    <w:qFormat/>
    <w:uiPriority w:val="0"/>
    <w:rPr>
      <w:sz w:val="24"/>
    </w:rPr>
  </w:style>
  <w:style w:type="character" w:customStyle="1" w:styleId="27">
    <w:name w:val="标题 6 Char"/>
    <w:basedOn w:val="19"/>
    <w:link w:val="11"/>
    <w:qFormat/>
    <w:uiPriority w:val="0"/>
    <w:rPr>
      <w:rFonts w:ascii="宋体"/>
      <w:kern w:val="2"/>
      <w:sz w:val="28"/>
    </w:rPr>
  </w:style>
  <w:style w:type="character" w:customStyle="1" w:styleId="28">
    <w:name w:val="页眉 Char"/>
    <w:basedOn w:val="19"/>
    <w:link w:val="16"/>
    <w:semiHidden/>
    <w:qFormat/>
    <w:uiPriority w:val="99"/>
    <w:rPr>
      <w:kern w:val="2"/>
      <w:sz w:val="18"/>
      <w:szCs w:val="18"/>
    </w:rPr>
  </w:style>
  <w:style w:type="character" w:customStyle="1" w:styleId="29">
    <w:name w:val="页脚 Char"/>
    <w:basedOn w:val="19"/>
    <w:link w:val="15"/>
    <w:semiHidden/>
    <w:qFormat/>
    <w:uiPriority w:val="99"/>
    <w:rPr>
      <w:kern w:val="2"/>
      <w:sz w:val="18"/>
      <w:szCs w:val="18"/>
    </w:rPr>
  </w:style>
  <w:style w:type="character" w:customStyle="1" w:styleId="30">
    <w:name w:val="批注框文本 Char"/>
    <w:basedOn w:val="19"/>
    <w:link w:val="14"/>
    <w:semiHidden/>
    <w:qFormat/>
    <w:uiPriority w:val="99"/>
    <w:rPr>
      <w:kern w:val="2"/>
      <w:sz w:val="18"/>
      <w:szCs w:val="18"/>
    </w:rPr>
  </w:style>
  <w:style w:type="paragraph" w:styleId="3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2">
    <w:name w:val="表格文字"/>
    <w:basedOn w:val="1"/>
    <w:next w:val="8"/>
    <w:qFormat/>
    <w:uiPriority w:val="0"/>
    <w:pPr>
      <w:jc w:val="left"/>
    </w:pPr>
    <w:rPr>
      <w:bCs/>
      <w:spacing w:val="10"/>
      <w:kern w:val="0"/>
      <w:szCs w:val="20"/>
    </w:rPr>
  </w:style>
  <w:style w:type="paragraph" w:styleId="33">
    <w:name w:val="List Paragraph"/>
    <w:basedOn w:val="1"/>
    <w:qFormat/>
    <w:uiPriority w:val="0"/>
    <w:pPr>
      <w:ind w:firstLine="420" w:firstLineChars="200"/>
    </w:pPr>
    <w:rPr>
      <w:szCs w:val="24"/>
    </w:rPr>
  </w:style>
  <w:style w:type="paragraph" w:customStyle="1" w:styleId="34">
    <w:name w:val="正文缩进2字符"/>
    <w:basedOn w:val="1"/>
    <w:qFormat/>
    <w:uiPriority w:val="0"/>
    <w:pPr>
      <w:spacing w:line="360" w:lineRule="auto"/>
      <w:ind w:firstLine="200" w:firstLineChars="200"/>
      <w:jc w:val="left"/>
    </w:pPr>
    <w:rPr>
      <w:rFonts w:ascii="Times New Roman" w:hAnsi="Times New Roman"/>
      <w:sz w:val="24"/>
      <w:szCs w:val="20"/>
    </w:rPr>
  </w:style>
  <w:style w:type="paragraph" w:customStyle="1" w:styleId="35">
    <w:name w:val="列出段落2"/>
    <w:basedOn w:val="1"/>
    <w:qFormat/>
    <w:uiPriority w:val="1"/>
    <w:pPr>
      <w:ind w:firstLine="420" w:firstLineChars="200"/>
    </w:pPr>
    <w:rPr>
      <w:rFonts w:ascii="Calibri" w:hAnsi="Calibri"/>
      <w:szCs w:val="22"/>
    </w:rPr>
  </w:style>
  <w:style w:type="paragraph" w:customStyle="1" w:styleId="36">
    <w:name w:val="样式 首行缩进:  0 字符"/>
    <w:basedOn w:val="1"/>
    <w:qFormat/>
    <w:uiPriority w:val="0"/>
    <w:pPr>
      <w:spacing w:line="360" w:lineRule="auto"/>
      <w:ind w:firstLine="200" w:firstLineChars="200"/>
    </w:pPr>
    <w:rPr>
      <w:rFonts w:ascii="Times New Roman" w:hAnsi="Times New Roman" w:cs="宋体"/>
      <w:sz w:val="24"/>
      <w:szCs w:val="20"/>
    </w:rPr>
  </w:style>
  <w:style w:type="paragraph" w:customStyle="1" w:styleId="37">
    <w:name w:val="编号，小四"/>
    <w:basedOn w:val="1"/>
    <w:qFormat/>
    <w:uiPriority w:val="0"/>
    <w:pPr>
      <w:numPr>
        <w:ilvl w:val="0"/>
        <w:numId w:val="2"/>
      </w:numPr>
      <w:ind w:firstLineChars="0"/>
    </w:pPr>
  </w:style>
  <w:style w:type="paragraph" w:customStyle="1" w:styleId="38">
    <w:name w:val="表1"/>
    <w:basedOn w:val="1"/>
    <w:qFormat/>
    <w:uiPriority w:val="0"/>
    <w:pPr>
      <w:numPr>
        <w:ilvl w:val="0"/>
        <w:numId w:val="3"/>
      </w:numPr>
      <w:ind w:left="0" w:firstLine="0" w:firstLineChars="0"/>
      <w:jc w:val="center"/>
    </w:pPr>
    <w:rPr>
      <w:sz w:val="21"/>
    </w:rPr>
  </w:style>
  <w:style w:type="paragraph" w:customStyle="1" w:styleId="39">
    <w:name w:val="表格正文"/>
    <w:basedOn w:val="1"/>
    <w:qFormat/>
    <w:uiPriority w:val="0"/>
    <w:pPr>
      <w:spacing w:line="360" w:lineRule="auto"/>
      <w:jc w:val="left"/>
    </w:pPr>
    <w:rPr>
      <w:rFonts w:ascii="Arial" w:hAnsi="Arial" w:cs="宋体"/>
      <w:szCs w:val="20"/>
    </w:rPr>
  </w:style>
  <w:style w:type="character" w:customStyle="1" w:styleId="40">
    <w:name w:val="font91"/>
    <w:basedOn w:val="19"/>
    <w:qFormat/>
    <w:uiPriority w:val="0"/>
    <w:rPr>
      <w:rFonts w:hint="eastAsia" w:ascii="宋体" w:hAnsi="宋体" w:eastAsia="宋体" w:cs="宋体"/>
      <w:color w:val="FF0000"/>
      <w:sz w:val="20"/>
      <w:szCs w:val="20"/>
      <w:u w:val="none"/>
    </w:rPr>
  </w:style>
  <w:style w:type="character" w:customStyle="1" w:styleId="41">
    <w:name w:val="font81"/>
    <w:basedOn w:val="19"/>
    <w:qFormat/>
    <w:uiPriority w:val="0"/>
    <w:rPr>
      <w:rFonts w:hint="eastAsia" w:ascii="宋体" w:hAnsi="宋体" w:eastAsia="宋体" w:cs="宋体"/>
      <w:color w:val="000000"/>
      <w:sz w:val="20"/>
      <w:szCs w:val="20"/>
      <w:u w:val="none"/>
    </w:rPr>
  </w:style>
  <w:style w:type="character" w:customStyle="1" w:styleId="42">
    <w:name w:val="_Style 6"/>
    <w:qFormat/>
    <w:uiPriority w:val="19"/>
    <w:rPr>
      <w:i/>
      <w:iCs/>
      <w:color w:val="404040"/>
    </w:rPr>
  </w:style>
  <w:style w:type="paragraph" w:customStyle="1" w:styleId="43">
    <w:name w:val="正文 A"/>
    <w:qFormat/>
    <w:uiPriority w:val="0"/>
    <w:pPr>
      <w:widowControl w:val="0"/>
      <w:spacing w:line="360" w:lineRule="auto"/>
      <w:jc w:val="both"/>
    </w:pPr>
    <w:rPr>
      <w:rFonts w:ascii="Times New Roman" w:hAnsi="Times New Roman" w:eastAsia="Arial Unicode MS" w:cs="Arial Unicode MS"/>
      <w:color w:val="000000"/>
      <w:kern w:val="2"/>
      <w:sz w:val="24"/>
      <w:szCs w:val="24"/>
      <w:lang w:val="de-DE"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1470</Words>
  <Characters>8384</Characters>
  <Lines>69</Lines>
  <Paragraphs>19</Paragraphs>
  <TotalTime>1</TotalTime>
  <ScaleCrop>false</ScaleCrop>
  <LinksUpToDate>false</LinksUpToDate>
  <CharactersWithSpaces>9835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2019-02-28T01:32:00Z</dcterms:created>
  <dc:creator>NTKO</dc:creator>
  <cp:lastModifiedBy>陈圣楠</cp:lastModifiedBy>
  <cp:lastPrinted>2019-03-05T06:31:00Z</cp:lastPrinted>
  <dcterms:modified xsi:type="dcterms:W3CDTF">2020-07-06T01:00:16Z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